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89BC5" w14:textId="60D2AB84" w:rsidR="005921FC" w:rsidRPr="00F33E1C" w:rsidRDefault="005921FC" w:rsidP="005921FC">
      <w:pPr>
        <w:jc w:val="center"/>
        <w:rPr>
          <w:rFonts w:ascii="Times New Roman" w:hAnsi="Times New Roman"/>
          <w:b/>
          <w:bCs/>
          <w:sz w:val="24"/>
          <w:szCs w:val="24"/>
        </w:rPr>
      </w:pPr>
      <w:r w:rsidRPr="00F33E1C">
        <w:rPr>
          <w:rFonts w:ascii="Times New Roman" w:hAnsi="Times New Roman"/>
          <w:b/>
          <w:bCs/>
          <w:sz w:val="24"/>
          <w:szCs w:val="24"/>
        </w:rPr>
        <w:t xml:space="preserve">Supporting Statement of the Request for </w:t>
      </w:r>
    </w:p>
    <w:p w14:paraId="6E5CC8B4" w14:textId="77777777" w:rsidR="005921FC" w:rsidRDefault="005921FC" w:rsidP="005921FC">
      <w:pPr>
        <w:jc w:val="center"/>
        <w:rPr>
          <w:rFonts w:ascii="Times New Roman" w:hAnsi="Times New Roman"/>
          <w:b/>
          <w:bCs/>
          <w:sz w:val="24"/>
          <w:szCs w:val="24"/>
        </w:rPr>
      </w:pPr>
      <w:r w:rsidRPr="00F33E1C">
        <w:rPr>
          <w:rFonts w:ascii="Times New Roman" w:hAnsi="Times New Roman"/>
          <w:b/>
          <w:bCs/>
          <w:sz w:val="24"/>
          <w:szCs w:val="24"/>
        </w:rPr>
        <w:t>OMB Review and Approval of</w:t>
      </w:r>
    </w:p>
    <w:p w14:paraId="788C9035" w14:textId="77777777" w:rsidR="00C15E4A" w:rsidRPr="00F33E1C" w:rsidRDefault="00C15E4A" w:rsidP="005921FC">
      <w:pPr>
        <w:jc w:val="center"/>
        <w:rPr>
          <w:rFonts w:ascii="Times New Roman" w:hAnsi="Times New Roman"/>
          <w:b/>
          <w:bCs/>
          <w:sz w:val="24"/>
          <w:szCs w:val="24"/>
        </w:rPr>
      </w:pPr>
    </w:p>
    <w:p w14:paraId="438533F8" w14:textId="7039F439" w:rsidR="005921FC" w:rsidRPr="00C15E4A" w:rsidRDefault="004456C5" w:rsidP="005921FC">
      <w:pPr>
        <w:jc w:val="center"/>
        <w:rPr>
          <w:rFonts w:ascii="Times New Roman" w:hAnsi="Times New Roman"/>
          <w:b/>
          <w:bCs/>
          <w:sz w:val="24"/>
          <w:szCs w:val="24"/>
        </w:rPr>
      </w:pPr>
      <w:r>
        <w:rPr>
          <w:rFonts w:ascii="Times New Roman" w:hAnsi="Times New Roman"/>
          <w:b/>
          <w:bCs/>
          <w:sz w:val="24"/>
          <w:szCs w:val="24"/>
        </w:rPr>
        <w:t>Assessment of</w:t>
      </w:r>
      <w:r w:rsidR="00C15E4A" w:rsidRPr="00C15E4A">
        <w:rPr>
          <w:rFonts w:ascii="Times New Roman" w:hAnsi="Times New Roman"/>
          <w:b/>
          <w:bCs/>
          <w:sz w:val="24"/>
          <w:szCs w:val="24"/>
        </w:rPr>
        <w:t xml:space="preserve"> </w:t>
      </w:r>
      <w:r w:rsidR="00954B44">
        <w:rPr>
          <w:rFonts w:ascii="Times New Roman" w:hAnsi="Times New Roman"/>
          <w:b/>
          <w:bCs/>
          <w:sz w:val="24"/>
          <w:szCs w:val="24"/>
        </w:rPr>
        <w:t xml:space="preserve">Potential Exposure from </w:t>
      </w:r>
      <w:r w:rsidR="00C15E4A" w:rsidRPr="00C15E4A">
        <w:rPr>
          <w:rFonts w:ascii="Times New Roman" w:hAnsi="Times New Roman"/>
          <w:b/>
          <w:bCs/>
          <w:sz w:val="24"/>
          <w:szCs w:val="24"/>
        </w:rPr>
        <w:t>Private Wells for Drinking Water</w:t>
      </w:r>
    </w:p>
    <w:p w14:paraId="68278E87" w14:textId="052B3C97" w:rsidR="005921FC" w:rsidRPr="00F33E1C" w:rsidRDefault="005921FC" w:rsidP="005921FC">
      <w:pPr>
        <w:jc w:val="center"/>
        <w:rPr>
          <w:rFonts w:ascii="Times New Roman" w:hAnsi="Times New Roman"/>
          <w:b/>
          <w:sz w:val="24"/>
          <w:szCs w:val="24"/>
        </w:rPr>
      </w:pPr>
      <w:r w:rsidRPr="00F33E1C">
        <w:rPr>
          <w:rFonts w:ascii="Times New Roman" w:hAnsi="Times New Roman"/>
          <w:b/>
          <w:sz w:val="24"/>
          <w:szCs w:val="24"/>
        </w:rPr>
        <w:t>OMB Control No. 092</w:t>
      </w:r>
      <w:r w:rsidR="002278E4">
        <w:rPr>
          <w:rFonts w:ascii="Times New Roman" w:hAnsi="Times New Roman"/>
          <w:b/>
          <w:sz w:val="24"/>
          <w:szCs w:val="24"/>
        </w:rPr>
        <w:t>0</w:t>
      </w:r>
      <w:r w:rsidRPr="00F33E1C">
        <w:rPr>
          <w:rFonts w:ascii="Times New Roman" w:hAnsi="Times New Roman"/>
          <w:b/>
          <w:sz w:val="24"/>
          <w:szCs w:val="24"/>
        </w:rPr>
        <w:t>-NEW</w:t>
      </w:r>
    </w:p>
    <w:p w14:paraId="5093BE4A" w14:textId="77777777" w:rsidR="005921FC" w:rsidRPr="00F33E1C" w:rsidRDefault="005921FC" w:rsidP="005921FC">
      <w:pPr>
        <w:jc w:val="center"/>
        <w:rPr>
          <w:rFonts w:ascii="Times New Roman" w:hAnsi="Times New Roman"/>
          <w:b/>
          <w:sz w:val="24"/>
          <w:szCs w:val="24"/>
        </w:rPr>
      </w:pPr>
      <w:r w:rsidRPr="00F33E1C">
        <w:rPr>
          <w:rFonts w:ascii="Times New Roman" w:hAnsi="Times New Roman"/>
          <w:b/>
          <w:sz w:val="24"/>
          <w:szCs w:val="24"/>
        </w:rPr>
        <w:t>Generic Clearance</w:t>
      </w:r>
    </w:p>
    <w:p w14:paraId="4EF7F047" w14:textId="77777777" w:rsidR="005921FC" w:rsidRPr="00F33E1C" w:rsidRDefault="005921FC" w:rsidP="005921FC">
      <w:pPr>
        <w:jc w:val="center"/>
        <w:rPr>
          <w:rFonts w:ascii="Times New Roman" w:hAnsi="Times New Roman"/>
          <w:b/>
          <w:sz w:val="24"/>
          <w:szCs w:val="24"/>
        </w:rPr>
      </w:pPr>
    </w:p>
    <w:p w14:paraId="18C9B401" w14:textId="111483E1" w:rsidR="005921FC" w:rsidRPr="00F33E1C" w:rsidRDefault="0065748F" w:rsidP="005921FC">
      <w:pPr>
        <w:jc w:val="center"/>
        <w:rPr>
          <w:rFonts w:ascii="Times New Roman" w:hAnsi="Times New Roman"/>
          <w:sz w:val="24"/>
          <w:szCs w:val="24"/>
        </w:rPr>
      </w:pPr>
      <w:r w:rsidRPr="00F33E1C">
        <w:rPr>
          <w:rFonts w:ascii="Times New Roman" w:hAnsi="Times New Roman"/>
          <w:b/>
          <w:bCs/>
          <w:sz w:val="24"/>
          <w:szCs w:val="24"/>
        </w:rPr>
        <w:t>(Part A: Justification)</w:t>
      </w:r>
    </w:p>
    <w:p w14:paraId="0D0B4689" w14:textId="77777777" w:rsidR="005921FC" w:rsidRPr="00F33E1C" w:rsidRDefault="005921FC" w:rsidP="005921FC">
      <w:pPr>
        <w:jc w:val="center"/>
        <w:rPr>
          <w:rFonts w:ascii="Times New Roman" w:hAnsi="Times New Roman"/>
          <w:sz w:val="24"/>
          <w:szCs w:val="24"/>
        </w:rPr>
      </w:pPr>
    </w:p>
    <w:p w14:paraId="049DA3C8" w14:textId="77777777" w:rsidR="005921FC" w:rsidRPr="00F33E1C" w:rsidRDefault="005921FC" w:rsidP="005921FC">
      <w:pPr>
        <w:jc w:val="center"/>
        <w:rPr>
          <w:rFonts w:ascii="Times New Roman" w:hAnsi="Times New Roman"/>
          <w:sz w:val="24"/>
          <w:szCs w:val="24"/>
        </w:rPr>
      </w:pPr>
    </w:p>
    <w:p w14:paraId="2EA0D100" w14:textId="39E28477" w:rsidR="005921FC" w:rsidRPr="00F33E1C" w:rsidRDefault="0046612C" w:rsidP="005921FC">
      <w:pPr>
        <w:jc w:val="center"/>
        <w:rPr>
          <w:rFonts w:ascii="Times New Roman" w:hAnsi="Times New Roman"/>
          <w:b/>
          <w:sz w:val="24"/>
          <w:szCs w:val="24"/>
        </w:rPr>
      </w:pPr>
      <w:r>
        <w:rPr>
          <w:rFonts w:ascii="Times New Roman" w:hAnsi="Times New Roman"/>
          <w:b/>
          <w:sz w:val="24"/>
          <w:szCs w:val="24"/>
        </w:rPr>
        <w:t>March 2017</w:t>
      </w:r>
    </w:p>
    <w:p w14:paraId="6A7EC051" w14:textId="77777777" w:rsidR="005921FC" w:rsidRPr="00F33E1C" w:rsidRDefault="005921FC" w:rsidP="005921FC">
      <w:pPr>
        <w:jc w:val="center"/>
        <w:rPr>
          <w:rFonts w:ascii="Times New Roman" w:hAnsi="Times New Roman"/>
          <w:b/>
          <w:sz w:val="24"/>
          <w:szCs w:val="24"/>
        </w:rPr>
      </w:pPr>
    </w:p>
    <w:p w14:paraId="1BA4E308" w14:textId="77777777" w:rsidR="005921FC" w:rsidRPr="00F33E1C" w:rsidRDefault="005921FC" w:rsidP="005921FC">
      <w:pPr>
        <w:jc w:val="center"/>
        <w:rPr>
          <w:rFonts w:ascii="Times New Roman" w:hAnsi="Times New Roman"/>
          <w:b/>
          <w:sz w:val="24"/>
          <w:szCs w:val="24"/>
        </w:rPr>
      </w:pPr>
    </w:p>
    <w:p w14:paraId="1FA66A32" w14:textId="77777777" w:rsidR="005921FC" w:rsidRPr="00F33E1C" w:rsidRDefault="005921FC" w:rsidP="005921FC">
      <w:pPr>
        <w:jc w:val="center"/>
        <w:rPr>
          <w:rFonts w:ascii="Times New Roman" w:hAnsi="Times New Roman"/>
          <w:b/>
          <w:sz w:val="24"/>
          <w:szCs w:val="24"/>
        </w:rPr>
      </w:pPr>
    </w:p>
    <w:p w14:paraId="4E44D428" w14:textId="77777777" w:rsidR="005921FC" w:rsidRPr="00F33E1C" w:rsidRDefault="005921FC" w:rsidP="005921FC">
      <w:pPr>
        <w:spacing w:after="0"/>
        <w:rPr>
          <w:rFonts w:ascii="Times New Roman" w:hAnsi="Times New Roman"/>
          <w:sz w:val="24"/>
          <w:szCs w:val="24"/>
        </w:rPr>
      </w:pPr>
    </w:p>
    <w:p w14:paraId="418BF41F" w14:textId="77777777" w:rsidR="005921FC" w:rsidRPr="00F33E1C" w:rsidRDefault="005921FC" w:rsidP="005921FC">
      <w:pPr>
        <w:spacing w:after="0"/>
        <w:rPr>
          <w:rFonts w:ascii="Times New Roman" w:hAnsi="Times New Roman"/>
          <w:sz w:val="24"/>
          <w:szCs w:val="24"/>
        </w:rPr>
      </w:pPr>
    </w:p>
    <w:p w14:paraId="31213130" w14:textId="77777777" w:rsidR="005921FC" w:rsidRPr="00F33E1C" w:rsidRDefault="005921FC" w:rsidP="005921FC">
      <w:pPr>
        <w:spacing w:after="0"/>
        <w:rPr>
          <w:rFonts w:ascii="Times New Roman" w:hAnsi="Times New Roman"/>
          <w:sz w:val="24"/>
          <w:szCs w:val="24"/>
        </w:rPr>
      </w:pPr>
    </w:p>
    <w:p w14:paraId="6168D5CD" w14:textId="77777777" w:rsidR="005921FC" w:rsidRPr="00F33E1C" w:rsidRDefault="005921FC" w:rsidP="005921FC">
      <w:pPr>
        <w:spacing w:after="0"/>
        <w:rPr>
          <w:rFonts w:ascii="Times New Roman" w:hAnsi="Times New Roman"/>
          <w:sz w:val="24"/>
          <w:szCs w:val="24"/>
        </w:rPr>
      </w:pPr>
    </w:p>
    <w:p w14:paraId="0DDF11BC" w14:textId="77777777" w:rsidR="005921FC" w:rsidRPr="00F33E1C" w:rsidRDefault="005921FC" w:rsidP="005921FC">
      <w:pPr>
        <w:spacing w:after="0"/>
        <w:rPr>
          <w:rFonts w:ascii="Times New Roman" w:hAnsi="Times New Roman"/>
          <w:sz w:val="24"/>
          <w:szCs w:val="24"/>
        </w:rPr>
      </w:pPr>
    </w:p>
    <w:p w14:paraId="41B8213A" w14:textId="77777777" w:rsidR="005921FC" w:rsidRPr="00F33E1C" w:rsidRDefault="005921FC" w:rsidP="005921FC">
      <w:pPr>
        <w:spacing w:after="0"/>
        <w:rPr>
          <w:rFonts w:ascii="Times New Roman" w:hAnsi="Times New Roman"/>
          <w:sz w:val="24"/>
          <w:szCs w:val="24"/>
        </w:rPr>
      </w:pPr>
    </w:p>
    <w:p w14:paraId="4FDF964C" w14:textId="77777777" w:rsidR="005921FC" w:rsidRPr="00F33E1C" w:rsidRDefault="005921FC" w:rsidP="005921FC">
      <w:pPr>
        <w:spacing w:after="0"/>
        <w:rPr>
          <w:rFonts w:ascii="Times New Roman" w:hAnsi="Times New Roman"/>
          <w:sz w:val="24"/>
          <w:szCs w:val="24"/>
        </w:rPr>
      </w:pPr>
    </w:p>
    <w:p w14:paraId="4F95AE7C" w14:textId="77777777" w:rsidR="005921FC" w:rsidRPr="00F33E1C" w:rsidRDefault="005921FC" w:rsidP="005921FC">
      <w:pPr>
        <w:spacing w:after="0"/>
        <w:rPr>
          <w:rFonts w:ascii="Times New Roman" w:hAnsi="Times New Roman"/>
          <w:sz w:val="24"/>
          <w:szCs w:val="24"/>
        </w:rPr>
      </w:pPr>
    </w:p>
    <w:p w14:paraId="3C53B2D3" w14:textId="77777777" w:rsidR="005921FC" w:rsidRPr="00F33E1C" w:rsidRDefault="005921FC" w:rsidP="005921FC">
      <w:pPr>
        <w:spacing w:after="0"/>
        <w:rPr>
          <w:rFonts w:ascii="Times New Roman" w:hAnsi="Times New Roman"/>
          <w:sz w:val="24"/>
          <w:szCs w:val="24"/>
        </w:rPr>
      </w:pPr>
      <w:r w:rsidRPr="00F33E1C">
        <w:rPr>
          <w:rFonts w:ascii="Times New Roman" w:hAnsi="Times New Roman"/>
          <w:sz w:val="24"/>
          <w:szCs w:val="24"/>
        </w:rPr>
        <w:t>Contact:</w:t>
      </w:r>
    </w:p>
    <w:p w14:paraId="72001214" w14:textId="43DF4D96" w:rsidR="005921FC" w:rsidRPr="00F33E1C" w:rsidRDefault="005E19F6" w:rsidP="005921FC">
      <w:pPr>
        <w:spacing w:after="0"/>
        <w:rPr>
          <w:rFonts w:ascii="Times New Roman" w:hAnsi="Times New Roman"/>
          <w:sz w:val="24"/>
          <w:szCs w:val="24"/>
        </w:rPr>
      </w:pPr>
      <w:r w:rsidRPr="00F33E1C">
        <w:rPr>
          <w:rFonts w:ascii="Times New Roman" w:hAnsi="Times New Roman"/>
          <w:sz w:val="24"/>
          <w:szCs w:val="24"/>
        </w:rPr>
        <w:t>Lorraine Backer</w:t>
      </w:r>
      <w:r w:rsidR="00704250">
        <w:rPr>
          <w:rFonts w:ascii="Times New Roman" w:hAnsi="Times New Roman"/>
          <w:sz w:val="24"/>
          <w:szCs w:val="24"/>
        </w:rPr>
        <w:t>, PhD</w:t>
      </w:r>
    </w:p>
    <w:p w14:paraId="07C289C5" w14:textId="77777777" w:rsidR="005921FC" w:rsidRPr="00F33E1C" w:rsidRDefault="005921FC" w:rsidP="005921FC">
      <w:pPr>
        <w:spacing w:after="0"/>
        <w:rPr>
          <w:rFonts w:ascii="Times New Roman" w:hAnsi="Times New Roman"/>
          <w:sz w:val="24"/>
          <w:szCs w:val="24"/>
        </w:rPr>
      </w:pPr>
      <w:bookmarkStart w:id="0" w:name="_Toc331406326"/>
      <w:r w:rsidRPr="00F33E1C">
        <w:rPr>
          <w:rFonts w:ascii="Times New Roman" w:hAnsi="Times New Roman"/>
          <w:sz w:val="24"/>
          <w:szCs w:val="24"/>
        </w:rPr>
        <w:t>National Center for E</w:t>
      </w:r>
      <w:bookmarkEnd w:id="0"/>
      <w:r w:rsidRPr="00F33E1C">
        <w:rPr>
          <w:rFonts w:ascii="Times New Roman" w:hAnsi="Times New Roman"/>
          <w:sz w:val="24"/>
          <w:szCs w:val="24"/>
        </w:rPr>
        <w:t>nvironmental Health</w:t>
      </w:r>
    </w:p>
    <w:p w14:paraId="4D2C11D3" w14:textId="77777777" w:rsidR="005921FC" w:rsidRPr="00F33E1C" w:rsidRDefault="005921FC" w:rsidP="005921FC">
      <w:pPr>
        <w:spacing w:after="0"/>
        <w:rPr>
          <w:rFonts w:ascii="Times New Roman" w:hAnsi="Times New Roman"/>
          <w:sz w:val="24"/>
          <w:szCs w:val="24"/>
        </w:rPr>
      </w:pPr>
      <w:bookmarkStart w:id="1" w:name="_Toc331406327"/>
      <w:r w:rsidRPr="00F33E1C">
        <w:rPr>
          <w:rFonts w:ascii="Times New Roman" w:hAnsi="Times New Roman"/>
          <w:sz w:val="24"/>
          <w:szCs w:val="24"/>
        </w:rPr>
        <w:t>Centers for Disease Control and Prevention</w:t>
      </w:r>
      <w:bookmarkEnd w:id="1"/>
    </w:p>
    <w:p w14:paraId="2EB49B87" w14:textId="77777777" w:rsidR="005921FC" w:rsidRPr="00F33E1C" w:rsidRDefault="005921FC" w:rsidP="005921FC">
      <w:pPr>
        <w:spacing w:after="0"/>
        <w:rPr>
          <w:rFonts w:ascii="Times New Roman" w:hAnsi="Times New Roman"/>
          <w:sz w:val="24"/>
          <w:szCs w:val="24"/>
        </w:rPr>
      </w:pPr>
      <w:r w:rsidRPr="00F33E1C">
        <w:rPr>
          <w:rFonts w:ascii="Times New Roman" w:hAnsi="Times New Roman"/>
          <w:sz w:val="24"/>
          <w:szCs w:val="24"/>
        </w:rPr>
        <w:t>4770 Buford Highway NE, MS F-60</w:t>
      </w:r>
    </w:p>
    <w:p w14:paraId="61BF55A5" w14:textId="77777777" w:rsidR="005921FC" w:rsidRPr="00F33E1C" w:rsidRDefault="005921FC" w:rsidP="005921FC">
      <w:pPr>
        <w:spacing w:after="0"/>
        <w:rPr>
          <w:rFonts w:ascii="Times New Roman" w:hAnsi="Times New Roman"/>
          <w:sz w:val="24"/>
          <w:szCs w:val="24"/>
        </w:rPr>
      </w:pPr>
      <w:bookmarkStart w:id="2" w:name="_Toc331406329"/>
      <w:r w:rsidRPr="00F33E1C">
        <w:rPr>
          <w:rFonts w:ascii="Times New Roman" w:hAnsi="Times New Roman"/>
          <w:sz w:val="24"/>
          <w:szCs w:val="24"/>
        </w:rPr>
        <w:t>Atlanta, Georgia 303</w:t>
      </w:r>
      <w:bookmarkEnd w:id="2"/>
      <w:r w:rsidRPr="00F33E1C">
        <w:rPr>
          <w:rFonts w:ascii="Times New Roman" w:hAnsi="Times New Roman"/>
          <w:sz w:val="24"/>
          <w:szCs w:val="24"/>
        </w:rPr>
        <w:t>41</w:t>
      </w:r>
    </w:p>
    <w:p w14:paraId="04457F59" w14:textId="77777777" w:rsidR="005921FC" w:rsidRPr="00F33E1C" w:rsidRDefault="005921FC" w:rsidP="005921FC">
      <w:pPr>
        <w:spacing w:after="0"/>
        <w:rPr>
          <w:rFonts w:ascii="Times New Roman" w:hAnsi="Times New Roman"/>
          <w:sz w:val="24"/>
          <w:szCs w:val="24"/>
        </w:rPr>
      </w:pPr>
      <w:bookmarkStart w:id="3" w:name="_Toc331406330"/>
      <w:r w:rsidRPr="00F33E1C">
        <w:rPr>
          <w:rFonts w:ascii="Times New Roman" w:hAnsi="Times New Roman"/>
          <w:sz w:val="24"/>
          <w:szCs w:val="24"/>
        </w:rPr>
        <w:t xml:space="preserve">Phone: (770) </w:t>
      </w:r>
      <w:bookmarkEnd w:id="3"/>
      <w:r w:rsidR="005E19F6" w:rsidRPr="00F33E1C">
        <w:rPr>
          <w:rFonts w:ascii="Times New Roman" w:hAnsi="Times New Roman"/>
          <w:sz w:val="24"/>
          <w:szCs w:val="24"/>
        </w:rPr>
        <w:t>488-3426</w:t>
      </w:r>
    </w:p>
    <w:p w14:paraId="79333C17" w14:textId="77777777" w:rsidR="005921FC" w:rsidRPr="00F33E1C" w:rsidRDefault="005921FC" w:rsidP="005921FC">
      <w:pPr>
        <w:spacing w:after="0"/>
        <w:rPr>
          <w:rFonts w:ascii="Times New Roman" w:hAnsi="Times New Roman"/>
          <w:noProof/>
          <w:color w:val="403152"/>
          <w:sz w:val="24"/>
          <w:szCs w:val="24"/>
        </w:rPr>
      </w:pPr>
      <w:r w:rsidRPr="00F33E1C">
        <w:rPr>
          <w:rFonts w:ascii="Times New Roman" w:hAnsi="Times New Roman"/>
          <w:sz w:val="24"/>
          <w:szCs w:val="24"/>
        </w:rPr>
        <w:t xml:space="preserve">Fax: (770) </w:t>
      </w:r>
      <w:r w:rsidR="005E19F6" w:rsidRPr="00F33E1C">
        <w:rPr>
          <w:rFonts w:ascii="Times New Roman" w:hAnsi="Times New Roman"/>
          <w:sz w:val="24"/>
          <w:szCs w:val="24"/>
        </w:rPr>
        <w:t>488-3450</w:t>
      </w:r>
    </w:p>
    <w:p w14:paraId="3D95387D" w14:textId="77777777" w:rsidR="005921FC" w:rsidRPr="00F33E1C" w:rsidRDefault="005921FC" w:rsidP="005921FC">
      <w:pPr>
        <w:spacing w:after="0"/>
        <w:rPr>
          <w:rFonts w:ascii="Times New Roman" w:hAnsi="Times New Roman"/>
          <w:sz w:val="24"/>
          <w:szCs w:val="24"/>
        </w:rPr>
      </w:pPr>
      <w:bookmarkStart w:id="4" w:name="_Toc331406331"/>
      <w:r w:rsidRPr="00F33E1C">
        <w:rPr>
          <w:rFonts w:ascii="Times New Roman" w:hAnsi="Times New Roman"/>
          <w:sz w:val="24"/>
          <w:szCs w:val="24"/>
        </w:rPr>
        <w:t xml:space="preserve">Email: </w:t>
      </w:r>
      <w:hyperlink r:id="rId8" w:history="1">
        <w:r w:rsidR="00C14CD6" w:rsidRPr="002D729A">
          <w:rPr>
            <w:rStyle w:val="Hyperlink"/>
            <w:rFonts w:ascii="Times New Roman" w:hAnsi="Times New Roman"/>
            <w:sz w:val="24"/>
            <w:szCs w:val="24"/>
          </w:rPr>
          <w:t>lfb9@cdc.gov</w:t>
        </w:r>
      </w:hyperlink>
      <w:bookmarkEnd w:id="4"/>
    </w:p>
    <w:p w14:paraId="20A4F040" w14:textId="77777777" w:rsidR="00FA5768" w:rsidRPr="00DD5B03" w:rsidRDefault="00FA5768" w:rsidP="00FA5768">
      <w:pPr>
        <w:tabs>
          <w:tab w:val="left" w:pos="720"/>
          <w:tab w:val="left" w:pos="1440"/>
          <w:tab w:val="left" w:pos="2160"/>
          <w:tab w:val="left" w:pos="2880"/>
        </w:tabs>
        <w:spacing w:after="0" w:line="360" w:lineRule="auto"/>
        <w:outlineLvl w:val="0"/>
        <w:rPr>
          <w:rFonts w:ascii="Times New Roman" w:eastAsia="Arial Unicode MS" w:hAnsi="Times New Roman"/>
          <w:b/>
          <w:color w:val="000000"/>
          <w:sz w:val="24"/>
          <w:szCs w:val="24"/>
          <w:u w:color="000000"/>
        </w:rPr>
      </w:pPr>
    </w:p>
    <w:p w14:paraId="72A17CBF" w14:textId="77777777" w:rsidR="00FA5768" w:rsidRPr="00FA5768" w:rsidRDefault="00FA5768" w:rsidP="00FA5768">
      <w:pPr>
        <w:tabs>
          <w:tab w:val="left" w:pos="720"/>
          <w:tab w:val="left" w:pos="1440"/>
          <w:tab w:val="left" w:pos="2160"/>
          <w:tab w:val="left" w:pos="2880"/>
        </w:tabs>
        <w:spacing w:after="0" w:line="360" w:lineRule="auto"/>
        <w:outlineLvl w:val="0"/>
        <w:rPr>
          <w:rFonts w:ascii="Times New Roman" w:eastAsia="Arial Unicode MS" w:hAnsi="Times New Roman"/>
          <w:b/>
          <w:color w:val="000000"/>
          <w:sz w:val="24"/>
          <w:szCs w:val="24"/>
          <w:u w:color="000000"/>
        </w:rPr>
      </w:pPr>
      <w:r w:rsidRPr="00FA5768">
        <w:rPr>
          <w:rFonts w:ascii="Times New Roman" w:eastAsia="Arial Unicode MS" w:hAnsi="Times New Roman"/>
          <w:b/>
          <w:color w:val="000000"/>
          <w:sz w:val="24"/>
          <w:szCs w:val="24"/>
          <w:u w:color="000000"/>
        </w:rPr>
        <w:t>Table of Contents</w:t>
      </w:r>
    </w:p>
    <w:p w14:paraId="383B9FC0" w14:textId="77777777" w:rsidR="00FA5768" w:rsidRPr="00DD5B03" w:rsidRDefault="00FA5768" w:rsidP="00FA5768">
      <w:pPr>
        <w:tabs>
          <w:tab w:val="left" w:pos="720"/>
          <w:tab w:val="left" w:pos="1440"/>
          <w:tab w:val="left" w:pos="2160"/>
          <w:tab w:val="left" w:pos="2880"/>
        </w:tabs>
        <w:spacing w:after="0" w:line="360" w:lineRule="auto"/>
        <w:outlineLvl w:val="0"/>
        <w:rPr>
          <w:rFonts w:ascii="Times New Roman" w:eastAsia="Arial Unicode MS" w:hAnsi="Times New Roman"/>
          <w:color w:val="000000"/>
          <w:sz w:val="24"/>
          <w:szCs w:val="24"/>
          <w:u w:color="000000"/>
        </w:rPr>
      </w:pPr>
      <w:r w:rsidRPr="00DD5B03">
        <w:rPr>
          <w:rFonts w:ascii="Times New Roman" w:eastAsia="Arial Unicode MS" w:hAnsi="Times New Roman"/>
          <w:color w:val="000000"/>
          <w:sz w:val="24"/>
          <w:szCs w:val="24"/>
          <w:u w:color="000000"/>
        </w:rPr>
        <w:t xml:space="preserve">A. </w:t>
      </w:r>
      <w:r w:rsidRPr="00DD5B03">
        <w:rPr>
          <w:rFonts w:ascii="Times New Roman" w:eastAsia="Arial Unicode MS" w:hAnsi="Times New Roman"/>
          <w:color w:val="000000"/>
          <w:sz w:val="24"/>
          <w:szCs w:val="24"/>
          <w:u w:color="000000"/>
        </w:rPr>
        <w:tab/>
        <w:t>Justification</w:t>
      </w:r>
    </w:p>
    <w:p w14:paraId="626C6609" w14:textId="77777777" w:rsidR="00FA5768" w:rsidRPr="00DD5B03" w:rsidRDefault="00FA5768" w:rsidP="00FA5768">
      <w:pPr>
        <w:tabs>
          <w:tab w:val="left" w:pos="720"/>
          <w:tab w:val="left" w:pos="1440"/>
          <w:tab w:val="left" w:pos="2160"/>
          <w:tab w:val="left" w:pos="2880"/>
        </w:tabs>
        <w:spacing w:after="0" w:line="360" w:lineRule="auto"/>
        <w:outlineLvl w:val="0"/>
        <w:rPr>
          <w:rFonts w:ascii="Times New Roman" w:eastAsia="Arial Unicode MS" w:hAnsi="Times New Roman"/>
          <w:color w:val="000000"/>
          <w:sz w:val="24"/>
          <w:szCs w:val="24"/>
          <w:u w:color="000000"/>
        </w:rPr>
      </w:pPr>
      <w:r w:rsidRPr="00DD5B03">
        <w:rPr>
          <w:rFonts w:ascii="Times New Roman" w:eastAsia="Arial Unicode MS" w:hAnsi="Times New Roman"/>
          <w:color w:val="000000"/>
          <w:sz w:val="24"/>
          <w:szCs w:val="24"/>
          <w:u w:color="000000"/>
        </w:rPr>
        <w:tab/>
        <w:t>1.</w:t>
      </w:r>
      <w:r w:rsidRPr="00DD5B03">
        <w:rPr>
          <w:rFonts w:ascii="Times New Roman" w:eastAsia="Arial Unicode MS" w:hAnsi="Times New Roman"/>
          <w:color w:val="000000"/>
          <w:sz w:val="24"/>
          <w:szCs w:val="24"/>
          <w:u w:color="000000"/>
        </w:rPr>
        <w:tab/>
        <w:t>Circumstances Making the Collection of Information Necessary</w:t>
      </w:r>
    </w:p>
    <w:p w14:paraId="73934693" w14:textId="77777777" w:rsidR="00FA5768" w:rsidRPr="00DD5B03" w:rsidRDefault="00FA5768" w:rsidP="00FA5768">
      <w:pPr>
        <w:tabs>
          <w:tab w:val="left" w:pos="720"/>
          <w:tab w:val="left" w:pos="1440"/>
          <w:tab w:val="left" w:pos="2160"/>
          <w:tab w:val="left" w:pos="2880"/>
        </w:tabs>
        <w:spacing w:after="0" w:line="360" w:lineRule="auto"/>
        <w:outlineLvl w:val="0"/>
        <w:rPr>
          <w:rFonts w:ascii="Times New Roman" w:eastAsia="Arial Unicode MS" w:hAnsi="Times New Roman"/>
          <w:color w:val="000000"/>
          <w:sz w:val="24"/>
          <w:szCs w:val="24"/>
          <w:u w:color="000000"/>
        </w:rPr>
      </w:pPr>
      <w:r w:rsidRPr="00DD5B03">
        <w:rPr>
          <w:rFonts w:ascii="Times New Roman" w:eastAsia="Arial Unicode MS" w:hAnsi="Times New Roman"/>
          <w:color w:val="000000"/>
          <w:sz w:val="24"/>
          <w:szCs w:val="24"/>
          <w:u w:color="000000"/>
        </w:rPr>
        <w:tab/>
        <w:t xml:space="preserve">2. </w:t>
      </w:r>
      <w:r w:rsidRPr="00DD5B03">
        <w:rPr>
          <w:rFonts w:ascii="Times New Roman" w:eastAsia="Arial Unicode MS" w:hAnsi="Times New Roman"/>
          <w:color w:val="000000"/>
          <w:sz w:val="24"/>
          <w:szCs w:val="24"/>
          <w:u w:color="000000"/>
        </w:rPr>
        <w:tab/>
        <w:t>Purpose and Use of Information Collection</w:t>
      </w:r>
    </w:p>
    <w:p w14:paraId="74077766" w14:textId="77777777" w:rsidR="00FA5768" w:rsidRPr="00DD5B03" w:rsidRDefault="00FA5768" w:rsidP="00FA5768">
      <w:pPr>
        <w:tabs>
          <w:tab w:val="left" w:pos="720"/>
          <w:tab w:val="left" w:pos="1440"/>
          <w:tab w:val="left" w:pos="2160"/>
          <w:tab w:val="left" w:pos="2880"/>
        </w:tabs>
        <w:spacing w:after="0" w:line="360" w:lineRule="auto"/>
        <w:outlineLvl w:val="0"/>
        <w:rPr>
          <w:rFonts w:ascii="Times New Roman" w:eastAsia="Arial Unicode MS" w:hAnsi="Times New Roman"/>
          <w:color w:val="000000"/>
          <w:sz w:val="24"/>
          <w:szCs w:val="24"/>
          <w:u w:color="000000"/>
        </w:rPr>
      </w:pPr>
      <w:r w:rsidRPr="00DD5B03">
        <w:rPr>
          <w:rFonts w:ascii="Times New Roman" w:eastAsia="Arial Unicode MS" w:hAnsi="Times New Roman"/>
          <w:color w:val="000000"/>
          <w:sz w:val="24"/>
          <w:szCs w:val="24"/>
          <w:u w:color="000000"/>
        </w:rPr>
        <w:tab/>
        <w:t>3.</w:t>
      </w:r>
      <w:r w:rsidRPr="00DD5B03">
        <w:rPr>
          <w:rFonts w:ascii="Times New Roman" w:eastAsia="Arial Unicode MS" w:hAnsi="Times New Roman"/>
          <w:color w:val="000000"/>
          <w:sz w:val="24"/>
          <w:szCs w:val="24"/>
          <w:u w:color="000000"/>
        </w:rPr>
        <w:tab/>
        <w:t>Use of Improved Information Technology and Burden Reduction</w:t>
      </w:r>
    </w:p>
    <w:p w14:paraId="5D7C89F3" w14:textId="77777777" w:rsidR="00FA5768" w:rsidRPr="00DD5B03" w:rsidRDefault="00FA5768" w:rsidP="00FA5768">
      <w:pPr>
        <w:tabs>
          <w:tab w:val="left" w:pos="720"/>
          <w:tab w:val="left" w:pos="1440"/>
          <w:tab w:val="left" w:pos="2160"/>
          <w:tab w:val="left" w:pos="2880"/>
        </w:tabs>
        <w:spacing w:after="0" w:line="360" w:lineRule="auto"/>
        <w:outlineLvl w:val="0"/>
        <w:rPr>
          <w:rFonts w:ascii="Times New Roman" w:eastAsia="Arial Unicode MS" w:hAnsi="Times New Roman"/>
          <w:color w:val="000000"/>
          <w:sz w:val="24"/>
          <w:szCs w:val="24"/>
          <w:u w:color="000000"/>
        </w:rPr>
      </w:pPr>
      <w:r w:rsidRPr="00DD5B03">
        <w:rPr>
          <w:rFonts w:ascii="Times New Roman" w:eastAsia="Arial Unicode MS" w:hAnsi="Times New Roman"/>
          <w:color w:val="000000"/>
          <w:sz w:val="24"/>
          <w:szCs w:val="24"/>
          <w:u w:color="000000"/>
        </w:rPr>
        <w:tab/>
        <w:t xml:space="preserve">4. </w:t>
      </w:r>
      <w:r w:rsidRPr="00DD5B03">
        <w:rPr>
          <w:rFonts w:ascii="Times New Roman" w:eastAsia="Arial Unicode MS" w:hAnsi="Times New Roman"/>
          <w:color w:val="000000"/>
          <w:sz w:val="24"/>
          <w:szCs w:val="24"/>
          <w:u w:color="000000"/>
        </w:rPr>
        <w:tab/>
        <w:t>Efforts to Identify Duplication and Use of Similar Information</w:t>
      </w:r>
    </w:p>
    <w:p w14:paraId="0DC51FE6" w14:textId="77777777" w:rsidR="00FA5768" w:rsidRPr="00DD5B03" w:rsidRDefault="00FA5768" w:rsidP="00FA5768">
      <w:pPr>
        <w:tabs>
          <w:tab w:val="left" w:pos="720"/>
          <w:tab w:val="left" w:pos="1440"/>
        </w:tabs>
        <w:spacing w:after="0" w:line="360" w:lineRule="auto"/>
        <w:outlineLvl w:val="0"/>
        <w:rPr>
          <w:rFonts w:ascii="Times New Roman" w:eastAsia="Arial Unicode MS" w:hAnsi="Times New Roman"/>
          <w:color w:val="000000"/>
          <w:sz w:val="24"/>
          <w:szCs w:val="24"/>
          <w:u w:color="000000"/>
        </w:rPr>
      </w:pPr>
      <w:r w:rsidRPr="00DD5B03">
        <w:rPr>
          <w:rFonts w:ascii="Times New Roman" w:eastAsia="Arial Unicode MS" w:hAnsi="Times New Roman"/>
          <w:color w:val="000000"/>
          <w:sz w:val="24"/>
          <w:szCs w:val="24"/>
          <w:u w:color="000000"/>
        </w:rPr>
        <w:tab/>
        <w:t>5.</w:t>
      </w:r>
      <w:r w:rsidRPr="00DD5B03">
        <w:rPr>
          <w:rFonts w:ascii="Times New Roman" w:eastAsia="Arial Unicode MS" w:hAnsi="Times New Roman"/>
          <w:color w:val="000000"/>
          <w:sz w:val="24"/>
          <w:szCs w:val="24"/>
          <w:u w:color="000000"/>
        </w:rPr>
        <w:tab/>
        <w:t>Impact on Small Businesses or Other Small Entities</w:t>
      </w:r>
    </w:p>
    <w:p w14:paraId="5E656E41" w14:textId="77777777" w:rsidR="00FA5768" w:rsidRPr="00DD5B03" w:rsidRDefault="00FA5768" w:rsidP="00FA5768">
      <w:pPr>
        <w:tabs>
          <w:tab w:val="left" w:pos="720"/>
          <w:tab w:val="left" w:pos="1440"/>
        </w:tabs>
        <w:spacing w:after="0" w:line="360" w:lineRule="auto"/>
        <w:outlineLvl w:val="0"/>
        <w:rPr>
          <w:rFonts w:ascii="Times New Roman" w:eastAsia="Arial Unicode MS" w:hAnsi="Times New Roman"/>
          <w:color w:val="000000"/>
          <w:sz w:val="24"/>
          <w:szCs w:val="24"/>
          <w:u w:color="000000"/>
        </w:rPr>
      </w:pPr>
      <w:r w:rsidRPr="00DD5B03">
        <w:rPr>
          <w:rFonts w:ascii="Times New Roman" w:eastAsia="Arial Unicode MS" w:hAnsi="Times New Roman"/>
          <w:color w:val="000000"/>
          <w:sz w:val="24"/>
          <w:szCs w:val="24"/>
          <w:u w:color="000000"/>
        </w:rPr>
        <w:tab/>
        <w:t xml:space="preserve">6. </w:t>
      </w:r>
      <w:r w:rsidRPr="00DD5B03">
        <w:rPr>
          <w:rFonts w:ascii="Times New Roman" w:eastAsia="Arial Unicode MS" w:hAnsi="Times New Roman"/>
          <w:color w:val="000000"/>
          <w:sz w:val="24"/>
          <w:szCs w:val="24"/>
          <w:u w:color="000000"/>
        </w:rPr>
        <w:tab/>
        <w:t>Consequences of Collecting the Information Less Frequently</w:t>
      </w:r>
    </w:p>
    <w:p w14:paraId="74439A30" w14:textId="77777777" w:rsidR="00FA5768" w:rsidRPr="00DD5B03" w:rsidRDefault="00FA5768" w:rsidP="00FA5768">
      <w:pPr>
        <w:tabs>
          <w:tab w:val="left" w:pos="720"/>
          <w:tab w:val="left" w:pos="1440"/>
        </w:tabs>
        <w:spacing w:after="0" w:line="360" w:lineRule="auto"/>
        <w:outlineLvl w:val="0"/>
        <w:rPr>
          <w:rFonts w:ascii="Times New Roman" w:eastAsia="Arial Unicode MS" w:hAnsi="Times New Roman"/>
          <w:color w:val="000000"/>
          <w:sz w:val="24"/>
          <w:szCs w:val="24"/>
          <w:u w:color="000000"/>
        </w:rPr>
      </w:pPr>
      <w:r w:rsidRPr="00DD5B03">
        <w:rPr>
          <w:rFonts w:ascii="Times New Roman" w:eastAsia="Arial Unicode MS" w:hAnsi="Times New Roman"/>
          <w:color w:val="000000"/>
          <w:sz w:val="24"/>
          <w:szCs w:val="24"/>
          <w:u w:color="000000"/>
        </w:rPr>
        <w:tab/>
        <w:t>7.</w:t>
      </w:r>
      <w:r w:rsidRPr="00DD5B03">
        <w:rPr>
          <w:rFonts w:ascii="Times New Roman" w:eastAsia="Arial Unicode MS" w:hAnsi="Times New Roman"/>
          <w:color w:val="000000"/>
          <w:sz w:val="24"/>
          <w:szCs w:val="24"/>
          <w:u w:color="000000"/>
        </w:rPr>
        <w:tab/>
        <w:t>Special Circumstances Relating to the Guidelines of 5 CFR 1320.5</w:t>
      </w:r>
      <w:r w:rsidRPr="00DD5B03">
        <w:rPr>
          <w:rFonts w:ascii="Times New Roman" w:eastAsia="Arial Unicode MS" w:hAnsi="Times New Roman"/>
          <w:color w:val="000000"/>
          <w:sz w:val="24"/>
          <w:szCs w:val="24"/>
          <w:u w:color="000000"/>
        </w:rPr>
        <w:tab/>
      </w:r>
    </w:p>
    <w:p w14:paraId="607F16D3" w14:textId="77777777" w:rsidR="00FA5768" w:rsidRPr="00DD5B03" w:rsidRDefault="00FA5768" w:rsidP="00FA5768">
      <w:pPr>
        <w:tabs>
          <w:tab w:val="left" w:pos="720"/>
          <w:tab w:val="left" w:pos="1440"/>
        </w:tabs>
        <w:spacing w:after="0" w:line="360" w:lineRule="auto"/>
        <w:ind w:left="1440" w:hanging="720"/>
        <w:rPr>
          <w:rFonts w:ascii="Times New Roman" w:eastAsia="Arial Unicode MS" w:hAnsi="Times New Roman"/>
          <w:sz w:val="24"/>
          <w:szCs w:val="24"/>
          <w:u w:color="000000"/>
        </w:rPr>
      </w:pPr>
      <w:r w:rsidRPr="00DD5B03">
        <w:rPr>
          <w:rFonts w:ascii="Times New Roman" w:eastAsia="Arial Unicode MS" w:hAnsi="Times New Roman"/>
          <w:sz w:val="24"/>
          <w:szCs w:val="24"/>
          <w:u w:color="000000"/>
        </w:rPr>
        <w:t>8.</w:t>
      </w:r>
      <w:r w:rsidRPr="00DD5B03">
        <w:rPr>
          <w:rFonts w:ascii="Times New Roman" w:eastAsia="Arial Unicode MS" w:hAnsi="Times New Roman"/>
          <w:sz w:val="24"/>
          <w:szCs w:val="24"/>
          <w:u w:color="000000"/>
        </w:rPr>
        <w:tab/>
        <w:t>Comments in Response to the Federal Register Notice and Efforts to Consult Outside the Agency</w:t>
      </w:r>
    </w:p>
    <w:p w14:paraId="069B925E" w14:textId="77777777" w:rsidR="00FA5768" w:rsidRPr="00DD5B03" w:rsidRDefault="00FA5768" w:rsidP="00FA5768">
      <w:pPr>
        <w:tabs>
          <w:tab w:val="left" w:pos="720"/>
          <w:tab w:val="left" w:pos="1440"/>
        </w:tabs>
        <w:spacing w:after="0" w:line="360" w:lineRule="auto"/>
        <w:ind w:left="720"/>
        <w:outlineLvl w:val="0"/>
        <w:rPr>
          <w:rFonts w:ascii="Times New Roman" w:eastAsia="Arial Unicode MS" w:hAnsi="Times New Roman"/>
          <w:color w:val="000000"/>
          <w:sz w:val="24"/>
          <w:szCs w:val="24"/>
          <w:u w:color="000000"/>
        </w:rPr>
      </w:pPr>
      <w:r w:rsidRPr="00DD5B03">
        <w:rPr>
          <w:rFonts w:ascii="Times New Roman" w:eastAsia="Arial Unicode MS" w:hAnsi="Times New Roman"/>
          <w:color w:val="000000"/>
          <w:sz w:val="24"/>
          <w:szCs w:val="24"/>
          <w:u w:color="000000"/>
        </w:rPr>
        <w:t>9.</w:t>
      </w:r>
      <w:r w:rsidRPr="00DD5B03">
        <w:rPr>
          <w:rFonts w:ascii="Times New Roman" w:eastAsia="Arial Unicode MS" w:hAnsi="Times New Roman"/>
          <w:color w:val="000000"/>
          <w:sz w:val="24"/>
          <w:szCs w:val="24"/>
          <w:u w:color="000000"/>
        </w:rPr>
        <w:tab/>
        <w:t>Explanation of Any Payment or Gift to Respondents</w:t>
      </w:r>
    </w:p>
    <w:p w14:paraId="6723AF9A" w14:textId="77777777" w:rsidR="000D1D26" w:rsidRPr="000D1D26" w:rsidRDefault="000D1D26" w:rsidP="000D1D26">
      <w:pPr>
        <w:spacing w:after="0"/>
        <w:ind w:left="1440" w:hanging="720"/>
        <w:rPr>
          <w:rFonts w:ascii="Times New Roman" w:hAnsi="Times New Roman"/>
          <w:sz w:val="24"/>
          <w:szCs w:val="24"/>
        </w:rPr>
      </w:pPr>
      <w:r>
        <w:rPr>
          <w:rFonts w:ascii="Times New Roman" w:eastAsia="Arial Unicode MS" w:hAnsi="Times New Roman"/>
          <w:color w:val="000000"/>
          <w:sz w:val="24"/>
          <w:szCs w:val="24"/>
          <w:u w:color="000000"/>
        </w:rPr>
        <w:t>10.</w:t>
      </w:r>
      <w:r>
        <w:rPr>
          <w:rFonts w:ascii="Times New Roman" w:eastAsia="Arial Unicode MS" w:hAnsi="Times New Roman"/>
          <w:color w:val="000000"/>
          <w:sz w:val="24"/>
          <w:szCs w:val="24"/>
          <w:u w:color="000000"/>
        </w:rPr>
        <w:tab/>
      </w:r>
      <w:r w:rsidRPr="000D1D26">
        <w:rPr>
          <w:rFonts w:ascii="Times New Roman" w:hAnsi="Times New Roman"/>
          <w:sz w:val="24"/>
          <w:szCs w:val="24"/>
        </w:rPr>
        <w:t xml:space="preserve">Protection of the Privacy and Confidentiality of Information Provided to Respondents </w:t>
      </w:r>
    </w:p>
    <w:p w14:paraId="68B37B21" w14:textId="2BC3BD14" w:rsidR="00FA5768" w:rsidRPr="00DD5B03" w:rsidRDefault="00FA5768" w:rsidP="00FA5768">
      <w:pPr>
        <w:tabs>
          <w:tab w:val="left" w:pos="720"/>
          <w:tab w:val="left" w:pos="1440"/>
        </w:tabs>
        <w:spacing w:after="0" w:line="360" w:lineRule="auto"/>
        <w:ind w:left="720"/>
        <w:outlineLvl w:val="0"/>
        <w:rPr>
          <w:rFonts w:ascii="Times New Roman" w:eastAsia="Arial Unicode MS" w:hAnsi="Times New Roman"/>
          <w:color w:val="000000"/>
          <w:sz w:val="24"/>
          <w:szCs w:val="24"/>
          <w:u w:color="000000"/>
        </w:rPr>
      </w:pPr>
      <w:r w:rsidRPr="00DD5B03">
        <w:rPr>
          <w:rFonts w:ascii="Times New Roman" w:eastAsia="Arial Unicode MS" w:hAnsi="Times New Roman"/>
          <w:color w:val="000000"/>
          <w:sz w:val="24"/>
          <w:szCs w:val="24"/>
          <w:u w:color="000000"/>
        </w:rPr>
        <w:t>11.</w:t>
      </w:r>
      <w:r w:rsidRPr="00DD5B03">
        <w:rPr>
          <w:rFonts w:ascii="Times New Roman" w:eastAsia="Arial Unicode MS" w:hAnsi="Times New Roman"/>
          <w:color w:val="000000"/>
          <w:sz w:val="24"/>
          <w:szCs w:val="24"/>
          <w:u w:color="000000"/>
        </w:rPr>
        <w:tab/>
      </w:r>
      <w:r w:rsidR="000D1D26" w:rsidRPr="000D1D26">
        <w:rPr>
          <w:rFonts w:ascii="Times New Roman" w:hAnsi="Times New Roman"/>
          <w:sz w:val="24"/>
          <w:szCs w:val="24"/>
        </w:rPr>
        <w:t>Institutional Review Board (IRB) and Justification for Sensitive Questions</w:t>
      </w:r>
    </w:p>
    <w:p w14:paraId="4887877D" w14:textId="77777777" w:rsidR="00FA5768" w:rsidRPr="00DD5B03" w:rsidRDefault="00FA5768" w:rsidP="00FA5768">
      <w:pPr>
        <w:tabs>
          <w:tab w:val="left" w:pos="720"/>
          <w:tab w:val="left" w:pos="1440"/>
        </w:tabs>
        <w:spacing w:after="0" w:line="360" w:lineRule="auto"/>
        <w:ind w:left="720"/>
        <w:outlineLvl w:val="0"/>
        <w:rPr>
          <w:rFonts w:ascii="Times New Roman" w:eastAsia="Arial Unicode MS" w:hAnsi="Times New Roman"/>
          <w:color w:val="000000"/>
          <w:sz w:val="24"/>
          <w:szCs w:val="24"/>
          <w:u w:color="000000"/>
        </w:rPr>
      </w:pPr>
      <w:r w:rsidRPr="00DD5B03">
        <w:rPr>
          <w:rFonts w:ascii="Times New Roman" w:eastAsia="Arial Unicode MS" w:hAnsi="Times New Roman"/>
          <w:color w:val="000000"/>
          <w:sz w:val="24"/>
          <w:szCs w:val="24"/>
          <w:u w:color="000000"/>
        </w:rPr>
        <w:t>12.</w:t>
      </w:r>
      <w:r w:rsidRPr="00DD5B03">
        <w:rPr>
          <w:rFonts w:ascii="Times New Roman" w:eastAsia="Arial Unicode MS" w:hAnsi="Times New Roman"/>
          <w:color w:val="000000"/>
          <w:sz w:val="24"/>
          <w:szCs w:val="24"/>
          <w:u w:color="000000"/>
        </w:rPr>
        <w:tab/>
        <w:t>Estimates of Annualized Burden Hours and Costs</w:t>
      </w:r>
    </w:p>
    <w:p w14:paraId="1265B2D6" w14:textId="77777777" w:rsidR="00FA5768" w:rsidRPr="00DD5B03" w:rsidRDefault="00FA5768" w:rsidP="00FA5768">
      <w:pPr>
        <w:tabs>
          <w:tab w:val="left" w:pos="720"/>
          <w:tab w:val="left" w:pos="1440"/>
        </w:tabs>
        <w:spacing w:after="0" w:line="360" w:lineRule="auto"/>
        <w:ind w:left="720"/>
        <w:rPr>
          <w:rFonts w:ascii="Times New Roman" w:eastAsia="Arial Unicode MS" w:hAnsi="Times New Roman"/>
          <w:sz w:val="24"/>
          <w:szCs w:val="24"/>
          <w:u w:color="000000"/>
        </w:rPr>
      </w:pPr>
      <w:r w:rsidRPr="00DD5B03">
        <w:rPr>
          <w:rFonts w:ascii="Times New Roman" w:eastAsia="Arial Unicode MS" w:hAnsi="Times New Roman"/>
          <w:sz w:val="24"/>
          <w:szCs w:val="24"/>
          <w:u w:color="000000"/>
        </w:rPr>
        <w:t xml:space="preserve">13. </w:t>
      </w:r>
      <w:r w:rsidRPr="00DD5B03">
        <w:rPr>
          <w:rFonts w:ascii="Times New Roman" w:eastAsia="Arial Unicode MS" w:hAnsi="Times New Roman"/>
          <w:sz w:val="24"/>
          <w:szCs w:val="24"/>
          <w:u w:color="000000"/>
        </w:rPr>
        <w:tab/>
        <w:t>Estimates of Other Total Annual Cost Burden to Respondents or Record Keepers</w:t>
      </w:r>
    </w:p>
    <w:p w14:paraId="628A68D9" w14:textId="77777777" w:rsidR="00FA5768" w:rsidRPr="00DD5B03" w:rsidRDefault="00FA5768" w:rsidP="00FA5768">
      <w:pPr>
        <w:tabs>
          <w:tab w:val="left" w:pos="720"/>
          <w:tab w:val="left" w:pos="1440"/>
        </w:tabs>
        <w:spacing w:after="0" w:line="360" w:lineRule="auto"/>
        <w:ind w:left="720"/>
        <w:rPr>
          <w:rFonts w:ascii="Times New Roman" w:eastAsia="Arial Unicode MS" w:hAnsi="Times New Roman"/>
          <w:sz w:val="24"/>
          <w:szCs w:val="24"/>
          <w:u w:color="000000"/>
        </w:rPr>
      </w:pPr>
      <w:r w:rsidRPr="00DD5B03">
        <w:rPr>
          <w:rFonts w:ascii="Times New Roman" w:eastAsia="Arial Unicode MS" w:hAnsi="Times New Roman"/>
          <w:sz w:val="24"/>
          <w:szCs w:val="24"/>
          <w:u w:color="000000"/>
        </w:rPr>
        <w:t xml:space="preserve">14. </w:t>
      </w:r>
      <w:r w:rsidRPr="00DD5B03">
        <w:rPr>
          <w:rFonts w:ascii="Times New Roman" w:eastAsia="Arial Unicode MS" w:hAnsi="Times New Roman"/>
          <w:sz w:val="24"/>
          <w:szCs w:val="24"/>
          <w:u w:color="000000"/>
        </w:rPr>
        <w:tab/>
        <w:t>Annualized Cost to the</w:t>
      </w:r>
      <w:r>
        <w:rPr>
          <w:rFonts w:ascii="Times New Roman" w:eastAsia="Arial Unicode MS" w:hAnsi="Times New Roman"/>
          <w:sz w:val="24"/>
          <w:szCs w:val="24"/>
          <w:u w:color="000000"/>
        </w:rPr>
        <w:t xml:space="preserve"> Federal</w:t>
      </w:r>
      <w:r w:rsidRPr="00DD5B03">
        <w:rPr>
          <w:rFonts w:ascii="Times New Roman" w:eastAsia="Arial Unicode MS" w:hAnsi="Times New Roman"/>
          <w:sz w:val="24"/>
          <w:szCs w:val="24"/>
          <w:u w:color="000000"/>
        </w:rPr>
        <w:t xml:space="preserve"> Government</w:t>
      </w:r>
    </w:p>
    <w:p w14:paraId="72E53401" w14:textId="77777777" w:rsidR="00FA5768" w:rsidRPr="00DD5B03" w:rsidRDefault="00FA5768" w:rsidP="00FA5768">
      <w:pPr>
        <w:tabs>
          <w:tab w:val="left" w:pos="720"/>
          <w:tab w:val="left" w:pos="1440"/>
        </w:tabs>
        <w:spacing w:after="0" w:line="360" w:lineRule="auto"/>
        <w:ind w:left="720"/>
        <w:rPr>
          <w:rFonts w:ascii="Times New Roman" w:eastAsia="Arial Unicode MS" w:hAnsi="Times New Roman"/>
          <w:sz w:val="24"/>
          <w:szCs w:val="24"/>
          <w:u w:color="000000"/>
        </w:rPr>
      </w:pPr>
      <w:r w:rsidRPr="00DD5B03">
        <w:rPr>
          <w:rFonts w:ascii="Times New Roman" w:eastAsia="Arial Unicode MS" w:hAnsi="Times New Roman"/>
          <w:sz w:val="24"/>
          <w:szCs w:val="24"/>
          <w:u w:color="000000"/>
        </w:rPr>
        <w:t>15.</w:t>
      </w:r>
      <w:r w:rsidRPr="00DD5B03">
        <w:rPr>
          <w:rFonts w:ascii="Times New Roman" w:eastAsia="Arial Unicode MS" w:hAnsi="Times New Roman"/>
          <w:sz w:val="24"/>
          <w:szCs w:val="24"/>
          <w:u w:color="000000"/>
        </w:rPr>
        <w:tab/>
        <w:t>Explanation for Program Changes or Adjustments</w:t>
      </w:r>
    </w:p>
    <w:p w14:paraId="5E090F22" w14:textId="77777777" w:rsidR="00FA5768" w:rsidRPr="00DD5B03" w:rsidRDefault="00FA5768" w:rsidP="00FA5768">
      <w:pPr>
        <w:tabs>
          <w:tab w:val="left" w:pos="720"/>
          <w:tab w:val="left" w:pos="1440"/>
        </w:tabs>
        <w:spacing w:after="0" w:line="360" w:lineRule="auto"/>
        <w:ind w:left="720"/>
        <w:rPr>
          <w:rFonts w:ascii="Times New Roman" w:eastAsia="Arial Unicode MS" w:hAnsi="Times New Roman"/>
          <w:sz w:val="24"/>
          <w:szCs w:val="24"/>
          <w:u w:color="000000"/>
        </w:rPr>
      </w:pPr>
      <w:r w:rsidRPr="00DD5B03">
        <w:rPr>
          <w:rFonts w:ascii="Times New Roman" w:eastAsia="Arial Unicode MS" w:hAnsi="Times New Roman"/>
          <w:sz w:val="24"/>
          <w:szCs w:val="24"/>
          <w:u w:color="000000"/>
        </w:rPr>
        <w:t>16.</w:t>
      </w:r>
      <w:r w:rsidRPr="00DD5B03">
        <w:rPr>
          <w:rFonts w:ascii="Times New Roman" w:eastAsia="Arial Unicode MS" w:hAnsi="Times New Roman"/>
          <w:sz w:val="24"/>
          <w:szCs w:val="24"/>
          <w:u w:color="000000"/>
        </w:rPr>
        <w:tab/>
        <w:t>Plans for Tabulation and Publication and Project Time Schedule</w:t>
      </w:r>
    </w:p>
    <w:p w14:paraId="1C968676" w14:textId="77777777" w:rsidR="00FA5768" w:rsidRPr="00DD5B03" w:rsidRDefault="00FA5768" w:rsidP="00FA5768">
      <w:pPr>
        <w:tabs>
          <w:tab w:val="left" w:pos="720"/>
          <w:tab w:val="left" w:pos="1440"/>
        </w:tabs>
        <w:spacing w:after="0" w:line="360" w:lineRule="auto"/>
        <w:ind w:left="720"/>
        <w:rPr>
          <w:rFonts w:ascii="Times New Roman" w:eastAsia="Arial Unicode MS" w:hAnsi="Times New Roman"/>
          <w:sz w:val="24"/>
          <w:szCs w:val="24"/>
          <w:u w:color="000000"/>
        </w:rPr>
      </w:pPr>
      <w:r w:rsidRPr="00DD5B03">
        <w:rPr>
          <w:rFonts w:ascii="Times New Roman" w:eastAsia="Arial Unicode MS" w:hAnsi="Times New Roman"/>
          <w:sz w:val="24"/>
          <w:szCs w:val="24"/>
          <w:u w:color="000000"/>
        </w:rPr>
        <w:t>17.</w:t>
      </w:r>
      <w:r w:rsidRPr="00DD5B03">
        <w:rPr>
          <w:rFonts w:ascii="Times New Roman" w:eastAsia="Arial Unicode MS" w:hAnsi="Times New Roman"/>
          <w:sz w:val="24"/>
          <w:szCs w:val="24"/>
          <w:u w:color="000000"/>
        </w:rPr>
        <w:tab/>
        <w:t>Reason(s) Display of OMB Expiration Date is Inappropriate</w:t>
      </w:r>
    </w:p>
    <w:p w14:paraId="55B1210D" w14:textId="77777777" w:rsidR="00FA5768" w:rsidRPr="00DD5B03" w:rsidRDefault="00FA5768" w:rsidP="00FA5768">
      <w:pPr>
        <w:tabs>
          <w:tab w:val="left" w:pos="720"/>
          <w:tab w:val="left" w:pos="1440"/>
        </w:tabs>
        <w:spacing w:after="0" w:line="360" w:lineRule="auto"/>
        <w:ind w:left="720"/>
        <w:rPr>
          <w:rFonts w:ascii="Times New Roman" w:eastAsia="Arial Unicode MS" w:hAnsi="Times New Roman"/>
          <w:sz w:val="24"/>
          <w:szCs w:val="24"/>
          <w:u w:color="000000"/>
        </w:rPr>
      </w:pPr>
      <w:r w:rsidRPr="00DD5B03">
        <w:rPr>
          <w:rFonts w:ascii="Times New Roman" w:eastAsia="Arial Unicode MS" w:hAnsi="Times New Roman"/>
          <w:sz w:val="24"/>
          <w:szCs w:val="24"/>
          <w:u w:color="000000"/>
        </w:rPr>
        <w:t>18.</w:t>
      </w:r>
      <w:r w:rsidRPr="00DD5B03">
        <w:rPr>
          <w:rFonts w:ascii="Times New Roman" w:eastAsia="Arial Unicode MS" w:hAnsi="Times New Roman"/>
          <w:sz w:val="24"/>
          <w:szCs w:val="24"/>
          <w:u w:color="000000"/>
        </w:rPr>
        <w:tab/>
        <w:t>Exceptions to Certification for Paperwork Reduction Act Submissions</w:t>
      </w:r>
    </w:p>
    <w:p w14:paraId="074DD4CE" w14:textId="77777777" w:rsidR="00FA5768" w:rsidRDefault="00FA5768" w:rsidP="00FA5768">
      <w:pPr>
        <w:rPr>
          <w:rFonts w:asciiTheme="majorHAnsi" w:hAnsiTheme="majorHAnsi"/>
          <w:b/>
          <w:sz w:val="28"/>
          <w:szCs w:val="28"/>
        </w:rPr>
      </w:pPr>
      <w:r>
        <w:rPr>
          <w:rFonts w:asciiTheme="majorHAnsi" w:hAnsiTheme="majorHAnsi"/>
          <w:b/>
          <w:sz w:val="28"/>
          <w:szCs w:val="28"/>
        </w:rPr>
        <w:br w:type="page"/>
      </w:r>
    </w:p>
    <w:p w14:paraId="4FE99796" w14:textId="77777777" w:rsidR="00FA5768" w:rsidRPr="00BE464E" w:rsidRDefault="00FA5768" w:rsidP="00FA5768">
      <w:pPr>
        <w:tabs>
          <w:tab w:val="left" w:pos="720"/>
          <w:tab w:val="left" w:pos="1440"/>
          <w:tab w:val="left" w:pos="2160"/>
          <w:tab w:val="left" w:pos="2880"/>
        </w:tabs>
        <w:spacing w:after="0" w:line="360" w:lineRule="auto"/>
        <w:outlineLvl w:val="0"/>
        <w:rPr>
          <w:rFonts w:ascii="Times New Roman" w:eastAsia="Arial Unicode MS" w:hAnsi="Times New Roman"/>
          <w:b/>
          <w:color w:val="000000"/>
          <w:sz w:val="24"/>
          <w:szCs w:val="24"/>
          <w:u w:color="000000"/>
        </w:rPr>
      </w:pPr>
      <w:r w:rsidRPr="00BE464E">
        <w:rPr>
          <w:rFonts w:ascii="Times New Roman" w:eastAsia="Arial Unicode MS" w:hAnsi="Times New Roman"/>
          <w:b/>
          <w:color w:val="000000"/>
          <w:sz w:val="24"/>
          <w:szCs w:val="24"/>
          <w:u w:color="000000"/>
        </w:rPr>
        <w:lastRenderedPageBreak/>
        <w:t>Attachments</w:t>
      </w:r>
    </w:p>
    <w:p w14:paraId="4F692A89" w14:textId="77777777" w:rsidR="00FA5768" w:rsidRPr="00E35F45" w:rsidRDefault="00FA5768" w:rsidP="00955565">
      <w:pPr>
        <w:pStyle w:val="ListParagraph"/>
        <w:numPr>
          <w:ilvl w:val="0"/>
          <w:numId w:val="7"/>
        </w:numPr>
        <w:tabs>
          <w:tab w:val="left" w:pos="0"/>
          <w:tab w:val="left" w:pos="720"/>
          <w:tab w:val="left" w:pos="1440"/>
        </w:tabs>
        <w:spacing w:after="0" w:line="360" w:lineRule="auto"/>
        <w:rPr>
          <w:rFonts w:ascii="Times New Roman" w:eastAsia="Arial Unicode MS" w:hAnsi="Times New Roman"/>
          <w:sz w:val="24"/>
          <w:szCs w:val="24"/>
          <w:u w:color="000000"/>
        </w:rPr>
      </w:pPr>
      <w:r w:rsidRPr="00E35F45">
        <w:rPr>
          <w:rFonts w:ascii="Times New Roman" w:eastAsia="Arial Unicode MS" w:hAnsi="Times New Roman"/>
          <w:sz w:val="24"/>
          <w:szCs w:val="24"/>
          <w:u w:color="000000"/>
        </w:rPr>
        <w:t xml:space="preserve">Authorizing Legislation </w:t>
      </w:r>
    </w:p>
    <w:p w14:paraId="1091A9D5" w14:textId="77777777" w:rsidR="00FA5768" w:rsidRPr="00E35F45" w:rsidRDefault="00FA5768" w:rsidP="00955565">
      <w:pPr>
        <w:pStyle w:val="ListParagraph"/>
        <w:numPr>
          <w:ilvl w:val="0"/>
          <w:numId w:val="7"/>
        </w:numPr>
        <w:tabs>
          <w:tab w:val="left" w:pos="0"/>
          <w:tab w:val="left" w:pos="720"/>
          <w:tab w:val="left" w:pos="1440"/>
        </w:tabs>
        <w:spacing w:after="0" w:line="360" w:lineRule="auto"/>
        <w:rPr>
          <w:rFonts w:ascii="Times New Roman" w:eastAsia="Arial Unicode MS" w:hAnsi="Times New Roman"/>
          <w:sz w:val="24"/>
          <w:szCs w:val="24"/>
          <w:u w:color="000000"/>
        </w:rPr>
      </w:pPr>
      <w:r w:rsidRPr="00E35F45">
        <w:rPr>
          <w:rFonts w:ascii="Times New Roman" w:eastAsia="Arial Unicode MS" w:hAnsi="Times New Roman"/>
          <w:sz w:val="24"/>
          <w:szCs w:val="24"/>
          <w:u w:color="000000"/>
        </w:rPr>
        <w:t>60-Day Federal Register Notice</w:t>
      </w:r>
    </w:p>
    <w:p w14:paraId="550D62F6" w14:textId="5A08C794" w:rsidR="00E35F45" w:rsidRPr="00E35F45" w:rsidRDefault="00E35F45" w:rsidP="002D729A">
      <w:pPr>
        <w:pStyle w:val="ListParagraph"/>
        <w:tabs>
          <w:tab w:val="left" w:pos="0"/>
          <w:tab w:val="left" w:pos="720"/>
          <w:tab w:val="left" w:pos="1080"/>
        </w:tabs>
        <w:spacing w:after="0" w:line="360" w:lineRule="auto"/>
        <w:rPr>
          <w:rFonts w:ascii="Times New Roman" w:eastAsia="Arial Unicode MS" w:hAnsi="Times New Roman"/>
          <w:sz w:val="24"/>
          <w:szCs w:val="24"/>
          <w:u w:color="000000"/>
        </w:rPr>
      </w:pPr>
      <w:r>
        <w:rPr>
          <w:rFonts w:ascii="Times New Roman" w:eastAsia="Arial Unicode MS" w:hAnsi="Times New Roman"/>
          <w:sz w:val="24"/>
          <w:szCs w:val="24"/>
          <w:u w:color="000000"/>
        </w:rPr>
        <w:tab/>
      </w:r>
      <w:r w:rsidRPr="002D729A">
        <w:rPr>
          <w:rFonts w:ascii="Times New Roman" w:eastAsia="Arial Unicode MS" w:hAnsi="Times New Roman"/>
          <w:sz w:val="24"/>
          <w:szCs w:val="24"/>
          <w:u w:color="000000"/>
        </w:rPr>
        <w:t>B1. Public Comments and Agency Responses</w:t>
      </w:r>
    </w:p>
    <w:p w14:paraId="63B7446A" w14:textId="25B48B1B" w:rsidR="00E35F45" w:rsidRPr="001F0FEF" w:rsidRDefault="00E35F45" w:rsidP="00E35F45">
      <w:pPr>
        <w:pStyle w:val="ListParagraph"/>
        <w:numPr>
          <w:ilvl w:val="0"/>
          <w:numId w:val="7"/>
        </w:numPr>
        <w:tabs>
          <w:tab w:val="left" w:pos="0"/>
          <w:tab w:val="left" w:pos="720"/>
          <w:tab w:val="left" w:pos="1440"/>
        </w:tabs>
        <w:spacing w:after="0" w:line="360" w:lineRule="auto"/>
        <w:rPr>
          <w:rFonts w:ascii="Times New Roman" w:eastAsia="Arial Unicode MS" w:hAnsi="Times New Roman"/>
          <w:sz w:val="24"/>
          <w:szCs w:val="24"/>
          <w:u w:color="000000"/>
        </w:rPr>
      </w:pPr>
      <w:r w:rsidRPr="001F0FEF">
        <w:rPr>
          <w:rFonts w:ascii="Times New Roman" w:eastAsia="Arial Unicode MS" w:hAnsi="Times New Roman"/>
          <w:sz w:val="24"/>
          <w:szCs w:val="24"/>
          <w:u w:color="000000"/>
        </w:rPr>
        <w:t>Ins</w:t>
      </w:r>
      <w:r w:rsidR="008E7FC7" w:rsidRPr="001F0FEF">
        <w:rPr>
          <w:rFonts w:ascii="Times New Roman" w:eastAsia="Arial Unicode MS" w:hAnsi="Times New Roman"/>
          <w:sz w:val="24"/>
          <w:szCs w:val="24"/>
          <w:u w:color="000000"/>
        </w:rPr>
        <w:t>tructions for using the Generic</w:t>
      </w:r>
      <w:r w:rsidRPr="001F0FEF">
        <w:rPr>
          <w:rFonts w:ascii="Times New Roman" w:eastAsia="Arial Unicode MS" w:hAnsi="Times New Roman"/>
          <w:sz w:val="24"/>
          <w:szCs w:val="24"/>
          <w:u w:color="000000"/>
        </w:rPr>
        <w:t xml:space="preserve"> ICR</w:t>
      </w:r>
    </w:p>
    <w:p w14:paraId="6266CEA2" w14:textId="77777777" w:rsidR="001F0FEF" w:rsidRDefault="001F0FEF" w:rsidP="001F0275">
      <w:pPr>
        <w:pStyle w:val="ListParagraph"/>
        <w:numPr>
          <w:ilvl w:val="0"/>
          <w:numId w:val="7"/>
        </w:numPr>
        <w:tabs>
          <w:tab w:val="left" w:pos="0"/>
          <w:tab w:val="left" w:pos="720"/>
          <w:tab w:val="left" w:pos="1440"/>
        </w:tabs>
        <w:spacing w:after="0" w:line="360" w:lineRule="auto"/>
        <w:rPr>
          <w:rFonts w:ascii="Times New Roman" w:eastAsia="Arial Unicode MS" w:hAnsi="Times New Roman"/>
          <w:sz w:val="24"/>
          <w:szCs w:val="24"/>
          <w:u w:color="000000"/>
        </w:rPr>
      </w:pPr>
      <w:r w:rsidRPr="00E83815">
        <w:rPr>
          <w:rFonts w:ascii="Times New Roman" w:hAnsi="Times New Roman"/>
          <w:sz w:val="24"/>
          <w:szCs w:val="24"/>
        </w:rPr>
        <w:t>Request for Approval under Generic ICR</w:t>
      </w:r>
      <w:r w:rsidRPr="001F0FEF" w:rsidDel="001F0FEF">
        <w:rPr>
          <w:rFonts w:ascii="Times New Roman" w:eastAsia="Arial Unicode MS" w:hAnsi="Times New Roman"/>
          <w:sz w:val="24"/>
          <w:szCs w:val="24"/>
          <w:u w:color="000000"/>
        </w:rPr>
        <w:t xml:space="preserve"> </w:t>
      </w:r>
    </w:p>
    <w:p w14:paraId="3BA2CCB0" w14:textId="42008A6B" w:rsidR="00A67568" w:rsidRDefault="00A67568" w:rsidP="001F0275">
      <w:pPr>
        <w:pStyle w:val="ListParagraph"/>
        <w:numPr>
          <w:ilvl w:val="0"/>
          <w:numId w:val="7"/>
        </w:numPr>
        <w:tabs>
          <w:tab w:val="left" w:pos="0"/>
          <w:tab w:val="left" w:pos="720"/>
          <w:tab w:val="left" w:pos="1440"/>
        </w:tabs>
        <w:spacing w:after="0" w:line="360" w:lineRule="auto"/>
        <w:rPr>
          <w:rFonts w:ascii="Times New Roman" w:eastAsia="Arial Unicode MS" w:hAnsi="Times New Roman"/>
          <w:sz w:val="24"/>
          <w:szCs w:val="24"/>
          <w:u w:color="000000"/>
        </w:rPr>
      </w:pPr>
      <w:r>
        <w:rPr>
          <w:rFonts w:ascii="Times New Roman" w:eastAsia="Arial Unicode MS" w:hAnsi="Times New Roman"/>
          <w:sz w:val="24"/>
          <w:szCs w:val="24"/>
          <w:u w:color="000000"/>
        </w:rPr>
        <w:t xml:space="preserve">Privacy </w:t>
      </w:r>
      <w:r w:rsidR="0028015E">
        <w:rPr>
          <w:rFonts w:ascii="Times New Roman" w:eastAsia="Arial Unicode MS" w:hAnsi="Times New Roman"/>
          <w:sz w:val="24"/>
          <w:szCs w:val="24"/>
          <w:u w:color="000000"/>
        </w:rPr>
        <w:t>Impact</w:t>
      </w:r>
      <w:r>
        <w:rPr>
          <w:rFonts w:ascii="Times New Roman" w:eastAsia="Arial Unicode MS" w:hAnsi="Times New Roman"/>
          <w:sz w:val="24"/>
          <w:szCs w:val="24"/>
          <w:u w:color="000000"/>
        </w:rPr>
        <w:t xml:space="preserve"> Assessment</w:t>
      </w:r>
    </w:p>
    <w:p w14:paraId="1C52D5A0" w14:textId="77777777" w:rsidR="001F0275" w:rsidRPr="001F0FEF" w:rsidRDefault="001F0275" w:rsidP="001F0275">
      <w:pPr>
        <w:pStyle w:val="ListParagraph"/>
        <w:numPr>
          <w:ilvl w:val="0"/>
          <w:numId w:val="7"/>
        </w:numPr>
        <w:tabs>
          <w:tab w:val="left" w:pos="0"/>
          <w:tab w:val="left" w:pos="720"/>
          <w:tab w:val="left" w:pos="1440"/>
        </w:tabs>
        <w:spacing w:after="0" w:line="360" w:lineRule="auto"/>
        <w:rPr>
          <w:rFonts w:ascii="Times New Roman" w:eastAsia="Arial Unicode MS" w:hAnsi="Times New Roman"/>
          <w:sz w:val="24"/>
          <w:szCs w:val="24"/>
          <w:u w:color="000000"/>
        </w:rPr>
      </w:pPr>
      <w:r w:rsidRPr="001F0FEF">
        <w:rPr>
          <w:rFonts w:ascii="Times New Roman" w:eastAsia="Arial Unicode MS" w:hAnsi="Times New Roman"/>
          <w:sz w:val="24"/>
          <w:szCs w:val="24"/>
          <w:u w:color="000000"/>
        </w:rPr>
        <w:t>Example Recruiting Letter/Flyer</w:t>
      </w:r>
    </w:p>
    <w:p w14:paraId="5DF4ADFB" w14:textId="77777777" w:rsidR="009B1FB9" w:rsidRDefault="009B1FB9" w:rsidP="009B1FB9">
      <w:pPr>
        <w:pStyle w:val="ListParagraph"/>
        <w:numPr>
          <w:ilvl w:val="0"/>
          <w:numId w:val="7"/>
        </w:numPr>
        <w:tabs>
          <w:tab w:val="left" w:pos="0"/>
          <w:tab w:val="left" w:pos="720"/>
          <w:tab w:val="left" w:pos="1440"/>
        </w:tabs>
        <w:spacing w:after="0" w:line="360" w:lineRule="auto"/>
        <w:rPr>
          <w:rFonts w:ascii="Times New Roman" w:eastAsia="Arial Unicode MS" w:hAnsi="Times New Roman"/>
          <w:sz w:val="24"/>
          <w:szCs w:val="24"/>
          <w:u w:color="000000"/>
        </w:rPr>
      </w:pPr>
      <w:r w:rsidRPr="001F0FEF">
        <w:rPr>
          <w:rFonts w:ascii="Times New Roman" w:eastAsia="Arial Unicode MS" w:hAnsi="Times New Roman"/>
          <w:sz w:val="24"/>
          <w:szCs w:val="24"/>
          <w:u w:color="000000"/>
        </w:rPr>
        <w:t>Example Screening</w:t>
      </w:r>
      <w:r>
        <w:rPr>
          <w:rFonts w:ascii="Times New Roman" w:eastAsia="Arial Unicode MS" w:hAnsi="Times New Roman"/>
          <w:sz w:val="24"/>
          <w:szCs w:val="24"/>
          <w:u w:color="000000"/>
        </w:rPr>
        <w:t xml:space="preserve"> Form</w:t>
      </w:r>
    </w:p>
    <w:p w14:paraId="7186ADA9" w14:textId="77777777" w:rsidR="00FA5768" w:rsidRDefault="00A603D2" w:rsidP="00955565">
      <w:pPr>
        <w:pStyle w:val="ListParagraph"/>
        <w:numPr>
          <w:ilvl w:val="0"/>
          <w:numId w:val="7"/>
        </w:numPr>
        <w:tabs>
          <w:tab w:val="left" w:pos="0"/>
          <w:tab w:val="left" w:pos="720"/>
          <w:tab w:val="left" w:pos="1440"/>
        </w:tabs>
        <w:spacing w:after="0" w:line="360" w:lineRule="auto"/>
        <w:rPr>
          <w:rFonts w:ascii="Times New Roman" w:eastAsia="Arial Unicode MS" w:hAnsi="Times New Roman"/>
          <w:sz w:val="24"/>
          <w:szCs w:val="24"/>
          <w:u w:color="000000"/>
        </w:rPr>
      </w:pPr>
      <w:r>
        <w:rPr>
          <w:rFonts w:ascii="Times New Roman" w:eastAsia="Arial Unicode MS" w:hAnsi="Times New Roman"/>
          <w:sz w:val="24"/>
          <w:szCs w:val="24"/>
          <w:u w:color="000000"/>
        </w:rPr>
        <w:t>Example Consent Form</w:t>
      </w:r>
    </w:p>
    <w:p w14:paraId="455C36D3" w14:textId="77777777" w:rsidR="009B1FB9" w:rsidRDefault="009B1FB9" w:rsidP="009B1FB9">
      <w:pPr>
        <w:pStyle w:val="ListParagraph"/>
        <w:numPr>
          <w:ilvl w:val="0"/>
          <w:numId w:val="7"/>
        </w:numPr>
        <w:tabs>
          <w:tab w:val="left" w:pos="0"/>
          <w:tab w:val="left" w:pos="720"/>
          <w:tab w:val="left" w:pos="1440"/>
        </w:tabs>
        <w:spacing w:after="0" w:line="360" w:lineRule="auto"/>
        <w:rPr>
          <w:rFonts w:ascii="Times New Roman" w:eastAsia="Arial Unicode MS" w:hAnsi="Times New Roman"/>
          <w:sz w:val="24"/>
          <w:szCs w:val="24"/>
          <w:u w:color="000000"/>
        </w:rPr>
      </w:pPr>
      <w:r w:rsidRPr="00A603D2">
        <w:rPr>
          <w:rFonts w:ascii="Times New Roman" w:eastAsia="Arial Unicode MS" w:hAnsi="Times New Roman"/>
          <w:sz w:val="24"/>
          <w:szCs w:val="24"/>
          <w:u w:color="000000"/>
        </w:rPr>
        <w:t xml:space="preserve">Example </w:t>
      </w:r>
      <w:r>
        <w:rPr>
          <w:rFonts w:ascii="Times New Roman" w:eastAsia="Arial Unicode MS" w:hAnsi="Times New Roman"/>
          <w:sz w:val="24"/>
          <w:szCs w:val="24"/>
          <w:u w:color="000000"/>
        </w:rPr>
        <w:t>Questionnaire</w:t>
      </w:r>
    </w:p>
    <w:p w14:paraId="56EE7470" w14:textId="0D0AC0A5" w:rsidR="002B518A" w:rsidRPr="00A603D2" w:rsidRDefault="002B518A" w:rsidP="009B1FB9">
      <w:pPr>
        <w:pStyle w:val="ListParagraph"/>
        <w:numPr>
          <w:ilvl w:val="0"/>
          <w:numId w:val="7"/>
        </w:numPr>
        <w:tabs>
          <w:tab w:val="left" w:pos="0"/>
          <w:tab w:val="left" w:pos="720"/>
          <w:tab w:val="left" w:pos="1440"/>
        </w:tabs>
        <w:spacing w:after="0" w:line="360" w:lineRule="auto"/>
        <w:rPr>
          <w:rFonts w:ascii="Times New Roman" w:eastAsia="Arial Unicode MS" w:hAnsi="Times New Roman"/>
          <w:sz w:val="24"/>
          <w:szCs w:val="24"/>
          <w:u w:color="000000"/>
        </w:rPr>
      </w:pPr>
      <w:r>
        <w:rPr>
          <w:rFonts w:ascii="Times New Roman" w:eastAsia="Arial Unicode MS" w:hAnsi="Times New Roman"/>
          <w:sz w:val="24"/>
          <w:szCs w:val="24"/>
          <w:u w:color="000000"/>
        </w:rPr>
        <w:t>Example Urine Specimen and Tap Water Sample Collection</w:t>
      </w:r>
    </w:p>
    <w:p w14:paraId="56C10F4C" w14:textId="77777777" w:rsidR="005D4D4F" w:rsidRDefault="00A57147" w:rsidP="00955565">
      <w:pPr>
        <w:pStyle w:val="ListParagraph"/>
        <w:numPr>
          <w:ilvl w:val="0"/>
          <w:numId w:val="7"/>
        </w:numPr>
        <w:tabs>
          <w:tab w:val="left" w:pos="0"/>
          <w:tab w:val="left" w:pos="720"/>
          <w:tab w:val="left" w:pos="1440"/>
        </w:tabs>
        <w:spacing w:after="0" w:line="360" w:lineRule="auto"/>
        <w:rPr>
          <w:rFonts w:ascii="Times New Roman" w:eastAsia="Arial Unicode MS" w:hAnsi="Times New Roman"/>
          <w:sz w:val="24"/>
          <w:szCs w:val="24"/>
          <w:u w:color="000000"/>
        </w:rPr>
      </w:pPr>
      <w:r>
        <w:rPr>
          <w:rFonts w:ascii="Times New Roman" w:eastAsia="Arial Unicode MS" w:hAnsi="Times New Roman"/>
          <w:sz w:val="24"/>
          <w:szCs w:val="24"/>
          <w:u w:color="000000"/>
        </w:rPr>
        <w:t>Research</w:t>
      </w:r>
      <w:r w:rsidR="005D4D4F">
        <w:rPr>
          <w:rFonts w:ascii="Times New Roman" w:eastAsia="Arial Unicode MS" w:hAnsi="Times New Roman"/>
          <w:sz w:val="24"/>
          <w:szCs w:val="24"/>
          <w:u w:color="000000"/>
        </w:rPr>
        <w:t xml:space="preserve"> </w:t>
      </w:r>
      <w:r>
        <w:rPr>
          <w:rFonts w:ascii="Times New Roman" w:eastAsia="Arial Unicode MS" w:hAnsi="Times New Roman"/>
          <w:sz w:val="24"/>
          <w:szCs w:val="24"/>
          <w:u w:color="000000"/>
        </w:rPr>
        <w:t xml:space="preserve">Determination </w:t>
      </w:r>
      <w:r w:rsidR="005D4D4F">
        <w:rPr>
          <w:rFonts w:ascii="Times New Roman" w:eastAsia="Arial Unicode MS" w:hAnsi="Times New Roman"/>
          <w:sz w:val="24"/>
          <w:szCs w:val="24"/>
          <w:u w:color="000000"/>
        </w:rPr>
        <w:t>Form</w:t>
      </w:r>
    </w:p>
    <w:p w14:paraId="5757234E" w14:textId="77777777" w:rsidR="00E224D4" w:rsidRPr="003F690E" w:rsidRDefault="00E224D4" w:rsidP="003F690E">
      <w:pPr>
        <w:tabs>
          <w:tab w:val="left" w:pos="0"/>
          <w:tab w:val="left" w:pos="720"/>
          <w:tab w:val="left" w:pos="1440"/>
        </w:tabs>
        <w:spacing w:after="0" w:line="360" w:lineRule="auto"/>
        <w:rPr>
          <w:rFonts w:ascii="Times New Roman" w:eastAsia="Arial Unicode MS" w:hAnsi="Times New Roman"/>
          <w:sz w:val="24"/>
          <w:szCs w:val="24"/>
          <w:u w:color="000000"/>
        </w:rPr>
      </w:pPr>
    </w:p>
    <w:p w14:paraId="44F25555" w14:textId="77777777" w:rsidR="00762D0D" w:rsidRPr="00F33E1C" w:rsidRDefault="00762D0D">
      <w:pPr>
        <w:spacing w:after="0" w:line="240" w:lineRule="auto"/>
        <w:rPr>
          <w:rFonts w:ascii="Times New Roman" w:hAnsi="Times New Roman"/>
          <w:sz w:val="24"/>
          <w:szCs w:val="24"/>
        </w:rPr>
      </w:pPr>
    </w:p>
    <w:p w14:paraId="1FC06A3C" w14:textId="77777777" w:rsidR="00762D0D" w:rsidRPr="00F33E1C" w:rsidRDefault="005921FC" w:rsidP="005921FC">
      <w:pPr>
        <w:pStyle w:val="Heading1"/>
        <w:rPr>
          <w:rFonts w:ascii="Times New Roman" w:hAnsi="Times New Roman"/>
          <w:sz w:val="24"/>
          <w:szCs w:val="24"/>
        </w:rPr>
      </w:pPr>
      <w:r w:rsidRPr="00F33E1C">
        <w:rPr>
          <w:rFonts w:ascii="Times New Roman" w:hAnsi="Times New Roman"/>
          <w:sz w:val="24"/>
          <w:szCs w:val="24"/>
        </w:rPr>
        <w:br w:type="page"/>
        <w:t xml:space="preserve">PART A. </w:t>
      </w:r>
      <w:r w:rsidR="00762D0D" w:rsidRPr="00F33E1C">
        <w:rPr>
          <w:rFonts w:ascii="Times New Roman" w:hAnsi="Times New Roman"/>
          <w:sz w:val="24"/>
          <w:szCs w:val="24"/>
        </w:rPr>
        <w:t>JUSTIFICATION</w:t>
      </w:r>
    </w:p>
    <w:p w14:paraId="33B836CC" w14:textId="77777777" w:rsidR="005921FC" w:rsidRPr="00F33E1C" w:rsidRDefault="005921FC" w:rsidP="005921FC">
      <w:pPr>
        <w:spacing w:after="0" w:line="240" w:lineRule="auto"/>
        <w:rPr>
          <w:rFonts w:ascii="Times New Roman" w:hAnsi="Times New Roman"/>
          <w:b/>
          <w:sz w:val="24"/>
          <w:szCs w:val="24"/>
        </w:rPr>
      </w:pPr>
    </w:p>
    <w:p w14:paraId="3D1AF006" w14:textId="61C32AC9" w:rsidR="005921FC" w:rsidRPr="00F33E1C" w:rsidRDefault="002D4F75" w:rsidP="005921FC">
      <w:pPr>
        <w:spacing w:after="0" w:line="240" w:lineRule="auto"/>
        <w:rPr>
          <w:rFonts w:ascii="Times New Roman" w:hAnsi="Times New Roman"/>
          <w:b/>
          <w:sz w:val="24"/>
          <w:szCs w:val="24"/>
        </w:rPr>
      </w:pPr>
      <w:r>
        <w:rPr>
          <w:rFonts w:ascii="Times New Roman" w:hAnsi="Times New Roman"/>
          <w:b/>
          <w:noProof/>
          <w:sz w:val="24"/>
          <w:szCs w:val="24"/>
        </w:rPr>
        <mc:AlternateContent>
          <mc:Choice Requires="wps">
            <w:drawing>
              <wp:inline distT="0" distB="0" distL="0" distR="0" wp14:anchorId="0DADE695" wp14:editId="1A27279B">
                <wp:extent cx="5960788" cy="4203865"/>
                <wp:effectExtent l="0" t="0" r="20955"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88" cy="4203865"/>
                        </a:xfrm>
                        <a:prstGeom prst="rect">
                          <a:avLst/>
                        </a:prstGeom>
                        <a:solidFill>
                          <a:srgbClr val="FFFFFF"/>
                        </a:solidFill>
                        <a:ln w="9525">
                          <a:solidFill>
                            <a:srgbClr val="000000"/>
                          </a:solidFill>
                          <a:miter lim="800000"/>
                          <a:headEnd/>
                          <a:tailEnd/>
                        </a:ln>
                      </wps:spPr>
                      <wps:txbx>
                        <w:txbxContent>
                          <w:p w14:paraId="503E7786" w14:textId="651763B7" w:rsidR="0046612C" w:rsidRPr="00892E69" w:rsidRDefault="0046612C" w:rsidP="00255449">
                            <w:pPr>
                              <w:spacing w:line="240" w:lineRule="auto"/>
                              <w:rPr>
                                <w:rFonts w:ascii="Times New Roman" w:hAnsi="Times New Roman"/>
                                <w:sz w:val="24"/>
                                <w:szCs w:val="24"/>
                              </w:rPr>
                            </w:pPr>
                            <w:r>
                              <w:rPr>
                                <w:rFonts w:ascii="Times New Roman" w:hAnsi="Times New Roman"/>
                                <w:b/>
                                <w:sz w:val="24"/>
                                <w:szCs w:val="24"/>
                                <w:u w:val="single"/>
                              </w:rPr>
                              <w:t>Goal</w:t>
                            </w:r>
                            <w:r w:rsidRPr="00892E69">
                              <w:rPr>
                                <w:rFonts w:ascii="Times New Roman" w:hAnsi="Times New Roman"/>
                                <w:b/>
                                <w:sz w:val="24"/>
                                <w:szCs w:val="24"/>
                                <w:u w:val="single"/>
                              </w:rPr>
                              <w:t>:</w:t>
                            </w:r>
                            <w:r w:rsidRPr="00892E69">
                              <w:rPr>
                                <w:rFonts w:ascii="Times New Roman" w:hAnsi="Times New Roman"/>
                                <w:sz w:val="24"/>
                                <w:szCs w:val="24"/>
                              </w:rPr>
                              <w:t xml:space="preserve">   The goal of this </w:t>
                            </w:r>
                            <w:r>
                              <w:rPr>
                                <w:rFonts w:ascii="Times New Roman" w:hAnsi="Times New Roman"/>
                                <w:sz w:val="24"/>
                                <w:szCs w:val="24"/>
                              </w:rPr>
                              <w:t>g</w:t>
                            </w:r>
                            <w:r w:rsidRPr="00892E69">
                              <w:rPr>
                                <w:rFonts w:ascii="Times New Roman" w:hAnsi="Times New Roman"/>
                                <w:sz w:val="24"/>
                                <w:szCs w:val="24"/>
                              </w:rPr>
                              <w:t xml:space="preserve">eneric </w:t>
                            </w:r>
                            <w:r>
                              <w:rPr>
                                <w:rFonts w:ascii="Times New Roman" w:hAnsi="Times New Roman"/>
                                <w:sz w:val="24"/>
                                <w:szCs w:val="24"/>
                              </w:rPr>
                              <w:t>c</w:t>
                            </w:r>
                            <w:r w:rsidRPr="00892E69">
                              <w:rPr>
                                <w:rFonts w:ascii="Times New Roman" w:hAnsi="Times New Roman"/>
                                <w:sz w:val="24"/>
                                <w:szCs w:val="24"/>
                              </w:rPr>
                              <w:t>learance</w:t>
                            </w:r>
                            <w:r>
                              <w:rPr>
                                <w:rFonts w:ascii="Times New Roman" w:hAnsi="Times New Roman"/>
                                <w:sz w:val="24"/>
                                <w:szCs w:val="24"/>
                              </w:rPr>
                              <w:t xml:space="preserve"> information collection request (Generic ICR)</w:t>
                            </w:r>
                            <w:r w:rsidRPr="00892E69">
                              <w:rPr>
                                <w:rFonts w:ascii="Times New Roman" w:hAnsi="Times New Roman"/>
                                <w:sz w:val="24"/>
                                <w:szCs w:val="24"/>
                              </w:rPr>
                              <w:t xml:space="preserve"> is to expedite investigations to assess </w:t>
                            </w:r>
                            <w:r>
                              <w:rPr>
                                <w:rFonts w:ascii="Times New Roman" w:hAnsi="Times New Roman"/>
                                <w:sz w:val="24"/>
                                <w:szCs w:val="24"/>
                              </w:rPr>
                              <w:t xml:space="preserve">private well water for drinking in response to specific investigation requests.  Each investigation will assess exposure to </w:t>
                            </w:r>
                            <w:r w:rsidRPr="00892E69">
                              <w:rPr>
                                <w:rFonts w:ascii="Times New Roman" w:hAnsi="Times New Roman"/>
                                <w:sz w:val="24"/>
                                <w:szCs w:val="24"/>
                              </w:rPr>
                              <w:t>contaminants in drinking water fro</w:t>
                            </w:r>
                            <w:r>
                              <w:rPr>
                                <w:rFonts w:ascii="Times New Roman" w:hAnsi="Times New Roman"/>
                                <w:sz w:val="24"/>
                                <w:szCs w:val="24"/>
                              </w:rPr>
                              <w:t>m private wells in a</w:t>
                            </w:r>
                            <w:r w:rsidRPr="00892E69">
                              <w:rPr>
                                <w:rFonts w:ascii="Times New Roman" w:hAnsi="Times New Roman"/>
                                <w:sz w:val="24"/>
                                <w:szCs w:val="24"/>
                              </w:rPr>
                              <w:t xml:space="preserve"> geographic area</w:t>
                            </w:r>
                            <w:r>
                              <w:rPr>
                                <w:rFonts w:ascii="Times New Roman" w:hAnsi="Times New Roman"/>
                                <w:sz w:val="24"/>
                                <w:szCs w:val="24"/>
                              </w:rPr>
                              <w:t xml:space="preserve"> specified by the requesting entity. Requesting entities may be any state, territorial, local, or tribal health department in the United States</w:t>
                            </w:r>
                            <w:r w:rsidRPr="00892E69">
                              <w:rPr>
                                <w:rFonts w:ascii="Times New Roman" w:hAnsi="Times New Roman"/>
                                <w:sz w:val="24"/>
                                <w:szCs w:val="24"/>
                              </w:rPr>
                              <w:t>.</w:t>
                            </w:r>
                          </w:p>
                          <w:p w14:paraId="077C3822" w14:textId="77777777" w:rsidR="0046612C" w:rsidRPr="00892E69" w:rsidRDefault="0046612C" w:rsidP="00255449">
                            <w:pPr>
                              <w:spacing w:line="240" w:lineRule="auto"/>
                              <w:rPr>
                                <w:rFonts w:ascii="Times New Roman" w:hAnsi="Times New Roman"/>
                                <w:i/>
                                <w:sz w:val="24"/>
                                <w:szCs w:val="24"/>
                              </w:rPr>
                            </w:pPr>
                            <w:r w:rsidRPr="00892E69">
                              <w:rPr>
                                <w:rFonts w:ascii="Times New Roman" w:hAnsi="Times New Roman"/>
                                <w:b/>
                                <w:sz w:val="24"/>
                                <w:szCs w:val="24"/>
                                <w:u w:val="single"/>
                              </w:rPr>
                              <w:t>Intended use of the resulting data:</w:t>
                            </w:r>
                            <w:r>
                              <w:rPr>
                                <w:rFonts w:ascii="Times New Roman" w:hAnsi="Times New Roman"/>
                                <w:sz w:val="24"/>
                                <w:szCs w:val="24"/>
                              </w:rPr>
                              <w:t xml:space="preserve">  The data will be used to support local public health action to improve the quality of water from private wells.</w:t>
                            </w:r>
                          </w:p>
                          <w:p w14:paraId="43822BC5" w14:textId="1004B009" w:rsidR="0046612C" w:rsidRPr="00F33E1C" w:rsidRDefault="0046612C" w:rsidP="00CC1F2D">
                            <w:pPr>
                              <w:autoSpaceDE w:val="0"/>
                              <w:autoSpaceDN w:val="0"/>
                              <w:adjustRightInd w:val="0"/>
                              <w:spacing w:line="240" w:lineRule="auto"/>
                              <w:rPr>
                                <w:rFonts w:ascii="Times New Roman" w:hAnsi="Times New Roman"/>
                                <w:sz w:val="24"/>
                                <w:szCs w:val="24"/>
                              </w:rPr>
                            </w:pPr>
                            <w:r w:rsidRPr="00892E69">
                              <w:rPr>
                                <w:rFonts w:ascii="Times New Roman" w:hAnsi="Times New Roman"/>
                                <w:b/>
                                <w:sz w:val="24"/>
                                <w:szCs w:val="24"/>
                                <w:u w:val="single"/>
                              </w:rPr>
                              <w:t>Methods to be used to collect</w:t>
                            </w:r>
                            <w:r>
                              <w:rPr>
                                <w:rFonts w:ascii="Times New Roman" w:hAnsi="Times New Roman"/>
                                <w:b/>
                                <w:sz w:val="24"/>
                                <w:szCs w:val="24"/>
                                <w:u w:val="single"/>
                              </w:rPr>
                              <w:t xml:space="preserve"> data</w:t>
                            </w:r>
                            <w:r w:rsidRPr="00892E69">
                              <w:rPr>
                                <w:rFonts w:ascii="Times New Roman" w:hAnsi="Times New Roman"/>
                                <w:b/>
                                <w:sz w:val="24"/>
                                <w:szCs w:val="24"/>
                                <w:u w:val="single"/>
                              </w:rPr>
                              <w:t>:</w:t>
                            </w:r>
                            <w:r w:rsidRPr="00892E69">
                              <w:rPr>
                                <w:rFonts w:ascii="Times New Roman" w:hAnsi="Times New Roman"/>
                                <w:sz w:val="24"/>
                                <w:szCs w:val="24"/>
                              </w:rPr>
                              <w:t xml:space="preserve"> </w:t>
                            </w:r>
                            <w:r w:rsidRPr="00F33E1C">
                              <w:rPr>
                                <w:rFonts w:ascii="Times New Roman" w:hAnsi="Times New Roman"/>
                                <w:sz w:val="24"/>
                                <w:szCs w:val="24"/>
                              </w:rPr>
                              <w:t xml:space="preserve">The methods used to collect data may include but are not limited to face-to-face interviews, telephone interviews, secure on-line </w:t>
                            </w:r>
                            <w:r>
                              <w:rPr>
                                <w:rFonts w:ascii="Times New Roman" w:hAnsi="Times New Roman"/>
                                <w:sz w:val="24"/>
                                <w:szCs w:val="24"/>
                              </w:rPr>
                              <w:t>questionnaire</w:t>
                            </w:r>
                            <w:r w:rsidRPr="00F33E1C">
                              <w:rPr>
                                <w:rFonts w:ascii="Times New Roman" w:hAnsi="Times New Roman"/>
                                <w:sz w:val="24"/>
                                <w:szCs w:val="24"/>
                              </w:rPr>
                              <w:t>s,</w:t>
                            </w:r>
                            <w:r>
                              <w:rPr>
                                <w:rFonts w:ascii="Times New Roman" w:hAnsi="Times New Roman"/>
                                <w:sz w:val="24"/>
                                <w:szCs w:val="24"/>
                              </w:rPr>
                              <w:t xml:space="preserve"> and</w:t>
                            </w:r>
                            <w:r w:rsidRPr="00F33E1C">
                              <w:rPr>
                                <w:rFonts w:ascii="Times New Roman" w:hAnsi="Times New Roman"/>
                                <w:sz w:val="24"/>
                                <w:szCs w:val="24"/>
                              </w:rPr>
                              <w:t xml:space="preserve"> respondent-administered pen-and-paper </w:t>
                            </w:r>
                            <w:r>
                              <w:rPr>
                                <w:rFonts w:ascii="Times New Roman" w:hAnsi="Times New Roman"/>
                                <w:sz w:val="24"/>
                                <w:szCs w:val="24"/>
                              </w:rPr>
                              <w:t>questionnaire</w:t>
                            </w:r>
                            <w:r w:rsidRPr="00F33E1C">
                              <w:rPr>
                                <w:rFonts w:ascii="Times New Roman" w:hAnsi="Times New Roman"/>
                                <w:sz w:val="24"/>
                                <w:szCs w:val="24"/>
                              </w:rPr>
                              <w:t>s that are either mailed or</w:t>
                            </w:r>
                            <w:r>
                              <w:rPr>
                                <w:rFonts w:ascii="Times New Roman" w:hAnsi="Times New Roman"/>
                                <w:sz w:val="24"/>
                                <w:szCs w:val="24"/>
                              </w:rPr>
                              <w:t xml:space="preserve"> delivered in-person</w:t>
                            </w:r>
                            <w:r w:rsidRPr="00F33E1C">
                              <w:rPr>
                                <w:rFonts w:ascii="Times New Roman" w:hAnsi="Times New Roman"/>
                                <w:sz w:val="24"/>
                                <w:szCs w:val="24"/>
                              </w:rPr>
                              <w:t>.</w:t>
                            </w:r>
                            <w:r>
                              <w:rPr>
                                <w:rFonts w:ascii="Times New Roman" w:hAnsi="Times New Roman"/>
                                <w:sz w:val="24"/>
                                <w:szCs w:val="24"/>
                              </w:rPr>
                              <w:t xml:space="preserve"> Additional data include results from analysis of clinical specimens and/or environmental samples.</w:t>
                            </w:r>
                          </w:p>
                          <w:p w14:paraId="73D5FFFA" w14:textId="4D594663" w:rsidR="0046612C" w:rsidRPr="00B24E10" w:rsidRDefault="0046612C" w:rsidP="00255449">
                            <w:pPr>
                              <w:spacing w:line="240" w:lineRule="auto"/>
                              <w:rPr>
                                <w:rFonts w:ascii="Times New Roman" w:hAnsi="Times New Roman"/>
                                <w:sz w:val="24"/>
                                <w:szCs w:val="24"/>
                              </w:rPr>
                            </w:pPr>
                            <w:r w:rsidRPr="00B24E10">
                              <w:rPr>
                                <w:rFonts w:ascii="Times New Roman" w:hAnsi="Times New Roman"/>
                                <w:b/>
                                <w:sz w:val="24"/>
                                <w:szCs w:val="24"/>
                                <w:u w:val="single"/>
                              </w:rPr>
                              <w:t>The subpopulation to be studied:</w:t>
                            </w:r>
                            <w:r w:rsidRPr="00B24E10">
                              <w:rPr>
                                <w:rFonts w:ascii="Times New Roman" w:hAnsi="Times New Roman"/>
                                <w:sz w:val="24"/>
                                <w:szCs w:val="24"/>
                              </w:rPr>
                              <w:t xml:space="preserve">  Adult</w:t>
                            </w:r>
                            <w:r>
                              <w:rPr>
                                <w:rFonts w:ascii="Times New Roman" w:hAnsi="Times New Roman"/>
                                <w:sz w:val="24"/>
                                <w:szCs w:val="24"/>
                              </w:rPr>
                              <w:t>s at least 18 years of age,</w:t>
                            </w:r>
                            <w:r w:rsidRPr="00B24E10">
                              <w:rPr>
                                <w:rFonts w:ascii="Times New Roman" w:hAnsi="Times New Roman"/>
                                <w:sz w:val="24"/>
                                <w:szCs w:val="24"/>
                              </w:rPr>
                              <w:t xml:space="preserve"> who use private wells for drinking water</w:t>
                            </w:r>
                            <w:r>
                              <w:rPr>
                                <w:rFonts w:ascii="Times New Roman" w:hAnsi="Times New Roman"/>
                                <w:sz w:val="24"/>
                                <w:szCs w:val="24"/>
                              </w:rPr>
                              <w:t>,</w:t>
                            </w:r>
                            <w:r w:rsidRPr="002D729A">
                              <w:rPr>
                                <w:rFonts w:ascii="Times New Roman" w:eastAsia="Arial Unicode MS" w:hAnsi="Times New Roman"/>
                                <w:bCs/>
                                <w:sz w:val="24"/>
                                <w:szCs w:val="24"/>
                                <w:u w:color="000000"/>
                              </w:rPr>
                              <w:t xml:space="preserve"> who are willing to receive and return a tap water sampling kit and urine specimen kit </w:t>
                            </w:r>
                            <w:r>
                              <w:rPr>
                                <w:rFonts w:ascii="Times New Roman" w:eastAsia="Arial Unicode MS" w:hAnsi="Times New Roman"/>
                                <w:bCs/>
                                <w:sz w:val="24"/>
                                <w:szCs w:val="24"/>
                                <w:u w:color="000000"/>
                              </w:rPr>
                              <w:t xml:space="preserve">or to provide a blood specimen, </w:t>
                            </w:r>
                            <w:r w:rsidRPr="002D729A">
                              <w:rPr>
                                <w:rFonts w:ascii="Times New Roman" w:eastAsia="Arial Unicode MS" w:hAnsi="Times New Roman"/>
                                <w:bCs/>
                                <w:sz w:val="24"/>
                                <w:szCs w:val="24"/>
                                <w:u w:color="000000"/>
                              </w:rPr>
                              <w:t xml:space="preserve">and </w:t>
                            </w:r>
                            <w:r>
                              <w:rPr>
                                <w:rFonts w:ascii="Times New Roman" w:eastAsia="Arial Unicode MS" w:hAnsi="Times New Roman"/>
                                <w:bCs/>
                                <w:sz w:val="24"/>
                                <w:szCs w:val="24"/>
                                <w:u w:color="000000"/>
                              </w:rPr>
                              <w:t xml:space="preserve">who are willing to </w:t>
                            </w:r>
                            <w:r w:rsidRPr="002D729A">
                              <w:rPr>
                                <w:rFonts w:ascii="Times New Roman" w:eastAsia="Arial Unicode MS" w:hAnsi="Times New Roman"/>
                                <w:bCs/>
                                <w:sz w:val="24"/>
                                <w:szCs w:val="24"/>
                                <w:u w:color="000000"/>
                              </w:rPr>
                              <w:t>answer survey questions</w:t>
                            </w:r>
                            <w:r>
                              <w:rPr>
                                <w:rFonts w:ascii="Times New Roman" w:eastAsia="Arial Unicode MS" w:hAnsi="Times New Roman"/>
                                <w:bCs/>
                                <w:sz w:val="24"/>
                                <w:szCs w:val="24"/>
                                <w:u w:color="000000"/>
                              </w:rPr>
                              <w:t>. They</w:t>
                            </w:r>
                            <w:r w:rsidRPr="00A8585D">
                              <w:rPr>
                                <w:rFonts w:ascii="Times New Roman" w:eastAsia="Arial Unicode MS" w:hAnsi="Times New Roman"/>
                                <w:bCs/>
                                <w:sz w:val="24"/>
                                <w:szCs w:val="24"/>
                                <w:u w:color="000000"/>
                              </w:rPr>
                              <w:t xml:space="preserve"> will be enrolled</w:t>
                            </w:r>
                            <w:r>
                              <w:rPr>
                                <w:rFonts w:ascii="Times New Roman" w:eastAsia="Arial Unicode MS" w:hAnsi="Times New Roman"/>
                                <w:bCs/>
                                <w:sz w:val="24"/>
                                <w:szCs w:val="24"/>
                                <w:u w:color="000000"/>
                              </w:rPr>
                              <w:t xml:space="preserve"> from</w:t>
                            </w:r>
                            <w:r w:rsidRPr="00A04C22">
                              <w:rPr>
                                <w:rFonts w:ascii="Times New Roman" w:eastAsia="Arial Unicode MS" w:hAnsi="Times New Roman"/>
                                <w:bCs/>
                                <w:sz w:val="24"/>
                                <w:szCs w:val="24"/>
                                <w:u w:color="000000"/>
                              </w:rPr>
                              <w:t xml:space="preserve"> the geographic area of concern </w:t>
                            </w:r>
                            <w:r>
                              <w:rPr>
                                <w:rFonts w:ascii="Times New Roman" w:eastAsia="Arial Unicode MS" w:hAnsi="Times New Roman"/>
                                <w:bCs/>
                                <w:sz w:val="24"/>
                                <w:szCs w:val="24"/>
                                <w:u w:color="000000"/>
                              </w:rPr>
                              <w:t>as defined by</w:t>
                            </w:r>
                            <w:r w:rsidRPr="00A04C22">
                              <w:rPr>
                                <w:rFonts w:ascii="Times New Roman" w:eastAsia="Arial Unicode MS" w:hAnsi="Times New Roman"/>
                                <w:bCs/>
                                <w:sz w:val="24"/>
                                <w:szCs w:val="24"/>
                                <w:u w:color="000000"/>
                              </w:rPr>
                              <w:t xml:space="preserve"> the requesting </w:t>
                            </w:r>
                            <w:r>
                              <w:rPr>
                                <w:rFonts w:ascii="Times New Roman" w:eastAsia="Arial Unicode MS" w:hAnsi="Times New Roman"/>
                                <w:bCs/>
                                <w:sz w:val="24"/>
                                <w:szCs w:val="24"/>
                                <w:u w:color="000000"/>
                              </w:rPr>
                              <w:t>entity</w:t>
                            </w:r>
                            <w:r w:rsidRPr="00A04C22">
                              <w:rPr>
                                <w:rFonts w:ascii="Times New Roman" w:eastAsia="Arial Unicode MS" w:hAnsi="Times New Roman"/>
                                <w:bCs/>
                                <w:sz w:val="24"/>
                                <w:szCs w:val="24"/>
                                <w:u w:color="000000"/>
                              </w:rPr>
                              <w:t>.</w:t>
                            </w:r>
                          </w:p>
                          <w:p w14:paraId="73CA0ABC" w14:textId="77777777" w:rsidR="0046612C" w:rsidRPr="00C85885" w:rsidRDefault="0046612C" w:rsidP="00255449">
                            <w:pPr>
                              <w:spacing w:line="240" w:lineRule="auto"/>
                              <w:rPr>
                                <w:rFonts w:ascii="Times New Roman" w:hAnsi="Times New Roman"/>
                                <w:sz w:val="24"/>
                                <w:szCs w:val="24"/>
                              </w:rPr>
                            </w:pPr>
                            <w:r w:rsidRPr="003A7586">
                              <w:rPr>
                                <w:rFonts w:ascii="Times New Roman" w:hAnsi="Times New Roman"/>
                                <w:b/>
                                <w:sz w:val="24"/>
                                <w:szCs w:val="24"/>
                                <w:u w:val="single"/>
                              </w:rPr>
                              <w:t>How data will be analyzed</w:t>
                            </w:r>
                            <w:r w:rsidRPr="003A7586">
                              <w:rPr>
                                <w:rFonts w:ascii="Times New Roman" w:hAnsi="Times New Roman"/>
                                <w:sz w:val="24"/>
                                <w:szCs w:val="24"/>
                              </w:rPr>
                              <w:t>:</w:t>
                            </w:r>
                            <w:r w:rsidRPr="00C85885">
                              <w:rPr>
                                <w:rFonts w:ascii="Times New Roman" w:hAnsi="Times New Roman"/>
                                <w:sz w:val="24"/>
                                <w:szCs w:val="24"/>
                              </w:rPr>
                              <w:t xml:space="preserve">  </w:t>
                            </w:r>
                            <w:r>
                              <w:rPr>
                                <w:rFonts w:ascii="Times New Roman" w:hAnsi="Times New Roman"/>
                                <w:sz w:val="24"/>
                                <w:szCs w:val="24"/>
                              </w:rPr>
                              <w:t>Results will be compared with those from existing surveys (e.g., National Health and Nutrition Examination Survey [NHANES], Behavioral Risk Factors Surveillance System [BRFSS]), EPA’s drinking water standards, and historical environmental sampling where data exist.</w:t>
                            </w:r>
                          </w:p>
                        </w:txbxContent>
                      </wps:txbx>
                      <wps:bodyPr rot="0" vert="horz" wrap="square" lIns="91440" tIns="45720" rIns="91440" bIns="45720" anchor="t" anchorCtr="0" upright="1">
                        <a:noAutofit/>
                      </wps:bodyPr>
                    </wps:wsp>
                  </a:graphicData>
                </a:graphic>
              </wp:inline>
            </w:drawing>
          </mc:Choice>
          <mc:Fallback>
            <w:pict>
              <v:shapetype w14:anchorId="0DADE695" id="_x0000_t202" coordsize="21600,21600" o:spt="202" path="m,l,21600r21600,l21600,xe">
                <v:stroke joinstyle="miter"/>
                <v:path gradientshapeok="t" o:connecttype="rect"/>
              </v:shapetype>
              <v:shape id="Text Box 2" o:spid="_x0000_s1026" type="#_x0000_t202" style="width:469.35pt;height: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">
                <v:textbox>
                  <w:txbxContent>
                    <w:p w14:paraId="503E7786" w14:textId="651763B7" w:rsidR="0046612C" w:rsidRPr="00892E69" w:rsidRDefault="0046612C" w:rsidP="00255449">
                      <w:pPr>
                        <w:spacing w:line="240" w:lineRule="auto"/>
                        <w:rPr>
                          <w:rFonts w:ascii="Times New Roman" w:hAnsi="Times New Roman"/>
                          <w:sz w:val="24"/>
                          <w:szCs w:val="24"/>
                        </w:rPr>
                      </w:pPr>
                      <w:r>
                        <w:rPr>
                          <w:rFonts w:ascii="Times New Roman" w:hAnsi="Times New Roman"/>
                          <w:b/>
                          <w:sz w:val="24"/>
                          <w:szCs w:val="24"/>
                          <w:u w:val="single"/>
                        </w:rPr>
                        <w:t>Goal</w:t>
                      </w:r>
                      <w:r w:rsidRPr="00892E69">
                        <w:rPr>
                          <w:rFonts w:ascii="Times New Roman" w:hAnsi="Times New Roman"/>
                          <w:b/>
                          <w:sz w:val="24"/>
                          <w:szCs w:val="24"/>
                          <w:u w:val="single"/>
                        </w:rPr>
                        <w:t>:</w:t>
                      </w:r>
                      <w:r w:rsidRPr="00892E69">
                        <w:rPr>
                          <w:rFonts w:ascii="Times New Roman" w:hAnsi="Times New Roman"/>
                          <w:sz w:val="24"/>
                          <w:szCs w:val="24"/>
                        </w:rPr>
                        <w:t xml:space="preserve">   The goal of this </w:t>
                      </w:r>
                      <w:r>
                        <w:rPr>
                          <w:rFonts w:ascii="Times New Roman" w:hAnsi="Times New Roman"/>
                          <w:sz w:val="24"/>
                          <w:szCs w:val="24"/>
                        </w:rPr>
                        <w:t>g</w:t>
                      </w:r>
                      <w:r w:rsidRPr="00892E69">
                        <w:rPr>
                          <w:rFonts w:ascii="Times New Roman" w:hAnsi="Times New Roman"/>
                          <w:sz w:val="24"/>
                          <w:szCs w:val="24"/>
                        </w:rPr>
                        <w:t xml:space="preserve">eneric </w:t>
                      </w:r>
                      <w:r>
                        <w:rPr>
                          <w:rFonts w:ascii="Times New Roman" w:hAnsi="Times New Roman"/>
                          <w:sz w:val="24"/>
                          <w:szCs w:val="24"/>
                        </w:rPr>
                        <w:t>c</w:t>
                      </w:r>
                      <w:r w:rsidRPr="00892E69">
                        <w:rPr>
                          <w:rFonts w:ascii="Times New Roman" w:hAnsi="Times New Roman"/>
                          <w:sz w:val="24"/>
                          <w:szCs w:val="24"/>
                        </w:rPr>
                        <w:t>learance</w:t>
                      </w:r>
                      <w:r>
                        <w:rPr>
                          <w:rFonts w:ascii="Times New Roman" w:hAnsi="Times New Roman"/>
                          <w:sz w:val="24"/>
                          <w:szCs w:val="24"/>
                        </w:rPr>
                        <w:t xml:space="preserve"> information collection request (Generic ICR)</w:t>
                      </w:r>
                      <w:r w:rsidRPr="00892E69">
                        <w:rPr>
                          <w:rFonts w:ascii="Times New Roman" w:hAnsi="Times New Roman"/>
                          <w:sz w:val="24"/>
                          <w:szCs w:val="24"/>
                        </w:rPr>
                        <w:t xml:space="preserve"> is to expedite investigations to assess </w:t>
                      </w:r>
                      <w:r>
                        <w:rPr>
                          <w:rFonts w:ascii="Times New Roman" w:hAnsi="Times New Roman"/>
                          <w:sz w:val="24"/>
                          <w:szCs w:val="24"/>
                        </w:rPr>
                        <w:t xml:space="preserve">private well water for drinking in response to specific investigation requests.  Each investigation will assess exposure to </w:t>
                      </w:r>
                      <w:r w:rsidRPr="00892E69">
                        <w:rPr>
                          <w:rFonts w:ascii="Times New Roman" w:hAnsi="Times New Roman"/>
                          <w:sz w:val="24"/>
                          <w:szCs w:val="24"/>
                        </w:rPr>
                        <w:t>contaminants in drinking water fro</w:t>
                      </w:r>
                      <w:r>
                        <w:rPr>
                          <w:rFonts w:ascii="Times New Roman" w:hAnsi="Times New Roman"/>
                          <w:sz w:val="24"/>
                          <w:szCs w:val="24"/>
                        </w:rPr>
                        <w:t>m private wells in a</w:t>
                      </w:r>
                      <w:r w:rsidRPr="00892E69">
                        <w:rPr>
                          <w:rFonts w:ascii="Times New Roman" w:hAnsi="Times New Roman"/>
                          <w:sz w:val="24"/>
                          <w:szCs w:val="24"/>
                        </w:rPr>
                        <w:t xml:space="preserve"> geographic area</w:t>
                      </w:r>
                      <w:r>
                        <w:rPr>
                          <w:rFonts w:ascii="Times New Roman" w:hAnsi="Times New Roman"/>
                          <w:sz w:val="24"/>
                          <w:szCs w:val="24"/>
                        </w:rPr>
                        <w:t xml:space="preserve"> specified by the requesting entity. Requesting entities may be any state, territorial, local, or tribal health department in the United States</w:t>
                      </w:r>
                      <w:r w:rsidRPr="00892E69">
                        <w:rPr>
                          <w:rFonts w:ascii="Times New Roman" w:hAnsi="Times New Roman"/>
                          <w:sz w:val="24"/>
                          <w:szCs w:val="24"/>
                        </w:rPr>
                        <w:t>.</w:t>
                      </w:r>
                    </w:p>
                    <w:p w14:paraId="077C3822" w14:textId="77777777" w:rsidR="0046612C" w:rsidRPr="00892E69" w:rsidRDefault="0046612C" w:rsidP="00255449">
                      <w:pPr>
                        <w:spacing w:line="240" w:lineRule="auto"/>
                        <w:rPr>
                          <w:rFonts w:ascii="Times New Roman" w:hAnsi="Times New Roman"/>
                          <w:i/>
                          <w:sz w:val="24"/>
                          <w:szCs w:val="24"/>
                        </w:rPr>
                      </w:pPr>
                      <w:r w:rsidRPr="00892E69">
                        <w:rPr>
                          <w:rFonts w:ascii="Times New Roman" w:hAnsi="Times New Roman"/>
                          <w:b/>
                          <w:sz w:val="24"/>
                          <w:szCs w:val="24"/>
                          <w:u w:val="single"/>
                        </w:rPr>
                        <w:t>Intended use of the resulting data:</w:t>
                      </w:r>
                      <w:r>
                        <w:rPr>
                          <w:rFonts w:ascii="Times New Roman" w:hAnsi="Times New Roman"/>
                          <w:sz w:val="24"/>
                          <w:szCs w:val="24"/>
                        </w:rPr>
                        <w:t xml:space="preserve">  The data will be used to support local public health action to improve the quality of water from private wells.</w:t>
                      </w:r>
                    </w:p>
                    <w:p w14:paraId="43822BC5" w14:textId="1004B009" w:rsidR="0046612C" w:rsidRPr="00F33E1C" w:rsidRDefault="0046612C" w:rsidP="00CC1F2D">
                      <w:pPr>
                        <w:autoSpaceDE w:val="0"/>
                        <w:autoSpaceDN w:val="0"/>
                        <w:adjustRightInd w:val="0"/>
                        <w:spacing w:line="240" w:lineRule="auto"/>
                        <w:rPr>
                          <w:rFonts w:ascii="Times New Roman" w:hAnsi="Times New Roman"/>
                          <w:sz w:val="24"/>
                          <w:szCs w:val="24"/>
                        </w:rPr>
                      </w:pPr>
                      <w:r w:rsidRPr="00892E69">
                        <w:rPr>
                          <w:rFonts w:ascii="Times New Roman" w:hAnsi="Times New Roman"/>
                          <w:b/>
                          <w:sz w:val="24"/>
                          <w:szCs w:val="24"/>
                          <w:u w:val="single"/>
                        </w:rPr>
                        <w:t>Methods to be used to collect</w:t>
                      </w:r>
                      <w:r>
                        <w:rPr>
                          <w:rFonts w:ascii="Times New Roman" w:hAnsi="Times New Roman"/>
                          <w:b/>
                          <w:sz w:val="24"/>
                          <w:szCs w:val="24"/>
                          <w:u w:val="single"/>
                        </w:rPr>
                        <w:t xml:space="preserve"> data</w:t>
                      </w:r>
                      <w:r w:rsidRPr="00892E69">
                        <w:rPr>
                          <w:rFonts w:ascii="Times New Roman" w:hAnsi="Times New Roman"/>
                          <w:b/>
                          <w:sz w:val="24"/>
                          <w:szCs w:val="24"/>
                          <w:u w:val="single"/>
                        </w:rPr>
                        <w:t>:</w:t>
                      </w:r>
                      <w:r w:rsidRPr="00892E69">
                        <w:rPr>
                          <w:rFonts w:ascii="Times New Roman" w:hAnsi="Times New Roman"/>
                          <w:sz w:val="24"/>
                          <w:szCs w:val="24"/>
                        </w:rPr>
                        <w:t xml:space="preserve"> </w:t>
                      </w:r>
                      <w:r w:rsidRPr="00F33E1C">
                        <w:rPr>
                          <w:rFonts w:ascii="Times New Roman" w:hAnsi="Times New Roman"/>
                          <w:sz w:val="24"/>
                          <w:szCs w:val="24"/>
                        </w:rPr>
                        <w:t xml:space="preserve">The methods used to collect data may include but are not limited to face-to-face interviews, telephone interviews, secure on-line </w:t>
                      </w:r>
                      <w:r>
                        <w:rPr>
                          <w:rFonts w:ascii="Times New Roman" w:hAnsi="Times New Roman"/>
                          <w:sz w:val="24"/>
                          <w:szCs w:val="24"/>
                        </w:rPr>
                        <w:t>questionnaire</w:t>
                      </w:r>
                      <w:r w:rsidRPr="00F33E1C">
                        <w:rPr>
                          <w:rFonts w:ascii="Times New Roman" w:hAnsi="Times New Roman"/>
                          <w:sz w:val="24"/>
                          <w:szCs w:val="24"/>
                        </w:rPr>
                        <w:t>s,</w:t>
                      </w:r>
                      <w:r>
                        <w:rPr>
                          <w:rFonts w:ascii="Times New Roman" w:hAnsi="Times New Roman"/>
                          <w:sz w:val="24"/>
                          <w:szCs w:val="24"/>
                        </w:rPr>
                        <w:t xml:space="preserve"> and</w:t>
                      </w:r>
                      <w:r w:rsidRPr="00F33E1C">
                        <w:rPr>
                          <w:rFonts w:ascii="Times New Roman" w:hAnsi="Times New Roman"/>
                          <w:sz w:val="24"/>
                          <w:szCs w:val="24"/>
                        </w:rPr>
                        <w:t xml:space="preserve"> respondent-administered pen-and-paper </w:t>
                      </w:r>
                      <w:r>
                        <w:rPr>
                          <w:rFonts w:ascii="Times New Roman" w:hAnsi="Times New Roman"/>
                          <w:sz w:val="24"/>
                          <w:szCs w:val="24"/>
                        </w:rPr>
                        <w:t>questionnaire</w:t>
                      </w:r>
                      <w:r w:rsidRPr="00F33E1C">
                        <w:rPr>
                          <w:rFonts w:ascii="Times New Roman" w:hAnsi="Times New Roman"/>
                          <w:sz w:val="24"/>
                          <w:szCs w:val="24"/>
                        </w:rPr>
                        <w:t>s that are either mailed or</w:t>
                      </w:r>
                      <w:r>
                        <w:rPr>
                          <w:rFonts w:ascii="Times New Roman" w:hAnsi="Times New Roman"/>
                          <w:sz w:val="24"/>
                          <w:szCs w:val="24"/>
                        </w:rPr>
                        <w:t xml:space="preserve"> delivered in-person</w:t>
                      </w:r>
                      <w:r w:rsidRPr="00F33E1C">
                        <w:rPr>
                          <w:rFonts w:ascii="Times New Roman" w:hAnsi="Times New Roman"/>
                          <w:sz w:val="24"/>
                          <w:szCs w:val="24"/>
                        </w:rPr>
                        <w:t>.</w:t>
                      </w:r>
                      <w:r>
                        <w:rPr>
                          <w:rFonts w:ascii="Times New Roman" w:hAnsi="Times New Roman"/>
                          <w:sz w:val="24"/>
                          <w:szCs w:val="24"/>
                        </w:rPr>
                        <w:t xml:space="preserve"> Additional data include results from analysis of clinical specimens and/or environmental samples.</w:t>
                      </w:r>
                    </w:p>
                    <w:p w14:paraId="73D5FFFA" w14:textId="4D594663" w:rsidR="0046612C" w:rsidRPr="00B24E10" w:rsidRDefault="0046612C" w:rsidP="00255449">
                      <w:pPr>
                        <w:spacing w:line="240" w:lineRule="auto"/>
                        <w:rPr>
                          <w:rFonts w:ascii="Times New Roman" w:hAnsi="Times New Roman"/>
                          <w:sz w:val="24"/>
                          <w:szCs w:val="24"/>
                        </w:rPr>
                      </w:pPr>
                      <w:r w:rsidRPr="00B24E10">
                        <w:rPr>
                          <w:rFonts w:ascii="Times New Roman" w:hAnsi="Times New Roman"/>
                          <w:b/>
                          <w:sz w:val="24"/>
                          <w:szCs w:val="24"/>
                          <w:u w:val="single"/>
                        </w:rPr>
                        <w:t>The subpopulation to be studied:</w:t>
                      </w:r>
                      <w:r w:rsidRPr="00B24E10">
                        <w:rPr>
                          <w:rFonts w:ascii="Times New Roman" w:hAnsi="Times New Roman"/>
                          <w:sz w:val="24"/>
                          <w:szCs w:val="24"/>
                        </w:rPr>
                        <w:t xml:space="preserve">  Adult</w:t>
                      </w:r>
                      <w:r>
                        <w:rPr>
                          <w:rFonts w:ascii="Times New Roman" w:hAnsi="Times New Roman"/>
                          <w:sz w:val="24"/>
                          <w:szCs w:val="24"/>
                        </w:rPr>
                        <w:t>s at least 18 years of age,</w:t>
                      </w:r>
                      <w:r w:rsidRPr="00B24E10">
                        <w:rPr>
                          <w:rFonts w:ascii="Times New Roman" w:hAnsi="Times New Roman"/>
                          <w:sz w:val="24"/>
                          <w:szCs w:val="24"/>
                        </w:rPr>
                        <w:t xml:space="preserve"> who use private wells for drinking water</w:t>
                      </w:r>
                      <w:r>
                        <w:rPr>
                          <w:rFonts w:ascii="Times New Roman" w:hAnsi="Times New Roman"/>
                          <w:sz w:val="24"/>
                          <w:szCs w:val="24"/>
                        </w:rPr>
                        <w:t>,</w:t>
                      </w:r>
                      <w:r w:rsidRPr="002D729A">
                        <w:rPr>
                          <w:rFonts w:ascii="Times New Roman" w:eastAsia="Arial Unicode MS" w:hAnsi="Times New Roman"/>
                          <w:bCs/>
                          <w:sz w:val="24"/>
                          <w:szCs w:val="24"/>
                          <w:u w:color="000000"/>
                        </w:rPr>
                        <w:t xml:space="preserve"> who are willing to receive and return a tap water sampling kit and urine specimen kit </w:t>
                      </w:r>
                      <w:r>
                        <w:rPr>
                          <w:rFonts w:ascii="Times New Roman" w:eastAsia="Arial Unicode MS" w:hAnsi="Times New Roman"/>
                          <w:bCs/>
                          <w:sz w:val="24"/>
                          <w:szCs w:val="24"/>
                          <w:u w:color="000000"/>
                        </w:rPr>
                        <w:t xml:space="preserve">or to provide a blood specimen, </w:t>
                      </w:r>
                      <w:r w:rsidRPr="002D729A">
                        <w:rPr>
                          <w:rFonts w:ascii="Times New Roman" w:eastAsia="Arial Unicode MS" w:hAnsi="Times New Roman"/>
                          <w:bCs/>
                          <w:sz w:val="24"/>
                          <w:szCs w:val="24"/>
                          <w:u w:color="000000"/>
                        </w:rPr>
                        <w:t xml:space="preserve">and </w:t>
                      </w:r>
                      <w:r>
                        <w:rPr>
                          <w:rFonts w:ascii="Times New Roman" w:eastAsia="Arial Unicode MS" w:hAnsi="Times New Roman"/>
                          <w:bCs/>
                          <w:sz w:val="24"/>
                          <w:szCs w:val="24"/>
                          <w:u w:color="000000"/>
                        </w:rPr>
                        <w:t xml:space="preserve">who are willing to </w:t>
                      </w:r>
                      <w:r w:rsidRPr="002D729A">
                        <w:rPr>
                          <w:rFonts w:ascii="Times New Roman" w:eastAsia="Arial Unicode MS" w:hAnsi="Times New Roman"/>
                          <w:bCs/>
                          <w:sz w:val="24"/>
                          <w:szCs w:val="24"/>
                          <w:u w:color="000000"/>
                        </w:rPr>
                        <w:t>answer survey questions</w:t>
                      </w:r>
                      <w:r>
                        <w:rPr>
                          <w:rFonts w:ascii="Times New Roman" w:eastAsia="Arial Unicode MS" w:hAnsi="Times New Roman"/>
                          <w:bCs/>
                          <w:sz w:val="24"/>
                          <w:szCs w:val="24"/>
                          <w:u w:color="000000"/>
                        </w:rPr>
                        <w:t>. They</w:t>
                      </w:r>
                      <w:r w:rsidRPr="00A8585D">
                        <w:rPr>
                          <w:rFonts w:ascii="Times New Roman" w:eastAsia="Arial Unicode MS" w:hAnsi="Times New Roman"/>
                          <w:bCs/>
                          <w:sz w:val="24"/>
                          <w:szCs w:val="24"/>
                          <w:u w:color="000000"/>
                        </w:rPr>
                        <w:t xml:space="preserve"> will be enrolled</w:t>
                      </w:r>
                      <w:r>
                        <w:rPr>
                          <w:rFonts w:ascii="Times New Roman" w:eastAsia="Arial Unicode MS" w:hAnsi="Times New Roman"/>
                          <w:bCs/>
                          <w:sz w:val="24"/>
                          <w:szCs w:val="24"/>
                          <w:u w:color="000000"/>
                        </w:rPr>
                        <w:t xml:space="preserve"> from</w:t>
                      </w:r>
                      <w:r w:rsidRPr="00A04C22">
                        <w:rPr>
                          <w:rFonts w:ascii="Times New Roman" w:eastAsia="Arial Unicode MS" w:hAnsi="Times New Roman"/>
                          <w:bCs/>
                          <w:sz w:val="24"/>
                          <w:szCs w:val="24"/>
                          <w:u w:color="000000"/>
                        </w:rPr>
                        <w:t xml:space="preserve"> the geographic area of concern </w:t>
                      </w:r>
                      <w:r>
                        <w:rPr>
                          <w:rFonts w:ascii="Times New Roman" w:eastAsia="Arial Unicode MS" w:hAnsi="Times New Roman"/>
                          <w:bCs/>
                          <w:sz w:val="24"/>
                          <w:szCs w:val="24"/>
                          <w:u w:color="000000"/>
                        </w:rPr>
                        <w:t>as defined by</w:t>
                      </w:r>
                      <w:r w:rsidRPr="00A04C22">
                        <w:rPr>
                          <w:rFonts w:ascii="Times New Roman" w:eastAsia="Arial Unicode MS" w:hAnsi="Times New Roman"/>
                          <w:bCs/>
                          <w:sz w:val="24"/>
                          <w:szCs w:val="24"/>
                          <w:u w:color="000000"/>
                        </w:rPr>
                        <w:t xml:space="preserve"> the requesting </w:t>
                      </w:r>
                      <w:r>
                        <w:rPr>
                          <w:rFonts w:ascii="Times New Roman" w:eastAsia="Arial Unicode MS" w:hAnsi="Times New Roman"/>
                          <w:bCs/>
                          <w:sz w:val="24"/>
                          <w:szCs w:val="24"/>
                          <w:u w:color="000000"/>
                        </w:rPr>
                        <w:t>entity</w:t>
                      </w:r>
                      <w:r w:rsidRPr="00A04C22">
                        <w:rPr>
                          <w:rFonts w:ascii="Times New Roman" w:eastAsia="Arial Unicode MS" w:hAnsi="Times New Roman"/>
                          <w:bCs/>
                          <w:sz w:val="24"/>
                          <w:szCs w:val="24"/>
                          <w:u w:color="000000"/>
                        </w:rPr>
                        <w:t>.</w:t>
                      </w:r>
                    </w:p>
                    <w:p w14:paraId="73CA0ABC" w14:textId="77777777" w:rsidR="0046612C" w:rsidRPr="00C85885" w:rsidRDefault="0046612C" w:rsidP="00255449">
                      <w:pPr>
                        <w:spacing w:line="240" w:lineRule="auto"/>
                        <w:rPr>
                          <w:rFonts w:ascii="Times New Roman" w:hAnsi="Times New Roman"/>
                          <w:sz w:val="24"/>
                          <w:szCs w:val="24"/>
                        </w:rPr>
                      </w:pPr>
                      <w:r w:rsidRPr="003A7586">
                        <w:rPr>
                          <w:rFonts w:ascii="Times New Roman" w:hAnsi="Times New Roman"/>
                          <w:b/>
                          <w:sz w:val="24"/>
                          <w:szCs w:val="24"/>
                          <w:u w:val="single"/>
                        </w:rPr>
                        <w:t>How data will be analyzed</w:t>
                      </w:r>
                      <w:r w:rsidRPr="003A7586">
                        <w:rPr>
                          <w:rFonts w:ascii="Times New Roman" w:hAnsi="Times New Roman"/>
                          <w:sz w:val="24"/>
                          <w:szCs w:val="24"/>
                        </w:rPr>
                        <w:t>:</w:t>
                      </w:r>
                      <w:r w:rsidRPr="00C85885">
                        <w:rPr>
                          <w:rFonts w:ascii="Times New Roman" w:hAnsi="Times New Roman"/>
                          <w:sz w:val="24"/>
                          <w:szCs w:val="24"/>
                        </w:rPr>
                        <w:t xml:space="preserve">  </w:t>
                      </w:r>
                      <w:r>
                        <w:rPr>
                          <w:rFonts w:ascii="Times New Roman" w:hAnsi="Times New Roman"/>
                          <w:sz w:val="24"/>
                          <w:szCs w:val="24"/>
                        </w:rPr>
                        <w:t>Results will be compared with those from existing surveys (e.g., National Health and Nutrition Examination Survey [NHANES], Behavioral Risk Factors Surveillance System [BRFSS]), EPA’s drinking water standards, and historical environmental sampling where data exist.</w:t>
                      </w:r>
                    </w:p>
                  </w:txbxContent>
                </v:textbox>
                <w10:anchorlock/>
              </v:shape>
            </w:pict>
          </mc:Fallback>
        </mc:AlternateContent>
      </w:r>
    </w:p>
    <w:p w14:paraId="4D76EDB2" w14:textId="77777777" w:rsidR="008C6E30" w:rsidRDefault="008C6E30" w:rsidP="007437B6">
      <w:pPr>
        <w:spacing w:after="0" w:line="240" w:lineRule="auto"/>
        <w:rPr>
          <w:rFonts w:ascii="Times New Roman" w:hAnsi="Times New Roman"/>
          <w:bCs/>
          <w:sz w:val="24"/>
          <w:szCs w:val="24"/>
        </w:rPr>
      </w:pPr>
    </w:p>
    <w:p w14:paraId="6689A57F" w14:textId="73570C13" w:rsidR="00B77335" w:rsidRDefault="00C85885" w:rsidP="007437B6">
      <w:pPr>
        <w:spacing w:after="0" w:line="240" w:lineRule="auto"/>
        <w:rPr>
          <w:rFonts w:ascii="Times New Roman" w:hAnsi="Times New Roman"/>
          <w:sz w:val="24"/>
          <w:szCs w:val="24"/>
        </w:rPr>
      </w:pPr>
      <w:r>
        <w:rPr>
          <w:rFonts w:ascii="Times New Roman" w:hAnsi="Times New Roman"/>
          <w:bCs/>
          <w:sz w:val="24"/>
          <w:szCs w:val="24"/>
        </w:rPr>
        <w:t>T</w:t>
      </w:r>
      <w:r w:rsidR="00A30AE7" w:rsidRPr="00F33E1C">
        <w:rPr>
          <w:rFonts w:ascii="Times New Roman" w:hAnsi="Times New Roman"/>
          <w:bCs/>
          <w:sz w:val="24"/>
          <w:szCs w:val="24"/>
        </w:rPr>
        <w:t>he National Center for Environmental Health (NCEH), Centers for Disease Con</w:t>
      </w:r>
      <w:r w:rsidR="00EA23EB">
        <w:rPr>
          <w:rFonts w:ascii="Times New Roman" w:hAnsi="Times New Roman"/>
          <w:bCs/>
          <w:sz w:val="24"/>
          <w:szCs w:val="24"/>
        </w:rPr>
        <w:t>trol and Prevention, requests</w:t>
      </w:r>
      <w:r w:rsidR="00A30AE7" w:rsidRPr="00F33E1C">
        <w:rPr>
          <w:rFonts w:ascii="Times New Roman" w:hAnsi="Times New Roman"/>
          <w:bCs/>
          <w:sz w:val="24"/>
          <w:szCs w:val="24"/>
        </w:rPr>
        <w:t xml:space="preserve"> a three-year </w:t>
      </w:r>
      <w:r w:rsidR="008A1D4C">
        <w:rPr>
          <w:rFonts w:ascii="Times New Roman" w:hAnsi="Times New Roman"/>
          <w:bCs/>
          <w:sz w:val="24"/>
          <w:szCs w:val="24"/>
        </w:rPr>
        <w:t>Paperwork Reduction Act (PRA) clearance</w:t>
      </w:r>
      <w:r w:rsidR="00C15E4A">
        <w:rPr>
          <w:rFonts w:ascii="Times New Roman" w:hAnsi="Times New Roman"/>
          <w:bCs/>
          <w:sz w:val="24"/>
          <w:szCs w:val="24"/>
        </w:rPr>
        <w:t xml:space="preserve"> for a new generic clearance</w:t>
      </w:r>
      <w:r w:rsidR="008A1D4C">
        <w:rPr>
          <w:rFonts w:ascii="Times New Roman" w:hAnsi="Times New Roman"/>
          <w:bCs/>
          <w:sz w:val="24"/>
          <w:szCs w:val="24"/>
        </w:rPr>
        <w:t xml:space="preserve"> information collection request</w:t>
      </w:r>
      <w:r w:rsidR="00C15E4A">
        <w:rPr>
          <w:rFonts w:ascii="Times New Roman" w:hAnsi="Times New Roman"/>
          <w:bCs/>
          <w:sz w:val="24"/>
          <w:szCs w:val="24"/>
        </w:rPr>
        <w:t xml:space="preserve"> </w:t>
      </w:r>
      <w:r w:rsidR="00A30AE7" w:rsidRPr="00F33E1C">
        <w:rPr>
          <w:rFonts w:ascii="Times New Roman" w:hAnsi="Times New Roman"/>
          <w:bCs/>
          <w:sz w:val="24"/>
          <w:szCs w:val="24"/>
        </w:rPr>
        <w:t>(Generic ICR) titled “</w:t>
      </w:r>
      <w:r w:rsidR="001F18C4">
        <w:rPr>
          <w:rFonts w:ascii="Times New Roman" w:hAnsi="Times New Roman"/>
          <w:bCs/>
          <w:sz w:val="24"/>
          <w:szCs w:val="24"/>
        </w:rPr>
        <w:t>Assessment of</w:t>
      </w:r>
      <w:r w:rsidR="00C15E4A">
        <w:rPr>
          <w:rFonts w:ascii="Times New Roman" w:hAnsi="Times New Roman"/>
          <w:bCs/>
          <w:sz w:val="24"/>
          <w:szCs w:val="24"/>
        </w:rPr>
        <w:t xml:space="preserve"> </w:t>
      </w:r>
      <w:r w:rsidR="00954B44">
        <w:rPr>
          <w:rFonts w:ascii="Times New Roman" w:hAnsi="Times New Roman"/>
          <w:bCs/>
          <w:sz w:val="24"/>
          <w:szCs w:val="24"/>
        </w:rPr>
        <w:t xml:space="preserve">Potential Exposure </w:t>
      </w:r>
      <w:r w:rsidR="00A91216">
        <w:rPr>
          <w:rFonts w:ascii="Times New Roman" w:hAnsi="Times New Roman"/>
          <w:bCs/>
          <w:sz w:val="24"/>
          <w:szCs w:val="24"/>
        </w:rPr>
        <w:t>A</w:t>
      </w:r>
      <w:r w:rsidR="00954B44">
        <w:rPr>
          <w:rFonts w:ascii="Times New Roman" w:hAnsi="Times New Roman"/>
          <w:bCs/>
          <w:sz w:val="24"/>
          <w:szCs w:val="24"/>
        </w:rPr>
        <w:t xml:space="preserve">ssociated with </w:t>
      </w:r>
      <w:r w:rsidR="00C15E4A">
        <w:rPr>
          <w:rFonts w:ascii="Times New Roman" w:hAnsi="Times New Roman"/>
          <w:bCs/>
          <w:sz w:val="24"/>
          <w:szCs w:val="24"/>
        </w:rPr>
        <w:t>Private Wells for Drinking Water</w:t>
      </w:r>
      <w:r w:rsidR="007437B6">
        <w:rPr>
          <w:rFonts w:ascii="Times New Roman" w:hAnsi="Times New Roman"/>
          <w:bCs/>
          <w:sz w:val="24"/>
          <w:szCs w:val="24"/>
        </w:rPr>
        <w:t>.</w:t>
      </w:r>
      <w:r w:rsidR="008A2953" w:rsidRPr="00F33E1C">
        <w:rPr>
          <w:rFonts w:ascii="Times New Roman" w:hAnsi="Times New Roman"/>
          <w:bCs/>
          <w:sz w:val="24"/>
          <w:szCs w:val="24"/>
        </w:rPr>
        <w:t>”</w:t>
      </w:r>
      <w:r w:rsidR="001F0D7D">
        <w:rPr>
          <w:rFonts w:ascii="Times New Roman" w:hAnsi="Times New Roman"/>
          <w:bCs/>
          <w:sz w:val="24"/>
          <w:szCs w:val="24"/>
        </w:rPr>
        <w:t xml:space="preserve"> </w:t>
      </w:r>
      <w:r w:rsidR="00B77335">
        <w:rPr>
          <w:rFonts w:ascii="Times New Roman" w:hAnsi="Times New Roman"/>
          <w:bCs/>
          <w:sz w:val="24"/>
          <w:szCs w:val="24"/>
        </w:rPr>
        <w:t xml:space="preserve">NCEH </w:t>
      </w:r>
      <w:r w:rsidR="009D5ADA">
        <w:rPr>
          <w:rFonts w:ascii="Times New Roman" w:hAnsi="Times New Roman"/>
          <w:bCs/>
          <w:sz w:val="24"/>
          <w:szCs w:val="24"/>
        </w:rPr>
        <w:t>is a</w:t>
      </w:r>
      <w:r w:rsidR="00B77335">
        <w:rPr>
          <w:rFonts w:ascii="Times New Roman" w:hAnsi="Times New Roman"/>
          <w:bCs/>
          <w:sz w:val="24"/>
          <w:szCs w:val="24"/>
        </w:rPr>
        <w:t>uthoriz</w:t>
      </w:r>
      <w:r w:rsidR="009D5ADA">
        <w:rPr>
          <w:rFonts w:ascii="Times New Roman" w:hAnsi="Times New Roman"/>
          <w:bCs/>
          <w:sz w:val="24"/>
          <w:szCs w:val="24"/>
        </w:rPr>
        <w:t>ed to collect this information under the</w:t>
      </w:r>
      <w:r w:rsidR="00B77335">
        <w:rPr>
          <w:rFonts w:ascii="Times New Roman" w:hAnsi="Times New Roman"/>
          <w:bCs/>
          <w:sz w:val="24"/>
          <w:szCs w:val="24"/>
        </w:rPr>
        <w:t xml:space="preserve"> </w:t>
      </w:r>
      <w:r w:rsidR="00B77335" w:rsidRPr="00B341F7">
        <w:rPr>
          <w:rFonts w:ascii="Times New Roman" w:hAnsi="Times New Roman"/>
          <w:sz w:val="24"/>
          <w:szCs w:val="24"/>
        </w:rPr>
        <w:t xml:space="preserve">Public Health Service Act Section 301 </w:t>
      </w:r>
      <w:r w:rsidR="009D5ADA">
        <w:rPr>
          <w:rFonts w:ascii="Times New Roman" w:hAnsi="Times New Roman"/>
          <w:sz w:val="24"/>
          <w:szCs w:val="24"/>
        </w:rPr>
        <w:t>(</w:t>
      </w:r>
      <w:r w:rsidR="00B77335" w:rsidRPr="00B341F7">
        <w:rPr>
          <w:rFonts w:ascii="Times New Roman" w:hAnsi="Times New Roman"/>
          <w:sz w:val="24"/>
          <w:szCs w:val="24"/>
        </w:rPr>
        <w:t>241</w:t>
      </w:r>
      <w:r w:rsidR="009D5ADA">
        <w:rPr>
          <w:rFonts w:ascii="Times New Roman" w:hAnsi="Times New Roman"/>
          <w:sz w:val="24"/>
          <w:szCs w:val="24"/>
        </w:rPr>
        <w:t>)</w:t>
      </w:r>
      <w:r w:rsidR="00B77335">
        <w:rPr>
          <w:rFonts w:ascii="Times New Roman" w:hAnsi="Times New Roman"/>
          <w:sz w:val="24"/>
          <w:szCs w:val="24"/>
        </w:rPr>
        <w:t xml:space="preserve"> (Attachment A).</w:t>
      </w:r>
      <w:r w:rsidR="008426EA">
        <w:rPr>
          <w:rFonts w:ascii="Times New Roman" w:hAnsi="Times New Roman"/>
          <w:sz w:val="24"/>
          <w:szCs w:val="24"/>
        </w:rPr>
        <w:t xml:space="preserve"> The </w:t>
      </w:r>
      <w:r w:rsidR="008426EA" w:rsidRPr="00AC3377">
        <w:rPr>
          <w:rFonts w:ascii="Times New Roman" w:hAnsi="Times New Roman"/>
          <w:sz w:val="24"/>
          <w:szCs w:val="24"/>
        </w:rPr>
        <w:t>60-day</w:t>
      </w:r>
      <w:r w:rsidR="008426EA">
        <w:rPr>
          <w:rFonts w:ascii="Times New Roman" w:hAnsi="Times New Roman"/>
          <w:sz w:val="24"/>
          <w:szCs w:val="24"/>
        </w:rPr>
        <w:t xml:space="preserve"> Federal Re</w:t>
      </w:r>
      <w:r w:rsidR="00AC3377">
        <w:rPr>
          <w:rFonts w:ascii="Times New Roman" w:hAnsi="Times New Roman"/>
          <w:sz w:val="24"/>
          <w:szCs w:val="24"/>
        </w:rPr>
        <w:t>gister Notice was published on March 11, 2016</w:t>
      </w:r>
      <w:r w:rsidR="008426EA">
        <w:rPr>
          <w:rFonts w:ascii="Times New Roman" w:hAnsi="Times New Roman"/>
          <w:sz w:val="24"/>
          <w:szCs w:val="24"/>
        </w:rPr>
        <w:t xml:space="preserve"> and is further discussed in Section A8</w:t>
      </w:r>
      <w:r w:rsidR="00EC0919">
        <w:rPr>
          <w:rFonts w:ascii="Times New Roman" w:hAnsi="Times New Roman"/>
          <w:sz w:val="24"/>
          <w:szCs w:val="24"/>
        </w:rPr>
        <w:t xml:space="preserve"> (Attachment B)</w:t>
      </w:r>
      <w:r w:rsidR="008426EA">
        <w:rPr>
          <w:rFonts w:ascii="Times New Roman" w:hAnsi="Times New Roman"/>
          <w:sz w:val="24"/>
          <w:szCs w:val="24"/>
        </w:rPr>
        <w:t>.</w:t>
      </w:r>
    </w:p>
    <w:p w14:paraId="499EDF30" w14:textId="77777777" w:rsidR="007437B6" w:rsidRPr="00F33E1C" w:rsidRDefault="007437B6" w:rsidP="007437B6">
      <w:pPr>
        <w:spacing w:after="0" w:line="240" w:lineRule="auto"/>
        <w:rPr>
          <w:rFonts w:ascii="Times New Roman" w:hAnsi="Times New Roman"/>
          <w:bCs/>
          <w:sz w:val="24"/>
          <w:szCs w:val="24"/>
        </w:rPr>
      </w:pPr>
    </w:p>
    <w:p w14:paraId="6EE51D69" w14:textId="77777777" w:rsidR="00762D0D" w:rsidRPr="00F33E1C" w:rsidRDefault="00762D0D" w:rsidP="005921FC">
      <w:pPr>
        <w:pStyle w:val="Heading2"/>
        <w:rPr>
          <w:rFonts w:ascii="Times New Roman" w:hAnsi="Times New Roman"/>
          <w:sz w:val="24"/>
          <w:szCs w:val="24"/>
        </w:rPr>
      </w:pPr>
      <w:r w:rsidRPr="00F33E1C">
        <w:rPr>
          <w:rFonts w:ascii="Times New Roman" w:hAnsi="Times New Roman"/>
          <w:sz w:val="24"/>
          <w:szCs w:val="24"/>
        </w:rPr>
        <w:t>Circumstances Making the Collection of Information Necessary</w:t>
      </w:r>
    </w:p>
    <w:p w14:paraId="66A63157" w14:textId="77777777" w:rsidR="00A32681" w:rsidRPr="00F33E1C" w:rsidRDefault="00A32681" w:rsidP="00A32681">
      <w:pPr>
        <w:spacing w:after="0" w:line="240" w:lineRule="auto"/>
        <w:rPr>
          <w:rFonts w:ascii="Times New Roman" w:hAnsi="Times New Roman"/>
          <w:sz w:val="24"/>
          <w:szCs w:val="24"/>
        </w:rPr>
      </w:pPr>
    </w:p>
    <w:p w14:paraId="10BFBB89" w14:textId="126D254D" w:rsidR="000B055A" w:rsidRDefault="00940DE0" w:rsidP="000B055A">
      <w:pPr>
        <w:spacing w:after="0" w:line="240" w:lineRule="auto"/>
        <w:rPr>
          <w:rFonts w:ascii="Times New Roman" w:hAnsi="Times New Roman"/>
          <w:sz w:val="24"/>
          <w:szCs w:val="24"/>
        </w:rPr>
      </w:pPr>
      <w:r w:rsidRPr="00F33E1C">
        <w:rPr>
          <w:rFonts w:ascii="Times New Roman" w:hAnsi="Times New Roman"/>
          <w:sz w:val="24"/>
          <w:szCs w:val="24"/>
        </w:rPr>
        <w:t xml:space="preserve">The Safe Drinking Water Act of 1974 </w:t>
      </w:r>
      <w:r w:rsidR="00C468A9">
        <w:rPr>
          <w:rFonts w:ascii="Times New Roman" w:hAnsi="Times New Roman"/>
          <w:sz w:val="24"/>
          <w:szCs w:val="24"/>
        </w:rPr>
        <w:t xml:space="preserve">(SDWA) </w:t>
      </w:r>
      <w:r w:rsidRPr="00F33E1C">
        <w:rPr>
          <w:rFonts w:ascii="Times New Roman" w:hAnsi="Times New Roman"/>
          <w:sz w:val="24"/>
          <w:szCs w:val="24"/>
        </w:rPr>
        <w:t>ensures that most Americans are provided access to water that meets specific public health standards.</w:t>
      </w:r>
      <w:r w:rsidRPr="00F33E1C">
        <w:rPr>
          <w:rFonts w:ascii="Times New Roman" w:hAnsi="Times New Roman"/>
          <w:sz w:val="24"/>
          <w:szCs w:val="24"/>
          <w:vertAlign w:val="superscript"/>
        </w:rPr>
        <w:t>1</w:t>
      </w:r>
      <w:r w:rsidR="00A30AE7" w:rsidRPr="00F33E1C">
        <w:rPr>
          <w:rFonts w:ascii="Times New Roman" w:hAnsi="Times New Roman"/>
          <w:sz w:val="24"/>
          <w:szCs w:val="24"/>
        </w:rPr>
        <w:t xml:space="preserve"> However, for over 38 million Americans who rely on private wells or other drinking water not protected by the </w:t>
      </w:r>
      <w:r w:rsidR="00966BF6">
        <w:rPr>
          <w:rFonts w:ascii="Times New Roman" w:hAnsi="Times New Roman"/>
          <w:sz w:val="24"/>
          <w:szCs w:val="24"/>
        </w:rPr>
        <w:t xml:space="preserve">SDWA </w:t>
      </w:r>
      <w:r w:rsidR="009C6F27" w:rsidRPr="00F33E1C">
        <w:rPr>
          <w:rFonts w:ascii="Times New Roman" w:hAnsi="Times New Roman"/>
          <w:sz w:val="24"/>
          <w:szCs w:val="24"/>
        </w:rPr>
        <w:t>(herein referred to as private wells)</w:t>
      </w:r>
      <w:r w:rsidR="00F73935">
        <w:rPr>
          <w:rFonts w:ascii="Times New Roman" w:hAnsi="Times New Roman"/>
          <w:sz w:val="24"/>
          <w:szCs w:val="24"/>
        </w:rPr>
        <w:t>,</w:t>
      </w:r>
      <w:r w:rsidRPr="00F33E1C">
        <w:rPr>
          <w:rFonts w:ascii="Times New Roman" w:hAnsi="Times New Roman"/>
          <w:sz w:val="24"/>
          <w:szCs w:val="24"/>
        </w:rPr>
        <w:t xml:space="preserve"> that is not the case.</w:t>
      </w:r>
      <w:r w:rsidRPr="00F33E1C">
        <w:rPr>
          <w:rFonts w:ascii="Times New Roman" w:hAnsi="Times New Roman"/>
          <w:sz w:val="24"/>
          <w:szCs w:val="24"/>
          <w:vertAlign w:val="superscript"/>
        </w:rPr>
        <w:t>2</w:t>
      </w:r>
      <w:r w:rsidRPr="00F33E1C">
        <w:rPr>
          <w:rFonts w:ascii="Times New Roman" w:hAnsi="Times New Roman"/>
          <w:sz w:val="24"/>
          <w:szCs w:val="24"/>
        </w:rPr>
        <w:t xml:space="preserve"> </w:t>
      </w:r>
      <w:r w:rsidR="004122D3" w:rsidRPr="00F33E1C">
        <w:rPr>
          <w:rFonts w:ascii="Times New Roman" w:hAnsi="Times New Roman"/>
          <w:sz w:val="24"/>
          <w:szCs w:val="24"/>
        </w:rPr>
        <w:t>There is no comprehensive knowledge about the locations of private wells, the populations served by these sources, potential contaminants</w:t>
      </w:r>
      <w:r w:rsidR="003C39B2">
        <w:rPr>
          <w:rFonts w:ascii="Times New Roman" w:hAnsi="Times New Roman"/>
          <w:sz w:val="24"/>
          <w:szCs w:val="24"/>
        </w:rPr>
        <w:t xml:space="preserve"> </w:t>
      </w:r>
      <w:r w:rsidR="00966BF6">
        <w:rPr>
          <w:rFonts w:ascii="Times New Roman" w:hAnsi="Times New Roman"/>
          <w:sz w:val="24"/>
          <w:szCs w:val="24"/>
        </w:rPr>
        <w:t xml:space="preserve">(e.g., </w:t>
      </w:r>
      <w:r w:rsidR="003C39B2">
        <w:rPr>
          <w:rFonts w:ascii="Times New Roman" w:hAnsi="Times New Roman"/>
          <w:sz w:val="24"/>
          <w:szCs w:val="24"/>
        </w:rPr>
        <w:t>heavy metals</w:t>
      </w:r>
      <w:r w:rsidR="00966BF6">
        <w:rPr>
          <w:rFonts w:ascii="Times New Roman" w:hAnsi="Times New Roman"/>
          <w:sz w:val="24"/>
          <w:szCs w:val="24"/>
        </w:rPr>
        <w:t>)</w:t>
      </w:r>
      <w:r w:rsidR="004122D3" w:rsidRPr="00F33E1C">
        <w:rPr>
          <w:rFonts w:ascii="Times New Roman" w:hAnsi="Times New Roman"/>
          <w:sz w:val="24"/>
          <w:szCs w:val="24"/>
        </w:rPr>
        <w:t xml:space="preserve"> that might be present in private well water in specific areas of the c</w:t>
      </w:r>
      <w:r w:rsidR="008C6E30">
        <w:rPr>
          <w:rFonts w:ascii="Times New Roman" w:hAnsi="Times New Roman"/>
          <w:sz w:val="24"/>
          <w:szCs w:val="24"/>
        </w:rPr>
        <w:t>ountry, or the potential health risks</w:t>
      </w:r>
      <w:r w:rsidR="004122D3" w:rsidRPr="00F33E1C">
        <w:rPr>
          <w:rFonts w:ascii="Times New Roman" w:hAnsi="Times New Roman"/>
          <w:sz w:val="24"/>
          <w:szCs w:val="24"/>
        </w:rPr>
        <w:t xml:space="preserve"> associated with drinking water from these sources.  </w:t>
      </w:r>
      <w:r w:rsidR="009B2542" w:rsidRPr="00F33E1C">
        <w:rPr>
          <w:rFonts w:ascii="Times New Roman" w:hAnsi="Times New Roman"/>
          <w:sz w:val="24"/>
          <w:szCs w:val="24"/>
        </w:rPr>
        <w:t xml:space="preserve">Data from the investigations done under this </w:t>
      </w:r>
      <w:r w:rsidR="00CE1F6E">
        <w:rPr>
          <w:rFonts w:ascii="Times New Roman" w:hAnsi="Times New Roman"/>
          <w:sz w:val="24"/>
          <w:szCs w:val="24"/>
        </w:rPr>
        <w:t xml:space="preserve">Generic ICR </w:t>
      </w:r>
      <w:r w:rsidR="009B2542" w:rsidRPr="00F33E1C">
        <w:rPr>
          <w:rFonts w:ascii="Times New Roman" w:hAnsi="Times New Roman"/>
          <w:sz w:val="24"/>
          <w:szCs w:val="24"/>
        </w:rPr>
        <w:t xml:space="preserve">are </w:t>
      </w:r>
      <w:r w:rsidR="00954B44">
        <w:rPr>
          <w:rFonts w:ascii="Times New Roman" w:hAnsi="Times New Roman"/>
          <w:sz w:val="24"/>
          <w:szCs w:val="24"/>
        </w:rPr>
        <w:t xml:space="preserve">designed to support state and local jurisdictions interest in characterizing </w:t>
      </w:r>
      <w:r w:rsidR="008C6E30">
        <w:rPr>
          <w:rFonts w:ascii="Times New Roman" w:hAnsi="Times New Roman"/>
          <w:sz w:val="24"/>
          <w:szCs w:val="24"/>
        </w:rPr>
        <w:t>drinking</w:t>
      </w:r>
      <w:r w:rsidR="009B2542" w:rsidRPr="00F33E1C">
        <w:rPr>
          <w:rFonts w:ascii="Times New Roman" w:hAnsi="Times New Roman"/>
          <w:sz w:val="24"/>
          <w:szCs w:val="24"/>
        </w:rPr>
        <w:t xml:space="preserve"> water from private wells in specific regions of the country and to assess </w:t>
      </w:r>
      <w:r w:rsidR="001F18C4">
        <w:rPr>
          <w:rFonts w:ascii="Times New Roman" w:hAnsi="Times New Roman"/>
          <w:sz w:val="24"/>
          <w:szCs w:val="24"/>
        </w:rPr>
        <w:t xml:space="preserve">potential </w:t>
      </w:r>
      <w:r w:rsidR="00666219">
        <w:rPr>
          <w:rFonts w:ascii="Times New Roman" w:hAnsi="Times New Roman"/>
          <w:sz w:val="24"/>
          <w:szCs w:val="24"/>
        </w:rPr>
        <w:t xml:space="preserve">exposure </w:t>
      </w:r>
      <w:r w:rsidR="00954B44">
        <w:rPr>
          <w:rFonts w:ascii="Times New Roman" w:hAnsi="Times New Roman"/>
          <w:sz w:val="24"/>
          <w:szCs w:val="24"/>
        </w:rPr>
        <w:t>from</w:t>
      </w:r>
      <w:r w:rsidR="00666219">
        <w:rPr>
          <w:rFonts w:ascii="Times New Roman" w:hAnsi="Times New Roman"/>
          <w:sz w:val="24"/>
          <w:szCs w:val="24"/>
        </w:rPr>
        <w:t xml:space="preserve"> drinking water contaminants in private wells</w:t>
      </w:r>
      <w:r w:rsidR="001F18C4">
        <w:rPr>
          <w:rFonts w:ascii="Times New Roman" w:hAnsi="Times New Roman"/>
          <w:sz w:val="24"/>
          <w:szCs w:val="24"/>
        </w:rPr>
        <w:t xml:space="preserve"> in the area of investigation</w:t>
      </w:r>
      <w:r w:rsidR="009B2542" w:rsidRPr="00F33E1C">
        <w:rPr>
          <w:rFonts w:ascii="Times New Roman" w:hAnsi="Times New Roman"/>
          <w:sz w:val="24"/>
          <w:szCs w:val="24"/>
        </w:rPr>
        <w:t>.</w:t>
      </w:r>
    </w:p>
    <w:p w14:paraId="268A43F3" w14:textId="77777777" w:rsidR="00075293" w:rsidRDefault="00075293" w:rsidP="000B055A">
      <w:pPr>
        <w:spacing w:after="0" w:line="240" w:lineRule="auto"/>
        <w:rPr>
          <w:rFonts w:ascii="Times New Roman" w:hAnsi="Times New Roman"/>
          <w:sz w:val="24"/>
          <w:szCs w:val="24"/>
        </w:rPr>
      </w:pPr>
    </w:p>
    <w:p w14:paraId="215D7834" w14:textId="712782E9" w:rsidR="008035D1" w:rsidRDefault="00075293" w:rsidP="000B055A">
      <w:pPr>
        <w:spacing w:after="0" w:line="240" w:lineRule="auto"/>
        <w:rPr>
          <w:rFonts w:ascii="Times New Roman" w:hAnsi="Times New Roman"/>
          <w:sz w:val="24"/>
          <w:szCs w:val="24"/>
        </w:rPr>
      </w:pPr>
      <w:r>
        <w:rPr>
          <w:rFonts w:ascii="Times New Roman" w:hAnsi="Times New Roman"/>
          <w:sz w:val="24"/>
          <w:szCs w:val="24"/>
        </w:rPr>
        <w:t xml:space="preserve">To assess private wells for drinking water, a comprehensive approach that includes exposure </w:t>
      </w:r>
      <w:r w:rsidR="00666219">
        <w:rPr>
          <w:rFonts w:ascii="Times New Roman" w:hAnsi="Times New Roman"/>
          <w:sz w:val="24"/>
          <w:szCs w:val="24"/>
        </w:rPr>
        <w:t xml:space="preserve">data </w:t>
      </w:r>
      <w:r>
        <w:rPr>
          <w:rFonts w:ascii="Times New Roman" w:hAnsi="Times New Roman"/>
          <w:sz w:val="24"/>
          <w:szCs w:val="24"/>
        </w:rPr>
        <w:t xml:space="preserve">is needed. </w:t>
      </w:r>
      <w:r w:rsidRPr="00F33E1C">
        <w:rPr>
          <w:rFonts w:ascii="Times New Roman" w:hAnsi="Times New Roman"/>
          <w:sz w:val="24"/>
          <w:szCs w:val="24"/>
        </w:rPr>
        <w:t xml:space="preserve">The quality of </w:t>
      </w:r>
      <w:r w:rsidR="00666219">
        <w:rPr>
          <w:rFonts w:ascii="Times New Roman" w:hAnsi="Times New Roman"/>
          <w:sz w:val="24"/>
          <w:szCs w:val="24"/>
        </w:rPr>
        <w:t>private well</w:t>
      </w:r>
      <w:r w:rsidR="00666219" w:rsidRPr="00F33E1C">
        <w:rPr>
          <w:rFonts w:ascii="Times New Roman" w:hAnsi="Times New Roman"/>
          <w:sz w:val="24"/>
          <w:szCs w:val="24"/>
        </w:rPr>
        <w:t xml:space="preserve"> </w:t>
      </w:r>
      <w:r w:rsidRPr="00F33E1C">
        <w:rPr>
          <w:rFonts w:ascii="Times New Roman" w:hAnsi="Times New Roman"/>
          <w:sz w:val="24"/>
          <w:szCs w:val="24"/>
        </w:rPr>
        <w:t xml:space="preserve">water is determined </w:t>
      </w:r>
      <w:r w:rsidR="00666219">
        <w:rPr>
          <w:rFonts w:ascii="Times New Roman" w:hAnsi="Times New Roman"/>
          <w:sz w:val="24"/>
          <w:szCs w:val="24"/>
        </w:rPr>
        <w:t>by local characteristics, such as</w:t>
      </w:r>
      <w:r w:rsidRPr="00F33E1C">
        <w:rPr>
          <w:rFonts w:ascii="Times New Roman" w:hAnsi="Times New Roman"/>
          <w:sz w:val="24"/>
          <w:szCs w:val="24"/>
        </w:rPr>
        <w:t xml:space="preserve"> aquifer characteristics, including hydrogeochemistry (i.e., the chemical interactions between water and surrounding rocks and soils); local land use; precipitation; the quality of ground water recharge; and well characteristics. </w:t>
      </w:r>
    </w:p>
    <w:p w14:paraId="19D91BD7" w14:textId="77777777" w:rsidR="006E3A65" w:rsidRPr="00F33E1C" w:rsidRDefault="006E3A65" w:rsidP="000B055A">
      <w:pPr>
        <w:spacing w:after="0" w:line="240" w:lineRule="auto"/>
        <w:rPr>
          <w:rFonts w:ascii="Times New Roman" w:hAnsi="Times New Roman"/>
          <w:sz w:val="24"/>
          <w:szCs w:val="24"/>
        </w:rPr>
      </w:pPr>
    </w:p>
    <w:p w14:paraId="390DBC61" w14:textId="381F6095" w:rsidR="008A2953" w:rsidRPr="00F33E1C" w:rsidRDefault="00A419A4" w:rsidP="008A2953">
      <w:pPr>
        <w:autoSpaceDE w:val="0"/>
        <w:autoSpaceDN w:val="0"/>
        <w:adjustRightInd w:val="0"/>
        <w:spacing w:line="240" w:lineRule="auto"/>
        <w:rPr>
          <w:rFonts w:ascii="Times New Roman" w:hAnsi="Times New Roman"/>
          <w:sz w:val="24"/>
          <w:szCs w:val="24"/>
        </w:rPr>
      </w:pPr>
      <w:r w:rsidRPr="00F33E1C">
        <w:rPr>
          <w:rFonts w:ascii="Times New Roman" w:hAnsi="Times New Roman"/>
          <w:sz w:val="24"/>
          <w:szCs w:val="24"/>
        </w:rPr>
        <w:t>F</w:t>
      </w:r>
      <w:r w:rsidR="008A2953" w:rsidRPr="00F33E1C">
        <w:rPr>
          <w:rFonts w:ascii="Times New Roman" w:hAnsi="Times New Roman"/>
          <w:sz w:val="24"/>
          <w:szCs w:val="24"/>
        </w:rPr>
        <w:t xml:space="preserve">or an investigation to occur under this </w:t>
      </w:r>
      <w:r w:rsidR="00CE1F6E">
        <w:rPr>
          <w:rFonts w:ascii="Times New Roman" w:hAnsi="Times New Roman"/>
          <w:sz w:val="24"/>
          <w:szCs w:val="24"/>
        </w:rPr>
        <w:t xml:space="preserve">Generic </w:t>
      </w:r>
      <w:r w:rsidR="008A2953" w:rsidRPr="00F33E1C">
        <w:rPr>
          <w:rFonts w:ascii="Times New Roman" w:hAnsi="Times New Roman"/>
          <w:sz w:val="24"/>
          <w:szCs w:val="24"/>
        </w:rPr>
        <w:t>ICR, the following criteria must be met:</w:t>
      </w:r>
    </w:p>
    <w:p w14:paraId="5F00B4B2" w14:textId="7DD6D287" w:rsidR="008A2953" w:rsidRPr="00F33E1C" w:rsidRDefault="008A2953" w:rsidP="00955565">
      <w:pPr>
        <w:pStyle w:val="ListParagraph"/>
        <w:numPr>
          <w:ilvl w:val="0"/>
          <w:numId w:val="5"/>
        </w:numPr>
        <w:autoSpaceDE w:val="0"/>
        <w:autoSpaceDN w:val="0"/>
        <w:adjustRightInd w:val="0"/>
        <w:spacing w:line="240" w:lineRule="auto"/>
        <w:rPr>
          <w:rFonts w:ascii="Times New Roman" w:hAnsi="Times New Roman"/>
          <w:sz w:val="24"/>
          <w:szCs w:val="24"/>
        </w:rPr>
      </w:pPr>
      <w:r w:rsidRPr="00F33E1C">
        <w:rPr>
          <w:rFonts w:ascii="Times New Roman" w:hAnsi="Times New Roman"/>
          <w:sz w:val="24"/>
          <w:szCs w:val="24"/>
        </w:rPr>
        <w:t xml:space="preserve">Investigations will be undertaken at the request of and in collaboration with state, </w:t>
      </w:r>
      <w:r w:rsidR="00327FD1">
        <w:rPr>
          <w:rFonts w:ascii="Times New Roman" w:hAnsi="Times New Roman"/>
          <w:sz w:val="24"/>
          <w:szCs w:val="24"/>
        </w:rPr>
        <w:t>territorial</w:t>
      </w:r>
      <w:r w:rsidRPr="00F33E1C">
        <w:rPr>
          <w:rFonts w:ascii="Times New Roman" w:hAnsi="Times New Roman"/>
          <w:sz w:val="24"/>
          <w:szCs w:val="24"/>
        </w:rPr>
        <w:t>, local, or tribal health department</w:t>
      </w:r>
      <w:r w:rsidR="008C6E30">
        <w:rPr>
          <w:rFonts w:ascii="Times New Roman" w:hAnsi="Times New Roman"/>
          <w:sz w:val="24"/>
          <w:szCs w:val="24"/>
        </w:rPr>
        <w:t>s</w:t>
      </w:r>
      <w:r w:rsidR="00327FD1">
        <w:rPr>
          <w:rFonts w:ascii="Times New Roman" w:hAnsi="Times New Roman"/>
          <w:sz w:val="24"/>
          <w:szCs w:val="24"/>
        </w:rPr>
        <w:t xml:space="preserve"> (STLTs)</w:t>
      </w:r>
      <w:r w:rsidRPr="00F33E1C">
        <w:rPr>
          <w:rFonts w:ascii="Times New Roman" w:hAnsi="Times New Roman"/>
          <w:sz w:val="24"/>
          <w:szCs w:val="24"/>
        </w:rPr>
        <w:t xml:space="preserve"> (the requesting agency) i</w:t>
      </w:r>
      <w:r w:rsidR="00441C84">
        <w:rPr>
          <w:rFonts w:ascii="Times New Roman" w:hAnsi="Times New Roman"/>
          <w:sz w:val="24"/>
          <w:szCs w:val="24"/>
        </w:rPr>
        <w:t xml:space="preserve">nterested in characterizing </w:t>
      </w:r>
      <w:r w:rsidR="00666219">
        <w:rPr>
          <w:rFonts w:ascii="Times New Roman" w:hAnsi="Times New Roman"/>
          <w:sz w:val="24"/>
          <w:szCs w:val="24"/>
        </w:rPr>
        <w:t>exposure to</w:t>
      </w:r>
      <w:r w:rsidR="00666219" w:rsidRPr="00F33E1C">
        <w:rPr>
          <w:rFonts w:ascii="Times New Roman" w:hAnsi="Times New Roman"/>
          <w:sz w:val="24"/>
          <w:szCs w:val="24"/>
        </w:rPr>
        <w:t xml:space="preserve"> </w:t>
      </w:r>
      <w:r w:rsidR="00666219">
        <w:rPr>
          <w:rFonts w:ascii="Times New Roman" w:hAnsi="Times New Roman"/>
          <w:sz w:val="24"/>
          <w:szCs w:val="24"/>
        </w:rPr>
        <w:t>drinking water contaminants in</w:t>
      </w:r>
      <w:r w:rsidRPr="00F33E1C">
        <w:rPr>
          <w:rFonts w:ascii="Times New Roman" w:hAnsi="Times New Roman"/>
          <w:sz w:val="24"/>
          <w:szCs w:val="24"/>
        </w:rPr>
        <w:t xml:space="preserve"> private wells.</w:t>
      </w:r>
      <w:r w:rsidR="001F18C4">
        <w:rPr>
          <w:rFonts w:ascii="Times New Roman" w:hAnsi="Times New Roman"/>
          <w:sz w:val="24"/>
          <w:szCs w:val="24"/>
        </w:rPr>
        <w:t xml:space="preserve">  A letter or memo detailing this explicit request will be included with al substudies submitted under this generic pathway.</w:t>
      </w:r>
    </w:p>
    <w:p w14:paraId="3920FA3D" w14:textId="77777777" w:rsidR="008A2953" w:rsidRDefault="008A2953" w:rsidP="008A2953">
      <w:pPr>
        <w:pStyle w:val="ListParagraph"/>
        <w:autoSpaceDE w:val="0"/>
        <w:autoSpaceDN w:val="0"/>
        <w:adjustRightInd w:val="0"/>
        <w:spacing w:line="240" w:lineRule="auto"/>
        <w:rPr>
          <w:rFonts w:ascii="Times New Roman" w:hAnsi="Times New Roman"/>
          <w:sz w:val="24"/>
          <w:szCs w:val="24"/>
        </w:rPr>
      </w:pPr>
    </w:p>
    <w:p w14:paraId="294B7F54" w14:textId="77777777" w:rsidR="004B08A1" w:rsidRPr="00F33E1C" w:rsidRDefault="004B08A1" w:rsidP="008A2953">
      <w:pPr>
        <w:pStyle w:val="ListParagraph"/>
        <w:autoSpaceDE w:val="0"/>
        <w:autoSpaceDN w:val="0"/>
        <w:adjustRightInd w:val="0"/>
        <w:spacing w:line="240" w:lineRule="auto"/>
        <w:rPr>
          <w:rFonts w:ascii="Times New Roman" w:hAnsi="Times New Roman"/>
          <w:sz w:val="24"/>
          <w:szCs w:val="24"/>
        </w:rPr>
      </w:pPr>
    </w:p>
    <w:p w14:paraId="412CCD60" w14:textId="15FA255A" w:rsidR="00A419A4" w:rsidRPr="00F33E1C" w:rsidRDefault="002947B1" w:rsidP="00955565">
      <w:pPr>
        <w:pStyle w:val="ListParagraph"/>
        <w:numPr>
          <w:ilvl w:val="0"/>
          <w:numId w:val="5"/>
        </w:numPr>
        <w:autoSpaceDE w:val="0"/>
        <w:autoSpaceDN w:val="0"/>
        <w:adjustRightInd w:val="0"/>
        <w:spacing w:line="240" w:lineRule="auto"/>
        <w:rPr>
          <w:rFonts w:ascii="Times New Roman" w:hAnsi="Times New Roman"/>
          <w:sz w:val="24"/>
          <w:szCs w:val="24"/>
        </w:rPr>
      </w:pPr>
      <w:r w:rsidRPr="00F33E1C">
        <w:rPr>
          <w:rFonts w:ascii="Times New Roman" w:hAnsi="Times New Roman"/>
          <w:sz w:val="24"/>
          <w:szCs w:val="24"/>
        </w:rPr>
        <w:t>I</w:t>
      </w:r>
      <w:r w:rsidR="008A2953" w:rsidRPr="00F33E1C">
        <w:rPr>
          <w:rFonts w:ascii="Times New Roman" w:hAnsi="Times New Roman"/>
          <w:sz w:val="24"/>
          <w:szCs w:val="24"/>
        </w:rPr>
        <w:t>nvestigations will be non</w:t>
      </w:r>
      <w:r w:rsidR="00A419A4" w:rsidRPr="00F33E1C">
        <w:rPr>
          <w:rFonts w:ascii="Times New Roman" w:hAnsi="Times New Roman"/>
          <w:sz w:val="24"/>
          <w:szCs w:val="24"/>
        </w:rPr>
        <w:t>-</w:t>
      </w:r>
      <w:r w:rsidR="008A2953" w:rsidRPr="00F33E1C">
        <w:rPr>
          <w:rFonts w:ascii="Times New Roman" w:hAnsi="Times New Roman"/>
          <w:sz w:val="24"/>
          <w:szCs w:val="24"/>
        </w:rPr>
        <w:t xml:space="preserve">research </w:t>
      </w:r>
      <w:r w:rsidR="001F18C4">
        <w:rPr>
          <w:rFonts w:ascii="Times New Roman" w:hAnsi="Times New Roman"/>
          <w:sz w:val="24"/>
          <w:szCs w:val="24"/>
        </w:rPr>
        <w:t>responses</w:t>
      </w:r>
      <w:r w:rsidR="001F18C4" w:rsidRPr="00F33E1C">
        <w:rPr>
          <w:rFonts w:ascii="Times New Roman" w:hAnsi="Times New Roman"/>
          <w:sz w:val="24"/>
          <w:szCs w:val="24"/>
        </w:rPr>
        <w:t xml:space="preserve"> </w:t>
      </w:r>
      <w:r w:rsidR="008A2953" w:rsidRPr="00F33E1C">
        <w:rPr>
          <w:rFonts w:ascii="Times New Roman" w:hAnsi="Times New Roman"/>
          <w:sz w:val="24"/>
          <w:szCs w:val="24"/>
        </w:rPr>
        <w:t xml:space="preserve">designed to </w:t>
      </w:r>
      <w:r w:rsidR="005344F0">
        <w:rPr>
          <w:rFonts w:ascii="Times New Roman" w:hAnsi="Times New Roman"/>
          <w:sz w:val="24"/>
          <w:szCs w:val="24"/>
        </w:rPr>
        <w:t>inform</w:t>
      </w:r>
      <w:r w:rsidR="00954B44">
        <w:rPr>
          <w:rFonts w:ascii="Times New Roman" w:hAnsi="Times New Roman"/>
          <w:sz w:val="24"/>
          <w:szCs w:val="24"/>
        </w:rPr>
        <w:t xml:space="preserve"> the public health d</w:t>
      </w:r>
      <w:r w:rsidR="005344F0">
        <w:rPr>
          <w:rFonts w:ascii="Times New Roman" w:hAnsi="Times New Roman"/>
          <w:sz w:val="24"/>
          <w:szCs w:val="24"/>
        </w:rPr>
        <w:t xml:space="preserve">ecisions of </w:t>
      </w:r>
      <w:r w:rsidR="008A2953" w:rsidRPr="00F33E1C">
        <w:rPr>
          <w:rFonts w:ascii="Times New Roman" w:hAnsi="Times New Roman"/>
          <w:sz w:val="24"/>
          <w:szCs w:val="24"/>
        </w:rPr>
        <w:t>the reque</w:t>
      </w:r>
      <w:r w:rsidR="00A419A4" w:rsidRPr="00F33E1C">
        <w:rPr>
          <w:rFonts w:ascii="Times New Roman" w:hAnsi="Times New Roman"/>
          <w:sz w:val="24"/>
          <w:szCs w:val="24"/>
        </w:rPr>
        <w:t>sting agency’s jurisdiction.</w:t>
      </w:r>
      <w:r w:rsidR="001F18C4">
        <w:rPr>
          <w:rFonts w:ascii="Times New Roman" w:hAnsi="Times New Roman"/>
          <w:sz w:val="24"/>
          <w:szCs w:val="24"/>
        </w:rPr>
        <w:t xml:space="preserve"> Thus, investigations are not designed to produce outcomes that are generalizable to broader populations who utilize well water for drinking.</w:t>
      </w:r>
    </w:p>
    <w:p w14:paraId="6ECFC632" w14:textId="77777777" w:rsidR="00A419A4" w:rsidRPr="00F33E1C" w:rsidRDefault="00A419A4" w:rsidP="00A730B9">
      <w:pPr>
        <w:pStyle w:val="ListParagraph"/>
        <w:autoSpaceDE w:val="0"/>
        <w:autoSpaceDN w:val="0"/>
        <w:adjustRightInd w:val="0"/>
        <w:spacing w:line="240" w:lineRule="auto"/>
        <w:rPr>
          <w:rFonts w:ascii="Times New Roman" w:hAnsi="Times New Roman"/>
          <w:sz w:val="24"/>
          <w:szCs w:val="24"/>
        </w:rPr>
      </w:pPr>
    </w:p>
    <w:p w14:paraId="33F362B4" w14:textId="77777777" w:rsidR="008A2953" w:rsidRPr="00F33E1C" w:rsidRDefault="00A419A4" w:rsidP="00955565">
      <w:pPr>
        <w:pStyle w:val="ListParagraph"/>
        <w:numPr>
          <w:ilvl w:val="0"/>
          <w:numId w:val="5"/>
        </w:numPr>
        <w:autoSpaceDE w:val="0"/>
        <w:autoSpaceDN w:val="0"/>
        <w:adjustRightInd w:val="0"/>
        <w:spacing w:line="240" w:lineRule="auto"/>
        <w:rPr>
          <w:rFonts w:ascii="Times New Roman" w:hAnsi="Times New Roman"/>
          <w:sz w:val="24"/>
          <w:szCs w:val="24"/>
        </w:rPr>
      </w:pPr>
      <w:r w:rsidRPr="00F33E1C">
        <w:rPr>
          <w:rFonts w:ascii="Times New Roman" w:hAnsi="Times New Roman"/>
          <w:sz w:val="24"/>
          <w:szCs w:val="24"/>
        </w:rPr>
        <w:t xml:space="preserve">Results from investigations will be used to </w:t>
      </w:r>
      <w:r w:rsidR="008A2953" w:rsidRPr="00F33E1C">
        <w:rPr>
          <w:rFonts w:ascii="Times New Roman" w:hAnsi="Times New Roman"/>
          <w:sz w:val="24"/>
          <w:szCs w:val="24"/>
        </w:rPr>
        <w:t xml:space="preserve">improve the requesting agency’s public health </w:t>
      </w:r>
      <w:r w:rsidRPr="00F33E1C">
        <w:rPr>
          <w:rFonts w:ascii="Times New Roman" w:hAnsi="Times New Roman"/>
          <w:sz w:val="24"/>
          <w:szCs w:val="24"/>
        </w:rPr>
        <w:t>activities</w:t>
      </w:r>
      <w:r w:rsidR="008A2953" w:rsidRPr="00F33E1C">
        <w:rPr>
          <w:rFonts w:ascii="Times New Roman" w:hAnsi="Times New Roman"/>
          <w:sz w:val="24"/>
          <w:szCs w:val="24"/>
        </w:rPr>
        <w:t>.</w:t>
      </w:r>
    </w:p>
    <w:p w14:paraId="1B1E54A8" w14:textId="77777777" w:rsidR="008A2953" w:rsidRPr="00F33E1C" w:rsidRDefault="008A2953" w:rsidP="008A2953">
      <w:pPr>
        <w:pStyle w:val="ListParagraph"/>
        <w:autoSpaceDE w:val="0"/>
        <w:autoSpaceDN w:val="0"/>
        <w:adjustRightInd w:val="0"/>
        <w:spacing w:line="240" w:lineRule="auto"/>
        <w:rPr>
          <w:rFonts w:ascii="Times New Roman" w:hAnsi="Times New Roman"/>
          <w:sz w:val="24"/>
          <w:szCs w:val="24"/>
        </w:rPr>
      </w:pPr>
    </w:p>
    <w:p w14:paraId="73AC1E89" w14:textId="38779DA6" w:rsidR="001F18C4" w:rsidRDefault="00A419A4" w:rsidP="00C05E8F">
      <w:pPr>
        <w:pStyle w:val="ListParagraph"/>
        <w:numPr>
          <w:ilvl w:val="0"/>
          <w:numId w:val="5"/>
        </w:numPr>
        <w:autoSpaceDE w:val="0"/>
        <w:autoSpaceDN w:val="0"/>
        <w:adjustRightInd w:val="0"/>
        <w:spacing w:line="240" w:lineRule="auto"/>
      </w:pPr>
      <w:r w:rsidRPr="00F33E1C">
        <w:rPr>
          <w:rFonts w:ascii="Times New Roman" w:hAnsi="Times New Roman"/>
          <w:sz w:val="24"/>
          <w:szCs w:val="24"/>
        </w:rPr>
        <w:t>Inve</w:t>
      </w:r>
      <w:r w:rsidR="008A2953" w:rsidRPr="00F33E1C">
        <w:rPr>
          <w:rFonts w:ascii="Times New Roman" w:hAnsi="Times New Roman"/>
          <w:sz w:val="24"/>
          <w:szCs w:val="24"/>
        </w:rPr>
        <w:t xml:space="preserve">stigations will be restricted to domestic </w:t>
      </w:r>
      <w:r w:rsidRPr="00F33E1C">
        <w:rPr>
          <w:rFonts w:ascii="Times New Roman" w:hAnsi="Times New Roman"/>
          <w:sz w:val="24"/>
          <w:szCs w:val="24"/>
        </w:rPr>
        <w:t>concerns</w:t>
      </w:r>
      <w:r w:rsidR="00090682">
        <w:rPr>
          <w:rFonts w:ascii="Times New Roman" w:hAnsi="Times New Roman"/>
          <w:sz w:val="24"/>
          <w:szCs w:val="24"/>
        </w:rPr>
        <w:t xml:space="preserve"> </w:t>
      </w:r>
      <w:r w:rsidR="003D0894">
        <w:rPr>
          <w:rFonts w:ascii="Times New Roman" w:hAnsi="Times New Roman"/>
          <w:sz w:val="24"/>
          <w:szCs w:val="24"/>
        </w:rPr>
        <w:t>in a</w:t>
      </w:r>
      <w:r w:rsidR="00090682">
        <w:rPr>
          <w:rFonts w:ascii="Times New Roman" w:hAnsi="Times New Roman"/>
          <w:sz w:val="24"/>
          <w:szCs w:val="24"/>
        </w:rPr>
        <w:t xml:space="preserve"> </w:t>
      </w:r>
      <w:r w:rsidR="003D0894" w:rsidRPr="00892E69">
        <w:rPr>
          <w:rFonts w:ascii="Times New Roman" w:hAnsi="Times New Roman"/>
          <w:sz w:val="24"/>
          <w:szCs w:val="24"/>
        </w:rPr>
        <w:t>geographic area</w:t>
      </w:r>
      <w:r w:rsidR="003D0894">
        <w:rPr>
          <w:rFonts w:ascii="Times New Roman" w:hAnsi="Times New Roman"/>
          <w:sz w:val="24"/>
          <w:szCs w:val="24"/>
        </w:rPr>
        <w:t xml:space="preserve"> specified by the requesting agency.</w:t>
      </w:r>
    </w:p>
    <w:p w14:paraId="2F93B734" w14:textId="2EFCDD04" w:rsidR="004E143E" w:rsidRDefault="00C05E8F" w:rsidP="00362FE9">
      <w:pPr>
        <w:autoSpaceDE w:val="0"/>
        <w:autoSpaceDN w:val="0"/>
        <w:adjustRightInd w:val="0"/>
        <w:spacing w:line="240" w:lineRule="auto"/>
        <w:ind w:left="720" w:hanging="360"/>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r>
      <w:r w:rsidR="004E143E">
        <w:rPr>
          <w:rFonts w:ascii="Times New Roman" w:hAnsi="Times New Roman"/>
          <w:sz w:val="24"/>
          <w:szCs w:val="24"/>
        </w:rPr>
        <w:t>A full protocol will be developed prior to submitting a generic information collection (GenIC), as these investigations are not governed by emergencies.</w:t>
      </w:r>
    </w:p>
    <w:p w14:paraId="455FB947" w14:textId="15823E5C" w:rsidR="003F5C73" w:rsidRPr="00362FE9" w:rsidRDefault="004E143E" w:rsidP="00362FE9">
      <w:pPr>
        <w:autoSpaceDE w:val="0"/>
        <w:autoSpaceDN w:val="0"/>
        <w:adjustRightInd w:val="0"/>
        <w:spacing w:line="240" w:lineRule="auto"/>
        <w:ind w:left="720" w:hanging="360"/>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ab/>
      </w:r>
      <w:r w:rsidR="003F5C73" w:rsidRPr="00362FE9">
        <w:rPr>
          <w:rFonts w:ascii="Times New Roman" w:hAnsi="Times New Roman"/>
          <w:sz w:val="24"/>
          <w:szCs w:val="24"/>
        </w:rPr>
        <w:t>A full Supporting Statement Part A and Part B</w:t>
      </w:r>
      <w:r>
        <w:rPr>
          <w:rFonts w:ascii="Times New Roman" w:hAnsi="Times New Roman"/>
          <w:sz w:val="24"/>
          <w:szCs w:val="24"/>
        </w:rPr>
        <w:t>, and necessary attachments,</w:t>
      </w:r>
      <w:r w:rsidR="003F5C73" w:rsidRPr="00362FE9">
        <w:rPr>
          <w:rFonts w:ascii="Times New Roman" w:hAnsi="Times New Roman"/>
          <w:sz w:val="24"/>
          <w:szCs w:val="24"/>
        </w:rPr>
        <w:t xml:space="preserve"> will be included with each </w:t>
      </w:r>
      <w:r w:rsidR="006957DC">
        <w:rPr>
          <w:rFonts w:ascii="Times New Roman" w:hAnsi="Times New Roman"/>
          <w:sz w:val="24"/>
          <w:szCs w:val="24"/>
        </w:rPr>
        <w:t>GenIC</w:t>
      </w:r>
      <w:r w:rsidR="003F5C73" w:rsidRPr="00362FE9">
        <w:rPr>
          <w:rFonts w:ascii="Times New Roman" w:hAnsi="Times New Roman"/>
          <w:sz w:val="24"/>
          <w:szCs w:val="24"/>
        </w:rPr>
        <w:t xml:space="preserve"> submitted under this </w:t>
      </w:r>
      <w:r w:rsidR="00C05E8F">
        <w:rPr>
          <w:rFonts w:ascii="Times New Roman" w:hAnsi="Times New Roman"/>
          <w:sz w:val="24"/>
          <w:szCs w:val="24"/>
        </w:rPr>
        <w:t>G</w:t>
      </w:r>
      <w:r w:rsidR="003F5C73" w:rsidRPr="00362FE9">
        <w:rPr>
          <w:rFonts w:ascii="Times New Roman" w:hAnsi="Times New Roman"/>
          <w:sz w:val="24"/>
          <w:szCs w:val="24"/>
        </w:rPr>
        <w:t>eneric</w:t>
      </w:r>
      <w:r w:rsidR="00C05E8F">
        <w:rPr>
          <w:rFonts w:ascii="Times New Roman" w:hAnsi="Times New Roman"/>
          <w:sz w:val="24"/>
          <w:szCs w:val="24"/>
        </w:rPr>
        <w:t xml:space="preserve"> ICR</w:t>
      </w:r>
      <w:r w:rsidR="003F5C73" w:rsidRPr="00362FE9">
        <w:rPr>
          <w:rFonts w:ascii="Times New Roman" w:hAnsi="Times New Roman"/>
          <w:sz w:val="24"/>
          <w:szCs w:val="24"/>
        </w:rPr>
        <w:t>.</w:t>
      </w:r>
    </w:p>
    <w:p w14:paraId="50ED27C8" w14:textId="77777777" w:rsidR="00A12868" w:rsidRPr="00F33E1C" w:rsidRDefault="00A12868" w:rsidP="006E3A65">
      <w:pPr>
        <w:spacing w:after="0" w:line="240" w:lineRule="auto"/>
        <w:ind w:left="720"/>
        <w:rPr>
          <w:rFonts w:ascii="Times New Roman" w:hAnsi="Times New Roman"/>
          <w:sz w:val="24"/>
          <w:szCs w:val="24"/>
        </w:rPr>
      </w:pPr>
      <w:r w:rsidRPr="00F33E1C">
        <w:rPr>
          <w:rFonts w:ascii="Times New Roman" w:hAnsi="Times New Roman"/>
          <w:sz w:val="24"/>
          <w:szCs w:val="24"/>
        </w:rPr>
        <w:t xml:space="preserve">  </w:t>
      </w:r>
    </w:p>
    <w:p w14:paraId="351BF913" w14:textId="77777777" w:rsidR="00B56054" w:rsidRPr="00F33E1C" w:rsidRDefault="00B56054" w:rsidP="00B56054">
      <w:pPr>
        <w:pStyle w:val="Heading2"/>
        <w:rPr>
          <w:rFonts w:ascii="Times New Roman" w:hAnsi="Times New Roman"/>
          <w:sz w:val="24"/>
          <w:szCs w:val="24"/>
        </w:rPr>
      </w:pPr>
      <w:r w:rsidRPr="00F33E1C">
        <w:rPr>
          <w:rFonts w:ascii="Times New Roman" w:hAnsi="Times New Roman"/>
          <w:sz w:val="24"/>
          <w:szCs w:val="24"/>
        </w:rPr>
        <w:t>Purpose and Use of the Information Collection</w:t>
      </w:r>
    </w:p>
    <w:p w14:paraId="0D2F2A71" w14:textId="77777777" w:rsidR="00892E69" w:rsidRDefault="00892E69" w:rsidP="00892E69">
      <w:pPr>
        <w:spacing w:after="0" w:line="240" w:lineRule="auto"/>
        <w:rPr>
          <w:rFonts w:ascii="Times New Roman" w:hAnsi="Times New Roman"/>
          <w:sz w:val="24"/>
          <w:szCs w:val="24"/>
        </w:rPr>
      </w:pPr>
    </w:p>
    <w:p w14:paraId="69704B88" w14:textId="68DBD5E7" w:rsidR="00441024" w:rsidRDefault="00B56054" w:rsidP="007410C5">
      <w:pPr>
        <w:spacing w:after="0" w:line="240" w:lineRule="auto"/>
        <w:rPr>
          <w:rFonts w:ascii="Times New Roman" w:hAnsi="Times New Roman"/>
          <w:sz w:val="24"/>
          <w:szCs w:val="24"/>
        </w:rPr>
      </w:pPr>
      <w:r w:rsidRPr="00F33E1C">
        <w:rPr>
          <w:rFonts w:ascii="Times New Roman" w:hAnsi="Times New Roman"/>
          <w:sz w:val="24"/>
          <w:szCs w:val="24"/>
        </w:rPr>
        <w:t>The purpose of this</w:t>
      </w:r>
      <w:r w:rsidR="00D30660">
        <w:rPr>
          <w:rFonts w:ascii="Times New Roman" w:hAnsi="Times New Roman"/>
          <w:sz w:val="24"/>
          <w:szCs w:val="24"/>
        </w:rPr>
        <w:t xml:space="preserve"> </w:t>
      </w:r>
      <w:r w:rsidR="00CE1F6E">
        <w:rPr>
          <w:rFonts w:ascii="Times New Roman" w:hAnsi="Times New Roman"/>
          <w:sz w:val="24"/>
          <w:szCs w:val="24"/>
        </w:rPr>
        <w:t>Generic</w:t>
      </w:r>
      <w:r w:rsidR="00ED06EF">
        <w:rPr>
          <w:rFonts w:ascii="Times New Roman" w:hAnsi="Times New Roman"/>
          <w:sz w:val="24"/>
          <w:szCs w:val="24"/>
        </w:rPr>
        <w:t xml:space="preserve"> </w:t>
      </w:r>
      <w:r w:rsidR="00CA74E1">
        <w:rPr>
          <w:rFonts w:ascii="Times New Roman" w:hAnsi="Times New Roman"/>
          <w:sz w:val="24"/>
          <w:szCs w:val="24"/>
        </w:rPr>
        <w:t xml:space="preserve">ICR </w:t>
      </w:r>
      <w:r w:rsidRPr="00F33E1C">
        <w:rPr>
          <w:rFonts w:ascii="Times New Roman" w:hAnsi="Times New Roman"/>
          <w:sz w:val="24"/>
          <w:szCs w:val="24"/>
        </w:rPr>
        <w:t>is to</w:t>
      </w:r>
      <w:r w:rsidR="005344F0">
        <w:rPr>
          <w:rFonts w:ascii="Times New Roman" w:hAnsi="Times New Roman"/>
          <w:sz w:val="24"/>
          <w:szCs w:val="24"/>
        </w:rPr>
        <w:t xml:space="preserve"> respond to state and local areas that request assistance with </w:t>
      </w:r>
      <w:r w:rsidRPr="00F33E1C">
        <w:rPr>
          <w:rFonts w:ascii="Times New Roman" w:hAnsi="Times New Roman"/>
          <w:sz w:val="24"/>
          <w:szCs w:val="24"/>
        </w:rPr>
        <w:t>assess</w:t>
      </w:r>
      <w:r w:rsidR="005344F0">
        <w:rPr>
          <w:rFonts w:ascii="Times New Roman" w:hAnsi="Times New Roman"/>
          <w:sz w:val="24"/>
          <w:szCs w:val="24"/>
        </w:rPr>
        <w:t>ing</w:t>
      </w:r>
      <w:r w:rsidRPr="00F33E1C">
        <w:rPr>
          <w:rFonts w:ascii="Times New Roman" w:hAnsi="Times New Roman"/>
          <w:sz w:val="24"/>
          <w:szCs w:val="24"/>
        </w:rPr>
        <w:t xml:space="preserve"> </w:t>
      </w:r>
      <w:r w:rsidR="00F62E7B">
        <w:rPr>
          <w:rFonts w:ascii="Times New Roman" w:hAnsi="Times New Roman"/>
          <w:sz w:val="24"/>
          <w:szCs w:val="24"/>
        </w:rPr>
        <w:t>potential</w:t>
      </w:r>
      <w:r w:rsidR="00B77335">
        <w:rPr>
          <w:rFonts w:ascii="Times New Roman" w:hAnsi="Times New Roman"/>
          <w:sz w:val="24"/>
          <w:szCs w:val="24"/>
        </w:rPr>
        <w:t xml:space="preserve"> </w:t>
      </w:r>
      <w:r w:rsidRPr="00F33E1C">
        <w:rPr>
          <w:rFonts w:ascii="Times New Roman" w:hAnsi="Times New Roman"/>
          <w:sz w:val="24"/>
          <w:szCs w:val="24"/>
        </w:rPr>
        <w:t>exposure to contaminants in drinking water from private wells</w:t>
      </w:r>
      <w:r w:rsidR="005344F0">
        <w:rPr>
          <w:rFonts w:ascii="Times New Roman" w:hAnsi="Times New Roman"/>
          <w:sz w:val="24"/>
          <w:szCs w:val="24"/>
        </w:rPr>
        <w:t xml:space="preserve"> in their jurisdiction. </w:t>
      </w:r>
      <w:r w:rsidR="00711CE2" w:rsidRPr="00F33E1C">
        <w:rPr>
          <w:rFonts w:ascii="Times New Roman" w:hAnsi="Times New Roman"/>
          <w:sz w:val="24"/>
          <w:szCs w:val="24"/>
        </w:rPr>
        <w:t>The new information obtained from these</w:t>
      </w:r>
      <w:r w:rsidR="00441C84">
        <w:rPr>
          <w:rFonts w:ascii="Times New Roman" w:hAnsi="Times New Roman"/>
          <w:sz w:val="24"/>
          <w:szCs w:val="24"/>
        </w:rPr>
        <w:t xml:space="preserve"> investigations will be </w:t>
      </w:r>
      <w:r w:rsidR="00AA74F0">
        <w:rPr>
          <w:rFonts w:ascii="Times New Roman" w:hAnsi="Times New Roman"/>
          <w:sz w:val="24"/>
          <w:szCs w:val="24"/>
        </w:rPr>
        <w:t xml:space="preserve">the description </w:t>
      </w:r>
      <w:r w:rsidR="006E3A65">
        <w:rPr>
          <w:rFonts w:ascii="Times New Roman" w:hAnsi="Times New Roman"/>
          <w:sz w:val="24"/>
          <w:szCs w:val="24"/>
        </w:rPr>
        <w:t xml:space="preserve">of </w:t>
      </w:r>
      <w:r w:rsidR="00E8228B">
        <w:rPr>
          <w:rFonts w:ascii="Times New Roman" w:hAnsi="Times New Roman"/>
          <w:sz w:val="24"/>
          <w:szCs w:val="24"/>
        </w:rPr>
        <w:t xml:space="preserve">exposure to </w:t>
      </w:r>
      <w:r w:rsidRPr="00F33E1C">
        <w:rPr>
          <w:rFonts w:ascii="Times New Roman" w:hAnsi="Times New Roman"/>
          <w:sz w:val="24"/>
          <w:szCs w:val="24"/>
        </w:rPr>
        <w:t xml:space="preserve">contaminants in </w:t>
      </w:r>
      <w:r w:rsidR="00E8228B">
        <w:rPr>
          <w:rFonts w:ascii="Times New Roman" w:hAnsi="Times New Roman"/>
          <w:sz w:val="24"/>
          <w:szCs w:val="24"/>
        </w:rPr>
        <w:t xml:space="preserve">drinking water from </w:t>
      </w:r>
      <w:r w:rsidR="00892E69">
        <w:rPr>
          <w:rFonts w:ascii="Times New Roman" w:hAnsi="Times New Roman"/>
          <w:sz w:val="24"/>
          <w:szCs w:val="24"/>
        </w:rPr>
        <w:t>pri</w:t>
      </w:r>
      <w:r w:rsidR="00481CBF" w:rsidRPr="00F33E1C">
        <w:rPr>
          <w:rFonts w:ascii="Times New Roman" w:hAnsi="Times New Roman"/>
          <w:sz w:val="24"/>
          <w:szCs w:val="24"/>
        </w:rPr>
        <w:t>vate well</w:t>
      </w:r>
      <w:r w:rsidR="00E8228B">
        <w:rPr>
          <w:rFonts w:ascii="Times New Roman" w:hAnsi="Times New Roman"/>
          <w:sz w:val="24"/>
          <w:szCs w:val="24"/>
        </w:rPr>
        <w:t>s</w:t>
      </w:r>
      <w:r w:rsidR="00481CBF" w:rsidRPr="00F33E1C">
        <w:rPr>
          <w:rFonts w:ascii="Times New Roman" w:hAnsi="Times New Roman"/>
          <w:sz w:val="24"/>
          <w:szCs w:val="24"/>
        </w:rPr>
        <w:t xml:space="preserve"> </w:t>
      </w:r>
      <w:r w:rsidRPr="00F33E1C">
        <w:rPr>
          <w:rFonts w:ascii="Times New Roman" w:hAnsi="Times New Roman"/>
          <w:sz w:val="24"/>
          <w:szCs w:val="24"/>
        </w:rPr>
        <w:t>within a well-defined time period and</w:t>
      </w:r>
      <w:r w:rsidR="005344F0">
        <w:rPr>
          <w:rFonts w:ascii="Times New Roman" w:hAnsi="Times New Roman"/>
          <w:sz w:val="24"/>
          <w:szCs w:val="24"/>
        </w:rPr>
        <w:t>, in some cases,</w:t>
      </w:r>
      <w:r w:rsidRPr="00F33E1C">
        <w:rPr>
          <w:rFonts w:ascii="Times New Roman" w:hAnsi="Times New Roman"/>
          <w:sz w:val="24"/>
          <w:szCs w:val="24"/>
        </w:rPr>
        <w:t xml:space="preserve"> geographic distribution</w:t>
      </w:r>
      <w:r w:rsidR="00AA74F0">
        <w:rPr>
          <w:rFonts w:ascii="Times New Roman" w:hAnsi="Times New Roman"/>
          <w:sz w:val="24"/>
          <w:szCs w:val="24"/>
        </w:rPr>
        <w:t>. This information will be used</w:t>
      </w:r>
      <w:r w:rsidR="005344F0">
        <w:rPr>
          <w:rFonts w:ascii="Times New Roman" w:hAnsi="Times New Roman"/>
          <w:sz w:val="24"/>
          <w:szCs w:val="24"/>
        </w:rPr>
        <w:t xml:space="preserve"> by the requesting agency </w:t>
      </w:r>
      <w:r w:rsidR="00AA74F0">
        <w:rPr>
          <w:rFonts w:ascii="Times New Roman" w:hAnsi="Times New Roman"/>
          <w:sz w:val="24"/>
          <w:szCs w:val="24"/>
        </w:rPr>
        <w:t xml:space="preserve">to inform </w:t>
      </w:r>
      <w:r w:rsidR="005344F0">
        <w:rPr>
          <w:rFonts w:ascii="Times New Roman" w:hAnsi="Times New Roman"/>
          <w:sz w:val="24"/>
          <w:szCs w:val="24"/>
        </w:rPr>
        <w:t xml:space="preserve">whether there is a need for </w:t>
      </w:r>
      <w:r w:rsidR="00AA74F0">
        <w:rPr>
          <w:rFonts w:ascii="Times New Roman" w:hAnsi="Times New Roman"/>
          <w:sz w:val="24"/>
          <w:szCs w:val="24"/>
        </w:rPr>
        <w:t xml:space="preserve">public health </w:t>
      </w:r>
      <w:r w:rsidR="005344F0">
        <w:rPr>
          <w:rFonts w:ascii="Times New Roman" w:hAnsi="Times New Roman"/>
          <w:sz w:val="24"/>
          <w:szCs w:val="24"/>
        </w:rPr>
        <w:t>intervention</w:t>
      </w:r>
      <w:r w:rsidR="00AA74F0">
        <w:rPr>
          <w:rFonts w:ascii="Times New Roman" w:hAnsi="Times New Roman"/>
          <w:sz w:val="24"/>
          <w:szCs w:val="24"/>
        </w:rPr>
        <w:t xml:space="preserve"> activities </w:t>
      </w:r>
      <w:r w:rsidR="003E2191">
        <w:rPr>
          <w:rFonts w:ascii="Times New Roman" w:hAnsi="Times New Roman"/>
          <w:sz w:val="24"/>
          <w:szCs w:val="24"/>
        </w:rPr>
        <w:t>to</w:t>
      </w:r>
      <w:r w:rsidR="007410C5" w:rsidRPr="00F33E1C">
        <w:rPr>
          <w:rFonts w:ascii="Times New Roman" w:hAnsi="Times New Roman"/>
          <w:sz w:val="24"/>
          <w:szCs w:val="24"/>
        </w:rPr>
        <w:t xml:space="preserve"> reduce exposures. </w:t>
      </w:r>
    </w:p>
    <w:p w14:paraId="0B82C868" w14:textId="77777777" w:rsidR="00441024" w:rsidRDefault="00441024" w:rsidP="007410C5">
      <w:pPr>
        <w:spacing w:after="0" w:line="240" w:lineRule="auto"/>
        <w:rPr>
          <w:rFonts w:ascii="Times New Roman" w:hAnsi="Times New Roman"/>
          <w:sz w:val="24"/>
          <w:szCs w:val="24"/>
        </w:rPr>
      </w:pPr>
    </w:p>
    <w:p w14:paraId="3798FF5B" w14:textId="140E814B" w:rsidR="007410C5" w:rsidRPr="00F33E1C" w:rsidRDefault="007410C5" w:rsidP="007410C5">
      <w:pPr>
        <w:spacing w:after="0" w:line="240" w:lineRule="auto"/>
        <w:rPr>
          <w:rFonts w:ascii="Times New Roman" w:hAnsi="Times New Roman"/>
          <w:sz w:val="24"/>
          <w:szCs w:val="24"/>
        </w:rPr>
      </w:pPr>
      <w:r>
        <w:rPr>
          <w:rFonts w:ascii="Times New Roman" w:hAnsi="Times New Roman"/>
          <w:sz w:val="24"/>
          <w:szCs w:val="24"/>
        </w:rPr>
        <w:t>An example</w:t>
      </w:r>
      <w:r w:rsidRPr="00F33E1C">
        <w:rPr>
          <w:rFonts w:ascii="Times New Roman" w:hAnsi="Times New Roman"/>
          <w:sz w:val="24"/>
          <w:szCs w:val="24"/>
        </w:rPr>
        <w:t xml:space="preserve"> of </w:t>
      </w:r>
      <w:r>
        <w:rPr>
          <w:rFonts w:ascii="Times New Roman" w:hAnsi="Times New Roman"/>
          <w:sz w:val="24"/>
          <w:szCs w:val="24"/>
        </w:rPr>
        <w:t xml:space="preserve">a </w:t>
      </w:r>
      <w:r w:rsidRPr="00F33E1C">
        <w:rPr>
          <w:rFonts w:ascii="Times New Roman" w:hAnsi="Times New Roman"/>
          <w:sz w:val="24"/>
          <w:szCs w:val="24"/>
        </w:rPr>
        <w:t>prior stud</w:t>
      </w:r>
      <w:r>
        <w:rPr>
          <w:rFonts w:ascii="Times New Roman" w:hAnsi="Times New Roman"/>
          <w:sz w:val="24"/>
          <w:szCs w:val="24"/>
        </w:rPr>
        <w:t>y</w:t>
      </w:r>
      <w:r w:rsidRPr="00F33E1C">
        <w:rPr>
          <w:rFonts w:ascii="Times New Roman" w:hAnsi="Times New Roman"/>
          <w:sz w:val="24"/>
          <w:szCs w:val="24"/>
        </w:rPr>
        <w:t xml:space="preserve"> conducted by CDC that ha</w:t>
      </w:r>
      <w:r>
        <w:rPr>
          <w:rFonts w:ascii="Times New Roman" w:hAnsi="Times New Roman"/>
          <w:sz w:val="24"/>
          <w:szCs w:val="24"/>
        </w:rPr>
        <w:t>s</w:t>
      </w:r>
      <w:r w:rsidRPr="00F33E1C">
        <w:rPr>
          <w:rFonts w:ascii="Times New Roman" w:hAnsi="Times New Roman"/>
          <w:sz w:val="24"/>
          <w:szCs w:val="24"/>
        </w:rPr>
        <w:t xml:space="preserve"> yielded information used to reduce exposures include the following: </w:t>
      </w:r>
    </w:p>
    <w:p w14:paraId="3AC1CB17" w14:textId="6587C0DF" w:rsidR="007410C5" w:rsidRPr="007410C5" w:rsidRDefault="007410C5" w:rsidP="00E83815">
      <w:pPr>
        <w:numPr>
          <w:ilvl w:val="0"/>
          <w:numId w:val="2"/>
        </w:numPr>
        <w:spacing w:after="0" w:line="240" w:lineRule="auto"/>
        <w:rPr>
          <w:rFonts w:ascii="Times New Roman" w:hAnsi="Times New Roman"/>
          <w:sz w:val="24"/>
          <w:szCs w:val="24"/>
        </w:rPr>
      </w:pPr>
      <w:r w:rsidRPr="00F33E1C">
        <w:rPr>
          <w:rFonts w:ascii="Times New Roman" w:hAnsi="Times New Roman"/>
          <w:sz w:val="24"/>
          <w:szCs w:val="24"/>
        </w:rPr>
        <w:t xml:space="preserve">NCEH provided technical assistance </w:t>
      </w:r>
      <w:r>
        <w:rPr>
          <w:rFonts w:ascii="Times New Roman" w:hAnsi="Times New Roman"/>
          <w:sz w:val="24"/>
          <w:szCs w:val="24"/>
        </w:rPr>
        <w:t xml:space="preserve">(OMB approval was not needed) </w:t>
      </w:r>
      <w:r w:rsidRPr="00F33E1C">
        <w:rPr>
          <w:rFonts w:ascii="Times New Roman" w:hAnsi="Times New Roman"/>
          <w:sz w:val="24"/>
          <w:szCs w:val="24"/>
        </w:rPr>
        <w:t xml:space="preserve">to assess the </w:t>
      </w:r>
      <w:r>
        <w:rPr>
          <w:rFonts w:ascii="Times New Roman" w:hAnsi="Times New Roman"/>
          <w:sz w:val="24"/>
          <w:szCs w:val="24"/>
        </w:rPr>
        <w:t xml:space="preserve">health risks associated with drinking water from various </w:t>
      </w:r>
      <w:r w:rsidRPr="00F33E1C">
        <w:rPr>
          <w:rFonts w:ascii="Times New Roman" w:hAnsi="Times New Roman"/>
          <w:sz w:val="24"/>
          <w:szCs w:val="24"/>
        </w:rPr>
        <w:t>source</w:t>
      </w:r>
      <w:r w:rsidR="00583B74">
        <w:rPr>
          <w:rFonts w:ascii="Times New Roman" w:hAnsi="Times New Roman"/>
          <w:sz w:val="24"/>
          <w:szCs w:val="24"/>
        </w:rPr>
        <w:t>s used by the Navajo Nation (2007-2011).</w:t>
      </w:r>
      <w:r w:rsidRPr="00F33E1C">
        <w:rPr>
          <w:rFonts w:ascii="Times New Roman" w:hAnsi="Times New Roman"/>
          <w:sz w:val="24"/>
          <w:szCs w:val="24"/>
        </w:rPr>
        <w:t xml:space="preserve"> </w:t>
      </w:r>
      <w:r>
        <w:rPr>
          <w:rFonts w:ascii="Times New Roman" w:hAnsi="Times New Roman"/>
          <w:sz w:val="24"/>
          <w:szCs w:val="24"/>
        </w:rPr>
        <w:t>The investigation identified contaminants, including uranium, in these drinking water sources.  Based on this information,</w:t>
      </w:r>
      <w:r w:rsidRPr="00F33E1C">
        <w:rPr>
          <w:rFonts w:ascii="Times New Roman" w:hAnsi="Times New Roman"/>
          <w:sz w:val="24"/>
          <w:szCs w:val="24"/>
        </w:rPr>
        <w:t xml:space="preserve"> the Navajo Nation Environmental Protection Agency (NNEPA) and Navajo Nation Division of Health (NNDOH) collaborated to develop a consumer awareness campaign to help people understand sources of drinking water contamination, learn where to get safe drinking water, and learn how to protect the quality of water stored at home.</w:t>
      </w:r>
    </w:p>
    <w:p w14:paraId="5EDAEB1E" w14:textId="77777777" w:rsidR="00572637" w:rsidRPr="00F33E1C" w:rsidRDefault="00572637" w:rsidP="00A730B9">
      <w:pPr>
        <w:spacing w:after="0" w:line="240" w:lineRule="auto"/>
        <w:ind w:left="720"/>
        <w:rPr>
          <w:rFonts w:ascii="Times New Roman" w:hAnsi="Times New Roman"/>
          <w:sz w:val="24"/>
          <w:szCs w:val="24"/>
        </w:rPr>
      </w:pPr>
    </w:p>
    <w:p w14:paraId="722F7C19" w14:textId="60817BFE" w:rsidR="00B56054" w:rsidRDefault="00572637" w:rsidP="002D729A">
      <w:pPr>
        <w:pStyle w:val="Default"/>
      </w:pPr>
      <w:r w:rsidRPr="00F33E1C">
        <w:rPr>
          <w:rFonts w:ascii="Times New Roman" w:hAnsi="Times New Roman" w:cs="Times New Roman"/>
        </w:rPr>
        <w:t>Having a generic mechanism in place will facilitate a faster processing and clearance of i</w:t>
      </w:r>
      <w:r w:rsidR="003C0F80">
        <w:rPr>
          <w:rFonts w:ascii="Times New Roman" w:hAnsi="Times New Roman" w:cs="Times New Roman"/>
        </w:rPr>
        <w:t>nformation collection approvals</w:t>
      </w:r>
      <w:r w:rsidRPr="00F33E1C">
        <w:rPr>
          <w:rFonts w:ascii="Times New Roman" w:hAnsi="Times New Roman" w:cs="Times New Roman"/>
        </w:rPr>
        <w:t xml:space="preserve"> requested by NCEH </w:t>
      </w:r>
      <w:r w:rsidR="008C6E30">
        <w:rPr>
          <w:rFonts w:ascii="Times New Roman" w:hAnsi="Times New Roman" w:cs="Times New Roman"/>
        </w:rPr>
        <w:t xml:space="preserve">and </w:t>
      </w:r>
      <w:r w:rsidRPr="00F33E1C">
        <w:rPr>
          <w:rFonts w:ascii="Times New Roman" w:hAnsi="Times New Roman" w:cs="Times New Roman"/>
        </w:rPr>
        <w:t>partners.</w:t>
      </w:r>
    </w:p>
    <w:p w14:paraId="22B8B089" w14:textId="77777777" w:rsidR="00F87909" w:rsidRPr="00F33E1C" w:rsidRDefault="00F87909" w:rsidP="00B56054">
      <w:pPr>
        <w:spacing w:after="0" w:line="240" w:lineRule="auto"/>
        <w:rPr>
          <w:rFonts w:ascii="Times New Roman" w:hAnsi="Times New Roman"/>
          <w:sz w:val="24"/>
          <w:szCs w:val="24"/>
        </w:rPr>
      </w:pPr>
    </w:p>
    <w:p w14:paraId="22594F83" w14:textId="77777777" w:rsidR="00072030" w:rsidRPr="00F33E1C" w:rsidRDefault="00072030" w:rsidP="00886F4E">
      <w:pPr>
        <w:pStyle w:val="Default"/>
        <w:rPr>
          <w:rFonts w:ascii="Times New Roman" w:hAnsi="Times New Roman" w:cs="Times New Roman"/>
          <w:b/>
        </w:rPr>
      </w:pPr>
      <w:r w:rsidRPr="00F33E1C">
        <w:rPr>
          <w:rFonts w:ascii="Times New Roman" w:hAnsi="Times New Roman" w:cs="Times New Roman"/>
          <w:b/>
        </w:rPr>
        <w:t xml:space="preserve">3. Use of Improved Information Technology and Burden Reduction </w:t>
      </w:r>
    </w:p>
    <w:p w14:paraId="574C22F7" w14:textId="77777777" w:rsidR="00072030" w:rsidRPr="00F33E1C" w:rsidRDefault="00072030" w:rsidP="00072030">
      <w:pPr>
        <w:pStyle w:val="Default"/>
        <w:rPr>
          <w:rFonts w:ascii="Times New Roman" w:hAnsi="Times New Roman" w:cs="Times New Roman"/>
          <w:color w:val="4F81BD" w:themeColor="accent1"/>
        </w:rPr>
      </w:pPr>
    </w:p>
    <w:p w14:paraId="218F16EA" w14:textId="77777777" w:rsidR="00DA3B7D" w:rsidRDefault="00072030" w:rsidP="00072030">
      <w:pPr>
        <w:spacing w:after="0" w:line="240" w:lineRule="auto"/>
        <w:rPr>
          <w:rFonts w:ascii="Times New Roman" w:hAnsi="Times New Roman"/>
          <w:sz w:val="24"/>
          <w:szCs w:val="24"/>
        </w:rPr>
      </w:pPr>
      <w:r w:rsidRPr="00F33E1C">
        <w:rPr>
          <w:rFonts w:ascii="Times New Roman" w:hAnsi="Times New Roman"/>
          <w:sz w:val="24"/>
          <w:szCs w:val="24"/>
        </w:rPr>
        <w:t xml:space="preserve">Whenever possible, NCEH staff will employ electronic technology (e.g., computer-assisted personal and phone </w:t>
      </w:r>
      <w:r w:rsidR="00CE6187">
        <w:rPr>
          <w:rFonts w:ascii="Times New Roman" w:hAnsi="Times New Roman"/>
          <w:sz w:val="24"/>
          <w:szCs w:val="24"/>
        </w:rPr>
        <w:t>q</w:t>
      </w:r>
      <w:r w:rsidR="0004251A">
        <w:rPr>
          <w:rFonts w:ascii="Times New Roman" w:hAnsi="Times New Roman"/>
          <w:sz w:val="24"/>
          <w:szCs w:val="24"/>
        </w:rPr>
        <w:t>uestionnaire</w:t>
      </w:r>
      <w:r w:rsidRPr="00F33E1C">
        <w:rPr>
          <w:rFonts w:ascii="Times New Roman" w:hAnsi="Times New Roman"/>
          <w:sz w:val="24"/>
          <w:szCs w:val="24"/>
        </w:rPr>
        <w:t xml:space="preserve">s, web-based </w:t>
      </w:r>
      <w:r w:rsidR="00CE6187">
        <w:rPr>
          <w:rFonts w:ascii="Times New Roman" w:hAnsi="Times New Roman"/>
          <w:sz w:val="24"/>
          <w:szCs w:val="24"/>
        </w:rPr>
        <w:t>q</w:t>
      </w:r>
      <w:r w:rsidR="0004251A">
        <w:rPr>
          <w:rFonts w:ascii="Times New Roman" w:hAnsi="Times New Roman"/>
          <w:sz w:val="24"/>
          <w:szCs w:val="24"/>
        </w:rPr>
        <w:t>uestionnaire</w:t>
      </w:r>
      <w:r w:rsidRPr="00F33E1C">
        <w:rPr>
          <w:rFonts w:ascii="Times New Roman" w:hAnsi="Times New Roman"/>
          <w:sz w:val="24"/>
          <w:szCs w:val="24"/>
        </w:rPr>
        <w:t>s) to collect and process data to reduce respondent burden and aid in data processing and reporting efficiency. Particular emphasis will be placed on compliance with the Government Paperwork Elimination Act (GPEA), Public Law 105-277, title XVII.</w:t>
      </w:r>
    </w:p>
    <w:p w14:paraId="7C8BF9A9" w14:textId="77777777" w:rsidR="00DA3B7D" w:rsidRDefault="00DA3B7D" w:rsidP="00072030">
      <w:pPr>
        <w:spacing w:after="0" w:line="240" w:lineRule="auto"/>
        <w:rPr>
          <w:rFonts w:ascii="Times New Roman" w:hAnsi="Times New Roman"/>
          <w:sz w:val="24"/>
          <w:szCs w:val="24"/>
        </w:rPr>
      </w:pPr>
    </w:p>
    <w:p w14:paraId="00E8EDF9" w14:textId="17F99F67" w:rsidR="00616248" w:rsidRDefault="00072030" w:rsidP="00072030">
      <w:pPr>
        <w:spacing w:after="0" w:line="240" w:lineRule="auto"/>
        <w:rPr>
          <w:rFonts w:ascii="Times New Roman" w:hAnsi="Times New Roman"/>
          <w:color w:val="000000"/>
          <w:sz w:val="24"/>
          <w:szCs w:val="24"/>
        </w:rPr>
      </w:pPr>
      <w:r w:rsidRPr="00F33E1C">
        <w:rPr>
          <w:rFonts w:ascii="Times New Roman" w:hAnsi="Times New Roman"/>
          <w:sz w:val="24"/>
          <w:szCs w:val="24"/>
        </w:rPr>
        <w:t xml:space="preserve">Each </w:t>
      </w:r>
      <w:r w:rsidR="00DA3B7D">
        <w:rPr>
          <w:rFonts w:ascii="Times New Roman" w:hAnsi="Times New Roman"/>
          <w:sz w:val="24"/>
          <w:szCs w:val="24"/>
        </w:rPr>
        <w:t xml:space="preserve">submission of a </w:t>
      </w:r>
      <w:r w:rsidRPr="00F33E1C">
        <w:rPr>
          <w:rFonts w:ascii="Times New Roman" w:hAnsi="Times New Roman"/>
          <w:sz w:val="24"/>
          <w:szCs w:val="24"/>
        </w:rPr>
        <w:t xml:space="preserve">proposed </w:t>
      </w:r>
      <w:r w:rsidR="00DA3B7D">
        <w:rPr>
          <w:rFonts w:ascii="Times New Roman" w:hAnsi="Times New Roman"/>
          <w:sz w:val="24"/>
          <w:szCs w:val="24"/>
        </w:rPr>
        <w:t xml:space="preserve">GenIC </w:t>
      </w:r>
      <w:r w:rsidRPr="00F33E1C">
        <w:rPr>
          <w:rFonts w:ascii="Times New Roman" w:hAnsi="Times New Roman"/>
          <w:sz w:val="24"/>
          <w:szCs w:val="24"/>
        </w:rPr>
        <w:t xml:space="preserve">will </w:t>
      </w:r>
      <w:r w:rsidR="00DA3B7D">
        <w:rPr>
          <w:rFonts w:ascii="Times New Roman" w:hAnsi="Times New Roman"/>
          <w:sz w:val="24"/>
          <w:szCs w:val="24"/>
        </w:rPr>
        <w:t>include</w:t>
      </w:r>
      <w:r w:rsidRPr="00F33E1C">
        <w:rPr>
          <w:rFonts w:ascii="Times New Roman" w:hAnsi="Times New Roman"/>
          <w:sz w:val="24"/>
          <w:szCs w:val="24"/>
        </w:rPr>
        <w:t xml:space="preserve"> the data collection instruments, including questionnaires and screenshots of web-based </w:t>
      </w:r>
      <w:r w:rsidR="00CE6187">
        <w:rPr>
          <w:rFonts w:ascii="Times New Roman" w:hAnsi="Times New Roman"/>
          <w:sz w:val="24"/>
          <w:szCs w:val="24"/>
        </w:rPr>
        <w:t>q</w:t>
      </w:r>
      <w:r w:rsidR="0004251A">
        <w:rPr>
          <w:rFonts w:ascii="Times New Roman" w:hAnsi="Times New Roman"/>
          <w:sz w:val="24"/>
          <w:szCs w:val="24"/>
        </w:rPr>
        <w:t>uestionnaire</w:t>
      </w:r>
      <w:r w:rsidRPr="00F33E1C">
        <w:rPr>
          <w:rFonts w:ascii="Times New Roman" w:hAnsi="Times New Roman"/>
          <w:sz w:val="24"/>
          <w:szCs w:val="24"/>
        </w:rPr>
        <w:t>s. The number of questions posed will be held to the minimum required in all i</w:t>
      </w:r>
      <w:r w:rsidR="008C6E30">
        <w:rPr>
          <w:rFonts w:ascii="Times New Roman" w:hAnsi="Times New Roman"/>
          <w:sz w:val="24"/>
          <w:szCs w:val="24"/>
        </w:rPr>
        <w:t xml:space="preserve">nformation collections </w:t>
      </w:r>
      <w:r w:rsidRPr="00F33E1C">
        <w:rPr>
          <w:rFonts w:ascii="Times New Roman" w:hAnsi="Times New Roman"/>
          <w:sz w:val="24"/>
          <w:szCs w:val="24"/>
        </w:rPr>
        <w:t>to elicit the necessary data</w:t>
      </w:r>
      <w:r w:rsidR="001E2857">
        <w:rPr>
          <w:rFonts w:ascii="Times New Roman" w:hAnsi="Times New Roman"/>
          <w:sz w:val="24"/>
          <w:szCs w:val="24"/>
        </w:rPr>
        <w:t>.</w:t>
      </w:r>
    </w:p>
    <w:p w14:paraId="075EC348" w14:textId="77777777" w:rsidR="00464058" w:rsidRDefault="00464058" w:rsidP="00072030">
      <w:pPr>
        <w:spacing w:after="0" w:line="240" w:lineRule="auto"/>
        <w:rPr>
          <w:rFonts w:ascii="Times New Roman" w:hAnsi="Times New Roman"/>
          <w:color w:val="000000"/>
          <w:sz w:val="24"/>
          <w:szCs w:val="24"/>
        </w:rPr>
      </w:pPr>
    </w:p>
    <w:p w14:paraId="59766677" w14:textId="77777777" w:rsidR="006C02C3" w:rsidRPr="00F33E1C" w:rsidRDefault="006C02C3" w:rsidP="006C02C3">
      <w:pPr>
        <w:pStyle w:val="Default"/>
        <w:rPr>
          <w:rFonts w:ascii="Times New Roman" w:hAnsi="Times New Roman" w:cs="Times New Roman"/>
          <w:b/>
          <w:color w:val="auto"/>
        </w:rPr>
      </w:pPr>
      <w:r w:rsidRPr="00F33E1C">
        <w:rPr>
          <w:rFonts w:ascii="Times New Roman" w:hAnsi="Times New Roman" w:cs="Times New Roman"/>
          <w:b/>
          <w:color w:val="auto"/>
        </w:rPr>
        <w:t xml:space="preserve">4. Efforts to Identify Duplication and Use of Similar Information </w:t>
      </w:r>
    </w:p>
    <w:p w14:paraId="2E45BDBF" w14:textId="77777777" w:rsidR="006C02C3" w:rsidRPr="00F33E1C" w:rsidRDefault="006C02C3" w:rsidP="006C02C3">
      <w:pPr>
        <w:pStyle w:val="Default"/>
        <w:rPr>
          <w:rFonts w:ascii="Times New Roman" w:hAnsi="Times New Roman" w:cs="Times New Roman"/>
          <w:color w:val="4F81BD" w:themeColor="accent1"/>
        </w:rPr>
      </w:pPr>
    </w:p>
    <w:p w14:paraId="448D0C0C" w14:textId="7DEA8C4B" w:rsidR="006C02C3" w:rsidRDefault="006C02C3" w:rsidP="006C02C3">
      <w:pPr>
        <w:pStyle w:val="Default"/>
        <w:rPr>
          <w:rFonts w:ascii="Times New Roman" w:hAnsi="Times New Roman" w:cs="Times New Roman"/>
          <w:color w:val="auto"/>
        </w:rPr>
      </w:pPr>
      <w:r w:rsidRPr="00F33E1C">
        <w:rPr>
          <w:rFonts w:ascii="Times New Roman" w:hAnsi="Times New Roman" w:cs="Times New Roman"/>
        </w:rPr>
        <w:t>I</w:t>
      </w:r>
      <w:r w:rsidRPr="00F33E1C">
        <w:rPr>
          <w:rFonts w:ascii="Times New Roman" w:hAnsi="Times New Roman" w:cs="Times New Roman"/>
          <w:color w:val="auto"/>
        </w:rPr>
        <w:t xml:space="preserve">nvestigations conducted under this </w:t>
      </w:r>
      <w:r w:rsidR="00120660">
        <w:rPr>
          <w:rFonts w:ascii="Times New Roman" w:hAnsi="Times New Roman" w:cs="Times New Roman"/>
          <w:color w:val="auto"/>
        </w:rPr>
        <w:t xml:space="preserve">Generic </w:t>
      </w:r>
      <w:r w:rsidRPr="00F33E1C">
        <w:rPr>
          <w:rFonts w:ascii="Times New Roman" w:hAnsi="Times New Roman" w:cs="Times New Roman"/>
          <w:color w:val="auto"/>
        </w:rPr>
        <w:t xml:space="preserve">ICR will be designed in collaboration with other CDC programs and other federal agencies, as well as </w:t>
      </w:r>
      <w:r w:rsidR="00327FD1">
        <w:rPr>
          <w:rFonts w:ascii="Times New Roman" w:eastAsia="Arial Unicode MS" w:hAnsi="Times New Roman" w:cs="Times New Roman"/>
          <w:u w:color="000000"/>
        </w:rPr>
        <w:t xml:space="preserve">STLTs </w:t>
      </w:r>
      <w:r w:rsidRPr="00F33E1C">
        <w:rPr>
          <w:rFonts w:ascii="Times New Roman" w:eastAsia="Arial Unicode MS" w:hAnsi="Times New Roman" w:cs="Times New Roman"/>
          <w:u w:color="000000"/>
        </w:rPr>
        <w:t>so that redundant data collection is avoided and the utility of the data collected are maximized</w:t>
      </w:r>
      <w:r w:rsidRPr="00F33E1C">
        <w:rPr>
          <w:rFonts w:ascii="Times New Roman" w:hAnsi="Times New Roman" w:cs="Times New Roman"/>
          <w:color w:val="auto"/>
        </w:rPr>
        <w:t>. As part of the planning process for each investigation, NCEH will identify whether there are existing data on environmental monitoring, exposure,</w:t>
      </w:r>
      <w:r w:rsidR="008C6E30">
        <w:rPr>
          <w:rFonts w:ascii="Times New Roman" w:hAnsi="Times New Roman" w:cs="Times New Roman"/>
          <w:color w:val="auto"/>
        </w:rPr>
        <w:t xml:space="preserve"> and health risks</w:t>
      </w:r>
      <w:r w:rsidRPr="00F33E1C">
        <w:rPr>
          <w:rFonts w:ascii="Times New Roman" w:hAnsi="Times New Roman" w:cs="Times New Roman"/>
          <w:color w:val="auto"/>
        </w:rPr>
        <w:t>.</w:t>
      </w:r>
    </w:p>
    <w:p w14:paraId="15F7650B" w14:textId="77777777" w:rsidR="00652BD4" w:rsidRDefault="00652BD4" w:rsidP="006C02C3">
      <w:pPr>
        <w:pStyle w:val="Default"/>
        <w:rPr>
          <w:rFonts w:ascii="Times New Roman" w:hAnsi="Times New Roman" w:cs="Times New Roman"/>
          <w:color w:val="auto"/>
        </w:rPr>
      </w:pPr>
    </w:p>
    <w:p w14:paraId="56B03A2D" w14:textId="52C03CA9" w:rsidR="007E18BD" w:rsidRDefault="007E18BD" w:rsidP="006C02C3">
      <w:pPr>
        <w:pStyle w:val="Default"/>
        <w:rPr>
          <w:rFonts w:ascii="Times New Roman" w:hAnsi="Times New Roman" w:cs="Times New Roman"/>
          <w:color w:val="auto"/>
        </w:rPr>
      </w:pPr>
      <w:r w:rsidRPr="007E18BD">
        <w:rPr>
          <w:rFonts w:ascii="Times New Roman" w:hAnsi="Times New Roman" w:cs="Times New Roman"/>
          <w:color w:val="auto"/>
        </w:rPr>
        <w:t>Other federal entities, such as the U.S. Geological Survey (USGS) conduct some private well sampling and we will review such data sources for information about testing results so as not to duplicate well testing during our studies.</w:t>
      </w:r>
      <w:r w:rsidR="0046612C">
        <w:rPr>
          <w:rFonts w:ascii="Times New Roman" w:hAnsi="Times New Roman" w:cs="Times New Roman"/>
          <w:color w:val="auto"/>
        </w:rPr>
        <w:t xml:space="preserve"> If USGS</w:t>
      </w:r>
      <w:r w:rsidR="003F1F9F">
        <w:rPr>
          <w:rFonts w:ascii="Times New Roman" w:hAnsi="Times New Roman" w:cs="Times New Roman"/>
          <w:color w:val="auto"/>
        </w:rPr>
        <w:t xml:space="preserve"> (or other entity)</w:t>
      </w:r>
      <w:r w:rsidR="0046612C">
        <w:rPr>
          <w:rFonts w:ascii="Times New Roman" w:hAnsi="Times New Roman" w:cs="Times New Roman"/>
          <w:color w:val="auto"/>
        </w:rPr>
        <w:t xml:space="preserve"> has relevant data, we will use that data in the appropriate GenICs.</w:t>
      </w:r>
    </w:p>
    <w:p w14:paraId="72140305" w14:textId="77777777" w:rsidR="003C0F80" w:rsidRDefault="003C0F80" w:rsidP="006C02C3">
      <w:pPr>
        <w:pStyle w:val="Default"/>
        <w:rPr>
          <w:rFonts w:ascii="Times New Roman" w:hAnsi="Times New Roman" w:cs="Times New Roman"/>
          <w:color w:val="auto"/>
        </w:rPr>
      </w:pPr>
    </w:p>
    <w:p w14:paraId="04C4CEC8" w14:textId="0444FC22" w:rsidR="009429E5" w:rsidRPr="00C33967" w:rsidRDefault="00764024" w:rsidP="006C61D7">
      <w:pPr>
        <w:pStyle w:val="Default"/>
        <w:rPr>
          <w:rFonts w:ascii="Times New Roman" w:hAnsi="Times New Roman" w:cs="Times New Roman"/>
          <w:color w:val="auto"/>
        </w:rPr>
        <w:sectPr w:rsidR="009429E5" w:rsidRPr="00C33967" w:rsidSect="009429E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Pr>
          <w:rFonts w:ascii="Times New Roman" w:hAnsi="Times New Roman" w:cs="Times New Roman"/>
          <w:color w:val="auto"/>
        </w:rPr>
        <w:t xml:space="preserve">Table 4.1 </w:t>
      </w:r>
      <w:r>
        <w:rPr>
          <w:rFonts w:ascii="Times New Roman" w:hAnsi="Times New Roman" w:cs="Times New Roman"/>
          <w:color w:val="000000" w:themeColor="text1"/>
        </w:rPr>
        <w:t>provides a comparison</w:t>
      </w:r>
      <w:r w:rsidRPr="00B8451C">
        <w:rPr>
          <w:rFonts w:ascii="Times New Roman" w:hAnsi="Times New Roman" w:cs="Times New Roman"/>
          <w:color w:val="000000" w:themeColor="text1"/>
        </w:rPr>
        <w:t xml:space="preserve"> of</w:t>
      </w:r>
      <w:r w:rsidRPr="00817C75">
        <w:rPr>
          <w:rFonts w:ascii="Times New Roman" w:hAnsi="Times New Roman" w:cs="Times New Roman"/>
          <w:b/>
          <w:color w:val="000000" w:themeColor="text1"/>
        </w:rPr>
        <w:t xml:space="preserve"> </w:t>
      </w:r>
      <w:r w:rsidRPr="00817C75">
        <w:rPr>
          <w:rFonts w:ascii="Times New Roman" w:hAnsi="Times New Roman" w:cs="Times New Roman"/>
          <w:color w:val="000000" w:themeColor="text1"/>
        </w:rPr>
        <w:t>OMB</w:t>
      </w:r>
      <w:r w:rsidR="004251C6">
        <w:rPr>
          <w:rFonts w:ascii="Times New Roman" w:hAnsi="Times New Roman" w:cs="Times New Roman"/>
          <w:color w:val="000000" w:themeColor="text1"/>
        </w:rPr>
        <w:t>-</w:t>
      </w:r>
      <w:r w:rsidRPr="00817C75">
        <w:rPr>
          <w:rFonts w:ascii="Times New Roman" w:hAnsi="Times New Roman" w:cs="Times New Roman"/>
          <w:color w:val="000000" w:themeColor="text1"/>
        </w:rPr>
        <w:t xml:space="preserve">approved Generic ICRs and the </w:t>
      </w:r>
      <w:r w:rsidR="00CE1F6E">
        <w:rPr>
          <w:rFonts w:ascii="Times New Roman" w:hAnsi="Times New Roman" w:cs="Times New Roman"/>
          <w:color w:val="000000" w:themeColor="text1"/>
        </w:rPr>
        <w:t xml:space="preserve">Generic ICR </w:t>
      </w:r>
      <w:r w:rsidRPr="00817C75">
        <w:rPr>
          <w:rFonts w:ascii="Times New Roman" w:hAnsi="Times New Roman" w:cs="Times New Roman"/>
          <w:color w:val="000000" w:themeColor="text1"/>
        </w:rPr>
        <w:t>proposed here</w:t>
      </w:r>
      <w:r w:rsidR="00216A94">
        <w:rPr>
          <w:rFonts w:ascii="Times New Roman" w:hAnsi="Times New Roman" w:cs="Times New Roman"/>
          <w:color w:val="000000" w:themeColor="text1"/>
        </w:rPr>
        <w:t>.</w:t>
      </w:r>
      <w:r w:rsidR="00C33967">
        <w:rPr>
          <w:rFonts w:ascii="Times New Roman" w:hAnsi="Times New Roman" w:cs="Times New Roman"/>
          <w:color w:val="auto"/>
        </w:rPr>
        <w:t xml:space="preserve"> The purpose of this table is to demonstrate that the proposed </w:t>
      </w:r>
      <w:r w:rsidR="00CE1F6E">
        <w:rPr>
          <w:rFonts w:ascii="Times New Roman" w:hAnsi="Times New Roman" w:cs="Times New Roman"/>
          <w:color w:val="auto"/>
        </w:rPr>
        <w:t xml:space="preserve">Generic ICR </w:t>
      </w:r>
      <w:r w:rsidR="00C33967">
        <w:rPr>
          <w:rFonts w:ascii="Times New Roman" w:hAnsi="Times New Roman" w:cs="Times New Roman"/>
          <w:color w:val="auto"/>
        </w:rPr>
        <w:t xml:space="preserve">does not overlap with currently approved Generic ICRs. </w:t>
      </w:r>
    </w:p>
    <w:p w14:paraId="0D3D7ACB" w14:textId="5FA898CC" w:rsidR="009429E5" w:rsidRPr="003404BD" w:rsidRDefault="00817C75" w:rsidP="006C02C3">
      <w:pPr>
        <w:pStyle w:val="Default"/>
        <w:rPr>
          <w:rFonts w:ascii="Times New Roman" w:hAnsi="Times New Roman" w:cs="Times New Roman"/>
          <w:color w:val="000000" w:themeColor="text1"/>
        </w:rPr>
      </w:pPr>
      <w:r w:rsidRPr="00817C75">
        <w:rPr>
          <w:rFonts w:ascii="Times New Roman" w:hAnsi="Times New Roman" w:cs="Times New Roman"/>
          <w:b/>
          <w:color w:val="000000" w:themeColor="text1"/>
        </w:rPr>
        <w:t xml:space="preserve">Table 4.1 </w:t>
      </w:r>
      <w:r w:rsidR="006C61D7" w:rsidRPr="00B8451C">
        <w:rPr>
          <w:rFonts w:ascii="Times New Roman" w:hAnsi="Times New Roman" w:cs="Times New Roman"/>
          <w:color w:val="000000" w:themeColor="text1"/>
        </w:rPr>
        <w:t>C</w:t>
      </w:r>
      <w:r w:rsidR="00764024">
        <w:rPr>
          <w:rFonts w:ascii="Times New Roman" w:hAnsi="Times New Roman" w:cs="Times New Roman"/>
          <w:color w:val="000000" w:themeColor="text1"/>
        </w:rPr>
        <w:t>omparison</w:t>
      </w:r>
      <w:r w:rsidR="006C61D7" w:rsidRPr="00B8451C">
        <w:rPr>
          <w:rFonts w:ascii="Times New Roman" w:hAnsi="Times New Roman" w:cs="Times New Roman"/>
          <w:color w:val="000000" w:themeColor="text1"/>
        </w:rPr>
        <w:t xml:space="preserve"> of</w:t>
      </w:r>
      <w:r w:rsidR="006C61D7" w:rsidRPr="00817C75">
        <w:rPr>
          <w:rFonts w:ascii="Times New Roman" w:hAnsi="Times New Roman" w:cs="Times New Roman"/>
          <w:b/>
          <w:color w:val="000000" w:themeColor="text1"/>
        </w:rPr>
        <w:t xml:space="preserve"> </w:t>
      </w:r>
      <w:r w:rsidR="006C61D7" w:rsidRPr="00817C75">
        <w:rPr>
          <w:rFonts w:ascii="Times New Roman" w:hAnsi="Times New Roman" w:cs="Times New Roman"/>
          <w:color w:val="000000" w:themeColor="text1"/>
        </w:rPr>
        <w:t xml:space="preserve">OMB approved Generic ICRs and the </w:t>
      </w:r>
      <w:r w:rsidR="003404BD">
        <w:rPr>
          <w:rFonts w:ascii="Times New Roman" w:hAnsi="Times New Roman" w:cs="Times New Roman"/>
          <w:color w:val="000000" w:themeColor="text1"/>
        </w:rPr>
        <w:t xml:space="preserve">proposed </w:t>
      </w:r>
      <w:r w:rsidR="00CE1F6E">
        <w:rPr>
          <w:rFonts w:ascii="Times New Roman" w:hAnsi="Times New Roman" w:cs="Times New Roman"/>
          <w:color w:val="000000" w:themeColor="text1"/>
        </w:rPr>
        <w:t>Generic ICR</w:t>
      </w:r>
      <w:r w:rsidR="006C61D7" w:rsidRPr="00817C75">
        <w:rPr>
          <w:rFonts w:ascii="Times New Roman" w:hAnsi="Times New Roman" w:cs="Times New Roman"/>
          <w:color w:val="000000" w:themeColor="text1"/>
        </w:rPr>
        <w:t>.</w:t>
      </w:r>
    </w:p>
    <w:tbl>
      <w:tblPr>
        <w:tblStyle w:val="TableGrid"/>
        <w:tblW w:w="5000" w:type="pct"/>
        <w:tblLook w:val="04A0" w:firstRow="1" w:lastRow="0" w:firstColumn="1" w:lastColumn="0" w:noHBand="0" w:noVBand="1"/>
      </w:tblPr>
      <w:tblGrid>
        <w:gridCol w:w="1453"/>
        <w:gridCol w:w="2567"/>
        <w:gridCol w:w="1857"/>
        <w:gridCol w:w="2165"/>
        <w:gridCol w:w="1992"/>
        <w:gridCol w:w="2916"/>
      </w:tblGrid>
      <w:tr w:rsidR="004251C6" w:rsidRPr="004251C6" w14:paraId="322425BB" w14:textId="77777777" w:rsidTr="00E83815">
        <w:trPr>
          <w:tblHeader/>
        </w:trPr>
        <w:tc>
          <w:tcPr>
            <w:tcW w:w="561" w:type="pct"/>
            <w:vAlign w:val="center"/>
          </w:tcPr>
          <w:p w14:paraId="0A9C70B3" w14:textId="61FAC238" w:rsidR="008F65E8" w:rsidRPr="004251C6" w:rsidRDefault="008D3472" w:rsidP="00F87909">
            <w:pPr>
              <w:pStyle w:val="Default"/>
              <w:jc w:val="center"/>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t xml:space="preserve">Name of Generic ICR </w:t>
            </w:r>
          </w:p>
        </w:tc>
        <w:tc>
          <w:tcPr>
            <w:tcW w:w="989" w:type="pct"/>
            <w:vAlign w:val="center"/>
          </w:tcPr>
          <w:p w14:paraId="2E9C4A49" w14:textId="77777777" w:rsidR="008F65E8" w:rsidRPr="004251C6" w:rsidRDefault="008D3472" w:rsidP="00F87909">
            <w:pPr>
              <w:pStyle w:val="Default"/>
              <w:jc w:val="center"/>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t>Purpose of data collection</w:t>
            </w:r>
          </w:p>
        </w:tc>
        <w:tc>
          <w:tcPr>
            <w:tcW w:w="715" w:type="pct"/>
            <w:vAlign w:val="center"/>
          </w:tcPr>
          <w:p w14:paraId="3CDAA265" w14:textId="77777777" w:rsidR="008F65E8" w:rsidRPr="004251C6" w:rsidRDefault="008D3472" w:rsidP="00F87909">
            <w:pPr>
              <w:pStyle w:val="Default"/>
              <w:jc w:val="center"/>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t>Environmental data collected</w:t>
            </w:r>
          </w:p>
        </w:tc>
        <w:tc>
          <w:tcPr>
            <w:tcW w:w="834" w:type="pct"/>
            <w:vAlign w:val="center"/>
          </w:tcPr>
          <w:p w14:paraId="2A94C84C" w14:textId="77777777" w:rsidR="008F65E8" w:rsidRPr="004251C6" w:rsidRDefault="008D3472" w:rsidP="00F87909">
            <w:pPr>
              <w:pStyle w:val="Default"/>
              <w:jc w:val="center"/>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t>Biological data collected</w:t>
            </w:r>
          </w:p>
        </w:tc>
        <w:tc>
          <w:tcPr>
            <w:tcW w:w="768" w:type="pct"/>
            <w:vAlign w:val="center"/>
          </w:tcPr>
          <w:p w14:paraId="28D4C9A7" w14:textId="77777777" w:rsidR="008F65E8" w:rsidRPr="004251C6" w:rsidRDefault="008D3472" w:rsidP="00F87909">
            <w:pPr>
              <w:pStyle w:val="Default"/>
              <w:jc w:val="center"/>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t>Health symptoms data collected</w:t>
            </w:r>
          </w:p>
        </w:tc>
        <w:tc>
          <w:tcPr>
            <w:tcW w:w="1132" w:type="pct"/>
            <w:vAlign w:val="center"/>
          </w:tcPr>
          <w:p w14:paraId="0648CE6F" w14:textId="77777777" w:rsidR="008F65E8" w:rsidRPr="004251C6" w:rsidRDefault="008D3472" w:rsidP="00F87909">
            <w:pPr>
              <w:pStyle w:val="Default"/>
              <w:jc w:val="center"/>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t>Time frame for data collection</w:t>
            </w:r>
          </w:p>
        </w:tc>
      </w:tr>
      <w:tr w:rsidR="004251C6" w:rsidRPr="004251C6" w14:paraId="16F06407" w14:textId="77777777" w:rsidTr="00F87909">
        <w:tc>
          <w:tcPr>
            <w:tcW w:w="553" w:type="pct"/>
            <w:vAlign w:val="center"/>
          </w:tcPr>
          <w:p w14:paraId="2FC8539F" w14:textId="77777777" w:rsidR="004251C6" w:rsidRDefault="008D3472" w:rsidP="00F87909">
            <w:pPr>
              <w:spacing w:after="0" w:line="240" w:lineRule="auto"/>
              <w:rPr>
                <w:rFonts w:ascii="Times New Roman" w:hAnsi="Times New Roman"/>
                <w:b/>
                <w:sz w:val="20"/>
                <w:szCs w:val="20"/>
              </w:rPr>
            </w:pPr>
            <w:r w:rsidRPr="008D3472">
              <w:rPr>
                <w:rFonts w:ascii="Times New Roman" w:hAnsi="Times New Roman"/>
                <w:b/>
                <w:sz w:val="20"/>
                <w:szCs w:val="20"/>
              </w:rPr>
              <w:t xml:space="preserve">ATSDR Exposure Investigations (EI) </w:t>
            </w:r>
          </w:p>
          <w:p w14:paraId="333CC8B0" w14:textId="77777777" w:rsidR="008F65E8" w:rsidRPr="004251C6" w:rsidRDefault="008D3472" w:rsidP="00F87909">
            <w:pPr>
              <w:spacing w:after="0" w:line="240" w:lineRule="auto"/>
              <w:rPr>
                <w:rFonts w:ascii="Times New Roman" w:hAnsi="Times New Roman"/>
                <w:b/>
                <w:sz w:val="20"/>
                <w:szCs w:val="20"/>
              </w:rPr>
            </w:pPr>
            <w:r w:rsidRPr="008D3472">
              <w:rPr>
                <w:rFonts w:ascii="Times New Roman" w:hAnsi="Times New Roman"/>
                <w:b/>
                <w:sz w:val="20"/>
                <w:szCs w:val="20"/>
              </w:rPr>
              <w:t>(0923-0048)</w:t>
            </w:r>
          </w:p>
        </w:tc>
        <w:tc>
          <w:tcPr>
            <w:tcW w:w="991" w:type="pct"/>
          </w:tcPr>
          <w:p w14:paraId="3DEBDE2E" w14:textId="77777777" w:rsidR="008F65E8" w:rsidRPr="004251C6" w:rsidRDefault="008D3472" w:rsidP="00F87909">
            <w:pPr>
              <w:spacing w:after="0" w:line="240" w:lineRule="auto"/>
              <w:rPr>
                <w:rFonts w:ascii="Times New Roman" w:hAnsi="Times New Roman"/>
                <w:sz w:val="20"/>
                <w:szCs w:val="20"/>
              </w:rPr>
            </w:pPr>
            <w:r w:rsidRPr="008D3472">
              <w:rPr>
                <w:rFonts w:ascii="Times New Roman" w:hAnsi="Times New Roman"/>
                <w:color w:val="000000"/>
                <w:sz w:val="20"/>
                <w:szCs w:val="20"/>
              </w:rPr>
              <w:t>To find out whether people have been, are being, or may be exposed to hazardous substances and, if so whether that exposure is harmful, or potentially harmful, and should therefore be stopped or reduced. The process also serves as a mechanism through which the agency responds to specific community health concerns related to hazardous waste sites.</w:t>
            </w:r>
          </w:p>
        </w:tc>
        <w:tc>
          <w:tcPr>
            <w:tcW w:w="717" w:type="pct"/>
          </w:tcPr>
          <w:p w14:paraId="42FDE25E" w14:textId="7D913613" w:rsidR="008F65E8" w:rsidRPr="004251C6" w:rsidRDefault="008D3472" w:rsidP="002D729A">
            <w:pPr>
              <w:spacing w:after="0" w:line="240" w:lineRule="auto"/>
            </w:pPr>
            <w:r w:rsidRPr="008D3472">
              <w:rPr>
                <w:rFonts w:ascii="Times New Roman" w:hAnsi="Times New Roman"/>
                <w:sz w:val="20"/>
                <w:szCs w:val="20"/>
              </w:rPr>
              <w:t>Environmental sampling may include ambient air, personal air, indoor air, dust, soil,</w:t>
            </w:r>
            <w:r w:rsidR="00C760BA">
              <w:rPr>
                <w:rFonts w:ascii="Times New Roman" w:hAnsi="Times New Roman"/>
                <w:sz w:val="20"/>
                <w:szCs w:val="20"/>
              </w:rPr>
              <w:t xml:space="preserve"> </w:t>
            </w:r>
            <w:r w:rsidRPr="008D3472">
              <w:rPr>
                <w:rFonts w:ascii="Times New Roman" w:hAnsi="Times New Roman"/>
                <w:sz w:val="20"/>
                <w:szCs w:val="20"/>
              </w:rPr>
              <w:t xml:space="preserve">sediment, biota including food sources, ground water, tap water and surface water sampling. Depending on individual site characteristics, the sampling period may vary from days to several months. </w:t>
            </w:r>
          </w:p>
        </w:tc>
        <w:tc>
          <w:tcPr>
            <w:tcW w:w="836" w:type="pct"/>
          </w:tcPr>
          <w:p w14:paraId="20E212C2" w14:textId="6344CE3E" w:rsidR="008F65E8" w:rsidRPr="004251C6" w:rsidRDefault="008D3472" w:rsidP="00F87909">
            <w:pPr>
              <w:spacing w:after="0" w:line="240" w:lineRule="auto"/>
              <w:rPr>
                <w:rFonts w:ascii="Times New Roman" w:hAnsi="Times New Roman"/>
                <w:sz w:val="20"/>
                <w:szCs w:val="20"/>
              </w:rPr>
            </w:pPr>
            <w:r w:rsidRPr="008D3472">
              <w:rPr>
                <w:rFonts w:ascii="Times New Roman" w:hAnsi="Times New Roman"/>
                <w:sz w:val="20"/>
                <w:szCs w:val="20"/>
              </w:rPr>
              <w:t xml:space="preserve">Biological sampling may include, but </w:t>
            </w:r>
            <w:r w:rsidR="00F92E6E">
              <w:rPr>
                <w:rFonts w:ascii="Times New Roman" w:hAnsi="Times New Roman"/>
                <w:sz w:val="20"/>
                <w:szCs w:val="20"/>
              </w:rPr>
              <w:t xml:space="preserve">is </w:t>
            </w:r>
            <w:r w:rsidRPr="008D3472">
              <w:rPr>
                <w:rFonts w:ascii="Times New Roman" w:hAnsi="Times New Roman"/>
                <w:sz w:val="20"/>
                <w:szCs w:val="20"/>
              </w:rPr>
              <w:t>not limited to, blood and urine sampling for exposure biomarkers.</w:t>
            </w:r>
          </w:p>
          <w:p w14:paraId="1BF65174" w14:textId="77777777" w:rsidR="008F65E8" w:rsidRPr="004251C6" w:rsidRDefault="008F65E8" w:rsidP="00F87909">
            <w:pPr>
              <w:pStyle w:val="Default"/>
              <w:rPr>
                <w:rFonts w:ascii="Times New Roman" w:hAnsi="Times New Roman" w:cs="Times New Roman"/>
                <w:b/>
                <w:color w:val="000000" w:themeColor="text1"/>
                <w:sz w:val="20"/>
                <w:szCs w:val="20"/>
              </w:rPr>
            </w:pPr>
          </w:p>
        </w:tc>
        <w:tc>
          <w:tcPr>
            <w:tcW w:w="769" w:type="pct"/>
          </w:tcPr>
          <w:p w14:paraId="539F92BA" w14:textId="76FD4695" w:rsidR="008F65E8" w:rsidRPr="004251C6" w:rsidRDefault="008D3472" w:rsidP="00F87909">
            <w:pPr>
              <w:spacing w:after="0" w:line="240" w:lineRule="auto"/>
              <w:rPr>
                <w:rFonts w:ascii="Times New Roman" w:hAnsi="Times New Roman"/>
                <w:sz w:val="20"/>
                <w:szCs w:val="20"/>
              </w:rPr>
            </w:pPr>
            <w:r w:rsidRPr="008D3472">
              <w:rPr>
                <w:rFonts w:ascii="Times New Roman" w:hAnsi="Times New Roman"/>
                <w:sz w:val="20"/>
                <w:szCs w:val="20"/>
              </w:rPr>
              <w:t xml:space="preserve">Relevant </w:t>
            </w:r>
            <w:r w:rsidR="002B1FC9">
              <w:rPr>
                <w:rFonts w:ascii="Times New Roman" w:hAnsi="Times New Roman"/>
                <w:sz w:val="20"/>
                <w:szCs w:val="20"/>
              </w:rPr>
              <w:t xml:space="preserve">self-reported </w:t>
            </w:r>
            <w:r w:rsidRPr="008D3472">
              <w:rPr>
                <w:rFonts w:ascii="Times New Roman" w:hAnsi="Times New Roman"/>
                <w:sz w:val="20"/>
                <w:szCs w:val="20"/>
              </w:rPr>
              <w:t xml:space="preserve">health symptoms and medical information </w:t>
            </w:r>
            <w:r w:rsidR="00EF5682">
              <w:rPr>
                <w:rFonts w:ascii="Times New Roman" w:hAnsi="Times New Roman"/>
                <w:sz w:val="20"/>
                <w:szCs w:val="20"/>
              </w:rPr>
              <w:t xml:space="preserve">potentially </w:t>
            </w:r>
            <w:r w:rsidRPr="008D3472">
              <w:rPr>
                <w:rFonts w:ascii="Times New Roman" w:hAnsi="Times New Roman"/>
                <w:sz w:val="20"/>
                <w:szCs w:val="20"/>
              </w:rPr>
              <w:t>related to site-specific exposures may be assessed.</w:t>
            </w:r>
          </w:p>
          <w:p w14:paraId="2BCCBD44" w14:textId="6D89B152" w:rsidR="008F65E8" w:rsidRPr="004251C6" w:rsidRDefault="008D3472" w:rsidP="00F87909">
            <w:pPr>
              <w:spacing w:after="0" w:line="240" w:lineRule="auto"/>
              <w:rPr>
                <w:rFonts w:ascii="Times New Roman" w:hAnsi="Times New Roman"/>
                <w:sz w:val="20"/>
                <w:szCs w:val="20"/>
              </w:rPr>
            </w:pPr>
            <w:r w:rsidRPr="008D3472">
              <w:rPr>
                <w:rFonts w:ascii="Times New Roman" w:hAnsi="Times New Roman"/>
                <w:sz w:val="20"/>
                <w:szCs w:val="20"/>
              </w:rPr>
              <w:t xml:space="preserve">Data on symptoms and illnesses </w:t>
            </w:r>
            <w:r w:rsidR="00EF5682">
              <w:rPr>
                <w:rFonts w:ascii="Times New Roman" w:hAnsi="Times New Roman"/>
                <w:sz w:val="20"/>
                <w:szCs w:val="20"/>
              </w:rPr>
              <w:t xml:space="preserve">are </w:t>
            </w:r>
            <w:r w:rsidRPr="008D3472">
              <w:rPr>
                <w:rFonts w:ascii="Times New Roman" w:hAnsi="Times New Roman"/>
                <w:sz w:val="20"/>
                <w:szCs w:val="20"/>
              </w:rPr>
              <w:t>limited to underlying conditions that may make people more sensitive to chemical exposures.</w:t>
            </w:r>
          </w:p>
          <w:p w14:paraId="6885AF6B" w14:textId="77777777" w:rsidR="008F65E8" w:rsidRPr="004251C6" w:rsidRDefault="008F65E8" w:rsidP="00F87909">
            <w:pPr>
              <w:pStyle w:val="Default"/>
              <w:rPr>
                <w:rFonts w:ascii="Times New Roman" w:hAnsi="Times New Roman" w:cs="Times New Roman"/>
                <w:b/>
                <w:color w:val="000000" w:themeColor="text1"/>
                <w:sz w:val="20"/>
                <w:szCs w:val="20"/>
              </w:rPr>
            </w:pPr>
          </w:p>
        </w:tc>
        <w:tc>
          <w:tcPr>
            <w:tcW w:w="1134" w:type="pct"/>
          </w:tcPr>
          <w:p w14:paraId="6BA79447" w14:textId="77777777" w:rsidR="008F65E8" w:rsidRPr="004251C6" w:rsidRDefault="008D3472" w:rsidP="00F87909">
            <w:pPr>
              <w:pStyle w:val="Default"/>
              <w:rPr>
                <w:rFonts w:ascii="Times New Roman" w:hAnsi="Times New Roman" w:cs="Times New Roman"/>
                <w:b/>
                <w:color w:val="000000" w:themeColor="text1"/>
                <w:sz w:val="20"/>
                <w:szCs w:val="20"/>
              </w:rPr>
            </w:pPr>
            <w:r w:rsidRPr="008D3472">
              <w:rPr>
                <w:rFonts w:ascii="Times New Roman" w:hAnsi="Times New Roman" w:cs="Times New Roman"/>
                <w:sz w:val="20"/>
                <w:szCs w:val="20"/>
              </w:rPr>
              <w:t>Most EIs sampling events are done in rapid response to a particular event, are completed over a period of days to months, and are a one-time occurrence</w:t>
            </w:r>
          </w:p>
        </w:tc>
      </w:tr>
      <w:tr w:rsidR="004251C6" w:rsidRPr="004251C6" w14:paraId="134975BA" w14:textId="77777777" w:rsidTr="00F87909">
        <w:tc>
          <w:tcPr>
            <w:tcW w:w="553" w:type="pct"/>
            <w:vAlign w:val="center"/>
          </w:tcPr>
          <w:p w14:paraId="1F3A1A51" w14:textId="4CC942F6" w:rsidR="004251C6" w:rsidRDefault="008D3472" w:rsidP="00F87909">
            <w:pPr>
              <w:spacing w:after="0" w:line="240" w:lineRule="auto"/>
              <w:rPr>
                <w:rFonts w:ascii="Times New Roman" w:hAnsi="Times New Roman"/>
                <w:b/>
                <w:sz w:val="20"/>
                <w:szCs w:val="20"/>
              </w:rPr>
            </w:pPr>
            <w:r w:rsidRPr="008D3472">
              <w:rPr>
                <w:rFonts w:ascii="Times New Roman" w:hAnsi="Times New Roman"/>
                <w:b/>
                <w:sz w:val="20"/>
                <w:szCs w:val="20"/>
              </w:rPr>
              <w:t xml:space="preserve">ATSDR Assessment of Chemical Exposure (ACE) </w:t>
            </w:r>
            <w:r w:rsidR="00786DB3">
              <w:rPr>
                <w:rFonts w:ascii="Times New Roman" w:hAnsi="Times New Roman"/>
                <w:b/>
                <w:sz w:val="20"/>
                <w:szCs w:val="20"/>
              </w:rPr>
              <w:t>Investigations</w:t>
            </w:r>
          </w:p>
          <w:p w14:paraId="13104AA1" w14:textId="77777777" w:rsidR="000E75C2" w:rsidRPr="004251C6" w:rsidRDefault="008D3472" w:rsidP="00F87909">
            <w:pPr>
              <w:spacing w:after="0" w:line="240" w:lineRule="auto"/>
              <w:rPr>
                <w:rFonts w:ascii="Times New Roman" w:hAnsi="Times New Roman"/>
                <w:b/>
                <w:sz w:val="20"/>
                <w:szCs w:val="20"/>
              </w:rPr>
            </w:pPr>
            <w:r w:rsidRPr="008D3472">
              <w:rPr>
                <w:rFonts w:ascii="Times New Roman" w:hAnsi="Times New Roman"/>
                <w:b/>
                <w:sz w:val="20"/>
                <w:szCs w:val="20"/>
              </w:rPr>
              <w:t>(0923-0051)</w:t>
            </w:r>
          </w:p>
        </w:tc>
        <w:tc>
          <w:tcPr>
            <w:tcW w:w="991" w:type="pct"/>
          </w:tcPr>
          <w:p w14:paraId="730BB49D" w14:textId="77777777" w:rsidR="000E75C2" w:rsidRPr="004251C6" w:rsidRDefault="008D3472" w:rsidP="00F87909">
            <w:pPr>
              <w:spacing w:after="0" w:line="240" w:lineRule="auto"/>
              <w:rPr>
                <w:rFonts w:ascii="Times New Roman" w:hAnsi="Times New Roman"/>
                <w:color w:val="000000"/>
                <w:sz w:val="20"/>
                <w:szCs w:val="20"/>
              </w:rPr>
            </w:pPr>
            <w:r w:rsidRPr="008D3472">
              <w:rPr>
                <w:rFonts w:ascii="Times New Roman" w:hAnsi="Times New Roman"/>
                <w:color w:val="000000"/>
                <w:sz w:val="20"/>
                <w:szCs w:val="20"/>
              </w:rPr>
              <w:t>To conduct rapid assessments after a toxic release incident has occurred, in partnership with the requesting agency. ATSDR will provide tools, technical expertise, laboratory support, and personnel support to the health departments. When existing data sources fail to provide enough information for the implementation of effective response, and to strengthen prevention efforts for such incidents, new data must be collected.</w:t>
            </w:r>
          </w:p>
        </w:tc>
        <w:tc>
          <w:tcPr>
            <w:tcW w:w="717" w:type="pct"/>
          </w:tcPr>
          <w:p w14:paraId="231CD8BB" w14:textId="77777777" w:rsidR="000E75C2" w:rsidRPr="004251C6" w:rsidRDefault="008D3472" w:rsidP="00F87909">
            <w:pPr>
              <w:spacing w:after="0" w:line="240" w:lineRule="auto"/>
              <w:rPr>
                <w:rFonts w:ascii="Times New Roman" w:hAnsi="Times New Roman"/>
                <w:sz w:val="20"/>
                <w:szCs w:val="20"/>
              </w:rPr>
            </w:pPr>
            <w:r w:rsidRPr="008D3472">
              <w:rPr>
                <w:rFonts w:ascii="Times New Roman" w:hAnsi="Times New Roman"/>
                <w:sz w:val="20"/>
                <w:szCs w:val="20"/>
              </w:rPr>
              <w:t>NA</w:t>
            </w:r>
          </w:p>
        </w:tc>
        <w:tc>
          <w:tcPr>
            <w:tcW w:w="836" w:type="pct"/>
          </w:tcPr>
          <w:p w14:paraId="24B354C7" w14:textId="77777777" w:rsidR="002A7104" w:rsidRPr="004251C6" w:rsidRDefault="008D3472" w:rsidP="00F87909">
            <w:pPr>
              <w:autoSpaceDE w:val="0"/>
              <w:autoSpaceDN w:val="0"/>
              <w:adjustRightInd w:val="0"/>
              <w:spacing w:after="0" w:line="240" w:lineRule="auto"/>
              <w:rPr>
                <w:rFonts w:ascii="Times New Roman" w:hAnsi="Times New Roman"/>
                <w:sz w:val="20"/>
                <w:szCs w:val="20"/>
              </w:rPr>
            </w:pPr>
            <w:r w:rsidRPr="008D3472">
              <w:rPr>
                <w:rFonts w:ascii="Times New Roman" w:hAnsi="Times New Roman"/>
                <w:sz w:val="20"/>
                <w:szCs w:val="20"/>
              </w:rPr>
              <w:t>Clinical samples, either blood or urine, may be collected to test for the chemical(s) or metabolites of interest. The laboratory testing may be performed at a state facility or the laboratory at the CDC’s National Center for Environmental Health (NCEH). ATSDR will not store clinical samples for future research; any unused samples will be discarded at the completion of the testing.</w:t>
            </w:r>
          </w:p>
          <w:p w14:paraId="0EC81DC7" w14:textId="77777777" w:rsidR="000E75C2" w:rsidRPr="004251C6" w:rsidRDefault="000E75C2" w:rsidP="00F87909">
            <w:pPr>
              <w:spacing w:after="0" w:line="240" w:lineRule="auto"/>
              <w:rPr>
                <w:rFonts w:ascii="Times New Roman" w:hAnsi="Times New Roman"/>
                <w:sz w:val="20"/>
                <w:szCs w:val="20"/>
              </w:rPr>
            </w:pPr>
          </w:p>
        </w:tc>
        <w:tc>
          <w:tcPr>
            <w:tcW w:w="769" w:type="pct"/>
          </w:tcPr>
          <w:p w14:paraId="2E2B19B6" w14:textId="2F5984B7" w:rsidR="000E75C2" w:rsidRPr="004251C6" w:rsidRDefault="008D3472" w:rsidP="00F87909">
            <w:pPr>
              <w:spacing w:after="0" w:line="240" w:lineRule="auto"/>
              <w:rPr>
                <w:rFonts w:ascii="Times New Roman" w:hAnsi="Times New Roman"/>
                <w:sz w:val="20"/>
                <w:szCs w:val="20"/>
              </w:rPr>
            </w:pPr>
            <w:r w:rsidRPr="008D3472">
              <w:rPr>
                <w:rFonts w:ascii="Times New Roman" w:hAnsi="Times New Roman"/>
                <w:sz w:val="20"/>
                <w:szCs w:val="20"/>
              </w:rPr>
              <w:t xml:space="preserve">Questions referring to </w:t>
            </w:r>
            <w:r w:rsidR="000D776F">
              <w:rPr>
                <w:rFonts w:ascii="Times New Roman" w:hAnsi="Times New Roman"/>
                <w:sz w:val="20"/>
                <w:szCs w:val="20"/>
              </w:rPr>
              <w:t xml:space="preserve">self-reported </w:t>
            </w:r>
            <w:r w:rsidRPr="008D3472">
              <w:rPr>
                <w:rFonts w:ascii="Times New Roman" w:hAnsi="Times New Roman"/>
                <w:sz w:val="20"/>
                <w:szCs w:val="20"/>
              </w:rPr>
              <w:t>symptoms will be limited to those deemed by ATSDR toxicology staff to have reference in the literature as being related, plus one unrelated symptom to test reliability.</w:t>
            </w:r>
          </w:p>
          <w:p w14:paraId="46861A5B" w14:textId="77777777" w:rsidR="002A7104" w:rsidRPr="004251C6" w:rsidRDefault="002A7104" w:rsidP="00F87909">
            <w:pPr>
              <w:spacing w:after="0" w:line="240" w:lineRule="auto"/>
              <w:rPr>
                <w:rFonts w:ascii="Times New Roman" w:hAnsi="Times New Roman"/>
                <w:sz w:val="20"/>
                <w:szCs w:val="20"/>
              </w:rPr>
            </w:pPr>
          </w:p>
          <w:p w14:paraId="2A732B0E" w14:textId="46D4748F" w:rsidR="002A7104" w:rsidRPr="004251C6" w:rsidRDefault="008D3472" w:rsidP="002D729A">
            <w:pPr>
              <w:autoSpaceDE w:val="0"/>
              <w:autoSpaceDN w:val="0"/>
              <w:adjustRightInd w:val="0"/>
              <w:spacing w:after="0" w:line="240" w:lineRule="auto"/>
              <w:rPr>
                <w:rFonts w:ascii="Times New Roman" w:hAnsi="Times New Roman"/>
                <w:sz w:val="20"/>
                <w:szCs w:val="20"/>
              </w:rPr>
            </w:pPr>
            <w:r w:rsidRPr="008D3472">
              <w:rPr>
                <w:rFonts w:ascii="Times New Roman" w:hAnsi="Times New Roman"/>
                <w:sz w:val="20"/>
                <w:szCs w:val="20"/>
              </w:rPr>
              <w:t>Medical chart abstraction to collect patient information.  If data about potential exposure to pets is needed to supplement human data, veterinary chart abstractions may also be performed.</w:t>
            </w:r>
          </w:p>
        </w:tc>
        <w:tc>
          <w:tcPr>
            <w:tcW w:w="1134" w:type="pct"/>
          </w:tcPr>
          <w:p w14:paraId="1F477468" w14:textId="77777777" w:rsidR="000E75C2" w:rsidRPr="004251C6" w:rsidRDefault="008D3472" w:rsidP="00F87909">
            <w:pPr>
              <w:pStyle w:val="Default"/>
              <w:rPr>
                <w:rFonts w:ascii="Times New Roman" w:hAnsi="Times New Roman" w:cs="Times New Roman"/>
                <w:sz w:val="20"/>
                <w:szCs w:val="20"/>
              </w:rPr>
            </w:pPr>
            <w:r w:rsidRPr="008D3472">
              <w:rPr>
                <w:rFonts w:ascii="Times New Roman" w:hAnsi="Times New Roman" w:cs="Times New Roman"/>
                <w:sz w:val="20"/>
                <w:szCs w:val="20"/>
              </w:rPr>
              <w:t>ACE investigations will be conducted in the days or weeks following an acute chemical release with the intent to gather data to inform the public health response and identify areas of the response that could be improved in future mass casualty chemical incidents in the jurisdiction. This ICR is for a rapid assessment of potential exposure and the health status of persons in the area of acute chemical releases and a review of the response to the incident; it is not designed to be a study of the health effects associated with the release of chemicals or to produce generalizable information (ATSDR will not have before and after health status data).</w:t>
            </w:r>
          </w:p>
        </w:tc>
      </w:tr>
      <w:tr w:rsidR="00216A94" w:rsidRPr="004251C6" w14:paraId="3E5B9A16" w14:textId="77777777" w:rsidTr="00F87909">
        <w:tc>
          <w:tcPr>
            <w:tcW w:w="553" w:type="pct"/>
            <w:vAlign w:val="center"/>
          </w:tcPr>
          <w:p w14:paraId="0436200A" w14:textId="5F885CF3" w:rsidR="00D70EBF" w:rsidRDefault="008D3472" w:rsidP="00F87909">
            <w:pPr>
              <w:pStyle w:val="Default"/>
              <w:rPr>
                <w:rFonts w:ascii="Times New Roman" w:hAnsi="Times New Roman" w:cs="Times New Roman"/>
                <w:b/>
                <w:color w:val="000000" w:themeColor="text1"/>
                <w:sz w:val="20"/>
                <w:szCs w:val="20"/>
              </w:rPr>
            </w:pPr>
            <w:r w:rsidRPr="008D3472">
              <w:rPr>
                <w:rFonts w:ascii="Times New Roman" w:hAnsi="Times New Roman" w:cs="Times New Roman"/>
                <w:b/>
                <w:color w:val="000000" w:themeColor="text1"/>
                <w:sz w:val="20"/>
                <w:szCs w:val="20"/>
              </w:rPr>
              <w:t>CDC’s Emerg</w:t>
            </w:r>
            <w:r w:rsidR="00786DB3">
              <w:rPr>
                <w:rFonts w:ascii="Times New Roman" w:hAnsi="Times New Roman" w:cs="Times New Roman"/>
                <w:b/>
                <w:color w:val="000000" w:themeColor="text1"/>
                <w:sz w:val="20"/>
                <w:szCs w:val="20"/>
              </w:rPr>
              <w:t>ency</w:t>
            </w:r>
            <w:r w:rsidRPr="008D3472">
              <w:rPr>
                <w:rFonts w:ascii="Times New Roman" w:hAnsi="Times New Roman" w:cs="Times New Roman"/>
                <w:b/>
                <w:color w:val="000000" w:themeColor="text1"/>
                <w:sz w:val="20"/>
                <w:szCs w:val="20"/>
              </w:rPr>
              <w:t xml:space="preserve"> Epidemic Investigations (EEIs)</w:t>
            </w:r>
          </w:p>
          <w:p w14:paraId="2B77CD57" w14:textId="77777777" w:rsidR="008C6E30" w:rsidRPr="004251C6" w:rsidRDefault="002D4F75" w:rsidP="00F87909">
            <w:pPr>
              <w:pStyle w:val="Defaul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(0920-1011)</w:t>
            </w:r>
          </w:p>
          <w:p w14:paraId="2E0D54CE" w14:textId="77777777" w:rsidR="004251C6" w:rsidRDefault="004251C6" w:rsidP="00F87909">
            <w:pPr>
              <w:pStyle w:val="Default"/>
              <w:rPr>
                <w:rFonts w:ascii="Times New Roman" w:hAnsi="Times New Roman" w:cs="Times New Roman"/>
                <w:b/>
                <w:color w:val="000000" w:themeColor="text1"/>
                <w:sz w:val="20"/>
                <w:szCs w:val="20"/>
              </w:rPr>
            </w:pPr>
          </w:p>
          <w:p w14:paraId="507B2047" w14:textId="77777777" w:rsidR="00D70EBF" w:rsidRPr="004251C6" w:rsidRDefault="00D70EBF" w:rsidP="00F87909">
            <w:pPr>
              <w:pStyle w:val="Default"/>
              <w:rPr>
                <w:rFonts w:ascii="Times New Roman" w:hAnsi="Times New Roman" w:cs="Times New Roman"/>
                <w:b/>
                <w:color w:val="000000" w:themeColor="text1"/>
                <w:sz w:val="20"/>
                <w:szCs w:val="20"/>
              </w:rPr>
            </w:pPr>
          </w:p>
        </w:tc>
        <w:tc>
          <w:tcPr>
            <w:tcW w:w="991" w:type="pct"/>
          </w:tcPr>
          <w:p w14:paraId="1E921B89" w14:textId="77777777" w:rsidR="00BD6C71" w:rsidRDefault="008D3472" w:rsidP="00F87909">
            <w:pPr>
              <w:spacing w:after="0" w:line="240" w:lineRule="auto"/>
              <w:rPr>
                <w:rFonts w:ascii="Times New Roman" w:hAnsi="Times New Roman"/>
                <w:color w:val="000000"/>
                <w:sz w:val="20"/>
                <w:szCs w:val="20"/>
              </w:rPr>
            </w:pPr>
            <w:r w:rsidRPr="008D3472">
              <w:rPr>
                <w:rFonts w:ascii="Times New Roman" w:hAnsi="Times New Roman"/>
                <w:color w:val="000000"/>
                <w:sz w:val="20"/>
                <w:szCs w:val="20"/>
              </w:rPr>
              <w:t>To allow CDC to have the quick turn-around necessary for conducting Emergency Epidemic Investigations (EEIs) in response to acute public health emergencies resulting from outbreaks or events with undetermined agents, undetermined sources, undetermined modes of transmission, or undetermined risk factors.</w:t>
            </w:r>
          </w:p>
        </w:tc>
        <w:tc>
          <w:tcPr>
            <w:tcW w:w="2322" w:type="pct"/>
            <w:gridSpan w:val="3"/>
          </w:tcPr>
          <w:p w14:paraId="66372524" w14:textId="77777777" w:rsidR="00BD6C71" w:rsidRDefault="008D3472" w:rsidP="00F87909">
            <w:pPr>
              <w:spacing w:after="0" w:line="240" w:lineRule="auto"/>
              <w:rPr>
                <w:rFonts w:ascii="Times New Roman" w:hAnsi="Times New Roman"/>
                <w:color w:val="000000"/>
                <w:sz w:val="20"/>
                <w:szCs w:val="20"/>
              </w:rPr>
            </w:pPr>
            <w:r w:rsidRPr="008D3472">
              <w:rPr>
                <w:rFonts w:ascii="Times New Roman" w:hAnsi="Times New Roman"/>
                <w:color w:val="000000"/>
                <w:sz w:val="20"/>
                <w:szCs w:val="20"/>
              </w:rPr>
              <w:t xml:space="preserve">Data collected will be determined by the specific EEI will include all information needed to characterize undetermined agents (e.g., a microorganism or chemical substance), undetermined sources (e.g., person, animal, object, or substance), undetermined modes of transmission (e.g., direct contact, vector, vehicle, airborne, droplet), or undetermined risk factors (e.g., behavior, genetic characteristic, environmental exposure). </w:t>
            </w:r>
          </w:p>
        </w:tc>
        <w:tc>
          <w:tcPr>
            <w:tcW w:w="1134" w:type="pct"/>
          </w:tcPr>
          <w:p w14:paraId="6C98D621" w14:textId="6BF9BEB3" w:rsidR="00BD6C71" w:rsidRDefault="008D3472" w:rsidP="00F87909">
            <w:pPr>
              <w:spacing w:after="0" w:line="240" w:lineRule="auto"/>
              <w:rPr>
                <w:rFonts w:ascii="Times New Roman" w:hAnsi="Times New Roman"/>
                <w:color w:val="000000"/>
                <w:sz w:val="20"/>
                <w:szCs w:val="20"/>
              </w:rPr>
            </w:pPr>
            <w:r w:rsidRPr="008D3472">
              <w:rPr>
                <w:rFonts w:ascii="Times New Roman" w:hAnsi="Times New Roman"/>
                <w:color w:val="000000"/>
                <w:sz w:val="20"/>
                <w:szCs w:val="20"/>
              </w:rPr>
              <w:t xml:space="preserve">Most EEIs involve 2 to 3 weeks of data collection. Data collection for investigations conducted under this new generic will not exceed 90 days.  </w:t>
            </w:r>
          </w:p>
        </w:tc>
      </w:tr>
      <w:tr w:rsidR="004251C6" w:rsidRPr="004251C6" w14:paraId="13E2565E" w14:textId="77777777" w:rsidTr="00F87909">
        <w:tc>
          <w:tcPr>
            <w:tcW w:w="553" w:type="pct"/>
            <w:vAlign w:val="center"/>
          </w:tcPr>
          <w:p w14:paraId="5B331F9F" w14:textId="400AEB6F" w:rsidR="00215013" w:rsidRPr="004251C6" w:rsidRDefault="00F62E7B" w:rsidP="00F87909">
            <w:pPr>
              <w:spacing w:after="0" w:line="240" w:lineRule="auto"/>
              <w:rPr>
                <w:rFonts w:ascii="Times New Roman" w:hAnsi="Times New Roman"/>
                <w:b/>
                <w:bCs/>
                <w:sz w:val="20"/>
                <w:szCs w:val="20"/>
              </w:rPr>
            </w:pPr>
            <w:r>
              <w:rPr>
                <w:rFonts w:ascii="Times New Roman" w:hAnsi="Times New Roman"/>
                <w:b/>
                <w:bCs/>
                <w:sz w:val="20"/>
                <w:szCs w:val="20"/>
              </w:rPr>
              <w:t>Assessment of</w:t>
            </w:r>
            <w:r w:rsidR="008D3472" w:rsidRPr="008D3472">
              <w:rPr>
                <w:rFonts w:ascii="Times New Roman" w:hAnsi="Times New Roman"/>
                <w:b/>
                <w:bCs/>
                <w:sz w:val="20"/>
                <w:szCs w:val="20"/>
              </w:rPr>
              <w:t xml:space="preserve"> Private Wells for Drinking Water (Proposed)</w:t>
            </w:r>
          </w:p>
        </w:tc>
        <w:tc>
          <w:tcPr>
            <w:tcW w:w="991" w:type="pct"/>
          </w:tcPr>
          <w:p w14:paraId="0F397BF7" w14:textId="7DF6C4C2" w:rsidR="00BD6C71" w:rsidRDefault="008D3472" w:rsidP="00F87909">
            <w:pPr>
              <w:spacing w:after="0" w:line="240" w:lineRule="auto"/>
              <w:rPr>
                <w:rFonts w:ascii="Times New Roman" w:hAnsi="Times New Roman"/>
                <w:color w:val="000000"/>
                <w:sz w:val="20"/>
                <w:szCs w:val="20"/>
              </w:rPr>
            </w:pPr>
            <w:r w:rsidRPr="008D3472">
              <w:rPr>
                <w:rFonts w:ascii="Times New Roman" w:hAnsi="Times New Roman"/>
                <w:color w:val="000000"/>
                <w:sz w:val="20"/>
                <w:szCs w:val="20"/>
              </w:rPr>
              <w:t>To expedite investigations to assess the health risks from using private well water for drinking.  Investigations will focus on exposure to contaminants in drinking water from private wells across varied geographic areas of the United States.</w:t>
            </w:r>
          </w:p>
          <w:p w14:paraId="53510A9A" w14:textId="7EE73298" w:rsidR="000D1D26" w:rsidRDefault="000D1D26" w:rsidP="007F64B7">
            <w:pPr>
              <w:spacing w:after="0" w:line="240" w:lineRule="auto"/>
              <w:rPr>
                <w:rFonts w:ascii="Times New Roman" w:hAnsi="Times New Roman"/>
                <w:color w:val="000000"/>
                <w:sz w:val="20"/>
                <w:szCs w:val="20"/>
              </w:rPr>
            </w:pPr>
            <w:r w:rsidRPr="00651664">
              <w:rPr>
                <w:rFonts w:ascii="Times New Roman" w:hAnsi="Times New Roman"/>
                <w:color w:val="000000"/>
                <w:sz w:val="20"/>
                <w:szCs w:val="20"/>
              </w:rPr>
              <w:t>Unlike emergency generic clearances, there is usually no emergency triggering an event.  Rather, states or other public health partners may ask for assistance when they become aware of a contaminated water source (e.g. arsenic in ground water) and need to characterize the problem</w:t>
            </w:r>
            <w:r>
              <w:rPr>
                <w:rFonts w:ascii="Times New Roman" w:hAnsi="Times New Roman"/>
                <w:color w:val="000000"/>
                <w:sz w:val="20"/>
                <w:szCs w:val="20"/>
              </w:rPr>
              <w:t xml:space="preserve"> </w:t>
            </w:r>
            <w:r w:rsidR="007F64B7">
              <w:rPr>
                <w:rFonts w:ascii="Times New Roman" w:hAnsi="Times New Roman"/>
                <w:color w:val="000000"/>
                <w:sz w:val="20"/>
                <w:szCs w:val="20"/>
              </w:rPr>
              <w:t xml:space="preserve">to inform whether to </w:t>
            </w:r>
            <w:r>
              <w:rPr>
                <w:rFonts w:ascii="Times New Roman" w:hAnsi="Times New Roman"/>
                <w:color w:val="000000"/>
                <w:sz w:val="20"/>
                <w:szCs w:val="20"/>
              </w:rPr>
              <w:t>take public health action.</w:t>
            </w:r>
          </w:p>
        </w:tc>
        <w:tc>
          <w:tcPr>
            <w:tcW w:w="717" w:type="pct"/>
          </w:tcPr>
          <w:p w14:paraId="671088BD" w14:textId="77777777" w:rsidR="00215013" w:rsidRPr="00216A94" w:rsidRDefault="008D3472" w:rsidP="00F87909">
            <w:pPr>
              <w:tabs>
                <w:tab w:val="center" w:pos="4680"/>
                <w:tab w:val="right" w:pos="9360"/>
              </w:tabs>
              <w:spacing w:after="0" w:line="240" w:lineRule="auto"/>
              <w:rPr>
                <w:rFonts w:ascii="Times New Roman" w:hAnsi="Times New Roman"/>
                <w:color w:val="000000"/>
                <w:sz w:val="20"/>
                <w:szCs w:val="20"/>
              </w:rPr>
            </w:pPr>
            <w:r w:rsidRPr="008D3472">
              <w:rPr>
                <w:rFonts w:ascii="Times New Roman" w:hAnsi="Times New Roman"/>
                <w:color w:val="000000"/>
                <w:sz w:val="20"/>
                <w:szCs w:val="20"/>
              </w:rPr>
              <w:t>Environmental sampling may include well water and tap water and surface water sampling.</w:t>
            </w:r>
          </w:p>
        </w:tc>
        <w:tc>
          <w:tcPr>
            <w:tcW w:w="836" w:type="pct"/>
          </w:tcPr>
          <w:p w14:paraId="005AAFDA" w14:textId="05CAA75A" w:rsidR="00215013" w:rsidRPr="00216A94" w:rsidRDefault="008D3472" w:rsidP="00F87909">
            <w:pPr>
              <w:tabs>
                <w:tab w:val="center" w:pos="4680"/>
                <w:tab w:val="right" w:pos="9360"/>
              </w:tabs>
              <w:spacing w:after="0" w:line="240" w:lineRule="auto"/>
              <w:rPr>
                <w:rFonts w:ascii="Times New Roman" w:hAnsi="Times New Roman"/>
                <w:color w:val="000000"/>
                <w:sz w:val="20"/>
                <w:szCs w:val="20"/>
              </w:rPr>
            </w:pPr>
            <w:r w:rsidRPr="008D3472">
              <w:rPr>
                <w:rFonts w:ascii="Times New Roman" w:hAnsi="Times New Roman"/>
                <w:color w:val="000000"/>
                <w:sz w:val="20"/>
                <w:szCs w:val="20"/>
              </w:rPr>
              <w:t xml:space="preserve">Biological sampling </w:t>
            </w:r>
            <w:r w:rsidR="000A4C0D">
              <w:rPr>
                <w:rFonts w:ascii="Times New Roman" w:hAnsi="Times New Roman"/>
                <w:color w:val="000000"/>
                <w:sz w:val="20"/>
                <w:szCs w:val="20"/>
              </w:rPr>
              <w:t xml:space="preserve">maybe included, but analyses will be limited to exposure assessment purposes. Assessment of biomarkers of health effect are not included in the scope of this clearance. </w:t>
            </w:r>
          </w:p>
          <w:p w14:paraId="3218F4F8" w14:textId="77777777" w:rsidR="00215013" w:rsidRPr="00216A94" w:rsidRDefault="00215013" w:rsidP="00F87909">
            <w:pPr>
              <w:pStyle w:val="Default"/>
              <w:rPr>
                <w:rFonts w:ascii="Times New Roman" w:hAnsi="Times New Roman" w:cs="Times New Roman"/>
                <w:sz w:val="20"/>
                <w:szCs w:val="20"/>
              </w:rPr>
            </w:pPr>
          </w:p>
        </w:tc>
        <w:tc>
          <w:tcPr>
            <w:tcW w:w="769" w:type="pct"/>
          </w:tcPr>
          <w:p w14:paraId="027A9F79" w14:textId="0FBAA091" w:rsidR="00215013" w:rsidRPr="00362FE9" w:rsidRDefault="005344F0" w:rsidP="00F87909">
            <w:pPr>
              <w:spacing w:after="0" w:line="240" w:lineRule="auto"/>
              <w:rPr>
                <w:rFonts w:ascii="Times New Roman" w:hAnsi="Times New Roman"/>
                <w:strike/>
                <w:color w:val="000000"/>
                <w:sz w:val="20"/>
                <w:szCs w:val="20"/>
              </w:rPr>
            </w:pPr>
            <w:r w:rsidRPr="00362FE9">
              <w:rPr>
                <w:rFonts w:ascii="Times New Roman" w:hAnsi="Times New Roman"/>
                <w:color w:val="000000"/>
                <w:sz w:val="20"/>
                <w:szCs w:val="20"/>
              </w:rPr>
              <w:t>No health information collection is authorized</w:t>
            </w:r>
            <w:r>
              <w:rPr>
                <w:rFonts w:ascii="Times New Roman" w:hAnsi="Times New Roman"/>
                <w:strike/>
                <w:color w:val="000000"/>
                <w:sz w:val="20"/>
                <w:szCs w:val="20"/>
              </w:rPr>
              <w:t>.</w:t>
            </w:r>
          </w:p>
          <w:p w14:paraId="35448A7F" w14:textId="77777777" w:rsidR="00215013" w:rsidRPr="00216A94" w:rsidRDefault="00215013" w:rsidP="00F87909">
            <w:pPr>
              <w:spacing w:after="0" w:line="240" w:lineRule="auto"/>
              <w:rPr>
                <w:rFonts w:ascii="Times New Roman" w:hAnsi="Times New Roman"/>
                <w:color w:val="000000"/>
                <w:sz w:val="20"/>
                <w:szCs w:val="20"/>
              </w:rPr>
            </w:pPr>
          </w:p>
        </w:tc>
        <w:tc>
          <w:tcPr>
            <w:tcW w:w="1134" w:type="pct"/>
          </w:tcPr>
          <w:p w14:paraId="2182040E" w14:textId="05AE93DA" w:rsidR="00215013" w:rsidRPr="00216A94" w:rsidRDefault="008D3472" w:rsidP="00F62E7B">
            <w:pPr>
              <w:pStyle w:val="Default"/>
              <w:rPr>
                <w:rFonts w:ascii="Times New Roman" w:hAnsi="Times New Roman" w:cs="Times New Roman"/>
                <w:sz w:val="20"/>
                <w:szCs w:val="20"/>
              </w:rPr>
            </w:pPr>
            <w:r w:rsidRPr="008D3472">
              <w:rPr>
                <w:rFonts w:ascii="Times New Roman" w:hAnsi="Times New Roman" w:cs="Times New Roman"/>
                <w:sz w:val="20"/>
                <w:szCs w:val="20"/>
              </w:rPr>
              <w:t xml:space="preserve">Investigations will be done to assess exposure to contaminants in drinking water from private wells. </w:t>
            </w:r>
          </w:p>
        </w:tc>
      </w:tr>
    </w:tbl>
    <w:p w14:paraId="6D182059" w14:textId="77777777" w:rsidR="009429E5" w:rsidRDefault="009429E5" w:rsidP="006C02C3">
      <w:pPr>
        <w:pStyle w:val="Default"/>
        <w:rPr>
          <w:rFonts w:ascii="Times New Roman" w:hAnsi="Times New Roman" w:cs="Times New Roman"/>
          <w:b/>
          <w:color w:val="000000" w:themeColor="text1"/>
        </w:rPr>
        <w:sectPr w:rsidR="009429E5" w:rsidSect="009429E5">
          <w:pgSz w:w="15840" w:h="12240" w:orient="landscape"/>
          <w:pgMar w:top="1440" w:right="1440" w:bottom="1440" w:left="1440" w:header="720" w:footer="720" w:gutter="0"/>
          <w:cols w:space="720"/>
          <w:docGrid w:linePitch="360"/>
        </w:sectPr>
      </w:pPr>
    </w:p>
    <w:p w14:paraId="519DEC1E" w14:textId="77777777" w:rsidR="006C02C3" w:rsidRPr="00F33E1C" w:rsidRDefault="006C02C3" w:rsidP="006C02C3">
      <w:pPr>
        <w:pStyle w:val="Default"/>
        <w:rPr>
          <w:rFonts w:ascii="Times New Roman" w:hAnsi="Times New Roman" w:cs="Times New Roman"/>
          <w:b/>
          <w:color w:val="auto"/>
        </w:rPr>
      </w:pPr>
      <w:r w:rsidRPr="00F33E1C">
        <w:rPr>
          <w:rFonts w:ascii="Times New Roman" w:hAnsi="Times New Roman" w:cs="Times New Roman"/>
          <w:b/>
          <w:color w:val="auto"/>
        </w:rPr>
        <w:t xml:space="preserve">5. Impact on Small </w:t>
      </w:r>
      <w:r w:rsidR="00B92C8E">
        <w:rPr>
          <w:rFonts w:ascii="Times New Roman" w:hAnsi="Times New Roman" w:cs="Times New Roman"/>
          <w:b/>
          <w:color w:val="auto"/>
        </w:rPr>
        <w:t>Businesses and</w:t>
      </w:r>
      <w:r w:rsidRPr="00F33E1C">
        <w:rPr>
          <w:rFonts w:ascii="Times New Roman" w:hAnsi="Times New Roman" w:cs="Times New Roman"/>
          <w:b/>
          <w:color w:val="auto"/>
        </w:rPr>
        <w:t xml:space="preserve"> Other Small Entities </w:t>
      </w:r>
    </w:p>
    <w:p w14:paraId="3278296B" w14:textId="77777777" w:rsidR="006C02C3" w:rsidRPr="00F33E1C" w:rsidRDefault="006C02C3" w:rsidP="006C02C3">
      <w:pPr>
        <w:pStyle w:val="Default"/>
        <w:rPr>
          <w:rFonts w:ascii="Times New Roman" w:hAnsi="Times New Roman" w:cs="Times New Roman"/>
          <w:color w:val="4F81BD" w:themeColor="accent1"/>
        </w:rPr>
      </w:pPr>
    </w:p>
    <w:p w14:paraId="46D9C4A3" w14:textId="77777777" w:rsidR="0035405D" w:rsidRPr="00F33E1C" w:rsidRDefault="0035405D" w:rsidP="0035405D">
      <w:pPr>
        <w:spacing w:after="0" w:line="240" w:lineRule="auto"/>
        <w:rPr>
          <w:rFonts w:ascii="Times New Roman" w:hAnsi="Times New Roman"/>
          <w:sz w:val="24"/>
          <w:szCs w:val="24"/>
        </w:rPr>
      </w:pPr>
      <w:r w:rsidRPr="00F33E1C">
        <w:rPr>
          <w:rFonts w:ascii="Times New Roman" w:hAnsi="Times New Roman"/>
          <w:sz w:val="24"/>
          <w:szCs w:val="24"/>
        </w:rPr>
        <w:t>No small businesses will be involved in these information collections.</w:t>
      </w:r>
    </w:p>
    <w:p w14:paraId="2B598818" w14:textId="77777777" w:rsidR="006C02C3" w:rsidRPr="00F33E1C" w:rsidRDefault="006C02C3" w:rsidP="006C02C3">
      <w:pPr>
        <w:pStyle w:val="Default"/>
        <w:rPr>
          <w:rFonts w:ascii="Times New Roman" w:hAnsi="Times New Roman" w:cs="Times New Roman"/>
          <w:color w:val="auto"/>
        </w:rPr>
      </w:pPr>
    </w:p>
    <w:p w14:paraId="24C6C342" w14:textId="77777777" w:rsidR="006C02C3" w:rsidRPr="00F33E1C" w:rsidRDefault="006C02C3" w:rsidP="006C02C3">
      <w:pPr>
        <w:rPr>
          <w:rFonts w:ascii="Times New Roman" w:hAnsi="Times New Roman"/>
          <w:b/>
          <w:sz w:val="24"/>
          <w:szCs w:val="24"/>
        </w:rPr>
      </w:pPr>
      <w:r w:rsidRPr="00F33E1C">
        <w:rPr>
          <w:rFonts w:ascii="Times New Roman" w:hAnsi="Times New Roman"/>
          <w:b/>
          <w:sz w:val="24"/>
          <w:szCs w:val="24"/>
        </w:rPr>
        <w:t>6. Consequences of Collecting the Information Less Frequently</w:t>
      </w:r>
    </w:p>
    <w:p w14:paraId="3EF6C97C" w14:textId="05731F5F" w:rsidR="00A76809" w:rsidRPr="00F33E1C" w:rsidRDefault="0035405D" w:rsidP="00362FE9">
      <w:pPr>
        <w:pStyle w:val="Default"/>
        <w:spacing w:after="200"/>
      </w:pPr>
      <w:r w:rsidRPr="00F33E1C">
        <w:rPr>
          <w:rFonts w:ascii="Times New Roman" w:hAnsi="Times New Roman" w:cs="Times New Roman"/>
          <w:color w:val="auto"/>
        </w:rPr>
        <w:t xml:space="preserve">Each </w:t>
      </w:r>
      <w:r w:rsidR="006C02C3" w:rsidRPr="00F33E1C">
        <w:rPr>
          <w:rFonts w:ascii="Times New Roman" w:hAnsi="Times New Roman" w:cs="Times New Roman"/>
          <w:color w:val="auto"/>
        </w:rPr>
        <w:t xml:space="preserve">investigation </w:t>
      </w:r>
      <w:r w:rsidR="002502AA">
        <w:rPr>
          <w:rFonts w:ascii="Times New Roman" w:hAnsi="Times New Roman" w:cs="Times New Roman"/>
          <w:color w:val="auto"/>
        </w:rPr>
        <w:t xml:space="preserve">under this Generic ICR </w:t>
      </w:r>
      <w:r w:rsidR="006C02C3" w:rsidRPr="00F33E1C">
        <w:rPr>
          <w:rFonts w:ascii="Times New Roman" w:hAnsi="Times New Roman" w:cs="Times New Roman"/>
          <w:color w:val="auto"/>
        </w:rPr>
        <w:t xml:space="preserve">will be a one-time </w:t>
      </w:r>
      <w:r w:rsidRPr="00F33E1C">
        <w:rPr>
          <w:rFonts w:ascii="Times New Roman" w:hAnsi="Times New Roman" w:cs="Times New Roman"/>
          <w:color w:val="auto"/>
        </w:rPr>
        <w:t>GenIC</w:t>
      </w:r>
      <w:r w:rsidR="006C02C3" w:rsidRPr="00F33E1C">
        <w:rPr>
          <w:rFonts w:ascii="Times New Roman" w:hAnsi="Times New Roman" w:cs="Times New Roman"/>
          <w:color w:val="auto"/>
        </w:rPr>
        <w:t>.</w:t>
      </w:r>
    </w:p>
    <w:p w14:paraId="1C9C626E" w14:textId="77777777" w:rsidR="006C02C3" w:rsidRPr="00F33E1C" w:rsidRDefault="006C02C3" w:rsidP="006C02C3">
      <w:pPr>
        <w:tabs>
          <w:tab w:val="left" w:pos="1545"/>
        </w:tabs>
        <w:rPr>
          <w:rFonts w:ascii="Times New Roman" w:hAnsi="Times New Roman"/>
          <w:sz w:val="24"/>
          <w:szCs w:val="24"/>
        </w:rPr>
      </w:pPr>
      <w:r w:rsidRPr="00F33E1C">
        <w:rPr>
          <w:rFonts w:ascii="Times New Roman" w:hAnsi="Times New Roman"/>
          <w:sz w:val="24"/>
          <w:szCs w:val="24"/>
        </w:rPr>
        <w:t>There are no legal obstacles to reduce the burden.</w:t>
      </w:r>
    </w:p>
    <w:p w14:paraId="3678DB45" w14:textId="77777777" w:rsidR="003870F1" w:rsidRPr="00F33E1C" w:rsidRDefault="003870F1" w:rsidP="003870F1">
      <w:pPr>
        <w:rPr>
          <w:rFonts w:ascii="Times New Roman" w:hAnsi="Times New Roman"/>
          <w:b/>
          <w:sz w:val="24"/>
          <w:szCs w:val="24"/>
        </w:rPr>
      </w:pPr>
      <w:r w:rsidRPr="00F33E1C">
        <w:rPr>
          <w:rFonts w:ascii="Times New Roman" w:hAnsi="Times New Roman"/>
          <w:b/>
          <w:sz w:val="24"/>
          <w:szCs w:val="24"/>
        </w:rPr>
        <w:t xml:space="preserve">7. Special Circumstances Relating to the Guidelines of 5 CFR 1320.5 </w:t>
      </w:r>
    </w:p>
    <w:p w14:paraId="5580C094" w14:textId="5658DBB9" w:rsidR="00955565" w:rsidRDefault="00955565" w:rsidP="003F690E">
      <w:pPr>
        <w:spacing w:after="0" w:line="240" w:lineRule="auto"/>
        <w:rPr>
          <w:rFonts w:ascii="Times New Roman" w:eastAsia="Arial Unicode MS" w:hAnsi="Times New Roman"/>
          <w:sz w:val="24"/>
          <w:szCs w:val="24"/>
          <w:u w:color="000000"/>
        </w:rPr>
      </w:pPr>
      <w:r w:rsidRPr="00F33E1C">
        <w:rPr>
          <w:rFonts w:ascii="Times New Roman" w:hAnsi="Times New Roman"/>
          <w:color w:val="000000"/>
          <w:sz w:val="24"/>
          <w:szCs w:val="24"/>
        </w:rPr>
        <w:t>The data collection</w:t>
      </w:r>
      <w:r w:rsidR="00AE6DC1">
        <w:rPr>
          <w:rFonts w:ascii="Times New Roman" w:hAnsi="Times New Roman"/>
          <w:color w:val="000000"/>
          <w:sz w:val="24"/>
          <w:szCs w:val="24"/>
        </w:rPr>
        <w:t>s</w:t>
      </w:r>
      <w:r w:rsidRPr="00F33E1C">
        <w:rPr>
          <w:rFonts w:ascii="Times New Roman" w:hAnsi="Times New Roman"/>
          <w:color w:val="000000"/>
          <w:sz w:val="24"/>
          <w:szCs w:val="24"/>
        </w:rPr>
        <w:t xml:space="preserve"> will fully comply with the guidelines of 5 CFR 1320.5.</w:t>
      </w:r>
    </w:p>
    <w:p w14:paraId="4768D7CA" w14:textId="77777777" w:rsidR="00955565" w:rsidRDefault="00955565" w:rsidP="003F690E">
      <w:pPr>
        <w:spacing w:after="0" w:line="240" w:lineRule="auto"/>
        <w:rPr>
          <w:rFonts w:ascii="Times New Roman" w:eastAsia="Arial Unicode MS" w:hAnsi="Times New Roman"/>
          <w:sz w:val="24"/>
          <w:szCs w:val="24"/>
          <w:u w:color="000000"/>
        </w:rPr>
      </w:pPr>
    </w:p>
    <w:p w14:paraId="6E5046AB" w14:textId="5AD2B909" w:rsidR="00DB28F2" w:rsidRPr="002D729A" w:rsidRDefault="003F690E" w:rsidP="00DB28F2">
      <w:pPr>
        <w:spacing w:after="0" w:line="240" w:lineRule="auto"/>
        <w:rPr>
          <w:rFonts w:ascii="Times New Roman" w:eastAsia="Arial Unicode MS" w:hAnsi="Times New Roman"/>
          <w:sz w:val="24"/>
          <w:szCs w:val="24"/>
          <w:u w:color="000000"/>
        </w:rPr>
      </w:pPr>
      <w:r w:rsidRPr="002E703D">
        <w:rPr>
          <w:rFonts w:ascii="Times New Roman" w:eastAsia="Arial Unicode MS" w:hAnsi="Times New Roman"/>
          <w:sz w:val="24"/>
          <w:szCs w:val="24"/>
          <w:u w:color="000000"/>
        </w:rPr>
        <w:t xml:space="preserve">Information about the </w:t>
      </w:r>
      <w:r w:rsidR="00ED06EF">
        <w:rPr>
          <w:rFonts w:ascii="Times New Roman" w:eastAsia="Arial Unicode MS" w:hAnsi="Times New Roman"/>
          <w:sz w:val="24"/>
          <w:szCs w:val="24"/>
          <w:u w:color="000000"/>
        </w:rPr>
        <w:t>Generic</w:t>
      </w:r>
      <w:r w:rsidR="00CE1F6E">
        <w:rPr>
          <w:rFonts w:ascii="Times New Roman" w:eastAsia="Arial Unicode MS" w:hAnsi="Times New Roman"/>
          <w:sz w:val="24"/>
          <w:szCs w:val="24"/>
          <w:u w:color="000000"/>
        </w:rPr>
        <w:t xml:space="preserve"> ICR</w:t>
      </w:r>
      <w:r w:rsidR="00ED06EF">
        <w:rPr>
          <w:rFonts w:ascii="Times New Roman" w:eastAsia="Arial Unicode MS" w:hAnsi="Times New Roman"/>
          <w:sz w:val="24"/>
          <w:szCs w:val="24"/>
          <w:u w:color="000000"/>
        </w:rPr>
        <w:t xml:space="preserve"> </w:t>
      </w:r>
      <w:r w:rsidRPr="002E703D">
        <w:rPr>
          <w:rFonts w:ascii="Times New Roman" w:eastAsia="Arial Unicode MS" w:hAnsi="Times New Roman"/>
          <w:sz w:val="24"/>
          <w:szCs w:val="24"/>
          <w:u w:color="000000"/>
        </w:rPr>
        <w:t xml:space="preserve">and </w:t>
      </w:r>
      <w:r w:rsidR="00FD57F3">
        <w:rPr>
          <w:rFonts w:ascii="Times New Roman" w:eastAsia="Arial Unicode MS" w:hAnsi="Times New Roman"/>
          <w:sz w:val="24"/>
          <w:szCs w:val="24"/>
          <w:u w:color="000000"/>
        </w:rPr>
        <w:t>ins</w:t>
      </w:r>
      <w:r w:rsidR="00634576">
        <w:rPr>
          <w:rFonts w:ascii="Times New Roman" w:eastAsia="Arial Unicode MS" w:hAnsi="Times New Roman"/>
          <w:sz w:val="24"/>
          <w:szCs w:val="24"/>
          <w:u w:color="000000"/>
        </w:rPr>
        <w:t>t</w:t>
      </w:r>
      <w:r w:rsidR="00FD57F3">
        <w:rPr>
          <w:rFonts w:ascii="Times New Roman" w:eastAsia="Arial Unicode MS" w:hAnsi="Times New Roman"/>
          <w:sz w:val="24"/>
          <w:szCs w:val="24"/>
          <w:u w:color="000000"/>
        </w:rPr>
        <w:t xml:space="preserve">ructions on </w:t>
      </w:r>
      <w:r w:rsidRPr="002E703D">
        <w:rPr>
          <w:rFonts w:ascii="Times New Roman" w:eastAsia="Arial Unicode MS" w:hAnsi="Times New Roman"/>
          <w:sz w:val="24"/>
          <w:szCs w:val="24"/>
          <w:u w:color="000000"/>
        </w:rPr>
        <w:t>how to submit</w:t>
      </w:r>
      <w:r>
        <w:rPr>
          <w:rFonts w:ascii="Times New Roman" w:eastAsia="Arial Unicode MS" w:hAnsi="Times New Roman"/>
          <w:sz w:val="24"/>
          <w:szCs w:val="24"/>
          <w:u w:color="000000"/>
        </w:rPr>
        <w:t xml:space="preserve"> a GenIC </w:t>
      </w:r>
      <w:r w:rsidR="00786DB3">
        <w:rPr>
          <w:rFonts w:ascii="Times New Roman" w:eastAsia="Arial Unicode MS" w:hAnsi="Times New Roman"/>
          <w:sz w:val="24"/>
          <w:szCs w:val="24"/>
          <w:u w:color="000000"/>
        </w:rPr>
        <w:t xml:space="preserve">will be maintained </w:t>
      </w:r>
      <w:r w:rsidR="00CF35A2">
        <w:rPr>
          <w:rFonts w:ascii="Times New Roman" w:eastAsia="Arial Unicode MS" w:hAnsi="Times New Roman"/>
          <w:sz w:val="24"/>
          <w:szCs w:val="24"/>
          <w:u w:color="000000"/>
        </w:rPr>
        <w:t xml:space="preserve">and used </w:t>
      </w:r>
      <w:r w:rsidR="00786DB3">
        <w:rPr>
          <w:rFonts w:ascii="Times New Roman" w:eastAsia="Arial Unicode MS" w:hAnsi="Times New Roman"/>
          <w:sz w:val="24"/>
          <w:szCs w:val="24"/>
          <w:u w:color="000000"/>
        </w:rPr>
        <w:t>by</w:t>
      </w:r>
      <w:r>
        <w:rPr>
          <w:rFonts w:ascii="Times New Roman" w:eastAsia="Arial Unicode MS" w:hAnsi="Times New Roman"/>
          <w:sz w:val="24"/>
          <w:szCs w:val="24"/>
          <w:u w:color="000000"/>
        </w:rPr>
        <w:t xml:space="preserve"> </w:t>
      </w:r>
      <w:r w:rsidR="00DB28F2">
        <w:rPr>
          <w:rFonts w:ascii="Times New Roman" w:eastAsia="Arial Unicode MS" w:hAnsi="Times New Roman"/>
          <w:sz w:val="24"/>
          <w:szCs w:val="24"/>
          <w:u w:color="000000"/>
        </w:rPr>
        <w:t xml:space="preserve">the </w:t>
      </w:r>
      <w:r>
        <w:rPr>
          <w:rFonts w:ascii="Times New Roman" w:eastAsia="Arial Unicode MS" w:hAnsi="Times New Roman"/>
          <w:sz w:val="24"/>
          <w:szCs w:val="24"/>
          <w:u w:color="000000"/>
        </w:rPr>
        <w:t>NCEH</w:t>
      </w:r>
      <w:r w:rsidRPr="002E703D">
        <w:rPr>
          <w:rFonts w:ascii="Times New Roman" w:eastAsia="Arial Unicode MS" w:hAnsi="Times New Roman"/>
          <w:sz w:val="24"/>
          <w:szCs w:val="24"/>
          <w:u w:color="000000"/>
        </w:rPr>
        <w:t xml:space="preserve"> program </w:t>
      </w:r>
      <w:r w:rsidRPr="002D729A">
        <w:rPr>
          <w:rFonts w:ascii="Times New Roman" w:eastAsia="Arial Unicode MS" w:hAnsi="Times New Roman"/>
          <w:sz w:val="24"/>
          <w:szCs w:val="24"/>
          <w:u w:color="000000"/>
        </w:rPr>
        <w:t>(</w:t>
      </w:r>
      <w:r w:rsidR="00A44010" w:rsidRPr="002D729A">
        <w:rPr>
          <w:rFonts w:ascii="Times New Roman" w:eastAsia="Arial Unicode MS" w:hAnsi="Times New Roman"/>
          <w:sz w:val="24"/>
          <w:szCs w:val="24"/>
          <w:u w:color="000000"/>
        </w:rPr>
        <w:t xml:space="preserve">Attachment </w:t>
      </w:r>
      <w:r w:rsidR="008C580B" w:rsidRPr="002D729A">
        <w:rPr>
          <w:rFonts w:ascii="Times New Roman" w:eastAsia="Arial Unicode MS" w:hAnsi="Times New Roman"/>
          <w:sz w:val="24"/>
          <w:szCs w:val="24"/>
          <w:u w:color="000000"/>
        </w:rPr>
        <w:t>C</w:t>
      </w:r>
      <w:r w:rsidR="00A44010">
        <w:rPr>
          <w:rFonts w:ascii="Times New Roman" w:eastAsia="Arial Unicode MS" w:hAnsi="Times New Roman"/>
          <w:sz w:val="24"/>
          <w:szCs w:val="24"/>
          <w:u w:color="000000"/>
        </w:rPr>
        <w:t xml:space="preserve"> </w:t>
      </w:r>
      <w:r w:rsidR="000D32C5">
        <w:rPr>
          <w:rFonts w:ascii="Times New Roman" w:eastAsia="Arial Unicode MS" w:hAnsi="Times New Roman"/>
          <w:sz w:val="24"/>
          <w:szCs w:val="24"/>
          <w:u w:color="000000"/>
        </w:rPr>
        <w:t xml:space="preserve">- </w:t>
      </w:r>
      <w:r w:rsidR="00AE6DC1">
        <w:rPr>
          <w:rFonts w:ascii="Times New Roman" w:eastAsia="Arial Unicode MS" w:hAnsi="Times New Roman"/>
          <w:sz w:val="24"/>
          <w:szCs w:val="24"/>
          <w:u w:color="000000"/>
        </w:rPr>
        <w:t>Instructions</w:t>
      </w:r>
      <w:r w:rsidRPr="002E703D">
        <w:rPr>
          <w:rFonts w:ascii="Times New Roman" w:eastAsia="Arial Unicode MS" w:hAnsi="Times New Roman"/>
          <w:sz w:val="24"/>
          <w:szCs w:val="24"/>
          <w:u w:color="000000"/>
        </w:rPr>
        <w:t xml:space="preserve"> for </w:t>
      </w:r>
      <w:r w:rsidR="00F62AF8">
        <w:rPr>
          <w:rFonts w:ascii="Times New Roman" w:eastAsia="Arial Unicode MS" w:hAnsi="Times New Roman"/>
          <w:sz w:val="24"/>
          <w:szCs w:val="24"/>
          <w:u w:color="000000"/>
        </w:rPr>
        <w:t xml:space="preserve">Using </w:t>
      </w:r>
      <w:r w:rsidR="00AE6DC1">
        <w:rPr>
          <w:rFonts w:ascii="Times New Roman" w:eastAsia="Arial Unicode MS" w:hAnsi="Times New Roman"/>
          <w:sz w:val="24"/>
          <w:szCs w:val="24"/>
          <w:u w:color="000000"/>
        </w:rPr>
        <w:t xml:space="preserve">the </w:t>
      </w:r>
      <w:r w:rsidR="00ED06EF">
        <w:rPr>
          <w:rFonts w:ascii="Times New Roman" w:eastAsia="Arial Unicode MS" w:hAnsi="Times New Roman"/>
          <w:sz w:val="24"/>
          <w:szCs w:val="24"/>
          <w:u w:color="000000"/>
        </w:rPr>
        <w:t xml:space="preserve">Generic </w:t>
      </w:r>
      <w:r w:rsidR="00CE1F6E">
        <w:rPr>
          <w:rFonts w:ascii="Times New Roman" w:eastAsia="Arial Unicode MS" w:hAnsi="Times New Roman"/>
          <w:sz w:val="24"/>
          <w:szCs w:val="24"/>
          <w:u w:color="000000"/>
        </w:rPr>
        <w:t>ICR</w:t>
      </w:r>
      <w:r>
        <w:rPr>
          <w:rFonts w:ascii="Times New Roman" w:eastAsia="Arial Unicode MS" w:hAnsi="Times New Roman"/>
          <w:sz w:val="24"/>
          <w:szCs w:val="24"/>
          <w:u w:color="000000"/>
        </w:rPr>
        <w:t xml:space="preserve">). </w:t>
      </w:r>
      <w:r w:rsidR="00DB28F2">
        <w:rPr>
          <w:rFonts w:ascii="Times New Roman" w:eastAsia="Arial Unicode MS" w:hAnsi="Times New Roman"/>
          <w:sz w:val="24"/>
          <w:szCs w:val="24"/>
          <w:u w:color="000000"/>
        </w:rPr>
        <w:t xml:space="preserve">The NCEH program will submit the following package </w:t>
      </w:r>
      <w:r w:rsidR="00DB28F2" w:rsidRPr="002D729A">
        <w:rPr>
          <w:rFonts w:ascii="Times New Roman" w:eastAsia="Arial Unicode MS" w:hAnsi="Times New Roman"/>
          <w:b/>
          <w:i/>
          <w:sz w:val="24"/>
          <w:szCs w:val="24"/>
          <w:u w:color="000000"/>
        </w:rPr>
        <w:t>for each G</w:t>
      </w:r>
      <w:r w:rsidR="00CF35A2" w:rsidRPr="002D729A">
        <w:rPr>
          <w:rFonts w:ascii="Times New Roman" w:hAnsi="Times New Roman"/>
          <w:b/>
          <w:i/>
          <w:sz w:val="24"/>
          <w:szCs w:val="24"/>
        </w:rPr>
        <w:t>enIC</w:t>
      </w:r>
      <w:r w:rsidR="00CF35A2">
        <w:rPr>
          <w:rFonts w:ascii="Times New Roman" w:hAnsi="Times New Roman"/>
          <w:sz w:val="24"/>
          <w:szCs w:val="24"/>
        </w:rPr>
        <w:t>: a GenIC Request F</w:t>
      </w:r>
      <w:r w:rsidR="008C580B">
        <w:rPr>
          <w:rFonts w:ascii="Times New Roman" w:hAnsi="Times New Roman"/>
          <w:sz w:val="24"/>
          <w:szCs w:val="24"/>
        </w:rPr>
        <w:t>orm (Attachment D</w:t>
      </w:r>
      <w:r w:rsidR="00DB28F2">
        <w:rPr>
          <w:rFonts w:ascii="Times New Roman" w:hAnsi="Times New Roman"/>
          <w:sz w:val="24"/>
          <w:szCs w:val="24"/>
        </w:rPr>
        <w:t xml:space="preserve">), a </w:t>
      </w:r>
      <w:r w:rsidR="00DD380D">
        <w:rPr>
          <w:rFonts w:ascii="Times New Roman" w:hAnsi="Times New Roman"/>
          <w:sz w:val="24"/>
          <w:szCs w:val="24"/>
        </w:rPr>
        <w:t>full</w:t>
      </w:r>
      <w:r w:rsidR="005344F0">
        <w:rPr>
          <w:rFonts w:ascii="Times New Roman" w:hAnsi="Times New Roman"/>
          <w:sz w:val="24"/>
          <w:szCs w:val="24"/>
        </w:rPr>
        <w:t xml:space="preserve"> </w:t>
      </w:r>
      <w:r w:rsidR="00DB28F2">
        <w:rPr>
          <w:rFonts w:ascii="Times New Roman" w:hAnsi="Times New Roman"/>
          <w:sz w:val="24"/>
          <w:szCs w:val="24"/>
        </w:rPr>
        <w:t xml:space="preserve">Supporting Statement A </w:t>
      </w:r>
      <w:r w:rsidR="002D729A">
        <w:rPr>
          <w:rFonts w:ascii="Times New Roman" w:hAnsi="Times New Roman"/>
          <w:sz w:val="24"/>
          <w:szCs w:val="24"/>
        </w:rPr>
        <w:t>and B,</w:t>
      </w:r>
      <w:r w:rsidR="00C26658">
        <w:rPr>
          <w:rFonts w:ascii="Times New Roman" w:hAnsi="Times New Roman"/>
          <w:sz w:val="24"/>
          <w:szCs w:val="24"/>
        </w:rPr>
        <w:t xml:space="preserve"> </w:t>
      </w:r>
      <w:r w:rsidR="006F3986">
        <w:rPr>
          <w:rFonts w:ascii="Times New Roman" w:hAnsi="Times New Roman"/>
          <w:sz w:val="24"/>
          <w:szCs w:val="24"/>
        </w:rPr>
        <w:t>the letter of STLT invitation</w:t>
      </w:r>
      <w:r w:rsidR="003B606D">
        <w:rPr>
          <w:rFonts w:ascii="Times New Roman" w:hAnsi="Times New Roman"/>
          <w:sz w:val="24"/>
          <w:szCs w:val="24"/>
        </w:rPr>
        <w:t xml:space="preserve">, </w:t>
      </w:r>
      <w:r w:rsidR="00C26658">
        <w:rPr>
          <w:rFonts w:ascii="Times New Roman" w:hAnsi="Times New Roman"/>
          <w:sz w:val="24"/>
          <w:szCs w:val="24"/>
        </w:rPr>
        <w:t xml:space="preserve">a research determination, </w:t>
      </w:r>
      <w:r w:rsidR="000C7471">
        <w:rPr>
          <w:rFonts w:ascii="Times New Roman" w:hAnsi="Times New Roman"/>
          <w:sz w:val="24"/>
          <w:szCs w:val="24"/>
        </w:rPr>
        <w:t xml:space="preserve">and </w:t>
      </w:r>
      <w:r w:rsidR="00C26658">
        <w:rPr>
          <w:rFonts w:ascii="Times New Roman" w:hAnsi="Times New Roman"/>
          <w:sz w:val="24"/>
          <w:szCs w:val="24"/>
        </w:rPr>
        <w:t>the data collection forms</w:t>
      </w:r>
      <w:r w:rsidR="00DD380D">
        <w:rPr>
          <w:rFonts w:ascii="Times New Roman" w:hAnsi="Times New Roman"/>
          <w:sz w:val="24"/>
          <w:szCs w:val="24"/>
        </w:rPr>
        <w:t xml:space="preserve"> (Attachments F-J – Example Forms)</w:t>
      </w:r>
      <w:r w:rsidR="00C5772D">
        <w:rPr>
          <w:rFonts w:ascii="Times New Roman" w:hAnsi="Times New Roman"/>
          <w:sz w:val="24"/>
          <w:szCs w:val="24"/>
        </w:rPr>
        <w:t>.</w:t>
      </w:r>
    </w:p>
    <w:p w14:paraId="20868732" w14:textId="77777777" w:rsidR="00DB28F2" w:rsidRDefault="00DB28F2" w:rsidP="003F690E">
      <w:pPr>
        <w:spacing w:after="0" w:line="240" w:lineRule="auto"/>
        <w:rPr>
          <w:rFonts w:ascii="Times New Roman" w:eastAsia="Arial Unicode MS" w:hAnsi="Times New Roman"/>
          <w:sz w:val="24"/>
          <w:szCs w:val="24"/>
          <w:u w:color="000000"/>
        </w:rPr>
      </w:pPr>
    </w:p>
    <w:p w14:paraId="1D44A39E" w14:textId="61117DE9" w:rsidR="00E13B57" w:rsidRDefault="00DB28F2" w:rsidP="003F690E">
      <w:pPr>
        <w:spacing w:after="0" w:line="240" w:lineRule="auto"/>
        <w:rPr>
          <w:rFonts w:ascii="Times New Roman" w:eastAsia="Arial Unicode MS" w:hAnsi="Times New Roman"/>
          <w:sz w:val="24"/>
          <w:szCs w:val="24"/>
          <w:u w:color="000000"/>
        </w:rPr>
      </w:pPr>
      <w:r>
        <w:rPr>
          <w:rFonts w:ascii="Times New Roman" w:eastAsia="Arial Unicode MS" w:hAnsi="Times New Roman"/>
          <w:sz w:val="24"/>
          <w:szCs w:val="24"/>
          <w:u w:color="000000"/>
        </w:rPr>
        <w:t>The</w:t>
      </w:r>
      <w:r w:rsidRPr="002E703D">
        <w:rPr>
          <w:rFonts w:ascii="Times New Roman" w:eastAsia="Arial Unicode MS" w:hAnsi="Times New Roman"/>
          <w:sz w:val="24"/>
          <w:szCs w:val="24"/>
          <w:u w:color="000000"/>
        </w:rPr>
        <w:t xml:space="preserve"> </w:t>
      </w:r>
      <w:r>
        <w:rPr>
          <w:rFonts w:ascii="Times New Roman" w:eastAsia="Arial Unicode MS" w:hAnsi="Times New Roman"/>
          <w:sz w:val="24"/>
          <w:szCs w:val="24"/>
          <w:u w:color="000000"/>
        </w:rPr>
        <w:t xml:space="preserve">clearance process for each GenIC will include review and routing </w:t>
      </w:r>
      <w:r w:rsidR="00B47763">
        <w:rPr>
          <w:rFonts w:ascii="Times New Roman" w:eastAsia="Arial Unicode MS" w:hAnsi="Times New Roman"/>
          <w:sz w:val="24"/>
          <w:szCs w:val="24"/>
          <w:u w:color="000000"/>
        </w:rPr>
        <w:t xml:space="preserve">of each package </w:t>
      </w:r>
      <w:r>
        <w:rPr>
          <w:rFonts w:ascii="Times New Roman" w:eastAsia="Arial Unicode MS" w:hAnsi="Times New Roman"/>
          <w:sz w:val="24"/>
          <w:szCs w:val="24"/>
          <w:u w:color="000000"/>
        </w:rPr>
        <w:t xml:space="preserve">through the </w:t>
      </w:r>
      <w:r>
        <w:rPr>
          <w:rFonts w:ascii="Times New Roman" w:hAnsi="Times New Roman"/>
          <w:color w:val="000000"/>
          <w:sz w:val="24"/>
          <w:szCs w:val="24"/>
        </w:rPr>
        <w:t>NCEH/ATSDR PRA Contact</w:t>
      </w:r>
      <w:r>
        <w:rPr>
          <w:rFonts w:ascii="Times New Roman" w:eastAsia="Arial Unicode MS" w:hAnsi="Times New Roman"/>
          <w:sz w:val="24"/>
          <w:szCs w:val="24"/>
          <w:u w:color="000000"/>
        </w:rPr>
        <w:t xml:space="preserve">, the CDC Information Collection Request Office (ICRO), </w:t>
      </w:r>
      <w:r w:rsidR="00B47763">
        <w:rPr>
          <w:rFonts w:ascii="Times New Roman" w:eastAsia="Arial Unicode MS" w:hAnsi="Times New Roman"/>
          <w:sz w:val="24"/>
          <w:szCs w:val="24"/>
          <w:u w:color="000000"/>
        </w:rPr>
        <w:t>Department of Health and Human Services (DHHS), and then to OMB.</w:t>
      </w:r>
    </w:p>
    <w:p w14:paraId="7DBEE4CF" w14:textId="77777777" w:rsidR="00C5772D" w:rsidRDefault="00C5772D" w:rsidP="003F690E">
      <w:pPr>
        <w:spacing w:after="0" w:line="240" w:lineRule="auto"/>
        <w:rPr>
          <w:rFonts w:ascii="Times New Roman" w:hAnsi="Times New Roman"/>
          <w:sz w:val="24"/>
          <w:szCs w:val="24"/>
        </w:rPr>
      </w:pPr>
    </w:p>
    <w:p w14:paraId="41850CF5" w14:textId="0C3C3B62" w:rsidR="00FD23B1" w:rsidRDefault="003F690E" w:rsidP="003F690E">
      <w:pPr>
        <w:spacing w:after="0" w:line="240" w:lineRule="auto"/>
        <w:rPr>
          <w:rFonts w:ascii="Times New Roman" w:eastAsia="Arial Unicode MS" w:hAnsi="Times New Roman"/>
          <w:sz w:val="24"/>
          <w:szCs w:val="24"/>
          <w:u w:color="000000"/>
        </w:rPr>
      </w:pPr>
      <w:r>
        <w:rPr>
          <w:rFonts w:ascii="Times New Roman" w:eastAsia="Arial Unicode MS" w:hAnsi="Times New Roman"/>
          <w:sz w:val="24"/>
          <w:szCs w:val="24"/>
          <w:u w:color="000000"/>
        </w:rPr>
        <w:t xml:space="preserve">The </w:t>
      </w:r>
      <w:r w:rsidR="00FD57F3">
        <w:rPr>
          <w:rFonts w:ascii="Times New Roman" w:eastAsia="Arial Unicode MS" w:hAnsi="Times New Roman"/>
          <w:sz w:val="24"/>
          <w:szCs w:val="24"/>
          <w:u w:color="000000"/>
        </w:rPr>
        <w:t>NCEH program</w:t>
      </w:r>
      <w:r w:rsidRPr="002E703D">
        <w:rPr>
          <w:rFonts w:ascii="Times New Roman" w:eastAsia="Arial Unicode MS" w:hAnsi="Times New Roman"/>
          <w:sz w:val="24"/>
          <w:szCs w:val="24"/>
          <w:u w:color="000000"/>
        </w:rPr>
        <w:t xml:space="preserve"> </w:t>
      </w:r>
      <w:r>
        <w:rPr>
          <w:rFonts w:ascii="Times New Roman" w:eastAsia="Arial Unicode MS" w:hAnsi="Times New Roman"/>
          <w:sz w:val="24"/>
          <w:szCs w:val="24"/>
          <w:u w:color="000000"/>
        </w:rPr>
        <w:t xml:space="preserve">will </w:t>
      </w:r>
      <w:r w:rsidRPr="002E703D">
        <w:rPr>
          <w:rFonts w:ascii="Times New Roman" w:eastAsia="Arial Unicode MS" w:hAnsi="Times New Roman"/>
          <w:sz w:val="24"/>
          <w:szCs w:val="24"/>
          <w:u w:color="000000"/>
        </w:rPr>
        <w:t>maintain</w:t>
      </w:r>
      <w:r>
        <w:rPr>
          <w:rFonts w:ascii="Times New Roman" w:eastAsia="Arial Unicode MS" w:hAnsi="Times New Roman"/>
          <w:sz w:val="24"/>
          <w:szCs w:val="24"/>
          <w:u w:color="000000"/>
        </w:rPr>
        <w:t xml:space="preserve"> a</w:t>
      </w:r>
      <w:r w:rsidRPr="002E703D">
        <w:rPr>
          <w:rFonts w:ascii="Times New Roman" w:eastAsia="Arial Unicode MS" w:hAnsi="Times New Roman"/>
          <w:sz w:val="24"/>
          <w:szCs w:val="24"/>
          <w:u w:color="000000"/>
        </w:rPr>
        <w:t xml:space="preserve"> library of data collection forms </w:t>
      </w:r>
      <w:r>
        <w:rPr>
          <w:rFonts w:ascii="Times New Roman" w:eastAsia="Arial Unicode MS" w:hAnsi="Times New Roman"/>
          <w:sz w:val="24"/>
          <w:szCs w:val="24"/>
          <w:u w:color="000000"/>
        </w:rPr>
        <w:t>created</w:t>
      </w:r>
      <w:r w:rsidR="00F62AF8">
        <w:rPr>
          <w:rFonts w:ascii="Times New Roman" w:eastAsia="Arial Unicode MS" w:hAnsi="Times New Roman"/>
          <w:sz w:val="24"/>
          <w:szCs w:val="24"/>
          <w:u w:color="000000"/>
        </w:rPr>
        <w:t xml:space="preserve"> for the individual GenIC</w:t>
      </w:r>
      <w:r w:rsidR="00955565">
        <w:rPr>
          <w:rFonts w:ascii="Times New Roman" w:eastAsia="Arial Unicode MS" w:hAnsi="Times New Roman"/>
          <w:sz w:val="24"/>
          <w:szCs w:val="24"/>
          <w:u w:color="000000"/>
        </w:rPr>
        <w:t xml:space="preserve"> investigations</w:t>
      </w:r>
      <w:r>
        <w:rPr>
          <w:rFonts w:ascii="Times New Roman" w:eastAsia="Arial Unicode MS" w:hAnsi="Times New Roman"/>
          <w:sz w:val="24"/>
          <w:szCs w:val="24"/>
          <w:u w:color="000000"/>
        </w:rPr>
        <w:t xml:space="preserve"> that may be accessed by NCEH</w:t>
      </w:r>
      <w:r w:rsidRPr="002E703D">
        <w:rPr>
          <w:rFonts w:ascii="Times New Roman" w:eastAsia="Arial Unicode MS" w:hAnsi="Times New Roman"/>
          <w:sz w:val="24"/>
          <w:szCs w:val="24"/>
          <w:u w:color="000000"/>
        </w:rPr>
        <w:t xml:space="preserve"> programs</w:t>
      </w:r>
      <w:r w:rsidR="00F62AF8">
        <w:rPr>
          <w:rFonts w:ascii="Times New Roman" w:eastAsia="Arial Unicode MS" w:hAnsi="Times New Roman"/>
          <w:sz w:val="24"/>
          <w:szCs w:val="24"/>
          <w:u w:color="000000"/>
        </w:rPr>
        <w:t xml:space="preserve"> and their collaborators when</w:t>
      </w:r>
      <w:r w:rsidRPr="002E703D">
        <w:rPr>
          <w:rFonts w:ascii="Times New Roman" w:eastAsia="Arial Unicode MS" w:hAnsi="Times New Roman"/>
          <w:sz w:val="24"/>
          <w:szCs w:val="24"/>
          <w:u w:color="000000"/>
        </w:rPr>
        <w:t xml:space="preserve"> initiating new investigations.</w:t>
      </w:r>
    </w:p>
    <w:p w14:paraId="585935F7" w14:textId="77777777" w:rsidR="00DB28F2" w:rsidRDefault="00DB28F2" w:rsidP="003F690E">
      <w:pPr>
        <w:spacing w:after="0" w:line="240" w:lineRule="auto"/>
        <w:rPr>
          <w:rFonts w:ascii="Times New Roman" w:eastAsia="Arial Unicode MS" w:hAnsi="Times New Roman"/>
          <w:sz w:val="24"/>
          <w:szCs w:val="24"/>
          <w:u w:color="000000"/>
        </w:rPr>
      </w:pPr>
    </w:p>
    <w:p w14:paraId="284EE56D" w14:textId="77777777" w:rsidR="003C57C2" w:rsidRPr="00F33E1C" w:rsidRDefault="003C57C2" w:rsidP="003C57C2">
      <w:pPr>
        <w:pStyle w:val="Default"/>
        <w:rPr>
          <w:rFonts w:ascii="Times New Roman" w:hAnsi="Times New Roman" w:cs="Times New Roman"/>
          <w:b/>
          <w:color w:val="auto"/>
        </w:rPr>
      </w:pPr>
      <w:r w:rsidRPr="00F33E1C">
        <w:rPr>
          <w:rFonts w:ascii="Times New Roman" w:hAnsi="Times New Roman" w:cs="Times New Roman"/>
          <w:b/>
          <w:color w:val="auto"/>
        </w:rPr>
        <w:t xml:space="preserve">8. Comments in Response to the Federal Register Notice and Efforts to Consult Outside the Agency </w:t>
      </w:r>
    </w:p>
    <w:p w14:paraId="75C458F1" w14:textId="77777777" w:rsidR="003C57C2" w:rsidRPr="00F33E1C" w:rsidRDefault="003C57C2" w:rsidP="003C57C2">
      <w:pPr>
        <w:spacing w:after="0" w:line="240" w:lineRule="auto"/>
        <w:rPr>
          <w:rFonts w:ascii="Times New Roman" w:hAnsi="Times New Roman"/>
          <w:sz w:val="24"/>
          <w:szCs w:val="24"/>
        </w:rPr>
      </w:pPr>
    </w:p>
    <w:p w14:paraId="0895074C" w14:textId="7BC61DB2" w:rsidR="003C57C2" w:rsidRPr="00627328" w:rsidRDefault="003C57C2" w:rsidP="003C57C2">
      <w:pPr>
        <w:pStyle w:val="Default"/>
        <w:rPr>
          <w:rFonts w:ascii="Times New Roman" w:hAnsi="Times New Roman" w:cs="Times New Roman"/>
          <w:color w:val="auto"/>
        </w:rPr>
      </w:pPr>
      <w:r w:rsidRPr="002D729A">
        <w:rPr>
          <w:rFonts w:ascii="Times New Roman" w:hAnsi="Times New Roman" w:cs="Times New Roman"/>
          <w:color w:val="auto"/>
        </w:rPr>
        <w:t>A 60-day Federal Register Notice was published</w:t>
      </w:r>
      <w:r w:rsidR="00AC3377">
        <w:rPr>
          <w:rFonts w:ascii="Times New Roman" w:hAnsi="Times New Roman" w:cs="Times New Roman"/>
          <w:color w:val="auto"/>
        </w:rPr>
        <w:t xml:space="preserve"> on March</w:t>
      </w:r>
      <w:r w:rsidR="00B92869">
        <w:rPr>
          <w:rFonts w:ascii="Times New Roman" w:hAnsi="Times New Roman" w:cs="Times New Roman"/>
          <w:color w:val="auto"/>
        </w:rPr>
        <w:t xml:space="preserve"> 11, 2016</w:t>
      </w:r>
      <w:r w:rsidRPr="002D729A">
        <w:rPr>
          <w:rFonts w:ascii="Times New Roman" w:hAnsi="Times New Roman" w:cs="Times New Roman"/>
          <w:color w:val="auto"/>
        </w:rPr>
        <w:t xml:space="preserve"> (Attachment B). </w:t>
      </w:r>
      <w:r w:rsidR="00627328">
        <w:rPr>
          <w:rFonts w:ascii="Times New Roman" w:hAnsi="Times New Roman" w:cs="Times New Roman"/>
          <w:color w:val="auto"/>
        </w:rPr>
        <w:t xml:space="preserve"> Four public comments</w:t>
      </w:r>
      <w:r w:rsidRPr="002D729A">
        <w:rPr>
          <w:rFonts w:ascii="Times New Roman" w:hAnsi="Times New Roman" w:cs="Times New Roman"/>
          <w:color w:val="auto"/>
        </w:rPr>
        <w:t xml:space="preserve"> were received in response to the Federal Register Notice during the public comment period.</w:t>
      </w:r>
      <w:r w:rsidR="00627328">
        <w:rPr>
          <w:rFonts w:ascii="Times New Roman" w:hAnsi="Times New Roman" w:cs="Times New Roman"/>
          <w:color w:val="auto"/>
        </w:rPr>
        <w:t xml:space="preserve"> </w:t>
      </w:r>
      <w:r w:rsidR="007D3CA2">
        <w:rPr>
          <w:rFonts w:ascii="Times New Roman" w:hAnsi="Times New Roman" w:cs="Times New Roman"/>
          <w:color w:val="auto"/>
        </w:rPr>
        <w:t xml:space="preserve">One public request for documents was received. </w:t>
      </w:r>
      <w:r w:rsidR="0075729A" w:rsidRPr="00627328">
        <w:rPr>
          <w:rFonts w:ascii="Times New Roman" w:hAnsi="Times New Roman" w:cs="Times New Roman"/>
          <w:color w:val="auto"/>
        </w:rPr>
        <w:t xml:space="preserve">The public comments and the agency’s responses </w:t>
      </w:r>
      <w:r w:rsidR="00627328" w:rsidRPr="00627328">
        <w:rPr>
          <w:rFonts w:ascii="Times New Roman" w:hAnsi="Times New Roman" w:cs="Times New Roman"/>
          <w:color w:val="auto"/>
        </w:rPr>
        <w:t>are provided in Attachment B1.</w:t>
      </w:r>
    </w:p>
    <w:p w14:paraId="584597E5" w14:textId="77777777" w:rsidR="003C57C2" w:rsidRPr="00627328" w:rsidRDefault="003C57C2" w:rsidP="003C57C2">
      <w:pPr>
        <w:spacing w:after="0" w:line="240" w:lineRule="auto"/>
        <w:rPr>
          <w:rFonts w:ascii="Times New Roman" w:hAnsi="Times New Roman"/>
          <w:sz w:val="24"/>
          <w:szCs w:val="24"/>
        </w:rPr>
      </w:pPr>
    </w:p>
    <w:p w14:paraId="00E10942" w14:textId="63869283" w:rsidR="003C57C2" w:rsidRPr="00F33E1C" w:rsidRDefault="003C57C2" w:rsidP="003C57C2">
      <w:pPr>
        <w:spacing w:after="0" w:line="240" w:lineRule="auto"/>
        <w:rPr>
          <w:rFonts w:ascii="Times New Roman" w:hAnsi="Times New Roman"/>
          <w:sz w:val="24"/>
          <w:szCs w:val="24"/>
        </w:rPr>
      </w:pPr>
      <w:r w:rsidRPr="00627328">
        <w:rPr>
          <w:rFonts w:ascii="Times New Roman" w:hAnsi="Times New Roman"/>
          <w:sz w:val="24"/>
          <w:szCs w:val="24"/>
        </w:rPr>
        <w:t>Below is a list of individuals and groups outside</w:t>
      </w:r>
      <w:r w:rsidRPr="00F33E1C">
        <w:rPr>
          <w:rFonts w:ascii="Times New Roman" w:hAnsi="Times New Roman"/>
          <w:sz w:val="24"/>
          <w:szCs w:val="24"/>
        </w:rPr>
        <w:t xml:space="preserve"> of the agency who were consulted between 2010 and 2015 to obtain their views on the availability of data,</w:t>
      </w:r>
      <w:r w:rsidR="0041643C">
        <w:rPr>
          <w:rFonts w:ascii="Times New Roman" w:hAnsi="Times New Roman"/>
          <w:sz w:val="24"/>
          <w:szCs w:val="24"/>
        </w:rPr>
        <w:t xml:space="preserve"> and</w:t>
      </w:r>
      <w:r w:rsidRPr="00F33E1C">
        <w:rPr>
          <w:rFonts w:ascii="Times New Roman" w:hAnsi="Times New Roman"/>
          <w:sz w:val="24"/>
          <w:szCs w:val="24"/>
        </w:rPr>
        <w:t xml:space="preserve"> the clarity of instructions and information</w:t>
      </w:r>
      <w:r w:rsidR="0041643C">
        <w:rPr>
          <w:rFonts w:ascii="Times New Roman" w:hAnsi="Times New Roman"/>
          <w:sz w:val="24"/>
          <w:szCs w:val="24"/>
        </w:rPr>
        <w:t>,</w:t>
      </w:r>
    </w:p>
    <w:p w14:paraId="542CCD04" w14:textId="77777777" w:rsidR="003C57C2" w:rsidRPr="00F33E1C" w:rsidRDefault="003C57C2" w:rsidP="003C57C2">
      <w:pPr>
        <w:spacing w:after="0" w:line="240" w:lineRule="auto"/>
        <w:rPr>
          <w:rFonts w:ascii="Times New Roman" w:hAnsi="Times New Roman"/>
          <w:sz w:val="24"/>
          <w:szCs w:val="24"/>
        </w:rPr>
      </w:pPr>
    </w:p>
    <w:p w14:paraId="55C1FA74"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Private W</w:t>
      </w:r>
      <w:r w:rsidR="008152D5">
        <w:rPr>
          <w:rFonts w:ascii="Times New Roman" w:hAnsi="Times New Roman"/>
          <w:sz w:val="24"/>
          <w:szCs w:val="24"/>
        </w:rPr>
        <w:t>ell Community of Practice (2014-2015</w:t>
      </w:r>
      <w:r w:rsidRPr="00F33E1C">
        <w:rPr>
          <w:rFonts w:ascii="Times New Roman" w:hAnsi="Times New Roman"/>
          <w:sz w:val="24"/>
          <w:szCs w:val="24"/>
        </w:rPr>
        <w:t>)</w:t>
      </w:r>
    </w:p>
    <w:p w14:paraId="0DB21DF1"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E-mail distribution list of interested public health practitioners and others.</w:t>
      </w:r>
    </w:p>
    <w:p w14:paraId="05336C50" w14:textId="77777777" w:rsidR="003C57C2" w:rsidRPr="00F33E1C" w:rsidRDefault="003C57C2" w:rsidP="003C57C2">
      <w:pPr>
        <w:spacing w:after="0" w:line="240" w:lineRule="auto"/>
        <w:rPr>
          <w:rFonts w:ascii="Times New Roman" w:hAnsi="Times New Roman"/>
          <w:sz w:val="24"/>
          <w:szCs w:val="24"/>
        </w:rPr>
      </w:pPr>
    </w:p>
    <w:p w14:paraId="20CEF0A9"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Andrew E. Smith, SM, ScD</w:t>
      </w:r>
    </w:p>
    <w:p w14:paraId="4B67F5FC" w14:textId="6C7EC155" w:rsidR="003E44AC"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State Toxicologist</w:t>
      </w:r>
    </w:p>
    <w:p w14:paraId="3B04E736"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Director, Environmental and Occupational Health Programs</w:t>
      </w:r>
    </w:p>
    <w:p w14:paraId="4626E573"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Maine Center for Disease Control and Prevention</w:t>
      </w:r>
    </w:p>
    <w:p w14:paraId="5D3D36A8" w14:textId="77777777" w:rsidR="003C57C2" w:rsidRPr="00F33E1C" w:rsidRDefault="00066C2A" w:rsidP="003C57C2">
      <w:pPr>
        <w:spacing w:after="0" w:line="240" w:lineRule="auto"/>
        <w:rPr>
          <w:rFonts w:ascii="Times New Roman" w:hAnsi="Times New Roman"/>
          <w:sz w:val="24"/>
          <w:szCs w:val="24"/>
        </w:rPr>
      </w:pPr>
      <w:r>
        <w:rPr>
          <w:rFonts w:ascii="Times New Roman" w:hAnsi="Times New Roman"/>
          <w:sz w:val="24"/>
          <w:szCs w:val="24"/>
        </w:rPr>
        <w:t>Department of Health and </w:t>
      </w:r>
      <w:r w:rsidR="003C57C2" w:rsidRPr="00F33E1C">
        <w:rPr>
          <w:rFonts w:ascii="Times New Roman" w:hAnsi="Times New Roman"/>
          <w:sz w:val="24"/>
          <w:szCs w:val="24"/>
        </w:rPr>
        <w:t>Human Services</w:t>
      </w:r>
    </w:p>
    <w:p w14:paraId="1066A89F"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11 State House Station</w:t>
      </w:r>
    </w:p>
    <w:p w14:paraId="4D5F8A37"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Augusta, ME 04333</w:t>
      </w:r>
    </w:p>
    <w:p w14:paraId="6546517F"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Tel: (207) 287-5189</w:t>
      </w:r>
    </w:p>
    <w:p w14:paraId="55B15618"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 xml:space="preserve">E-mail:  </w:t>
      </w:r>
      <w:hyperlink r:id="rId15" w:history="1">
        <w:r w:rsidRPr="00F33E1C">
          <w:rPr>
            <w:rStyle w:val="Hyperlink"/>
            <w:rFonts w:ascii="Times New Roman" w:hAnsi="Times New Roman"/>
            <w:sz w:val="24"/>
            <w:szCs w:val="24"/>
          </w:rPr>
          <w:t>andy.e.smith@maine.gov</w:t>
        </w:r>
      </w:hyperlink>
    </w:p>
    <w:p w14:paraId="0F40B236" w14:textId="77777777" w:rsidR="003C57C2" w:rsidRPr="00F33E1C" w:rsidRDefault="003C57C2" w:rsidP="003C57C2">
      <w:pPr>
        <w:spacing w:after="0" w:line="240" w:lineRule="auto"/>
        <w:rPr>
          <w:rFonts w:ascii="Times New Roman" w:hAnsi="Times New Roman"/>
          <w:sz w:val="24"/>
          <w:szCs w:val="24"/>
        </w:rPr>
      </w:pPr>
    </w:p>
    <w:p w14:paraId="40016CC7"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Joseph D. Ayotte, P.G.</w:t>
      </w:r>
    </w:p>
    <w:p w14:paraId="11B6D9C0"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Chief, NH - VT Office Groundwater Investigations and Research Section</w:t>
      </w:r>
    </w:p>
    <w:p w14:paraId="2ECC4ADB"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U.S. Geological Survey, New England Water Science Center</w:t>
      </w:r>
    </w:p>
    <w:p w14:paraId="6E607E8F"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331 Commerce Way, Suite 2</w:t>
      </w:r>
    </w:p>
    <w:p w14:paraId="06E42D56"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Pembroke, NH 03275   </w:t>
      </w:r>
    </w:p>
    <w:p w14:paraId="7AABF99B"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(603) 226-7810</w:t>
      </w:r>
    </w:p>
    <w:p w14:paraId="3293A672"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 xml:space="preserve">E-mail: </w:t>
      </w:r>
      <w:hyperlink r:id="rId16" w:tgtFrame="_blank" w:history="1">
        <w:r w:rsidRPr="00F33E1C">
          <w:rPr>
            <w:rStyle w:val="Hyperlink"/>
            <w:rFonts w:ascii="Times New Roman" w:hAnsi="Times New Roman"/>
            <w:sz w:val="24"/>
            <w:szCs w:val="24"/>
          </w:rPr>
          <w:t>jayotte@usgs.gov</w:t>
        </w:r>
      </w:hyperlink>
    </w:p>
    <w:p w14:paraId="6565360F" w14:textId="77777777" w:rsidR="003C57C2" w:rsidRPr="00F33E1C" w:rsidRDefault="003C57C2" w:rsidP="003C57C2">
      <w:pPr>
        <w:spacing w:after="0" w:line="240" w:lineRule="auto"/>
        <w:rPr>
          <w:rFonts w:ascii="Times New Roman" w:hAnsi="Times New Roman"/>
          <w:sz w:val="24"/>
          <w:szCs w:val="24"/>
        </w:rPr>
      </w:pPr>
    </w:p>
    <w:p w14:paraId="76D7C4B3"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Johns Hopkins Expert Panel</w:t>
      </w:r>
    </w:p>
    <w:p w14:paraId="4EA1EC68"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Future and Emerging Issues for Private Wells: Strategic Planning Workshop</w:t>
      </w:r>
    </w:p>
    <w:p w14:paraId="34F7227B"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January 15, 2015</w:t>
      </w:r>
    </w:p>
    <w:p w14:paraId="07F29437"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Baltimore, MD</w:t>
      </w:r>
    </w:p>
    <w:p w14:paraId="002CB90F" w14:textId="77777777" w:rsidR="003C57C2" w:rsidRPr="00F33E1C" w:rsidRDefault="003C57C2" w:rsidP="003C57C2">
      <w:pPr>
        <w:spacing w:after="0" w:line="240" w:lineRule="auto"/>
        <w:rPr>
          <w:rFonts w:ascii="Times New Roman" w:hAnsi="Times New Roman"/>
          <w:sz w:val="24"/>
          <w:szCs w:val="24"/>
        </w:rPr>
      </w:pPr>
    </w:p>
    <w:p w14:paraId="4EC414F8" w14:textId="77777777" w:rsidR="003C57C2" w:rsidRPr="00F33E1C" w:rsidRDefault="003C57C2" w:rsidP="003C57C2">
      <w:pPr>
        <w:spacing w:after="0" w:line="240" w:lineRule="auto"/>
        <w:rPr>
          <w:rFonts w:ascii="Times New Roman" w:hAnsi="Times New Roman"/>
          <w:sz w:val="24"/>
          <w:szCs w:val="24"/>
        </w:rPr>
      </w:pPr>
      <w:r w:rsidRPr="00F33E1C">
        <w:rPr>
          <w:rFonts w:ascii="Times New Roman" w:hAnsi="Times New Roman"/>
          <w:sz w:val="24"/>
          <w:szCs w:val="24"/>
        </w:rPr>
        <w:tab/>
        <w:t>Participants:</w:t>
      </w:r>
    </w:p>
    <w:p w14:paraId="5365417D" w14:textId="77777777" w:rsidR="003C57C2" w:rsidRPr="00F33E1C" w:rsidRDefault="003C57C2" w:rsidP="003C57C2">
      <w:pPr>
        <w:spacing w:after="0" w:line="240" w:lineRule="auto"/>
        <w:rPr>
          <w:rFonts w:ascii="Times New Roman" w:hAnsi="Times New Roman"/>
          <w:sz w:val="24"/>
          <w:szCs w:val="24"/>
        </w:rPr>
      </w:pPr>
    </w:p>
    <w:p w14:paraId="6E8E4700"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Steven Bradbury, Visiting Professor</w:t>
      </w:r>
    </w:p>
    <w:p w14:paraId="6346CF19" w14:textId="77777777" w:rsidR="003C57C2"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Department of Entomology, Iowa State University</w:t>
      </w:r>
    </w:p>
    <w:p w14:paraId="42BEE26D" w14:textId="30015307" w:rsidR="00583B74" w:rsidRPr="00F33E1C" w:rsidRDefault="00583B74" w:rsidP="003C57C2">
      <w:pPr>
        <w:spacing w:after="0" w:line="240" w:lineRule="auto"/>
        <w:ind w:left="720"/>
        <w:rPr>
          <w:rFonts w:ascii="Times New Roman" w:hAnsi="Times New Roman"/>
          <w:sz w:val="24"/>
          <w:szCs w:val="24"/>
        </w:rPr>
      </w:pPr>
      <w:r>
        <w:rPr>
          <w:rFonts w:ascii="Times New Roman" w:hAnsi="Times New Roman"/>
          <w:sz w:val="24"/>
          <w:szCs w:val="24"/>
        </w:rPr>
        <w:t>spbrad@iastate.edu</w:t>
      </w:r>
    </w:p>
    <w:p w14:paraId="2E83D4EA" w14:textId="77777777" w:rsidR="003C57C2" w:rsidRPr="00F33E1C" w:rsidRDefault="003C57C2" w:rsidP="003C57C2">
      <w:pPr>
        <w:spacing w:after="0" w:line="240" w:lineRule="auto"/>
        <w:ind w:left="720"/>
        <w:rPr>
          <w:rFonts w:ascii="Times New Roman" w:hAnsi="Times New Roman"/>
          <w:sz w:val="24"/>
          <w:szCs w:val="24"/>
        </w:rPr>
      </w:pPr>
    </w:p>
    <w:p w14:paraId="128BDEE4"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 xml:space="preserve">Rodney Glotfelty, Health Officer </w:t>
      </w:r>
    </w:p>
    <w:p w14:paraId="1AF2880E" w14:textId="77777777" w:rsidR="003C57C2"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Garrett County, Maryland</w:t>
      </w:r>
    </w:p>
    <w:p w14:paraId="17D3D7D2" w14:textId="7B3359FB" w:rsidR="00583B74" w:rsidRDefault="00583B74" w:rsidP="003C57C2">
      <w:pPr>
        <w:spacing w:after="0" w:line="240" w:lineRule="auto"/>
        <w:ind w:left="720"/>
        <w:rPr>
          <w:rFonts w:ascii="Times New Roman" w:hAnsi="Times New Roman"/>
          <w:sz w:val="24"/>
          <w:szCs w:val="24"/>
        </w:rPr>
      </w:pPr>
      <w:r>
        <w:rPr>
          <w:rFonts w:ascii="Times New Roman" w:hAnsi="Times New Roman"/>
          <w:sz w:val="24"/>
          <w:szCs w:val="24"/>
        </w:rPr>
        <w:t>Rodney.glotfelty@maryland.gov</w:t>
      </w:r>
    </w:p>
    <w:p w14:paraId="655A2F8A" w14:textId="77777777" w:rsidR="003C57C2" w:rsidRPr="00F33E1C" w:rsidRDefault="003C57C2" w:rsidP="003C57C2">
      <w:pPr>
        <w:spacing w:after="0" w:line="240" w:lineRule="auto"/>
        <w:ind w:left="720"/>
        <w:rPr>
          <w:rFonts w:ascii="Times New Roman" w:hAnsi="Times New Roman"/>
          <w:sz w:val="24"/>
          <w:szCs w:val="24"/>
        </w:rPr>
      </w:pPr>
    </w:p>
    <w:p w14:paraId="4FDEB2A6"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Timothy Green, Agricultural Engineer</w:t>
      </w:r>
    </w:p>
    <w:p w14:paraId="7C0FED36" w14:textId="2A2AE6CA" w:rsidR="00583B74" w:rsidRDefault="003C57C2" w:rsidP="00583B74">
      <w:pPr>
        <w:spacing w:after="0" w:line="240" w:lineRule="auto"/>
        <w:ind w:left="720"/>
        <w:rPr>
          <w:rFonts w:ascii="Times New Roman" w:hAnsi="Times New Roman"/>
          <w:sz w:val="24"/>
          <w:szCs w:val="24"/>
        </w:rPr>
      </w:pPr>
      <w:r w:rsidRPr="00F33E1C">
        <w:rPr>
          <w:rFonts w:ascii="Times New Roman" w:hAnsi="Times New Roman"/>
          <w:sz w:val="24"/>
          <w:szCs w:val="24"/>
        </w:rPr>
        <w:t>USDA-Agricultural Research Service, Fort Collins, CO</w:t>
      </w:r>
    </w:p>
    <w:p w14:paraId="4AE49279" w14:textId="623587F2" w:rsidR="00583B74" w:rsidRPr="00F33E1C" w:rsidRDefault="00583B74" w:rsidP="00583B74">
      <w:pPr>
        <w:spacing w:after="0" w:line="240" w:lineRule="auto"/>
        <w:ind w:left="720"/>
        <w:rPr>
          <w:rFonts w:ascii="Times New Roman" w:hAnsi="Times New Roman"/>
          <w:sz w:val="24"/>
          <w:szCs w:val="24"/>
        </w:rPr>
      </w:pPr>
      <w:r>
        <w:rPr>
          <w:rFonts w:ascii="Times New Roman" w:hAnsi="Times New Roman"/>
          <w:sz w:val="24"/>
          <w:szCs w:val="24"/>
        </w:rPr>
        <w:t>tim.green@ars.usda.gov</w:t>
      </w:r>
    </w:p>
    <w:p w14:paraId="7FB7C4D3" w14:textId="77777777" w:rsidR="003C57C2" w:rsidRPr="00F33E1C" w:rsidRDefault="003C57C2" w:rsidP="003C57C2">
      <w:pPr>
        <w:spacing w:after="0" w:line="240" w:lineRule="auto"/>
        <w:ind w:left="720"/>
        <w:rPr>
          <w:rFonts w:ascii="Times New Roman" w:hAnsi="Times New Roman"/>
          <w:sz w:val="24"/>
          <w:szCs w:val="24"/>
        </w:rPr>
      </w:pPr>
    </w:p>
    <w:p w14:paraId="4806CA8A"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Charles Haas, LD Betz Professor of Environmental Engineering</w:t>
      </w:r>
    </w:p>
    <w:p w14:paraId="4794DB96" w14:textId="49B72FB8" w:rsidR="003C57C2"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Drex</w:t>
      </w:r>
      <w:r w:rsidR="00583B74">
        <w:rPr>
          <w:rFonts w:ascii="Times New Roman" w:hAnsi="Times New Roman"/>
          <w:sz w:val="24"/>
          <w:szCs w:val="24"/>
        </w:rPr>
        <w:t>el University, Philadelphia, PA</w:t>
      </w:r>
    </w:p>
    <w:p w14:paraId="2414B6D8" w14:textId="13AE88FA" w:rsidR="00583B74" w:rsidRPr="00F33E1C" w:rsidRDefault="00583B74" w:rsidP="003C57C2">
      <w:pPr>
        <w:spacing w:after="0" w:line="240" w:lineRule="auto"/>
        <w:ind w:left="720"/>
        <w:rPr>
          <w:rFonts w:ascii="Times New Roman" w:hAnsi="Times New Roman"/>
          <w:sz w:val="24"/>
          <w:szCs w:val="24"/>
        </w:rPr>
      </w:pPr>
      <w:r>
        <w:rPr>
          <w:rFonts w:ascii="Times New Roman" w:hAnsi="Times New Roman"/>
          <w:sz w:val="24"/>
          <w:szCs w:val="24"/>
        </w:rPr>
        <w:t>haas@drexel.edu</w:t>
      </w:r>
    </w:p>
    <w:p w14:paraId="34B8DFF6" w14:textId="77777777" w:rsidR="003C57C2" w:rsidRPr="00F33E1C" w:rsidRDefault="003C57C2" w:rsidP="003C57C2">
      <w:pPr>
        <w:spacing w:after="0" w:line="240" w:lineRule="auto"/>
        <w:ind w:left="720"/>
        <w:rPr>
          <w:rFonts w:ascii="Times New Roman" w:hAnsi="Times New Roman"/>
          <w:sz w:val="24"/>
          <w:szCs w:val="24"/>
        </w:rPr>
      </w:pPr>
    </w:p>
    <w:p w14:paraId="3374AB5F"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Christopher Heaney, Assistant Professor</w:t>
      </w:r>
    </w:p>
    <w:p w14:paraId="1DDF2E89" w14:textId="77777777" w:rsidR="003C57C2"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Johns Hopkins Bloomberg School of Public Health, Baltimore, Maryland</w:t>
      </w:r>
    </w:p>
    <w:p w14:paraId="29C99E36" w14:textId="0A8425A3" w:rsidR="00583B74" w:rsidRPr="00F33E1C" w:rsidRDefault="00F64BF7" w:rsidP="003C57C2">
      <w:pPr>
        <w:spacing w:after="0" w:line="240" w:lineRule="auto"/>
        <w:ind w:left="720"/>
        <w:rPr>
          <w:rFonts w:ascii="Times New Roman" w:hAnsi="Times New Roman"/>
          <w:sz w:val="24"/>
          <w:szCs w:val="24"/>
        </w:rPr>
      </w:pPr>
      <w:r>
        <w:rPr>
          <w:rFonts w:ascii="Times New Roman" w:hAnsi="Times New Roman"/>
          <w:sz w:val="24"/>
          <w:szCs w:val="24"/>
        </w:rPr>
        <w:t>Cheaney1@jhu.edu</w:t>
      </w:r>
    </w:p>
    <w:p w14:paraId="1608FB24" w14:textId="77777777" w:rsidR="003C57C2" w:rsidRPr="00F33E1C" w:rsidRDefault="003C57C2" w:rsidP="003C57C2">
      <w:pPr>
        <w:spacing w:after="0" w:line="240" w:lineRule="auto"/>
        <w:ind w:left="720"/>
        <w:rPr>
          <w:rFonts w:ascii="Times New Roman" w:hAnsi="Times New Roman"/>
          <w:sz w:val="24"/>
          <w:szCs w:val="24"/>
        </w:rPr>
      </w:pPr>
    </w:p>
    <w:p w14:paraId="71973E7C"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Henry Leibovitz, Chief, Environmental Sciences</w:t>
      </w:r>
    </w:p>
    <w:p w14:paraId="524513E8" w14:textId="6A4F7AD7" w:rsidR="003C57C2"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RI State Heal</w:t>
      </w:r>
      <w:r w:rsidR="00F64BF7">
        <w:rPr>
          <w:rFonts w:ascii="Times New Roman" w:hAnsi="Times New Roman"/>
          <w:sz w:val="24"/>
          <w:szCs w:val="24"/>
        </w:rPr>
        <w:t>th Laboratories, Providence, RI</w:t>
      </w:r>
    </w:p>
    <w:p w14:paraId="0AA4913F" w14:textId="579D406E" w:rsidR="00F64BF7" w:rsidRPr="00F33E1C" w:rsidRDefault="00F64BF7" w:rsidP="003C57C2">
      <w:pPr>
        <w:spacing w:after="0" w:line="240" w:lineRule="auto"/>
        <w:ind w:left="720"/>
        <w:rPr>
          <w:rFonts w:ascii="Times New Roman" w:hAnsi="Times New Roman"/>
          <w:sz w:val="24"/>
          <w:szCs w:val="24"/>
        </w:rPr>
      </w:pPr>
      <w:r>
        <w:rPr>
          <w:rFonts w:ascii="Times New Roman" w:hAnsi="Times New Roman"/>
          <w:sz w:val="24"/>
          <w:szCs w:val="24"/>
        </w:rPr>
        <w:t>hleibovitx@csc.com</w:t>
      </w:r>
    </w:p>
    <w:p w14:paraId="3F1984AC" w14:textId="77777777" w:rsidR="003C57C2" w:rsidRPr="00F33E1C" w:rsidRDefault="003C57C2" w:rsidP="003C57C2">
      <w:pPr>
        <w:spacing w:after="0" w:line="240" w:lineRule="auto"/>
        <w:ind w:left="720"/>
        <w:rPr>
          <w:rFonts w:ascii="Times New Roman" w:hAnsi="Times New Roman"/>
          <w:sz w:val="24"/>
          <w:szCs w:val="24"/>
        </w:rPr>
      </w:pPr>
    </w:p>
    <w:p w14:paraId="510388B5"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Kristen Malecki, Assistant Professor</w:t>
      </w:r>
    </w:p>
    <w:p w14:paraId="0FA079DF" w14:textId="7187B262" w:rsidR="003C57C2"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 xml:space="preserve">Department of Population Health Sciences, </w:t>
      </w:r>
      <w:r w:rsidR="00F64BF7">
        <w:rPr>
          <w:rFonts w:ascii="Times New Roman" w:hAnsi="Times New Roman"/>
          <w:sz w:val="24"/>
          <w:szCs w:val="24"/>
        </w:rPr>
        <w:t>University of Wisconsin Madison</w:t>
      </w:r>
    </w:p>
    <w:p w14:paraId="7D2D9AB8" w14:textId="59957C6E" w:rsidR="00482981" w:rsidRPr="00F33E1C" w:rsidRDefault="00482981" w:rsidP="003C57C2">
      <w:pPr>
        <w:spacing w:after="0" w:line="240" w:lineRule="auto"/>
        <w:ind w:left="720"/>
        <w:rPr>
          <w:rFonts w:ascii="Times New Roman" w:hAnsi="Times New Roman"/>
          <w:sz w:val="24"/>
          <w:szCs w:val="24"/>
        </w:rPr>
      </w:pPr>
      <w:r>
        <w:rPr>
          <w:rFonts w:ascii="Times New Roman" w:hAnsi="Times New Roman"/>
          <w:sz w:val="24"/>
          <w:szCs w:val="24"/>
        </w:rPr>
        <w:t>kmalecki@wisc.edu</w:t>
      </w:r>
    </w:p>
    <w:p w14:paraId="1A702BFE" w14:textId="77777777" w:rsidR="003C57C2" w:rsidRPr="00F33E1C" w:rsidRDefault="003C57C2" w:rsidP="003C57C2">
      <w:pPr>
        <w:spacing w:after="0" w:line="240" w:lineRule="auto"/>
        <w:ind w:left="720"/>
        <w:rPr>
          <w:rFonts w:ascii="Times New Roman" w:hAnsi="Times New Roman"/>
          <w:sz w:val="24"/>
          <w:szCs w:val="24"/>
        </w:rPr>
      </w:pPr>
    </w:p>
    <w:p w14:paraId="5C5469CB"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 xml:space="preserve">Patrick Phillips, USGS </w:t>
      </w:r>
    </w:p>
    <w:p w14:paraId="2D6B6544" w14:textId="23A62D85" w:rsidR="003C57C2" w:rsidRDefault="00482981" w:rsidP="003C57C2">
      <w:pPr>
        <w:spacing w:after="0" w:line="240" w:lineRule="auto"/>
        <w:ind w:left="720"/>
        <w:rPr>
          <w:rFonts w:ascii="Times New Roman" w:hAnsi="Times New Roman"/>
          <w:sz w:val="24"/>
          <w:szCs w:val="24"/>
        </w:rPr>
      </w:pPr>
      <w:r>
        <w:rPr>
          <w:rFonts w:ascii="Times New Roman" w:hAnsi="Times New Roman"/>
          <w:sz w:val="24"/>
          <w:szCs w:val="24"/>
        </w:rPr>
        <w:t>Troy, NY</w:t>
      </w:r>
    </w:p>
    <w:p w14:paraId="05C64DE0" w14:textId="392D0210" w:rsidR="00482981" w:rsidRPr="00F33E1C" w:rsidRDefault="00482981" w:rsidP="003C57C2">
      <w:pPr>
        <w:spacing w:after="0" w:line="240" w:lineRule="auto"/>
        <w:ind w:left="720"/>
        <w:rPr>
          <w:rFonts w:ascii="Times New Roman" w:hAnsi="Times New Roman"/>
          <w:sz w:val="24"/>
          <w:szCs w:val="24"/>
        </w:rPr>
      </w:pPr>
      <w:r>
        <w:rPr>
          <w:rFonts w:ascii="Times New Roman" w:hAnsi="Times New Roman"/>
          <w:sz w:val="24"/>
          <w:szCs w:val="24"/>
        </w:rPr>
        <w:t>pjphilli@usgs.gov</w:t>
      </w:r>
    </w:p>
    <w:p w14:paraId="0C18B75A" w14:textId="77777777" w:rsidR="003C57C2" w:rsidRPr="00F33E1C" w:rsidRDefault="003C57C2" w:rsidP="003C57C2">
      <w:pPr>
        <w:spacing w:after="0" w:line="240" w:lineRule="auto"/>
        <w:ind w:left="720"/>
        <w:rPr>
          <w:rFonts w:ascii="Times New Roman" w:hAnsi="Times New Roman"/>
          <w:sz w:val="24"/>
          <w:szCs w:val="24"/>
        </w:rPr>
      </w:pPr>
    </w:p>
    <w:p w14:paraId="2B3E9C69"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Nick Procopio, Research Scientist 1</w:t>
      </w:r>
    </w:p>
    <w:p w14:paraId="1C034223" w14:textId="11381D3D" w:rsidR="003C57C2"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Office of Science, New Jersey Departm</w:t>
      </w:r>
      <w:r w:rsidR="00482981">
        <w:rPr>
          <w:rFonts w:ascii="Times New Roman" w:hAnsi="Times New Roman"/>
          <w:sz w:val="24"/>
          <w:szCs w:val="24"/>
        </w:rPr>
        <w:t>ent of Environmental Protection</w:t>
      </w:r>
    </w:p>
    <w:p w14:paraId="4C7074A8" w14:textId="30C65639" w:rsidR="00482981" w:rsidRPr="00F33E1C" w:rsidRDefault="00482981" w:rsidP="003C57C2">
      <w:pPr>
        <w:spacing w:after="0" w:line="240" w:lineRule="auto"/>
        <w:ind w:left="720"/>
        <w:rPr>
          <w:rFonts w:ascii="Times New Roman" w:hAnsi="Times New Roman"/>
          <w:sz w:val="24"/>
          <w:szCs w:val="24"/>
        </w:rPr>
      </w:pPr>
      <w:r>
        <w:rPr>
          <w:rFonts w:ascii="Times New Roman" w:hAnsi="Times New Roman"/>
          <w:sz w:val="24"/>
          <w:szCs w:val="24"/>
        </w:rPr>
        <w:t>Nick.Procopio@dep.nj.gov</w:t>
      </w:r>
    </w:p>
    <w:p w14:paraId="440CF1F6" w14:textId="77777777" w:rsidR="003C57C2" w:rsidRPr="00F33E1C" w:rsidRDefault="003C57C2" w:rsidP="003C57C2">
      <w:pPr>
        <w:spacing w:after="0" w:line="240" w:lineRule="auto"/>
        <w:ind w:left="720"/>
        <w:rPr>
          <w:rFonts w:ascii="Times New Roman" w:hAnsi="Times New Roman"/>
          <w:sz w:val="24"/>
          <w:szCs w:val="24"/>
        </w:rPr>
      </w:pPr>
    </w:p>
    <w:p w14:paraId="3FAB3B84"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Troy Ritter, Commander, United States Public Health Service</w:t>
      </w:r>
    </w:p>
    <w:p w14:paraId="271705EE"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Applied Sciences Manager, Alaska Native Tribal Health Consortium</w:t>
      </w:r>
    </w:p>
    <w:p w14:paraId="394B402C" w14:textId="77777777" w:rsidR="003C57C2"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Director, National Tribal Water Center</w:t>
      </w:r>
    </w:p>
    <w:p w14:paraId="0F26FDE7" w14:textId="717334F9" w:rsidR="00C52FAC" w:rsidRPr="00F33E1C" w:rsidRDefault="00C52FAC" w:rsidP="003C57C2">
      <w:pPr>
        <w:spacing w:after="0" w:line="240" w:lineRule="auto"/>
        <w:ind w:left="720"/>
        <w:rPr>
          <w:rFonts w:ascii="Times New Roman" w:hAnsi="Times New Roman"/>
          <w:sz w:val="24"/>
          <w:szCs w:val="24"/>
        </w:rPr>
      </w:pPr>
      <w:r>
        <w:rPr>
          <w:rFonts w:ascii="Times New Roman" w:hAnsi="Times New Roman"/>
          <w:sz w:val="24"/>
          <w:szCs w:val="24"/>
        </w:rPr>
        <w:t>TRitter@cdc.gov</w:t>
      </w:r>
    </w:p>
    <w:p w14:paraId="16E9A11E" w14:textId="77777777" w:rsidR="003C57C2" w:rsidRPr="00F33E1C" w:rsidRDefault="003C57C2" w:rsidP="003C57C2">
      <w:pPr>
        <w:spacing w:after="0" w:line="240" w:lineRule="auto"/>
        <w:ind w:left="720"/>
        <w:rPr>
          <w:rFonts w:ascii="Times New Roman" w:hAnsi="Times New Roman"/>
          <w:sz w:val="24"/>
          <w:szCs w:val="24"/>
        </w:rPr>
      </w:pPr>
    </w:p>
    <w:p w14:paraId="1BD6BA2B"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Jim Vanderslice, Associate Research Professor</w:t>
      </w:r>
    </w:p>
    <w:p w14:paraId="17B0B4ED"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Associate Division Chief, Division of Public Health</w:t>
      </w:r>
    </w:p>
    <w:p w14:paraId="7119AF80"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Director, Office of Public Health Practice</w:t>
      </w:r>
    </w:p>
    <w:p w14:paraId="016EC5AD" w14:textId="77777777" w:rsidR="003C57C2"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Department of Family &amp; Preventive Medicine, University of Utah</w:t>
      </w:r>
    </w:p>
    <w:p w14:paraId="6BC43987" w14:textId="51CE1E95" w:rsidR="00C52FAC" w:rsidRPr="00F33E1C" w:rsidRDefault="00C52FAC" w:rsidP="003C57C2">
      <w:pPr>
        <w:spacing w:after="0" w:line="240" w:lineRule="auto"/>
        <w:ind w:left="720"/>
        <w:rPr>
          <w:rFonts w:ascii="Times New Roman" w:hAnsi="Times New Roman"/>
          <w:sz w:val="24"/>
          <w:szCs w:val="24"/>
        </w:rPr>
      </w:pPr>
      <w:r>
        <w:rPr>
          <w:rFonts w:ascii="Times New Roman" w:hAnsi="Times New Roman"/>
          <w:sz w:val="24"/>
          <w:szCs w:val="24"/>
        </w:rPr>
        <w:t>Jim.vanderslice@doh.wa.gov</w:t>
      </w:r>
    </w:p>
    <w:p w14:paraId="11A24136" w14:textId="77777777" w:rsidR="003C57C2" w:rsidRPr="00F33E1C" w:rsidRDefault="003C57C2" w:rsidP="003C57C2">
      <w:pPr>
        <w:spacing w:after="0" w:line="240" w:lineRule="auto"/>
        <w:ind w:left="720"/>
        <w:rPr>
          <w:rFonts w:ascii="Times New Roman" w:hAnsi="Times New Roman"/>
          <w:sz w:val="24"/>
          <w:szCs w:val="24"/>
        </w:rPr>
      </w:pPr>
    </w:p>
    <w:p w14:paraId="18AC7369"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Steve Wilson, Groundwater Hydrologist</w:t>
      </w:r>
    </w:p>
    <w:p w14:paraId="2AD44A5E" w14:textId="77777777" w:rsidR="003C57C2" w:rsidRPr="00F33E1C"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Manager, SmallWaterSupply.org, PrivateWellClass.org</w:t>
      </w:r>
    </w:p>
    <w:p w14:paraId="2D35B15C" w14:textId="77777777" w:rsidR="003C57C2" w:rsidRDefault="003C57C2" w:rsidP="003C57C2">
      <w:pPr>
        <w:spacing w:after="0" w:line="240" w:lineRule="auto"/>
        <w:ind w:left="720"/>
        <w:rPr>
          <w:rFonts w:ascii="Times New Roman" w:hAnsi="Times New Roman"/>
          <w:sz w:val="24"/>
          <w:szCs w:val="24"/>
        </w:rPr>
      </w:pPr>
      <w:r w:rsidRPr="00F33E1C">
        <w:rPr>
          <w:rFonts w:ascii="Times New Roman" w:hAnsi="Times New Roman"/>
          <w:sz w:val="24"/>
          <w:szCs w:val="24"/>
        </w:rPr>
        <w:t>Illinois State Water Survey at the Prairie Research Institute, Champaign, IL</w:t>
      </w:r>
    </w:p>
    <w:p w14:paraId="6B781E28" w14:textId="7A29D12D" w:rsidR="00C52FAC" w:rsidRPr="00F33E1C" w:rsidRDefault="00C52FAC" w:rsidP="003C57C2">
      <w:pPr>
        <w:spacing w:after="0" w:line="240" w:lineRule="auto"/>
        <w:ind w:left="720"/>
        <w:rPr>
          <w:rFonts w:ascii="Times New Roman" w:hAnsi="Times New Roman"/>
          <w:sz w:val="24"/>
          <w:szCs w:val="24"/>
        </w:rPr>
      </w:pPr>
      <w:r>
        <w:rPr>
          <w:rFonts w:ascii="Times New Roman" w:hAnsi="Times New Roman"/>
          <w:sz w:val="24"/>
          <w:szCs w:val="24"/>
        </w:rPr>
        <w:t>sdwilson@illinois.edu</w:t>
      </w:r>
    </w:p>
    <w:p w14:paraId="15181223" w14:textId="77777777" w:rsidR="003C57C2" w:rsidRPr="00F33E1C" w:rsidRDefault="003C57C2" w:rsidP="003870F1">
      <w:pPr>
        <w:pStyle w:val="Default"/>
        <w:rPr>
          <w:rFonts w:ascii="Times New Roman" w:hAnsi="Times New Roman" w:cs="Times New Roman"/>
          <w:b/>
          <w:color w:val="auto"/>
        </w:rPr>
      </w:pPr>
    </w:p>
    <w:p w14:paraId="52F3A2D3" w14:textId="77777777" w:rsidR="00FD5269" w:rsidRDefault="00FD5269" w:rsidP="003870F1">
      <w:pPr>
        <w:pStyle w:val="Default"/>
        <w:rPr>
          <w:rFonts w:ascii="Times New Roman" w:hAnsi="Times New Roman" w:cs="Times New Roman"/>
          <w:b/>
          <w:color w:val="auto"/>
        </w:rPr>
      </w:pPr>
    </w:p>
    <w:p w14:paraId="577C8D46" w14:textId="77777777" w:rsidR="003870F1" w:rsidRPr="00F33E1C" w:rsidRDefault="003870F1" w:rsidP="003870F1">
      <w:pPr>
        <w:pStyle w:val="Default"/>
        <w:rPr>
          <w:rFonts w:ascii="Times New Roman" w:hAnsi="Times New Roman" w:cs="Times New Roman"/>
          <w:b/>
          <w:color w:val="auto"/>
        </w:rPr>
      </w:pPr>
      <w:r w:rsidRPr="00F33E1C">
        <w:rPr>
          <w:rFonts w:ascii="Times New Roman" w:hAnsi="Times New Roman" w:cs="Times New Roman"/>
          <w:b/>
          <w:color w:val="auto"/>
        </w:rPr>
        <w:t xml:space="preserve">9. Explanation of Any Payment or Gift to Respondents </w:t>
      </w:r>
    </w:p>
    <w:p w14:paraId="604497FC" w14:textId="77777777" w:rsidR="003870F1" w:rsidRPr="00F33E1C" w:rsidRDefault="003870F1" w:rsidP="003870F1">
      <w:pPr>
        <w:pStyle w:val="Default"/>
        <w:rPr>
          <w:rFonts w:ascii="Times New Roman" w:hAnsi="Times New Roman" w:cs="Times New Roman"/>
          <w:color w:val="4F81BD" w:themeColor="accent1"/>
        </w:rPr>
      </w:pPr>
    </w:p>
    <w:p w14:paraId="42878B6B" w14:textId="3CAF8C9F" w:rsidR="00DE1DA5" w:rsidRDefault="00BD6F1B" w:rsidP="00DE1DA5">
      <w:pPr>
        <w:spacing w:after="0" w:line="240" w:lineRule="auto"/>
        <w:rPr>
          <w:rFonts w:ascii="Times New Roman" w:hAnsi="Times New Roman"/>
          <w:sz w:val="24"/>
          <w:szCs w:val="24"/>
        </w:rPr>
      </w:pPr>
      <w:r>
        <w:rPr>
          <w:rFonts w:ascii="Times New Roman" w:hAnsi="Times New Roman"/>
          <w:sz w:val="24"/>
          <w:szCs w:val="24"/>
        </w:rPr>
        <w:t>For most investigations conducted under this Generic ICR</w:t>
      </w:r>
      <w:r w:rsidR="00DE1DA5" w:rsidRPr="00F33E1C">
        <w:rPr>
          <w:rFonts w:ascii="Times New Roman" w:hAnsi="Times New Roman"/>
          <w:sz w:val="24"/>
          <w:szCs w:val="24"/>
        </w:rPr>
        <w:t>, participation will be requested</w:t>
      </w:r>
      <w:r w:rsidR="009E1806">
        <w:rPr>
          <w:rFonts w:ascii="Times New Roman" w:hAnsi="Times New Roman"/>
          <w:sz w:val="24"/>
          <w:szCs w:val="24"/>
        </w:rPr>
        <w:t xml:space="preserve"> on a voluntary, non-remunerated</w:t>
      </w:r>
      <w:r w:rsidR="00DE1DA5" w:rsidRPr="00F33E1C">
        <w:rPr>
          <w:rFonts w:ascii="Times New Roman" w:hAnsi="Times New Roman"/>
          <w:sz w:val="24"/>
          <w:szCs w:val="24"/>
        </w:rPr>
        <w:t xml:space="preserve"> basis. </w:t>
      </w:r>
    </w:p>
    <w:p w14:paraId="64FC5EC9" w14:textId="77777777" w:rsidR="00BD6F1B" w:rsidRDefault="00BD6F1B" w:rsidP="00DE1DA5">
      <w:pPr>
        <w:spacing w:after="0" w:line="240" w:lineRule="auto"/>
        <w:rPr>
          <w:rFonts w:ascii="Times New Roman" w:hAnsi="Times New Roman"/>
          <w:sz w:val="24"/>
          <w:szCs w:val="24"/>
        </w:rPr>
      </w:pPr>
    </w:p>
    <w:p w14:paraId="40CD39D5" w14:textId="55CBC8B2" w:rsidR="00BD6F1B" w:rsidRPr="00F33E1C" w:rsidRDefault="00655A67" w:rsidP="00DE1DA5">
      <w:pPr>
        <w:spacing w:after="0" w:line="240" w:lineRule="auto"/>
        <w:rPr>
          <w:rFonts w:ascii="Times New Roman" w:hAnsi="Times New Roman"/>
          <w:sz w:val="24"/>
          <w:szCs w:val="24"/>
        </w:rPr>
      </w:pPr>
      <w:r>
        <w:rPr>
          <w:rFonts w:ascii="Times New Roman" w:hAnsi="Times New Roman"/>
          <w:sz w:val="24"/>
          <w:szCs w:val="24"/>
        </w:rPr>
        <w:t xml:space="preserve">We may offer </w:t>
      </w:r>
      <w:r w:rsidR="00BF2C79">
        <w:rPr>
          <w:rFonts w:ascii="Times New Roman" w:hAnsi="Times New Roman"/>
          <w:sz w:val="24"/>
          <w:szCs w:val="24"/>
        </w:rPr>
        <w:t>tokens of appreciation</w:t>
      </w:r>
      <w:r>
        <w:rPr>
          <w:rFonts w:ascii="Times New Roman" w:hAnsi="Times New Roman"/>
          <w:sz w:val="24"/>
          <w:szCs w:val="24"/>
        </w:rPr>
        <w:t xml:space="preserve"> if the requesting </w:t>
      </w:r>
      <w:r w:rsidR="00327FD1">
        <w:rPr>
          <w:rFonts w:ascii="Times New Roman" w:hAnsi="Times New Roman"/>
          <w:sz w:val="24"/>
          <w:szCs w:val="24"/>
        </w:rPr>
        <w:t>agency</w:t>
      </w:r>
      <w:r>
        <w:rPr>
          <w:rFonts w:ascii="Times New Roman" w:hAnsi="Times New Roman"/>
          <w:sz w:val="24"/>
          <w:szCs w:val="24"/>
        </w:rPr>
        <w:t xml:space="preserve"> </w:t>
      </w:r>
      <w:r w:rsidR="009E1806">
        <w:rPr>
          <w:rFonts w:ascii="Times New Roman" w:hAnsi="Times New Roman"/>
          <w:sz w:val="24"/>
          <w:szCs w:val="24"/>
        </w:rPr>
        <w:t xml:space="preserve">recommends that we do so. </w:t>
      </w:r>
      <w:r>
        <w:rPr>
          <w:rFonts w:ascii="Times New Roman" w:hAnsi="Times New Roman"/>
          <w:sz w:val="24"/>
          <w:szCs w:val="24"/>
        </w:rPr>
        <w:t xml:space="preserve">The requesting </w:t>
      </w:r>
      <w:r w:rsidR="00327FD1">
        <w:rPr>
          <w:rFonts w:ascii="Times New Roman" w:hAnsi="Times New Roman"/>
          <w:sz w:val="24"/>
          <w:szCs w:val="24"/>
        </w:rPr>
        <w:t>agency</w:t>
      </w:r>
      <w:r>
        <w:rPr>
          <w:rFonts w:ascii="Times New Roman" w:hAnsi="Times New Roman"/>
          <w:sz w:val="24"/>
          <w:szCs w:val="24"/>
        </w:rPr>
        <w:t xml:space="preserve"> will </w:t>
      </w:r>
      <w:r w:rsidR="00A76809">
        <w:rPr>
          <w:rFonts w:ascii="Times New Roman" w:hAnsi="Times New Roman"/>
          <w:sz w:val="24"/>
          <w:szCs w:val="24"/>
        </w:rPr>
        <w:t xml:space="preserve">need to provide strong </w:t>
      </w:r>
      <w:r w:rsidR="00991874">
        <w:rPr>
          <w:rFonts w:ascii="Times New Roman" w:hAnsi="Times New Roman"/>
          <w:sz w:val="24"/>
          <w:szCs w:val="24"/>
        </w:rPr>
        <w:t xml:space="preserve">justification and </w:t>
      </w:r>
      <w:r w:rsidR="00A76809">
        <w:rPr>
          <w:rFonts w:ascii="Times New Roman" w:hAnsi="Times New Roman"/>
          <w:sz w:val="24"/>
          <w:szCs w:val="24"/>
        </w:rPr>
        <w:t>evidence</w:t>
      </w:r>
      <w:r>
        <w:rPr>
          <w:rFonts w:ascii="Times New Roman" w:hAnsi="Times New Roman"/>
          <w:sz w:val="24"/>
          <w:szCs w:val="24"/>
        </w:rPr>
        <w:t xml:space="preserve"> from previous experien</w:t>
      </w:r>
      <w:r w:rsidR="00A76809">
        <w:rPr>
          <w:rFonts w:ascii="Times New Roman" w:hAnsi="Times New Roman"/>
          <w:sz w:val="24"/>
          <w:szCs w:val="24"/>
        </w:rPr>
        <w:t xml:space="preserve">ce or the scientific literature </w:t>
      </w:r>
      <w:r w:rsidR="009E1806">
        <w:rPr>
          <w:rFonts w:ascii="Times New Roman" w:hAnsi="Times New Roman"/>
          <w:sz w:val="24"/>
          <w:szCs w:val="24"/>
        </w:rPr>
        <w:t xml:space="preserve">which </w:t>
      </w:r>
      <w:r>
        <w:rPr>
          <w:rFonts w:ascii="Times New Roman" w:hAnsi="Times New Roman"/>
          <w:sz w:val="24"/>
          <w:szCs w:val="24"/>
        </w:rPr>
        <w:t xml:space="preserve">demonstrates the need for </w:t>
      </w:r>
      <w:r w:rsidR="002D729A">
        <w:rPr>
          <w:rFonts w:ascii="Times New Roman" w:hAnsi="Times New Roman"/>
          <w:sz w:val="24"/>
          <w:szCs w:val="24"/>
        </w:rPr>
        <w:t>tokens of appreciation</w:t>
      </w:r>
      <w:r>
        <w:rPr>
          <w:rFonts w:ascii="Times New Roman" w:hAnsi="Times New Roman"/>
          <w:sz w:val="24"/>
          <w:szCs w:val="24"/>
        </w:rPr>
        <w:t>.</w:t>
      </w:r>
      <w:r w:rsidR="008F78F3">
        <w:rPr>
          <w:rFonts w:ascii="Times New Roman" w:hAnsi="Times New Roman"/>
          <w:sz w:val="24"/>
          <w:szCs w:val="24"/>
        </w:rPr>
        <w:t xml:space="preserve">  This justification will be submitted with any </w:t>
      </w:r>
      <w:r w:rsidR="00FD5269">
        <w:rPr>
          <w:rFonts w:ascii="Times New Roman" w:hAnsi="Times New Roman"/>
          <w:sz w:val="24"/>
          <w:szCs w:val="24"/>
        </w:rPr>
        <w:t>GenIC</w:t>
      </w:r>
      <w:r w:rsidR="008F78F3">
        <w:rPr>
          <w:rFonts w:ascii="Times New Roman" w:hAnsi="Times New Roman"/>
          <w:sz w:val="24"/>
          <w:szCs w:val="24"/>
        </w:rPr>
        <w:t>s that entail such tokens of appreciation.</w:t>
      </w:r>
    </w:p>
    <w:p w14:paraId="1C30810A" w14:textId="77777777" w:rsidR="00DE1DA5" w:rsidRPr="00F33E1C" w:rsidRDefault="00DE1DA5" w:rsidP="00DE1DA5">
      <w:pPr>
        <w:spacing w:after="0" w:line="240" w:lineRule="auto"/>
        <w:rPr>
          <w:rFonts w:ascii="Times New Roman" w:hAnsi="Times New Roman"/>
          <w:sz w:val="24"/>
          <w:szCs w:val="24"/>
        </w:rPr>
      </w:pPr>
    </w:p>
    <w:p w14:paraId="0BD31C40" w14:textId="77777777" w:rsidR="003870F1" w:rsidRPr="00F33E1C" w:rsidRDefault="003870F1" w:rsidP="003870F1">
      <w:pPr>
        <w:spacing w:after="0"/>
        <w:rPr>
          <w:rFonts w:ascii="Times New Roman" w:hAnsi="Times New Roman"/>
          <w:b/>
          <w:sz w:val="24"/>
          <w:szCs w:val="24"/>
        </w:rPr>
      </w:pPr>
      <w:r w:rsidRPr="00F33E1C">
        <w:rPr>
          <w:rFonts w:ascii="Times New Roman" w:hAnsi="Times New Roman"/>
          <w:b/>
          <w:sz w:val="24"/>
          <w:szCs w:val="24"/>
        </w:rPr>
        <w:t>10.</w:t>
      </w:r>
      <w:r w:rsidR="00066C2A">
        <w:rPr>
          <w:rFonts w:ascii="Times New Roman" w:hAnsi="Times New Roman"/>
          <w:b/>
          <w:sz w:val="24"/>
          <w:szCs w:val="24"/>
        </w:rPr>
        <w:t xml:space="preserve"> Protection of the Privacy and </w:t>
      </w:r>
      <w:r w:rsidRPr="00F33E1C">
        <w:rPr>
          <w:rFonts w:ascii="Times New Roman" w:hAnsi="Times New Roman"/>
          <w:b/>
          <w:sz w:val="24"/>
          <w:szCs w:val="24"/>
        </w:rPr>
        <w:t>Confidentiality</w:t>
      </w:r>
      <w:r w:rsidR="00066C2A">
        <w:rPr>
          <w:rFonts w:ascii="Times New Roman" w:hAnsi="Times New Roman"/>
          <w:b/>
          <w:sz w:val="24"/>
          <w:szCs w:val="24"/>
        </w:rPr>
        <w:t xml:space="preserve"> of Information</w:t>
      </w:r>
      <w:r w:rsidRPr="00F33E1C">
        <w:rPr>
          <w:rFonts w:ascii="Times New Roman" w:hAnsi="Times New Roman"/>
          <w:b/>
          <w:sz w:val="24"/>
          <w:szCs w:val="24"/>
        </w:rPr>
        <w:t xml:space="preserve"> Provided to Respondents </w:t>
      </w:r>
    </w:p>
    <w:p w14:paraId="3CEF7EE5" w14:textId="77777777" w:rsidR="003870F1" w:rsidRPr="00F33E1C" w:rsidRDefault="003870F1" w:rsidP="003870F1">
      <w:pPr>
        <w:spacing w:after="0" w:line="240" w:lineRule="auto"/>
        <w:rPr>
          <w:rFonts w:ascii="Times New Roman" w:hAnsi="Times New Roman"/>
          <w:sz w:val="24"/>
          <w:szCs w:val="24"/>
        </w:rPr>
      </w:pPr>
    </w:p>
    <w:p w14:paraId="6D696859" w14:textId="768D68F5" w:rsidR="00240FAC" w:rsidRDefault="00DA7B87" w:rsidP="00240FAC">
      <w:pPr>
        <w:rPr>
          <w:rFonts w:ascii="Times New Roman" w:hAnsi="Times New Roman"/>
          <w:sz w:val="24"/>
          <w:szCs w:val="24"/>
        </w:rPr>
      </w:pPr>
      <w:r>
        <w:rPr>
          <w:rFonts w:ascii="Times New Roman" w:hAnsi="Times New Roman"/>
          <w:sz w:val="24"/>
          <w:szCs w:val="24"/>
        </w:rPr>
        <w:t xml:space="preserve"> </w:t>
      </w:r>
      <w:r w:rsidR="00240FAC">
        <w:rPr>
          <w:rFonts w:ascii="Times New Roman" w:hAnsi="Times New Roman"/>
          <w:sz w:val="24"/>
          <w:szCs w:val="24"/>
        </w:rPr>
        <w:t>The NCEH/ATSDR Information Systems Security Officer (ISSO) conducted the IT security review and found that a full privacy impact assessment is not required (see Attachment E – Privacy Impact Assessment). From the PIA review form:</w:t>
      </w:r>
    </w:p>
    <w:p w14:paraId="547CC866" w14:textId="2A006FD9" w:rsidR="00240FAC" w:rsidRPr="00362FE9" w:rsidRDefault="00240FAC" w:rsidP="00362FE9">
      <w:pPr>
        <w:ind w:left="720"/>
        <w:rPr>
          <w:rFonts w:ascii="Times New Roman" w:hAnsi="Times New Roman"/>
          <w:sz w:val="24"/>
          <w:szCs w:val="24"/>
        </w:rPr>
      </w:pPr>
      <w:r w:rsidRPr="00362FE9">
        <w:rPr>
          <w:rFonts w:ascii="Times New Roman" w:hAnsi="Times New Roman"/>
          <w:sz w:val="24"/>
          <w:szCs w:val="24"/>
        </w:rPr>
        <w:t>Information Systems Security Officer Recommendations: No Privacy Impact Assessment (PIA) required. Please contact the NCEH/ATSDR ISSO if any CDC system is created that will store, transmit, or process information described in this ICR.</w:t>
      </w:r>
    </w:p>
    <w:p w14:paraId="7DD71957" w14:textId="1F39F7D4" w:rsidR="00BA4B13" w:rsidRDefault="00BA4B13" w:rsidP="001E2857">
      <w:pPr>
        <w:spacing w:line="240" w:lineRule="auto"/>
        <w:rPr>
          <w:rFonts w:ascii="Times New Roman" w:hAnsi="Times New Roman"/>
          <w:sz w:val="24"/>
          <w:szCs w:val="24"/>
        </w:rPr>
      </w:pPr>
      <w:r w:rsidRPr="00BA4B13">
        <w:rPr>
          <w:rFonts w:ascii="Times New Roman" w:hAnsi="Times New Roman"/>
          <w:sz w:val="24"/>
          <w:szCs w:val="24"/>
        </w:rPr>
        <w:t>The NCEH/ATSDR PRA Contact has reviewed this Generic ICR and has determined that the Privacy Act applies to this information collection. The applicable System of Records Notice is SORN No. 09-20-0136, “Epidemiologic Studies and Surveillance of Disease Problems” (Federal Register: December 31, 1992; Volume 57, Number 252; pages 62812-62813) (records retrievable by name and ID number). Information in identifiable form (IIF) will be treated in a secure manner and will not be disclosed, unless otherwise compelled by law.</w:t>
      </w:r>
    </w:p>
    <w:p w14:paraId="50A0AB65" w14:textId="6DCFA096" w:rsidR="0082417E" w:rsidRDefault="00E93941" w:rsidP="00EE3E02">
      <w:pPr>
        <w:spacing w:line="240" w:lineRule="auto"/>
        <w:rPr>
          <w:rFonts w:ascii="Times New Roman" w:hAnsi="Times New Roman"/>
          <w:sz w:val="24"/>
          <w:szCs w:val="24"/>
        </w:rPr>
      </w:pPr>
      <w:r>
        <w:rPr>
          <w:rFonts w:ascii="Times New Roman" w:hAnsi="Times New Roman"/>
          <w:sz w:val="24"/>
          <w:szCs w:val="24"/>
        </w:rPr>
        <w:t xml:space="preserve">The following categories of IIF may be collected: </w:t>
      </w:r>
      <w:r w:rsidR="00854601">
        <w:rPr>
          <w:rFonts w:ascii="Times New Roman" w:hAnsi="Times New Roman"/>
          <w:sz w:val="24"/>
          <w:szCs w:val="24"/>
        </w:rPr>
        <w:t xml:space="preserve">name, age, mailing </w:t>
      </w:r>
      <w:r w:rsidR="00854601" w:rsidRPr="002D729A">
        <w:rPr>
          <w:rFonts w:ascii="Times New Roman" w:hAnsi="Times New Roman"/>
          <w:sz w:val="24"/>
          <w:szCs w:val="24"/>
        </w:rPr>
        <w:t>address</w:t>
      </w:r>
      <w:r w:rsidR="00854601">
        <w:rPr>
          <w:rFonts w:ascii="Times New Roman" w:hAnsi="Times New Roman"/>
          <w:sz w:val="24"/>
          <w:szCs w:val="24"/>
        </w:rPr>
        <w:t>, phone numbers</w:t>
      </w:r>
      <w:r w:rsidR="00A71EAA">
        <w:rPr>
          <w:rFonts w:ascii="Times New Roman" w:hAnsi="Times New Roman"/>
          <w:sz w:val="24"/>
          <w:szCs w:val="24"/>
        </w:rPr>
        <w:t xml:space="preserve">, </w:t>
      </w:r>
      <w:bookmarkStart w:id="5" w:name="_GoBack"/>
      <w:bookmarkEnd w:id="5"/>
      <w:r w:rsidR="00A71EAA">
        <w:rPr>
          <w:rFonts w:ascii="Times New Roman" w:hAnsi="Times New Roman"/>
          <w:sz w:val="24"/>
          <w:szCs w:val="24"/>
        </w:rPr>
        <w:t>biological specimens, latitude and longitude of the</w:t>
      </w:r>
      <w:r w:rsidR="00B659F2">
        <w:rPr>
          <w:rFonts w:ascii="Times New Roman" w:hAnsi="Times New Roman"/>
          <w:sz w:val="24"/>
          <w:szCs w:val="24"/>
        </w:rPr>
        <w:t xml:space="preserve"> respondent’s</w:t>
      </w:r>
      <w:r w:rsidR="00A71EAA">
        <w:rPr>
          <w:rFonts w:ascii="Times New Roman" w:hAnsi="Times New Roman"/>
          <w:sz w:val="24"/>
          <w:szCs w:val="24"/>
        </w:rPr>
        <w:t xml:space="preserve"> private well.</w:t>
      </w:r>
      <w:r w:rsidR="00647614">
        <w:rPr>
          <w:rFonts w:ascii="Times New Roman" w:hAnsi="Times New Roman"/>
          <w:sz w:val="24"/>
          <w:szCs w:val="24"/>
        </w:rPr>
        <w:t xml:space="preserve"> </w:t>
      </w:r>
      <w:r w:rsidR="00BA4B13">
        <w:rPr>
          <w:rFonts w:ascii="Times New Roman" w:hAnsi="Times New Roman"/>
          <w:sz w:val="24"/>
          <w:szCs w:val="24"/>
        </w:rPr>
        <w:t>This information will be stored in electronic form by the requesting entity.</w:t>
      </w:r>
      <w:r w:rsidR="003F1F9F">
        <w:rPr>
          <w:rFonts w:ascii="Times New Roman" w:hAnsi="Times New Roman"/>
          <w:sz w:val="24"/>
          <w:szCs w:val="24"/>
        </w:rPr>
        <w:t xml:space="preserve"> A subset of the data without identifiers may be provided to NCEH for assistance with statistical analyses.</w:t>
      </w:r>
    </w:p>
    <w:p w14:paraId="620CDA55" w14:textId="73F03CE2" w:rsidR="00DE5635" w:rsidRDefault="00E93941" w:rsidP="00EE3E02">
      <w:pPr>
        <w:spacing w:line="240" w:lineRule="auto"/>
        <w:rPr>
          <w:rFonts w:ascii="Times New Roman" w:hAnsi="Times New Roman"/>
          <w:sz w:val="24"/>
          <w:szCs w:val="24"/>
        </w:rPr>
      </w:pPr>
      <w:r w:rsidRPr="00F33E1C">
        <w:rPr>
          <w:rFonts w:ascii="Times New Roman" w:hAnsi="Times New Roman"/>
          <w:sz w:val="24"/>
          <w:szCs w:val="24"/>
        </w:rPr>
        <w:t>IIF</w:t>
      </w:r>
      <w:r>
        <w:rPr>
          <w:rFonts w:ascii="Times New Roman" w:hAnsi="Times New Roman"/>
          <w:sz w:val="24"/>
          <w:szCs w:val="24"/>
        </w:rPr>
        <w:t xml:space="preserve"> will</w:t>
      </w:r>
      <w:r w:rsidRPr="00F33E1C">
        <w:rPr>
          <w:rFonts w:ascii="Times New Roman" w:hAnsi="Times New Roman"/>
          <w:sz w:val="24"/>
          <w:szCs w:val="24"/>
        </w:rPr>
        <w:t xml:space="preserve"> be collected from the respondents only when essential to support objectives of the </w:t>
      </w:r>
      <w:r>
        <w:rPr>
          <w:rFonts w:ascii="Times New Roman" w:hAnsi="Times New Roman"/>
          <w:sz w:val="24"/>
          <w:szCs w:val="24"/>
        </w:rPr>
        <w:t>investigation (e.g., to facilitate scheduling interviews or provide test results). Respondents will be</w:t>
      </w:r>
      <w:r w:rsidRPr="00F33E1C">
        <w:rPr>
          <w:rFonts w:ascii="Times New Roman" w:hAnsi="Times New Roman"/>
          <w:sz w:val="24"/>
          <w:szCs w:val="24"/>
        </w:rPr>
        <w:t xml:space="preserve"> assigned an ID number to serve as a link between their identity and their response data or their specimens. All records, including IIF,</w:t>
      </w:r>
      <w:r>
        <w:rPr>
          <w:rFonts w:ascii="Times New Roman" w:hAnsi="Times New Roman"/>
          <w:sz w:val="24"/>
          <w:szCs w:val="24"/>
        </w:rPr>
        <w:t xml:space="preserve"> belong to the requesting agency</w:t>
      </w:r>
      <w:r w:rsidRPr="00F33E1C">
        <w:rPr>
          <w:rFonts w:ascii="Times New Roman" w:hAnsi="Times New Roman"/>
          <w:sz w:val="24"/>
          <w:szCs w:val="24"/>
        </w:rPr>
        <w:t xml:space="preserve"> and will reside on its own established reco</w:t>
      </w:r>
      <w:r>
        <w:rPr>
          <w:rFonts w:ascii="Times New Roman" w:hAnsi="Times New Roman"/>
          <w:sz w:val="24"/>
          <w:szCs w:val="24"/>
        </w:rPr>
        <w:t xml:space="preserve">rd system. </w:t>
      </w:r>
      <w:r w:rsidR="00DE5635">
        <w:rPr>
          <w:rFonts w:ascii="Times New Roman" w:hAnsi="Times New Roman"/>
          <w:sz w:val="24"/>
          <w:szCs w:val="24"/>
        </w:rPr>
        <w:t>The requesting agency will retain the data</w:t>
      </w:r>
      <w:r w:rsidR="00DE5635" w:rsidRPr="00F33E1C">
        <w:rPr>
          <w:rFonts w:ascii="Times New Roman" w:hAnsi="Times New Roman"/>
          <w:sz w:val="24"/>
          <w:szCs w:val="24"/>
        </w:rPr>
        <w:t xml:space="preserve"> according to its own record schedule.</w:t>
      </w:r>
    </w:p>
    <w:p w14:paraId="2BC3D5BB" w14:textId="77777777" w:rsidR="0072559A" w:rsidRDefault="00687326" w:rsidP="00E93941">
      <w:pPr>
        <w:spacing w:line="240" w:lineRule="auto"/>
        <w:rPr>
          <w:rFonts w:ascii="Times New Roman" w:hAnsi="Times New Roman"/>
          <w:sz w:val="24"/>
          <w:szCs w:val="24"/>
        </w:rPr>
      </w:pPr>
      <w:r>
        <w:rPr>
          <w:rFonts w:ascii="Times New Roman" w:hAnsi="Times New Roman"/>
          <w:sz w:val="24"/>
          <w:szCs w:val="24"/>
        </w:rPr>
        <w:t xml:space="preserve">During the investigation and on behalf of the requesting agency, </w:t>
      </w:r>
      <w:r w:rsidR="00E93941" w:rsidRPr="00705C61">
        <w:rPr>
          <w:rFonts w:ascii="Times New Roman" w:hAnsi="Times New Roman"/>
          <w:sz w:val="24"/>
          <w:szCs w:val="24"/>
        </w:rPr>
        <w:t>NCEH</w:t>
      </w:r>
      <w:r>
        <w:rPr>
          <w:rFonts w:ascii="Times New Roman" w:hAnsi="Times New Roman"/>
          <w:sz w:val="24"/>
          <w:szCs w:val="24"/>
        </w:rPr>
        <w:t xml:space="preserve"> </w:t>
      </w:r>
      <w:r w:rsidRPr="002D729A">
        <w:rPr>
          <w:rFonts w:ascii="Times New Roman" w:hAnsi="Times New Roman"/>
          <w:sz w:val="24"/>
          <w:szCs w:val="24"/>
        </w:rPr>
        <w:t>will</w:t>
      </w:r>
      <w:r w:rsidR="00E93941" w:rsidRPr="002D729A">
        <w:rPr>
          <w:rFonts w:ascii="Times New Roman" w:hAnsi="Times New Roman"/>
          <w:sz w:val="24"/>
          <w:szCs w:val="24"/>
        </w:rPr>
        <w:t xml:space="preserve"> have access</w:t>
      </w:r>
      <w:r w:rsidR="00E93941" w:rsidRPr="00705C61">
        <w:rPr>
          <w:rFonts w:ascii="Times New Roman" w:hAnsi="Times New Roman"/>
          <w:sz w:val="24"/>
          <w:szCs w:val="24"/>
        </w:rPr>
        <w:t xml:space="preserve"> to the link between the respondent’s</w:t>
      </w:r>
      <w:r w:rsidR="00E93941">
        <w:rPr>
          <w:rFonts w:ascii="Times New Roman" w:hAnsi="Times New Roman"/>
          <w:sz w:val="24"/>
          <w:szCs w:val="24"/>
        </w:rPr>
        <w:t xml:space="preserve"> IIF</w:t>
      </w:r>
      <w:r w:rsidR="00E93941" w:rsidRPr="00705C61">
        <w:rPr>
          <w:rFonts w:ascii="Times New Roman" w:hAnsi="Times New Roman"/>
          <w:sz w:val="24"/>
          <w:szCs w:val="24"/>
        </w:rPr>
        <w:t xml:space="preserve"> and the respondent ID number.</w:t>
      </w:r>
      <w:r w:rsidR="00E93941">
        <w:rPr>
          <w:rFonts w:ascii="Times New Roman" w:hAnsi="Times New Roman"/>
          <w:sz w:val="24"/>
          <w:szCs w:val="24"/>
        </w:rPr>
        <w:t xml:space="preserve"> </w:t>
      </w:r>
      <w:r w:rsidR="00E93941" w:rsidRPr="00705C61">
        <w:rPr>
          <w:rFonts w:ascii="Times New Roman" w:hAnsi="Times New Roman"/>
          <w:sz w:val="24"/>
          <w:szCs w:val="24"/>
        </w:rPr>
        <w:t xml:space="preserve">Once the investigation ends, NCEH will not have access to IIF with the exception of </w:t>
      </w:r>
      <w:r w:rsidR="0082417E" w:rsidRPr="002D729A">
        <w:rPr>
          <w:rFonts w:ascii="Times New Roman" w:hAnsi="Times New Roman"/>
          <w:sz w:val="24"/>
          <w:szCs w:val="24"/>
        </w:rPr>
        <w:t xml:space="preserve">private well </w:t>
      </w:r>
      <w:r w:rsidR="00E93941" w:rsidRPr="002D729A">
        <w:rPr>
          <w:rFonts w:ascii="Times New Roman" w:hAnsi="Times New Roman"/>
          <w:sz w:val="24"/>
          <w:szCs w:val="24"/>
        </w:rPr>
        <w:t>latitude and longitude, which are needed to create a visual presentation of water sample test results.</w:t>
      </w:r>
      <w:r w:rsidRPr="002D729A">
        <w:rPr>
          <w:rFonts w:ascii="Times New Roman" w:hAnsi="Times New Roman"/>
          <w:sz w:val="24"/>
          <w:szCs w:val="24"/>
        </w:rPr>
        <w:t xml:space="preserve"> </w:t>
      </w:r>
    </w:p>
    <w:p w14:paraId="08847A34" w14:textId="4EDC6578" w:rsidR="00ED06EF" w:rsidRDefault="00711F64" w:rsidP="00E93941">
      <w:pPr>
        <w:spacing w:line="240" w:lineRule="auto"/>
        <w:rPr>
          <w:rFonts w:ascii="Times New Roman" w:hAnsi="Times New Roman"/>
          <w:sz w:val="24"/>
          <w:szCs w:val="24"/>
        </w:rPr>
      </w:pPr>
      <w:r w:rsidRPr="002D729A">
        <w:rPr>
          <w:rFonts w:ascii="Times New Roman" w:hAnsi="Times New Roman"/>
          <w:sz w:val="24"/>
          <w:szCs w:val="24"/>
        </w:rPr>
        <w:t xml:space="preserve">Respondents will be recruited using a letter or flyer (Attachment </w:t>
      </w:r>
      <w:r w:rsidR="003C309E">
        <w:rPr>
          <w:rFonts w:ascii="Times New Roman" w:hAnsi="Times New Roman"/>
          <w:sz w:val="24"/>
          <w:szCs w:val="24"/>
        </w:rPr>
        <w:t>F</w:t>
      </w:r>
      <w:r w:rsidRPr="002D729A">
        <w:rPr>
          <w:rFonts w:ascii="Times New Roman" w:hAnsi="Times New Roman"/>
          <w:sz w:val="24"/>
          <w:szCs w:val="24"/>
        </w:rPr>
        <w:t xml:space="preserve"> – Example Recruiting Letter/Flyer). </w:t>
      </w:r>
      <w:r w:rsidR="00790173" w:rsidRPr="002D729A">
        <w:rPr>
          <w:rFonts w:ascii="Times New Roman" w:hAnsi="Times New Roman"/>
          <w:bCs/>
          <w:iCs/>
          <w:sz w:val="24"/>
          <w:szCs w:val="24"/>
        </w:rPr>
        <w:t>Prior to administering a questionnaire</w:t>
      </w:r>
      <w:r w:rsidRPr="002D729A">
        <w:rPr>
          <w:rFonts w:ascii="Times New Roman" w:hAnsi="Times New Roman"/>
          <w:bCs/>
          <w:iCs/>
          <w:sz w:val="24"/>
          <w:szCs w:val="24"/>
        </w:rPr>
        <w:t xml:space="preserve"> to potential respondents</w:t>
      </w:r>
      <w:r w:rsidR="00790173" w:rsidRPr="002D729A">
        <w:rPr>
          <w:rFonts w:ascii="Times New Roman" w:hAnsi="Times New Roman"/>
          <w:bCs/>
          <w:iCs/>
          <w:sz w:val="24"/>
          <w:szCs w:val="24"/>
        </w:rPr>
        <w:t xml:space="preserve">, a screening form will be used to screen potential respondents for interest and eligibility </w:t>
      </w:r>
      <w:r w:rsidR="002B6F38" w:rsidRPr="002D729A">
        <w:rPr>
          <w:rFonts w:ascii="Times New Roman" w:hAnsi="Times New Roman"/>
          <w:sz w:val="24"/>
          <w:szCs w:val="24"/>
        </w:rPr>
        <w:t>(</w:t>
      </w:r>
      <w:r w:rsidR="008C580B" w:rsidRPr="002D729A">
        <w:rPr>
          <w:rFonts w:ascii="Times New Roman" w:hAnsi="Times New Roman"/>
          <w:sz w:val="24"/>
          <w:szCs w:val="24"/>
        </w:rPr>
        <w:t xml:space="preserve">Attachment </w:t>
      </w:r>
      <w:r w:rsidR="003C309E">
        <w:rPr>
          <w:rFonts w:ascii="Times New Roman" w:hAnsi="Times New Roman"/>
          <w:sz w:val="24"/>
          <w:szCs w:val="24"/>
        </w:rPr>
        <w:t>G</w:t>
      </w:r>
      <w:r w:rsidR="00353054" w:rsidRPr="002D729A">
        <w:rPr>
          <w:rFonts w:ascii="Times New Roman" w:hAnsi="Times New Roman"/>
          <w:sz w:val="24"/>
          <w:szCs w:val="24"/>
        </w:rPr>
        <w:t xml:space="preserve"> – Example Screening Form</w:t>
      </w:r>
      <w:r w:rsidR="002B6F38" w:rsidRPr="002D729A">
        <w:rPr>
          <w:rFonts w:ascii="Times New Roman" w:hAnsi="Times New Roman"/>
          <w:sz w:val="24"/>
          <w:szCs w:val="24"/>
        </w:rPr>
        <w:t xml:space="preserve">). </w:t>
      </w:r>
      <w:r w:rsidR="001E2857" w:rsidRPr="002D729A">
        <w:rPr>
          <w:rFonts w:ascii="Times New Roman" w:hAnsi="Times New Roman"/>
          <w:sz w:val="24"/>
          <w:szCs w:val="24"/>
        </w:rPr>
        <w:t xml:space="preserve">Consent to participate in the investigation will be obtained using a paper </w:t>
      </w:r>
      <w:r w:rsidR="0007092C" w:rsidRPr="002D729A">
        <w:rPr>
          <w:rFonts w:ascii="Times New Roman" w:hAnsi="Times New Roman"/>
          <w:sz w:val="24"/>
          <w:szCs w:val="24"/>
        </w:rPr>
        <w:t xml:space="preserve">or electronic </w:t>
      </w:r>
      <w:r w:rsidR="001E2857" w:rsidRPr="002D729A">
        <w:rPr>
          <w:rFonts w:ascii="Times New Roman" w:hAnsi="Times New Roman"/>
          <w:sz w:val="24"/>
          <w:szCs w:val="24"/>
        </w:rPr>
        <w:t xml:space="preserve">consent form </w:t>
      </w:r>
      <w:r w:rsidR="005A35F7" w:rsidRPr="002D729A">
        <w:rPr>
          <w:rFonts w:ascii="Times New Roman" w:hAnsi="Times New Roman"/>
          <w:sz w:val="24"/>
          <w:szCs w:val="24"/>
        </w:rPr>
        <w:t xml:space="preserve">(Attachment </w:t>
      </w:r>
      <w:r w:rsidR="003C309E">
        <w:rPr>
          <w:rFonts w:ascii="Times New Roman" w:hAnsi="Times New Roman"/>
          <w:sz w:val="24"/>
          <w:szCs w:val="24"/>
        </w:rPr>
        <w:t>H</w:t>
      </w:r>
      <w:r w:rsidR="00353054" w:rsidRPr="002D729A">
        <w:rPr>
          <w:rFonts w:ascii="Times New Roman" w:hAnsi="Times New Roman"/>
          <w:sz w:val="24"/>
          <w:szCs w:val="24"/>
        </w:rPr>
        <w:t xml:space="preserve"> – Example Consent Form</w:t>
      </w:r>
      <w:r w:rsidR="005A35F7" w:rsidRPr="002D729A">
        <w:rPr>
          <w:rFonts w:ascii="Times New Roman" w:hAnsi="Times New Roman"/>
          <w:sz w:val="24"/>
          <w:szCs w:val="24"/>
        </w:rPr>
        <w:t xml:space="preserve">), </w:t>
      </w:r>
      <w:r w:rsidR="001E2857" w:rsidRPr="002D729A">
        <w:rPr>
          <w:rFonts w:ascii="Times New Roman" w:hAnsi="Times New Roman"/>
          <w:sz w:val="24"/>
          <w:szCs w:val="24"/>
        </w:rPr>
        <w:t>which the respondent will read and sign. The consent form</w:t>
      </w:r>
      <w:r w:rsidR="00BB0A09" w:rsidRPr="002D729A">
        <w:rPr>
          <w:rFonts w:ascii="Times New Roman" w:hAnsi="Times New Roman"/>
          <w:sz w:val="24"/>
          <w:szCs w:val="24"/>
        </w:rPr>
        <w:t>s</w:t>
      </w:r>
      <w:r w:rsidR="001E2857" w:rsidRPr="002D729A">
        <w:rPr>
          <w:rFonts w:ascii="Times New Roman" w:hAnsi="Times New Roman"/>
          <w:sz w:val="24"/>
          <w:szCs w:val="24"/>
        </w:rPr>
        <w:t xml:space="preserve"> will prov</w:t>
      </w:r>
      <w:r w:rsidR="0004251A" w:rsidRPr="002D729A">
        <w:rPr>
          <w:rFonts w:ascii="Times New Roman" w:hAnsi="Times New Roman"/>
          <w:sz w:val="24"/>
          <w:szCs w:val="24"/>
        </w:rPr>
        <w:t xml:space="preserve">ide the following information: </w:t>
      </w:r>
      <w:r w:rsidR="001E2857" w:rsidRPr="002D729A">
        <w:rPr>
          <w:rFonts w:ascii="Times New Roman" w:hAnsi="Times New Roman"/>
          <w:sz w:val="24"/>
          <w:szCs w:val="24"/>
        </w:rPr>
        <w:t>purpose of the data collection, list of activities for respondents, description of risks, data/information disclosure possibilities, description of benefits, compensation,</w:t>
      </w:r>
      <w:r w:rsidR="00E570C0" w:rsidRPr="002D729A">
        <w:rPr>
          <w:rFonts w:ascii="Times New Roman" w:hAnsi="Times New Roman"/>
          <w:sz w:val="24"/>
          <w:szCs w:val="24"/>
        </w:rPr>
        <w:t xml:space="preserve"> treatment for injury, contacts for questions, and a statement about voluntary participation, refusal, and withdrawal.</w:t>
      </w:r>
      <w:r>
        <w:rPr>
          <w:rFonts w:ascii="Times New Roman" w:hAnsi="Times New Roman"/>
          <w:sz w:val="24"/>
          <w:szCs w:val="24"/>
        </w:rPr>
        <w:t xml:space="preserve">  </w:t>
      </w:r>
    </w:p>
    <w:p w14:paraId="01986957" w14:textId="7299AD90" w:rsidR="00ED06EF" w:rsidRDefault="00ED06EF" w:rsidP="00ED06EF">
      <w:pPr>
        <w:spacing w:after="0" w:line="240" w:lineRule="auto"/>
        <w:rPr>
          <w:rFonts w:ascii="Times New Roman" w:hAnsi="Times New Roman"/>
          <w:color w:val="000000"/>
          <w:sz w:val="24"/>
          <w:szCs w:val="24"/>
        </w:rPr>
      </w:pPr>
      <w:r>
        <w:rPr>
          <w:rFonts w:ascii="Times New Roman" w:hAnsi="Times New Roman"/>
          <w:color w:val="000000"/>
          <w:sz w:val="24"/>
          <w:szCs w:val="24"/>
        </w:rPr>
        <w:t>For each investigation, we expect to construct a que</w:t>
      </w:r>
      <w:r w:rsidR="002D729A">
        <w:rPr>
          <w:rFonts w:ascii="Times New Roman" w:hAnsi="Times New Roman"/>
          <w:color w:val="000000"/>
          <w:sz w:val="24"/>
          <w:szCs w:val="24"/>
        </w:rPr>
        <w:t>stionn</w:t>
      </w:r>
      <w:r w:rsidR="00622983">
        <w:rPr>
          <w:rFonts w:ascii="Times New Roman" w:hAnsi="Times New Roman"/>
          <w:color w:val="000000"/>
          <w:sz w:val="24"/>
          <w:szCs w:val="24"/>
        </w:rPr>
        <w:t xml:space="preserve">aire with approximately </w:t>
      </w:r>
      <w:r w:rsidR="003F1F9F">
        <w:rPr>
          <w:rFonts w:ascii="Times New Roman" w:hAnsi="Times New Roman"/>
          <w:color w:val="000000"/>
          <w:sz w:val="24"/>
          <w:szCs w:val="24"/>
        </w:rPr>
        <w:t>45</w:t>
      </w:r>
      <w:r>
        <w:rPr>
          <w:rFonts w:ascii="Times New Roman" w:hAnsi="Times New Roman"/>
          <w:color w:val="000000"/>
          <w:sz w:val="24"/>
          <w:szCs w:val="24"/>
        </w:rPr>
        <w:t xml:space="preserve"> questions that fall under </w:t>
      </w:r>
      <w:r w:rsidR="003F1F9F">
        <w:rPr>
          <w:rFonts w:ascii="Times New Roman" w:hAnsi="Times New Roman"/>
          <w:color w:val="000000"/>
          <w:sz w:val="24"/>
          <w:szCs w:val="24"/>
        </w:rPr>
        <w:t>six</w:t>
      </w:r>
      <w:r>
        <w:rPr>
          <w:rFonts w:ascii="Times New Roman" w:hAnsi="Times New Roman"/>
          <w:color w:val="000000"/>
          <w:sz w:val="24"/>
          <w:szCs w:val="24"/>
        </w:rPr>
        <w:t xml:space="preserve"> categories (see </w:t>
      </w:r>
      <w:r w:rsidRPr="00464058">
        <w:rPr>
          <w:rFonts w:ascii="Times New Roman" w:hAnsi="Times New Roman"/>
          <w:color w:val="000000"/>
          <w:sz w:val="24"/>
          <w:szCs w:val="24"/>
        </w:rPr>
        <w:t xml:space="preserve">Attachment </w:t>
      </w:r>
      <w:r w:rsidR="003C309E">
        <w:rPr>
          <w:rFonts w:ascii="Times New Roman" w:hAnsi="Times New Roman"/>
          <w:color w:val="000000"/>
          <w:sz w:val="24"/>
          <w:szCs w:val="24"/>
        </w:rPr>
        <w:t>I</w:t>
      </w:r>
      <w:r>
        <w:rPr>
          <w:rFonts w:ascii="Times New Roman" w:hAnsi="Times New Roman"/>
          <w:color w:val="000000"/>
          <w:sz w:val="24"/>
          <w:szCs w:val="24"/>
        </w:rPr>
        <w:t xml:space="preserve"> </w:t>
      </w:r>
      <w:r w:rsidR="00D66B57">
        <w:rPr>
          <w:rFonts w:ascii="Times New Roman" w:hAnsi="Times New Roman"/>
          <w:color w:val="000000"/>
          <w:sz w:val="24"/>
          <w:szCs w:val="24"/>
        </w:rPr>
        <w:t xml:space="preserve">- </w:t>
      </w:r>
      <w:r>
        <w:rPr>
          <w:rFonts w:ascii="Times New Roman" w:hAnsi="Times New Roman"/>
          <w:color w:val="000000"/>
          <w:sz w:val="24"/>
          <w:szCs w:val="24"/>
        </w:rPr>
        <w:t xml:space="preserve">Example Questionnaire). Table </w:t>
      </w:r>
      <w:r w:rsidR="00615D3F">
        <w:rPr>
          <w:rFonts w:ascii="Times New Roman" w:hAnsi="Times New Roman"/>
          <w:color w:val="000000"/>
          <w:sz w:val="24"/>
          <w:szCs w:val="24"/>
        </w:rPr>
        <w:t>9</w:t>
      </w:r>
      <w:r>
        <w:rPr>
          <w:rFonts w:ascii="Times New Roman" w:hAnsi="Times New Roman"/>
          <w:color w:val="000000"/>
          <w:sz w:val="24"/>
          <w:szCs w:val="24"/>
        </w:rPr>
        <w:t>.1 below summarizes the breakdown of questions.</w:t>
      </w:r>
    </w:p>
    <w:p w14:paraId="4F0DE06F" w14:textId="77777777" w:rsidR="00ED06EF" w:rsidRDefault="00ED06EF" w:rsidP="00ED06EF">
      <w:pPr>
        <w:spacing w:after="0" w:line="240" w:lineRule="auto"/>
        <w:rPr>
          <w:rFonts w:ascii="Times New Roman" w:hAnsi="Times New Roman"/>
          <w:color w:val="000000"/>
          <w:sz w:val="24"/>
          <w:szCs w:val="24"/>
        </w:rPr>
      </w:pPr>
    </w:p>
    <w:p w14:paraId="6267D425" w14:textId="16D4AA40" w:rsidR="00ED06EF" w:rsidRPr="00060DF3" w:rsidRDefault="00ED06EF" w:rsidP="00ED06EF">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Table </w:t>
      </w:r>
      <w:r w:rsidR="00615D3F">
        <w:rPr>
          <w:rFonts w:ascii="Times New Roman" w:hAnsi="Times New Roman"/>
          <w:b/>
          <w:color w:val="000000"/>
          <w:sz w:val="24"/>
          <w:szCs w:val="24"/>
        </w:rPr>
        <w:t>9</w:t>
      </w:r>
      <w:r>
        <w:rPr>
          <w:rFonts w:ascii="Times New Roman" w:hAnsi="Times New Roman"/>
          <w:b/>
          <w:color w:val="000000"/>
          <w:sz w:val="24"/>
          <w:szCs w:val="24"/>
        </w:rPr>
        <w:t xml:space="preserve">.1. </w:t>
      </w:r>
      <w:r>
        <w:rPr>
          <w:rFonts w:ascii="Times New Roman" w:hAnsi="Times New Roman"/>
          <w:color w:val="000000"/>
          <w:sz w:val="24"/>
          <w:szCs w:val="24"/>
        </w:rPr>
        <w:t>Overview of questions types used for data collection</w:t>
      </w:r>
    </w:p>
    <w:tbl>
      <w:tblPr>
        <w:tblStyle w:val="TableGrid"/>
        <w:tblW w:w="0" w:type="auto"/>
        <w:tblLook w:val="04A0" w:firstRow="1" w:lastRow="0" w:firstColumn="1" w:lastColumn="0" w:noHBand="0" w:noVBand="1"/>
      </w:tblPr>
      <w:tblGrid>
        <w:gridCol w:w="7643"/>
        <w:gridCol w:w="1707"/>
      </w:tblGrid>
      <w:tr w:rsidR="00ED06EF" w14:paraId="5C031BFF" w14:textId="77777777" w:rsidTr="00362FE9">
        <w:tc>
          <w:tcPr>
            <w:tcW w:w="7643" w:type="dxa"/>
            <w:vAlign w:val="center"/>
          </w:tcPr>
          <w:p w14:paraId="4442823B" w14:textId="77777777" w:rsidR="00ED06EF" w:rsidRPr="002D729A" w:rsidRDefault="00ED06EF" w:rsidP="002D729A">
            <w:pPr>
              <w:spacing w:after="0" w:line="240" w:lineRule="auto"/>
              <w:jc w:val="center"/>
              <w:rPr>
                <w:rFonts w:ascii="Times New Roman" w:hAnsi="Times New Roman"/>
                <w:b/>
                <w:color w:val="000000"/>
                <w:sz w:val="20"/>
                <w:szCs w:val="20"/>
              </w:rPr>
            </w:pPr>
            <w:r w:rsidRPr="002D729A">
              <w:rPr>
                <w:rFonts w:ascii="Times New Roman" w:hAnsi="Times New Roman"/>
                <w:b/>
                <w:color w:val="000000"/>
                <w:sz w:val="20"/>
                <w:szCs w:val="20"/>
              </w:rPr>
              <w:t>Question Type</w:t>
            </w:r>
          </w:p>
        </w:tc>
        <w:tc>
          <w:tcPr>
            <w:tcW w:w="1707" w:type="dxa"/>
            <w:vAlign w:val="center"/>
          </w:tcPr>
          <w:p w14:paraId="468AF5C3" w14:textId="77777777" w:rsidR="00ED06EF" w:rsidRPr="002D729A" w:rsidRDefault="00ED06EF" w:rsidP="00855797">
            <w:pPr>
              <w:spacing w:after="0" w:line="240" w:lineRule="auto"/>
              <w:jc w:val="center"/>
              <w:rPr>
                <w:rFonts w:ascii="Times New Roman" w:hAnsi="Times New Roman"/>
                <w:b/>
                <w:color w:val="000000"/>
                <w:sz w:val="20"/>
                <w:szCs w:val="20"/>
              </w:rPr>
            </w:pPr>
            <w:r w:rsidRPr="002D729A">
              <w:rPr>
                <w:rFonts w:ascii="Times New Roman" w:hAnsi="Times New Roman"/>
                <w:b/>
                <w:color w:val="000000"/>
                <w:sz w:val="20"/>
                <w:szCs w:val="20"/>
              </w:rPr>
              <w:t># of Questions Used</w:t>
            </w:r>
          </w:p>
        </w:tc>
      </w:tr>
      <w:tr w:rsidR="00ED06EF" w14:paraId="581D5481" w14:textId="77777777" w:rsidTr="00362FE9">
        <w:tc>
          <w:tcPr>
            <w:tcW w:w="7643" w:type="dxa"/>
          </w:tcPr>
          <w:p w14:paraId="7E55DD86" w14:textId="05011586" w:rsidR="00ED06EF" w:rsidRPr="002D729A" w:rsidRDefault="002B6F38" w:rsidP="00E70379">
            <w:pPr>
              <w:spacing w:after="0" w:line="240" w:lineRule="auto"/>
              <w:rPr>
                <w:rFonts w:ascii="Times New Roman" w:hAnsi="Times New Roman"/>
                <w:color w:val="000000"/>
                <w:sz w:val="20"/>
                <w:szCs w:val="20"/>
              </w:rPr>
            </w:pPr>
            <w:r w:rsidRPr="002D729A">
              <w:rPr>
                <w:rFonts w:ascii="Times New Roman" w:hAnsi="Times New Roman"/>
                <w:color w:val="000000"/>
                <w:sz w:val="20"/>
                <w:szCs w:val="20"/>
              </w:rPr>
              <w:t>Identifying</w:t>
            </w:r>
            <w:r w:rsidR="00ED06EF" w:rsidRPr="002D729A">
              <w:rPr>
                <w:rFonts w:ascii="Times New Roman" w:hAnsi="Times New Roman"/>
                <w:color w:val="000000"/>
                <w:sz w:val="20"/>
                <w:szCs w:val="20"/>
              </w:rPr>
              <w:t xml:space="preserve"> information</w:t>
            </w:r>
            <w:r w:rsidR="00E90597" w:rsidRPr="002D729A">
              <w:rPr>
                <w:rFonts w:ascii="Times New Roman" w:hAnsi="Times New Roman"/>
                <w:color w:val="000000"/>
                <w:sz w:val="20"/>
                <w:szCs w:val="20"/>
              </w:rPr>
              <w:t>,</w:t>
            </w:r>
            <w:r w:rsidR="00E70379" w:rsidRPr="002D729A">
              <w:rPr>
                <w:rFonts w:ascii="Times New Roman" w:hAnsi="Times New Roman"/>
                <w:color w:val="000000"/>
                <w:sz w:val="20"/>
                <w:szCs w:val="20"/>
              </w:rPr>
              <w:t xml:space="preserve"> listed above</w:t>
            </w:r>
          </w:p>
        </w:tc>
        <w:tc>
          <w:tcPr>
            <w:tcW w:w="1707" w:type="dxa"/>
            <w:vAlign w:val="center"/>
          </w:tcPr>
          <w:p w14:paraId="3F20605B" w14:textId="3C0169DC" w:rsidR="00ED06EF" w:rsidRPr="002D729A" w:rsidRDefault="00622983" w:rsidP="005D0A1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r>
      <w:tr w:rsidR="00ED06EF" w14:paraId="6782A575" w14:textId="77777777" w:rsidTr="00362FE9">
        <w:tc>
          <w:tcPr>
            <w:tcW w:w="7643" w:type="dxa"/>
          </w:tcPr>
          <w:p w14:paraId="783FC3B5" w14:textId="77777777" w:rsidR="00ED06EF" w:rsidRPr="002D729A" w:rsidRDefault="00ED06EF" w:rsidP="005D0A10">
            <w:pPr>
              <w:spacing w:after="0" w:line="240" w:lineRule="auto"/>
              <w:rPr>
                <w:rFonts w:ascii="Times New Roman" w:hAnsi="Times New Roman"/>
                <w:color w:val="000000"/>
                <w:sz w:val="20"/>
                <w:szCs w:val="20"/>
              </w:rPr>
            </w:pPr>
            <w:r w:rsidRPr="002D729A">
              <w:rPr>
                <w:rFonts w:ascii="Times New Roman" w:hAnsi="Times New Roman"/>
                <w:color w:val="000000"/>
                <w:sz w:val="20"/>
                <w:szCs w:val="20"/>
              </w:rPr>
              <w:t>Socio-demographics</w:t>
            </w:r>
          </w:p>
        </w:tc>
        <w:tc>
          <w:tcPr>
            <w:tcW w:w="1707" w:type="dxa"/>
            <w:vAlign w:val="center"/>
          </w:tcPr>
          <w:p w14:paraId="4143F7B5" w14:textId="77777777" w:rsidR="00ED06EF" w:rsidRPr="002D729A" w:rsidRDefault="00ED06EF" w:rsidP="005D0A10">
            <w:pPr>
              <w:spacing w:after="0" w:line="240" w:lineRule="auto"/>
              <w:jc w:val="center"/>
              <w:rPr>
                <w:rFonts w:ascii="Times New Roman" w:hAnsi="Times New Roman"/>
                <w:color w:val="000000"/>
                <w:sz w:val="20"/>
                <w:szCs w:val="20"/>
              </w:rPr>
            </w:pPr>
            <w:r w:rsidRPr="002D729A">
              <w:rPr>
                <w:rFonts w:ascii="Times New Roman" w:hAnsi="Times New Roman"/>
                <w:color w:val="000000"/>
                <w:sz w:val="20"/>
                <w:szCs w:val="20"/>
              </w:rPr>
              <w:t>7</w:t>
            </w:r>
          </w:p>
        </w:tc>
      </w:tr>
      <w:tr w:rsidR="00ED06EF" w14:paraId="57E2399C" w14:textId="77777777" w:rsidTr="00362FE9">
        <w:tc>
          <w:tcPr>
            <w:tcW w:w="7643" w:type="dxa"/>
          </w:tcPr>
          <w:p w14:paraId="1A125704" w14:textId="77777777" w:rsidR="00ED06EF" w:rsidRPr="002D729A" w:rsidRDefault="00ED06EF" w:rsidP="005D0A10">
            <w:pPr>
              <w:spacing w:after="0" w:line="240" w:lineRule="auto"/>
              <w:rPr>
                <w:rFonts w:ascii="Times New Roman" w:hAnsi="Times New Roman"/>
                <w:color w:val="000000"/>
                <w:sz w:val="20"/>
                <w:szCs w:val="20"/>
              </w:rPr>
            </w:pPr>
            <w:r w:rsidRPr="002D729A">
              <w:rPr>
                <w:rFonts w:ascii="Times New Roman" w:hAnsi="Times New Roman"/>
                <w:color w:val="000000"/>
                <w:sz w:val="20"/>
                <w:szCs w:val="20"/>
              </w:rPr>
              <w:t>Household water source(s)</w:t>
            </w:r>
          </w:p>
        </w:tc>
        <w:tc>
          <w:tcPr>
            <w:tcW w:w="1707" w:type="dxa"/>
            <w:vAlign w:val="center"/>
          </w:tcPr>
          <w:p w14:paraId="4CA1024E" w14:textId="77777777" w:rsidR="00ED06EF" w:rsidRPr="002D729A" w:rsidRDefault="00ED06EF" w:rsidP="005D0A10">
            <w:pPr>
              <w:spacing w:after="0" w:line="240" w:lineRule="auto"/>
              <w:jc w:val="center"/>
              <w:rPr>
                <w:rFonts w:ascii="Times New Roman" w:hAnsi="Times New Roman"/>
                <w:color w:val="000000"/>
                <w:sz w:val="20"/>
                <w:szCs w:val="20"/>
              </w:rPr>
            </w:pPr>
            <w:r w:rsidRPr="002D729A">
              <w:rPr>
                <w:rFonts w:ascii="Times New Roman" w:hAnsi="Times New Roman"/>
                <w:color w:val="000000"/>
                <w:sz w:val="20"/>
                <w:szCs w:val="20"/>
              </w:rPr>
              <w:t>6</w:t>
            </w:r>
          </w:p>
        </w:tc>
      </w:tr>
      <w:tr w:rsidR="00ED06EF" w14:paraId="4EEA8BE3" w14:textId="77777777" w:rsidTr="00362FE9">
        <w:tc>
          <w:tcPr>
            <w:tcW w:w="7643" w:type="dxa"/>
          </w:tcPr>
          <w:p w14:paraId="1CC8F642" w14:textId="77777777" w:rsidR="00ED06EF" w:rsidRPr="002D729A" w:rsidRDefault="00ED06EF" w:rsidP="005D0A10">
            <w:pPr>
              <w:spacing w:after="0" w:line="240" w:lineRule="auto"/>
              <w:rPr>
                <w:rFonts w:ascii="Times New Roman" w:hAnsi="Times New Roman"/>
                <w:color w:val="000000"/>
                <w:sz w:val="20"/>
                <w:szCs w:val="20"/>
              </w:rPr>
            </w:pPr>
            <w:r w:rsidRPr="002D729A">
              <w:rPr>
                <w:rFonts w:ascii="Times New Roman" w:hAnsi="Times New Roman"/>
                <w:color w:val="000000"/>
                <w:sz w:val="20"/>
                <w:szCs w:val="20"/>
              </w:rPr>
              <w:t>Household water use</w:t>
            </w:r>
          </w:p>
        </w:tc>
        <w:tc>
          <w:tcPr>
            <w:tcW w:w="1707" w:type="dxa"/>
            <w:vAlign w:val="center"/>
          </w:tcPr>
          <w:p w14:paraId="649BFA9F" w14:textId="77777777" w:rsidR="00ED06EF" w:rsidRPr="002D729A" w:rsidRDefault="00ED06EF" w:rsidP="005D0A10">
            <w:pPr>
              <w:spacing w:after="0" w:line="240" w:lineRule="auto"/>
              <w:jc w:val="center"/>
              <w:rPr>
                <w:rFonts w:ascii="Times New Roman" w:hAnsi="Times New Roman"/>
                <w:color w:val="000000"/>
                <w:sz w:val="20"/>
                <w:szCs w:val="20"/>
              </w:rPr>
            </w:pPr>
            <w:r w:rsidRPr="002D729A">
              <w:rPr>
                <w:rFonts w:ascii="Times New Roman" w:hAnsi="Times New Roman"/>
                <w:color w:val="000000"/>
                <w:sz w:val="20"/>
                <w:szCs w:val="20"/>
              </w:rPr>
              <w:t>6</w:t>
            </w:r>
          </w:p>
        </w:tc>
      </w:tr>
      <w:tr w:rsidR="00ED06EF" w14:paraId="15436ADD" w14:textId="77777777" w:rsidTr="00362FE9">
        <w:tc>
          <w:tcPr>
            <w:tcW w:w="7643" w:type="dxa"/>
          </w:tcPr>
          <w:p w14:paraId="17057369" w14:textId="77777777" w:rsidR="00ED06EF" w:rsidRPr="002D729A" w:rsidRDefault="00ED06EF" w:rsidP="005D0A10">
            <w:pPr>
              <w:spacing w:after="0" w:line="240" w:lineRule="auto"/>
              <w:rPr>
                <w:rFonts w:ascii="Times New Roman" w:hAnsi="Times New Roman"/>
                <w:color w:val="000000"/>
                <w:sz w:val="20"/>
                <w:szCs w:val="20"/>
              </w:rPr>
            </w:pPr>
            <w:r w:rsidRPr="002D729A">
              <w:rPr>
                <w:rFonts w:ascii="Times New Roman" w:hAnsi="Times New Roman"/>
                <w:color w:val="000000"/>
                <w:sz w:val="20"/>
                <w:szCs w:val="20"/>
              </w:rPr>
              <w:t>Environmental exposures not related to drinking water from private wells (confounders)</w:t>
            </w:r>
          </w:p>
        </w:tc>
        <w:tc>
          <w:tcPr>
            <w:tcW w:w="1707" w:type="dxa"/>
            <w:vAlign w:val="center"/>
          </w:tcPr>
          <w:p w14:paraId="472944DB" w14:textId="77777777" w:rsidR="00ED06EF" w:rsidRPr="002D729A" w:rsidRDefault="00ED06EF" w:rsidP="005D0A10">
            <w:pPr>
              <w:spacing w:after="0" w:line="240" w:lineRule="auto"/>
              <w:jc w:val="center"/>
              <w:rPr>
                <w:rFonts w:ascii="Times New Roman" w:hAnsi="Times New Roman"/>
                <w:color w:val="000000"/>
                <w:sz w:val="20"/>
                <w:szCs w:val="20"/>
              </w:rPr>
            </w:pPr>
            <w:r w:rsidRPr="002D729A">
              <w:rPr>
                <w:rFonts w:ascii="Times New Roman" w:hAnsi="Times New Roman"/>
                <w:color w:val="000000"/>
                <w:sz w:val="20"/>
                <w:szCs w:val="20"/>
              </w:rPr>
              <w:t>7</w:t>
            </w:r>
          </w:p>
        </w:tc>
      </w:tr>
      <w:tr w:rsidR="00ED06EF" w14:paraId="644F10D6" w14:textId="77777777" w:rsidTr="00362FE9">
        <w:tc>
          <w:tcPr>
            <w:tcW w:w="7643" w:type="dxa"/>
          </w:tcPr>
          <w:p w14:paraId="3D97F26E" w14:textId="77777777" w:rsidR="00ED06EF" w:rsidRPr="002D729A" w:rsidRDefault="00ED06EF" w:rsidP="005D0A10">
            <w:pPr>
              <w:spacing w:after="0" w:line="240" w:lineRule="auto"/>
              <w:rPr>
                <w:rFonts w:ascii="Times New Roman" w:hAnsi="Times New Roman"/>
                <w:color w:val="000000"/>
                <w:sz w:val="20"/>
                <w:szCs w:val="20"/>
              </w:rPr>
            </w:pPr>
            <w:r w:rsidRPr="002D729A">
              <w:rPr>
                <w:rFonts w:ascii="Times New Roman" w:hAnsi="Times New Roman"/>
                <w:color w:val="000000"/>
                <w:sz w:val="20"/>
                <w:szCs w:val="20"/>
              </w:rPr>
              <w:t>Perceptions and practices that might affect an individual’s exposure level</w:t>
            </w:r>
          </w:p>
        </w:tc>
        <w:tc>
          <w:tcPr>
            <w:tcW w:w="1707" w:type="dxa"/>
            <w:vAlign w:val="center"/>
          </w:tcPr>
          <w:p w14:paraId="093C2B20" w14:textId="77777777" w:rsidR="00ED06EF" w:rsidRPr="002D729A" w:rsidRDefault="00ED06EF" w:rsidP="005D0A10">
            <w:pPr>
              <w:spacing w:after="0" w:line="240" w:lineRule="auto"/>
              <w:jc w:val="center"/>
              <w:rPr>
                <w:rFonts w:ascii="Times New Roman" w:hAnsi="Times New Roman"/>
                <w:color w:val="000000"/>
                <w:sz w:val="20"/>
                <w:szCs w:val="20"/>
              </w:rPr>
            </w:pPr>
            <w:r w:rsidRPr="002D729A">
              <w:rPr>
                <w:rFonts w:ascii="Times New Roman" w:hAnsi="Times New Roman"/>
                <w:color w:val="000000"/>
                <w:sz w:val="20"/>
                <w:szCs w:val="20"/>
              </w:rPr>
              <w:t>9</w:t>
            </w:r>
          </w:p>
        </w:tc>
      </w:tr>
    </w:tbl>
    <w:p w14:paraId="4845D402" w14:textId="77777777" w:rsidR="00ED06EF" w:rsidRDefault="00ED06EF" w:rsidP="00ED06EF">
      <w:pPr>
        <w:spacing w:after="0" w:line="240" w:lineRule="auto"/>
        <w:rPr>
          <w:rFonts w:ascii="Times New Roman" w:hAnsi="Times New Roman"/>
          <w:color w:val="000000"/>
          <w:sz w:val="24"/>
          <w:szCs w:val="24"/>
        </w:rPr>
      </w:pPr>
    </w:p>
    <w:p w14:paraId="6A6748CA" w14:textId="181A6270" w:rsidR="0040313B" w:rsidRDefault="00ED06EF" w:rsidP="005D4D4F">
      <w:pPr>
        <w:spacing w:line="240" w:lineRule="auto"/>
        <w:rPr>
          <w:rFonts w:ascii="Times New Roman" w:hAnsi="Times New Roman"/>
          <w:color w:val="000000"/>
          <w:sz w:val="24"/>
          <w:szCs w:val="24"/>
        </w:rPr>
      </w:pPr>
      <w:r>
        <w:rPr>
          <w:rFonts w:ascii="Times New Roman" w:hAnsi="Times New Roman"/>
          <w:color w:val="000000"/>
          <w:sz w:val="24"/>
          <w:szCs w:val="24"/>
        </w:rPr>
        <w:t>Most questions are yes/no responses or multiple choice. Twenty-four qu</w:t>
      </w:r>
      <w:r w:rsidR="001F67B4">
        <w:rPr>
          <w:rFonts w:ascii="Times New Roman" w:hAnsi="Times New Roman"/>
          <w:color w:val="000000"/>
          <w:sz w:val="24"/>
          <w:szCs w:val="24"/>
        </w:rPr>
        <w:t xml:space="preserve">estions </w:t>
      </w:r>
      <w:r w:rsidR="00255449">
        <w:rPr>
          <w:rFonts w:ascii="Times New Roman" w:hAnsi="Times New Roman"/>
          <w:color w:val="000000"/>
          <w:sz w:val="24"/>
          <w:szCs w:val="24"/>
        </w:rPr>
        <w:t>a</w:t>
      </w:r>
      <w:r w:rsidR="001F67B4">
        <w:rPr>
          <w:rFonts w:ascii="Times New Roman" w:hAnsi="Times New Roman"/>
          <w:color w:val="000000"/>
          <w:sz w:val="24"/>
          <w:szCs w:val="24"/>
        </w:rPr>
        <w:t>re not multiple choice (</w:t>
      </w:r>
      <w:r>
        <w:rPr>
          <w:rFonts w:ascii="Times New Roman" w:hAnsi="Times New Roman"/>
          <w:color w:val="000000"/>
          <w:sz w:val="24"/>
          <w:szCs w:val="24"/>
        </w:rPr>
        <w:t>e.g.,</w:t>
      </w:r>
      <w:r w:rsidR="002D729A">
        <w:rPr>
          <w:rFonts w:ascii="Times New Roman" w:hAnsi="Times New Roman"/>
          <w:color w:val="000000"/>
          <w:sz w:val="24"/>
          <w:szCs w:val="24"/>
        </w:rPr>
        <w:t xml:space="preserve"> </w:t>
      </w:r>
      <w:r w:rsidR="002D729A">
        <w:rPr>
          <w:rFonts w:ascii="Times New Roman" w:hAnsi="Times New Roman"/>
          <w:sz w:val="24"/>
          <w:szCs w:val="24"/>
        </w:rPr>
        <w:t xml:space="preserve">name, age, </w:t>
      </w:r>
      <w:r w:rsidR="00622983">
        <w:rPr>
          <w:rFonts w:ascii="Times New Roman" w:hAnsi="Times New Roman"/>
          <w:sz w:val="24"/>
          <w:szCs w:val="24"/>
        </w:rPr>
        <w:t xml:space="preserve">sex, race, ethnicity, household income, </w:t>
      </w:r>
      <w:r w:rsidR="002D729A">
        <w:rPr>
          <w:rFonts w:ascii="Times New Roman" w:hAnsi="Times New Roman"/>
          <w:sz w:val="24"/>
          <w:szCs w:val="24"/>
        </w:rPr>
        <w:t>mailing address, phone numbers, biological specimens, latitude and longitude of private well</w:t>
      </w:r>
      <w:r w:rsidR="00D60CB3">
        <w:rPr>
          <w:rFonts w:ascii="Times New Roman" w:hAnsi="Times New Roman"/>
          <w:sz w:val="24"/>
          <w:szCs w:val="24"/>
        </w:rPr>
        <w:t>s</w:t>
      </w:r>
      <w:r>
        <w:rPr>
          <w:rFonts w:ascii="Times New Roman" w:hAnsi="Times New Roman"/>
          <w:color w:val="000000"/>
          <w:sz w:val="24"/>
          <w:szCs w:val="24"/>
        </w:rPr>
        <w:t xml:space="preserve">). </w:t>
      </w:r>
    </w:p>
    <w:p w14:paraId="6233F400" w14:textId="0CA457DD" w:rsidR="004811E7" w:rsidRPr="00F33E1C" w:rsidRDefault="00711F64" w:rsidP="005D4D4F">
      <w:pPr>
        <w:spacing w:line="240" w:lineRule="auto"/>
        <w:rPr>
          <w:rFonts w:ascii="Times New Roman" w:hAnsi="Times New Roman"/>
          <w:sz w:val="24"/>
          <w:szCs w:val="24"/>
        </w:rPr>
      </w:pPr>
      <w:r>
        <w:rPr>
          <w:rFonts w:ascii="Times New Roman" w:hAnsi="Times New Roman"/>
          <w:sz w:val="24"/>
          <w:szCs w:val="24"/>
        </w:rPr>
        <w:t xml:space="preserve">We will provide respondents with instructions for collecting household tap water samples and urine specimens (Attachment </w:t>
      </w:r>
      <w:r w:rsidR="003C309E">
        <w:rPr>
          <w:rFonts w:ascii="Times New Roman" w:hAnsi="Times New Roman"/>
          <w:sz w:val="24"/>
          <w:szCs w:val="24"/>
        </w:rPr>
        <w:t>J</w:t>
      </w:r>
      <w:r>
        <w:rPr>
          <w:rFonts w:ascii="Times New Roman" w:hAnsi="Times New Roman"/>
          <w:sz w:val="24"/>
          <w:szCs w:val="24"/>
        </w:rPr>
        <w:t xml:space="preserve"> </w:t>
      </w:r>
      <w:r w:rsidRPr="00270C26">
        <w:rPr>
          <w:rFonts w:ascii="Times New Roman" w:hAnsi="Times New Roman"/>
          <w:sz w:val="24"/>
          <w:szCs w:val="24"/>
        </w:rPr>
        <w:t>–</w:t>
      </w:r>
      <w:r>
        <w:rPr>
          <w:rFonts w:ascii="Times New Roman" w:hAnsi="Times New Roman"/>
          <w:sz w:val="24"/>
          <w:szCs w:val="24"/>
        </w:rPr>
        <w:t xml:space="preserve"> Example </w:t>
      </w:r>
      <w:r w:rsidR="001F67B4">
        <w:rPr>
          <w:rFonts w:ascii="Times New Roman" w:hAnsi="Times New Roman"/>
          <w:sz w:val="24"/>
          <w:szCs w:val="24"/>
        </w:rPr>
        <w:t>Urine Specimen and Tap Water Collection</w:t>
      </w:r>
      <w:r>
        <w:rPr>
          <w:rFonts w:ascii="Times New Roman" w:hAnsi="Times New Roman"/>
          <w:sz w:val="24"/>
          <w:szCs w:val="24"/>
        </w:rPr>
        <w:t>).</w:t>
      </w:r>
      <w:r w:rsidR="00996AC2">
        <w:rPr>
          <w:rFonts w:ascii="Times New Roman" w:hAnsi="Times New Roman"/>
          <w:sz w:val="24"/>
          <w:szCs w:val="24"/>
        </w:rPr>
        <w:t xml:space="preserve"> </w:t>
      </w:r>
      <w:r w:rsidR="00DC08D4">
        <w:rPr>
          <w:rFonts w:ascii="Times New Roman" w:hAnsi="Times New Roman"/>
          <w:sz w:val="24"/>
          <w:szCs w:val="24"/>
        </w:rPr>
        <w:t>C</w:t>
      </w:r>
      <w:r w:rsidR="004811E7" w:rsidRPr="00F33E1C">
        <w:rPr>
          <w:rFonts w:ascii="Times New Roman" w:hAnsi="Times New Roman"/>
          <w:sz w:val="24"/>
          <w:szCs w:val="24"/>
        </w:rPr>
        <w:t xml:space="preserve">linical </w:t>
      </w:r>
      <w:r w:rsidR="004811E7">
        <w:rPr>
          <w:rFonts w:ascii="Times New Roman" w:hAnsi="Times New Roman"/>
          <w:sz w:val="24"/>
          <w:szCs w:val="24"/>
        </w:rPr>
        <w:t xml:space="preserve">specimens (e.g., </w:t>
      </w:r>
      <w:r w:rsidR="004811E7" w:rsidRPr="00F33E1C">
        <w:rPr>
          <w:rFonts w:ascii="Times New Roman" w:hAnsi="Times New Roman"/>
          <w:sz w:val="24"/>
          <w:szCs w:val="24"/>
        </w:rPr>
        <w:t>blood or urine</w:t>
      </w:r>
      <w:r w:rsidR="004811E7">
        <w:rPr>
          <w:rFonts w:ascii="Times New Roman" w:hAnsi="Times New Roman"/>
          <w:sz w:val="24"/>
          <w:szCs w:val="24"/>
        </w:rPr>
        <w:t>) or environmental samples (e.g.</w:t>
      </w:r>
      <w:r w:rsidR="008311FF">
        <w:rPr>
          <w:rFonts w:ascii="Times New Roman" w:hAnsi="Times New Roman"/>
          <w:sz w:val="24"/>
          <w:szCs w:val="24"/>
        </w:rPr>
        <w:t>,</w:t>
      </w:r>
      <w:r w:rsidR="004811E7">
        <w:rPr>
          <w:rFonts w:ascii="Times New Roman" w:hAnsi="Times New Roman"/>
          <w:sz w:val="24"/>
          <w:szCs w:val="24"/>
        </w:rPr>
        <w:t xml:space="preserve"> well water)</w:t>
      </w:r>
      <w:r w:rsidR="003F6B23">
        <w:rPr>
          <w:rFonts w:ascii="Times New Roman" w:hAnsi="Times New Roman"/>
          <w:sz w:val="24"/>
          <w:szCs w:val="24"/>
        </w:rPr>
        <w:t>, will</w:t>
      </w:r>
      <w:r w:rsidR="004811E7" w:rsidRPr="00F33E1C">
        <w:rPr>
          <w:rFonts w:ascii="Times New Roman" w:hAnsi="Times New Roman"/>
          <w:sz w:val="24"/>
          <w:szCs w:val="24"/>
        </w:rPr>
        <w:t xml:space="preserve"> be collected to test for the chemical(s) or metabolites of interest. The laboratory testing may be performed at a state facility</w:t>
      </w:r>
      <w:r w:rsidR="005D4D4F">
        <w:rPr>
          <w:rFonts w:ascii="Times New Roman" w:hAnsi="Times New Roman"/>
          <w:sz w:val="24"/>
          <w:szCs w:val="24"/>
        </w:rPr>
        <w:t>, contract laboratory,</w:t>
      </w:r>
      <w:r w:rsidR="004811E7" w:rsidRPr="00F33E1C">
        <w:rPr>
          <w:rFonts w:ascii="Times New Roman" w:hAnsi="Times New Roman"/>
          <w:sz w:val="24"/>
          <w:szCs w:val="24"/>
        </w:rPr>
        <w:t xml:space="preserve"> or the </w:t>
      </w:r>
      <w:r w:rsidR="00E90597">
        <w:rPr>
          <w:rFonts w:ascii="Times New Roman" w:hAnsi="Times New Roman"/>
          <w:sz w:val="24"/>
          <w:szCs w:val="24"/>
        </w:rPr>
        <w:t xml:space="preserve">NCEH </w:t>
      </w:r>
      <w:r w:rsidR="004811E7" w:rsidRPr="00F33E1C">
        <w:rPr>
          <w:rFonts w:ascii="Times New Roman" w:hAnsi="Times New Roman"/>
          <w:sz w:val="24"/>
          <w:szCs w:val="24"/>
        </w:rPr>
        <w:t xml:space="preserve">laboratory at the CDC. </w:t>
      </w:r>
      <w:r w:rsidR="005D4D4F" w:rsidRPr="00705C61">
        <w:rPr>
          <w:rFonts w:ascii="Times New Roman" w:hAnsi="Times New Roman"/>
          <w:sz w:val="24"/>
          <w:szCs w:val="24"/>
        </w:rPr>
        <w:t>All records and</w:t>
      </w:r>
      <w:r w:rsidR="005D4D4F">
        <w:rPr>
          <w:rFonts w:ascii="Times New Roman" w:hAnsi="Times New Roman"/>
          <w:sz w:val="24"/>
          <w:szCs w:val="24"/>
        </w:rPr>
        <w:t xml:space="preserve"> specimens </w:t>
      </w:r>
      <w:r w:rsidR="005D4D4F" w:rsidRPr="00705C61">
        <w:rPr>
          <w:rFonts w:ascii="Times New Roman" w:hAnsi="Times New Roman"/>
          <w:sz w:val="24"/>
          <w:szCs w:val="24"/>
        </w:rPr>
        <w:t>will be coded</w:t>
      </w:r>
      <w:r w:rsidR="005D4D4F">
        <w:rPr>
          <w:rFonts w:ascii="Times New Roman" w:hAnsi="Times New Roman"/>
          <w:sz w:val="24"/>
          <w:szCs w:val="24"/>
        </w:rPr>
        <w:t xml:space="preserve"> with respondent</w:t>
      </w:r>
      <w:r w:rsidR="003F6B23">
        <w:rPr>
          <w:rFonts w:ascii="Times New Roman" w:hAnsi="Times New Roman"/>
          <w:sz w:val="24"/>
          <w:szCs w:val="24"/>
        </w:rPr>
        <w:t xml:space="preserve"> ID number only. The laboratories</w:t>
      </w:r>
      <w:r w:rsidR="005D4D4F">
        <w:rPr>
          <w:rFonts w:ascii="Times New Roman" w:hAnsi="Times New Roman"/>
          <w:sz w:val="24"/>
          <w:szCs w:val="24"/>
        </w:rPr>
        <w:t xml:space="preserve"> w</w:t>
      </w:r>
      <w:r w:rsidR="004811E7" w:rsidRPr="00F33E1C">
        <w:rPr>
          <w:rFonts w:ascii="Times New Roman" w:hAnsi="Times New Roman"/>
          <w:sz w:val="24"/>
          <w:szCs w:val="24"/>
        </w:rPr>
        <w:t>ill n</w:t>
      </w:r>
      <w:r w:rsidR="004811E7">
        <w:rPr>
          <w:rFonts w:ascii="Times New Roman" w:hAnsi="Times New Roman"/>
          <w:sz w:val="24"/>
          <w:szCs w:val="24"/>
        </w:rPr>
        <w:t xml:space="preserve">ot store clinical specimens or environmental samples </w:t>
      </w:r>
      <w:r w:rsidR="004811E7" w:rsidRPr="00F33E1C">
        <w:rPr>
          <w:rFonts w:ascii="Times New Roman" w:hAnsi="Times New Roman"/>
          <w:sz w:val="24"/>
          <w:szCs w:val="24"/>
        </w:rPr>
        <w:t>for future research; any unused samples will be discarded at</w:t>
      </w:r>
      <w:r w:rsidR="005D4D4F">
        <w:rPr>
          <w:rFonts w:ascii="Times New Roman" w:hAnsi="Times New Roman"/>
          <w:sz w:val="24"/>
          <w:szCs w:val="24"/>
        </w:rPr>
        <w:t xml:space="preserve"> the completion of the testing.</w:t>
      </w:r>
    </w:p>
    <w:p w14:paraId="7E24913E" w14:textId="542C1799" w:rsidR="004811E7" w:rsidRPr="005D4D4F" w:rsidRDefault="004811E7" w:rsidP="005D4D4F">
      <w:pPr>
        <w:pStyle w:val="Default"/>
        <w:spacing w:after="200"/>
        <w:rPr>
          <w:rFonts w:ascii="Times New Roman" w:hAnsi="Times New Roman" w:cs="Times New Roman"/>
        </w:rPr>
      </w:pPr>
      <w:r w:rsidRPr="00F33E1C">
        <w:rPr>
          <w:rFonts w:ascii="Times New Roman" w:hAnsi="Times New Roman" w:cs="Times New Roman"/>
          <w:color w:val="auto"/>
        </w:rPr>
        <w:t>After the investigation team completes its field data collection, th</w:t>
      </w:r>
      <w:r>
        <w:rPr>
          <w:rFonts w:ascii="Times New Roman" w:hAnsi="Times New Roman" w:cs="Times New Roman"/>
          <w:color w:val="auto"/>
        </w:rPr>
        <w:t xml:space="preserve">e requesting </w:t>
      </w:r>
      <w:r w:rsidR="00327FD1">
        <w:rPr>
          <w:rFonts w:ascii="Times New Roman" w:hAnsi="Times New Roman" w:cs="Times New Roman"/>
          <w:color w:val="auto"/>
        </w:rPr>
        <w:t>agency</w:t>
      </w:r>
      <w:r w:rsidRPr="00F33E1C">
        <w:rPr>
          <w:rFonts w:ascii="Times New Roman" w:hAnsi="Times New Roman" w:cs="Times New Roman"/>
          <w:color w:val="auto"/>
        </w:rPr>
        <w:t xml:space="preserve"> will have the discretion to share de-identified data labeled only with respondent ID with NCEH for continued support with statistical analysis and report writing. Findings of the investigation will include summary data only and may be reported a</w:t>
      </w:r>
      <w:r w:rsidR="003F6B23">
        <w:rPr>
          <w:rFonts w:ascii="Times New Roman" w:hAnsi="Times New Roman" w:cs="Times New Roman"/>
          <w:color w:val="auto"/>
        </w:rPr>
        <w:t>s state or local agency reports;</w:t>
      </w:r>
      <w:r w:rsidRPr="00F33E1C">
        <w:rPr>
          <w:rFonts w:ascii="Times New Roman" w:hAnsi="Times New Roman" w:cs="Times New Roman"/>
          <w:color w:val="auto"/>
        </w:rPr>
        <w:t xml:space="preserve"> </w:t>
      </w:r>
      <w:r w:rsidRPr="00F33E1C">
        <w:rPr>
          <w:rFonts w:ascii="Times New Roman" w:hAnsi="Times New Roman" w:cs="Times New Roman"/>
          <w:i/>
          <w:color w:val="auto"/>
        </w:rPr>
        <w:t>Morbidity and Mortality Weekly Report</w:t>
      </w:r>
      <w:r w:rsidRPr="00F33E1C">
        <w:rPr>
          <w:rFonts w:ascii="Times New Roman" w:hAnsi="Times New Roman" w:cs="Times New Roman"/>
          <w:color w:val="auto"/>
        </w:rPr>
        <w:t xml:space="preserve"> or journal</w:t>
      </w:r>
      <w:r w:rsidR="003F6B23">
        <w:rPr>
          <w:rFonts w:ascii="Times New Roman" w:hAnsi="Times New Roman" w:cs="Times New Roman"/>
          <w:color w:val="auto"/>
        </w:rPr>
        <w:t xml:space="preserve"> articles; media reports; or</w:t>
      </w:r>
      <w:r w:rsidRPr="00F33E1C">
        <w:rPr>
          <w:rFonts w:ascii="Times New Roman" w:hAnsi="Times New Roman" w:cs="Times New Roman"/>
          <w:color w:val="auto"/>
        </w:rPr>
        <w:t xml:space="preserve"> presentations to the community, responders, and to public health practitioners at local, regi</w:t>
      </w:r>
      <w:r>
        <w:rPr>
          <w:rFonts w:ascii="Times New Roman" w:hAnsi="Times New Roman" w:cs="Times New Roman"/>
          <w:color w:val="auto"/>
        </w:rPr>
        <w:t>onal, and national conferences.</w:t>
      </w:r>
    </w:p>
    <w:p w14:paraId="4FD286DA" w14:textId="4BD37178" w:rsidR="00360E5E" w:rsidRPr="00360E5E" w:rsidRDefault="001E2857" w:rsidP="00360E5E">
      <w:pPr>
        <w:pStyle w:val="Default"/>
        <w:rPr>
          <w:rFonts w:ascii="Times New Roman" w:hAnsi="Times New Roman" w:cs="Times New Roman"/>
        </w:rPr>
      </w:pPr>
      <w:r w:rsidRPr="00F33E1C">
        <w:rPr>
          <w:rFonts w:ascii="Times New Roman" w:hAnsi="Times New Roman"/>
        </w:rPr>
        <w:t xml:space="preserve">All de-identified records maintained by NCEH after the investigation will be subject </w:t>
      </w:r>
      <w:r w:rsidR="001F67B4">
        <w:rPr>
          <w:rFonts w:ascii="Times New Roman" w:hAnsi="Times New Roman"/>
        </w:rPr>
        <w:t xml:space="preserve">to the CDC Records Control Schedule </w:t>
      </w:r>
      <w:r w:rsidR="00930F80">
        <w:rPr>
          <w:rFonts w:ascii="Times New Roman" w:hAnsi="Times New Roman"/>
        </w:rPr>
        <w:t xml:space="preserve">(CRCS) </w:t>
      </w:r>
      <w:r w:rsidR="001F67B4">
        <w:rPr>
          <w:rFonts w:ascii="Times New Roman" w:hAnsi="Times New Roman"/>
        </w:rPr>
        <w:t>w</w:t>
      </w:r>
      <w:r w:rsidRPr="003F6B23">
        <w:rPr>
          <w:rFonts w:ascii="Times New Roman" w:hAnsi="Times New Roman"/>
        </w:rPr>
        <w:t>hich contains authorized disposition</w:t>
      </w:r>
      <w:r w:rsidRPr="00F33E1C">
        <w:rPr>
          <w:rFonts w:ascii="Times New Roman" w:hAnsi="Times New Roman"/>
        </w:rPr>
        <w:t xml:space="preserve"> instructions for administrative and program records. NCEH is legally required to maintain its program-related records in accordance with CRCS disposition instructions. </w:t>
      </w:r>
      <w:r w:rsidR="00360E5E" w:rsidRPr="00360E5E">
        <w:rPr>
          <w:rFonts w:ascii="Times New Roman" w:hAnsi="Times New Roman" w:cs="Times New Roman"/>
        </w:rPr>
        <w:t xml:space="preserve">For example, research records (datasets, field records, and other information necessary to understand a research project) </w:t>
      </w:r>
      <w:r w:rsidR="00360E5E">
        <w:rPr>
          <w:rFonts w:ascii="Times New Roman" w:hAnsi="Times New Roman" w:cs="Times New Roman"/>
        </w:rPr>
        <w:t xml:space="preserve">may </w:t>
      </w:r>
      <w:r w:rsidR="00360E5E" w:rsidRPr="00360E5E">
        <w:rPr>
          <w:rFonts w:ascii="Times New Roman" w:hAnsi="Times New Roman" w:cs="Times New Roman"/>
        </w:rPr>
        <w:t>have implications or usefulness for future scientific investigations.  These records must be maintained for at least eleven years, but no longer than twenty years, depending upon program need for scientific, legal, or business reference. Transfer to Federal Records Center is authorized in accordance with Code of Federal Regulations storage regulations of electronic records.</w:t>
      </w:r>
    </w:p>
    <w:p w14:paraId="4EE51992" w14:textId="77777777" w:rsidR="00360E5E" w:rsidRPr="00360E5E" w:rsidRDefault="00360E5E" w:rsidP="00360E5E">
      <w:pPr>
        <w:pStyle w:val="Default"/>
        <w:rPr>
          <w:rFonts w:ascii="Times New Roman" w:hAnsi="Times New Roman" w:cs="Times New Roman"/>
        </w:rPr>
      </w:pPr>
    </w:p>
    <w:p w14:paraId="5BE4F148" w14:textId="3EE00B03" w:rsidR="001E2857" w:rsidRPr="00F33E1C" w:rsidRDefault="00360E5E" w:rsidP="00360E5E">
      <w:pPr>
        <w:pStyle w:val="Default"/>
        <w:rPr>
          <w:rFonts w:ascii="Times New Roman" w:hAnsi="Times New Roman"/>
        </w:rPr>
      </w:pPr>
      <w:r>
        <w:rPr>
          <w:rFonts w:ascii="Times New Roman" w:hAnsi="Times New Roman"/>
        </w:rPr>
        <w:t>T</w:t>
      </w:r>
      <w:r w:rsidR="001E2857" w:rsidRPr="00F33E1C">
        <w:rPr>
          <w:rFonts w:ascii="Times New Roman" w:hAnsi="Times New Roman"/>
        </w:rPr>
        <w:t>hese retention periods have a direct impact on completing Freedom of Information Act requests.</w:t>
      </w:r>
    </w:p>
    <w:p w14:paraId="79093770" w14:textId="77777777" w:rsidR="004811E7" w:rsidRDefault="004811E7" w:rsidP="003058E3">
      <w:pPr>
        <w:autoSpaceDE w:val="0"/>
        <w:autoSpaceDN w:val="0"/>
        <w:adjustRightInd w:val="0"/>
        <w:spacing w:after="0" w:line="240" w:lineRule="auto"/>
        <w:rPr>
          <w:rFonts w:ascii="Times New Roman" w:hAnsi="Times New Roman"/>
          <w:sz w:val="24"/>
          <w:szCs w:val="24"/>
        </w:rPr>
      </w:pPr>
    </w:p>
    <w:p w14:paraId="71A0AD2F" w14:textId="77777777" w:rsidR="003058E3" w:rsidRPr="000D1D26" w:rsidRDefault="00066C2A" w:rsidP="003058E3">
      <w:pPr>
        <w:spacing w:after="0" w:line="240" w:lineRule="auto"/>
        <w:rPr>
          <w:rFonts w:ascii="Times New Roman" w:hAnsi="Times New Roman"/>
          <w:b/>
          <w:sz w:val="24"/>
          <w:szCs w:val="24"/>
        </w:rPr>
      </w:pPr>
      <w:r w:rsidRPr="000D1D26">
        <w:rPr>
          <w:rFonts w:ascii="Times New Roman" w:hAnsi="Times New Roman"/>
          <w:b/>
          <w:sz w:val="24"/>
          <w:szCs w:val="24"/>
        </w:rPr>
        <w:t>11. Institutional Review Board (IRB) and Justification for Sensitive Questions</w:t>
      </w:r>
    </w:p>
    <w:p w14:paraId="3C20DAB0" w14:textId="77777777" w:rsidR="003058E3" w:rsidRPr="00F33E1C" w:rsidRDefault="003058E3" w:rsidP="003058E3">
      <w:pPr>
        <w:spacing w:after="0" w:line="240" w:lineRule="auto"/>
        <w:rPr>
          <w:rFonts w:ascii="Times New Roman" w:hAnsi="Times New Roman"/>
          <w:sz w:val="24"/>
          <w:szCs w:val="24"/>
        </w:rPr>
      </w:pPr>
    </w:p>
    <w:p w14:paraId="53725A18" w14:textId="77777777" w:rsidR="003058E3" w:rsidRPr="00F33E1C" w:rsidRDefault="003058E3" w:rsidP="003058E3">
      <w:pPr>
        <w:spacing w:line="240" w:lineRule="auto"/>
        <w:rPr>
          <w:rFonts w:ascii="Times New Roman" w:eastAsia="Arial Unicode MS" w:hAnsi="Times New Roman"/>
          <w:sz w:val="24"/>
          <w:szCs w:val="24"/>
          <w:u w:color="000000"/>
        </w:rPr>
      </w:pPr>
      <w:r w:rsidRPr="00F33E1C">
        <w:rPr>
          <w:rFonts w:ascii="Times New Roman" w:eastAsia="Arial Unicode MS" w:hAnsi="Times New Roman"/>
          <w:sz w:val="24"/>
          <w:szCs w:val="24"/>
          <w:u w:color="000000"/>
        </w:rPr>
        <w:t>The Federal Regulations for Protection of Human Subjects (45 CFR 46) state that “research means a systematic investigation, including research development, testing, and evaluation, designed to develop or contribute to generalizable knowledge.”</w:t>
      </w:r>
    </w:p>
    <w:p w14:paraId="64F7217C" w14:textId="77777777" w:rsidR="000218C8" w:rsidRDefault="00D837A9" w:rsidP="003058E3">
      <w:pPr>
        <w:spacing w:after="0" w:line="240" w:lineRule="auto"/>
        <w:rPr>
          <w:rFonts w:ascii="Times New Roman" w:eastAsia="Arial Unicode MS" w:hAnsi="Times New Roman"/>
          <w:sz w:val="24"/>
          <w:szCs w:val="24"/>
          <w:u w:color="000000"/>
        </w:rPr>
      </w:pPr>
      <w:r w:rsidRPr="00F33E1C">
        <w:rPr>
          <w:rFonts w:ascii="Times New Roman" w:eastAsia="Arial Unicode MS" w:hAnsi="Times New Roman"/>
          <w:sz w:val="24"/>
          <w:szCs w:val="24"/>
          <w:u w:color="000000"/>
        </w:rPr>
        <w:t xml:space="preserve">NCEH </w:t>
      </w:r>
      <w:r w:rsidR="003058E3" w:rsidRPr="00F33E1C">
        <w:rPr>
          <w:rFonts w:ascii="Times New Roman" w:eastAsia="Arial Unicode MS" w:hAnsi="Times New Roman"/>
          <w:sz w:val="24"/>
          <w:szCs w:val="24"/>
          <w:u w:color="000000"/>
        </w:rPr>
        <w:t>investigations</w:t>
      </w:r>
      <w:r w:rsidR="003058E3" w:rsidRPr="00F33E1C">
        <w:rPr>
          <w:rFonts w:ascii="Times New Roman" w:hAnsi="Times New Roman"/>
          <w:sz w:val="24"/>
          <w:szCs w:val="24"/>
        </w:rPr>
        <w:t xml:space="preserve"> will be undertaken to identify, characterize</w:t>
      </w:r>
      <w:r w:rsidR="00B778ED" w:rsidRPr="00F33E1C">
        <w:rPr>
          <w:rFonts w:ascii="Times New Roman" w:hAnsi="Times New Roman"/>
          <w:sz w:val="24"/>
          <w:szCs w:val="24"/>
        </w:rPr>
        <w:t>, and solve a</w:t>
      </w:r>
      <w:r w:rsidR="003058E3" w:rsidRPr="00F33E1C">
        <w:rPr>
          <w:rFonts w:ascii="Times New Roman" w:hAnsi="Times New Roman"/>
          <w:sz w:val="24"/>
          <w:szCs w:val="24"/>
        </w:rPr>
        <w:t xml:space="preserve"> public health problem and the knowledge gained will directly benefit the affected community. </w:t>
      </w:r>
      <w:r w:rsidR="00655A67">
        <w:rPr>
          <w:rFonts w:ascii="Times New Roman" w:hAnsi="Times New Roman"/>
          <w:sz w:val="24"/>
          <w:szCs w:val="24"/>
        </w:rPr>
        <w:t>These in</w:t>
      </w:r>
      <w:r w:rsidR="003058E3" w:rsidRPr="00F33E1C">
        <w:rPr>
          <w:rFonts w:ascii="Times New Roman" w:eastAsia="Arial Unicode MS" w:hAnsi="Times New Roman"/>
          <w:sz w:val="24"/>
          <w:szCs w:val="24"/>
          <w:u w:color="000000"/>
        </w:rPr>
        <w:t>vestigations</w:t>
      </w:r>
      <w:r w:rsidR="00655A67">
        <w:rPr>
          <w:rFonts w:ascii="Times New Roman" w:hAnsi="Times New Roman"/>
          <w:sz w:val="24"/>
          <w:szCs w:val="24"/>
        </w:rPr>
        <w:t xml:space="preserve"> </w:t>
      </w:r>
      <w:r w:rsidR="003058E3" w:rsidRPr="00F33E1C">
        <w:rPr>
          <w:rFonts w:ascii="Times New Roman" w:hAnsi="Times New Roman"/>
          <w:sz w:val="24"/>
          <w:szCs w:val="24"/>
        </w:rPr>
        <w:t>will not be designed to develop or contribute to generalizable knowledge and will not be research investigations.</w:t>
      </w:r>
      <w:r w:rsidR="003058E3" w:rsidRPr="00F33E1C">
        <w:rPr>
          <w:rFonts w:ascii="Times New Roman" w:eastAsia="Arial Unicode MS" w:hAnsi="Times New Roman"/>
          <w:sz w:val="24"/>
          <w:szCs w:val="24"/>
          <w:u w:color="000000"/>
        </w:rPr>
        <w:t xml:space="preserve"> </w:t>
      </w:r>
      <w:r w:rsidR="003058E3" w:rsidRPr="00F33E1C">
        <w:rPr>
          <w:rFonts w:ascii="Times New Roman" w:hAnsi="Times New Roman"/>
          <w:sz w:val="24"/>
          <w:szCs w:val="24"/>
        </w:rPr>
        <w:t>Human subjects review by an Institutional Review Board (IRB) will not be required</w:t>
      </w:r>
      <w:r w:rsidR="000218C8">
        <w:rPr>
          <w:rFonts w:ascii="Times New Roman" w:eastAsia="Arial Unicode MS" w:hAnsi="Times New Roman"/>
          <w:sz w:val="24"/>
          <w:szCs w:val="24"/>
          <w:u w:color="000000"/>
        </w:rPr>
        <w:t>.</w:t>
      </w:r>
    </w:p>
    <w:p w14:paraId="77CC78EC" w14:textId="77777777" w:rsidR="000218C8" w:rsidRDefault="000218C8" w:rsidP="003058E3">
      <w:pPr>
        <w:spacing w:after="0" w:line="240" w:lineRule="auto"/>
        <w:rPr>
          <w:rFonts w:ascii="Times New Roman" w:eastAsia="Arial Unicode MS" w:hAnsi="Times New Roman"/>
          <w:sz w:val="24"/>
          <w:szCs w:val="24"/>
          <w:u w:color="000000"/>
        </w:rPr>
      </w:pPr>
    </w:p>
    <w:p w14:paraId="7A47DEA1" w14:textId="17CB7827" w:rsidR="003058E3" w:rsidRPr="00F33E1C" w:rsidRDefault="003058E3" w:rsidP="003058E3">
      <w:pPr>
        <w:spacing w:after="0" w:line="240" w:lineRule="auto"/>
        <w:rPr>
          <w:rFonts w:ascii="Times New Roman" w:hAnsi="Times New Roman"/>
          <w:sz w:val="24"/>
          <w:szCs w:val="24"/>
          <w:u w:val="single"/>
        </w:rPr>
      </w:pPr>
      <w:r w:rsidRPr="00FD34DF">
        <w:rPr>
          <w:rFonts w:ascii="Times New Roman" w:hAnsi="Times New Roman"/>
          <w:sz w:val="24"/>
          <w:szCs w:val="24"/>
          <w:u w:color="000000"/>
        </w:rPr>
        <w:t>The NCEH/ATSDR research determination</w:t>
      </w:r>
      <w:r w:rsidR="000218C8">
        <w:rPr>
          <w:rFonts w:ascii="Times New Roman" w:hAnsi="Times New Roman"/>
          <w:sz w:val="24"/>
          <w:szCs w:val="24"/>
          <w:u w:color="000000"/>
        </w:rPr>
        <w:t xml:space="preserve"> for </w:t>
      </w:r>
      <w:r w:rsidR="000B04CC">
        <w:rPr>
          <w:rFonts w:ascii="Times New Roman" w:hAnsi="Times New Roman"/>
          <w:sz w:val="24"/>
          <w:szCs w:val="24"/>
          <w:u w:color="000000"/>
        </w:rPr>
        <w:t xml:space="preserve">the </w:t>
      </w:r>
      <w:r w:rsidR="002B634E">
        <w:rPr>
          <w:rFonts w:ascii="Times New Roman" w:hAnsi="Times New Roman"/>
          <w:sz w:val="24"/>
          <w:szCs w:val="24"/>
          <w:u w:color="000000"/>
        </w:rPr>
        <w:t xml:space="preserve">overall </w:t>
      </w:r>
      <w:r w:rsidR="000B04CC">
        <w:rPr>
          <w:rFonts w:ascii="Times New Roman" w:hAnsi="Times New Roman"/>
          <w:sz w:val="24"/>
          <w:szCs w:val="24"/>
          <w:u w:color="000000"/>
        </w:rPr>
        <w:t xml:space="preserve">scope of </w:t>
      </w:r>
      <w:r w:rsidR="000218C8">
        <w:rPr>
          <w:rFonts w:ascii="Times New Roman" w:hAnsi="Times New Roman"/>
          <w:sz w:val="24"/>
          <w:szCs w:val="24"/>
          <w:u w:color="000000"/>
        </w:rPr>
        <w:t xml:space="preserve">this </w:t>
      </w:r>
      <w:r w:rsidR="00A42781">
        <w:rPr>
          <w:rFonts w:ascii="Times New Roman" w:hAnsi="Times New Roman"/>
          <w:sz w:val="24"/>
          <w:szCs w:val="24"/>
          <w:u w:color="000000"/>
        </w:rPr>
        <w:t xml:space="preserve">Generic </w:t>
      </w:r>
      <w:r w:rsidR="00CE1F6E">
        <w:rPr>
          <w:rFonts w:ascii="Times New Roman" w:hAnsi="Times New Roman"/>
          <w:sz w:val="24"/>
          <w:szCs w:val="24"/>
          <w:u w:color="000000"/>
        </w:rPr>
        <w:t>ICR</w:t>
      </w:r>
      <w:r w:rsidR="00A42781">
        <w:rPr>
          <w:rFonts w:ascii="Times New Roman" w:hAnsi="Times New Roman"/>
          <w:sz w:val="24"/>
          <w:szCs w:val="24"/>
          <w:u w:color="000000"/>
        </w:rPr>
        <w:t xml:space="preserve"> </w:t>
      </w:r>
      <w:r w:rsidRPr="00FD34DF">
        <w:rPr>
          <w:rFonts w:ascii="Times New Roman" w:hAnsi="Times New Roman"/>
          <w:sz w:val="24"/>
          <w:szCs w:val="24"/>
          <w:u w:color="000000"/>
        </w:rPr>
        <w:t xml:space="preserve">is attached (Attachment </w:t>
      </w:r>
      <w:r w:rsidR="003C309E">
        <w:rPr>
          <w:rFonts w:ascii="Times New Roman" w:hAnsi="Times New Roman"/>
          <w:sz w:val="24"/>
          <w:szCs w:val="24"/>
          <w:u w:color="000000"/>
        </w:rPr>
        <w:t>K</w:t>
      </w:r>
      <w:r w:rsidRPr="00FD34DF">
        <w:rPr>
          <w:rFonts w:ascii="Times New Roman" w:hAnsi="Times New Roman"/>
          <w:sz w:val="24"/>
          <w:szCs w:val="24"/>
          <w:u w:color="000000"/>
        </w:rPr>
        <w:t>).</w:t>
      </w:r>
      <w:r w:rsidR="000D1D26">
        <w:rPr>
          <w:rFonts w:ascii="Times New Roman" w:hAnsi="Times New Roman"/>
          <w:sz w:val="24"/>
          <w:szCs w:val="24"/>
          <w:u w:color="000000"/>
        </w:rPr>
        <w:t xml:space="preserve"> A</w:t>
      </w:r>
      <w:r w:rsidR="00203689">
        <w:rPr>
          <w:rFonts w:ascii="Times New Roman" w:hAnsi="Times New Roman"/>
          <w:sz w:val="24"/>
          <w:szCs w:val="24"/>
          <w:u w:color="000000"/>
        </w:rPr>
        <w:t xml:space="preserve">n investigation-specific </w:t>
      </w:r>
      <w:r w:rsidR="000D1D26">
        <w:rPr>
          <w:rFonts w:ascii="Times New Roman" w:hAnsi="Times New Roman"/>
          <w:sz w:val="24"/>
          <w:szCs w:val="24"/>
          <w:u w:color="000000"/>
        </w:rPr>
        <w:t xml:space="preserve">research determination will be included </w:t>
      </w:r>
      <w:r w:rsidR="002C520D">
        <w:rPr>
          <w:rFonts w:ascii="Times New Roman" w:hAnsi="Times New Roman"/>
          <w:sz w:val="24"/>
          <w:szCs w:val="24"/>
          <w:u w:color="000000"/>
        </w:rPr>
        <w:t xml:space="preserve">in </w:t>
      </w:r>
      <w:r w:rsidR="000D1D26">
        <w:rPr>
          <w:rFonts w:ascii="Times New Roman" w:hAnsi="Times New Roman"/>
          <w:sz w:val="24"/>
          <w:szCs w:val="24"/>
          <w:u w:color="000000"/>
        </w:rPr>
        <w:t>each GenIC submi</w:t>
      </w:r>
      <w:r w:rsidR="000B04CC">
        <w:rPr>
          <w:rFonts w:ascii="Times New Roman" w:hAnsi="Times New Roman"/>
          <w:sz w:val="24"/>
          <w:szCs w:val="24"/>
          <w:u w:color="000000"/>
        </w:rPr>
        <w:t>ssion</w:t>
      </w:r>
      <w:r w:rsidR="000D1D26">
        <w:rPr>
          <w:rFonts w:ascii="Times New Roman" w:hAnsi="Times New Roman"/>
          <w:sz w:val="24"/>
          <w:szCs w:val="24"/>
          <w:u w:color="000000"/>
        </w:rPr>
        <w:t>.</w:t>
      </w:r>
    </w:p>
    <w:p w14:paraId="3234D215" w14:textId="77777777" w:rsidR="003058E3" w:rsidRPr="00F33E1C" w:rsidRDefault="003058E3" w:rsidP="003058E3">
      <w:pPr>
        <w:autoSpaceDE w:val="0"/>
        <w:autoSpaceDN w:val="0"/>
        <w:adjustRightInd w:val="0"/>
        <w:spacing w:after="0" w:line="240" w:lineRule="auto"/>
        <w:rPr>
          <w:rFonts w:ascii="Times New Roman" w:hAnsi="Times New Roman"/>
          <w:color w:val="000000"/>
          <w:sz w:val="24"/>
          <w:szCs w:val="24"/>
        </w:rPr>
      </w:pPr>
    </w:p>
    <w:p w14:paraId="64D5FA19" w14:textId="3A80A792" w:rsidR="003058E3" w:rsidRPr="00F33E1C" w:rsidRDefault="003058E3" w:rsidP="003058E3">
      <w:pPr>
        <w:pStyle w:val="Default"/>
        <w:spacing w:after="200"/>
        <w:rPr>
          <w:rFonts w:ascii="Times New Roman" w:hAnsi="Times New Roman" w:cs="Times New Roman"/>
          <w:color w:val="auto"/>
        </w:rPr>
      </w:pPr>
      <w:r w:rsidRPr="00F33E1C">
        <w:rPr>
          <w:rFonts w:ascii="Times New Roman" w:hAnsi="Times New Roman" w:cs="Times New Roman"/>
          <w:color w:val="auto"/>
        </w:rPr>
        <w:t>Some</w:t>
      </w:r>
      <w:r w:rsidR="00D837A9" w:rsidRPr="00F33E1C">
        <w:rPr>
          <w:rFonts w:ascii="Times New Roman" w:hAnsi="Times New Roman" w:cs="Times New Roman"/>
          <w:color w:val="auto"/>
        </w:rPr>
        <w:t xml:space="preserve"> of the NCEH</w:t>
      </w:r>
      <w:r w:rsidRPr="00F33E1C">
        <w:rPr>
          <w:rFonts w:ascii="Times New Roman" w:hAnsi="Times New Roman" w:cs="Times New Roman"/>
          <w:color w:val="auto"/>
        </w:rPr>
        <w:t xml:space="preserve"> investigation respondents may find some of the questions asked during an investigation to be sensitive, such as medical conditions, pregnancy status, or race/ethnicity.</w:t>
      </w:r>
      <w:r w:rsidRPr="00F33E1C">
        <w:rPr>
          <w:rFonts w:ascii="Times New Roman" w:hAnsi="Times New Roman" w:cs="Times New Roman"/>
        </w:rPr>
        <w:t xml:space="preserve"> </w:t>
      </w:r>
      <w:r w:rsidR="003F6B23">
        <w:rPr>
          <w:rFonts w:ascii="Times New Roman" w:hAnsi="Times New Roman" w:cs="Times New Roman"/>
        </w:rPr>
        <w:t>The responses to these questions, if asked, are needed to assess health risks from drinking water provided by private wells.</w:t>
      </w:r>
    </w:p>
    <w:p w14:paraId="7FE86DC4" w14:textId="77777777" w:rsidR="003058E3" w:rsidRDefault="003058E3" w:rsidP="003058E3">
      <w:pPr>
        <w:tabs>
          <w:tab w:val="left" w:pos="1545"/>
        </w:tabs>
        <w:spacing w:after="0" w:line="240" w:lineRule="auto"/>
        <w:rPr>
          <w:rFonts w:ascii="Times New Roman" w:hAnsi="Times New Roman"/>
          <w:sz w:val="24"/>
          <w:szCs w:val="24"/>
        </w:rPr>
      </w:pPr>
      <w:r w:rsidRPr="00F33E1C">
        <w:rPr>
          <w:rFonts w:ascii="Times New Roman" w:hAnsi="Times New Roman"/>
          <w:sz w:val="24"/>
          <w:szCs w:val="24"/>
        </w:rPr>
        <w:t>Social security numbers will not be needed and will not be collected.</w:t>
      </w:r>
    </w:p>
    <w:p w14:paraId="1AC87405" w14:textId="77777777" w:rsidR="003058E3" w:rsidRPr="00F33E1C" w:rsidRDefault="003058E3" w:rsidP="003058E3">
      <w:pPr>
        <w:pStyle w:val="Default"/>
        <w:rPr>
          <w:rFonts w:ascii="Times New Roman" w:hAnsi="Times New Roman" w:cs="Times New Roman"/>
          <w:b/>
          <w:color w:val="auto"/>
        </w:rPr>
      </w:pPr>
    </w:p>
    <w:p w14:paraId="171799EB" w14:textId="77777777" w:rsidR="003058E3" w:rsidRPr="00F33E1C" w:rsidRDefault="003058E3" w:rsidP="003058E3">
      <w:pPr>
        <w:pStyle w:val="Default"/>
        <w:rPr>
          <w:rFonts w:ascii="Times New Roman" w:hAnsi="Times New Roman" w:cs="Times New Roman"/>
          <w:b/>
          <w:color w:val="auto"/>
        </w:rPr>
      </w:pPr>
      <w:r w:rsidRPr="00F33E1C">
        <w:rPr>
          <w:rFonts w:ascii="Times New Roman" w:hAnsi="Times New Roman" w:cs="Times New Roman"/>
          <w:b/>
          <w:color w:val="auto"/>
        </w:rPr>
        <w:t xml:space="preserve">12. Estimates of Annualized Burden Hours and Costs </w:t>
      </w:r>
    </w:p>
    <w:p w14:paraId="7F788563" w14:textId="77777777" w:rsidR="003058E3" w:rsidRPr="00F33E1C" w:rsidRDefault="003058E3" w:rsidP="003058E3">
      <w:pPr>
        <w:pStyle w:val="Default"/>
        <w:rPr>
          <w:rFonts w:ascii="Times New Roman" w:hAnsi="Times New Roman" w:cs="Times New Roman"/>
          <w:color w:val="4F81BD" w:themeColor="accent1"/>
        </w:rPr>
      </w:pPr>
    </w:p>
    <w:p w14:paraId="4DA22FEF" w14:textId="73CD32DA" w:rsidR="003B77D2" w:rsidRPr="00F33E1C" w:rsidRDefault="003B77D2"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33E1C">
        <w:rPr>
          <w:rFonts w:ascii="Times New Roman" w:hAnsi="Times New Roman"/>
          <w:sz w:val="24"/>
          <w:szCs w:val="24"/>
        </w:rPr>
        <w:t>NCEH estimates the total number of in</w:t>
      </w:r>
      <w:r w:rsidR="00FA75F7">
        <w:rPr>
          <w:rFonts w:ascii="Times New Roman" w:hAnsi="Times New Roman"/>
          <w:sz w:val="24"/>
          <w:szCs w:val="24"/>
        </w:rPr>
        <w:t>vestigations</w:t>
      </w:r>
      <w:r w:rsidRPr="00F33E1C">
        <w:rPr>
          <w:rFonts w:ascii="Times New Roman" w:hAnsi="Times New Roman"/>
          <w:sz w:val="24"/>
          <w:szCs w:val="24"/>
        </w:rPr>
        <w:t xml:space="preserve"> per year to be no more than 10.  Each </w:t>
      </w:r>
      <w:r w:rsidR="00BC2EEE">
        <w:rPr>
          <w:rFonts w:ascii="Times New Roman" w:hAnsi="Times New Roman"/>
          <w:sz w:val="24"/>
          <w:szCs w:val="24"/>
        </w:rPr>
        <w:t>investigation</w:t>
      </w:r>
      <w:r w:rsidR="003F6B23">
        <w:rPr>
          <w:rFonts w:ascii="Times New Roman" w:hAnsi="Times New Roman"/>
          <w:sz w:val="24"/>
          <w:szCs w:val="24"/>
        </w:rPr>
        <w:t xml:space="preserve"> will</w:t>
      </w:r>
      <w:r w:rsidR="00116F4E">
        <w:rPr>
          <w:rFonts w:ascii="Times New Roman" w:hAnsi="Times New Roman"/>
          <w:sz w:val="24"/>
          <w:szCs w:val="24"/>
        </w:rPr>
        <w:t xml:space="preserve"> collect information </w:t>
      </w:r>
      <w:r w:rsidR="00116F4E" w:rsidRPr="00F33E1C">
        <w:rPr>
          <w:rFonts w:ascii="Times New Roman" w:hAnsi="Times New Roman"/>
          <w:sz w:val="24"/>
          <w:szCs w:val="24"/>
        </w:rPr>
        <w:t>i</w:t>
      </w:r>
      <w:r w:rsidR="00116F4E">
        <w:rPr>
          <w:rFonts w:ascii="Times New Roman" w:hAnsi="Times New Roman"/>
          <w:sz w:val="24"/>
          <w:szCs w:val="24"/>
        </w:rPr>
        <w:t xml:space="preserve">n </w:t>
      </w:r>
      <w:r w:rsidRPr="00F33E1C">
        <w:rPr>
          <w:rFonts w:ascii="Times New Roman" w:hAnsi="Times New Roman"/>
          <w:sz w:val="24"/>
          <w:szCs w:val="24"/>
        </w:rPr>
        <w:t>one or more limited geographic locations targeting private well owners</w:t>
      </w:r>
      <w:r w:rsidR="00BC2EEE">
        <w:rPr>
          <w:rFonts w:ascii="Times New Roman" w:hAnsi="Times New Roman"/>
          <w:sz w:val="24"/>
          <w:szCs w:val="24"/>
        </w:rPr>
        <w:t xml:space="preserve">, as defined by the requesting </w:t>
      </w:r>
      <w:r w:rsidR="00343191">
        <w:rPr>
          <w:rFonts w:ascii="Times New Roman" w:hAnsi="Times New Roman"/>
          <w:sz w:val="24"/>
          <w:szCs w:val="24"/>
        </w:rPr>
        <w:t>entity</w:t>
      </w:r>
      <w:r w:rsidRPr="00F33E1C">
        <w:rPr>
          <w:rFonts w:ascii="Times New Roman" w:hAnsi="Times New Roman"/>
          <w:sz w:val="24"/>
          <w:szCs w:val="24"/>
        </w:rPr>
        <w:t xml:space="preserve">. </w:t>
      </w:r>
    </w:p>
    <w:p w14:paraId="6215BF29" w14:textId="77777777" w:rsidR="003B77D2" w:rsidRPr="00F33E1C" w:rsidRDefault="003B77D2"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14:paraId="364E5969" w14:textId="14B81303" w:rsidR="00DC08D4" w:rsidRDefault="003B77D2" w:rsidP="003B77D2">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r w:rsidRPr="00F33E1C">
        <w:rPr>
          <w:rFonts w:ascii="Times New Roman" w:hAnsi="Times New Roman"/>
          <w:bCs/>
          <w:iCs/>
          <w:sz w:val="24"/>
          <w:szCs w:val="24"/>
        </w:rPr>
        <w:t>The estimated burden to responden</w:t>
      </w:r>
      <w:r w:rsidR="00B74FA6">
        <w:rPr>
          <w:rFonts w:ascii="Times New Roman" w:hAnsi="Times New Roman"/>
          <w:bCs/>
          <w:iCs/>
          <w:sz w:val="24"/>
          <w:szCs w:val="24"/>
        </w:rPr>
        <w:t>ts is summarized in Table 12.1</w:t>
      </w:r>
      <w:r w:rsidRPr="00F33E1C">
        <w:rPr>
          <w:rFonts w:ascii="Times New Roman" w:hAnsi="Times New Roman"/>
          <w:bCs/>
          <w:iCs/>
          <w:sz w:val="24"/>
          <w:szCs w:val="24"/>
        </w:rPr>
        <w:t xml:space="preserve"> below. </w:t>
      </w:r>
      <w:r w:rsidR="003F6B23">
        <w:rPr>
          <w:rFonts w:ascii="Times New Roman" w:hAnsi="Times New Roman"/>
          <w:bCs/>
          <w:iCs/>
          <w:sz w:val="24"/>
          <w:szCs w:val="24"/>
        </w:rPr>
        <w:t xml:space="preserve">Our technical assistance activities with </w:t>
      </w:r>
      <w:r w:rsidR="00A25CCF">
        <w:rPr>
          <w:rFonts w:ascii="Times New Roman" w:hAnsi="Times New Roman"/>
          <w:bCs/>
          <w:iCs/>
          <w:sz w:val="24"/>
          <w:szCs w:val="24"/>
        </w:rPr>
        <w:t>the Navajo Nation i</w:t>
      </w:r>
      <w:r w:rsidR="003F6B23">
        <w:rPr>
          <w:rFonts w:ascii="Times New Roman" w:hAnsi="Times New Roman"/>
          <w:bCs/>
          <w:iCs/>
          <w:sz w:val="24"/>
          <w:szCs w:val="24"/>
        </w:rPr>
        <w:t xml:space="preserve">nvolved between 200 and 300 </w:t>
      </w:r>
      <w:r w:rsidR="00C50A7C">
        <w:rPr>
          <w:rFonts w:ascii="Times New Roman" w:hAnsi="Times New Roman"/>
          <w:bCs/>
          <w:iCs/>
          <w:sz w:val="24"/>
          <w:szCs w:val="24"/>
        </w:rPr>
        <w:t xml:space="preserve">respondents, and this was sufficient to support development of public health education materials about drinking water quality.  Thus, we plan to recruit </w:t>
      </w:r>
      <w:r w:rsidR="003E44AC">
        <w:rPr>
          <w:rFonts w:ascii="Times New Roman" w:hAnsi="Times New Roman"/>
          <w:bCs/>
          <w:iCs/>
          <w:sz w:val="24"/>
          <w:szCs w:val="24"/>
        </w:rPr>
        <w:t>on average about</w:t>
      </w:r>
      <w:r w:rsidR="00C50A7C">
        <w:rPr>
          <w:rFonts w:ascii="Times New Roman" w:hAnsi="Times New Roman"/>
          <w:bCs/>
          <w:iCs/>
          <w:sz w:val="24"/>
          <w:szCs w:val="24"/>
        </w:rPr>
        <w:t xml:space="preserve"> 200 respondents for </w:t>
      </w:r>
      <w:r w:rsidR="008360B1">
        <w:rPr>
          <w:rFonts w:ascii="Times New Roman" w:hAnsi="Times New Roman"/>
          <w:bCs/>
          <w:iCs/>
          <w:sz w:val="24"/>
          <w:szCs w:val="24"/>
        </w:rPr>
        <w:t>each</w:t>
      </w:r>
      <w:r w:rsidR="00F65254">
        <w:rPr>
          <w:rFonts w:ascii="Times New Roman" w:hAnsi="Times New Roman"/>
          <w:bCs/>
          <w:iCs/>
          <w:sz w:val="24"/>
          <w:szCs w:val="24"/>
        </w:rPr>
        <w:t xml:space="preserve"> </w:t>
      </w:r>
      <w:r w:rsidR="00C50A7C">
        <w:rPr>
          <w:rFonts w:ascii="Times New Roman" w:hAnsi="Times New Roman"/>
          <w:bCs/>
          <w:iCs/>
          <w:sz w:val="24"/>
          <w:szCs w:val="24"/>
        </w:rPr>
        <w:t xml:space="preserve">investigation covered under this Generic ICR. </w:t>
      </w:r>
      <w:r w:rsidRPr="00F33E1C">
        <w:rPr>
          <w:rFonts w:ascii="Times New Roman" w:hAnsi="Times New Roman"/>
          <w:bCs/>
          <w:iCs/>
          <w:sz w:val="24"/>
          <w:szCs w:val="24"/>
        </w:rPr>
        <w:t xml:space="preserve">The estimated </w:t>
      </w:r>
      <w:r w:rsidR="00BC2EEE">
        <w:rPr>
          <w:rFonts w:ascii="Times New Roman" w:hAnsi="Times New Roman"/>
          <w:bCs/>
          <w:iCs/>
          <w:sz w:val="24"/>
          <w:szCs w:val="24"/>
        </w:rPr>
        <w:t xml:space="preserve">annual </w:t>
      </w:r>
      <w:r w:rsidRPr="00F33E1C">
        <w:rPr>
          <w:rFonts w:ascii="Times New Roman" w:hAnsi="Times New Roman"/>
          <w:bCs/>
          <w:iCs/>
          <w:sz w:val="24"/>
          <w:szCs w:val="24"/>
        </w:rPr>
        <w:t xml:space="preserve">number of respondents </w:t>
      </w:r>
      <w:r w:rsidR="00BC2EEE">
        <w:rPr>
          <w:rFonts w:ascii="Times New Roman" w:hAnsi="Times New Roman"/>
          <w:bCs/>
          <w:iCs/>
          <w:sz w:val="24"/>
          <w:szCs w:val="24"/>
        </w:rPr>
        <w:t xml:space="preserve">(n=2,000) </w:t>
      </w:r>
      <w:r w:rsidRPr="00F33E1C">
        <w:rPr>
          <w:rFonts w:ascii="Times New Roman" w:hAnsi="Times New Roman"/>
          <w:bCs/>
          <w:iCs/>
          <w:sz w:val="24"/>
          <w:szCs w:val="24"/>
        </w:rPr>
        <w:t>has been calculated based on the following assumptions: a) 250</w:t>
      </w:r>
      <w:r w:rsidR="00EC3297">
        <w:rPr>
          <w:rFonts w:ascii="Times New Roman" w:hAnsi="Times New Roman"/>
          <w:bCs/>
          <w:iCs/>
          <w:sz w:val="24"/>
          <w:szCs w:val="24"/>
        </w:rPr>
        <w:t xml:space="preserve"> </w:t>
      </w:r>
      <w:r w:rsidRPr="00F33E1C">
        <w:rPr>
          <w:rFonts w:ascii="Times New Roman" w:hAnsi="Times New Roman"/>
          <w:bCs/>
          <w:iCs/>
          <w:sz w:val="24"/>
          <w:szCs w:val="24"/>
        </w:rPr>
        <w:t>respondents</w:t>
      </w:r>
      <w:r w:rsidR="00BC2EEE">
        <w:rPr>
          <w:rFonts w:ascii="Times New Roman" w:hAnsi="Times New Roman"/>
          <w:bCs/>
          <w:iCs/>
          <w:sz w:val="24"/>
          <w:szCs w:val="24"/>
        </w:rPr>
        <w:t xml:space="preserve"> per investigation</w:t>
      </w:r>
      <w:r w:rsidR="00EC3297" w:rsidRPr="00F33E1C">
        <w:rPr>
          <w:rFonts w:ascii="Times New Roman" w:hAnsi="Times New Roman"/>
          <w:bCs/>
          <w:iCs/>
          <w:sz w:val="24"/>
          <w:szCs w:val="24"/>
        </w:rPr>
        <w:t xml:space="preserve"> </w:t>
      </w:r>
      <w:r w:rsidRPr="00F33E1C">
        <w:rPr>
          <w:rFonts w:ascii="Times New Roman" w:hAnsi="Times New Roman"/>
          <w:bCs/>
          <w:iCs/>
          <w:sz w:val="24"/>
          <w:szCs w:val="24"/>
        </w:rPr>
        <w:t xml:space="preserve">must be screened to yield </w:t>
      </w:r>
      <w:r w:rsidR="00BC2EEE">
        <w:rPr>
          <w:rFonts w:ascii="Times New Roman" w:hAnsi="Times New Roman"/>
          <w:bCs/>
          <w:iCs/>
          <w:sz w:val="24"/>
          <w:szCs w:val="24"/>
        </w:rPr>
        <w:t xml:space="preserve">200 </w:t>
      </w:r>
      <w:r w:rsidRPr="00F33E1C">
        <w:rPr>
          <w:rFonts w:ascii="Times New Roman" w:hAnsi="Times New Roman"/>
          <w:bCs/>
          <w:iCs/>
          <w:sz w:val="24"/>
          <w:szCs w:val="24"/>
        </w:rPr>
        <w:t>r</w:t>
      </w:r>
      <w:r w:rsidR="0004251A">
        <w:rPr>
          <w:rFonts w:ascii="Times New Roman" w:hAnsi="Times New Roman"/>
          <w:bCs/>
          <w:iCs/>
          <w:sz w:val="24"/>
          <w:szCs w:val="24"/>
        </w:rPr>
        <w:t xml:space="preserve">espondents; b) 10 </w:t>
      </w:r>
      <w:r w:rsidR="00BC2EEE">
        <w:rPr>
          <w:rFonts w:ascii="Times New Roman" w:hAnsi="Times New Roman"/>
          <w:bCs/>
          <w:iCs/>
          <w:sz w:val="24"/>
          <w:szCs w:val="24"/>
        </w:rPr>
        <w:t>investigations per year</w:t>
      </w:r>
      <w:r w:rsidR="005D4D4F">
        <w:rPr>
          <w:rFonts w:ascii="Times New Roman" w:hAnsi="Times New Roman"/>
          <w:bCs/>
          <w:iCs/>
          <w:sz w:val="24"/>
          <w:szCs w:val="24"/>
        </w:rPr>
        <w:t>.</w:t>
      </w:r>
      <w:r w:rsidR="003E4D83">
        <w:rPr>
          <w:rFonts w:ascii="Times New Roman" w:hAnsi="Times New Roman"/>
          <w:bCs/>
          <w:iCs/>
          <w:sz w:val="24"/>
          <w:szCs w:val="24"/>
        </w:rPr>
        <w:t xml:space="preserve"> </w:t>
      </w:r>
      <w:r w:rsidR="003E4D83" w:rsidRPr="00F33E1C">
        <w:rPr>
          <w:rFonts w:ascii="Times New Roman" w:hAnsi="Times New Roman"/>
          <w:sz w:val="24"/>
          <w:szCs w:val="24"/>
        </w:rPr>
        <w:t xml:space="preserve">The total annualized </w:t>
      </w:r>
      <w:r w:rsidR="00383D86">
        <w:rPr>
          <w:rFonts w:ascii="Times New Roman" w:hAnsi="Times New Roman"/>
          <w:sz w:val="24"/>
          <w:szCs w:val="24"/>
        </w:rPr>
        <w:t xml:space="preserve">time </w:t>
      </w:r>
      <w:r w:rsidR="003E4D83" w:rsidRPr="00F33E1C">
        <w:rPr>
          <w:rFonts w:ascii="Times New Roman" w:hAnsi="Times New Roman"/>
          <w:sz w:val="24"/>
          <w:szCs w:val="24"/>
        </w:rPr>
        <w:t>burden to r</w:t>
      </w:r>
      <w:r w:rsidR="003E4D83">
        <w:rPr>
          <w:rFonts w:ascii="Times New Roman" w:hAnsi="Times New Roman"/>
          <w:sz w:val="24"/>
          <w:szCs w:val="24"/>
        </w:rPr>
        <w:t>espondents is estimated at 2,084</w:t>
      </w:r>
      <w:r w:rsidR="003E4D83" w:rsidRPr="00F33E1C">
        <w:rPr>
          <w:rFonts w:ascii="Times New Roman" w:hAnsi="Times New Roman"/>
          <w:sz w:val="24"/>
          <w:szCs w:val="24"/>
        </w:rPr>
        <w:t xml:space="preserve"> hours.</w:t>
      </w:r>
    </w:p>
    <w:p w14:paraId="15B7AE0A" w14:textId="77777777" w:rsidR="00DC08D4" w:rsidRDefault="00DC08D4" w:rsidP="003B77D2">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p>
    <w:p w14:paraId="4C950768" w14:textId="77777777" w:rsidR="003B77D2" w:rsidRPr="00F33E1C" w:rsidRDefault="008D3472"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12.1</w:t>
      </w:r>
      <w:r w:rsidR="003B77D2" w:rsidRPr="00F33E1C">
        <w:rPr>
          <w:rFonts w:ascii="Times New Roman" w:hAnsi="Times New Roman"/>
          <w:sz w:val="24"/>
          <w:szCs w:val="24"/>
        </w:rPr>
        <w:t>: Estimated Annualized Burden to Respondents</w:t>
      </w:r>
    </w:p>
    <w:tbl>
      <w:tblPr>
        <w:tblStyle w:val="TableGrid"/>
        <w:tblW w:w="0" w:type="auto"/>
        <w:tblCellMar>
          <w:left w:w="115" w:type="dxa"/>
          <w:right w:w="115" w:type="dxa"/>
        </w:tblCellMar>
        <w:tblLook w:val="01E0" w:firstRow="1" w:lastRow="1" w:firstColumn="1" w:lastColumn="1" w:noHBand="0" w:noVBand="0"/>
      </w:tblPr>
      <w:tblGrid>
        <w:gridCol w:w="1625"/>
        <w:gridCol w:w="1569"/>
        <w:gridCol w:w="1565"/>
        <w:gridCol w:w="1555"/>
        <w:gridCol w:w="1528"/>
        <w:gridCol w:w="1508"/>
      </w:tblGrid>
      <w:tr w:rsidR="003B77D2" w:rsidRPr="006C1D0B" w14:paraId="326ABF5E" w14:textId="77777777" w:rsidTr="0045622D">
        <w:trPr>
          <w:cantSplit/>
          <w:tblHeader/>
        </w:trPr>
        <w:tc>
          <w:tcPr>
            <w:tcW w:w="1668" w:type="dxa"/>
            <w:vAlign w:val="center"/>
          </w:tcPr>
          <w:p w14:paraId="0C4A0138" w14:textId="77777777" w:rsidR="003B77D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sz w:val="20"/>
                <w:szCs w:val="20"/>
              </w:rPr>
            </w:pPr>
            <w:r w:rsidRPr="008D3472">
              <w:rPr>
                <w:rFonts w:ascii="Times New Roman" w:hAnsi="Times New Roman"/>
                <w:b/>
                <w:sz w:val="20"/>
                <w:szCs w:val="20"/>
              </w:rPr>
              <w:t>Type of Respondents</w:t>
            </w:r>
          </w:p>
        </w:tc>
        <w:tc>
          <w:tcPr>
            <w:tcW w:w="1559" w:type="dxa"/>
            <w:vAlign w:val="center"/>
          </w:tcPr>
          <w:p w14:paraId="0E1D6C0E" w14:textId="77777777" w:rsidR="003B77D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sz w:val="20"/>
                <w:szCs w:val="20"/>
              </w:rPr>
            </w:pPr>
            <w:r w:rsidRPr="008D3472">
              <w:rPr>
                <w:rFonts w:ascii="Times New Roman" w:hAnsi="Times New Roman"/>
                <w:b/>
                <w:sz w:val="20"/>
                <w:szCs w:val="20"/>
              </w:rPr>
              <w:t>Form Name</w:t>
            </w:r>
          </w:p>
        </w:tc>
        <w:tc>
          <w:tcPr>
            <w:tcW w:w="1554" w:type="dxa"/>
            <w:vAlign w:val="center"/>
          </w:tcPr>
          <w:p w14:paraId="19C71D18" w14:textId="77777777" w:rsidR="003B77D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sz w:val="20"/>
                <w:szCs w:val="20"/>
              </w:rPr>
            </w:pPr>
            <w:r w:rsidRPr="008D3472">
              <w:rPr>
                <w:rFonts w:ascii="Times New Roman" w:hAnsi="Times New Roman"/>
                <w:b/>
                <w:sz w:val="20"/>
                <w:szCs w:val="20"/>
              </w:rPr>
              <w:t>No. of Respondents</w:t>
            </w:r>
          </w:p>
        </w:tc>
        <w:tc>
          <w:tcPr>
            <w:tcW w:w="1541" w:type="dxa"/>
            <w:vAlign w:val="center"/>
          </w:tcPr>
          <w:p w14:paraId="06B3EA8E" w14:textId="77777777" w:rsidR="003B77D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sz w:val="20"/>
                <w:szCs w:val="20"/>
              </w:rPr>
            </w:pPr>
            <w:r w:rsidRPr="008D3472">
              <w:rPr>
                <w:rFonts w:ascii="Times New Roman" w:hAnsi="Times New Roman"/>
                <w:b/>
                <w:sz w:val="20"/>
                <w:szCs w:val="20"/>
              </w:rPr>
              <w:t>No. of Responses per Respondent</w:t>
            </w:r>
          </w:p>
        </w:tc>
        <w:tc>
          <w:tcPr>
            <w:tcW w:w="1506" w:type="dxa"/>
            <w:vAlign w:val="center"/>
          </w:tcPr>
          <w:p w14:paraId="3F39EBFA" w14:textId="77777777" w:rsidR="003B77D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sz w:val="20"/>
                <w:szCs w:val="20"/>
              </w:rPr>
            </w:pPr>
            <w:r w:rsidRPr="008D3472">
              <w:rPr>
                <w:rFonts w:ascii="Times New Roman" w:hAnsi="Times New Roman"/>
                <w:b/>
                <w:sz w:val="20"/>
                <w:szCs w:val="20"/>
              </w:rPr>
              <w:t>Average Burden per Response  (in hours)</w:t>
            </w:r>
          </w:p>
        </w:tc>
        <w:tc>
          <w:tcPr>
            <w:tcW w:w="1522" w:type="dxa"/>
            <w:vAlign w:val="center"/>
          </w:tcPr>
          <w:p w14:paraId="2C1EBDF9" w14:textId="77777777" w:rsidR="003B77D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sz w:val="20"/>
                <w:szCs w:val="20"/>
              </w:rPr>
            </w:pPr>
            <w:r w:rsidRPr="008D3472">
              <w:rPr>
                <w:rFonts w:ascii="Times New Roman" w:hAnsi="Times New Roman"/>
                <w:b/>
                <w:sz w:val="20"/>
                <w:szCs w:val="20"/>
              </w:rPr>
              <w:t>Total Burden Hours</w:t>
            </w:r>
          </w:p>
        </w:tc>
      </w:tr>
      <w:tr w:rsidR="0045622D" w:rsidRPr="006C1D0B" w14:paraId="479E4918" w14:textId="77777777" w:rsidTr="00DC08D4">
        <w:trPr>
          <w:cantSplit/>
        </w:trPr>
        <w:tc>
          <w:tcPr>
            <w:tcW w:w="1345" w:type="dxa"/>
            <w:vMerge w:val="restart"/>
            <w:vAlign w:val="center"/>
          </w:tcPr>
          <w:p w14:paraId="443C3EAF" w14:textId="3F9E8F6C" w:rsidR="0045622D" w:rsidRPr="006C1D0B" w:rsidRDefault="001F67B4" w:rsidP="001F67B4">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r>
              <w:rPr>
                <w:rFonts w:ascii="Times New Roman" w:hAnsi="Times New Roman"/>
                <w:sz w:val="20"/>
                <w:szCs w:val="20"/>
              </w:rPr>
              <w:t>Adult</w:t>
            </w:r>
            <w:r w:rsidR="00D22D94">
              <w:rPr>
                <w:rFonts w:ascii="Times New Roman" w:hAnsi="Times New Roman"/>
                <w:sz w:val="20"/>
                <w:szCs w:val="20"/>
              </w:rPr>
              <w:t>s</w:t>
            </w:r>
            <w:r>
              <w:rPr>
                <w:rFonts w:ascii="Times New Roman" w:hAnsi="Times New Roman"/>
                <w:sz w:val="20"/>
                <w:szCs w:val="20"/>
              </w:rPr>
              <w:t xml:space="preserve"> at least 18 years old using  a private well for tap water</w:t>
            </w:r>
          </w:p>
        </w:tc>
        <w:tc>
          <w:tcPr>
            <w:tcW w:w="1601" w:type="dxa"/>
            <w:vAlign w:val="center"/>
          </w:tcPr>
          <w:p w14:paraId="563D88A1" w14:textId="77777777" w:rsidR="0045622D" w:rsidRPr="006C1D0B" w:rsidRDefault="0045622D" w:rsidP="002D729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Screening Form</w:t>
            </w:r>
          </w:p>
        </w:tc>
        <w:tc>
          <w:tcPr>
            <w:tcW w:w="1601" w:type="dxa"/>
            <w:vAlign w:val="center"/>
          </w:tcPr>
          <w:p w14:paraId="11AF6627" w14:textId="77777777" w:rsidR="0045622D" w:rsidRPr="006C1D0B" w:rsidRDefault="0045622D" w:rsidP="002D729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2,500</w:t>
            </w:r>
          </w:p>
        </w:tc>
        <w:tc>
          <w:tcPr>
            <w:tcW w:w="1601" w:type="dxa"/>
            <w:vAlign w:val="center"/>
          </w:tcPr>
          <w:p w14:paraId="10EE9B98" w14:textId="77777777" w:rsidR="0045622D" w:rsidRPr="006C1D0B" w:rsidRDefault="0045622D" w:rsidP="002D729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1</w:t>
            </w:r>
          </w:p>
        </w:tc>
        <w:tc>
          <w:tcPr>
            <w:tcW w:w="1601" w:type="dxa"/>
            <w:vAlign w:val="center"/>
          </w:tcPr>
          <w:p w14:paraId="2CD3DD41" w14:textId="77777777" w:rsidR="0045622D" w:rsidRPr="006C1D0B" w:rsidRDefault="0045622D" w:rsidP="002D729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6/60</w:t>
            </w:r>
          </w:p>
        </w:tc>
        <w:tc>
          <w:tcPr>
            <w:tcW w:w="1601" w:type="dxa"/>
            <w:vAlign w:val="center"/>
          </w:tcPr>
          <w:p w14:paraId="56DBC195" w14:textId="77777777" w:rsidR="0045622D" w:rsidRPr="006C1D0B" w:rsidRDefault="0045622D" w:rsidP="002D729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250</w:t>
            </w:r>
          </w:p>
        </w:tc>
      </w:tr>
      <w:tr w:rsidR="0045622D" w:rsidRPr="006C1D0B" w14:paraId="6419B2C3" w14:textId="77777777" w:rsidTr="0045622D">
        <w:trPr>
          <w:cantSplit/>
        </w:trPr>
        <w:tc>
          <w:tcPr>
            <w:tcW w:w="1668" w:type="dxa"/>
            <w:vMerge/>
            <w:vAlign w:val="center"/>
          </w:tcPr>
          <w:p w14:paraId="1E670100" w14:textId="4D9427C4" w:rsidR="0045622D" w:rsidRPr="006C1D0B" w:rsidRDefault="0045622D" w:rsidP="00FA75F7">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p>
        </w:tc>
        <w:tc>
          <w:tcPr>
            <w:tcW w:w="1559" w:type="dxa"/>
            <w:vAlign w:val="center"/>
          </w:tcPr>
          <w:p w14:paraId="709E2A53" w14:textId="77777777" w:rsidR="0045622D" w:rsidRPr="006C1D0B" w:rsidRDefault="0045622D" w:rsidP="00DC08D4">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Questionnaire</w:t>
            </w:r>
          </w:p>
        </w:tc>
        <w:tc>
          <w:tcPr>
            <w:tcW w:w="1554" w:type="dxa"/>
            <w:vAlign w:val="center"/>
          </w:tcPr>
          <w:p w14:paraId="7ECA9D5F" w14:textId="77777777" w:rsidR="0045622D" w:rsidRPr="006C1D0B" w:rsidRDefault="0045622D" w:rsidP="00DC08D4">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2,000</w:t>
            </w:r>
          </w:p>
        </w:tc>
        <w:tc>
          <w:tcPr>
            <w:tcW w:w="1541" w:type="dxa"/>
            <w:vAlign w:val="center"/>
          </w:tcPr>
          <w:p w14:paraId="3E044304" w14:textId="77777777" w:rsidR="0045622D" w:rsidRPr="006C1D0B" w:rsidRDefault="0045622D" w:rsidP="00DC08D4">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1</w:t>
            </w:r>
          </w:p>
        </w:tc>
        <w:tc>
          <w:tcPr>
            <w:tcW w:w="1506" w:type="dxa"/>
            <w:vAlign w:val="center"/>
          </w:tcPr>
          <w:p w14:paraId="448BD3E2" w14:textId="77777777" w:rsidR="0045622D" w:rsidRPr="006C1D0B" w:rsidRDefault="0045622D" w:rsidP="00DC08D4">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35/60</w:t>
            </w:r>
          </w:p>
        </w:tc>
        <w:tc>
          <w:tcPr>
            <w:tcW w:w="1522" w:type="dxa"/>
            <w:vAlign w:val="center"/>
          </w:tcPr>
          <w:p w14:paraId="434C605D" w14:textId="77777777" w:rsidR="0045622D" w:rsidRPr="006C1D0B" w:rsidRDefault="0045622D" w:rsidP="00DC08D4">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1,167</w:t>
            </w:r>
          </w:p>
        </w:tc>
      </w:tr>
      <w:tr w:rsidR="0045622D" w:rsidRPr="006C1D0B" w14:paraId="1F2C1779" w14:textId="77777777" w:rsidTr="0045622D">
        <w:trPr>
          <w:cantSplit/>
        </w:trPr>
        <w:tc>
          <w:tcPr>
            <w:tcW w:w="1668" w:type="dxa"/>
            <w:vMerge/>
            <w:vAlign w:val="center"/>
          </w:tcPr>
          <w:p w14:paraId="72D831DF" w14:textId="4F52CD7F" w:rsidR="0045622D" w:rsidRPr="008D3472" w:rsidRDefault="0045622D" w:rsidP="00FA75F7">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p>
        </w:tc>
        <w:tc>
          <w:tcPr>
            <w:tcW w:w="1559" w:type="dxa"/>
            <w:vAlign w:val="center"/>
          </w:tcPr>
          <w:p w14:paraId="6AFE2E9F" w14:textId="2CDF6EDD" w:rsidR="0045622D" w:rsidRPr="008D3472" w:rsidRDefault="0045622D" w:rsidP="00DC08D4">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Urine Specimen and Tap Water Sample Collection</w:t>
            </w:r>
          </w:p>
        </w:tc>
        <w:tc>
          <w:tcPr>
            <w:tcW w:w="1554" w:type="dxa"/>
            <w:vAlign w:val="center"/>
          </w:tcPr>
          <w:p w14:paraId="344F7848" w14:textId="12ACDD32" w:rsidR="0045622D" w:rsidRPr="008D3472" w:rsidRDefault="0045622D" w:rsidP="00DC08D4">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2,000</w:t>
            </w:r>
          </w:p>
        </w:tc>
        <w:tc>
          <w:tcPr>
            <w:tcW w:w="1541" w:type="dxa"/>
            <w:vAlign w:val="center"/>
          </w:tcPr>
          <w:p w14:paraId="67C638FF" w14:textId="0CAE7087" w:rsidR="0045622D" w:rsidRPr="008D3472" w:rsidRDefault="0045622D" w:rsidP="00DC08D4">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1</w:t>
            </w:r>
          </w:p>
        </w:tc>
        <w:tc>
          <w:tcPr>
            <w:tcW w:w="1506" w:type="dxa"/>
            <w:vAlign w:val="center"/>
          </w:tcPr>
          <w:p w14:paraId="3A857C7B" w14:textId="6D6E54CC" w:rsidR="0045622D" w:rsidRPr="008D3472" w:rsidRDefault="002D002F" w:rsidP="00DC08D4">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20</w:t>
            </w:r>
            <w:r w:rsidR="0045622D">
              <w:rPr>
                <w:rFonts w:ascii="Times New Roman" w:hAnsi="Times New Roman"/>
                <w:sz w:val="20"/>
                <w:szCs w:val="20"/>
              </w:rPr>
              <w:t>/60</w:t>
            </w:r>
          </w:p>
        </w:tc>
        <w:tc>
          <w:tcPr>
            <w:tcW w:w="1522" w:type="dxa"/>
            <w:vAlign w:val="center"/>
          </w:tcPr>
          <w:p w14:paraId="2E055F77" w14:textId="7A7C8C91" w:rsidR="0045622D" w:rsidRPr="008D3472" w:rsidRDefault="002D002F" w:rsidP="00DC08D4">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667</w:t>
            </w:r>
          </w:p>
        </w:tc>
      </w:tr>
      <w:tr w:rsidR="003B77D2" w:rsidRPr="006C1D0B" w14:paraId="592DCD57" w14:textId="77777777" w:rsidTr="0045622D">
        <w:trPr>
          <w:cantSplit/>
        </w:trPr>
        <w:tc>
          <w:tcPr>
            <w:tcW w:w="1668" w:type="dxa"/>
          </w:tcPr>
          <w:p w14:paraId="48EBE105" w14:textId="77777777" w:rsidR="003B77D2" w:rsidRPr="006C1D0B" w:rsidRDefault="008D3472" w:rsidP="003B77D2">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r w:rsidRPr="008D3472">
              <w:rPr>
                <w:rFonts w:ascii="Times New Roman" w:hAnsi="Times New Roman"/>
                <w:sz w:val="20"/>
                <w:szCs w:val="20"/>
              </w:rPr>
              <w:t>TOTAL</w:t>
            </w:r>
          </w:p>
        </w:tc>
        <w:tc>
          <w:tcPr>
            <w:tcW w:w="6160" w:type="dxa"/>
            <w:gridSpan w:val="4"/>
          </w:tcPr>
          <w:p w14:paraId="1C24522A" w14:textId="77777777" w:rsidR="003B77D2" w:rsidRPr="006C1D0B" w:rsidRDefault="003B77D2" w:rsidP="003B77D2">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p>
        </w:tc>
        <w:tc>
          <w:tcPr>
            <w:tcW w:w="1522" w:type="dxa"/>
            <w:vAlign w:val="center"/>
          </w:tcPr>
          <w:p w14:paraId="3870C477" w14:textId="2FA83D6B" w:rsidR="003B77D2" w:rsidRPr="006C1D0B" w:rsidRDefault="002D002F" w:rsidP="002D729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2,084</w:t>
            </w:r>
          </w:p>
        </w:tc>
      </w:tr>
    </w:tbl>
    <w:p w14:paraId="29F42EED" w14:textId="77777777" w:rsidR="005B301C" w:rsidRDefault="005B301C"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14:paraId="142A2BB8" w14:textId="444FA178" w:rsidR="003B77D2" w:rsidRPr="00F33E1C" w:rsidRDefault="003B77D2"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33E1C">
        <w:rPr>
          <w:rFonts w:ascii="Times New Roman" w:hAnsi="Times New Roman"/>
          <w:sz w:val="24"/>
          <w:szCs w:val="24"/>
        </w:rPr>
        <w:t xml:space="preserve">There are no costs to respondents except their time to participate in the </w:t>
      </w:r>
      <w:r w:rsidR="00A73B7E">
        <w:rPr>
          <w:rFonts w:ascii="Times New Roman" w:hAnsi="Times New Roman"/>
          <w:sz w:val="24"/>
          <w:szCs w:val="24"/>
        </w:rPr>
        <w:t xml:space="preserve">investigation </w:t>
      </w:r>
      <w:r w:rsidRPr="00F33E1C">
        <w:rPr>
          <w:rFonts w:ascii="Times New Roman" w:hAnsi="Times New Roman"/>
          <w:sz w:val="24"/>
          <w:szCs w:val="24"/>
        </w:rPr>
        <w:t xml:space="preserve">activities. </w:t>
      </w:r>
    </w:p>
    <w:p w14:paraId="30DBE027" w14:textId="77777777" w:rsidR="003B77D2" w:rsidRPr="00F33E1C" w:rsidRDefault="003B77D2"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14:paraId="4784AF70" w14:textId="409F29A5" w:rsidR="00B74FA6" w:rsidRDefault="00DE704C" w:rsidP="003B77D2">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r w:rsidRPr="00F33E1C">
        <w:rPr>
          <w:rFonts w:ascii="Times New Roman" w:hAnsi="Times New Roman"/>
          <w:sz w:val="24"/>
          <w:szCs w:val="24"/>
        </w:rPr>
        <w:t xml:space="preserve">Table </w:t>
      </w:r>
      <w:r w:rsidR="00B74FA6">
        <w:rPr>
          <w:rFonts w:ascii="Times New Roman" w:hAnsi="Times New Roman"/>
          <w:sz w:val="24"/>
          <w:szCs w:val="24"/>
        </w:rPr>
        <w:t>12.2</w:t>
      </w:r>
      <w:r w:rsidR="003B77D2" w:rsidRPr="00F33E1C">
        <w:rPr>
          <w:rFonts w:ascii="Times New Roman" w:hAnsi="Times New Roman"/>
          <w:sz w:val="24"/>
          <w:szCs w:val="24"/>
        </w:rPr>
        <w:t xml:space="preserve"> presents the calculations for </w:t>
      </w:r>
      <w:r w:rsidR="00114B19">
        <w:rPr>
          <w:rFonts w:ascii="Times New Roman" w:hAnsi="Times New Roman"/>
          <w:sz w:val="24"/>
          <w:szCs w:val="24"/>
        </w:rPr>
        <w:t xml:space="preserve">the </w:t>
      </w:r>
      <w:r w:rsidR="003B77D2" w:rsidRPr="00F33E1C">
        <w:rPr>
          <w:rFonts w:ascii="Times New Roman" w:hAnsi="Times New Roman"/>
          <w:sz w:val="24"/>
          <w:szCs w:val="24"/>
        </w:rPr>
        <w:t xml:space="preserve">cost of respondents’ time using the general public’s mean hourly wages. Hourly mean wage information is from the U.S. Department of Labor's Bureau of Labor Statistics website, using the 2014 National Occupational Employment and Wage Estimates for the United States. Since this data collection would include </w:t>
      </w:r>
      <w:r w:rsidR="00095DED">
        <w:rPr>
          <w:rFonts w:ascii="Times New Roman" w:hAnsi="Times New Roman"/>
          <w:sz w:val="24"/>
          <w:szCs w:val="24"/>
        </w:rPr>
        <w:t>respondents from</w:t>
      </w:r>
      <w:r w:rsidR="003B77D2" w:rsidRPr="00F33E1C">
        <w:rPr>
          <w:rFonts w:ascii="Times New Roman" w:hAnsi="Times New Roman"/>
          <w:sz w:val="24"/>
          <w:szCs w:val="24"/>
        </w:rPr>
        <w:t xml:space="preserve"> the general public, an average rate for all occupations, or $22.71 per hour, is used</w:t>
      </w:r>
      <w:r w:rsidR="00B15BFE">
        <w:rPr>
          <w:rFonts w:ascii="Times New Roman" w:hAnsi="Times New Roman"/>
          <w:sz w:val="24"/>
          <w:szCs w:val="24"/>
        </w:rPr>
        <w:t xml:space="preserve">. </w:t>
      </w:r>
      <w:r w:rsidR="006A1DC3">
        <w:rPr>
          <w:rFonts w:ascii="Times New Roman" w:hAnsi="Times New Roman"/>
          <w:sz w:val="24"/>
          <w:szCs w:val="24"/>
        </w:rPr>
        <w:t xml:space="preserve"> </w:t>
      </w:r>
      <w:r w:rsidR="003B77D2" w:rsidRPr="00F33E1C">
        <w:rPr>
          <w:rFonts w:ascii="Times New Roman" w:hAnsi="Times New Roman"/>
          <w:sz w:val="24"/>
          <w:szCs w:val="24"/>
        </w:rPr>
        <w:t>The total estimated annualized respondent cost (including t</w:t>
      </w:r>
      <w:r w:rsidR="00095DED">
        <w:rPr>
          <w:rFonts w:ascii="Times New Roman" w:hAnsi="Times New Roman"/>
          <w:sz w:val="24"/>
          <w:szCs w:val="24"/>
        </w:rPr>
        <w:t>he screening form) is $</w:t>
      </w:r>
      <w:r w:rsidR="002D002F">
        <w:rPr>
          <w:rFonts w:ascii="Times New Roman" w:hAnsi="Times New Roman"/>
          <w:sz w:val="24"/>
          <w:szCs w:val="24"/>
        </w:rPr>
        <w:t>47,329</w:t>
      </w:r>
      <w:r w:rsidR="003B77D2" w:rsidRPr="00F33E1C">
        <w:rPr>
          <w:rFonts w:ascii="Times New Roman" w:hAnsi="Times New Roman"/>
          <w:sz w:val="24"/>
          <w:szCs w:val="24"/>
        </w:rPr>
        <w:t>.</w:t>
      </w:r>
      <w:r w:rsidR="00D117D3">
        <w:rPr>
          <w:rFonts w:ascii="Times New Roman" w:hAnsi="Times New Roman"/>
          <w:sz w:val="24"/>
          <w:szCs w:val="24"/>
        </w:rPr>
        <w:t xml:space="preserve"> </w:t>
      </w:r>
      <w:r w:rsidR="003B77D2" w:rsidRPr="00F33E1C">
        <w:rPr>
          <w:rFonts w:ascii="Times New Roman" w:hAnsi="Times New Roman"/>
          <w:bCs/>
          <w:iCs/>
          <w:sz w:val="24"/>
          <w:szCs w:val="24"/>
        </w:rPr>
        <w:t>The total respondent cost</w:t>
      </w:r>
      <w:r w:rsidRPr="00F33E1C">
        <w:rPr>
          <w:rFonts w:ascii="Times New Roman" w:hAnsi="Times New Roman"/>
          <w:bCs/>
          <w:iCs/>
          <w:sz w:val="24"/>
          <w:szCs w:val="24"/>
        </w:rPr>
        <w:t xml:space="preserve">s are summarized in Table </w:t>
      </w:r>
      <w:r w:rsidR="00B74FA6">
        <w:rPr>
          <w:rFonts w:ascii="Times New Roman" w:hAnsi="Times New Roman"/>
          <w:bCs/>
          <w:iCs/>
          <w:sz w:val="24"/>
          <w:szCs w:val="24"/>
        </w:rPr>
        <w:t>12.2</w:t>
      </w:r>
      <w:r w:rsidR="003B77D2" w:rsidRPr="00F33E1C">
        <w:rPr>
          <w:rFonts w:ascii="Times New Roman" w:hAnsi="Times New Roman"/>
          <w:bCs/>
          <w:iCs/>
          <w:sz w:val="24"/>
          <w:szCs w:val="24"/>
        </w:rPr>
        <w:t xml:space="preserve"> below.</w:t>
      </w:r>
    </w:p>
    <w:p w14:paraId="484B3CF2" w14:textId="77777777" w:rsidR="00B74FA6" w:rsidRDefault="00B74FA6" w:rsidP="003B77D2">
      <w:pPr>
        <w:tabs>
          <w:tab w:val="left" w:pos="-1080"/>
          <w:tab w:val="left" w:pos="-720"/>
          <w:tab w:val="left" w:pos="0"/>
          <w:tab w:val="left" w:pos="450"/>
          <w:tab w:val="left" w:pos="720"/>
          <w:tab w:val="left" w:pos="2160"/>
        </w:tabs>
        <w:spacing w:after="0" w:line="240" w:lineRule="auto"/>
        <w:rPr>
          <w:rFonts w:ascii="Times New Roman" w:hAnsi="Times New Roman"/>
          <w:b/>
          <w:sz w:val="24"/>
          <w:szCs w:val="24"/>
        </w:rPr>
      </w:pPr>
    </w:p>
    <w:p w14:paraId="096DE0EA" w14:textId="77777777" w:rsidR="00984112" w:rsidRPr="00F33E1C" w:rsidRDefault="008D3472" w:rsidP="003B77D2">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12.2</w:t>
      </w:r>
      <w:r w:rsidR="003B77D2" w:rsidRPr="00F33E1C">
        <w:rPr>
          <w:rFonts w:ascii="Times New Roman" w:hAnsi="Times New Roman"/>
          <w:sz w:val="24"/>
          <w:szCs w:val="24"/>
        </w:rPr>
        <w:t>: Estimate</w:t>
      </w:r>
      <w:r w:rsidR="00DE704C" w:rsidRPr="00F33E1C">
        <w:rPr>
          <w:rFonts w:ascii="Times New Roman" w:hAnsi="Times New Roman"/>
          <w:sz w:val="24"/>
          <w:szCs w:val="24"/>
        </w:rPr>
        <w:t>d Annualized Burden Costs</w:t>
      </w:r>
      <w:r w:rsidR="003B77D2" w:rsidRPr="00F33E1C">
        <w:rPr>
          <w:rFonts w:ascii="Times New Roman" w:hAnsi="Times New Roman"/>
          <w:sz w:val="24"/>
          <w:szCs w:val="24"/>
        </w:rPr>
        <w:t xml:space="preserve"> </w:t>
      </w:r>
    </w:p>
    <w:tbl>
      <w:tblPr>
        <w:tblStyle w:val="TableGrid"/>
        <w:tblW w:w="5000" w:type="pct"/>
        <w:tblLayout w:type="fixed"/>
        <w:tblLook w:val="01E0" w:firstRow="1" w:lastRow="1" w:firstColumn="1" w:lastColumn="1" w:noHBand="0" w:noVBand="0"/>
      </w:tblPr>
      <w:tblGrid>
        <w:gridCol w:w="1346"/>
        <w:gridCol w:w="1143"/>
        <w:gridCol w:w="1144"/>
        <w:gridCol w:w="1143"/>
        <w:gridCol w:w="1144"/>
        <w:gridCol w:w="1143"/>
        <w:gridCol w:w="1144"/>
        <w:gridCol w:w="1143"/>
      </w:tblGrid>
      <w:tr w:rsidR="00303D82" w:rsidRPr="006C1D0B" w14:paraId="3F875746" w14:textId="77777777" w:rsidTr="0045622D">
        <w:trPr>
          <w:cantSplit/>
          <w:trHeight w:val="1461"/>
          <w:tblHeader/>
        </w:trPr>
        <w:tc>
          <w:tcPr>
            <w:tcW w:w="720" w:type="pct"/>
            <w:vAlign w:val="center"/>
          </w:tcPr>
          <w:p w14:paraId="575A320B"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sz w:val="20"/>
                <w:szCs w:val="20"/>
              </w:rPr>
              <w:t>Type of Respondents</w:t>
            </w:r>
          </w:p>
        </w:tc>
        <w:tc>
          <w:tcPr>
            <w:tcW w:w="611" w:type="pct"/>
            <w:vAlign w:val="center"/>
          </w:tcPr>
          <w:p w14:paraId="3A3EC350"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Form Name</w:t>
            </w:r>
          </w:p>
        </w:tc>
        <w:tc>
          <w:tcPr>
            <w:tcW w:w="612" w:type="pct"/>
            <w:vAlign w:val="center"/>
          </w:tcPr>
          <w:p w14:paraId="14D79C72"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No. of Respondents</w:t>
            </w:r>
          </w:p>
        </w:tc>
        <w:tc>
          <w:tcPr>
            <w:tcW w:w="611" w:type="pct"/>
            <w:vAlign w:val="center"/>
          </w:tcPr>
          <w:p w14:paraId="2E9986B9"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No. Responses per</w:t>
            </w:r>
          </w:p>
          <w:p w14:paraId="52D241B8"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Respondent</w:t>
            </w:r>
          </w:p>
        </w:tc>
        <w:tc>
          <w:tcPr>
            <w:tcW w:w="612" w:type="pct"/>
            <w:vAlign w:val="center"/>
          </w:tcPr>
          <w:p w14:paraId="673019DD"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Avg. Burden per Response (in hours)</w:t>
            </w:r>
          </w:p>
        </w:tc>
        <w:tc>
          <w:tcPr>
            <w:tcW w:w="611" w:type="pct"/>
            <w:vAlign w:val="center"/>
          </w:tcPr>
          <w:p w14:paraId="3B5D3450"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Total Burden Hours</w:t>
            </w:r>
          </w:p>
        </w:tc>
        <w:tc>
          <w:tcPr>
            <w:tcW w:w="612" w:type="pct"/>
            <w:vAlign w:val="center"/>
          </w:tcPr>
          <w:p w14:paraId="01ACB2AA"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Hourly Wage Rate</w:t>
            </w:r>
          </w:p>
        </w:tc>
        <w:tc>
          <w:tcPr>
            <w:tcW w:w="611" w:type="pct"/>
            <w:vAlign w:val="center"/>
          </w:tcPr>
          <w:p w14:paraId="594ECFD0" w14:textId="77777777" w:rsidR="00984112" w:rsidRPr="006C1D0B" w:rsidRDefault="008D3472" w:rsidP="002D729A">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sidRPr="008D3472">
              <w:rPr>
                <w:rFonts w:ascii="Times New Roman" w:hAnsi="Times New Roman"/>
                <w:b/>
                <w:bCs/>
                <w:sz w:val="20"/>
                <w:szCs w:val="20"/>
              </w:rPr>
              <w:t>Total Respondent Costs</w:t>
            </w:r>
          </w:p>
        </w:tc>
      </w:tr>
      <w:tr w:rsidR="0045622D" w:rsidRPr="006C1D0B" w14:paraId="37CB5F8E" w14:textId="77777777" w:rsidTr="0045622D">
        <w:trPr>
          <w:cantSplit/>
          <w:trHeight w:val="530"/>
        </w:trPr>
        <w:tc>
          <w:tcPr>
            <w:tcW w:w="720" w:type="pct"/>
            <w:vMerge w:val="restart"/>
            <w:vAlign w:val="center"/>
          </w:tcPr>
          <w:p w14:paraId="462BFACF" w14:textId="3862C14E" w:rsidR="0045622D" w:rsidRPr="006C1D0B" w:rsidRDefault="00D22D94" w:rsidP="003B77D2">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r>
              <w:rPr>
                <w:rFonts w:ascii="Times New Roman" w:hAnsi="Times New Roman"/>
                <w:sz w:val="20"/>
                <w:szCs w:val="20"/>
              </w:rPr>
              <w:t>Adults at least 18 years old using a private well for tap water</w:t>
            </w:r>
          </w:p>
        </w:tc>
        <w:tc>
          <w:tcPr>
            <w:tcW w:w="611" w:type="pct"/>
            <w:vAlign w:val="center"/>
          </w:tcPr>
          <w:p w14:paraId="2041C3FF" w14:textId="77777777" w:rsidR="0045622D" w:rsidRPr="006C1D0B" w:rsidRDefault="0045622D" w:rsidP="002D729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 xml:space="preserve">Screening </w:t>
            </w:r>
            <w:r>
              <w:rPr>
                <w:rFonts w:ascii="Times New Roman" w:hAnsi="Times New Roman"/>
                <w:sz w:val="20"/>
                <w:szCs w:val="20"/>
              </w:rPr>
              <w:t>Form</w:t>
            </w:r>
          </w:p>
        </w:tc>
        <w:tc>
          <w:tcPr>
            <w:tcW w:w="612" w:type="pct"/>
            <w:vAlign w:val="center"/>
          </w:tcPr>
          <w:p w14:paraId="6D299610" w14:textId="77777777" w:rsidR="0045622D" w:rsidRPr="006C1D0B" w:rsidRDefault="0045622D" w:rsidP="00303D82">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2,500</w:t>
            </w:r>
          </w:p>
        </w:tc>
        <w:tc>
          <w:tcPr>
            <w:tcW w:w="611" w:type="pct"/>
            <w:vAlign w:val="center"/>
          </w:tcPr>
          <w:p w14:paraId="0765B64C" w14:textId="77777777" w:rsidR="0045622D" w:rsidRPr="006C1D0B" w:rsidRDefault="0045622D" w:rsidP="00303D82">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1</w:t>
            </w:r>
          </w:p>
        </w:tc>
        <w:tc>
          <w:tcPr>
            <w:tcW w:w="612" w:type="pct"/>
            <w:vAlign w:val="center"/>
          </w:tcPr>
          <w:p w14:paraId="3612A310" w14:textId="77777777" w:rsidR="0045622D" w:rsidRPr="006C1D0B" w:rsidRDefault="0045622D" w:rsidP="002D729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6/60</w:t>
            </w:r>
          </w:p>
        </w:tc>
        <w:tc>
          <w:tcPr>
            <w:tcW w:w="611" w:type="pct"/>
            <w:vAlign w:val="center"/>
          </w:tcPr>
          <w:p w14:paraId="040668DE" w14:textId="77777777" w:rsidR="0045622D" w:rsidRPr="006C1D0B" w:rsidRDefault="0045622D" w:rsidP="002D729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250</w:t>
            </w:r>
          </w:p>
        </w:tc>
        <w:tc>
          <w:tcPr>
            <w:tcW w:w="612" w:type="pct"/>
            <w:vAlign w:val="center"/>
          </w:tcPr>
          <w:p w14:paraId="04F1CE24" w14:textId="77777777" w:rsidR="0045622D" w:rsidRPr="006C1D0B" w:rsidRDefault="0045622D" w:rsidP="002D729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$22.71</w:t>
            </w:r>
          </w:p>
        </w:tc>
        <w:tc>
          <w:tcPr>
            <w:tcW w:w="611" w:type="pct"/>
            <w:vAlign w:val="center"/>
          </w:tcPr>
          <w:p w14:paraId="4B7DE51D" w14:textId="5B9EC577" w:rsidR="0045622D" w:rsidRPr="006C1D0B" w:rsidRDefault="0045622D" w:rsidP="002D729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$ 5,678</w:t>
            </w:r>
          </w:p>
        </w:tc>
      </w:tr>
      <w:tr w:rsidR="0045622D" w:rsidRPr="006C1D0B" w14:paraId="71ED340F" w14:textId="77777777" w:rsidTr="0045622D">
        <w:trPr>
          <w:cantSplit/>
          <w:trHeight w:val="434"/>
        </w:trPr>
        <w:tc>
          <w:tcPr>
            <w:tcW w:w="720" w:type="pct"/>
            <w:vMerge/>
            <w:vAlign w:val="center"/>
          </w:tcPr>
          <w:p w14:paraId="101D9225" w14:textId="475B44E9" w:rsidR="0045622D" w:rsidRPr="006C1D0B" w:rsidRDefault="0045622D" w:rsidP="003B77D2">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p>
        </w:tc>
        <w:tc>
          <w:tcPr>
            <w:tcW w:w="611" w:type="pct"/>
            <w:vAlign w:val="center"/>
          </w:tcPr>
          <w:p w14:paraId="597C5AD3" w14:textId="77777777" w:rsidR="0045622D" w:rsidRPr="006C1D0B" w:rsidRDefault="0045622D" w:rsidP="0045622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Questionnaire</w:t>
            </w:r>
          </w:p>
        </w:tc>
        <w:tc>
          <w:tcPr>
            <w:tcW w:w="612" w:type="pct"/>
            <w:vAlign w:val="center"/>
          </w:tcPr>
          <w:p w14:paraId="4C512841" w14:textId="77777777" w:rsidR="0045622D" w:rsidRPr="006C1D0B" w:rsidRDefault="0045622D" w:rsidP="00303D82">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2,000</w:t>
            </w:r>
          </w:p>
        </w:tc>
        <w:tc>
          <w:tcPr>
            <w:tcW w:w="611" w:type="pct"/>
            <w:vAlign w:val="center"/>
          </w:tcPr>
          <w:p w14:paraId="7B2B74BD" w14:textId="77777777" w:rsidR="0045622D" w:rsidRPr="006C1D0B" w:rsidRDefault="0045622D" w:rsidP="00303D82">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1</w:t>
            </w:r>
          </w:p>
        </w:tc>
        <w:tc>
          <w:tcPr>
            <w:tcW w:w="612" w:type="pct"/>
            <w:vAlign w:val="center"/>
          </w:tcPr>
          <w:p w14:paraId="72AB7C2F" w14:textId="00EDBDEF" w:rsidR="0045622D" w:rsidRPr="006C1D0B" w:rsidRDefault="00611D62" w:rsidP="0045622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35</w:t>
            </w:r>
            <w:r w:rsidR="0045622D" w:rsidRPr="008D3472">
              <w:rPr>
                <w:rFonts w:ascii="Times New Roman" w:hAnsi="Times New Roman"/>
                <w:sz w:val="20"/>
                <w:szCs w:val="20"/>
              </w:rPr>
              <w:t>/60</w:t>
            </w:r>
          </w:p>
        </w:tc>
        <w:tc>
          <w:tcPr>
            <w:tcW w:w="611" w:type="pct"/>
            <w:vAlign w:val="center"/>
          </w:tcPr>
          <w:p w14:paraId="37C7FE2D" w14:textId="77777777" w:rsidR="0045622D" w:rsidRPr="006C1D0B" w:rsidRDefault="0045622D" w:rsidP="0045622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1,167</w:t>
            </w:r>
          </w:p>
        </w:tc>
        <w:tc>
          <w:tcPr>
            <w:tcW w:w="612" w:type="pct"/>
            <w:vAlign w:val="center"/>
          </w:tcPr>
          <w:p w14:paraId="0E6EDBCB" w14:textId="77777777" w:rsidR="0045622D" w:rsidRPr="006C1D0B" w:rsidRDefault="0045622D" w:rsidP="0045622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$22.71</w:t>
            </w:r>
          </w:p>
        </w:tc>
        <w:tc>
          <w:tcPr>
            <w:tcW w:w="611" w:type="pct"/>
            <w:vAlign w:val="center"/>
          </w:tcPr>
          <w:p w14:paraId="4DF2AD3F" w14:textId="750A435D" w:rsidR="0045622D" w:rsidRPr="006C1D0B" w:rsidRDefault="0045622D" w:rsidP="0045622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$26,503</w:t>
            </w:r>
          </w:p>
        </w:tc>
      </w:tr>
      <w:tr w:rsidR="0045622D" w:rsidRPr="006C1D0B" w14:paraId="70E39C61" w14:textId="77777777" w:rsidTr="0045622D">
        <w:trPr>
          <w:cantSplit/>
          <w:trHeight w:val="434"/>
        </w:trPr>
        <w:tc>
          <w:tcPr>
            <w:tcW w:w="720" w:type="pct"/>
            <w:vMerge/>
            <w:vAlign w:val="center"/>
          </w:tcPr>
          <w:p w14:paraId="73B6581E" w14:textId="391BE9CA" w:rsidR="0045622D" w:rsidRPr="008D3472" w:rsidRDefault="0045622D" w:rsidP="0045622D">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p>
        </w:tc>
        <w:tc>
          <w:tcPr>
            <w:tcW w:w="611" w:type="pct"/>
            <w:vAlign w:val="center"/>
          </w:tcPr>
          <w:p w14:paraId="355F6DA9" w14:textId="6179588A" w:rsidR="0045622D" w:rsidRPr="008D3472" w:rsidRDefault="0045622D" w:rsidP="0045622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Urine Specimen and Tap Water Sample Collection</w:t>
            </w:r>
          </w:p>
        </w:tc>
        <w:tc>
          <w:tcPr>
            <w:tcW w:w="612" w:type="pct"/>
            <w:vAlign w:val="center"/>
          </w:tcPr>
          <w:p w14:paraId="28FEC27D" w14:textId="0746904F" w:rsidR="0045622D" w:rsidRPr="006C1D0B" w:rsidDel="00303D82" w:rsidRDefault="0045622D" w:rsidP="0045622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2,000</w:t>
            </w:r>
          </w:p>
        </w:tc>
        <w:tc>
          <w:tcPr>
            <w:tcW w:w="611" w:type="pct"/>
            <w:vAlign w:val="center"/>
          </w:tcPr>
          <w:p w14:paraId="507803EF" w14:textId="391AE8F0" w:rsidR="0045622D" w:rsidRPr="006C1D0B" w:rsidDel="00303D82" w:rsidRDefault="0045622D" w:rsidP="0045622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1</w:t>
            </w:r>
          </w:p>
        </w:tc>
        <w:tc>
          <w:tcPr>
            <w:tcW w:w="612" w:type="pct"/>
            <w:vAlign w:val="center"/>
          </w:tcPr>
          <w:p w14:paraId="273BCF74" w14:textId="5007766F" w:rsidR="0045622D" w:rsidRPr="006C1D0B" w:rsidDel="00303D82" w:rsidRDefault="002D002F" w:rsidP="0045622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20</w:t>
            </w:r>
            <w:r w:rsidR="0045622D">
              <w:rPr>
                <w:rFonts w:ascii="Times New Roman" w:hAnsi="Times New Roman"/>
                <w:sz w:val="20"/>
                <w:szCs w:val="20"/>
              </w:rPr>
              <w:t>/60</w:t>
            </w:r>
          </w:p>
        </w:tc>
        <w:tc>
          <w:tcPr>
            <w:tcW w:w="611" w:type="pct"/>
            <w:vAlign w:val="center"/>
          </w:tcPr>
          <w:p w14:paraId="3C9250A2" w14:textId="495762DB" w:rsidR="0045622D" w:rsidRPr="008D3472" w:rsidRDefault="002D002F" w:rsidP="0045622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667</w:t>
            </w:r>
          </w:p>
        </w:tc>
        <w:tc>
          <w:tcPr>
            <w:tcW w:w="612" w:type="pct"/>
            <w:vAlign w:val="center"/>
          </w:tcPr>
          <w:p w14:paraId="542C393B" w14:textId="14194D74" w:rsidR="0045622D" w:rsidRPr="008D3472" w:rsidRDefault="0045622D" w:rsidP="0045622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8D3472">
              <w:rPr>
                <w:rFonts w:ascii="Times New Roman" w:hAnsi="Times New Roman"/>
                <w:sz w:val="20"/>
                <w:szCs w:val="20"/>
              </w:rPr>
              <w:t>$22.71</w:t>
            </w:r>
          </w:p>
        </w:tc>
        <w:tc>
          <w:tcPr>
            <w:tcW w:w="611" w:type="pct"/>
            <w:vAlign w:val="center"/>
          </w:tcPr>
          <w:p w14:paraId="3F9C793B" w14:textId="38783FEE" w:rsidR="0045622D" w:rsidRDefault="001F67B4" w:rsidP="0045622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w:t>
            </w:r>
            <w:r w:rsidR="002D002F">
              <w:rPr>
                <w:rFonts w:ascii="Times New Roman" w:hAnsi="Times New Roman"/>
                <w:sz w:val="20"/>
                <w:szCs w:val="20"/>
              </w:rPr>
              <w:t>15,148</w:t>
            </w:r>
          </w:p>
        </w:tc>
      </w:tr>
      <w:tr w:rsidR="00984112" w:rsidRPr="006C1D0B" w14:paraId="25A399CE" w14:textId="77777777" w:rsidTr="0045622D">
        <w:trPr>
          <w:cantSplit/>
          <w:trHeight w:val="170"/>
        </w:trPr>
        <w:tc>
          <w:tcPr>
            <w:tcW w:w="720" w:type="pct"/>
            <w:vAlign w:val="center"/>
          </w:tcPr>
          <w:p w14:paraId="33F30C0D" w14:textId="77777777" w:rsidR="00984112" w:rsidRPr="006C1D0B" w:rsidRDefault="008D3472" w:rsidP="003B77D2">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r w:rsidRPr="008D3472">
              <w:rPr>
                <w:rFonts w:ascii="Times New Roman" w:hAnsi="Times New Roman"/>
                <w:sz w:val="20"/>
                <w:szCs w:val="20"/>
              </w:rPr>
              <w:t>TOTAL</w:t>
            </w:r>
          </w:p>
        </w:tc>
        <w:tc>
          <w:tcPr>
            <w:tcW w:w="3669" w:type="pct"/>
            <w:gridSpan w:val="6"/>
          </w:tcPr>
          <w:p w14:paraId="4D028A70" w14:textId="77777777" w:rsidR="00984112" w:rsidRPr="006C1D0B" w:rsidRDefault="00984112" w:rsidP="003B77D2">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p>
        </w:tc>
        <w:tc>
          <w:tcPr>
            <w:tcW w:w="611" w:type="pct"/>
            <w:vAlign w:val="center"/>
          </w:tcPr>
          <w:p w14:paraId="7585B5FD" w14:textId="7839552A" w:rsidR="00984112" w:rsidRPr="006C1D0B" w:rsidRDefault="001F67B4" w:rsidP="002D729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w:t>
            </w:r>
            <w:r w:rsidR="002D002F">
              <w:rPr>
                <w:rFonts w:ascii="Times New Roman" w:hAnsi="Times New Roman"/>
                <w:sz w:val="20"/>
                <w:szCs w:val="20"/>
              </w:rPr>
              <w:t>47,329</w:t>
            </w:r>
          </w:p>
        </w:tc>
      </w:tr>
    </w:tbl>
    <w:p w14:paraId="10504716" w14:textId="4DEE7D54" w:rsidR="003B77D2" w:rsidRPr="00B74FA6" w:rsidRDefault="003B77D2" w:rsidP="00A730B9">
      <w:pPr>
        <w:tabs>
          <w:tab w:val="left" w:pos="-1080"/>
          <w:tab w:val="left" w:pos="-720"/>
          <w:tab w:val="left" w:pos="0"/>
          <w:tab w:val="left" w:pos="450"/>
          <w:tab w:val="left" w:pos="720"/>
          <w:tab w:val="left" w:pos="2160"/>
        </w:tabs>
        <w:spacing w:after="0" w:line="240" w:lineRule="auto"/>
        <w:rPr>
          <w:rFonts w:ascii="Times New Roman" w:hAnsi="Times New Roman"/>
          <w:sz w:val="20"/>
          <w:szCs w:val="20"/>
        </w:rPr>
      </w:pPr>
      <w:r w:rsidRPr="00B74FA6">
        <w:rPr>
          <w:rFonts w:ascii="Times New Roman" w:hAnsi="Times New Roman"/>
          <w:sz w:val="20"/>
          <w:szCs w:val="20"/>
        </w:rPr>
        <w:t xml:space="preserve">*Public wages from </w:t>
      </w:r>
      <w:hyperlink r:id="rId17" w:anchor="00-0" w:history="1">
        <w:r w:rsidR="0091137E" w:rsidRPr="00252050">
          <w:rPr>
            <w:rStyle w:val="Hyperlink"/>
            <w:rFonts w:ascii="Times New Roman" w:hAnsi="Times New Roman"/>
            <w:sz w:val="20"/>
            <w:szCs w:val="20"/>
          </w:rPr>
          <w:t>http://www.bls.gov/oes/current/oes_nat.htm#00-0</w:t>
        </w:r>
      </w:hyperlink>
      <w:r w:rsidR="0091137E">
        <w:rPr>
          <w:rFonts w:ascii="Times New Roman" w:hAnsi="Times New Roman"/>
          <w:sz w:val="20"/>
          <w:szCs w:val="20"/>
        </w:rPr>
        <w:t xml:space="preserve"> </w:t>
      </w:r>
    </w:p>
    <w:p w14:paraId="72C3C2E6" w14:textId="77777777" w:rsidR="003B77D2" w:rsidRPr="00F33E1C" w:rsidRDefault="003B77D2" w:rsidP="003B77D2">
      <w:pPr>
        <w:pStyle w:val="ListParagraph"/>
        <w:spacing w:after="0" w:line="240" w:lineRule="auto"/>
        <w:ind w:left="0"/>
        <w:rPr>
          <w:rFonts w:ascii="Times New Roman" w:hAnsi="Times New Roman"/>
          <w:b/>
          <w:sz w:val="24"/>
          <w:szCs w:val="24"/>
        </w:rPr>
      </w:pPr>
    </w:p>
    <w:p w14:paraId="5B18DC54" w14:textId="77777777" w:rsidR="00BD6C71" w:rsidRDefault="008D3472">
      <w:pPr>
        <w:pStyle w:val="Default"/>
        <w:rPr>
          <w:rFonts w:ascii="Times New Roman" w:hAnsi="Times New Roman"/>
        </w:rPr>
      </w:pPr>
      <w:r w:rsidRPr="008D3472">
        <w:rPr>
          <w:rFonts w:ascii="Times New Roman" w:hAnsi="Times New Roman" w:cs="Times New Roman"/>
          <w:b/>
          <w:color w:val="auto"/>
        </w:rPr>
        <w:t>13. Estimates of Other Total Annual Cost Burden to Respondents and Record Keepers</w:t>
      </w:r>
    </w:p>
    <w:p w14:paraId="63C95635" w14:textId="77777777" w:rsidR="00DE704C" w:rsidRPr="00F33E1C" w:rsidRDefault="00DE704C" w:rsidP="003B77D2">
      <w:pPr>
        <w:spacing w:after="0" w:line="240" w:lineRule="auto"/>
        <w:rPr>
          <w:rFonts w:ascii="Times New Roman" w:hAnsi="Times New Roman"/>
          <w:sz w:val="24"/>
          <w:szCs w:val="24"/>
        </w:rPr>
      </w:pPr>
    </w:p>
    <w:p w14:paraId="3DFD2B56" w14:textId="77777777" w:rsidR="00141974" w:rsidRPr="00F33E1C" w:rsidRDefault="00DE704C" w:rsidP="00A730B9">
      <w:pPr>
        <w:spacing w:after="0" w:line="240" w:lineRule="auto"/>
        <w:rPr>
          <w:rFonts w:ascii="Times New Roman" w:hAnsi="Times New Roman"/>
          <w:sz w:val="24"/>
          <w:szCs w:val="24"/>
        </w:rPr>
      </w:pPr>
      <w:r w:rsidRPr="00F33E1C">
        <w:rPr>
          <w:rFonts w:ascii="Times New Roman" w:hAnsi="Times New Roman"/>
          <w:sz w:val="24"/>
          <w:szCs w:val="24"/>
        </w:rPr>
        <w:t>There is no other total annual cost burden to respondents or record keeper</w:t>
      </w:r>
      <w:r w:rsidR="00D02D37" w:rsidRPr="00F33E1C">
        <w:rPr>
          <w:rFonts w:ascii="Times New Roman" w:hAnsi="Times New Roman"/>
          <w:sz w:val="24"/>
          <w:szCs w:val="24"/>
        </w:rPr>
        <w:t>s.</w:t>
      </w:r>
    </w:p>
    <w:p w14:paraId="3474544A" w14:textId="77777777" w:rsidR="00141974" w:rsidRPr="00F33E1C" w:rsidRDefault="00141974" w:rsidP="00A730B9">
      <w:pPr>
        <w:spacing w:after="0" w:line="240" w:lineRule="auto"/>
        <w:rPr>
          <w:rFonts w:ascii="Times New Roman" w:hAnsi="Times New Roman"/>
          <w:sz w:val="24"/>
          <w:szCs w:val="24"/>
        </w:rPr>
      </w:pPr>
    </w:p>
    <w:p w14:paraId="6DD270C0" w14:textId="77777777" w:rsidR="00BD6C71" w:rsidRDefault="008D3472">
      <w:pPr>
        <w:pStyle w:val="Default"/>
        <w:rPr>
          <w:rFonts w:ascii="Times New Roman" w:hAnsi="Times New Roman"/>
        </w:rPr>
      </w:pPr>
      <w:r w:rsidRPr="008D3472">
        <w:rPr>
          <w:rFonts w:ascii="Times New Roman" w:hAnsi="Times New Roman" w:cs="Times New Roman"/>
          <w:b/>
          <w:color w:val="auto"/>
        </w:rPr>
        <w:t>14.  Annualized Cost to the Federal Government</w:t>
      </w:r>
    </w:p>
    <w:p w14:paraId="3D3C55BC" w14:textId="77777777" w:rsidR="003B77D2" w:rsidRPr="00F33E1C" w:rsidRDefault="003B77D2" w:rsidP="003B77D2">
      <w:pPr>
        <w:pStyle w:val="ListParagraph"/>
        <w:spacing w:after="0" w:line="240" w:lineRule="auto"/>
        <w:ind w:left="0"/>
        <w:rPr>
          <w:rFonts w:ascii="Times New Roman" w:hAnsi="Times New Roman"/>
          <w:b/>
          <w:sz w:val="24"/>
          <w:szCs w:val="24"/>
        </w:rPr>
      </w:pPr>
    </w:p>
    <w:p w14:paraId="4EB1DAFF" w14:textId="283C2BFC" w:rsidR="003B77D2" w:rsidRPr="00F33E1C" w:rsidRDefault="003B77D2" w:rsidP="003B77D2">
      <w:pPr>
        <w:spacing w:after="0" w:line="240" w:lineRule="auto"/>
        <w:rPr>
          <w:rFonts w:ascii="Times New Roman" w:hAnsi="Times New Roman"/>
          <w:sz w:val="24"/>
          <w:szCs w:val="24"/>
        </w:rPr>
      </w:pPr>
      <w:r w:rsidRPr="00F33E1C">
        <w:rPr>
          <w:rFonts w:ascii="Times New Roman" w:hAnsi="Times New Roman"/>
          <w:sz w:val="24"/>
          <w:szCs w:val="24"/>
        </w:rPr>
        <w:t>The estimated average annual cost to the federal government for the proposed information collection activities is $441,200. This figure encompasses 40% FTE of one GS-14 employee, 50% FTE of 4 GS-13 employees, and information collection contract costs. The average hourly rate was obtained from the Office of Personnel Management’s website (</w:t>
      </w:r>
      <w:hyperlink r:id="rId18" w:history="1">
        <w:r w:rsidRPr="00F33E1C">
          <w:rPr>
            <w:rStyle w:val="Hyperlink"/>
            <w:rFonts w:ascii="Times New Roman" w:hAnsi="Times New Roman"/>
            <w:sz w:val="24"/>
            <w:szCs w:val="24"/>
          </w:rPr>
          <w:t>http://www.opm.gov/oca/09tables/html/atl_h.asp</w:t>
        </w:r>
      </w:hyperlink>
      <w:r w:rsidRPr="00F33E1C">
        <w:rPr>
          <w:rFonts w:ascii="Times New Roman" w:hAnsi="Times New Roman"/>
          <w:sz w:val="24"/>
          <w:szCs w:val="24"/>
        </w:rPr>
        <w:t>). The annual rates for a GS-14 and GS-13 in Atlanta, GA are about $113,000 and $98,000, respectively, per year.  The contractual cost for an information collection with partners (e.g</w:t>
      </w:r>
      <w:r w:rsidR="00095DED">
        <w:rPr>
          <w:rFonts w:ascii="Times New Roman" w:hAnsi="Times New Roman"/>
          <w:sz w:val="24"/>
          <w:szCs w:val="24"/>
        </w:rPr>
        <w:t>., the development of a screen and questionnaire</w:t>
      </w:r>
      <w:r w:rsidRPr="00F33E1C">
        <w:rPr>
          <w:rFonts w:ascii="Times New Roman" w:hAnsi="Times New Roman"/>
          <w:sz w:val="24"/>
          <w:szCs w:val="24"/>
        </w:rPr>
        <w:t xml:space="preserve">, participant recruitment, </w:t>
      </w:r>
      <w:r w:rsidR="0091137E">
        <w:rPr>
          <w:rFonts w:ascii="Times New Roman" w:hAnsi="Times New Roman"/>
          <w:sz w:val="24"/>
          <w:szCs w:val="24"/>
        </w:rPr>
        <w:t>tokens of appreciation (when applicable)</w:t>
      </w:r>
      <w:r w:rsidRPr="00F33E1C">
        <w:rPr>
          <w:rFonts w:ascii="Times New Roman" w:hAnsi="Times New Roman"/>
          <w:sz w:val="24"/>
          <w:szCs w:val="24"/>
        </w:rPr>
        <w:t>, facility rental (when</w:t>
      </w:r>
      <w:r w:rsidR="00095DED">
        <w:rPr>
          <w:rFonts w:ascii="Times New Roman" w:hAnsi="Times New Roman"/>
          <w:sz w:val="24"/>
          <w:szCs w:val="24"/>
        </w:rPr>
        <w:t xml:space="preserve"> applicable), and final reports</w:t>
      </w:r>
      <w:r w:rsidRPr="00F33E1C">
        <w:rPr>
          <w:rFonts w:ascii="Times New Roman" w:hAnsi="Times New Roman"/>
          <w:sz w:val="24"/>
          <w:szCs w:val="24"/>
        </w:rPr>
        <w:t xml:space="preserve"> is estimated at </w:t>
      </w:r>
      <w:r w:rsidR="00141974" w:rsidRPr="00F33E1C">
        <w:rPr>
          <w:rFonts w:ascii="Times New Roman" w:hAnsi="Times New Roman"/>
          <w:sz w:val="24"/>
          <w:szCs w:val="24"/>
        </w:rPr>
        <w:t xml:space="preserve">$200,000. Please see Table </w:t>
      </w:r>
      <w:r w:rsidR="00B74FA6">
        <w:rPr>
          <w:rFonts w:ascii="Times New Roman" w:hAnsi="Times New Roman"/>
          <w:sz w:val="24"/>
          <w:szCs w:val="24"/>
        </w:rPr>
        <w:t>14.1</w:t>
      </w:r>
      <w:r w:rsidRPr="00F33E1C">
        <w:rPr>
          <w:rFonts w:ascii="Times New Roman" w:hAnsi="Times New Roman"/>
          <w:sz w:val="24"/>
          <w:szCs w:val="24"/>
        </w:rPr>
        <w:t xml:space="preserve"> for details. </w:t>
      </w:r>
    </w:p>
    <w:p w14:paraId="182B5057" w14:textId="77777777" w:rsidR="003B77D2" w:rsidRPr="00F33E1C" w:rsidRDefault="003B77D2" w:rsidP="003B77D2">
      <w:pPr>
        <w:spacing w:after="0" w:line="240" w:lineRule="auto"/>
        <w:rPr>
          <w:rFonts w:ascii="Times New Roman" w:hAnsi="Times New Roman"/>
          <w:bCs/>
          <w:sz w:val="24"/>
          <w:szCs w:val="24"/>
        </w:rPr>
      </w:pPr>
    </w:p>
    <w:p w14:paraId="6BC8566F" w14:textId="440E9F8A" w:rsidR="003B77D2" w:rsidRPr="00F33E1C" w:rsidRDefault="008D3472" w:rsidP="003B77D2">
      <w:pPr>
        <w:spacing w:after="0" w:line="240" w:lineRule="auto"/>
        <w:rPr>
          <w:rFonts w:ascii="Times New Roman" w:hAnsi="Times New Roman"/>
          <w:sz w:val="24"/>
          <w:szCs w:val="24"/>
        </w:rPr>
      </w:pPr>
      <w:r w:rsidRPr="008D3472">
        <w:rPr>
          <w:rFonts w:ascii="Times New Roman" w:hAnsi="Times New Roman"/>
          <w:b/>
          <w:sz w:val="24"/>
          <w:szCs w:val="24"/>
        </w:rPr>
        <w:t xml:space="preserve">Table </w:t>
      </w:r>
      <w:r w:rsidR="006C1D0B">
        <w:rPr>
          <w:rFonts w:ascii="Times New Roman" w:hAnsi="Times New Roman"/>
          <w:b/>
          <w:sz w:val="24"/>
          <w:szCs w:val="24"/>
        </w:rPr>
        <w:t>14.1</w:t>
      </w:r>
      <w:r w:rsidRPr="008D3472">
        <w:rPr>
          <w:rFonts w:ascii="Times New Roman" w:hAnsi="Times New Roman"/>
          <w:b/>
          <w:sz w:val="24"/>
          <w:szCs w:val="24"/>
        </w:rPr>
        <w:t>:</w:t>
      </w:r>
      <w:r w:rsidR="003B77D2" w:rsidRPr="00F33E1C">
        <w:rPr>
          <w:rFonts w:ascii="Times New Roman" w:hAnsi="Times New Roman"/>
          <w:sz w:val="24"/>
          <w:szCs w:val="24"/>
        </w:rPr>
        <w:t xml:space="preserve"> Estimated Annualized Cost to the Government per Activity and Total</w:t>
      </w:r>
    </w:p>
    <w:tbl>
      <w:tblPr>
        <w:tblStyle w:val="TableGrid"/>
        <w:tblW w:w="0" w:type="auto"/>
        <w:tblInd w:w="-5" w:type="dxa"/>
        <w:tblLook w:val="01E0" w:firstRow="1" w:lastRow="1" w:firstColumn="1" w:lastColumn="1" w:noHBand="0" w:noVBand="0"/>
      </w:tblPr>
      <w:tblGrid>
        <w:gridCol w:w="6863"/>
        <w:gridCol w:w="2043"/>
      </w:tblGrid>
      <w:tr w:rsidR="003B77D2" w:rsidRPr="00B74FA6" w14:paraId="25E6F848" w14:textId="77777777" w:rsidTr="002D729A">
        <w:trPr>
          <w:trHeight w:val="389"/>
        </w:trPr>
        <w:tc>
          <w:tcPr>
            <w:tcW w:w="6863" w:type="dxa"/>
            <w:vAlign w:val="center"/>
          </w:tcPr>
          <w:p w14:paraId="7D0F5195" w14:textId="77777777" w:rsidR="003B77D2" w:rsidRPr="00B74FA6" w:rsidRDefault="003B77D2" w:rsidP="002D729A">
            <w:pPr>
              <w:spacing w:after="0" w:line="240" w:lineRule="auto"/>
              <w:jc w:val="center"/>
              <w:rPr>
                <w:rFonts w:ascii="Times New Roman" w:hAnsi="Times New Roman"/>
                <w:sz w:val="20"/>
                <w:szCs w:val="20"/>
              </w:rPr>
            </w:pPr>
            <w:r w:rsidRPr="00B74FA6">
              <w:rPr>
                <w:rFonts w:ascii="Times New Roman" w:hAnsi="Times New Roman"/>
                <w:sz w:val="20"/>
                <w:szCs w:val="20"/>
              </w:rPr>
              <w:t>Cost Category</w:t>
            </w:r>
          </w:p>
        </w:tc>
        <w:tc>
          <w:tcPr>
            <w:tcW w:w="2043" w:type="dxa"/>
            <w:vAlign w:val="center"/>
          </w:tcPr>
          <w:p w14:paraId="4FB9CC7F" w14:textId="77777777" w:rsidR="003B77D2" w:rsidRPr="00B74FA6" w:rsidRDefault="003B77D2" w:rsidP="002D729A">
            <w:pPr>
              <w:spacing w:after="0" w:line="240" w:lineRule="auto"/>
              <w:jc w:val="center"/>
              <w:rPr>
                <w:rFonts w:ascii="Times New Roman" w:hAnsi="Times New Roman"/>
                <w:sz w:val="20"/>
                <w:szCs w:val="20"/>
              </w:rPr>
            </w:pPr>
            <w:r w:rsidRPr="00B74FA6">
              <w:rPr>
                <w:rFonts w:ascii="Times New Roman" w:hAnsi="Times New Roman"/>
                <w:sz w:val="20"/>
                <w:szCs w:val="20"/>
              </w:rPr>
              <w:t>Estimated Annualized Cost</w:t>
            </w:r>
          </w:p>
        </w:tc>
      </w:tr>
      <w:tr w:rsidR="003B77D2" w:rsidRPr="00B74FA6" w14:paraId="1C81B213" w14:textId="77777777" w:rsidTr="002D729A">
        <w:trPr>
          <w:trHeight w:val="503"/>
        </w:trPr>
        <w:tc>
          <w:tcPr>
            <w:tcW w:w="6863" w:type="dxa"/>
            <w:vAlign w:val="center"/>
          </w:tcPr>
          <w:p w14:paraId="28CFBB53" w14:textId="77777777" w:rsidR="003B77D2" w:rsidRPr="00B74FA6" w:rsidRDefault="003B77D2" w:rsidP="0091137E">
            <w:pPr>
              <w:spacing w:after="0" w:line="240" w:lineRule="auto"/>
              <w:rPr>
                <w:rFonts w:ascii="Times New Roman" w:hAnsi="Times New Roman"/>
                <w:sz w:val="20"/>
                <w:szCs w:val="20"/>
              </w:rPr>
            </w:pPr>
            <w:r w:rsidRPr="00B74FA6">
              <w:rPr>
                <w:rFonts w:ascii="Times New Roman" w:hAnsi="Times New Roman"/>
                <w:sz w:val="20"/>
                <w:szCs w:val="20"/>
              </w:rPr>
              <w:t>Federal employee costs for information collection (40% FTE of 1  GS-14 at $113,000/year plus 50% FTE of 4 GS-13 at 98,000/year )</w:t>
            </w:r>
          </w:p>
        </w:tc>
        <w:tc>
          <w:tcPr>
            <w:tcW w:w="2043" w:type="dxa"/>
            <w:vAlign w:val="center"/>
          </w:tcPr>
          <w:p w14:paraId="44521879" w14:textId="77777777" w:rsidR="003B77D2" w:rsidRPr="00B74FA6" w:rsidRDefault="003B77D2" w:rsidP="002D729A">
            <w:pPr>
              <w:spacing w:after="0" w:line="240" w:lineRule="auto"/>
              <w:jc w:val="center"/>
              <w:rPr>
                <w:rFonts w:ascii="Times New Roman" w:hAnsi="Times New Roman"/>
                <w:sz w:val="20"/>
                <w:szCs w:val="20"/>
              </w:rPr>
            </w:pPr>
            <w:r w:rsidRPr="00B74FA6">
              <w:rPr>
                <w:rFonts w:ascii="Times New Roman" w:hAnsi="Times New Roman"/>
                <w:sz w:val="20"/>
                <w:szCs w:val="20"/>
              </w:rPr>
              <w:t>$241,200</w:t>
            </w:r>
          </w:p>
        </w:tc>
      </w:tr>
      <w:tr w:rsidR="003B77D2" w:rsidRPr="00B74FA6" w14:paraId="673CFCC4" w14:textId="77777777" w:rsidTr="002D729A">
        <w:trPr>
          <w:trHeight w:val="1264"/>
        </w:trPr>
        <w:tc>
          <w:tcPr>
            <w:tcW w:w="6863" w:type="dxa"/>
            <w:vAlign w:val="center"/>
          </w:tcPr>
          <w:p w14:paraId="36994DC2" w14:textId="77777777" w:rsidR="003B77D2" w:rsidRPr="00B74FA6" w:rsidRDefault="003B77D2" w:rsidP="0091137E">
            <w:pPr>
              <w:spacing w:after="0" w:line="240" w:lineRule="auto"/>
              <w:rPr>
                <w:rFonts w:ascii="Times New Roman" w:hAnsi="Times New Roman"/>
                <w:sz w:val="20"/>
                <w:szCs w:val="20"/>
              </w:rPr>
            </w:pPr>
            <w:r w:rsidRPr="00B74FA6">
              <w:rPr>
                <w:rFonts w:ascii="Times New Roman" w:hAnsi="Times New Roman"/>
                <w:sz w:val="20"/>
                <w:szCs w:val="20"/>
              </w:rPr>
              <w:t>Contractual costs for an information collection:</w:t>
            </w:r>
          </w:p>
          <w:p w14:paraId="3248D090" w14:textId="77777777" w:rsidR="00CD06E1" w:rsidRPr="00B74FA6" w:rsidRDefault="0004251A" w:rsidP="00F46E8F">
            <w:pPr>
              <w:numPr>
                <w:ilvl w:val="0"/>
                <w:numId w:val="3"/>
              </w:numPr>
              <w:spacing w:after="0" w:line="240" w:lineRule="auto"/>
              <w:rPr>
                <w:rFonts w:ascii="Times New Roman" w:hAnsi="Times New Roman"/>
                <w:sz w:val="20"/>
                <w:szCs w:val="20"/>
              </w:rPr>
            </w:pPr>
            <w:r w:rsidRPr="00B74FA6">
              <w:rPr>
                <w:rFonts w:ascii="Times New Roman" w:hAnsi="Times New Roman"/>
                <w:sz w:val="20"/>
                <w:szCs w:val="20"/>
              </w:rPr>
              <w:t>Questionnaire</w:t>
            </w:r>
            <w:r w:rsidR="003B77D2" w:rsidRPr="00B74FA6">
              <w:rPr>
                <w:rFonts w:ascii="Times New Roman" w:hAnsi="Times New Roman"/>
                <w:sz w:val="20"/>
                <w:szCs w:val="20"/>
              </w:rPr>
              <w:t xml:space="preserve">s (e.g., questionnaire adaptation and translation, </w:t>
            </w:r>
            <w:r w:rsidRPr="00B74FA6">
              <w:rPr>
                <w:rFonts w:ascii="Times New Roman" w:hAnsi="Times New Roman"/>
                <w:sz w:val="20"/>
                <w:szCs w:val="20"/>
              </w:rPr>
              <w:t>Questionnaire</w:t>
            </w:r>
            <w:r w:rsidR="003B77D2" w:rsidRPr="00B74FA6">
              <w:rPr>
                <w:rFonts w:ascii="Times New Roman" w:hAnsi="Times New Roman"/>
                <w:sz w:val="20"/>
                <w:szCs w:val="20"/>
              </w:rPr>
              <w:t xml:space="preserve"> administrator training, field work</w:t>
            </w:r>
            <w:r w:rsidR="00CD06E1" w:rsidRPr="00B74FA6">
              <w:rPr>
                <w:rFonts w:ascii="Times New Roman" w:hAnsi="Times New Roman"/>
                <w:sz w:val="20"/>
                <w:szCs w:val="20"/>
              </w:rPr>
              <w:t xml:space="preserve"> (including travel expenses)</w:t>
            </w:r>
            <w:r w:rsidR="003B77D2" w:rsidRPr="00B74FA6">
              <w:rPr>
                <w:rFonts w:ascii="Times New Roman" w:hAnsi="Times New Roman"/>
                <w:sz w:val="20"/>
                <w:szCs w:val="20"/>
              </w:rPr>
              <w:t>, data analysis, final report)</w:t>
            </w:r>
          </w:p>
          <w:p w14:paraId="2E75E9EC" w14:textId="77777777" w:rsidR="003B77D2" w:rsidRPr="00B74FA6" w:rsidRDefault="003B77D2" w:rsidP="00F46E8F">
            <w:pPr>
              <w:numPr>
                <w:ilvl w:val="0"/>
                <w:numId w:val="3"/>
              </w:numPr>
              <w:spacing w:after="0" w:line="240" w:lineRule="auto"/>
              <w:rPr>
                <w:rFonts w:ascii="Times New Roman" w:hAnsi="Times New Roman"/>
                <w:sz w:val="20"/>
                <w:szCs w:val="20"/>
              </w:rPr>
            </w:pPr>
            <w:r w:rsidRPr="00B74FA6">
              <w:rPr>
                <w:rFonts w:ascii="Times New Roman" w:hAnsi="Times New Roman"/>
                <w:sz w:val="20"/>
                <w:szCs w:val="20"/>
              </w:rPr>
              <w:t xml:space="preserve">Environmental </w:t>
            </w:r>
            <w:r w:rsidR="003345A0" w:rsidRPr="00B74FA6">
              <w:rPr>
                <w:rFonts w:ascii="Times New Roman" w:hAnsi="Times New Roman"/>
                <w:sz w:val="20"/>
                <w:szCs w:val="20"/>
              </w:rPr>
              <w:t>sample or clinical specimen collection and analysis</w:t>
            </w:r>
          </w:p>
        </w:tc>
        <w:tc>
          <w:tcPr>
            <w:tcW w:w="2043" w:type="dxa"/>
            <w:vAlign w:val="center"/>
          </w:tcPr>
          <w:p w14:paraId="3F2AC7BA" w14:textId="6EE5CDB8" w:rsidR="00CD06E1" w:rsidRPr="00B74FA6" w:rsidRDefault="003B77D2" w:rsidP="002D729A">
            <w:pPr>
              <w:spacing w:after="0" w:line="240" w:lineRule="auto"/>
              <w:jc w:val="center"/>
              <w:rPr>
                <w:rFonts w:ascii="Times New Roman" w:hAnsi="Times New Roman"/>
                <w:sz w:val="20"/>
                <w:szCs w:val="20"/>
              </w:rPr>
            </w:pPr>
            <w:r w:rsidRPr="00B74FA6">
              <w:rPr>
                <w:rFonts w:ascii="Times New Roman" w:hAnsi="Times New Roman"/>
                <w:sz w:val="20"/>
                <w:szCs w:val="20"/>
              </w:rPr>
              <w:t>$200,000</w:t>
            </w:r>
          </w:p>
        </w:tc>
      </w:tr>
      <w:tr w:rsidR="003B77D2" w:rsidRPr="00B74FA6" w14:paraId="43F364F8" w14:textId="77777777" w:rsidTr="002D729A">
        <w:trPr>
          <w:trHeight w:val="134"/>
        </w:trPr>
        <w:tc>
          <w:tcPr>
            <w:tcW w:w="6863" w:type="dxa"/>
            <w:vAlign w:val="center"/>
          </w:tcPr>
          <w:p w14:paraId="29B9CF02" w14:textId="763DC5E8" w:rsidR="003B77D2" w:rsidRPr="00B74FA6" w:rsidRDefault="003B77D2" w:rsidP="0091137E">
            <w:pPr>
              <w:spacing w:after="0" w:line="240" w:lineRule="auto"/>
              <w:rPr>
                <w:rFonts w:ascii="Times New Roman" w:hAnsi="Times New Roman"/>
                <w:b/>
                <w:sz w:val="20"/>
                <w:szCs w:val="20"/>
              </w:rPr>
            </w:pPr>
            <w:r w:rsidRPr="00B74FA6">
              <w:rPr>
                <w:rFonts w:ascii="Times New Roman" w:hAnsi="Times New Roman"/>
                <w:b/>
                <w:sz w:val="20"/>
                <w:szCs w:val="20"/>
              </w:rPr>
              <w:t xml:space="preserve">Total cost </w:t>
            </w:r>
            <w:r w:rsidR="002D36B4">
              <w:rPr>
                <w:rFonts w:ascii="Times New Roman" w:hAnsi="Times New Roman"/>
                <w:b/>
                <w:sz w:val="20"/>
                <w:szCs w:val="20"/>
              </w:rPr>
              <w:t xml:space="preserve">per </w:t>
            </w:r>
            <w:r w:rsidRPr="00B74FA6">
              <w:rPr>
                <w:rFonts w:ascii="Times New Roman" w:hAnsi="Times New Roman"/>
                <w:b/>
                <w:sz w:val="20"/>
                <w:szCs w:val="20"/>
              </w:rPr>
              <w:t>year</w:t>
            </w:r>
          </w:p>
        </w:tc>
        <w:tc>
          <w:tcPr>
            <w:tcW w:w="2043" w:type="dxa"/>
            <w:vAlign w:val="center"/>
          </w:tcPr>
          <w:p w14:paraId="58475777" w14:textId="77777777" w:rsidR="003B77D2" w:rsidRPr="00B74FA6" w:rsidRDefault="003B77D2" w:rsidP="002D729A">
            <w:pPr>
              <w:spacing w:after="0" w:line="240" w:lineRule="auto"/>
              <w:jc w:val="center"/>
              <w:rPr>
                <w:rFonts w:ascii="Times New Roman" w:hAnsi="Times New Roman"/>
                <w:sz w:val="20"/>
                <w:szCs w:val="20"/>
              </w:rPr>
            </w:pPr>
            <w:r w:rsidRPr="00B74FA6">
              <w:rPr>
                <w:rFonts w:ascii="Times New Roman" w:hAnsi="Times New Roman"/>
                <w:sz w:val="20"/>
                <w:szCs w:val="20"/>
              </w:rPr>
              <w:t>$441,200</w:t>
            </w:r>
          </w:p>
        </w:tc>
      </w:tr>
    </w:tbl>
    <w:p w14:paraId="6B7557C8" w14:textId="77777777" w:rsidR="003B77D2" w:rsidRPr="00F33E1C" w:rsidRDefault="003B77D2" w:rsidP="003B77D2">
      <w:pPr>
        <w:spacing w:after="0" w:line="240" w:lineRule="auto"/>
        <w:rPr>
          <w:rFonts w:ascii="Times New Roman" w:hAnsi="Times New Roman"/>
          <w:sz w:val="24"/>
          <w:szCs w:val="24"/>
        </w:rPr>
      </w:pPr>
    </w:p>
    <w:p w14:paraId="0FB57DC2" w14:textId="77777777" w:rsidR="003B77D2" w:rsidRPr="00F33E1C" w:rsidRDefault="00141974" w:rsidP="00A730B9">
      <w:pPr>
        <w:pStyle w:val="Heading2"/>
        <w:numPr>
          <w:ilvl w:val="0"/>
          <w:numId w:val="0"/>
        </w:numPr>
        <w:rPr>
          <w:rFonts w:ascii="Times New Roman" w:hAnsi="Times New Roman"/>
          <w:sz w:val="24"/>
          <w:szCs w:val="24"/>
        </w:rPr>
      </w:pPr>
      <w:r w:rsidRPr="00F33E1C">
        <w:rPr>
          <w:rFonts w:ascii="Times New Roman" w:hAnsi="Times New Roman"/>
          <w:sz w:val="24"/>
          <w:szCs w:val="24"/>
        </w:rPr>
        <w:t>15. E</w:t>
      </w:r>
      <w:r w:rsidR="00D02D37" w:rsidRPr="00F33E1C">
        <w:rPr>
          <w:rFonts w:ascii="Times New Roman" w:hAnsi="Times New Roman"/>
          <w:sz w:val="24"/>
          <w:szCs w:val="24"/>
        </w:rPr>
        <w:t xml:space="preserve">xplanation for Program Changes </w:t>
      </w:r>
      <w:r w:rsidRPr="00F33E1C">
        <w:rPr>
          <w:rFonts w:ascii="Times New Roman" w:hAnsi="Times New Roman"/>
          <w:sz w:val="24"/>
          <w:szCs w:val="24"/>
        </w:rPr>
        <w:t>or Adjustments</w:t>
      </w:r>
    </w:p>
    <w:p w14:paraId="40A636BF" w14:textId="77777777" w:rsidR="003B77D2" w:rsidRPr="00F33E1C" w:rsidRDefault="003B77D2" w:rsidP="003B77D2">
      <w:pPr>
        <w:pStyle w:val="ListParagraph"/>
        <w:spacing w:after="0" w:line="240" w:lineRule="auto"/>
        <w:ind w:left="0"/>
        <w:rPr>
          <w:rFonts w:ascii="Times New Roman" w:hAnsi="Times New Roman"/>
          <w:b/>
          <w:sz w:val="24"/>
          <w:szCs w:val="24"/>
        </w:rPr>
      </w:pPr>
    </w:p>
    <w:p w14:paraId="438F0ADD" w14:textId="3ADE5064" w:rsidR="003B77D2" w:rsidRPr="00F33E1C" w:rsidRDefault="003B77D2" w:rsidP="003B77D2">
      <w:pPr>
        <w:spacing w:after="0" w:line="240" w:lineRule="auto"/>
        <w:rPr>
          <w:rFonts w:ascii="Times New Roman" w:hAnsi="Times New Roman"/>
          <w:sz w:val="24"/>
          <w:szCs w:val="24"/>
        </w:rPr>
      </w:pPr>
      <w:r w:rsidRPr="00F33E1C">
        <w:rPr>
          <w:rFonts w:ascii="Times New Roman" w:hAnsi="Times New Roman"/>
          <w:sz w:val="24"/>
          <w:szCs w:val="24"/>
        </w:rPr>
        <w:t xml:space="preserve">This is </w:t>
      </w:r>
      <w:r w:rsidR="00141974" w:rsidRPr="00F33E1C">
        <w:rPr>
          <w:rFonts w:ascii="Times New Roman" w:hAnsi="Times New Roman"/>
          <w:sz w:val="24"/>
          <w:szCs w:val="24"/>
        </w:rPr>
        <w:t xml:space="preserve">a new </w:t>
      </w:r>
      <w:r w:rsidR="00F46E8F">
        <w:rPr>
          <w:rFonts w:ascii="Times New Roman" w:hAnsi="Times New Roman"/>
          <w:sz w:val="24"/>
          <w:szCs w:val="24"/>
        </w:rPr>
        <w:t>request for a generic clearance.</w:t>
      </w:r>
    </w:p>
    <w:p w14:paraId="61A09314" w14:textId="77777777" w:rsidR="003B77D2" w:rsidRPr="00F33E1C" w:rsidRDefault="003B77D2" w:rsidP="003B77D2">
      <w:pPr>
        <w:spacing w:after="0" w:line="240" w:lineRule="auto"/>
        <w:rPr>
          <w:rFonts w:ascii="Times New Roman" w:hAnsi="Times New Roman"/>
          <w:b/>
          <w:sz w:val="24"/>
          <w:szCs w:val="24"/>
        </w:rPr>
      </w:pPr>
    </w:p>
    <w:p w14:paraId="68375B74" w14:textId="77777777" w:rsidR="003058E3" w:rsidRDefault="003058E3" w:rsidP="003058E3">
      <w:pPr>
        <w:pStyle w:val="Default"/>
        <w:rPr>
          <w:rFonts w:ascii="Times New Roman" w:hAnsi="Times New Roman" w:cs="Times New Roman"/>
          <w:b/>
          <w:color w:val="auto"/>
        </w:rPr>
      </w:pPr>
      <w:r w:rsidRPr="00F33E1C">
        <w:rPr>
          <w:rFonts w:ascii="Times New Roman" w:hAnsi="Times New Roman" w:cs="Times New Roman"/>
          <w:b/>
          <w:color w:val="auto"/>
        </w:rPr>
        <w:t xml:space="preserve">16. Plans for Tabulation and Publication and Project Time Schedule </w:t>
      </w:r>
    </w:p>
    <w:p w14:paraId="2EBC4E47" w14:textId="77777777" w:rsidR="007519D3" w:rsidRDefault="007519D3" w:rsidP="003058E3">
      <w:pPr>
        <w:pStyle w:val="Default"/>
        <w:rPr>
          <w:rFonts w:ascii="Times New Roman" w:hAnsi="Times New Roman" w:cs="Times New Roman"/>
          <w:b/>
          <w:color w:val="auto"/>
        </w:rPr>
      </w:pPr>
    </w:p>
    <w:p w14:paraId="0913CB2B" w14:textId="77777777" w:rsidR="007519D3" w:rsidRPr="007519D3" w:rsidRDefault="007519D3" w:rsidP="003058E3">
      <w:pPr>
        <w:pStyle w:val="Default"/>
        <w:rPr>
          <w:rFonts w:ascii="Times New Roman" w:hAnsi="Times New Roman" w:cs="Times New Roman"/>
          <w:color w:val="auto"/>
        </w:rPr>
      </w:pPr>
      <w:r>
        <w:rPr>
          <w:rFonts w:ascii="Times New Roman" w:hAnsi="Times New Roman" w:cs="Times New Roman"/>
          <w:color w:val="auto"/>
        </w:rPr>
        <w:t xml:space="preserve">The project time schedule for each investigation is found in </w:t>
      </w:r>
      <w:r w:rsidR="008D3472" w:rsidRPr="00B74FA6">
        <w:rPr>
          <w:rFonts w:ascii="Times New Roman" w:hAnsi="Times New Roman" w:cs="Times New Roman"/>
          <w:color w:val="auto"/>
        </w:rPr>
        <w:t>Table 16.1</w:t>
      </w:r>
      <w:r>
        <w:rPr>
          <w:rFonts w:ascii="Times New Roman" w:hAnsi="Times New Roman" w:cs="Times New Roman"/>
          <w:color w:val="auto"/>
        </w:rPr>
        <w:t xml:space="preserve"> below.</w:t>
      </w:r>
    </w:p>
    <w:p w14:paraId="5765EE23" w14:textId="77777777" w:rsidR="003058E3" w:rsidRDefault="003058E3" w:rsidP="003058E3">
      <w:pPr>
        <w:pStyle w:val="Default"/>
        <w:rPr>
          <w:rFonts w:ascii="Times New Roman" w:hAnsi="Times New Roman" w:cs="Times New Roman"/>
          <w:color w:val="4F81BD" w:themeColor="accent1"/>
        </w:rPr>
      </w:pPr>
    </w:p>
    <w:p w14:paraId="7C6D936C" w14:textId="77777777" w:rsidR="00A130C4" w:rsidRPr="007519D3" w:rsidRDefault="008D3472" w:rsidP="003058E3">
      <w:pPr>
        <w:pStyle w:val="Default"/>
        <w:rPr>
          <w:rFonts w:ascii="Times New Roman" w:hAnsi="Times New Roman" w:cs="Times New Roman"/>
          <w:color w:val="000000" w:themeColor="text1"/>
        </w:rPr>
      </w:pPr>
      <w:r w:rsidRPr="008D3472">
        <w:rPr>
          <w:rFonts w:ascii="Times New Roman" w:hAnsi="Times New Roman" w:cs="Times New Roman"/>
          <w:b/>
          <w:color w:val="000000" w:themeColor="text1"/>
        </w:rPr>
        <w:t>Table 16.1</w:t>
      </w:r>
      <w:r w:rsidR="00A130C4" w:rsidRPr="007519D3">
        <w:rPr>
          <w:rFonts w:ascii="Times New Roman" w:hAnsi="Times New Roman" w:cs="Times New Roman"/>
          <w:color w:val="000000" w:themeColor="text1"/>
        </w:rPr>
        <w:t xml:space="preserve"> Project Time Schedule</w:t>
      </w:r>
      <w:r w:rsidR="007519D3">
        <w:rPr>
          <w:rFonts w:ascii="Times New Roman" w:hAnsi="Times New Roman" w:cs="Times New Roman"/>
          <w:color w:val="000000" w:themeColor="text1"/>
        </w:rPr>
        <w:t xml:space="preserve"> </w:t>
      </w:r>
    </w:p>
    <w:tbl>
      <w:tblPr>
        <w:tblStyle w:val="TableGrid"/>
        <w:tblW w:w="0" w:type="auto"/>
        <w:tblLook w:val="04A0" w:firstRow="1" w:lastRow="0" w:firstColumn="1" w:lastColumn="0" w:noHBand="0" w:noVBand="1"/>
      </w:tblPr>
      <w:tblGrid>
        <w:gridCol w:w="4675"/>
        <w:gridCol w:w="4675"/>
      </w:tblGrid>
      <w:tr w:rsidR="007519D3" w:rsidRPr="007519D3" w14:paraId="591D316C" w14:textId="77777777" w:rsidTr="00A130C4">
        <w:tc>
          <w:tcPr>
            <w:tcW w:w="4675" w:type="dxa"/>
          </w:tcPr>
          <w:p w14:paraId="12BD86DB" w14:textId="77777777" w:rsidR="00A130C4" w:rsidRPr="002D729A" w:rsidRDefault="00A130C4" w:rsidP="00A130C4">
            <w:pPr>
              <w:pStyle w:val="Default"/>
              <w:jc w:val="center"/>
              <w:rPr>
                <w:rFonts w:ascii="Times New Roman" w:hAnsi="Times New Roman" w:cs="Times New Roman"/>
                <w:b/>
                <w:color w:val="000000" w:themeColor="text1"/>
                <w:sz w:val="20"/>
                <w:szCs w:val="20"/>
              </w:rPr>
            </w:pPr>
            <w:r w:rsidRPr="002D729A">
              <w:rPr>
                <w:rFonts w:ascii="Times New Roman" w:hAnsi="Times New Roman" w:cs="Times New Roman"/>
                <w:b/>
                <w:color w:val="000000" w:themeColor="text1"/>
                <w:sz w:val="20"/>
                <w:szCs w:val="20"/>
              </w:rPr>
              <w:t>Activity</w:t>
            </w:r>
          </w:p>
        </w:tc>
        <w:tc>
          <w:tcPr>
            <w:tcW w:w="4675" w:type="dxa"/>
          </w:tcPr>
          <w:p w14:paraId="0BEB3356" w14:textId="77777777" w:rsidR="00A130C4" w:rsidRPr="002D729A" w:rsidRDefault="00A130C4" w:rsidP="00A130C4">
            <w:pPr>
              <w:pStyle w:val="Default"/>
              <w:jc w:val="center"/>
              <w:rPr>
                <w:rFonts w:ascii="Times New Roman" w:hAnsi="Times New Roman" w:cs="Times New Roman"/>
                <w:b/>
                <w:color w:val="000000" w:themeColor="text1"/>
                <w:sz w:val="20"/>
                <w:szCs w:val="20"/>
              </w:rPr>
            </w:pPr>
            <w:r w:rsidRPr="002D729A">
              <w:rPr>
                <w:rFonts w:ascii="Times New Roman" w:hAnsi="Times New Roman" w:cs="Times New Roman"/>
                <w:b/>
                <w:color w:val="000000" w:themeColor="text1"/>
                <w:sz w:val="20"/>
                <w:szCs w:val="20"/>
              </w:rPr>
              <w:t>Time Schedule</w:t>
            </w:r>
          </w:p>
        </w:tc>
      </w:tr>
      <w:tr w:rsidR="007519D3" w:rsidRPr="007519D3" w14:paraId="5504F585" w14:textId="77777777" w:rsidTr="00A130C4">
        <w:tc>
          <w:tcPr>
            <w:tcW w:w="4675" w:type="dxa"/>
          </w:tcPr>
          <w:p w14:paraId="4FFDEB81"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Letters sent to respondents</w:t>
            </w:r>
          </w:p>
        </w:tc>
        <w:tc>
          <w:tcPr>
            <w:tcW w:w="4675" w:type="dxa"/>
          </w:tcPr>
          <w:p w14:paraId="5B408396" w14:textId="77777777" w:rsidR="00A130C4" w:rsidRPr="002D729A" w:rsidRDefault="00AA2790" w:rsidP="00AA2790">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 month</w:t>
            </w:r>
            <w:r w:rsidR="00A130C4" w:rsidRPr="002D729A">
              <w:rPr>
                <w:rFonts w:ascii="Times New Roman" w:hAnsi="Times New Roman" w:cs="Times New Roman"/>
                <w:color w:val="000000" w:themeColor="text1"/>
                <w:sz w:val="20"/>
                <w:szCs w:val="20"/>
              </w:rPr>
              <w:t xml:space="preserve"> after OMB approval</w:t>
            </w:r>
          </w:p>
        </w:tc>
      </w:tr>
      <w:tr w:rsidR="007519D3" w:rsidRPr="007519D3" w14:paraId="0AB9D7D7" w14:textId="77777777" w:rsidTr="00A130C4">
        <w:tc>
          <w:tcPr>
            <w:tcW w:w="4675" w:type="dxa"/>
          </w:tcPr>
          <w:p w14:paraId="3A4BDBF7"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Information/Data collection</w:t>
            </w:r>
          </w:p>
        </w:tc>
        <w:tc>
          <w:tcPr>
            <w:tcW w:w="4675" w:type="dxa"/>
          </w:tcPr>
          <w:p w14:paraId="0B4254BF" w14:textId="77777777" w:rsidR="00A130C4" w:rsidRPr="002D729A" w:rsidRDefault="00AA2790" w:rsidP="00AA2790">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3-8 months</w:t>
            </w:r>
            <w:r w:rsidR="00A130C4" w:rsidRPr="002D729A">
              <w:rPr>
                <w:rFonts w:ascii="Times New Roman" w:hAnsi="Times New Roman" w:cs="Times New Roman"/>
                <w:color w:val="000000" w:themeColor="text1"/>
                <w:sz w:val="20"/>
                <w:szCs w:val="20"/>
              </w:rPr>
              <w:t xml:space="preserve"> after OMB approval</w:t>
            </w:r>
          </w:p>
        </w:tc>
      </w:tr>
      <w:tr w:rsidR="007519D3" w:rsidRPr="007519D3" w14:paraId="5AB2288D" w14:textId="77777777" w:rsidTr="00A130C4">
        <w:tc>
          <w:tcPr>
            <w:tcW w:w="4675" w:type="dxa"/>
          </w:tcPr>
          <w:p w14:paraId="169A0C47"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Complete field work</w:t>
            </w:r>
          </w:p>
        </w:tc>
        <w:tc>
          <w:tcPr>
            <w:tcW w:w="4675" w:type="dxa"/>
          </w:tcPr>
          <w:p w14:paraId="2ED5C9F9" w14:textId="77777777" w:rsidR="00A130C4" w:rsidRPr="002D729A" w:rsidRDefault="00AA2790" w:rsidP="00AA2790">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8-9 months</w:t>
            </w:r>
            <w:r w:rsidR="00A130C4" w:rsidRPr="002D729A">
              <w:rPr>
                <w:rFonts w:ascii="Times New Roman" w:hAnsi="Times New Roman" w:cs="Times New Roman"/>
                <w:color w:val="000000" w:themeColor="text1"/>
                <w:sz w:val="20"/>
                <w:szCs w:val="20"/>
              </w:rPr>
              <w:t xml:space="preserve"> after OMB approval</w:t>
            </w:r>
          </w:p>
        </w:tc>
      </w:tr>
      <w:tr w:rsidR="007519D3" w:rsidRPr="007519D3" w14:paraId="336B55E9" w14:textId="77777777" w:rsidTr="00A130C4">
        <w:tc>
          <w:tcPr>
            <w:tcW w:w="4675" w:type="dxa"/>
          </w:tcPr>
          <w:p w14:paraId="7FCA93EB"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Validation</w:t>
            </w:r>
          </w:p>
        </w:tc>
        <w:tc>
          <w:tcPr>
            <w:tcW w:w="4675" w:type="dxa"/>
          </w:tcPr>
          <w:p w14:paraId="19999164" w14:textId="77777777" w:rsidR="00A130C4" w:rsidRPr="002D729A" w:rsidRDefault="00460E82"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 xml:space="preserve">10-12 </w:t>
            </w:r>
            <w:r w:rsidR="007519D3" w:rsidRPr="002D729A">
              <w:rPr>
                <w:rFonts w:ascii="Times New Roman" w:hAnsi="Times New Roman" w:cs="Times New Roman"/>
                <w:color w:val="000000" w:themeColor="text1"/>
                <w:sz w:val="20"/>
                <w:szCs w:val="20"/>
              </w:rPr>
              <w:t>months after OMB approval</w:t>
            </w:r>
          </w:p>
        </w:tc>
      </w:tr>
      <w:tr w:rsidR="007519D3" w:rsidRPr="007519D3" w14:paraId="2E2428F8" w14:textId="77777777" w:rsidTr="00A130C4">
        <w:tc>
          <w:tcPr>
            <w:tcW w:w="4675" w:type="dxa"/>
          </w:tcPr>
          <w:p w14:paraId="37CBA868"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Analyses</w:t>
            </w:r>
          </w:p>
        </w:tc>
        <w:tc>
          <w:tcPr>
            <w:tcW w:w="4675" w:type="dxa"/>
          </w:tcPr>
          <w:p w14:paraId="1B0872AD" w14:textId="77777777" w:rsidR="00A130C4" w:rsidRPr="002D729A" w:rsidRDefault="00460E82"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12-18</w:t>
            </w:r>
            <w:r w:rsidR="007519D3" w:rsidRPr="002D729A">
              <w:rPr>
                <w:rFonts w:ascii="Times New Roman" w:hAnsi="Times New Roman" w:cs="Times New Roman"/>
                <w:color w:val="000000" w:themeColor="text1"/>
                <w:sz w:val="20"/>
                <w:szCs w:val="20"/>
              </w:rPr>
              <w:t xml:space="preserve"> months after OMB approval</w:t>
            </w:r>
          </w:p>
        </w:tc>
      </w:tr>
      <w:tr w:rsidR="007519D3" w:rsidRPr="007519D3" w14:paraId="10476A28" w14:textId="77777777" w:rsidTr="00A130C4">
        <w:tc>
          <w:tcPr>
            <w:tcW w:w="4675" w:type="dxa"/>
          </w:tcPr>
          <w:p w14:paraId="3C448EEE" w14:textId="77777777" w:rsidR="00A130C4" w:rsidRPr="002D729A" w:rsidRDefault="00A130C4"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Publication</w:t>
            </w:r>
          </w:p>
        </w:tc>
        <w:tc>
          <w:tcPr>
            <w:tcW w:w="4675" w:type="dxa"/>
          </w:tcPr>
          <w:p w14:paraId="2D2C1C53" w14:textId="77777777" w:rsidR="00A130C4" w:rsidRPr="002D729A" w:rsidRDefault="007519D3" w:rsidP="003058E3">
            <w:pPr>
              <w:pStyle w:val="Default"/>
              <w:rPr>
                <w:rFonts w:ascii="Times New Roman" w:hAnsi="Times New Roman" w:cs="Times New Roman"/>
                <w:color w:val="000000" w:themeColor="text1"/>
                <w:sz w:val="20"/>
                <w:szCs w:val="20"/>
              </w:rPr>
            </w:pPr>
            <w:r w:rsidRPr="002D729A">
              <w:rPr>
                <w:rFonts w:ascii="Times New Roman" w:hAnsi="Times New Roman" w:cs="Times New Roman"/>
                <w:color w:val="000000" w:themeColor="text1"/>
                <w:sz w:val="20"/>
                <w:szCs w:val="20"/>
              </w:rPr>
              <w:t>18</w:t>
            </w:r>
            <w:r w:rsidR="00460E82" w:rsidRPr="002D729A">
              <w:rPr>
                <w:rFonts w:ascii="Times New Roman" w:hAnsi="Times New Roman" w:cs="Times New Roman"/>
                <w:color w:val="000000" w:themeColor="text1"/>
                <w:sz w:val="20"/>
                <w:szCs w:val="20"/>
              </w:rPr>
              <w:t>-24</w:t>
            </w:r>
            <w:r w:rsidRPr="002D729A">
              <w:rPr>
                <w:rFonts w:ascii="Times New Roman" w:hAnsi="Times New Roman" w:cs="Times New Roman"/>
                <w:color w:val="000000" w:themeColor="text1"/>
                <w:sz w:val="20"/>
                <w:szCs w:val="20"/>
              </w:rPr>
              <w:t xml:space="preserve"> months after OMB approval</w:t>
            </w:r>
          </w:p>
        </w:tc>
      </w:tr>
    </w:tbl>
    <w:p w14:paraId="1EC03762" w14:textId="77777777" w:rsidR="00A130C4" w:rsidRDefault="00A130C4" w:rsidP="003058E3">
      <w:pPr>
        <w:spacing w:after="0" w:line="240" w:lineRule="auto"/>
        <w:rPr>
          <w:rFonts w:ascii="Times New Roman" w:eastAsia="Arial Unicode MS" w:hAnsi="Times New Roman"/>
          <w:sz w:val="24"/>
          <w:szCs w:val="24"/>
          <w:u w:color="000000"/>
        </w:rPr>
      </w:pPr>
    </w:p>
    <w:p w14:paraId="4F195C94" w14:textId="72DA4B11" w:rsidR="003058E3" w:rsidRPr="00F33E1C" w:rsidRDefault="00A130C4" w:rsidP="003058E3">
      <w:pPr>
        <w:spacing w:after="0" w:line="240" w:lineRule="auto"/>
        <w:rPr>
          <w:rFonts w:ascii="Times New Roman" w:eastAsia="Arial Unicode MS" w:hAnsi="Times New Roman"/>
          <w:sz w:val="24"/>
          <w:szCs w:val="24"/>
          <w:u w:color="000000"/>
        </w:rPr>
      </w:pPr>
      <w:r>
        <w:rPr>
          <w:rFonts w:ascii="Times New Roman" w:eastAsia="Arial Unicode MS" w:hAnsi="Times New Roman"/>
          <w:sz w:val="24"/>
          <w:szCs w:val="24"/>
          <w:u w:color="000000"/>
        </w:rPr>
        <w:t>For each</w:t>
      </w:r>
      <w:r w:rsidR="003058E3" w:rsidRPr="00F33E1C">
        <w:rPr>
          <w:rFonts w:ascii="Times New Roman" w:eastAsia="Arial Unicode MS" w:hAnsi="Times New Roman"/>
          <w:sz w:val="24"/>
          <w:szCs w:val="24"/>
          <w:u w:color="000000"/>
        </w:rPr>
        <w:t xml:space="preserve"> investigation, the lead investigator</w:t>
      </w:r>
      <w:r w:rsidR="007519D3">
        <w:rPr>
          <w:rFonts w:ascii="Times New Roman" w:eastAsia="Arial Unicode MS" w:hAnsi="Times New Roman"/>
          <w:sz w:val="24"/>
          <w:szCs w:val="24"/>
          <w:u w:color="000000"/>
        </w:rPr>
        <w:t xml:space="preserve"> at NCEH will collaborate with the requesting </w:t>
      </w:r>
      <w:r w:rsidR="00327FD1">
        <w:rPr>
          <w:rFonts w:ascii="Times New Roman" w:eastAsia="Arial Unicode MS" w:hAnsi="Times New Roman"/>
          <w:sz w:val="24"/>
          <w:szCs w:val="24"/>
          <w:u w:color="000000"/>
        </w:rPr>
        <w:t>agency</w:t>
      </w:r>
      <w:r w:rsidR="007519D3">
        <w:rPr>
          <w:rFonts w:ascii="Times New Roman" w:eastAsia="Arial Unicode MS" w:hAnsi="Times New Roman"/>
          <w:sz w:val="24"/>
          <w:szCs w:val="24"/>
          <w:u w:color="000000"/>
        </w:rPr>
        <w:t xml:space="preserve"> to develop an analysis plan and conduct</w:t>
      </w:r>
      <w:r w:rsidR="003058E3" w:rsidRPr="00F33E1C">
        <w:rPr>
          <w:rFonts w:ascii="Times New Roman" w:eastAsia="Arial Unicode MS" w:hAnsi="Times New Roman"/>
          <w:sz w:val="24"/>
          <w:szCs w:val="24"/>
          <w:u w:color="000000"/>
        </w:rPr>
        <w:t xml:space="preserve"> the data analysis. Preliminary findings are ge</w:t>
      </w:r>
      <w:r w:rsidR="007F3B76" w:rsidRPr="00F33E1C">
        <w:rPr>
          <w:rFonts w:ascii="Times New Roman" w:eastAsia="Arial Unicode MS" w:hAnsi="Times New Roman"/>
          <w:sz w:val="24"/>
          <w:szCs w:val="24"/>
          <w:u w:color="000000"/>
        </w:rPr>
        <w:t>nerally provided to the requesting</w:t>
      </w:r>
      <w:r>
        <w:rPr>
          <w:rFonts w:ascii="Times New Roman" w:eastAsia="Arial Unicode MS" w:hAnsi="Times New Roman"/>
          <w:sz w:val="24"/>
          <w:szCs w:val="24"/>
          <w:u w:color="000000"/>
        </w:rPr>
        <w:t xml:space="preserve"> </w:t>
      </w:r>
      <w:r w:rsidR="00327FD1">
        <w:rPr>
          <w:rFonts w:ascii="Times New Roman" w:eastAsia="Arial Unicode MS" w:hAnsi="Times New Roman"/>
          <w:sz w:val="24"/>
          <w:szCs w:val="24"/>
          <w:u w:color="000000"/>
        </w:rPr>
        <w:t>agency</w:t>
      </w:r>
      <w:r w:rsidR="003058E3" w:rsidRPr="00F33E1C">
        <w:rPr>
          <w:rFonts w:ascii="Times New Roman" w:eastAsia="Arial Unicode MS" w:hAnsi="Times New Roman"/>
          <w:sz w:val="24"/>
          <w:szCs w:val="24"/>
          <w:u w:color="000000"/>
        </w:rPr>
        <w:t xml:space="preserve"> at the end of th</w:t>
      </w:r>
      <w:r w:rsidR="00095DED">
        <w:rPr>
          <w:rFonts w:ascii="Times New Roman" w:eastAsia="Arial Unicode MS" w:hAnsi="Times New Roman"/>
          <w:sz w:val="24"/>
          <w:szCs w:val="24"/>
          <w:u w:color="000000"/>
        </w:rPr>
        <w:t>e field investigation</w:t>
      </w:r>
      <w:r w:rsidR="003058E3" w:rsidRPr="00F33E1C">
        <w:rPr>
          <w:rFonts w:ascii="Times New Roman" w:eastAsia="Arial Unicode MS" w:hAnsi="Times New Roman"/>
          <w:sz w:val="24"/>
          <w:szCs w:val="24"/>
          <w:u w:color="000000"/>
        </w:rPr>
        <w:t xml:space="preserve">. A preliminary report summarizing the early findings of the investigation is </w:t>
      </w:r>
      <w:r w:rsidR="007519D3">
        <w:rPr>
          <w:rFonts w:ascii="Times New Roman" w:eastAsia="Arial Unicode MS" w:hAnsi="Times New Roman"/>
          <w:sz w:val="24"/>
          <w:szCs w:val="24"/>
          <w:u w:color="000000"/>
        </w:rPr>
        <w:t xml:space="preserve">written by the lead NCEH investigator in collaboration with the requesting </w:t>
      </w:r>
      <w:r w:rsidR="00327FD1">
        <w:rPr>
          <w:rFonts w:ascii="Times New Roman" w:eastAsia="Arial Unicode MS" w:hAnsi="Times New Roman"/>
          <w:sz w:val="24"/>
          <w:szCs w:val="24"/>
          <w:u w:color="000000"/>
        </w:rPr>
        <w:t>agency</w:t>
      </w:r>
      <w:r w:rsidR="007519D3">
        <w:rPr>
          <w:rFonts w:ascii="Times New Roman" w:eastAsia="Arial Unicode MS" w:hAnsi="Times New Roman"/>
          <w:sz w:val="24"/>
          <w:szCs w:val="24"/>
          <w:u w:color="000000"/>
        </w:rPr>
        <w:t xml:space="preserve"> a</w:t>
      </w:r>
      <w:r w:rsidR="003058E3" w:rsidRPr="00F33E1C">
        <w:rPr>
          <w:rFonts w:ascii="Times New Roman" w:eastAsia="Arial Unicode MS" w:hAnsi="Times New Roman"/>
          <w:sz w:val="24"/>
          <w:szCs w:val="24"/>
          <w:u w:color="000000"/>
        </w:rPr>
        <w:t>nd provided to CDC. Any publica</w:t>
      </w:r>
      <w:r>
        <w:rPr>
          <w:rFonts w:ascii="Times New Roman" w:eastAsia="Arial Unicode MS" w:hAnsi="Times New Roman"/>
          <w:sz w:val="24"/>
          <w:szCs w:val="24"/>
          <w:u w:color="000000"/>
        </w:rPr>
        <w:t>tion of data derived from an</w:t>
      </w:r>
      <w:r w:rsidR="003058E3" w:rsidRPr="00F33E1C">
        <w:rPr>
          <w:rFonts w:ascii="Times New Roman" w:eastAsia="Arial Unicode MS" w:hAnsi="Times New Roman"/>
          <w:sz w:val="24"/>
          <w:szCs w:val="24"/>
          <w:u w:color="000000"/>
        </w:rPr>
        <w:t xml:space="preserve"> investigation is subject to review b</w:t>
      </w:r>
      <w:r w:rsidR="007519D3">
        <w:rPr>
          <w:rFonts w:ascii="Times New Roman" w:eastAsia="Arial Unicode MS" w:hAnsi="Times New Roman"/>
          <w:sz w:val="24"/>
          <w:szCs w:val="24"/>
          <w:u w:color="000000"/>
        </w:rPr>
        <w:t xml:space="preserve">y the requesting </w:t>
      </w:r>
      <w:r w:rsidR="00327FD1">
        <w:rPr>
          <w:rFonts w:ascii="Times New Roman" w:eastAsia="Arial Unicode MS" w:hAnsi="Times New Roman"/>
          <w:sz w:val="24"/>
          <w:szCs w:val="24"/>
          <w:u w:color="000000"/>
        </w:rPr>
        <w:t>agency</w:t>
      </w:r>
      <w:r w:rsidR="007F3B76" w:rsidRPr="00F33E1C">
        <w:rPr>
          <w:rFonts w:ascii="Times New Roman" w:eastAsia="Arial Unicode MS" w:hAnsi="Times New Roman"/>
          <w:sz w:val="24"/>
          <w:szCs w:val="24"/>
          <w:u w:color="000000"/>
        </w:rPr>
        <w:t>, NCEH</w:t>
      </w:r>
      <w:r w:rsidR="003058E3" w:rsidRPr="00F33E1C">
        <w:rPr>
          <w:rFonts w:ascii="Times New Roman" w:eastAsia="Arial Unicode MS" w:hAnsi="Times New Roman"/>
          <w:sz w:val="24"/>
          <w:szCs w:val="24"/>
          <w:u w:color="000000"/>
        </w:rPr>
        <w:t>, CDC, and other collaborating federal agencies.</w:t>
      </w:r>
    </w:p>
    <w:p w14:paraId="1B017987" w14:textId="77777777" w:rsidR="003058E3" w:rsidRPr="00F33E1C" w:rsidRDefault="003058E3" w:rsidP="003058E3">
      <w:pPr>
        <w:spacing w:after="0" w:line="240" w:lineRule="auto"/>
        <w:rPr>
          <w:rFonts w:ascii="Times New Roman" w:eastAsia="Arial Unicode MS" w:hAnsi="Times New Roman"/>
          <w:sz w:val="24"/>
          <w:szCs w:val="24"/>
          <w:u w:color="000000"/>
        </w:rPr>
      </w:pPr>
    </w:p>
    <w:p w14:paraId="229FE8C4" w14:textId="77777777" w:rsidR="003058E3" w:rsidRPr="00F33E1C" w:rsidRDefault="003058E3" w:rsidP="003058E3">
      <w:pPr>
        <w:pStyle w:val="Default"/>
        <w:rPr>
          <w:rFonts w:ascii="Times New Roman" w:hAnsi="Times New Roman" w:cs="Times New Roman"/>
          <w:b/>
          <w:color w:val="auto"/>
        </w:rPr>
      </w:pPr>
      <w:r w:rsidRPr="00F33E1C">
        <w:rPr>
          <w:rFonts w:ascii="Times New Roman" w:hAnsi="Times New Roman" w:cs="Times New Roman"/>
          <w:b/>
          <w:color w:val="auto"/>
        </w:rPr>
        <w:t xml:space="preserve">17. Reason(s) Display of OMB Expiration Date is Inappropriate </w:t>
      </w:r>
    </w:p>
    <w:p w14:paraId="6BB16DEF" w14:textId="77777777" w:rsidR="003058E3" w:rsidRPr="00F33E1C" w:rsidRDefault="003058E3" w:rsidP="003058E3">
      <w:pPr>
        <w:pStyle w:val="Default"/>
        <w:rPr>
          <w:rFonts w:ascii="Times New Roman" w:hAnsi="Times New Roman" w:cs="Times New Roman"/>
          <w:color w:val="4F81BD" w:themeColor="accent1"/>
        </w:rPr>
      </w:pPr>
    </w:p>
    <w:p w14:paraId="10D355A6" w14:textId="77777777" w:rsidR="003058E3" w:rsidRPr="00F33E1C" w:rsidRDefault="003058E3" w:rsidP="003058E3">
      <w:pPr>
        <w:pStyle w:val="Default"/>
        <w:rPr>
          <w:rFonts w:ascii="Times New Roman" w:hAnsi="Times New Roman" w:cs="Times New Roman"/>
        </w:rPr>
      </w:pPr>
      <w:r w:rsidRPr="00F33E1C">
        <w:rPr>
          <w:rFonts w:ascii="Times New Roman" w:hAnsi="Times New Roman" w:cs="Times New Roman"/>
        </w:rPr>
        <w:t>The display of the OMB expiration date is appropriate.</w:t>
      </w:r>
    </w:p>
    <w:p w14:paraId="16898378" w14:textId="77777777" w:rsidR="003058E3" w:rsidRPr="00F33E1C" w:rsidRDefault="003058E3" w:rsidP="003058E3">
      <w:pPr>
        <w:pStyle w:val="Default"/>
        <w:rPr>
          <w:rFonts w:ascii="Times New Roman" w:hAnsi="Times New Roman" w:cs="Times New Roman"/>
          <w:b/>
          <w:color w:val="auto"/>
        </w:rPr>
      </w:pPr>
    </w:p>
    <w:p w14:paraId="348554FB" w14:textId="77777777" w:rsidR="003058E3" w:rsidRPr="00F33E1C" w:rsidRDefault="003058E3" w:rsidP="003058E3">
      <w:pPr>
        <w:rPr>
          <w:rFonts w:ascii="Times New Roman" w:hAnsi="Times New Roman"/>
          <w:b/>
          <w:sz w:val="24"/>
          <w:szCs w:val="24"/>
        </w:rPr>
      </w:pPr>
      <w:r w:rsidRPr="00F33E1C">
        <w:rPr>
          <w:rFonts w:ascii="Times New Roman" w:hAnsi="Times New Roman"/>
          <w:b/>
          <w:sz w:val="24"/>
          <w:szCs w:val="24"/>
        </w:rPr>
        <w:t>18. Exceptions to Certification for Paperwork Reduction Act Submissions</w:t>
      </w:r>
    </w:p>
    <w:p w14:paraId="7A19F879" w14:textId="77777777" w:rsidR="003058E3" w:rsidRPr="00F33E1C" w:rsidRDefault="003058E3" w:rsidP="003058E3">
      <w:pPr>
        <w:spacing w:line="240" w:lineRule="auto"/>
        <w:rPr>
          <w:rFonts w:ascii="Times New Roman" w:hAnsi="Times New Roman"/>
          <w:sz w:val="24"/>
          <w:szCs w:val="24"/>
        </w:rPr>
      </w:pPr>
      <w:r w:rsidRPr="00F33E1C">
        <w:rPr>
          <w:rFonts w:ascii="Times New Roman" w:hAnsi="Times New Roman"/>
          <w:sz w:val="24"/>
          <w:szCs w:val="24"/>
        </w:rPr>
        <w:t>There are no exceptions to the certification.</w:t>
      </w:r>
    </w:p>
    <w:p w14:paraId="41C77AED" w14:textId="77777777" w:rsidR="00747191" w:rsidRDefault="00747191" w:rsidP="00D30660">
      <w:pPr>
        <w:pStyle w:val="Heading1"/>
        <w:rPr>
          <w:rFonts w:ascii="Times New Roman" w:hAnsi="Times New Roman"/>
          <w:sz w:val="24"/>
          <w:szCs w:val="24"/>
        </w:rPr>
      </w:pPr>
    </w:p>
    <w:p w14:paraId="1CC3B9D4" w14:textId="77777777" w:rsidR="00747191" w:rsidRDefault="00747191" w:rsidP="00D30660">
      <w:pPr>
        <w:pStyle w:val="Heading1"/>
        <w:rPr>
          <w:rFonts w:ascii="Times New Roman" w:hAnsi="Times New Roman"/>
          <w:sz w:val="24"/>
          <w:szCs w:val="24"/>
        </w:rPr>
      </w:pPr>
    </w:p>
    <w:p w14:paraId="7AD7ADC2" w14:textId="77777777" w:rsidR="001F67B4" w:rsidRDefault="001F67B4">
      <w:pPr>
        <w:spacing w:after="0" w:line="240" w:lineRule="auto"/>
        <w:rPr>
          <w:rFonts w:ascii="Times New Roman" w:hAnsi="Times New Roman"/>
          <w:b/>
          <w:sz w:val="24"/>
          <w:szCs w:val="24"/>
        </w:rPr>
      </w:pPr>
      <w:r>
        <w:rPr>
          <w:rFonts w:ascii="Times New Roman" w:hAnsi="Times New Roman"/>
          <w:sz w:val="24"/>
          <w:szCs w:val="24"/>
        </w:rPr>
        <w:br w:type="page"/>
      </w:r>
    </w:p>
    <w:p w14:paraId="24AE024E" w14:textId="6C36513E" w:rsidR="00D30660" w:rsidRPr="00F33E1C" w:rsidRDefault="00D30660" w:rsidP="00D30660">
      <w:pPr>
        <w:pStyle w:val="Heading1"/>
        <w:rPr>
          <w:rFonts w:ascii="Times New Roman" w:hAnsi="Times New Roman"/>
          <w:sz w:val="24"/>
          <w:szCs w:val="24"/>
        </w:rPr>
      </w:pPr>
      <w:r w:rsidRPr="00F33E1C">
        <w:rPr>
          <w:rFonts w:ascii="Times New Roman" w:hAnsi="Times New Roman"/>
          <w:sz w:val="24"/>
          <w:szCs w:val="24"/>
        </w:rPr>
        <w:t>REFERENCES</w:t>
      </w:r>
    </w:p>
    <w:p w14:paraId="429B2BD3" w14:textId="77777777" w:rsidR="00D30660" w:rsidRPr="00F33E1C" w:rsidRDefault="00D30660" w:rsidP="00D30660">
      <w:pPr>
        <w:rPr>
          <w:rFonts w:ascii="Times New Roman" w:hAnsi="Times New Roman"/>
          <w:sz w:val="24"/>
          <w:szCs w:val="24"/>
        </w:rPr>
      </w:pPr>
    </w:p>
    <w:p w14:paraId="55ED0E0D" w14:textId="77777777" w:rsidR="00D30660" w:rsidRPr="00F33E1C" w:rsidRDefault="00D30660" w:rsidP="00442C13">
      <w:pPr>
        <w:numPr>
          <w:ilvl w:val="0"/>
          <w:numId w:val="4"/>
        </w:numPr>
        <w:spacing w:line="240" w:lineRule="auto"/>
        <w:rPr>
          <w:rFonts w:ascii="Times New Roman" w:hAnsi="Times New Roman"/>
          <w:sz w:val="24"/>
          <w:szCs w:val="24"/>
        </w:rPr>
      </w:pPr>
      <w:r w:rsidRPr="00F33E1C">
        <w:rPr>
          <w:rFonts w:ascii="Times New Roman" w:hAnsi="Times New Roman"/>
          <w:sz w:val="24"/>
          <w:szCs w:val="24"/>
        </w:rPr>
        <w:t>SDWA. (1974). The Safe Drinking Water Act of 1974.  Public Law 93-523.  December 16, 1974.</w:t>
      </w:r>
    </w:p>
    <w:p w14:paraId="0240DEBF" w14:textId="77777777" w:rsidR="00D30660" w:rsidRPr="00F33E1C" w:rsidRDefault="00D30660" w:rsidP="00442C13">
      <w:pPr>
        <w:numPr>
          <w:ilvl w:val="0"/>
          <w:numId w:val="4"/>
        </w:numPr>
        <w:spacing w:line="240" w:lineRule="auto"/>
        <w:rPr>
          <w:rFonts w:ascii="Times New Roman" w:hAnsi="Times New Roman"/>
          <w:sz w:val="24"/>
          <w:szCs w:val="24"/>
        </w:rPr>
      </w:pPr>
      <w:r w:rsidRPr="00F33E1C">
        <w:rPr>
          <w:rFonts w:ascii="Times New Roman" w:hAnsi="Times New Roman"/>
          <w:sz w:val="24"/>
          <w:szCs w:val="24"/>
        </w:rPr>
        <w:t xml:space="preserve">National Ground Water Association. 2015. Ground water use in the United States of America. Available online </w:t>
      </w:r>
      <w:hyperlink r:id="rId19" w:history="1">
        <w:r w:rsidRPr="00F33E1C">
          <w:rPr>
            <w:rStyle w:val="Hyperlink"/>
            <w:rFonts w:ascii="Times New Roman" w:hAnsi="Times New Roman"/>
            <w:sz w:val="24"/>
            <w:szCs w:val="24"/>
          </w:rPr>
          <w:t>http://www.ngwa.org/fundamentals/use/documents/usfactsheet.pdf</w:t>
        </w:r>
      </w:hyperlink>
      <w:r w:rsidRPr="00F33E1C">
        <w:rPr>
          <w:rFonts w:ascii="Times New Roman" w:hAnsi="Times New Roman"/>
          <w:sz w:val="24"/>
          <w:szCs w:val="24"/>
        </w:rPr>
        <w:t xml:space="preserve"> (accessed 28 Aug 2015). Calculated by using the 2014 nonmetropolitan average household size multiplied by the number of occupied households using water wells in the American Housing Survey for 2013. This estimate is derived from the most recent population and household data, and is recommended for use by CDC in future documents.</w:t>
      </w:r>
    </w:p>
    <w:sectPr w:rsidR="00D30660" w:rsidRPr="00F33E1C" w:rsidSect="009429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59A1D" w14:textId="77777777" w:rsidR="0046612C" w:rsidRDefault="0046612C">
      <w:pPr>
        <w:spacing w:after="0" w:line="240" w:lineRule="auto"/>
      </w:pPr>
      <w:r>
        <w:separator/>
      </w:r>
    </w:p>
  </w:endnote>
  <w:endnote w:type="continuationSeparator" w:id="0">
    <w:p w14:paraId="109E849D" w14:textId="77777777" w:rsidR="0046612C" w:rsidRDefault="0046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F7544" w14:textId="77777777" w:rsidR="0046612C" w:rsidRDefault="004661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578035"/>
      <w:docPartObj>
        <w:docPartGallery w:val="Page Numbers (Bottom of Page)"/>
        <w:docPartUnique/>
      </w:docPartObj>
    </w:sdtPr>
    <w:sdtEndPr>
      <w:rPr>
        <w:noProof/>
      </w:rPr>
    </w:sdtEndPr>
    <w:sdtContent>
      <w:p w14:paraId="7FEFD6F0" w14:textId="77777777" w:rsidR="0046612C" w:rsidRDefault="0046612C">
        <w:pPr>
          <w:pStyle w:val="Footer"/>
          <w:jc w:val="center"/>
        </w:pPr>
        <w:r>
          <w:fldChar w:fldCharType="begin"/>
        </w:r>
        <w:r>
          <w:instrText xml:space="preserve"> PAGE   \* MERGEFORMAT </w:instrText>
        </w:r>
        <w:r>
          <w:fldChar w:fldCharType="separate"/>
        </w:r>
        <w:r w:rsidR="00362FE9">
          <w:rPr>
            <w:noProof/>
          </w:rPr>
          <w:t>17</w:t>
        </w:r>
        <w:r>
          <w:rPr>
            <w:noProof/>
          </w:rPr>
          <w:fldChar w:fldCharType="end"/>
        </w:r>
      </w:p>
    </w:sdtContent>
  </w:sdt>
  <w:p w14:paraId="2F15C3C7" w14:textId="77777777" w:rsidR="0046612C" w:rsidRDefault="004661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91385" w14:textId="77777777" w:rsidR="0046612C" w:rsidRDefault="00466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D8272" w14:textId="77777777" w:rsidR="0046612C" w:rsidRDefault="0046612C">
      <w:pPr>
        <w:spacing w:after="0" w:line="240" w:lineRule="auto"/>
      </w:pPr>
      <w:r>
        <w:separator/>
      </w:r>
    </w:p>
  </w:footnote>
  <w:footnote w:type="continuationSeparator" w:id="0">
    <w:p w14:paraId="7F555953" w14:textId="77777777" w:rsidR="0046612C" w:rsidRDefault="004661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1CCDC" w14:textId="77777777" w:rsidR="0046612C" w:rsidRDefault="00466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E82FF" w14:textId="77777777" w:rsidR="0046612C" w:rsidRDefault="004661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6189" w14:textId="77777777" w:rsidR="0046612C" w:rsidRDefault="004661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90820"/>
    <w:multiLevelType w:val="hybridMultilevel"/>
    <w:tmpl w:val="C97C1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D075A"/>
    <w:multiLevelType w:val="hybridMultilevel"/>
    <w:tmpl w:val="A980296E"/>
    <w:lvl w:ilvl="0" w:tplc="D3FA9B9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1229B"/>
    <w:multiLevelType w:val="hybridMultilevel"/>
    <w:tmpl w:val="64F8E652"/>
    <w:lvl w:ilvl="0" w:tplc="5DF62566">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E2164"/>
    <w:multiLevelType w:val="hybridMultilevel"/>
    <w:tmpl w:val="8326B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F2D8A"/>
    <w:multiLevelType w:val="hybridMultilevel"/>
    <w:tmpl w:val="2DDA77CE"/>
    <w:lvl w:ilvl="0" w:tplc="74E60CB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F7430"/>
    <w:multiLevelType w:val="hybridMultilevel"/>
    <w:tmpl w:val="2F845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F92AD8"/>
    <w:multiLevelType w:val="hybridMultilevel"/>
    <w:tmpl w:val="D2B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12705"/>
    <w:multiLevelType w:val="hybridMultilevel"/>
    <w:tmpl w:val="84263926"/>
    <w:lvl w:ilvl="0" w:tplc="D038AD32">
      <w:start w:val="1"/>
      <w:numFmt w:val="decimal"/>
      <w:pStyle w:val="Heading2"/>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7"/>
  </w:num>
  <w:num w:numId="2">
    <w:abstractNumId w:val="6"/>
  </w:num>
  <w:num w:numId="3">
    <w:abstractNumId w:val="0"/>
  </w:num>
  <w:num w:numId="4">
    <w:abstractNumId w:val="3"/>
  </w:num>
  <w:num w:numId="5">
    <w:abstractNumId w:val="1"/>
  </w:num>
  <w:num w:numId="6">
    <w:abstractNumId w:val="2"/>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5"/>
  <w:removePersonalInformation/>
  <w:removeDateAndTime/>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07897"/>
    <w:rsid w:val="00020C79"/>
    <w:rsid w:val="000218C8"/>
    <w:rsid w:val="000255EC"/>
    <w:rsid w:val="0004251A"/>
    <w:rsid w:val="00043B2E"/>
    <w:rsid w:val="00054789"/>
    <w:rsid w:val="0006059B"/>
    <w:rsid w:val="00060DF3"/>
    <w:rsid w:val="000645DC"/>
    <w:rsid w:val="00066515"/>
    <w:rsid w:val="00066C2A"/>
    <w:rsid w:val="0007092C"/>
    <w:rsid w:val="00072030"/>
    <w:rsid w:val="00074B37"/>
    <w:rsid w:val="00075293"/>
    <w:rsid w:val="00085176"/>
    <w:rsid w:val="00090682"/>
    <w:rsid w:val="000922C4"/>
    <w:rsid w:val="000923AD"/>
    <w:rsid w:val="00095DED"/>
    <w:rsid w:val="000A410F"/>
    <w:rsid w:val="000A4AFE"/>
    <w:rsid w:val="000A4C0D"/>
    <w:rsid w:val="000B04CC"/>
    <w:rsid w:val="000B055A"/>
    <w:rsid w:val="000B3711"/>
    <w:rsid w:val="000B4026"/>
    <w:rsid w:val="000B4699"/>
    <w:rsid w:val="000C0A7E"/>
    <w:rsid w:val="000C7471"/>
    <w:rsid w:val="000D1D26"/>
    <w:rsid w:val="000D32C5"/>
    <w:rsid w:val="000D776F"/>
    <w:rsid w:val="000D7AB2"/>
    <w:rsid w:val="000E75C2"/>
    <w:rsid w:val="00102B01"/>
    <w:rsid w:val="001054C5"/>
    <w:rsid w:val="00111BA6"/>
    <w:rsid w:val="00111BBC"/>
    <w:rsid w:val="00114B19"/>
    <w:rsid w:val="00116F4E"/>
    <w:rsid w:val="00120660"/>
    <w:rsid w:val="00120A60"/>
    <w:rsid w:val="00123758"/>
    <w:rsid w:val="001323E4"/>
    <w:rsid w:val="0013425B"/>
    <w:rsid w:val="00141974"/>
    <w:rsid w:val="0014708A"/>
    <w:rsid w:val="00152D32"/>
    <w:rsid w:val="00153E20"/>
    <w:rsid w:val="001628A1"/>
    <w:rsid w:val="00172EEC"/>
    <w:rsid w:val="00174A0D"/>
    <w:rsid w:val="00177656"/>
    <w:rsid w:val="001841CE"/>
    <w:rsid w:val="0019576D"/>
    <w:rsid w:val="001A0953"/>
    <w:rsid w:val="001A1E1C"/>
    <w:rsid w:val="001B43EE"/>
    <w:rsid w:val="001B5644"/>
    <w:rsid w:val="001D2A6D"/>
    <w:rsid w:val="001E2079"/>
    <w:rsid w:val="001E2857"/>
    <w:rsid w:val="001E44AB"/>
    <w:rsid w:val="001E5884"/>
    <w:rsid w:val="001E7A97"/>
    <w:rsid w:val="001F0275"/>
    <w:rsid w:val="001F0D7D"/>
    <w:rsid w:val="001F0FEF"/>
    <w:rsid w:val="001F177E"/>
    <w:rsid w:val="001F18C4"/>
    <w:rsid w:val="001F67B4"/>
    <w:rsid w:val="001F7BC9"/>
    <w:rsid w:val="00203689"/>
    <w:rsid w:val="00215013"/>
    <w:rsid w:val="00216A94"/>
    <w:rsid w:val="002272E1"/>
    <w:rsid w:val="002278E4"/>
    <w:rsid w:val="0023128B"/>
    <w:rsid w:val="002313F2"/>
    <w:rsid w:val="00240FAC"/>
    <w:rsid w:val="002502AA"/>
    <w:rsid w:val="00252F17"/>
    <w:rsid w:val="00255449"/>
    <w:rsid w:val="00256D0E"/>
    <w:rsid w:val="00257FEC"/>
    <w:rsid w:val="002622F6"/>
    <w:rsid w:val="00270C26"/>
    <w:rsid w:val="002736B9"/>
    <w:rsid w:val="0028015E"/>
    <w:rsid w:val="002868BF"/>
    <w:rsid w:val="0029408A"/>
    <w:rsid w:val="002947B1"/>
    <w:rsid w:val="002A35E6"/>
    <w:rsid w:val="002A5119"/>
    <w:rsid w:val="002A7104"/>
    <w:rsid w:val="002B0B32"/>
    <w:rsid w:val="002B0D41"/>
    <w:rsid w:val="002B1FC9"/>
    <w:rsid w:val="002B295D"/>
    <w:rsid w:val="002B509F"/>
    <w:rsid w:val="002B518A"/>
    <w:rsid w:val="002B634E"/>
    <w:rsid w:val="002B6F38"/>
    <w:rsid w:val="002C439E"/>
    <w:rsid w:val="002C520D"/>
    <w:rsid w:val="002D002F"/>
    <w:rsid w:val="002D215F"/>
    <w:rsid w:val="002D36B4"/>
    <w:rsid w:val="002D42A9"/>
    <w:rsid w:val="002D434C"/>
    <w:rsid w:val="002D4F75"/>
    <w:rsid w:val="002D729A"/>
    <w:rsid w:val="002E2BFD"/>
    <w:rsid w:val="002E3C76"/>
    <w:rsid w:val="002E6028"/>
    <w:rsid w:val="002E7D4C"/>
    <w:rsid w:val="002F01EE"/>
    <w:rsid w:val="00301DF3"/>
    <w:rsid w:val="0030350C"/>
    <w:rsid w:val="00303D82"/>
    <w:rsid w:val="003058E3"/>
    <w:rsid w:val="00324AF8"/>
    <w:rsid w:val="00326B4B"/>
    <w:rsid w:val="00327D52"/>
    <w:rsid w:val="00327FD1"/>
    <w:rsid w:val="00331B90"/>
    <w:rsid w:val="003335B8"/>
    <w:rsid w:val="003345A0"/>
    <w:rsid w:val="00336169"/>
    <w:rsid w:val="003404BD"/>
    <w:rsid w:val="00343191"/>
    <w:rsid w:val="00353054"/>
    <w:rsid w:val="0035405D"/>
    <w:rsid w:val="00354E91"/>
    <w:rsid w:val="00360E5E"/>
    <w:rsid w:val="00362FE9"/>
    <w:rsid w:val="00363D31"/>
    <w:rsid w:val="003726B8"/>
    <w:rsid w:val="00373A19"/>
    <w:rsid w:val="00374402"/>
    <w:rsid w:val="00377B51"/>
    <w:rsid w:val="00383D86"/>
    <w:rsid w:val="003870F1"/>
    <w:rsid w:val="003901BB"/>
    <w:rsid w:val="00394DB5"/>
    <w:rsid w:val="0039663E"/>
    <w:rsid w:val="003A06DC"/>
    <w:rsid w:val="003A2F20"/>
    <w:rsid w:val="003A7586"/>
    <w:rsid w:val="003A7A16"/>
    <w:rsid w:val="003B606D"/>
    <w:rsid w:val="003B77D2"/>
    <w:rsid w:val="003C0F80"/>
    <w:rsid w:val="003C309E"/>
    <w:rsid w:val="003C39B2"/>
    <w:rsid w:val="003C57C2"/>
    <w:rsid w:val="003D0894"/>
    <w:rsid w:val="003D1C9C"/>
    <w:rsid w:val="003D3AC0"/>
    <w:rsid w:val="003E2191"/>
    <w:rsid w:val="003E339C"/>
    <w:rsid w:val="003E44AC"/>
    <w:rsid w:val="003E4D83"/>
    <w:rsid w:val="003F1F9F"/>
    <w:rsid w:val="003F2B83"/>
    <w:rsid w:val="003F5C73"/>
    <w:rsid w:val="003F5F2D"/>
    <w:rsid w:val="003F690E"/>
    <w:rsid w:val="003F6B23"/>
    <w:rsid w:val="0040313B"/>
    <w:rsid w:val="00404071"/>
    <w:rsid w:val="004070B0"/>
    <w:rsid w:val="0041084D"/>
    <w:rsid w:val="004122D3"/>
    <w:rsid w:val="00415D62"/>
    <w:rsid w:val="0041643C"/>
    <w:rsid w:val="004251C6"/>
    <w:rsid w:val="00432559"/>
    <w:rsid w:val="00441024"/>
    <w:rsid w:val="00441C84"/>
    <w:rsid w:val="00442C13"/>
    <w:rsid w:val="0044553C"/>
    <w:rsid w:val="004456C5"/>
    <w:rsid w:val="0044604F"/>
    <w:rsid w:val="004529F5"/>
    <w:rsid w:val="0045622D"/>
    <w:rsid w:val="00460E82"/>
    <w:rsid w:val="00460EB1"/>
    <w:rsid w:val="00464058"/>
    <w:rsid w:val="0046612C"/>
    <w:rsid w:val="0046686C"/>
    <w:rsid w:val="00474C83"/>
    <w:rsid w:val="004811E7"/>
    <w:rsid w:val="00481CBF"/>
    <w:rsid w:val="00482981"/>
    <w:rsid w:val="004970C8"/>
    <w:rsid w:val="004A1CF9"/>
    <w:rsid w:val="004A258A"/>
    <w:rsid w:val="004A7E47"/>
    <w:rsid w:val="004B08A1"/>
    <w:rsid w:val="004C392D"/>
    <w:rsid w:val="004C49B0"/>
    <w:rsid w:val="004C4A78"/>
    <w:rsid w:val="004D0F1E"/>
    <w:rsid w:val="004E143E"/>
    <w:rsid w:val="004E2062"/>
    <w:rsid w:val="004E54E0"/>
    <w:rsid w:val="004E6B08"/>
    <w:rsid w:val="00513A34"/>
    <w:rsid w:val="00524B5F"/>
    <w:rsid w:val="00526312"/>
    <w:rsid w:val="005344F0"/>
    <w:rsid w:val="005362FC"/>
    <w:rsid w:val="0054530D"/>
    <w:rsid w:val="00555184"/>
    <w:rsid w:val="00562B18"/>
    <w:rsid w:val="00566B64"/>
    <w:rsid w:val="00571BDB"/>
    <w:rsid w:val="00572637"/>
    <w:rsid w:val="00572831"/>
    <w:rsid w:val="00574D14"/>
    <w:rsid w:val="005754E6"/>
    <w:rsid w:val="00583B74"/>
    <w:rsid w:val="00584D79"/>
    <w:rsid w:val="00586281"/>
    <w:rsid w:val="005921FC"/>
    <w:rsid w:val="005A10E3"/>
    <w:rsid w:val="005A292E"/>
    <w:rsid w:val="005A35F7"/>
    <w:rsid w:val="005A5B1C"/>
    <w:rsid w:val="005B301C"/>
    <w:rsid w:val="005C4BE3"/>
    <w:rsid w:val="005C521C"/>
    <w:rsid w:val="005D0A10"/>
    <w:rsid w:val="005D13FB"/>
    <w:rsid w:val="005D2227"/>
    <w:rsid w:val="005D4743"/>
    <w:rsid w:val="005D4D4F"/>
    <w:rsid w:val="005D7FDF"/>
    <w:rsid w:val="005E19F6"/>
    <w:rsid w:val="005E5A3B"/>
    <w:rsid w:val="005F00EB"/>
    <w:rsid w:val="00600240"/>
    <w:rsid w:val="006032E5"/>
    <w:rsid w:val="00607287"/>
    <w:rsid w:val="006078B1"/>
    <w:rsid w:val="00611D62"/>
    <w:rsid w:val="00612033"/>
    <w:rsid w:val="00615D3F"/>
    <w:rsid w:val="00616248"/>
    <w:rsid w:val="00622983"/>
    <w:rsid w:val="00627328"/>
    <w:rsid w:val="00634576"/>
    <w:rsid w:val="0063624C"/>
    <w:rsid w:val="00647019"/>
    <w:rsid w:val="00647614"/>
    <w:rsid w:val="00650BAD"/>
    <w:rsid w:val="00650CCB"/>
    <w:rsid w:val="00651664"/>
    <w:rsid w:val="00652BD4"/>
    <w:rsid w:val="00653D1B"/>
    <w:rsid w:val="00654658"/>
    <w:rsid w:val="00655A67"/>
    <w:rsid w:val="0065748F"/>
    <w:rsid w:val="006652E6"/>
    <w:rsid w:val="006656C5"/>
    <w:rsid w:val="00666219"/>
    <w:rsid w:val="0067270D"/>
    <w:rsid w:val="00687326"/>
    <w:rsid w:val="006957DC"/>
    <w:rsid w:val="00696B21"/>
    <w:rsid w:val="006976EC"/>
    <w:rsid w:val="006A1DC3"/>
    <w:rsid w:val="006A3208"/>
    <w:rsid w:val="006A49D8"/>
    <w:rsid w:val="006A592A"/>
    <w:rsid w:val="006B2FF7"/>
    <w:rsid w:val="006B40F3"/>
    <w:rsid w:val="006C02C3"/>
    <w:rsid w:val="006C068A"/>
    <w:rsid w:val="006C1D0B"/>
    <w:rsid w:val="006C5787"/>
    <w:rsid w:val="006C61D7"/>
    <w:rsid w:val="006E3A65"/>
    <w:rsid w:val="006F1289"/>
    <w:rsid w:val="006F3986"/>
    <w:rsid w:val="00701CF7"/>
    <w:rsid w:val="00704250"/>
    <w:rsid w:val="00705C61"/>
    <w:rsid w:val="00711CE2"/>
    <w:rsid w:val="00711F64"/>
    <w:rsid w:val="0071748D"/>
    <w:rsid w:val="00721789"/>
    <w:rsid w:val="0072559A"/>
    <w:rsid w:val="00731D48"/>
    <w:rsid w:val="00732932"/>
    <w:rsid w:val="007410C5"/>
    <w:rsid w:val="007437B6"/>
    <w:rsid w:val="00747191"/>
    <w:rsid w:val="0074733F"/>
    <w:rsid w:val="007519D3"/>
    <w:rsid w:val="00751D0F"/>
    <w:rsid w:val="0075729A"/>
    <w:rsid w:val="00762D0D"/>
    <w:rsid w:val="00764024"/>
    <w:rsid w:val="0076513F"/>
    <w:rsid w:val="0077186B"/>
    <w:rsid w:val="00780200"/>
    <w:rsid w:val="00783842"/>
    <w:rsid w:val="00786DB3"/>
    <w:rsid w:val="00790173"/>
    <w:rsid w:val="007903D0"/>
    <w:rsid w:val="0079494C"/>
    <w:rsid w:val="00794D6D"/>
    <w:rsid w:val="007A20C4"/>
    <w:rsid w:val="007A268D"/>
    <w:rsid w:val="007B374B"/>
    <w:rsid w:val="007B75EE"/>
    <w:rsid w:val="007D3CA2"/>
    <w:rsid w:val="007E102D"/>
    <w:rsid w:val="007E18BD"/>
    <w:rsid w:val="007E649E"/>
    <w:rsid w:val="007E64B5"/>
    <w:rsid w:val="007F3B76"/>
    <w:rsid w:val="007F64B7"/>
    <w:rsid w:val="008035D1"/>
    <w:rsid w:val="00810F64"/>
    <w:rsid w:val="008152D5"/>
    <w:rsid w:val="00817C75"/>
    <w:rsid w:val="00820ACA"/>
    <w:rsid w:val="0082417E"/>
    <w:rsid w:val="008311FF"/>
    <w:rsid w:val="008360B1"/>
    <w:rsid w:val="008426EA"/>
    <w:rsid w:val="00854601"/>
    <w:rsid w:val="00854D22"/>
    <w:rsid w:val="00855797"/>
    <w:rsid w:val="00856FC7"/>
    <w:rsid w:val="00860CD8"/>
    <w:rsid w:val="00882236"/>
    <w:rsid w:val="00882563"/>
    <w:rsid w:val="00886F4E"/>
    <w:rsid w:val="00892E69"/>
    <w:rsid w:val="00894356"/>
    <w:rsid w:val="008A1D4C"/>
    <w:rsid w:val="008A2953"/>
    <w:rsid w:val="008A3B4F"/>
    <w:rsid w:val="008A64B0"/>
    <w:rsid w:val="008A69F3"/>
    <w:rsid w:val="008A6FC5"/>
    <w:rsid w:val="008B0117"/>
    <w:rsid w:val="008B1796"/>
    <w:rsid w:val="008B669F"/>
    <w:rsid w:val="008C0DE2"/>
    <w:rsid w:val="008C44AF"/>
    <w:rsid w:val="008C580B"/>
    <w:rsid w:val="008C5F88"/>
    <w:rsid w:val="008C628F"/>
    <w:rsid w:val="008C6331"/>
    <w:rsid w:val="008C635D"/>
    <w:rsid w:val="008C65DC"/>
    <w:rsid w:val="008C6E30"/>
    <w:rsid w:val="008D173C"/>
    <w:rsid w:val="008D3472"/>
    <w:rsid w:val="008E42F3"/>
    <w:rsid w:val="008E5482"/>
    <w:rsid w:val="008E7FC7"/>
    <w:rsid w:val="008F21DF"/>
    <w:rsid w:val="008F65E8"/>
    <w:rsid w:val="008F784C"/>
    <w:rsid w:val="008F78F3"/>
    <w:rsid w:val="00903560"/>
    <w:rsid w:val="0091137E"/>
    <w:rsid w:val="00913266"/>
    <w:rsid w:val="00914716"/>
    <w:rsid w:val="00915BDA"/>
    <w:rsid w:val="00927BB7"/>
    <w:rsid w:val="00930F80"/>
    <w:rsid w:val="0093636F"/>
    <w:rsid w:val="00940DE0"/>
    <w:rsid w:val="009429E5"/>
    <w:rsid w:val="00942E22"/>
    <w:rsid w:val="00950380"/>
    <w:rsid w:val="00954B44"/>
    <w:rsid w:val="00955565"/>
    <w:rsid w:val="00964D0F"/>
    <w:rsid w:val="00966BF6"/>
    <w:rsid w:val="00982095"/>
    <w:rsid w:val="0098221D"/>
    <w:rsid w:val="00984112"/>
    <w:rsid w:val="0098490D"/>
    <w:rsid w:val="00991874"/>
    <w:rsid w:val="00993F2D"/>
    <w:rsid w:val="0099648D"/>
    <w:rsid w:val="00996AC2"/>
    <w:rsid w:val="009A5227"/>
    <w:rsid w:val="009B1FB9"/>
    <w:rsid w:val="009B2542"/>
    <w:rsid w:val="009C6BA3"/>
    <w:rsid w:val="009C6F27"/>
    <w:rsid w:val="009D5ADA"/>
    <w:rsid w:val="009D6A4D"/>
    <w:rsid w:val="009E1806"/>
    <w:rsid w:val="009E6D01"/>
    <w:rsid w:val="009E720B"/>
    <w:rsid w:val="009E75C8"/>
    <w:rsid w:val="00A00232"/>
    <w:rsid w:val="00A01C36"/>
    <w:rsid w:val="00A02C4F"/>
    <w:rsid w:val="00A0408E"/>
    <w:rsid w:val="00A12868"/>
    <w:rsid w:val="00A12AC9"/>
    <w:rsid w:val="00A130C4"/>
    <w:rsid w:val="00A207DD"/>
    <w:rsid w:val="00A25CCF"/>
    <w:rsid w:val="00A30AE7"/>
    <w:rsid w:val="00A31E1A"/>
    <w:rsid w:val="00A32681"/>
    <w:rsid w:val="00A419A4"/>
    <w:rsid w:val="00A422B9"/>
    <w:rsid w:val="00A42781"/>
    <w:rsid w:val="00A44010"/>
    <w:rsid w:val="00A52F7E"/>
    <w:rsid w:val="00A56FF3"/>
    <w:rsid w:val="00A57147"/>
    <w:rsid w:val="00A603D2"/>
    <w:rsid w:val="00A61C61"/>
    <w:rsid w:val="00A666DD"/>
    <w:rsid w:val="00A666FD"/>
    <w:rsid w:val="00A67568"/>
    <w:rsid w:val="00A67AED"/>
    <w:rsid w:val="00A71EAA"/>
    <w:rsid w:val="00A730B9"/>
    <w:rsid w:val="00A73B7E"/>
    <w:rsid w:val="00A76809"/>
    <w:rsid w:val="00A816AB"/>
    <w:rsid w:val="00A85C8C"/>
    <w:rsid w:val="00A91216"/>
    <w:rsid w:val="00A96367"/>
    <w:rsid w:val="00AA2790"/>
    <w:rsid w:val="00AA3F96"/>
    <w:rsid w:val="00AA74F0"/>
    <w:rsid w:val="00AB0D7F"/>
    <w:rsid w:val="00AB0E2A"/>
    <w:rsid w:val="00AB3AD7"/>
    <w:rsid w:val="00AB6285"/>
    <w:rsid w:val="00AC207F"/>
    <w:rsid w:val="00AC2497"/>
    <w:rsid w:val="00AC3377"/>
    <w:rsid w:val="00AD1271"/>
    <w:rsid w:val="00AD3B4D"/>
    <w:rsid w:val="00AD403C"/>
    <w:rsid w:val="00AE0E0F"/>
    <w:rsid w:val="00AE6DC1"/>
    <w:rsid w:val="00AF55E9"/>
    <w:rsid w:val="00AF57A8"/>
    <w:rsid w:val="00AF6916"/>
    <w:rsid w:val="00B04CCE"/>
    <w:rsid w:val="00B1481A"/>
    <w:rsid w:val="00B15BFE"/>
    <w:rsid w:val="00B17A9D"/>
    <w:rsid w:val="00B20CCF"/>
    <w:rsid w:val="00B22FCC"/>
    <w:rsid w:val="00B24E10"/>
    <w:rsid w:val="00B328D4"/>
    <w:rsid w:val="00B41911"/>
    <w:rsid w:val="00B42249"/>
    <w:rsid w:val="00B46FAF"/>
    <w:rsid w:val="00B47763"/>
    <w:rsid w:val="00B50593"/>
    <w:rsid w:val="00B5222D"/>
    <w:rsid w:val="00B56054"/>
    <w:rsid w:val="00B659F2"/>
    <w:rsid w:val="00B745A2"/>
    <w:rsid w:val="00B74FA6"/>
    <w:rsid w:val="00B77335"/>
    <w:rsid w:val="00B778ED"/>
    <w:rsid w:val="00B8451C"/>
    <w:rsid w:val="00B92869"/>
    <w:rsid w:val="00B92C8E"/>
    <w:rsid w:val="00BA1751"/>
    <w:rsid w:val="00BA17CA"/>
    <w:rsid w:val="00BA1806"/>
    <w:rsid w:val="00BA417A"/>
    <w:rsid w:val="00BA4B13"/>
    <w:rsid w:val="00BA5ED0"/>
    <w:rsid w:val="00BA5EE7"/>
    <w:rsid w:val="00BB0915"/>
    <w:rsid w:val="00BB0A09"/>
    <w:rsid w:val="00BB1EC4"/>
    <w:rsid w:val="00BC1FD0"/>
    <w:rsid w:val="00BC2EEE"/>
    <w:rsid w:val="00BC63CD"/>
    <w:rsid w:val="00BD1290"/>
    <w:rsid w:val="00BD13BB"/>
    <w:rsid w:val="00BD6C71"/>
    <w:rsid w:val="00BD6F1B"/>
    <w:rsid w:val="00BE0599"/>
    <w:rsid w:val="00BE0E80"/>
    <w:rsid w:val="00BE14B7"/>
    <w:rsid w:val="00BE3CCA"/>
    <w:rsid w:val="00BE6B17"/>
    <w:rsid w:val="00BF2C79"/>
    <w:rsid w:val="00BF2E89"/>
    <w:rsid w:val="00BF7558"/>
    <w:rsid w:val="00C05E8F"/>
    <w:rsid w:val="00C14CD6"/>
    <w:rsid w:val="00C15E4A"/>
    <w:rsid w:val="00C200D1"/>
    <w:rsid w:val="00C21A4F"/>
    <w:rsid w:val="00C26658"/>
    <w:rsid w:val="00C33967"/>
    <w:rsid w:val="00C41036"/>
    <w:rsid w:val="00C42998"/>
    <w:rsid w:val="00C468A9"/>
    <w:rsid w:val="00C50A7C"/>
    <w:rsid w:val="00C52FAC"/>
    <w:rsid w:val="00C56295"/>
    <w:rsid w:val="00C5772D"/>
    <w:rsid w:val="00C61970"/>
    <w:rsid w:val="00C62FA2"/>
    <w:rsid w:val="00C676F1"/>
    <w:rsid w:val="00C760BA"/>
    <w:rsid w:val="00C85885"/>
    <w:rsid w:val="00C86BDE"/>
    <w:rsid w:val="00C86F0F"/>
    <w:rsid w:val="00C87D77"/>
    <w:rsid w:val="00C87F85"/>
    <w:rsid w:val="00C928F3"/>
    <w:rsid w:val="00CA74E1"/>
    <w:rsid w:val="00CA75EE"/>
    <w:rsid w:val="00CC1F2D"/>
    <w:rsid w:val="00CC2FDD"/>
    <w:rsid w:val="00CD06E1"/>
    <w:rsid w:val="00CD23DE"/>
    <w:rsid w:val="00CD2B76"/>
    <w:rsid w:val="00CE16FA"/>
    <w:rsid w:val="00CE1F6E"/>
    <w:rsid w:val="00CE6187"/>
    <w:rsid w:val="00CF35A2"/>
    <w:rsid w:val="00CF72EA"/>
    <w:rsid w:val="00D02A01"/>
    <w:rsid w:val="00D02CF1"/>
    <w:rsid w:val="00D02D37"/>
    <w:rsid w:val="00D06A3B"/>
    <w:rsid w:val="00D117D3"/>
    <w:rsid w:val="00D22D94"/>
    <w:rsid w:val="00D30660"/>
    <w:rsid w:val="00D30F06"/>
    <w:rsid w:val="00D34663"/>
    <w:rsid w:val="00D40DE5"/>
    <w:rsid w:val="00D5634A"/>
    <w:rsid w:val="00D56ADC"/>
    <w:rsid w:val="00D60CB3"/>
    <w:rsid w:val="00D63B64"/>
    <w:rsid w:val="00D64405"/>
    <w:rsid w:val="00D64AAF"/>
    <w:rsid w:val="00D66B57"/>
    <w:rsid w:val="00D67623"/>
    <w:rsid w:val="00D70EBF"/>
    <w:rsid w:val="00D837A9"/>
    <w:rsid w:val="00D84B49"/>
    <w:rsid w:val="00D9147A"/>
    <w:rsid w:val="00D93FE0"/>
    <w:rsid w:val="00DA0917"/>
    <w:rsid w:val="00DA3AFF"/>
    <w:rsid w:val="00DA3B7D"/>
    <w:rsid w:val="00DA44EF"/>
    <w:rsid w:val="00DA7B87"/>
    <w:rsid w:val="00DB02D6"/>
    <w:rsid w:val="00DB28F2"/>
    <w:rsid w:val="00DC08D4"/>
    <w:rsid w:val="00DC53FF"/>
    <w:rsid w:val="00DD238B"/>
    <w:rsid w:val="00DD380D"/>
    <w:rsid w:val="00DE07E7"/>
    <w:rsid w:val="00DE1DA5"/>
    <w:rsid w:val="00DE3E09"/>
    <w:rsid w:val="00DE5635"/>
    <w:rsid w:val="00DE704C"/>
    <w:rsid w:val="00DF6B4B"/>
    <w:rsid w:val="00E13B57"/>
    <w:rsid w:val="00E14C77"/>
    <w:rsid w:val="00E2193E"/>
    <w:rsid w:val="00E224D4"/>
    <w:rsid w:val="00E23C64"/>
    <w:rsid w:val="00E30FC9"/>
    <w:rsid w:val="00E35F45"/>
    <w:rsid w:val="00E379A1"/>
    <w:rsid w:val="00E5026E"/>
    <w:rsid w:val="00E56481"/>
    <w:rsid w:val="00E570C0"/>
    <w:rsid w:val="00E64217"/>
    <w:rsid w:val="00E67714"/>
    <w:rsid w:val="00E70379"/>
    <w:rsid w:val="00E7245C"/>
    <w:rsid w:val="00E8228B"/>
    <w:rsid w:val="00E83815"/>
    <w:rsid w:val="00E850A3"/>
    <w:rsid w:val="00E86612"/>
    <w:rsid w:val="00E90597"/>
    <w:rsid w:val="00E93941"/>
    <w:rsid w:val="00EA23EB"/>
    <w:rsid w:val="00EA7544"/>
    <w:rsid w:val="00EB06A9"/>
    <w:rsid w:val="00EB2D61"/>
    <w:rsid w:val="00EB324C"/>
    <w:rsid w:val="00EB3EB5"/>
    <w:rsid w:val="00EC0919"/>
    <w:rsid w:val="00EC3297"/>
    <w:rsid w:val="00EC5C02"/>
    <w:rsid w:val="00ED06EF"/>
    <w:rsid w:val="00ED6445"/>
    <w:rsid w:val="00EE1BF4"/>
    <w:rsid w:val="00EE3E02"/>
    <w:rsid w:val="00EE3E6F"/>
    <w:rsid w:val="00EE47C9"/>
    <w:rsid w:val="00EF5682"/>
    <w:rsid w:val="00F11205"/>
    <w:rsid w:val="00F15BAA"/>
    <w:rsid w:val="00F242F7"/>
    <w:rsid w:val="00F3046F"/>
    <w:rsid w:val="00F31E34"/>
    <w:rsid w:val="00F33E1C"/>
    <w:rsid w:val="00F46E8F"/>
    <w:rsid w:val="00F50B36"/>
    <w:rsid w:val="00F62AF8"/>
    <w:rsid w:val="00F62E7B"/>
    <w:rsid w:val="00F64BF7"/>
    <w:rsid w:val="00F65254"/>
    <w:rsid w:val="00F73935"/>
    <w:rsid w:val="00F81FBD"/>
    <w:rsid w:val="00F87909"/>
    <w:rsid w:val="00F919B2"/>
    <w:rsid w:val="00F92E6E"/>
    <w:rsid w:val="00FA0606"/>
    <w:rsid w:val="00FA1D10"/>
    <w:rsid w:val="00FA5768"/>
    <w:rsid w:val="00FA75F7"/>
    <w:rsid w:val="00FB1178"/>
    <w:rsid w:val="00FB6C5B"/>
    <w:rsid w:val="00FC5771"/>
    <w:rsid w:val="00FD23B1"/>
    <w:rsid w:val="00FD34DF"/>
    <w:rsid w:val="00FD373C"/>
    <w:rsid w:val="00FD5269"/>
    <w:rsid w:val="00FD57F3"/>
    <w:rsid w:val="00FE1922"/>
    <w:rsid w:val="00FE4EA1"/>
    <w:rsid w:val="00FF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4B2F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013"/>
    <w:pPr>
      <w:spacing w:after="200" w:line="276" w:lineRule="auto"/>
    </w:pPr>
  </w:style>
  <w:style w:type="paragraph" w:styleId="Heading1">
    <w:name w:val="heading 1"/>
    <w:basedOn w:val="Normal"/>
    <w:next w:val="Normal"/>
    <w:link w:val="Heading1Char"/>
    <w:qFormat/>
    <w:locked/>
    <w:rsid w:val="005921FC"/>
    <w:pPr>
      <w:spacing w:after="0" w:line="240" w:lineRule="auto"/>
      <w:outlineLvl w:val="0"/>
    </w:pPr>
    <w:rPr>
      <w:b/>
    </w:rPr>
  </w:style>
  <w:style w:type="paragraph" w:styleId="Heading2">
    <w:name w:val="heading 2"/>
    <w:basedOn w:val="ListParagraph"/>
    <w:next w:val="Normal"/>
    <w:link w:val="Heading2Char"/>
    <w:unhideWhenUsed/>
    <w:qFormat/>
    <w:locked/>
    <w:rsid w:val="005921FC"/>
    <w:pPr>
      <w:numPr>
        <w:numId w:val="1"/>
      </w:numPr>
      <w:spacing w:after="0" w:line="240" w:lineRule="auto"/>
      <w:ind w:left="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rsid w:val="00982095"/>
    <w:pPr>
      <w:spacing w:after="0" w:line="240" w:lineRule="auto"/>
    </w:pPr>
    <w:rPr>
      <w:sz w:val="20"/>
      <w:szCs w:val="20"/>
    </w:rPr>
  </w:style>
  <w:style w:type="character" w:customStyle="1" w:styleId="FootnoteTextChar">
    <w:name w:val="Footnote Text Char"/>
    <w:basedOn w:val="DefaultParagraphFont"/>
    <w:link w:val="FootnoteText"/>
    <w:locked/>
    <w:rsid w:val="00982095"/>
    <w:rPr>
      <w:rFonts w:cs="Times New Roman"/>
      <w:sz w:val="20"/>
      <w:szCs w:val="20"/>
    </w:rPr>
  </w:style>
  <w:style w:type="character" w:styleId="FootnoteReference">
    <w:name w:val="footnote reference"/>
    <w:basedOn w:val="DefaultParagraphFont"/>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rsid w:val="00404071"/>
    <w:rPr>
      <w:rFonts w:cs="Times New Roman"/>
      <w:color w:val="0000FF"/>
      <w:u w:val="single"/>
    </w:rPr>
  </w:style>
  <w:style w:type="character" w:customStyle="1" w:styleId="Heading1Char">
    <w:name w:val="Heading 1 Char"/>
    <w:basedOn w:val="DefaultParagraphFont"/>
    <w:link w:val="Heading1"/>
    <w:rsid w:val="005921FC"/>
    <w:rPr>
      <w:b/>
    </w:rPr>
  </w:style>
  <w:style w:type="paragraph" w:styleId="TOCHeading">
    <w:name w:val="TOC Heading"/>
    <w:basedOn w:val="Heading1"/>
    <w:next w:val="Normal"/>
    <w:uiPriority w:val="39"/>
    <w:unhideWhenUsed/>
    <w:qFormat/>
    <w:rsid w:val="005921FC"/>
    <w:pPr>
      <w:outlineLvl w:val="9"/>
    </w:pPr>
  </w:style>
  <w:style w:type="character" w:customStyle="1" w:styleId="Heading2Char">
    <w:name w:val="Heading 2 Char"/>
    <w:basedOn w:val="DefaultParagraphFont"/>
    <w:link w:val="Heading2"/>
    <w:rsid w:val="005921FC"/>
    <w:rPr>
      <w:b/>
    </w:rPr>
  </w:style>
  <w:style w:type="paragraph" w:styleId="TOC1">
    <w:name w:val="toc 1"/>
    <w:basedOn w:val="Normal"/>
    <w:next w:val="Normal"/>
    <w:autoRedefine/>
    <w:uiPriority w:val="39"/>
    <w:locked/>
    <w:rsid w:val="001F0D7D"/>
    <w:pPr>
      <w:numPr>
        <w:numId w:val="6"/>
      </w:numPr>
      <w:tabs>
        <w:tab w:val="right" w:leader="dot" w:pos="9350"/>
      </w:tabs>
      <w:spacing w:after="100"/>
    </w:pPr>
    <w:rPr>
      <w:rFonts w:ascii="Times New Roman" w:hAnsi="Times New Roman"/>
      <w:sz w:val="24"/>
      <w:szCs w:val="24"/>
    </w:rPr>
  </w:style>
  <w:style w:type="paragraph" w:styleId="TOC2">
    <w:name w:val="toc 2"/>
    <w:basedOn w:val="Normal"/>
    <w:next w:val="Normal"/>
    <w:autoRedefine/>
    <w:uiPriority w:val="39"/>
    <w:locked/>
    <w:rsid w:val="005921FC"/>
    <w:pPr>
      <w:spacing w:after="100"/>
      <w:ind w:left="220"/>
    </w:pPr>
  </w:style>
  <w:style w:type="table" w:styleId="TableGrid">
    <w:name w:val="Table Grid"/>
    <w:basedOn w:val="TableNormal"/>
    <w:uiPriority w:val="59"/>
    <w:locked/>
    <w:rsid w:val="00AD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BD1290"/>
    <w:pPr>
      <w:outlineLvl w:val="0"/>
    </w:pPr>
    <w:rPr>
      <w:rFonts w:ascii="Times New Roman" w:eastAsia="Arial Unicode MS" w:hAnsi="Times New Roman"/>
      <w:color w:val="000000"/>
      <w:sz w:val="24"/>
      <w:szCs w:val="20"/>
      <w:u w:color="000000"/>
    </w:rPr>
  </w:style>
  <w:style w:type="character" w:styleId="FollowedHyperlink">
    <w:name w:val="FollowedHyperlink"/>
    <w:basedOn w:val="DefaultParagraphFont"/>
    <w:uiPriority w:val="99"/>
    <w:semiHidden/>
    <w:unhideWhenUsed/>
    <w:rsid w:val="000B4699"/>
    <w:rPr>
      <w:color w:val="800080" w:themeColor="followedHyperlink"/>
      <w:u w:val="single"/>
    </w:rPr>
  </w:style>
  <w:style w:type="paragraph" w:customStyle="1" w:styleId="CM83">
    <w:name w:val="CM83"/>
    <w:basedOn w:val="Default"/>
    <w:next w:val="Default"/>
    <w:uiPriority w:val="99"/>
    <w:rsid w:val="00E83815"/>
    <w:rPr>
      <w:rFonts w:ascii="Times New Roman" w:hAnsi="Times New Roman" w:cs="Times New Roman"/>
      <w:color w:val="auto"/>
    </w:rPr>
  </w:style>
  <w:style w:type="paragraph" w:customStyle="1" w:styleId="CM4">
    <w:name w:val="CM4"/>
    <w:basedOn w:val="Default"/>
    <w:next w:val="Default"/>
    <w:uiPriority w:val="99"/>
    <w:rsid w:val="00E83815"/>
    <w:pPr>
      <w:spacing w:line="276" w:lineRule="atLeast"/>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fb9@cdc.gov" TargetMode="External"/><Relationship Id="rId13" Type="http://schemas.openxmlformats.org/officeDocument/2006/relationships/header" Target="header3.xml"/><Relationship Id="rId18" Type="http://schemas.openxmlformats.org/officeDocument/2006/relationships/hyperlink" Target="http://www.opm.gov/oca/09tables/html/atl_h.as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ls.gov/oes/current/oes_nat.htm" TargetMode="External"/><Relationship Id="rId2" Type="http://schemas.openxmlformats.org/officeDocument/2006/relationships/numbering" Target="numbering.xml"/><Relationship Id="rId16" Type="http://schemas.openxmlformats.org/officeDocument/2006/relationships/hyperlink" Target="mailto:jayotte@usg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ndy.e.smith@maine.gov" TargetMode="External"/><Relationship Id="rId10" Type="http://schemas.openxmlformats.org/officeDocument/2006/relationships/header" Target="header2.xml"/><Relationship Id="rId19" Type="http://schemas.openxmlformats.org/officeDocument/2006/relationships/hyperlink" Target="http://www.ngwa.org/fundamentals/use/documents/usfactsheet.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FA453-4B28-4FE6-8316-4017F5E8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4749</Words>
  <Characters>28395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2017-03-17T18:25:00Z</dcterms:created>
  <dcterms:modified xsi:type="dcterms:W3CDTF">2017-03-17T18:27:00Z</dcterms:modified>
</cp:coreProperties>
</file>