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DD67F" w14:textId="77777777" w:rsidR="001C6AB1" w:rsidRPr="008159A1" w:rsidRDefault="00FE2065" w:rsidP="001C6AB1">
      <w:pPr>
        <w:spacing w:after="0" w:line="240" w:lineRule="auto"/>
        <w:jc w:val="center"/>
        <w:rPr>
          <w:rFonts w:ascii="Times New Roman" w:eastAsia="Times New Roman" w:hAnsi="Times New Roman" w:cs="Times New Roman"/>
          <w:b/>
          <w:bCs/>
          <w:color w:val="000000" w:themeColor="text1"/>
          <w:sz w:val="24"/>
          <w:szCs w:val="24"/>
        </w:rPr>
      </w:pPr>
      <w:r w:rsidRPr="008159A1">
        <w:rPr>
          <w:rFonts w:ascii="Times New Roman" w:eastAsia="Times New Roman" w:hAnsi="Times New Roman" w:cs="Times New Roman"/>
          <w:b/>
          <w:bCs/>
          <w:color w:val="000000" w:themeColor="text1"/>
          <w:sz w:val="24"/>
          <w:szCs w:val="24"/>
        </w:rPr>
        <w:t xml:space="preserve">Attachment </w:t>
      </w:r>
      <w:r w:rsidR="00327F95">
        <w:rPr>
          <w:rFonts w:ascii="Times New Roman" w:eastAsia="Times New Roman" w:hAnsi="Times New Roman" w:cs="Times New Roman"/>
          <w:b/>
          <w:bCs/>
          <w:color w:val="000000" w:themeColor="text1"/>
          <w:sz w:val="24"/>
          <w:szCs w:val="24"/>
        </w:rPr>
        <w:t>C</w:t>
      </w:r>
    </w:p>
    <w:p w14:paraId="155A9D5B" w14:textId="77777777" w:rsidR="008159A1" w:rsidRPr="008159A1" w:rsidRDefault="008159A1" w:rsidP="001C6AB1">
      <w:pPr>
        <w:spacing w:after="0" w:line="240" w:lineRule="auto"/>
        <w:jc w:val="center"/>
        <w:rPr>
          <w:rFonts w:ascii="Times New Roman" w:eastAsia="Times New Roman" w:hAnsi="Times New Roman" w:cs="Times New Roman"/>
          <w:b/>
          <w:bCs/>
          <w:color w:val="000000" w:themeColor="text1"/>
          <w:sz w:val="24"/>
          <w:szCs w:val="24"/>
        </w:rPr>
      </w:pPr>
    </w:p>
    <w:p w14:paraId="50537005" w14:textId="52196162" w:rsidR="001C6AB1" w:rsidRPr="008159A1" w:rsidRDefault="001C6AB1" w:rsidP="001C6AB1">
      <w:pPr>
        <w:spacing w:after="0" w:line="240" w:lineRule="auto"/>
        <w:jc w:val="center"/>
        <w:rPr>
          <w:rFonts w:ascii="Times New Roman" w:eastAsia="Times New Roman" w:hAnsi="Times New Roman" w:cs="Times New Roman"/>
          <w:b/>
          <w:bCs/>
          <w:color w:val="000000" w:themeColor="text1"/>
          <w:sz w:val="24"/>
          <w:szCs w:val="24"/>
        </w:rPr>
      </w:pPr>
      <w:r w:rsidRPr="008159A1">
        <w:rPr>
          <w:rFonts w:ascii="Times New Roman" w:eastAsia="Times New Roman" w:hAnsi="Times New Roman" w:cs="Times New Roman"/>
          <w:b/>
          <w:bCs/>
          <w:color w:val="000000" w:themeColor="text1"/>
          <w:sz w:val="24"/>
          <w:szCs w:val="24"/>
        </w:rPr>
        <w:t xml:space="preserve">Instructions for </w:t>
      </w:r>
      <w:r w:rsidR="00C62130">
        <w:rPr>
          <w:rFonts w:ascii="Times New Roman" w:eastAsia="Times New Roman" w:hAnsi="Times New Roman" w:cs="Times New Roman"/>
          <w:b/>
          <w:bCs/>
          <w:color w:val="000000" w:themeColor="text1"/>
          <w:sz w:val="24"/>
          <w:szCs w:val="24"/>
        </w:rPr>
        <w:t>U</w:t>
      </w:r>
      <w:r w:rsidR="001971F3" w:rsidRPr="008159A1">
        <w:rPr>
          <w:rFonts w:ascii="Times New Roman" w:eastAsia="Times New Roman" w:hAnsi="Times New Roman" w:cs="Times New Roman"/>
          <w:b/>
          <w:bCs/>
          <w:color w:val="000000" w:themeColor="text1"/>
          <w:sz w:val="24"/>
          <w:szCs w:val="24"/>
        </w:rPr>
        <w:t>sing the Generic Clearance</w:t>
      </w:r>
    </w:p>
    <w:p w14:paraId="2BFD3FFE" w14:textId="77777777" w:rsidR="004B72A8" w:rsidRPr="001C6AB1" w:rsidRDefault="004B72A8" w:rsidP="001C6AB1">
      <w:pPr>
        <w:rPr>
          <w:rFonts w:ascii="Times New Roman" w:eastAsia="Times New Roman" w:hAnsi="Times New Roman" w:cs="Times New Roman"/>
          <w:b/>
          <w:bCs/>
          <w:color w:val="3F3F3F"/>
          <w:sz w:val="24"/>
          <w:szCs w:val="24"/>
        </w:rPr>
      </w:pPr>
    </w:p>
    <w:p w14:paraId="2D8CB463" w14:textId="5A01B8B5" w:rsidR="001C6AB1" w:rsidRDefault="001C6AB1" w:rsidP="001C6AB1">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1C6AB1">
        <w:rPr>
          <w:rFonts w:ascii="Times New Roman" w:eastAsia="Times New Roman" w:hAnsi="Times New Roman" w:cs="Times New Roman"/>
          <w:color w:val="000000"/>
          <w:sz w:val="24"/>
          <w:szCs w:val="24"/>
        </w:rPr>
        <w:t>Review</w:t>
      </w:r>
      <w:r w:rsidR="004B72A8" w:rsidRPr="001C6AB1">
        <w:rPr>
          <w:rFonts w:ascii="Times New Roman" w:eastAsia="Times New Roman" w:hAnsi="Times New Roman" w:cs="Times New Roman"/>
          <w:color w:val="000000"/>
          <w:sz w:val="24"/>
          <w:szCs w:val="24"/>
        </w:rPr>
        <w:t xml:space="preserve"> </w:t>
      </w:r>
      <w:r w:rsidRPr="001C6AB1">
        <w:rPr>
          <w:rFonts w:ascii="Times New Roman" w:eastAsia="Times New Roman" w:hAnsi="Times New Roman" w:cs="Times New Roman"/>
          <w:color w:val="000000"/>
          <w:sz w:val="24"/>
          <w:szCs w:val="24"/>
        </w:rPr>
        <w:t xml:space="preserve">the </w:t>
      </w:r>
      <w:r w:rsidR="00870931">
        <w:rPr>
          <w:rFonts w:ascii="Times New Roman" w:eastAsia="Times New Roman" w:hAnsi="Times New Roman" w:cs="Times New Roman"/>
          <w:color w:val="000000"/>
          <w:sz w:val="24"/>
          <w:szCs w:val="24"/>
        </w:rPr>
        <w:t>scope of the “</w:t>
      </w:r>
      <w:r w:rsidRPr="001C6AB1">
        <w:rPr>
          <w:rFonts w:ascii="Times New Roman" w:eastAsia="Times New Roman" w:hAnsi="Times New Roman" w:cs="Times New Roman"/>
          <w:color w:val="000000"/>
          <w:sz w:val="24"/>
          <w:szCs w:val="24"/>
        </w:rPr>
        <w:t xml:space="preserve">Health </w:t>
      </w:r>
      <w:r w:rsidR="00870931">
        <w:rPr>
          <w:rFonts w:ascii="Times New Roman" w:eastAsia="Times New Roman" w:hAnsi="Times New Roman" w:cs="Times New Roman"/>
          <w:color w:val="000000"/>
          <w:sz w:val="24"/>
          <w:szCs w:val="24"/>
        </w:rPr>
        <w:t>Risks</w:t>
      </w:r>
      <w:r w:rsidRPr="001C6AB1">
        <w:rPr>
          <w:rFonts w:ascii="Times New Roman" w:eastAsia="Times New Roman" w:hAnsi="Times New Roman" w:cs="Times New Roman"/>
          <w:color w:val="000000"/>
          <w:sz w:val="24"/>
          <w:szCs w:val="24"/>
        </w:rPr>
        <w:t xml:space="preserve"> from Using Private Wells for Drinking Water</w:t>
      </w:r>
      <w:r w:rsidR="00870931">
        <w:rPr>
          <w:rFonts w:ascii="Times New Roman" w:eastAsia="Times New Roman" w:hAnsi="Times New Roman" w:cs="Times New Roman"/>
          <w:color w:val="000000"/>
          <w:sz w:val="24"/>
          <w:szCs w:val="24"/>
        </w:rPr>
        <w:t>”</w:t>
      </w:r>
      <w:r w:rsidR="004B72A8" w:rsidRPr="001C6AB1">
        <w:rPr>
          <w:rFonts w:ascii="Times New Roman" w:eastAsia="Times New Roman" w:hAnsi="Times New Roman" w:cs="Times New Roman"/>
          <w:color w:val="000000"/>
          <w:sz w:val="24"/>
          <w:szCs w:val="24"/>
        </w:rPr>
        <w:t xml:space="preserve"> </w:t>
      </w:r>
      <w:r w:rsidR="00297F70">
        <w:rPr>
          <w:rFonts w:ascii="Times New Roman" w:eastAsia="Times New Roman" w:hAnsi="Times New Roman" w:cs="Times New Roman"/>
          <w:color w:val="000000"/>
          <w:sz w:val="24"/>
          <w:szCs w:val="24"/>
        </w:rPr>
        <w:t xml:space="preserve">Information Collection Request (ICR) </w:t>
      </w:r>
      <w:r w:rsidR="004B72A8" w:rsidRPr="001C6AB1">
        <w:rPr>
          <w:rFonts w:ascii="Times New Roman" w:eastAsia="Times New Roman" w:hAnsi="Times New Roman" w:cs="Times New Roman"/>
          <w:color w:val="000000"/>
          <w:sz w:val="24"/>
          <w:szCs w:val="24"/>
        </w:rPr>
        <w:t xml:space="preserve">(OMB No. </w:t>
      </w:r>
      <w:r w:rsidRPr="001C6AB1">
        <w:rPr>
          <w:rFonts w:ascii="Times New Roman" w:eastAsia="Times New Roman" w:hAnsi="Times New Roman" w:cs="Times New Roman"/>
          <w:color w:val="000000"/>
          <w:sz w:val="24"/>
          <w:szCs w:val="24"/>
        </w:rPr>
        <w:t>09</w:t>
      </w:r>
      <w:r w:rsidR="00297F70">
        <w:rPr>
          <w:rFonts w:ascii="Times New Roman" w:eastAsia="Times New Roman" w:hAnsi="Times New Roman" w:cs="Times New Roman"/>
          <w:color w:val="000000"/>
          <w:sz w:val="24"/>
          <w:szCs w:val="24"/>
        </w:rPr>
        <w:t>20</w:t>
      </w:r>
      <w:r w:rsidR="004B72A8" w:rsidRPr="001C6AB1">
        <w:rPr>
          <w:rFonts w:ascii="Times New Roman" w:eastAsia="Times New Roman" w:hAnsi="Times New Roman" w:cs="Times New Roman"/>
          <w:color w:val="000000"/>
          <w:sz w:val="24"/>
          <w:szCs w:val="24"/>
        </w:rPr>
        <w:t>-</w:t>
      </w:r>
      <w:r w:rsidR="00297F70">
        <w:rPr>
          <w:rFonts w:ascii="Times New Roman" w:eastAsia="Times New Roman" w:hAnsi="Times New Roman" w:cs="Times New Roman"/>
          <w:color w:val="000000"/>
          <w:sz w:val="24"/>
          <w:szCs w:val="24"/>
        </w:rPr>
        <w:t>xxxx</w:t>
      </w:r>
      <w:r w:rsidR="004B72A8" w:rsidRPr="001C6AB1">
        <w:rPr>
          <w:rFonts w:ascii="Times New Roman" w:eastAsia="Times New Roman" w:hAnsi="Times New Roman" w:cs="Times New Roman"/>
          <w:color w:val="000000"/>
          <w:sz w:val="24"/>
          <w:szCs w:val="24"/>
        </w:rPr>
        <w:t>).</w:t>
      </w:r>
    </w:p>
    <w:p w14:paraId="09F10DE3" w14:textId="77777777" w:rsidR="001C6AB1" w:rsidRPr="00870931" w:rsidRDefault="004B72A8" w:rsidP="001C6AB1">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1C6AB1">
        <w:rPr>
          <w:rFonts w:ascii="Times New Roman" w:eastAsia="Times New Roman" w:hAnsi="Times New Roman" w:cs="Times New Roman"/>
          <w:color w:val="000000"/>
          <w:sz w:val="24"/>
          <w:szCs w:val="24"/>
        </w:rPr>
        <w:t>E-mail the following to the</w:t>
      </w:r>
      <w:r w:rsidR="004774DA" w:rsidRPr="001C6AB1">
        <w:rPr>
          <w:rFonts w:ascii="Times New Roman" w:eastAsia="Times New Roman" w:hAnsi="Times New Roman" w:cs="Times New Roman"/>
          <w:color w:val="000000"/>
          <w:sz w:val="24"/>
          <w:szCs w:val="24"/>
        </w:rPr>
        <w:t xml:space="preserve"> </w:t>
      </w:r>
      <w:r w:rsidR="00870931">
        <w:rPr>
          <w:rFonts w:ascii="Times New Roman" w:eastAsia="Times New Roman" w:hAnsi="Times New Roman" w:cs="Times New Roman"/>
          <w:color w:val="000000"/>
          <w:sz w:val="24"/>
          <w:szCs w:val="24"/>
        </w:rPr>
        <w:t xml:space="preserve">NCEH/ATSDR </w:t>
      </w:r>
      <w:r w:rsidRPr="001C6AB1">
        <w:rPr>
          <w:rFonts w:ascii="Times New Roman" w:eastAsia="Times New Roman" w:hAnsi="Times New Roman" w:cs="Times New Roman"/>
          <w:color w:val="000000"/>
          <w:sz w:val="24"/>
          <w:szCs w:val="24"/>
        </w:rPr>
        <w:t>I</w:t>
      </w:r>
      <w:r w:rsidR="004322EF" w:rsidRPr="001C6AB1">
        <w:rPr>
          <w:rFonts w:ascii="Times New Roman" w:eastAsia="Times New Roman" w:hAnsi="Times New Roman" w:cs="Times New Roman"/>
          <w:color w:val="000000"/>
          <w:sz w:val="24"/>
          <w:szCs w:val="24"/>
        </w:rPr>
        <w:t xml:space="preserve">nformation </w:t>
      </w:r>
      <w:r w:rsidRPr="001C6AB1">
        <w:rPr>
          <w:rFonts w:ascii="Times New Roman" w:eastAsia="Times New Roman" w:hAnsi="Times New Roman" w:cs="Times New Roman"/>
          <w:color w:val="000000"/>
          <w:sz w:val="24"/>
          <w:szCs w:val="24"/>
        </w:rPr>
        <w:t>C</w:t>
      </w:r>
      <w:r w:rsidR="004322EF" w:rsidRPr="001C6AB1">
        <w:rPr>
          <w:rFonts w:ascii="Times New Roman" w:eastAsia="Times New Roman" w:hAnsi="Times New Roman" w:cs="Times New Roman"/>
          <w:color w:val="000000"/>
          <w:sz w:val="24"/>
          <w:szCs w:val="24"/>
        </w:rPr>
        <w:t xml:space="preserve">ollection </w:t>
      </w:r>
      <w:r w:rsidRPr="001C6AB1">
        <w:rPr>
          <w:rFonts w:ascii="Times New Roman" w:eastAsia="Times New Roman" w:hAnsi="Times New Roman" w:cs="Times New Roman"/>
          <w:color w:val="000000"/>
          <w:sz w:val="24"/>
          <w:szCs w:val="24"/>
        </w:rPr>
        <w:t>R</w:t>
      </w:r>
      <w:r w:rsidR="004322EF" w:rsidRPr="001C6AB1">
        <w:rPr>
          <w:rFonts w:ascii="Times New Roman" w:eastAsia="Times New Roman" w:hAnsi="Times New Roman" w:cs="Times New Roman"/>
          <w:color w:val="000000"/>
          <w:sz w:val="24"/>
          <w:szCs w:val="24"/>
        </w:rPr>
        <w:t xml:space="preserve">equest </w:t>
      </w:r>
      <w:r w:rsidRPr="001C6AB1">
        <w:rPr>
          <w:rFonts w:ascii="Times New Roman" w:eastAsia="Times New Roman" w:hAnsi="Times New Roman" w:cs="Times New Roman"/>
          <w:color w:val="000000"/>
          <w:sz w:val="24"/>
          <w:szCs w:val="24"/>
        </w:rPr>
        <w:t>L</w:t>
      </w:r>
      <w:r w:rsidR="004322EF" w:rsidRPr="001C6AB1">
        <w:rPr>
          <w:rFonts w:ascii="Times New Roman" w:eastAsia="Times New Roman" w:hAnsi="Times New Roman" w:cs="Times New Roman"/>
          <w:color w:val="000000"/>
          <w:sz w:val="24"/>
          <w:szCs w:val="24"/>
        </w:rPr>
        <w:t>iaison (ICRL)</w:t>
      </w:r>
      <w:r w:rsidR="00870931">
        <w:rPr>
          <w:rFonts w:ascii="Times New Roman" w:eastAsia="Times New Roman" w:hAnsi="Times New Roman" w:cs="Times New Roman"/>
          <w:color w:val="000000"/>
          <w:sz w:val="24"/>
          <w:szCs w:val="24"/>
        </w:rPr>
        <w:t xml:space="preserve"> or initiate a request </w:t>
      </w:r>
      <w:r w:rsidR="00870931" w:rsidRPr="00870931">
        <w:rPr>
          <w:rFonts w:ascii="Times New Roman" w:eastAsia="Times New Roman" w:hAnsi="Times New Roman" w:cs="Times New Roman"/>
          <w:color w:val="000000"/>
          <w:sz w:val="24"/>
          <w:szCs w:val="24"/>
        </w:rPr>
        <w:t>in the CDC Science Services Support (S3P) System, as appropriate</w:t>
      </w:r>
      <w:r w:rsidRPr="00870931">
        <w:rPr>
          <w:rFonts w:ascii="Times New Roman" w:eastAsia="Times New Roman" w:hAnsi="Times New Roman" w:cs="Times New Roman"/>
          <w:color w:val="000000"/>
          <w:sz w:val="24"/>
          <w:szCs w:val="24"/>
        </w:rPr>
        <w:t>:</w:t>
      </w:r>
    </w:p>
    <w:p w14:paraId="64B38240" w14:textId="0F17CE99" w:rsidR="00870931" w:rsidRPr="00870931" w:rsidRDefault="004B72A8" w:rsidP="001C6AB1">
      <w:pPr>
        <w:pStyle w:val="ListParagraph"/>
        <w:numPr>
          <w:ilvl w:val="1"/>
          <w:numId w:val="2"/>
        </w:numPr>
        <w:spacing w:before="100" w:beforeAutospacing="1" w:after="100" w:afterAutospacing="1" w:line="240" w:lineRule="auto"/>
        <w:rPr>
          <w:rFonts w:ascii="Times New Roman" w:eastAsia="Times New Roman" w:hAnsi="Times New Roman" w:cs="Times New Roman"/>
          <w:color w:val="000000"/>
          <w:sz w:val="24"/>
          <w:szCs w:val="24"/>
        </w:rPr>
      </w:pPr>
      <w:r w:rsidRPr="00870931">
        <w:rPr>
          <w:rFonts w:ascii="Times New Roman" w:eastAsia="Times New Roman" w:hAnsi="Times New Roman" w:cs="Times New Roman"/>
          <w:color w:val="000000"/>
          <w:sz w:val="24"/>
          <w:szCs w:val="24"/>
        </w:rPr>
        <w:t xml:space="preserve">Letter of </w:t>
      </w:r>
      <w:r w:rsidRPr="005D1AED">
        <w:rPr>
          <w:rFonts w:ascii="Times New Roman" w:eastAsia="Times New Roman" w:hAnsi="Times New Roman" w:cs="Times New Roman"/>
          <w:color w:val="000000"/>
          <w:sz w:val="24"/>
          <w:szCs w:val="24"/>
        </w:rPr>
        <w:t>invitation</w:t>
      </w:r>
      <w:r w:rsidR="001C6AB1" w:rsidRPr="005D1AED">
        <w:rPr>
          <w:rFonts w:ascii="Times New Roman" w:eastAsia="Times New Roman" w:hAnsi="Times New Roman" w:cs="Times New Roman"/>
          <w:color w:val="000000"/>
          <w:sz w:val="24"/>
          <w:szCs w:val="24"/>
        </w:rPr>
        <w:t>/collaboration</w:t>
      </w:r>
      <w:r w:rsidRPr="005D1AED">
        <w:rPr>
          <w:rFonts w:ascii="Times New Roman" w:eastAsia="Times New Roman" w:hAnsi="Times New Roman" w:cs="Times New Roman"/>
          <w:color w:val="000000"/>
          <w:sz w:val="24"/>
          <w:szCs w:val="24"/>
        </w:rPr>
        <w:t xml:space="preserve"> </w:t>
      </w:r>
      <w:r w:rsidR="00BC66BB" w:rsidRPr="005D1AED">
        <w:rPr>
          <w:rFonts w:ascii="Times New Roman" w:eastAsia="Times New Roman" w:hAnsi="Times New Roman" w:cs="Times New Roman"/>
          <w:color w:val="000000"/>
          <w:sz w:val="24"/>
          <w:szCs w:val="24"/>
        </w:rPr>
        <w:t xml:space="preserve">from the local, tribal, or state </w:t>
      </w:r>
      <w:r w:rsidRPr="005D1AED">
        <w:rPr>
          <w:rFonts w:ascii="Times New Roman" w:eastAsia="Times New Roman" w:hAnsi="Times New Roman" w:cs="Times New Roman"/>
          <w:color w:val="000000"/>
          <w:sz w:val="24"/>
          <w:szCs w:val="24"/>
        </w:rPr>
        <w:t>health authority</w:t>
      </w:r>
    </w:p>
    <w:p w14:paraId="5598CEC1" w14:textId="77777777" w:rsidR="00870931" w:rsidRPr="005D1AED" w:rsidRDefault="00870931" w:rsidP="005D1AED">
      <w:pPr>
        <w:pStyle w:val="ListParagraph"/>
        <w:numPr>
          <w:ilvl w:val="1"/>
          <w:numId w:val="2"/>
        </w:numPr>
        <w:spacing w:after="0" w:line="240" w:lineRule="auto"/>
      </w:pPr>
      <w:r>
        <w:rPr>
          <w:rFonts w:ascii="Times New Roman" w:hAnsi="Times New Roman" w:cs="Times New Roman"/>
          <w:sz w:val="24"/>
          <w:szCs w:val="24"/>
        </w:rPr>
        <w:t xml:space="preserve">A completed </w:t>
      </w:r>
      <w:r w:rsidRPr="005D1AED">
        <w:rPr>
          <w:rFonts w:ascii="Times New Roman" w:hAnsi="Times New Roman" w:cs="Times New Roman"/>
          <w:sz w:val="24"/>
          <w:szCs w:val="24"/>
        </w:rPr>
        <w:t>Request For Approval Under The Generic Clearance</w:t>
      </w:r>
      <w:r>
        <w:rPr>
          <w:rFonts w:ascii="Times New Roman" w:hAnsi="Times New Roman" w:cs="Times New Roman"/>
          <w:sz w:val="24"/>
          <w:szCs w:val="24"/>
        </w:rPr>
        <w:t xml:space="preserve"> form</w:t>
      </w:r>
    </w:p>
    <w:p w14:paraId="6518C0E3" w14:textId="77777777" w:rsidR="00870931" w:rsidRDefault="00821BFE" w:rsidP="005D1AED">
      <w:pPr>
        <w:pStyle w:val="ListParagraph"/>
        <w:numPr>
          <w:ilvl w:val="1"/>
          <w:numId w:val="2"/>
        </w:numPr>
        <w:spacing w:after="0" w:line="240" w:lineRule="auto"/>
        <w:rPr>
          <w:rFonts w:ascii="Times New Roman" w:eastAsia="Times New Roman" w:hAnsi="Times New Roman" w:cs="Times New Roman"/>
          <w:color w:val="000000"/>
          <w:sz w:val="24"/>
          <w:szCs w:val="24"/>
        </w:rPr>
      </w:pPr>
      <w:r w:rsidRPr="00870931">
        <w:rPr>
          <w:rFonts w:ascii="Times New Roman" w:eastAsia="Times New Roman" w:hAnsi="Times New Roman" w:cs="Times New Roman"/>
          <w:color w:val="000000"/>
          <w:sz w:val="24"/>
          <w:szCs w:val="24"/>
        </w:rPr>
        <w:t>A complete Supporting Statement B describing the proposed sampling</w:t>
      </w:r>
      <w:r w:rsidR="00AD3C82" w:rsidRPr="00870931">
        <w:rPr>
          <w:rFonts w:ascii="Times New Roman" w:eastAsia="Times New Roman" w:hAnsi="Times New Roman" w:cs="Times New Roman"/>
          <w:color w:val="000000"/>
          <w:sz w:val="24"/>
          <w:szCs w:val="24"/>
        </w:rPr>
        <w:t xml:space="preserve"> plan</w:t>
      </w:r>
      <w:r w:rsidRPr="00870931">
        <w:rPr>
          <w:rFonts w:ascii="Times New Roman" w:eastAsia="Times New Roman" w:hAnsi="Times New Roman" w:cs="Times New Roman"/>
          <w:color w:val="000000"/>
          <w:sz w:val="24"/>
          <w:szCs w:val="24"/>
        </w:rPr>
        <w:t xml:space="preserve"> and statistical methods </w:t>
      </w:r>
      <w:r w:rsidR="00BC4D85" w:rsidRPr="00870931">
        <w:rPr>
          <w:rFonts w:ascii="Times New Roman" w:eastAsia="Times New Roman" w:hAnsi="Times New Roman" w:cs="Times New Roman"/>
          <w:color w:val="000000"/>
          <w:sz w:val="24"/>
          <w:szCs w:val="24"/>
        </w:rPr>
        <w:t>for</w:t>
      </w:r>
      <w:r w:rsidR="00BC4D85" w:rsidRPr="001C6AB1">
        <w:rPr>
          <w:rFonts w:ascii="Times New Roman" w:eastAsia="Times New Roman" w:hAnsi="Times New Roman" w:cs="Times New Roman"/>
          <w:color w:val="000000"/>
          <w:sz w:val="24"/>
          <w:szCs w:val="24"/>
        </w:rPr>
        <w:t xml:space="preserve"> the</w:t>
      </w:r>
      <w:r w:rsidRPr="001C6AB1">
        <w:rPr>
          <w:rFonts w:ascii="Times New Roman" w:eastAsia="Times New Roman" w:hAnsi="Times New Roman" w:cs="Times New Roman"/>
          <w:color w:val="000000"/>
          <w:sz w:val="24"/>
          <w:szCs w:val="24"/>
        </w:rPr>
        <w:t xml:space="preserve"> GenIC.</w:t>
      </w:r>
    </w:p>
    <w:p w14:paraId="01ACAB92" w14:textId="46188060" w:rsidR="001C6AB1" w:rsidRDefault="004B72A8" w:rsidP="001C6AB1">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1C6AB1">
        <w:rPr>
          <w:rFonts w:ascii="Times New Roman" w:eastAsia="Times New Roman" w:hAnsi="Times New Roman" w:cs="Times New Roman"/>
          <w:color w:val="000000"/>
          <w:sz w:val="24"/>
          <w:szCs w:val="24"/>
        </w:rPr>
        <w:t xml:space="preserve">The ICRL will review the request and determine whether it meets the criteria for the </w:t>
      </w:r>
      <w:r w:rsidR="00297F70">
        <w:rPr>
          <w:rFonts w:ascii="Times New Roman" w:eastAsia="Times New Roman" w:hAnsi="Times New Roman" w:cs="Times New Roman"/>
          <w:color w:val="000000"/>
          <w:sz w:val="24"/>
          <w:szCs w:val="24"/>
        </w:rPr>
        <w:t>scope of the “</w:t>
      </w:r>
      <w:r w:rsidR="00297F70" w:rsidRPr="001C6AB1">
        <w:rPr>
          <w:rFonts w:ascii="Times New Roman" w:eastAsia="Times New Roman" w:hAnsi="Times New Roman" w:cs="Times New Roman"/>
          <w:color w:val="000000"/>
          <w:sz w:val="24"/>
          <w:szCs w:val="24"/>
        </w:rPr>
        <w:t xml:space="preserve">Health </w:t>
      </w:r>
      <w:r w:rsidR="00297F70">
        <w:rPr>
          <w:rFonts w:ascii="Times New Roman" w:eastAsia="Times New Roman" w:hAnsi="Times New Roman" w:cs="Times New Roman"/>
          <w:color w:val="000000"/>
          <w:sz w:val="24"/>
          <w:szCs w:val="24"/>
        </w:rPr>
        <w:t>Risks</w:t>
      </w:r>
      <w:r w:rsidR="00297F70" w:rsidRPr="001C6AB1">
        <w:rPr>
          <w:rFonts w:ascii="Times New Roman" w:eastAsia="Times New Roman" w:hAnsi="Times New Roman" w:cs="Times New Roman"/>
          <w:color w:val="000000"/>
          <w:sz w:val="24"/>
          <w:szCs w:val="24"/>
        </w:rPr>
        <w:t xml:space="preserve"> from Using Private Wells for Drinking Water</w:t>
      </w:r>
      <w:r w:rsidR="00297F70">
        <w:rPr>
          <w:rFonts w:ascii="Times New Roman" w:eastAsia="Times New Roman" w:hAnsi="Times New Roman" w:cs="Times New Roman"/>
          <w:color w:val="000000"/>
          <w:sz w:val="24"/>
          <w:szCs w:val="24"/>
        </w:rPr>
        <w:t>” ICR.</w:t>
      </w:r>
    </w:p>
    <w:p w14:paraId="583EB11E" w14:textId="77777777" w:rsidR="003E5659" w:rsidRDefault="004B72A8" w:rsidP="001C6AB1">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1C6AB1">
        <w:rPr>
          <w:rFonts w:ascii="Times New Roman" w:eastAsia="Times New Roman" w:hAnsi="Times New Roman" w:cs="Times New Roman"/>
          <w:color w:val="000000"/>
          <w:sz w:val="24"/>
          <w:szCs w:val="24"/>
        </w:rPr>
        <w:t>If</w:t>
      </w:r>
      <w:r w:rsidR="003E5659">
        <w:rPr>
          <w:rFonts w:ascii="Times New Roman" w:eastAsia="Times New Roman" w:hAnsi="Times New Roman" w:cs="Times New Roman"/>
          <w:color w:val="000000"/>
          <w:sz w:val="24"/>
          <w:szCs w:val="24"/>
        </w:rPr>
        <w:t xml:space="preserve"> the proposed investigation</w:t>
      </w:r>
      <w:r w:rsidRPr="001C6AB1">
        <w:rPr>
          <w:rFonts w:ascii="Times New Roman" w:eastAsia="Times New Roman" w:hAnsi="Times New Roman" w:cs="Times New Roman"/>
          <w:color w:val="000000"/>
          <w:sz w:val="24"/>
          <w:szCs w:val="24"/>
        </w:rPr>
        <w:t xml:space="preserve"> is deemed appropriate</w:t>
      </w:r>
      <w:r w:rsidR="003E5659">
        <w:rPr>
          <w:rFonts w:ascii="Times New Roman" w:eastAsia="Times New Roman" w:hAnsi="Times New Roman" w:cs="Times New Roman"/>
          <w:color w:val="000000"/>
          <w:sz w:val="24"/>
          <w:szCs w:val="24"/>
        </w:rPr>
        <w:t xml:space="preserve"> for this clearance</w:t>
      </w:r>
      <w:r w:rsidRPr="001C6AB1">
        <w:rPr>
          <w:rFonts w:ascii="Times New Roman" w:eastAsia="Times New Roman" w:hAnsi="Times New Roman" w:cs="Times New Roman"/>
          <w:color w:val="000000"/>
          <w:sz w:val="24"/>
          <w:szCs w:val="24"/>
        </w:rPr>
        <w:t>, the ICRL will</w:t>
      </w:r>
      <w:r w:rsidR="001C6AB1">
        <w:rPr>
          <w:rFonts w:ascii="Times New Roman" w:eastAsia="Times New Roman" w:hAnsi="Times New Roman" w:cs="Times New Roman"/>
          <w:color w:val="000000"/>
          <w:sz w:val="24"/>
          <w:szCs w:val="24"/>
        </w:rPr>
        <w:t xml:space="preserve"> notify </w:t>
      </w:r>
      <w:r w:rsidR="00297F70">
        <w:rPr>
          <w:rFonts w:ascii="Times New Roman" w:eastAsia="Times New Roman" w:hAnsi="Times New Roman" w:cs="Times New Roman"/>
          <w:color w:val="000000"/>
          <w:sz w:val="24"/>
          <w:szCs w:val="24"/>
        </w:rPr>
        <w:t xml:space="preserve">the </w:t>
      </w:r>
      <w:r w:rsidR="001C6AB1">
        <w:rPr>
          <w:rFonts w:ascii="Times New Roman" w:eastAsia="Times New Roman" w:hAnsi="Times New Roman" w:cs="Times New Roman"/>
          <w:color w:val="000000"/>
          <w:sz w:val="24"/>
          <w:szCs w:val="24"/>
        </w:rPr>
        <w:t>NCEH</w:t>
      </w:r>
      <w:r w:rsidR="00297F70">
        <w:rPr>
          <w:rFonts w:ascii="Times New Roman" w:eastAsia="Times New Roman" w:hAnsi="Times New Roman" w:cs="Times New Roman"/>
          <w:color w:val="000000"/>
          <w:sz w:val="24"/>
          <w:szCs w:val="24"/>
        </w:rPr>
        <w:t xml:space="preserve"> program</w:t>
      </w:r>
      <w:r w:rsidR="001C6AB1">
        <w:rPr>
          <w:rFonts w:ascii="Times New Roman" w:eastAsia="Times New Roman" w:hAnsi="Times New Roman" w:cs="Times New Roman"/>
          <w:color w:val="000000"/>
          <w:sz w:val="24"/>
          <w:szCs w:val="24"/>
        </w:rPr>
        <w:t xml:space="preserve"> to complete the GenIC package, including </w:t>
      </w:r>
      <w:r w:rsidR="003E5659">
        <w:rPr>
          <w:rFonts w:ascii="Times New Roman" w:eastAsia="Times New Roman" w:hAnsi="Times New Roman" w:cs="Times New Roman"/>
          <w:color w:val="000000"/>
          <w:sz w:val="24"/>
          <w:szCs w:val="24"/>
        </w:rPr>
        <w:t>data collection instruments.</w:t>
      </w:r>
    </w:p>
    <w:p w14:paraId="781DA4C3" w14:textId="3501C841" w:rsidR="003E5659" w:rsidRDefault="00297F70" w:rsidP="001C6AB1">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003E5659">
        <w:rPr>
          <w:rFonts w:ascii="Times New Roman" w:eastAsia="Times New Roman" w:hAnsi="Times New Roman" w:cs="Times New Roman"/>
          <w:color w:val="000000"/>
          <w:sz w:val="24"/>
          <w:szCs w:val="24"/>
        </w:rPr>
        <w:t xml:space="preserve">NCEH </w:t>
      </w:r>
      <w:r>
        <w:rPr>
          <w:rFonts w:ascii="Times New Roman" w:eastAsia="Times New Roman" w:hAnsi="Times New Roman" w:cs="Times New Roman"/>
          <w:color w:val="000000"/>
          <w:sz w:val="24"/>
          <w:szCs w:val="24"/>
        </w:rPr>
        <w:t xml:space="preserve">program </w:t>
      </w:r>
      <w:r w:rsidR="003E5659">
        <w:rPr>
          <w:rFonts w:ascii="Times New Roman" w:eastAsia="Times New Roman" w:hAnsi="Times New Roman" w:cs="Times New Roman"/>
          <w:color w:val="000000"/>
          <w:sz w:val="24"/>
          <w:szCs w:val="24"/>
        </w:rPr>
        <w:t>will submit the GenIC package to the ICRL</w:t>
      </w:r>
      <w:r>
        <w:rPr>
          <w:rFonts w:ascii="Times New Roman" w:eastAsia="Times New Roman" w:hAnsi="Times New Roman" w:cs="Times New Roman"/>
          <w:color w:val="000000"/>
          <w:sz w:val="24"/>
          <w:szCs w:val="24"/>
        </w:rPr>
        <w:t xml:space="preserve"> via email or via S3P, as appropriate.</w:t>
      </w:r>
    </w:p>
    <w:p w14:paraId="2446CE05" w14:textId="77777777" w:rsidR="001C6AB1" w:rsidRDefault="003E5659" w:rsidP="001C6AB1">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ICRL will</w:t>
      </w:r>
      <w:r w:rsidR="004B72A8" w:rsidRPr="001C6AB1">
        <w:rPr>
          <w:rFonts w:ascii="Times New Roman" w:eastAsia="Times New Roman" w:hAnsi="Times New Roman" w:cs="Times New Roman"/>
          <w:color w:val="000000"/>
          <w:sz w:val="24"/>
          <w:szCs w:val="24"/>
        </w:rPr>
        <w:t xml:space="preserve"> submit the request to the CDC Information Collection Review Office</w:t>
      </w:r>
      <w:r w:rsidR="00A87A2D" w:rsidRPr="001C6AB1">
        <w:rPr>
          <w:rFonts w:ascii="Times New Roman" w:eastAsia="Times New Roman" w:hAnsi="Times New Roman" w:cs="Times New Roman"/>
          <w:color w:val="000000"/>
          <w:sz w:val="24"/>
          <w:szCs w:val="24"/>
        </w:rPr>
        <w:t xml:space="preserve"> (ICRO)</w:t>
      </w:r>
      <w:r w:rsidR="004B72A8" w:rsidRPr="001C6AB1">
        <w:rPr>
          <w:rFonts w:ascii="Times New Roman" w:eastAsia="Times New Roman" w:hAnsi="Times New Roman" w:cs="Times New Roman"/>
          <w:color w:val="000000"/>
          <w:sz w:val="24"/>
          <w:szCs w:val="24"/>
        </w:rPr>
        <w:t xml:space="preserve"> for OMB approval. </w:t>
      </w:r>
    </w:p>
    <w:p w14:paraId="4B5A4EFD" w14:textId="77777777" w:rsidR="003E5659" w:rsidRPr="008159A1" w:rsidRDefault="00053891" w:rsidP="00AB406A">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3E5659">
        <w:rPr>
          <w:rFonts w:ascii="Times New Roman" w:eastAsia="Times New Roman" w:hAnsi="Times New Roman" w:cs="Times New Roman"/>
          <w:color w:val="000000"/>
          <w:sz w:val="24"/>
          <w:szCs w:val="24"/>
        </w:rPr>
        <w:t xml:space="preserve">Data </w:t>
      </w:r>
      <w:r w:rsidRPr="008159A1">
        <w:rPr>
          <w:rFonts w:ascii="Times New Roman" w:eastAsia="Times New Roman" w:hAnsi="Times New Roman" w:cs="Times New Roman"/>
          <w:color w:val="000000"/>
          <w:sz w:val="24"/>
          <w:szCs w:val="24"/>
        </w:rPr>
        <w:t xml:space="preserve">collection cannot begin until OMB has approved the information. </w:t>
      </w:r>
    </w:p>
    <w:p w14:paraId="62950A16" w14:textId="086E91B0" w:rsidR="001C6AB1" w:rsidRPr="005D1AED" w:rsidRDefault="004B72A8" w:rsidP="00AB406A">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8159A1">
        <w:rPr>
          <w:rFonts w:ascii="Times New Roman" w:hAnsi="Times New Roman" w:cs="Times New Roman"/>
          <w:bCs/>
          <w:sz w:val="24"/>
          <w:szCs w:val="24"/>
        </w:rPr>
        <w:t xml:space="preserve">Upon receiving OMB approval, </w:t>
      </w:r>
      <w:bookmarkStart w:id="0" w:name="_GoBack"/>
      <w:bookmarkEnd w:id="0"/>
      <w:commentRangeStart w:id="1"/>
      <w:r w:rsidRPr="005D1AED">
        <w:rPr>
          <w:rFonts w:ascii="Times New Roman" w:hAnsi="Times New Roman" w:cs="Times New Roman"/>
          <w:bCs/>
          <w:sz w:val="24"/>
          <w:szCs w:val="24"/>
        </w:rPr>
        <w:t>data collection may proceed</w:t>
      </w:r>
      <w:r w:rsidR="00297F70" w:rsidRPr="005D1AED">
        <w:rPr>
          <w:rFonts w:ascii="Times New Roman" w:hAnsi="Times New Roman" w:cs="Times New Roman"/>
          <w:bCs/>
          <w:sz w:val="24"/>
          <w:szCs w:val="24"/>
        </w:rPr>
        <w:t>.</w:t>
      </w:r>
      <w:commentRangeEnd w:id="1"/>
      <w:r w:rsidRPr="005D1AED">
        <w:rPr>
          <w:rFonts w:ascii="Times New Roman" w:hAnsi="Times New Roman" w:cs="Times New Roman"/>
          <w:bCs/>
          <w:sz w:val="24"/>
          <w:szCs w:val="24"/>
        </w:rPr>
        <w:t xml:space="preserve"> </w:t>
      </w:r>
    </w:p>
    <w:p w14:paraId="0AB0E774" w14:textId="4938DAE0" w:rsidR="001C6AB1" w:rsidRDefault="004B72A8" w:rsidP="001C6AB1">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1C6AB1">
        <w:rPr>
          <w:rFonts w:ascii="Times New Roman" w:eastAsia="Times New Roman" w:hAnsi="Times New Roman" w:cs="Times New Roman"/>
          <w:color w:val="000000"/>
          <w:sz w:val="24"/>
          <w:szCs w:val="24"/>
        </w:rPr>
        <w:t xml:space="preserve">On the cover or first page of each data collection instrument, include the OMB </w:t>
      </w:r>
      <w:r w:rsidR="00297F70">
        <w:rPr>
          <w:rFonts w:ascii="Times New Roman" w:eastAsia="Times New Roman" w:hAnsi="Times New Roman" w:cs="Times New Roman"/>
          <w:color w:val="000000"/>
          <w:sz w:val="24"/>
          <w:szCs w:val="24"/>
        </w:rPr>
        <w:t>Control N</w:t>
      </w:r>
      <w:r w:rsidRPr="001C6AB1">
        <w:rPr>
          <w:rFonts w:ascii="Times New Roman" w:eastAsia="Times New Roman" w:hAnsi="Times New Roman" w:cs="Times New Roman"/>
          <w:color w:val="000000"/>
          <w:sz w:val="24"/>
          <w:szCs w:val="24"/>
        </w:rPr>
        <w:t>umber and expiration date (092</w:t>
      </w:r>
      <w:r w:rsidR="00297F70">
        <w:rPr>
          <w:rFonts w:ascii="Times New Roman" w:eastAsia="Times New Roman" w:hAnsi="Times New Roman" w:cs="Times New Roman"/>
          <w:color w:val="000000"/>
          <w:sz w:val="24"/>
          <w:szCs w:val="24"/>
        </w:rPr>
        <w:t>0</w:t>
      </w:r>
      <w:r w:rsidRPr="001C6AB1">
        <w:rPr>
          <w:rFonts w:ascii="Times New Roman" w:eastAsia="Times New Roman" w:hAnsi="Times New Roman" w:cs="Times New Roman"/>
          <w:color w:val="000000"/>
          <w:sz w:val="24"/>
          <w:szCs w:val="24"/>
        </w:rPr>
        <w:t>-</w:t>
      </w:r>
      <w:r w:rsidR="00297F70">
        <w:rPr>
          <w:rFonts w:ascii="Times New Roman" w:eastAsia="Times New Roman" w:hAnsi="Times New Roman" w:cs="Times New Roman"/>
          <w:color w:val="000000"/>
          <w:sz w:val="24"/>
          <w:szCs w:val="24"/>
        </w:rPr>
        <w:t>xxxx</w:t>
      </w:r>
      <w:r w:rsidRPr="001C6AB1">
        <w:rPr>
          <w:rFonts w:ascii="Times New Roman" w:eastAsia="Times New Roman" w:hAnsi="Times New Roman" w:cs="Times New Roman"/>
          <w:color w:val="000000"/>
          <w:sz w:val="24"/>
          <w:szCs w:val="24"/>
        </w:rPr>
        <w:t>; expir</w:t>
      </w:r>
      <w:r w:rsidR="00297F70">
        <w:rPr>
          <w:rFonts w:ascii="Times New Roman" w:eastAsia="Times New Roman" w:hAnsi="Times New Roman" w:cs="Times New Roman"/>
          <w:color w:val="000000"/>
          <w:sz w:val="24"/>
          <w:szCs w:val="24"/>
        </w:rPr>
        <w:t>ation date</w:t>
      </w:r>
      <w:r w:rsidRPr="001C6AB1">
        <w:rPr>
          <w:rFonts w:ascii="Times New Roman" w:eastAsia="Times New Roman" w:hAnsi="Times New Roman" w:cs="Times New Roman"/>
          <w:color w:val="000000"/>
          <w:sz w:val="24"/>
          <w:szCs w:val="24"/>
        </w:rPr>
        <w:t xml:space="preserve"> </w:t>
      </w:r>
      <w:r w:rsidR="00297F70">
        <w:rPr>
          <w:rFonts w:ascii="Times New Roman" w:eastAsia="Times New Roman" w:hAnsi="Times New Roman" w:cs="Times New Roman"/>
          <w:color w:val="000000"/>
          <w:sz w:val="24"/>
          <w:szCs w:val="24"/>
        </w:rPr>
        <w:t>mm/dd/yyyy</w:t>
      </w:r>
      <w:r w:rsidRPr="001C6AB1">
        <w:rPr>
          <w:rFonts w:ascii="Times New Roman" w:eastAsia="Times New Roman" w:hAnsi="Times New Roman" w:cs="Times New Roman"/>
          <w:color w:val="000000"/>
          <w:sz w:val="24"/>
          <w:szCs w:val="24"/>
        </w:rPr>
        <w:t xml:space="preserve">) in the upper right corner and the public reporting burden statement in the footer. </w:t>
      </w:r>
    </w:p>
    <w:p w14:paraId="3FAC117A" w14:textId="77777777" w:rsidR="004B72A8" w:rsidRPr="006665D5" w:rsidRDefault="004B72A8" w:rsidP="001C6AB1">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6665D5">
        <w:rPr>
          <w:rFonts w:ascii="Times New Roman" w:eastAsia="Times New Roman" w:hAnsi="Times New Roman" w:cs="Times New Roman"/>
          <w:color w:val="000000"/>
          <w:sz w:val="24"/>
          <w:szCs w:val="24"/>
        </w:rPr>
        <w:t>Prior to data collection, investigators must inform respondents that participation is voluntary, that respondents will not be personally identified in any published reports of the study, and that their privacy will be protected to the extent allowed under federal law.</w:t>
      </w:r>
    </w:p>
    <w:p w14:paraId="2733167D" w14:textId="77777777" w:rsidR="006665D5" w:rsidRPr="006665D5" w:rsidRDefault="006665D5" w:rsidP="006665D5">
      <w:pPr>
        <w:pStyle w:val="ListParagraph"/>
        <w:numPr>
          <w:ilvl w:val="0"/>
          <w:numId w:val="2"/>
        </w:numPr>
        <w:spacing w:after="0" w:line="240" w:lineRule="auto"/>
        <w:rPr>
          <w:rFonts w:ascii="Times New Roman" w:hAnsi="Times New Roman"/>
          <w:sz w:val="24"/>
          <w:szCs w:val="24"/>
        </w:rPr>
      </w:pPr>
      <w:r w:rsidRPr="006665D5">
        <w:rPr>
          <w:rFonts w:ascii="Times New Roman" w:hAnsi="Times New Roman"/>
          <w:sz w:val="24"/>
          <w:szCs w:val="24"/>
        </w:rPr>
        <w:t xml:space="preserve">Within five business days after the GenIC data collection is completed, the NCEH program will complete the Private Well Burden Memo, attach the finalized forms, and submit to the ICRL. </w:t>
      </w:r>
    </w:p>
    <w:p w14:paraId="358A3AAE" w14:textId="25319799" w:rsidR="006665D5" w:rsidRPr="001C6AB1" w:rsidRDefault="006665D5" w:rsidP="005D1AED">
      <w:pPr>
        <w:pStyle w:val="ListParagraph"/>
        <w:numPr>
          <w:ilvl w:val="0"/>
          <w:numId w:val="2"/>
        </w:numPr>
      </w:pPr>
      <w:r>
        <w:rPr>
          <w:rFonts w:ascii="Times New Roman" w:hAnsi="Times New Roman"/>
          <w:sz w:val="24"/>
          <w:szCs w:val="24"/>
        </w:rPr>
        <w:t>On a quarterly basis, a</w:t>
      </w:r>
      <w:r w:rsidRPr="005D1AED">
        <w:rPr>
          <w:rFonts w:ascii="Times New Roman" w:hAnsi="Times New Roman"/>
          <w:sz w:val="24"/>
          <w:szCs w:val="24"/>
        </w:rPr>
        <w:t xml:space="preserve"> change request updating the final burden estimates for all GenICs </w:t>
      </w:r>
      <w:r w:rsidRPr="006665D5">
        <w:rPr>
          <w:rFonts w:ascii="Times New Roman" w:hAnsi="Times New Roman"/>
          <w:sz w:val="24"/>
          <w:szCs w:val="24"/>
        </w:rPr>
        <w:t xml:space="preserve">conducted in the previous </w:t>
      </w:r>
      <w:r w:rsidRPr="005D1AED">
        <w:rPr>
          <w:rFonts w:ascii="Times New Roman" w:hAnsi="Times New Roman"/>
          <w:sz w:val="24"/>
          <w:szCs w:val="24"/>
        </w:rPr>
        <w:t>quarter will be submitted by the ICRL for processing and approval with ICRO, HHS, and OMB.</w:t>
      </w:r>
    </w:p>
    <w:p w14:paraId="472741F9" w14:textId="77777777" w:rsidR="004B72A8" w:rsidRPr="001C6AB1" w:rsidRDefault="004B72A8" w:rsidP="004322EF">
      <w:pPr>
        <w:spacing w:after="0" w:line="240" w:lineRule="auto"/>
        <w:rPr>
          <w:rFonts w:ascii="Times New Roman" w:eastAsia="Times New Roman" w:hAnsi="Times New Roman" w:cs="Times New Roman"/>
          <w:sz w:val="24"/>
          <w:szCs w:val="24"/>
        </w:rPr>
      </w:pPr>
      <w:r w:rsidRPr="001C6AB1">
        <w:rPr>
          <w:rFonts w:ascii="Times New Roman" w:eastAsia="Times New Roman" w:hAnsi="Times New Roman" w:cs="Times New Roman"/>
          <w:color w:val="000000"/>
          <w:sz w:val="24"/>
          <w:szCs w:val="24"/>
        </w:rPr>
        <w:t>Questions or Comments?</w:t>
      </w:r>
      <w:r w:rsidR="001C6AB1">
        <w:rPr>
          <w:rFonts w:ascii="Times New Roman" w:eastAsia="Times New Roman" w:hAnsi="Times New Roman" w:cs="Times New Roman"/>
          <w:color w:val="000000"/>
          <w:sz w:val="24"/>
          <w:szCs w:val="24"/>
        </w:rPr>
        <w:t xml:space="preserve"> Contact the </w:t>
      </w:r>
      <w:r w:rsidRPr="001C6AB1">
        <w:rPr>
          <w:rFonts w:ascii="Times New Roman" w:eastAsia="Times New Roman" w:hAnsi="Times New Roman" w:cs="Times New Roman"/>
          <w:sz w:val="24"/>
          <w:szCs w:val="24"/>
          <w:u w:val="single"/>
        </w:rPr>
        <w:t>Information Collection Request Liaison</w:t>
      </w:r>
      <w:r w:rsidR="004322EF" w:rsidRPr="001C6AB1">
        <w:rPr>
          <w:rFonts w:ascii="Times New Roman" w:eastAsia="Times New Roman" w:hAnsi="Times New Roman" w:cs="Times New Roman"/>
          <w:sz w:val="24"/>
          <w:szCs w:val="24"/>
          <w:u w:val="single"/>
        </w:rPr>
        <w:t xml:space="preserve"> (ICRL)</w:t>
      </w:r>
      <w:r w:rsidRPr="001C6AB1">
        <w:rPr>
          <w:rFonts w:ascii="Times New Roman" w:eastAsia="Times New Roman" w:hAnsi="Times New Roman" w:cs="Times New Roman"/>
          <w:sz w:val="24"/>
          <w:szCs w:val="24"/>
        </w:rPr>
        <w:t>:</w:t>
      </w:r>
    </w:p>
    <w:p w14:paraId="481AC054" w14:textId="77777777" w:rsidR="0025266D" w:rsidRPr="001C6AB1" w:rsidRDefault="0025266D" w:rsidP="004322EF">
      <w:pPr>
        <w:spacing w:after="0" w:line="240" w:lineRule="auto"/>
        <w:rPr>
          <w:rFonts w:ascii="Times New Roman" w:eastAsia="Times New Roman" w:hAnsi="Times New Roman" w:cs="Times New Roman"/>
          <w:sz w:val="24"/>
          <w:szCs w:val="24"/>
        </w:rPr>
      </w:pPr>
    </w:p>
    <w:p w14:paraId="45512C4F" w14:textId="77777777" w:rsidR="004322EF" w:rsidRPr="001C6AB1" w:rsidRDefault="004322EF" w:rsidP="000935E5">
      <w:pPr>
        <w:spacing w:after="0" w:line="240" w:lineRule="auto"/>
        <w:rPr>
          <w:rFonts w:ascii="Times New Roman" w:eastAsiaTheme="minorEastAsia" w:hAnsi="Times New Roman" w:cs="Times New Roman"/>
          <w:bCs/>
          <w:noProof/>
          <w:sz w:val="24"/>
          <w:szCs w:val="24"/>
        </w:rPr>
      </w:pPr>
      <w:bookmarkStart w:id="2" w:name="_MailAutoSig"/>
      <w:r w:rsidRPr="001C6AB1">
        <w:rPr>
          <w:rFonts w:ascii="Times New Roman" w:eastAsiaTheme="minorEastAsia" w:hAnsi="Times New Roman" w:cs="Times New Roman"/>
          <w:bCs/>
          <w:noProof/>
          <w:sz w:val="24"/>
          <w:szCs w:val="24"/>
        </w:rPr>
        <w:t>Stephanie I. Davis, MSPH</w:t>
      </w:r>
    </w:p>
    <w:p w14:paraId="561DABB7" w14:textId="77777777" w:rsidR="004322EF" w:rsidRPr="001C6AB1" w:rsidRDefault="004322EF" w:rsidP="000935E5">
      <w:pPr>
        <w:spacing w:after="0" w:line="240" w:lineRule="auto"/>
        <w:rPr>
          <w:rFonts w:ascii="Times New Roman" w:eastAsiaTheme="minorEastAsia" w:hAnsi="Times New Roman" w:cs="Times New Roman"/>
          <w:noProof/>
          <w:sz w:val="24"/>
          <w:szCs w:val="24"/>
        </w:rPr>
      </w:pPr>
      <w:r w:rsidRPr="001C6AB1">
        <w:rPr>
          <w:rFonts w:ascii="Times New Roman" w:eastAsiaTheme="minorEastAsia" w:hAnsi="Times New Roman" w:cs="Times New Roman"/>
          <w:bCs/>
          <w:noProof/>
          <w:sz w:val="24"/>
          <w:szCs w:val="24"/>
        </w:rPr>
        <w:t>OMB-PRA Contact</w:t>
      </w:r>
    </w:p>
    <w:p w14:paraId="4B515D3A" w14:textId="77777777" w:rsidR="004322EF" w:rsidRPr="001C6AB1" w:rsidRDefault="004322EF" w:rsidP="000935E5">
      <w:pPr>
        <w:spacing w:after="0" w:line="240" w:lineRule="auto"/>
        <w:rPr>
          <w:rFonts w:ascii="Times New Roman" w:eastAsiaTheme="minorEastAsia" w:hAnsi="Times New Roman" w:cs="Times New Roman"/>
          <w:bCs/>
          <w:noProof/>
          <w:sz w:val="24"/>
          <w:szCs w:val="24"/>
        </w:rPr>
      </w:pPr>
      <w:r w:rsidRPr="001C6AB1">
        <w:rPr>
          <w:rFonts w:ascii="Times New Roman" w:eastAsiaTheme="minorEastAsia" w:hAnsi="Times New Roman" w:cs="Times New Roman"/>
          <w:noProof/>
          <w:sz w:val="24"/>
          <w:szCs w:val="24"/>
        </w:rPr>
        <w:t xml:space="preserve">NCEH/ATSDR </w:t>
      </w:r>
      <w:r w:rsidRPr="001C6AB1">
        <w:rPr>
          <w:rFonts w:ascii="Times New Roman" w:eastAsiaTheme="minorEastAsia" w:hAnsi="Times New Roman" w:cs="Times New Roman"/>
          <w:bCs/>
          <w:noProof/>
          <w:sz w:val="24"/>
          <w:szCs w:val="24"/>
        </w:rPr>
        <w:t>Office of Science</w:t>
      </w:r>
    </w:p>
    <w:p w14:paraId="0B725A6E" w14:textId="77777777" w:rsidR="004322EF" w:rsidRPr="001C6AB1" w:rsidRDefault="004322EF" w:rsidP="000935E5">
      <w:pPr>
        <w:spacing w:after="0" w:line="240" w:lineRule="auto"/>
        <w:rPr>
          <w:rFonts w:ascii="Times New Roman" w:eastAsiaTheme="minorEastAsia" w:hAnsi="Times New Roman" w:cs="Times New Roman"/>
          <w:noProof/>
          <w:sz w:val="24"/>
          <w:szCs w:val="24"/>
        </w:rPr>
      </w:pPr>
      <w:r w:rsidRPr="001C6AB1">
        <w:rPr>
          <w:rFonts w:ascii="Times New Roman" w:eastAsiaTheme="minorEastAsia" w:hAnsi="Times New Roman" w:cs="Times New Roman"/>
          <w:bCs/>
          <w:noProof/>
          <w:sz w:val="24"/>
          <w:szCs w:val="24"/>
        </w:rPr>
        <w:t>Office: 770-488-3676</w:t>
      </w:r>
    </w:p>
    <w:p w14:paraId="3D03F811" w14:textId="77777777" w:rsidR="004322EF" w:rsidRPr="001C6AB1" w:rsidRDefault="004322EF" w:rsidP="000935E5">
      <w:pPr>
        <w:spacing w:after="0" w:line="240" w:lineRule="auto"/>
        <w:rPr>
          <w:rFonts w:ascii="Times New Roman" w:eastAsiaTheme="minorEastAsia" w:hAnsi="Times New Roman" w:cs="Times New Roman"/>
          <w:noProof/>
          <w:sz w:val="24"/>
          <w:szCs w:val="24"/>
        </w:rPr>
      </w:pPr>
      <w:r w:rsidRPr="001C6AB1">
        <w:rPr>
          <w:rFonts w:ascii="Times New Roman" w:eastAsiaTheme="minorEastAsia" w:hAnsi="Times New Roman" w:cs="Times New Roman"/>
          <w:noProof/>
          <w:sz w:val="24"/>
          <w:szCs w:val="24"/>
        </w:rPr>
        <w:t>BlackBerry: 404-213-2967</w:t>
      </w:r>
      <w:bookmarkEnd w:id="2"/>
    </w:p>
    <w:p w14:paraId="14F128CB" w14:textId="7A918259" w:rsidR="00F1467C" w:rsidRPr="001C6AB1" w:rsidRDefault="004322EF" w:rsidP="004322EF">
      <w:pPr>
        <w:spacing w:after="0" w:line="240" w:lineRule="auto"/>
        <w:rPr>
          <w:rFonts w:ascii="Times New Roman" w:eastAsia="Times New Roman" w:hAnsi="Times New Roman" w:cs="Times New Roman"/>
          <w:color w:val="000000"/>
          <w:sz w:val="24"/>
          <w:szCs w:val="24"/>
        </w:rPr>
      </w:pPr>
      <w:r w:rsidRPr="001C6AB1">
        <w:rPr>
          <w:rFonts w:ascii="Times New Roman" w:eastAsiaTheme="minorEastAsia" w:hAnsi="Times New Roman" w:cs="Times New Roman"/>
          <w:noProof/>
          <w:sz w:val="24"/>
          <w:szCs w:val="24"/>
        </w:rPr>
        <w:t>sgd8@cdc.gov</w:t>
      </w:r>
    </w:p>
    <w:sectPr w:rsidR="00F1467C" w:rsidRPr="001C6AB1" w:rsidSect="00D57CD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altName w:val="Times New Roman PSMT"/>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D23A50"/>
    <w:multiLevelType w:val="multilevel"/>
    <w:tmpl w:val="92A69030"/>
    <w:lvl w:ilvl="0">
      <w:start w:val="1"/>
      <w:numFmt w:val="decimal"/>
      <w:lvlText w:val="%1."/>
      <w:lvlJc w:val="left"/>
      <w:pPr>
        <w:tabs>
          <w:tab w:val="num" w:pos="495"/>
        </w:tabs>
        <w:ind w:left="495" w:hanging="360"/>
      </w:pPr>
    </w:lvl>
    <w:lvl w:ilvl="1">
      <w:start w:val="1"/>
      <w:numFmt w:val="bullet"/>
      <w:lvlText w:val="o"/>
      <w:lvlJc w:val="left"/>
      <w:pPr>
        <w:tabs>
          <w:tab w:val="num" w:pos="1215"/>
        </w:tabs>
        <w:ind w:left="1215" w:hanging="360"/>
      </w:pPr>
      <w:rPr>
        <w:rFonts w:ascii="Courier New" w:hAnsi="Courier New" w:hint="default"/>
        <w:sz w:val="20"/>
      </w:r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1" w15:restartNumberingAfterBreak="0">
    <w:nsid w:val="74BF224D"/>
    <w:multiLevelType w:val="hybridMultilevel"/>
    <w:tmpl w:val="AC2EDF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2A8"/>
    <w:rsid w:val="00053891"/>
    <w:rsid w:val="00076992"/>
    <w:rsid w:val="000935E5"/>
    <w:rsid w:val="001012EC"/>
    <w:rsid w:val="001971F3"/>
    <w:rsid w:val="001A655B"/>
    <w:rsid w:val="001C6AB1"/>
    <w:rsid w:val="001D1421"/>
    <w:rsid w:val="00234331"/>
    <w:rsid w:val="0025266D"/>
    <w:rsid w:val="002761E4"/>
    <w:rsid w:val="00297F70"/>
    <w:rsid w:val="00327F95"/>
    <w:rsid w:val="003E2C7C"/>
    <w:rsid w:val="003E5659"/>
    <w:rsid w:val="00407042"/>
    <w:rsid w:val="004322EF"/>
    <w:rsid w:val="00465695"/>
    <w:rsid w:val="004774DA"/>
    <w:rsid w:val="00494F8A"/>
    <w:rsid w:val="004B72A8"/>
    <w:rsid w:val="004D2D04"/>
    <w:rsid w:val="00565A9D"/>
    <w:rsid w:val="00590D14"/>
    <w:rsid w:val="005967AA"/>
    <w:rsid w:val="005D1AED"/>
    <w:rsid w:val="00603664"/>
    <w:rsid w:val="00627FF9"/>
    <w:rsid w:val="006665D5"/>
    <w:rsid w:val="0067481E"/>
    <w:rsid w:val="006759E4"/>
    <w:rsid w:val="007001F5"/>
    <w:rsid w:val="007B128B"/>
    <w:rsid w:val="007D7191"/>
    <w:rsid w:val="008159A1"/>
    <w:rsid w:val="00821BFE"/>
    <w:rsid w:val="00845DAA"/>
    <w:rsid w:val="0086022A"/>
    <w:rsid w:val="00863094"/>
    <w:rsid w:val="00864D04"/>
    <w:rsid w:val="00870931"/>
    <w:rsid w:val="00880CC7"/>
    <w:rsid w:val="008A7732"/>
    <w:rsid w:val="008C673A"/>
    <w:rsid w:val="008D61CE"/>
    <w:rsid w:val="00901F74"/>
    <w:rsid w:val="00923F7B"/>
    <w:rsid w:val="00942030"/>
    <w:rsid w:val="009512ED"/>
    <w:rsid w:val="009533D3"/>
    <w:rsid w:val="009648C4"/>
    <w:rsid w:val="009953DE"/>
    <w:rsid w:val="009D4443"/>
    <w:rsid w:val="00A30451"/>
    <w:rsid w:val="00A311DA"/>
    <w:rsid w:val="00A87A2D"/>
    <w:rsid w:val="00A955FB"/>
    <w:rsid w:val="00AD3C82"/>
    <w:rsid w:val="00B412F0"/>
    <w:rsid w:val="00B4731B"/>
    <w:rsid w:val="00B61E4E"/>
    <w:rsid w:val="00B6723F"/>
    <w:rsid w:val="00BC4D85"/>
    <w:rsid w:val="00BC66BB"/>
    <w:rsid w:val="00BD7121"/>
    <w:rsid w:val="00C4562D"/>
    <w:rsid w:val="00C62130"/>
    <w:rsid w:val="00C95D4E"/>
    <w:rsid w:val="00C978B0"/>
    <w:rsid w:val="00CE3E35"/>
    <w:rsid w:val="00D5587A"/>
    <w:rsid w:val="00D57CD4"/>
    <w:rsid w:val="00DE26F3"/>
    <w:rsid w:val="00DE3196"/>
    <w:rsid w:val="00DF729A"/>
    <w:rsid w:val="00E24FEC"/>
    <w:rsid w:val="00E36135"/>
    <w:rsid w:val="00E45B40"/>
    <w:rsid w:val="00E45C80"/>
    <w:rsid w:val="00E60360"/>
    <w:rsid w:val="00E85183"/>
    <w:rsid w:val="00E871DE"/>
    <w:rsid w:val="00E87350"/>
    <w:rsid w:val="00EB0F53"/>
    <w:rsid w:val="00F1467C"/>
    <w:rsid w:val="00F926C1"/>
    <w:rsid w:val="00FA04CD"/>
    <w:rsid w:val="00FD2370"/>
    <w:rsid w:val="00FE2065"/>
    <w:rsid w:val="00FF7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FFD5B"/>
  <w15:docId w15:val="{8E6B28D4-D313-48B5-A8AC-9F43DB038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2A8"/>
  </w:style>
  <w:style w:type="paragraph" w:styleId="Heading2">
    <w:name w:val="heading 2"/>
    <w:basedOn w:val="Normal"/>
    <w:next w:val="Normal"/>
    <w:link w:val="Heading2Char"/>
    <w:uiPriority w:val="99"/>
    <w:qFormat/>
    <w:rsid w:val="00870931"/>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2A8"/>
    <w:rPr>
      <w:rFonts w:ascii="Times New Roman" w:hAnsi="Times New Roman" w:cs="Times New Roman" w:hint="default"/>
      <w:color w:val="336699"/>
      <w:sz w:val="24"/>
      <w:szCs w:val="24"/>
      <w:u w:val="single"/>
      <w:shd w:val="clear" w:color="auto" w:fill="FFFFFF"/>
    </w:rPr>
  </w:style>
  <w:style w:type="character" w:styleId="CommentReference">
    <w:name w:val="annotation reference"/>
    <w:basedOn w:val="DefaultParagraphFont"/>
    <w:uiPriority w:val="99"/>
    <w:semiHidden/>
    <w:unhideWhenUsed/>
    <w:rsid w:val="004B72A8"/>
    <w:rPr>
      <w:sz w:val="16"/>
      <w:szCs w:val="16"/>
    </w:rPr>
  </w:style>
  <w:style w:type="paragraph" w:styleId="CommentText">
    <w:name w:val="annotation text"/>
    <w:basedOn w:val="Normal"/>
    <w:link w:val="CommentTextChar"/>
    <w:uiPriority w:val="99"/>
    <w:semiHidden/>
    <w:unhideWhenUsed/>
    <w:rsid w:val="004B72A8"/>
    <w:pPr>
      <w:spacing w:line="240" w:lineRule="auto"/>
    </w:pPr>
    <w:rPr>
      <w:sz w:val="20"/>
      <w:szCs w:val="20"/>
    </w:rPr>
  </w:style>
  <w:style w:type="character" w:customStyle="1" w:styleId="CommentTextChar">
    <w:name w:val="Comment Text Char"/>
    <w:basedOn w:val="DefaultParagraphFont"/>
    <w:link w:val="CommentText"/>
    <w:uiPriority w:val="99"/>
    <w:semiHidden/>
    <w:rsid w:val="004B72A8"/>
    <w:rPr>
      <w:sz w:val="20"/>
      <w:szCs w:val="20"/>
    </w:rPr>
  </w:style>
  <w:style w:type="paragraph" w:styleId="BalloonText">
    <w:name w:val="Balloon Text"/>
    <w:basedOn w:val="Normal"/>
    <w:link w:val="BalloonTextChar"/>
    <w:uiPriority w:val="99"/>
    <w:semiHidden/>
    <w:unhideWhenUsed/>
    <w:rsid w:val="004B7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2A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C66BB"/>
    <w:rPr>
      <w:b/>
      <w:bCs/>
    </w:rPr>
  </w:style>
  <w:style w:type="character" w:customStyle="1" w:styleId="CommentSubjectChar">
    <w:name w:val="Comment Subject Char"/>
    <w:basedOn w:val="CommentTextChar"/>
    <w:link w:val="CommentSubject"/>
    <w:uiPriority w:val="99"/>
    <w:semiHidden/>
    <w:rsid w:val="00BC66BB"/>
    <w:rPr>
      <w:b/>
      <w:bCs/>
      <w:sz w:val="20"/>
      <w:szCs w:val="20"/>
    </w:rPr>
  </w:style>
  <w:style w:type="paragraph" w:styleId="ListParagraph">
    <w:name w:val="List Paragraph"/>
    <w:basedOn w:val="Normal"/>
    <w:uiPriority w:val="34"/>
    <w:qFormat/>
    <w:rsid w:val="007001F5"/>
    <w:pPr>
      <w:ind w:left="720"/>
      <w:contextualSpacing/>
    </w:pPr>
  </w:style>
  <w:style w:type="character" w:customStyle="1" w:styleId="Heading2Char">
    <w:name w:val="Heading 2 Char"/>
    <w:basedOn w:val="DefaultParagraphFont"/>
    <w:link w:val="Heading2"/>
    <w:uiPriority w:val="99"/>
    <w:rsid w:val="00870931"/>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17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Anne Duncan</dc:creator>
  <cp:lastModifiedBy>Backer, Lorraine (CDC/ONDIEH/NCEH)</cp:lastModifiedBy>
  <cp:revision>2</cp:revision>
  <dcterms:created xsi:type="dcterms:W3CDTF">2016-06-01T14:52:00Z</dcterms:created>
  <dcterms:modified xsi:type="dcterms:W3CDTF">2016-06-01T14:52:00Z</dcterms:modified>
</cp:coreProperties>
</file>