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EA5DB"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5F2381">
        <w:rPr>
          <w:sz w:val="28"/>
        </w:rPr>
        <w:t>0920-0974</w:t>
      </w:r>
      <w:r>
        <w:rPr>
          <w:sz w:val="28"/>
        </w:rPr>
        <w:t>)</w:t>
      </w:r>
    </w:p>
    <w:p w14:paraId="625DB379" w14:textId="677E43EF" w:rsidR="00E50293" w:rsidRPr="00305F2A" w:rsidRDefault="005F2381" w:rsidP="00305F2A">
      <w:r>
        <w:rPr>
          <w:b/>
          <w:noProof/>
        </w:rPr>
        <mc:AlternateContent>
          <mc:Choice Requires="wps">
            <w:drawing>
              <wp:anchor distT="0" distB="0" distL="114300" distR="114300" simplePos="0" relativeHeight="251657216" behindDoc="0" locked="0" layoutInCell="0" allowOverlap="1" wp14:anchorId="53AA0983" wp14:editId="3D3BCCCB">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0CB2C1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C1492">
        <w:t xml:space="preserve">BioSense </w:t>
      </w:r>
      <w:r w:rsidR="00002421">
        <w:t>Platfor</w:t>
      </w:r>
      <w:r w:rsidR="00F757C0">
        <w:t xml:space="preserve">m </w:t>
      </w:r>
      <w:r w:rsidR="00CC1492">
        <w:t>User Satisfaction Survey</w:t>
      </w:r>
      <w:r w:rsidR="00305F2A">
        <w:t xml:space="preserve"> </w:t>
      </w:r>
    </w:p>
    <w:p w14:paraId="3FBB1EE5" w14:textId="77777777" w:rsidR="005E714A" w:rsidRDefault="005E714A"/>
    <w:p w14:paraId="111C6AE5" w14:textId="77777777" w:rsidR="00CC1492" w:rsidRDefault="00F15956" w:rsidP="00CC1492">
      <w:pPr>
        <w:rPr>
          <w:b/>
        </w:rPr>
      </w:pPr>
      <w:r>
        <w:rPr>
          <w:b/>
        </w:rPr>
        <w:t>PURPOSE</w:t>
      </w:r>
      <w:r w:rsidRPr="009239AA">
        <w:rPr>
          <w:b/>
        </w:rPr>
        <w:t>:</w:t>
      </w:r>
      <w:r w:rsidR="00C14CC4" w:rsidRPr="009239AA">
        <w:rPr>
          <w:b/>
        </w:rPr>
        <w:t xml:space="preserve">  </w:t>
      </w:r>
    </w:p>
    <w:p w14:paraId="7398347B" w14:textId="77777777" w:rsidR="00CC1492" w:rsidRDefault="00CC1492" w:rsidP="00CC1492">
      <w:pPr>
        <w:rPr>
          <w:b/>
        </w:rPr>
      </w:pPr>
    </w:p>
    <w:p w14:paraId="33A4FE23" w14:textId="7A6B566E" w:rsidR="00CC1492" w:rsidRDefault="00CC1492" w:rsidP="00CC1492">
      <w:r w:rsidRPr="00010C25">
        <w:t xml:space="preserve">In order to work continuously to ensure that our programs are effective and meet our customers’ needs, </w:t>
      </w:r>
      <w:r>
        <w:t>the Centers for Disease Control and Prevention (CDC) seeks to obtain Office of Management and Budget (OMB) approval of a generic clearance to collect feedback from users of the BioSense Platform.</w:t>
      </w:r>
    </w:p>
    <w:p w14:paraId="5BB64F1E" w14:textId="77777777" w:rsidR="00CC1492" w:rsidRDefault="00CC1492" w:rsidP="00CC1492"/>
    <w:p w14:paraId="64C39E45" w14:textId="4EB6E4F1" w:rsidR="000F1047" w:rsidRDefault="00CC1492" w:rsidP="000F1047">
      <w:r>
        <w:t xml:space="preserve">The mission of the National Syndromic Surveillance Program (NSSP) is to promote the use of high quality syndromic surveillance data for improved nationwide all-hazard situational awareness for public health decision-making and enhanced responses to hazardous events, and outbreaks. </w:t>
      </w:r>
      <w:r w:rsidR="000F1047">
        <w:t>Over the past few months, the National Syndromic Surveillance Program (NSSP) has been operationalizing a more advanced BioSense Platform to provide public health practitioners with enhanced tools to conduct syndromic surveillance activities. The new platform includes ESSENCE, a software application for conducting syndromic surveillance, as well as other tools that will provide users with data analysis, visualization and sharing capabilities. T</w:t>
      </w:r>
      <w:r>
        <w:t xml:space="preserve">he </w:t>
      </w:r>
      <w:r w:rsidR="000F1047">
        <w:t xml:space="preserve">new BioSense Platform </w:t>
      </w:r>
      <w:r>
        <w:t>provides public health officials with a common cloud-based health information system with standardized tools and procedures to rapidly collect, share, evaluate and store information.</w:t>
      </w:r>
      <w:r w:rsidR="000F1047">
        <w:t xml:space="preserve"> Health officials can use the BioSense Platform to analyze and exchange syndromic data</w:t>
      </w:r>
      <w:r w:rsidR="006A3F7C">
        <w:t xml:space="preserve"> </w:t>
      </w:r>
      <w:r w:rsidR="006A3F7C" w:rsidRPr="008A2FEF">
        <w:t>for</w:t>
      </w:r>
      <w:r w:rsidR="000F1047">
        <w:t xml:space="preserve"> improving their common awareness of health threats over time and across regional boundaries. NSSP successfully transitioned data for 47 state and local sites to the new BioSense </w:t>
      </w:r>
      <w:r w:rsidR="00B2336F">
        <w:t>P</w:t>
      </w:r>
      <w:r w:rsidR="000F1047">
        <w:t xml:space="preserve">latform between June-December 2016 and sunset the previous BioSense web application in January 2017. </w:t>
      </w:r>
    </w:p>
    <w:p w14:paraId="1ED25E09" w14:textId="38784C59" w:rsidR="00EA291F" w:rsidRDefault="00EA291F" w:rsidP="000F1047"/>
    <w:p w14:paraId="4C4E055D" w14:textId="6DA9757B" w:rsidR="00EA291F" w:rsidRDefault="00EA291F" w:rsidP="00EA291F">
      <w:r>
        <w:t xml:space="preserve">In an ongoing effort to continually assess the BioSense Platform’s performance and customer satisfaction as new developments are made, this activity seeks to provide a better understanding of how well the new BioSense </w:t>
      </w:r>
      <w:r w:rsidR="00B2336F">
        <w:t>P</w:t>
      </w:r>
      <w:r>
        <w:t>latform and associated tools are functioning,  if they are meeting user needs as intended, and what</w:t>
      </w:r>
      <w:r w:rsidR="006A3F7C">
        <w:t xml:space="preserve"> may </w:t>
      </w:r>
      <w:r w:rsidR="006A3F7C" w:rsidRPr="008A2FEF">
        <w:t>have</w:t>
      </w:r>
      <w:r w:rsidR="006A3F7C">
        <w:t xml:space="preserve"> </w:t>
      </w:r>
      <w:r>
        <w:t xml:space="preserve">to be improved. </w:t>
      </w:r>
    </w:p>
    <w:p w14:paraId="7B3D269D" w14:textId="77777777" w:rsidR="00C8488C" w:rsidRDefault="00C8488C"/>
    <w:p w14:paraId="73FF5DC7"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01D8A40" w14:textId="2DADBBA2" w:rsidR="00C8488C" w:rsidRDefault="00EA291F">
      <w:r>
        <w:t xml:space="preserve">Respondents to the BioSense </w:t>
      </w:r>
      <w:r w:rsidR="00F757C0">
        <w:t xml:space="preserve">Platform </w:t>
      </w:r>
      <w:r>
        <w:t xml:space="preserve">User Satisfaction Survey </w:t>
      </w:r>
      <w:r w:rsidR="00305F2A" w:rsidRPr="00305F2A">
        <w:t xml:space="preserve">for Site Administrators and </w:t>
      </w:r>
      <w:r w:rsidR="00305F2A">
        <w:t xml:space="preserve">the </w:t>
      </w:r>
      <w:r w:rsidR="00305F2A" w:rsidRPr="00305F2A">
        <w:t xml:space="preserve">BioSense Platform User Satisfaction Survey for Local Users </w:t>
      </w:r>
      <w:r>
        <w:t xml:space="preserve">will be site administrators and local </w:t>
      </w:r>
      <w:r w:rsidRPr="008A2FEF">
        <w:t xml:space="preserve">users </w:t>
      </w:r>
      <w:r w:rsidR="006A3F7C" w:rsidRPr="008A2FEF">
        <w:t>respectively</w:t>
      </w:r>
      <w:r w:rsidRPr="008A2FEF">
        <w:t xml:space="preserve">. </w:t>
      </w:r>
      <w:r w:rsidR="00B61B6C" w:rsidRPr="008A2FEF">
        <w:t>These are individuals in local or state governments</w:t>
      </w:r>
      <w:r w:rsidR="006A3F7C" w:rsidRPr="008A2FEF">
        <w:t xml:space="preserve"> that transitioned to the new BioSense Platform between June-December 2016</w:t>
      </w:r>
      <w:r w:rsidR="00B61B6C" w:rsidRPr="008A2FEF">
        <w:t>.</w:t>
      </w:r>
    </w:p>
    <w:p w14:paraId="184D8EAC" w14:textId="77777777" w:rsidR="00F15956" w:rsidRDefault="00F15956"/>
    <w:p w14:paraId="726712A8" w14:textId="77777777" w:rsidR="00F06866" w:rsidRPr="00F06866" w:rsidRDefault="00F06866">
      <w:pPr>
        <w:rPr>
          <w:b/>
        </w:rPr>
      </w:pPr>
      <w:r>
        <w:rPr>
          <w:b/>
        </w:rPr>
        <w:t>TYPE OF COLLECTION:</w:t>
      </w:r>
      <w:r w:rsidRPr="00F06866">
        <w:t xml:space="preserve"> (Check one)</w:t>
      </w:r>
    </w:p>
    <w:p w14:paraId="77439D61" w14:textId="77777777" w:rsidR="00441434" w:rsidRPr="00434E33" w:rsidRDefault="00441434" w:rsidP="0096108F">
      <w:pPr>
        <w:pStyle w:val="BodyTextIndent"/>
        <w:tabs>
          <w:tab w:val="left" w:pos="360"/>
        </w:tabs>
        <w:ind w:left="0"/>
        <w:rPr>
          <w:bCs/>
          <w:sz w:val="16"/>
          <w:szCs w:val="16"/>
        </w:rPr>
      </w:pPr>
    </w:p>
    <w:p w14:paraId="77F9973C" w14:textId="72BEE34E"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EA291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D2BC285"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2D24D8B"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8F5B68B" w14:textId="77777777" w:rsidR="00434E33" w:rsidRDefault="00434E33">
      <w:pPr>
        <w:pStyle w:val="Header"/>
        <w:tabs>
          <w:tab w:val="clear" w:pos="4320"/>
          <w:tab w:val="clear" w:pos="8640"/>
        </w:tabs>
      </w:pPr>
    </w:p>
    <w:p w14:paraId="3568E5A9" w14:textId="77777777" w:rsidR="00CA2650" w:rsidRDefault="00441434">
      <w:pPr>
        <w:rPr>
          <w:b/>
        </w:rPr>
      </w:pPr>
      <w:r>
        <w:rPr>
          <w:b/>
        </w:rPr>
        <w:t>C</w:t>
      </w:r>
      <w:r w:rsidR="009C13B9">
        <w:rPr>
          <w:b/>
        </w:rPr>
        <w:t>ERTIFICATION:</w:t>
      </w:r>
    </w:p>
    <w:p w14:paraId="143F6534" w14:textId="77777777" w:rsidR="00441434" w:rsidRDefault="00441434">
      <w:pPr>
        <w:rPr>
          <w:sz w:val="16"/>
          <w:szCs w:val="16"/>
        </w:rPr>
      </w:pPr>
    </w:p>
    <w:p w14:paraId="5F1A4971" w14:textId="77777777" w:rsidR="008101A5" w:rsidRPr="009C13B9" w:rsidRDefault="008101A5" w:rsidP="008101A5">
      <w:r>
        <w:t xml:space="preserve">I certify the following to be true: </w:t>
      </w:r>
    </w:p>
    <w:p w14:paraId="0E804DD1" w14:textId="77777777" w:rsidR="008101A5" w:rsidRDefault="008101A5" w:rsidP="008101A5">
      <w:pPr>
        <w:pStyle w:val="ListParagraph"/>
        <w:numPr>
          <w:ilvl w:val="0"/>
          <w:numId w:val="14"/>
        </w:numPr>
      </w:pPr>
      <w:r>
        <w:t>The collection is voluntary.</w:t>
      </w:r>
      <w:r w:rsidRPr="00C14CC4">
        <w:t xml:space="preserve"> </w:t>
      </w:r>
    </w:p>
    <w:p w14:paraId="6B3615A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4E89F00"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B2890D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E49CA79"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FE93E2E" w14:textId="19D7E6B7" w:rsidR="008101A5" w:rsidRDefault="008101A5" w:rsidP="008101A5">
      <w:pPr>
        <w:pStyle w:val="ListParagraph"/>
        <w:numPr>
          <w:ilvl w:val="0"/>
          <w:numId w:val="14"/>
        </w:numPr>
      </w:pPr>
      <w:r>
        <w:t xml:space="preserve">The collection is targeted to the solicitation of opinions from respondents who have </w:t>
      </w:r>
      <w:r w:rsidRPr="008A2FEF">
        <w:t xml:space="preserve">experience </w:t>
      </w:r>
      <w:r w:rsidR="006A3F7C" w:rsidRPr="008A2FEF">
        <w:t>and/or</w:t>
      </w:r>
      <w:r w:rsidRPr="008A2FEF">
        <w:t xml:space="preserve"> may </w:t>
      </w:r>
      <w:r w:rsidR="006A3F7C" w:rsidRPr="008A2FEF">
        <w:t>gain</w:t>
      </w:r>
      <w:r w:rsidR="008A2FEF" w:rsidRPr="008A2FEF">
        <w:t xml:space="preserve"> experience</w:t>
      </w:r>
      <w:r w:rsidR="006A3F7C" w:rsidRPr="008A2FEF">
        <w:t xml:space="preserve"> in the future with the program</w:t>
      </w:r>
      <w:r w:rsidRPr="008A2FEF">
        <w:t>.</w:t>
      </w:r>
    </w:p>
    <w:p w14:paraId="0203235C" w14:textId="77777777" w:rsidR="009C13B9" w:rsidRDefault="009C13B9" w:rsidP="009C13B9"/>
    <w:p w14:paraId="4D70402F" w14:textId="202317E1" w:rsidR="009C13B9" w:rsidRDefault="009C13B9" w:rsidP="009C13B9">
      <w:r>
        <w:t>Name:_</w:t>
      </w:r>
      <w:r w:rsidR="00EA291F" w:rsidRPr="00A6162E">
        <w:rPr>
          <w:b/>
        </w:rPr>
        <w:t>Cassandra Davis, MPH</w:t>
      </w:r>
      <w:r>
        <w:t>_______________________________________________</w:t>
      </w:r>
    </w:p>
    <w:p w14:paraId="665B3B04" w14:textId="77777777" w:rsidR="009C13B9" w:rsidRDefault="009C13B9" w:rsidP="009C13B9">
      <w:pPr>
        <w:pStyle w:val="ListParagraph"/>
        <w:ind w:left="360"/>
      </w:pPr>
    </w:p>
    <w:p w14:paraId="54F40788" w14:textId="77777777" w:rsidR="009C13B9" w:rsidRDefault="009C13B9" w:rsidP="009C13B9">
      <w:r>
        <w:t>To assist review, please provide answers to the following question:</w:t>
      </w:r>
    </w:p>
    <w:p w14:paraId="30D1C8A5" w14:textId="77777777" w:rsidR="009C13B9" w:rsidRDefault="009C13B9" w:rsidP="009C13B9">
      <w:pPr>
        <w:pStyle w:val="ListParagraph"/>
        <w:ind w:left="360"/>
      </w:pPr>
    </w:p>
    <w:p w14:paraId="7B0B2C6B" w14:textId="77777777" w:rsidR="009C13B9" w:rsidRPr="00C86E91" w:rsidRDefault="00C86E91" w:rsidP="00C86E91">
      <w:pPr>
        <w:rPr>
          <w:b/>
        </w:rPr>
      </w:pPr>
      <w:r w:rsidRPr="00C86E91">
        <w:rPr>
          <w:b/>
        </w:rPr>
        <w:t>Personally Identifiable Information:</w:t>
      </w:r>
    </w:p>
    <w:p w14:paraId="76B3F3D6" w14:textId="7D57E5FB"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EA291F">
        <w:t>X</w:t>
      </w:r>
      <w:r w:rsidR="009239AA">
        <w:t xml:space="preserve">]  No </w:t>
      </w:r>
    </w:p>
    <w:p w14:paraId="709E5964" w14:textId="70A503D8"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05D84CE4" w14:textId="7D884AA8"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560A682C" w14:textId="77777777" w:rsidR="00CF6542" w:rsidRDefault="00CF6542" w:rsidP="00C86E91">
      <w:pPr>
        <w:pStyle w:val="ListParagraph"/>
        <w:ind w:left="0"/>
        <w:rPr>
          <w:b/>
        </w:rPr>
      </w:pPr>
    </w:p>
    <w:p w14:paraId="684B334D" w14:textId="77777777" w:rsidR="00C86E91" w:rsidRPr="00C86E91" w:rsidRDefault="00CB1078" w:rsidP="00C86E91">
      <w:pPr>
        <w:pStyle w:val="ListParagraph"/>
        <w:ind w:left="0"/>
        <w:rPr>
          <w:b/>
        </w:rPr>
      </w:pPr>
      <w:r>
        <w:rPr>
          <w:b/>
        </w:rPr>
        <w:t>Gifts or Payments</w:t>
      </w:r>
      <w:r w:rsidR="00C86E91">
        <w:rPr>
          <w:b/>
        </w:rPr>
        <w:t>:</w:t>
      </w:r>
    </w:p>
    <w:p w14:paraId="27FC1094" w14:textId="457EA863" w:rsidR="00C86E91" w:rsidRDefault="00C86E91" w:rsidP="00C86E91">
      <w:r>
        <w:t xml:space="preserve">Is an incentive (e.g., money or reimbursement of expenses, token of appreciation) provided to participants?  [  ] Yes [ </w:t>
      </w:r>
      <w:r w:rsidR="00EA291F">
        <w:t>X</w:t>
      </w:r>
      <w:r>
        <w:t xml:space="preserve"> ] No  </w:t>
      </w:r>
    </w:p>
    <w:p w14:paraId="54B8D06A" w14:textId="77777777" w:rsidR="00EA2F32" w:rsidRDefault="00EA2F32">
      <w:pPr>
        <w:rPr>
          <w:b/>
        </w:rPr>
      </w:pPr>
    </w:p>
    <w:p w14:paraId="5120448E" w14:textId="77777777" w:rsidR="005E714A" w:rsidRDefault="005E714A" w:rsidP="00C86E91">
      <w:r>
        <w:rPr>
          <w:b/>
        </w:rPr>
        <w:t>BURDEN HOUR</w:t>
      </w:r>
      <w:r w:rsidR="00441434">
        <w:rPr>
          <w:b/>
        </w:rPr>
        <w:t>S</w:t>
      </w:r>
      <w:r>
        <w:t xml:space="preserve"> </w:t>
      </w:r>
    </w:p>
    <w:p w14:paraId="52449B13" w14:textId="1D820445" w:rsidR="007D69DF" w:rsidRDefault="007D69DF" w:rsidP="00C86E91">
      <w:pPr>
        <w:rPr>
          <w:szCs w:val="22"/>
        </w:rPr>
      </w:pPr>
      <w:r>
        <w:t>There will be two separate surveys, one for site administrators and one for local users. Each survey will be web-based using Epi</w:t>
      </w:r>
      <w:r w:rsidR="005C4C89">
        <w:t xml:space="preserve"> </w:t>
      </w:r>
      <w:r>
        <w:t>Info and will include 39 questions for site administrators and 45 questions for local users.</w:t>
      </w:r>
      <w:r w:rsidR="00DD2531">
        <w:t xml:space="preserve"> It will take approximately 15 minutes to complete the site administrat</w:t>
      </w:r>
      <w:r w:rsidR="00EF1C83">
        <w:t>or’s survey and approximately 10</w:t>
      </w:r>
      <w:r w:rsidR="00DD2531">
        <w:t xml:space="preserve"> minutes to complete the local user’s survey. </w:t>
      </w:r>
      <w:r w:rsidR="00DD2531">
        <w:rPr>
          <w:szCs w:val="22"/>
        </w:rPr>
        <w:t xml:space="preserve">For more information on Epi Info please visit </w:t>
      </w:r>
      <w:hyperlink r:id="rId8" w:history="1">
        <w:r w:rsidR="00DD2531" w:rsidRPr="00CF00B6">
          <w:rPr>
            <w:rStyle w:val="Hyperlink"/>
            <w:szCs w:val="22"/>
          </w:rPr>
          <w:t>http://www.cdc.gov/epiinfo/index.html</w:t>
        </w:r>
      </w:hyperlink>
      <w:r w:rsidR="00DD2531">
        <w:rPr>
          <w:szCs w:val="22"/>
        </w:rPr>
        <w:t xml:space="preserve">. </w:t>
      </w:r>
    </w:p>
    <w:p w14:paraId="68A27AC2" w14:textId="77777777" w:rsidR="00DD2531" w:rsidRDefault="00DD2531" w:rsidP="00C86E91">
      <w:pPr>
        <w:rPr>
          <w:szCs w:val="22"/>
        </w:rPr>
      </w:pPr>
    </w:p>
    <w:p w14:paraId="3C4C52B2" w14:textId="05012E5F" w:rsidR="00DD2531" w:rsidRDefault="00DD2531" w:rsidP="00C86E91">
      <w:pPr>
        <w:rPr>
          <w:i/>
        </w:rPr>
      </w:pPr>
      <w:r w:rsidRPr="008A2FEF">
        <w:rPr>
          <w:szCs w:val="22"/>
        </w:rPr>
        <w:t xml:space="preserve">There were 47 jurisdictions that were transitioned </w:t>
      </w:r>
      <w:r w:rsidR="008E5C61" w:rsidRPr="008A2FEF">
        <w:rPr>
          <w:szCs w:val="22"/>
        </w:rPr>
        <w:t xml:space="preserve">to the new BioSense Platform between </w:t>
      </w:r>
      <w:r w:rsidRPr="008A2FEF">
        <w:rPr>
          <w:szCs w:val="22"/>
        </w:rPr>
        <w:t>June-December 2016 and each jurisdiction has a site administrator</w:t>
      </w:r>
      <w:r w:rsidR="006A3F7C" w:rsidRPr="008A2FEF">
        <w:rPr>
          <w:szCs w:val="22"/>
        </w:rPr>
        <w:t xml:space="preserve"> and, likely, a site user</w:t>
      </w:r>
      <w:r w:rsidRPr="008A2FEF">
        <w:rPr>
          <w:szCs w:val="22"/>
        </w:rPr>
        <w:t>. Therefore, 94 respondents could be potentially surveyed (47 site administrators and 47 local users)</w:t>
      </w:r>
      <w:r w:rsidR="006A3F7C" w:rsidRPr="008A2FEF">
        <w:rPr>
          <w:szCs w:val="22"/>
        </w:rPr>
        <w:t xml:space="preserve"> for a total response burden of 20 hours (12 hours for 47 site administrators and 8 hours for 47 local users).</w:t>
      </w:r>
    </w:p>
    <w:p w14:paraId="5DF2D174"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1980"/>
        <w:gridCol w:w="1980"/>
        <w:gridCol w:w="1296"/>
      </w:tblGrid>
      <w:tr w:rsidR="00EF2095" w14:paraId="6BD1BCDF" w14:textId="77777777" w:rsidTr="0061164A">
        <w:trPr>
          <w:trHeight w:val="274"/>
        </w:trPr>
        <w:tc>
          <w:tcPr>
            <w:tcW w:w="4405" w:type="dxa"/>
          </w:tcPr>
          <w:p w14:paraId="475A2F20" w14:textId="77777777" w:rsidR="006832D9" w:rsidRPr="0001027E" w:rsidRDefault="00E40B50" w:rsidP="00C8488C">
            <w:pPr>
              <w:rPr>
                <w:b/>
              </w:rPr>
            </w:pPr>
            <w:r w:rsidRPr="0001027E">
              <w:rPr>
                <w:b/>
              </w:rPr>
              <w:t>Category of Respondent</w:t>
            </w:r>
            <w:r w:rsidR="00EF2095" w:rsidRPr="0001027E">
              <w:rPr>
                <w:b/>
              </w:rPr>
              <w:t xml:space="preserve"> </w:t>
            </w:r>
          </w:p>
        </w:tc>
        <w:tc>
          <w:tcPr>
            <w:tcW w:w="1980" w:type="dxa"/>
          </w:tcPr>
          <w:p w14:paraId="69CEAC40"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980" w:type="dxa"/>
          </w:tcPr>
          <w:p w14:paraId="38B2F3FC" w14:textId="77777777" w:rsidR="006832D9" w:rsidRPr="0001027E" w:rsidRDefault="006832D9" w:rsidP="00843796">
            <w:pPr>
              <w:rPr>
                <w:b/>
              </w:rPr>
            </w:pPr>
            <w:r w:rsidRPr="0001027E">
              <w:rPr>
                <w:b/>
              </w:rPr>
              <w:t>Participation Time</w:t>
            </w:r>
          </w:p>
        </w:tc>
        <w:tc>
          <w:tcPr>
            <w:tcW w:w="1296" w:type="dxa"/>
          </w:tcPr>
          <w:p w14:paraId="4446D121" w14:textId="77777777" w:rsidR="006832D9" w:rsidRPr="0001027E" w:rsidRDefault="006832D9" w:rsidP="00843796">
            <w:pPr>
              <w:rPr>
                <w:b/>
              </w:rPr>
            </w:pPr>
            <w:r w:rsidRPr="0001027E">
              <w:rPr>
                <w:b/>
              </w:rPr>
              <w:t>Burden</w:t>
            </w:r>
          </w:p>
        </w:tc>
      </w:tr>
      <w:tr w:rsidR="00EF2095" w14:paraId="6BE9DE37" w14:textId="77777777" w:rsidTr="0061164A">
        <w:trPr>
          <w:trHeight w:val="274"/>
        </w:trPr>
        <w:tc>
          <w:tcPr>
            <w:tcW w:w="4405" w:type="dxa"/>
          </w:tcPr>
          <w:p w14:paraId="6847A7B4" w14:textId="56E38AD8" w:rsidR="006832D9" w:rsidRDefault="000F1633" w:rsidP="00843796">
            <w:r>
              <w:t>Site Administrator</w:t>
            </w:r>
          </w:p>
        </w:tc>
        <w:tc>
          <w:tcPr>
            <w:tcW w:w="1980" w:type="dxa"/>
          </w:tcPr>
          <w:p w14:paraId="1FF9856D" w14:textId="72527401" w:rsidR="006832D9" w:rsidRDefault="000F1633" w:rsidP="00843796">
            <w:r>
              <w:t>47</w:t>
            </w:r>
          </w:p>
        </w:tc>
        <w:tc>
          <w:tcPr>
            <w:tcW w:w="1980" w:type="dxa"/>
          </w:tcPr>
          <w:p w14:paraId="428062B1" w14:textId="410CCBA6" w:rsidR="006832D9" w:rsidRDefault="000F1633" w:rsidP="00843796">
            <w:r>
              <w:t>15/60</w:t>
            </w:r>
          </w:p>
        </w:tc>
        <w:tc>
          <w:tcPr>
            <w:tcW w:w="1296" w:type="dxa"/>
          </w:tcPr>
          <w:p w14:paraId="5256EDB3" w14:textId="7362E0F4" w:rsidR="006832D9" w:rsidRDefault="000F1633" w:rsidP="0061164A">
            <w:pPr>
              <w:jc w:val="right"/>
            </w:pPr>
            <w:r>
              <w:t>12</w:t>
            </w:r>
            <w:r w:rsidR="00F757C0">
              <w:t xml:space="preserve"> hours</w:t>
            </w:r>
          </w:p>
        </w:tc>
      </w:tr>
      <w:tr w:rsidR="00EF2095" w14:paraId="3A1A6C53" w14:textId="77777777" w:rsidTr="0061164A">
        <w:trPr>
          <w:trHeight w:val="274"/>
        </w:trPr>
        <w:tc>
          <w:tcPr>
            <w:tcW w:w="4405" w:type="dxa"/>
          </w:tcPr>
          <w:p w14:paraId="05FEDD4B" w14:textId="22ED8955" w:rsidR="006832D9" w:rsidRDefault="000F1633" w:rsidP="00843796">
            <w:r>
              <w:t>Local User</w:t>
            </w:r>
          </w:p>
        </w:tc>
        <w:tc>
          <w:tcPr>
            <w:tcW w:w="1980" w:type="dxa"/>
          </w:tcPr>
          <w:p w14:paraId="1D7C3CB9" w14:textId="0DBA362F" w:rsidR="006832D9" w:rsidRDefault="000F1633" w:rsidP="00843796">
            <w:r>
              <w:t>47</w:t>
            </w:r>
          </w:p>
        </w:tc>
        <w:tc>
          <w:tcPr>
            <w:tcW w:w="1980" w:type="dxa"/>
          </w:tcPr>
          <w:p w14:paraId="42323AB5" w14:textId="6B50A47E" w:rsidR="006832D9" w:rsidRDefault="00EF1C83" w:rsidP="00843796">
            <w:r>
              <w:t>1</w:t>
            </w:r>
            <w:r w:rsidR="000F1633">
              <w:t>0/60</w:t>
            </w:r>
          </w:p>
        </w:tc>
        <w:tc>
          <w:tcPr>
            <w:tcW w:w="1296" w:type="dxa"/>
          </w:tcPr>
          <w:p w14:paraId="1C02FFC2" w14:textId="335CECDF" w:rsidR="006832D9" w:rsidRDefault="00002421" w:rsidP="0061164A">
            <w:pPr>
              <w:jc w:val="right"/>
            </w:pPr>
            <w:r>
              <w:t>8</w:t>
            </w:r>
            <w:r w:rsidR="00F757C0">
              <w:t xml:space="preserve"> hours</w:t>
            </w:r>
          </w:p>
        </w:tc>
      </w:tr>
      <w:tr w:rsidR="00EF2095" w14:paraId="10B411B0" w14:textId="77777777" w:rsidTr="0061164A">
        <w:trPr>
          <w:trHeight w:val="289"/>
        </w:trPr>
        <w:tc>
          <w:tcPr>
            <w:tcW w:w="4405" w:type="dxa"/>
          </w:tcPr>
          <w:p w14:paraId="22BA847F" w14:textId="77777777" w:rsidR="006832D9" w:rsidRPr="0001027E" w:rsidRDefault="006832D9" w:rsidP="00843796">
            <w:pPr>
              <w:rPr>
                <w:b/>
              </w:rPr>
            </w:pPr>
            <w:r w:rsidRPr="0001027E">
              <w:rPr>
                <w:b/>
              </w:rPr>
              <w:t>Totals</w:t>
            </w:r>
          </w:p>
        </w:tc>
        <w:tc>
          <w:tcPr>
            <w:tcW w:w="1980" w:type="dxa"/>
          </w:tcPr>
          <w:p w14:paraId="6879B588" w14:textId="77777777" w:rsidR="006832D9" w:rsidRPr="0001027E" w:rsidRDefault="006832D9" w:rsidP="00843796">
            <w:pPr>
              <w:rPr>
                <w:b/>
              </w:rPr>
            </w:pPr>
          </w:p>
        </w:tc>
        <w:tc>
          <w:tcPr>
            <w:tcW w:w="1980" w:type="dxa"/>
          </w:tcPr>
          <w:p w14:paraId="2036017E" w14:textId="77777777" w:rsidR="006832D9" w:rsidRDefault="006832D9" w:rsidP="00843796"/>
        </w:tc>
        <w:tc>
          <w:tcPr>
            <w:tcW w:w="1296" w:type="dxa"/>
          </w:tcPr>
          <w:p w14:paraId="52E40581" w14:textId="0EF80726" w:rsidR="006832D9" w:rsidRPr="0001027E" w:rsidRDefault="000F1633" w:rsidP="0061164A">
            <w:pPr>
              <w:jc w:val="right"/>
              <w:rPr>
                <w:b/>
              </w:rPr>
            </w:pPr>
            <w:r>
              <w:rPr>
                <w:b/>
              </w:rPr>
              <w:t>2</w:t>
            </w:r>
            <w:r w:rsidR="00002421">
              <w:rPr>
                <w:b/>
              </w:rPr>
              <w:t>0</w:t>
            </w:r>
            <w:r w:rsidR="00F757C0">
              <w:rPr>
                <w:b/>
              </w:rPr>
              <w:t xml:space="preserve"> hours</w:t>
            </w:r>
          </w:p>
        </w:tc>
      </w:tr>
    </w:tbl>
    <w:p w14:paraId="67174F06" w14:textId="1529E373" w:rsidR="00F3170F" w:rsidRDefault="00F3170F" w:rsidP="00F3170F"/>
    <w:p w14:paraId="0307753E" w14:textId="266CC44F" w:rsidR="006A3F7C" w:rsidRDefault="006A3F7C" w:rsidP="00F3170F">
      <w:r w:rsidRPr="008A2FEF">
        <w:t>There will be no cost to the respondents other than their time to respond to the survey.</w:t>
      </w:r>
    </w:p>
    <w:p w14:paraId="35B3DF72" w14:textId="77777777" w:rsidR="006A3F7C" w:rsidRDefault="006A3F7C" w:rsidP="00F3170F"/>
    <w:p w14:paraId="043F7AF7" w14:textId="449804C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0F1633">
        <w:t>o</w:t>
      </w:r>
      <w:r w:rsidR="00A5498B">
        <w:t xml:space="preserve"> the Federal government is</w:t>
      </w:r>
      <w:r w:rsidR="00543859">
        <w:t xml:space="preserve"> $</w:t>
      </w:r>
      <w:r w:rsidR="00494EAB">
        <w:t>4892</w:t>
      </w:r>
      <w:r w:rsidR="00543859">
        <w:t>.3</w:t>
      </w:r>
      <w:r w:rsidR="00494EAB">
        <w:t>0</w:t>
      </w:r>
      <w:r w:rsidR="000F1633">
        <w:t>.</w:t>
      </w:r>
    </w:p>
    <w:p w14:paraId="120CF21E" w14:textId="1DF60261" w:rsidR="000F1633" w:rsidRDefault="000F1633" w:rsidP="000F1633">
      <w:r>
        <w:t xml:space="preserve">There are no equipment or overhead costs. </w:t>
      </w:r>
      <w:r w:rsidRPr="001B3232">
        <w:t xml:space="preserve">This estimate is based on the time required for one </w:t>
      </w:r>
      <w:r w:rsidRPr="008A2FEF">
        <w:t xml:space="preserve">senior CDC </w:t>
      </w:r>
      <w:r w:rsidR="006A3F7C" w:rsidRPr="008A2FEF">
        <w:t>scientist (GS-</w:t>
      </w:r>
      <w:r w:rsidRPr="008A2FEF">
        <w:t>14) to supervise</w:t>
      </w:r>
      <w:r w:rsidR="006A3F7C" w:rsidRPr="008A2FEF">
        <w:t xml:space="preserve"> and develop reports including recommendations based on survey results;</w:t>
      </w:r>
      <w:r w:rsidRPr="008A2FEF">
        <w:t xml:space="preserve"> one CDC scientist (GS-12 equivalent) to design the survey</w:t>
      </w:r>
      <w:r w:rsidR="006A3F7C" w:rsidRPr="008A2FEF">
        <w:t xml:space="preserve"> protocol</w:t>
      </w:r>
      <w:r w:rsidRPr="008A2FEF">
        <w:t xml:space="preserve">, develop the web-based survey, </w:t>
      </w:r>
      <w:r w:rsidR="006A3F7C" w:rsidRPr="008A2FEF">
        <w:t xml:space="preserve">develop the analysis plan and oversee the analysis and one contract position (equivalent to GS 9-11) to </w:t>
      </w:r>
      <w:r w:rsidRPr="008A2FEF">
        <w:t>impleme</w:t>
      </w:r>
      <w:r w:rsidR="006A3F7C" w:rsidRPr="008A2FEF">
        <w:t>nt the survey and conduct the analysis.</w:t>
      </w:r>
      <w:r w:rsidR="006A3F7C">
        <w:t xml:space="preserve"> </w:t>
      </w:r>
      <w:r>
        <w:br/>
      </w:r>
    </w:p>
    <w:p w14:paraId="4CB3DD04" w14:textId="77777777" w:rsidR="000F1633" w:rsidRDefault="000F1633">
      <w:pPr>
        <w:rPr>
          <w:b/>
        </w:rPr>
      </w:pP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A5498B" w:rsidRPr="001965FD" w14:paraId="50ECCA71" w14:textId="77777777" w:rsidTr="005C4C89">
        <w:trPr>
          <w:trHeight w:val="356"/>
        </w:trPr>
        <w:tc>
          <w:tcPr>
            <w:tcW w:w="5310" w:type="dxa"/>
            <w:tcBorders>
              <w:top w:val="single" w:sz="6" w:space="0" w:color="000000"/>
              <w:left w:val="single" w:sz="4" w:space="0" w:color="000000"/>
              <w:bottom w:val="single" w:sz="4" w:space="0" w:color="000000"/>
              <w:right w:val="single" w:sz="4" w:space="0" w:color="000000"/>
            </w:tcBorders>
          </w:tcPr>
          <w:p w14:paraId="30E57802" w14:textId="77777777" w:rsidR="00A5498B" w:rsidRPr="001965FD" w:rsidRDefault="00A5498B" w:rsidP="005C4C89">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6E39B20D" w14:textId="77777777" w:rsidR="00A5498B" w:rsidRPr="001965FD" w:rsidRDefault="00A5498B" w:rsidP="005C4C89">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367087F2" w14:textId="77777777" w:rsidR="00A5498B" w:rsidRPr="001965FD" w:rsidRDefault="00A5498B" w:rsidP="005C4C89">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161C260F" w14:textId="77777777" w:rsidR="00A5498B" w:rsidRPr="001965FD" w:rsidRDefault="00A5498B" w:rsidP="005C4C89">
            <w:pPr>
              <w:rPr>
                <w:b/>
              </w:rPr>
            </w:pPr>
            <w:r w:rsidRPr="001965FD">
              <w:rPr>
                <w:b/>
              </w:rPr>
              <w:t>Cost</w:t>
            </w:r>
          </w:p>
        </w:tc>
      </w:tr>
      <w:tr w:rsidR="00A5498B" w:rsidRPr="001965FD" w14:paraId="5F0CAD67" w14:textId="77777777" w:rsidTr="008A2FEF">
        <w:trPr>
          <w:trHeight w:val="233"/>
        </w:trPr>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271F2559" w14:textId="788E0E70" w:rsidR="00A5498B" w:rsidRPr="008A2FEF" w:rsidRDefault="00A5498B" w:rsidP="00E779EF">
            <w:r w:rsidRPr="008A2FEF">
              <w:t xml:space="preserve">FTE staff (GS-12): survey </w:t>
            </w:r>
            <w:r w:rsidR="00E779EF" w:rsidRPr="008A2FEF">
              <w:t xml:space="preserve">protocol </w:t>
            </w:r>
            <w:r w:rsidRPr="008A2FEF">
              <w:t xml:space="preserve">design, create web-based survey, </w:t>
            </w:r>
            <w:r w:rsidR="00E779EF" w:rsidRPr="008A2FEF">
              <w:t>develop analysis plan, oversee the analysis, and contribute to report development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8811" w14:textId="3AB81D63" w:rsidR="00A5498B" w:rsidRPr="008A2FEF" w:rsidRDefault="008E5C61" w:rsidP="005C4C89">
            <w:r w:rsidRPr="008A2FEF">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F1FC" w14:textId="2F31C61D" w:rsidR="00A5498B" w:rsidRPr="008A2FEF" w:rsidRDefault="00A5498B" w:rsidP="005C4C89">
            <w:r w:rsidRPr="008A2FEF">
              <w:t xml:space="preserve">$38.69 </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80321" w14:textId="444C3C07" w:rsidR="00A5498B" w:rsidRPr="008A2FEF" w:rsidRDefault="00A5498B" w:rsidP="008E5C61">
            <w:r w:rsidRPr="008A2FEF">
              <w:t>$</w:t>
            </w:r>
            <w:r w:rsidR="00557F9C" w:rsidRPr="008A2FEF">
              <w:t xml:space="preserve"> </w:t>
            </w:r>
            <w:r w:rsidR="008E5C61" w:rsidRPr="008A2FEF">
              <w:t>1547.60</w:t>
            </w:r>
          </w:p>
        </w:tc>
      </w:tr>
      <w:tr w:rsidR="008E5C61" w:rsidRPr="001965FD" w14:paraId="0BEEE0F7" w14:textId="77777777" w:rsidTr="008A2FEF">
        <w:trPr>
          <w:trHeight w:val="125"/>
        </w:trPr>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311AD2EB" w14:textId="3BA7A2F3" w:rsidR="008E5C61" w:rsidRPr="008A2FEF" w:rsidRDefault="008E5C61">
            <w:r w:rsidRPr="008A2FEF">
              <w:t>Contractor staff (GS-</w:t>
            </w:r>
            <w:r w:rsidR="00312311" w:rsidRPr="008A2FEF">
              <w:t>9-11</w:t>
            </w:r>
            <w:r w:rsidRPr="008A2FEF">
              <w:t>): survey implementation and analysis</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487A" w14:textId="4ED3D1C2" w:rsidR="008E5C61" w:rsidRPr="008A2FEF" w:rsidDel="008E5C61" w:rsidRDefault="008E5C61" w:rsidP="008E5C61">
            <w:r w:rsidRPr="008A2FEF">
              <w:t>60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589F" w14:textId="292305EB" w:rsidR="008E5C61" w:rsidRPr="008A2FEF" w:rsidRDefault="00557F9C" w:rsidP="008E5C61">
            <w:r w:rsidRPr="008A2FEF">
              <w:t>$27.00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9F9B" w14:textId="3FA6C058" w:rsidR="008E5C61" w:rsidRPr="008A2FEF" w:rsidRDefault="00557F9C" w:rsidP="008E5C61">
            <w:r w:rsidRPr="008A2FEF">
              <w:t>$1,620</w:t>
            </w:r>
          </w:p>
        </w:tc>
      </w:tr>
      <w:tr w:rsidR="008E5C61" w:rsidRPr="001965FD" w14:paraId="2E254B21" w14:textId="77777777" w:rsidTr="008A2FEF">
        <w:trPr>
          <w:trHeight w:val="125"/>
        </w:trPr>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2CE7" w14:textId="7B122F95" w:rsidR="008E5C61" w:rsidRPr="008A2FEF" w:rsidRDefault="008E5C61" w:rsidP="00E779EF">
            <w:r w:rsidRPr="008A2FEF">
              <w:t xml:space="preserve">FTE supervisor (GS-14): </w:t>
            </w:r>
            <w:r w:rsidR="00373B7A" w:rsidRPr="008A2FEF">
              <w:t>P</w:t>
            </w:r>
            <w:r w:rsidRPr="008A2FEF">
              <w:t>rovide oversight</w:t>
            </w:r>
            <w:r w:rsidR="00E779EF" w:rsidRPr="008A2FEF">
              <w:t xml:space="preserve"> </w:t>
            </w:r>
            <w:r w:rsidRPr="008A2FEF">
              <w:t>and guidance on instrument</w:t>
            </w:r>
            <w:r w:rsidR="00E779EF" w:rsidRPr="008A2FEF">
              <w:t xml:space="preserve"> dev</w:t>
            </w:r>
            <w:r w:rsidR="00373B7A" w:rsidRPr="008A2FEF">
              <w:t>elopment and data analysis. C</w:t>
            </w:r>
            <w:r w:rsidR="00E779EF" w:rsidRPr="008A2FEF">
              <w:t>ontribute to developing reports including recommendations based on survey results</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3D49" w14:textId="7B2DBDBE" w:rsidR="008E5C61" w:rsidRPr="008A2FEF" w:rsidRDefault="008E5C61" w:rsidP="008E5C61">
            <w:r w:rsidRPr="008A2FEF">
              <w:t>30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E92A" w14:textId="5DB4AB71" w:rsidR="008E5C61" w:rsidRPr="008A2FEF" w:rsidRDefault="008E5C61" w:rsidP="008E5C61">
            <w:pPr>
              <w:rPr>
                <w:b/>
              </w:rPr>
            </w:pPr>
            <w:r w:rsidRPr="008A2FEF">
              <w:t>$57.49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4F3AF" w14:textId="24D510B2" w:rsidR="008E5C61" w:rsidRPr="008A2FEF" w:rsidRDefault="008E5C61" w:rsidP="008E5C61">
            <w:r w:rsidRPr="008A2FEF">
              <w:t>$</w:t>
            </w:r>
            <w:r w:rsidR="00557F9C" w:rsidRPr="008A2FEF">
              <w:t xml:space="preserve"> </w:t>
            </w:r>
            <w:r w:rsidRPr="008A2FEF">
              <w:t>1724.70</w:t>
            </w:r>
          </w:p>
        </w:tc>
      </w:tr>
      <w:tr w:rsidR="008E5C61" w:rsidRPr="001965FD" w14:paraId="30E5303A" w14:textId="77777777" w:rsidTr="008A2FEF">
        <w:trPr>
          <w:trHeight w:val="125"/>
        </w:trPr>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008F" w14:textId="77777777" w:rsidR="008E5C61" w:rsidRPr="008A2FEF" w:rsidRDefault="008E5C61" w:rsidP="008E5C61">
            <w:pPr>
              <w:rPr>
                <w:b/>
              </w:rPr>
            </w:pPr>
            <w:r w:rsidRPr="008A2FEF">
              <w:rPr>
                <w:b/>
              </w:rPr>
              <w:t>Totals</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26A68" w14:textId="77777777" w:rsidR="008E5C61" w:rsidRPr="008A2FEF" w:rsidRDefault="008E5C61" w:rsidP="008E5C61">
            <w:pPr>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E64E" w14:textId="77777777" w:rsidR="008E5C61" w:rsidRPr="008A2FEF" w:rsidRDefault="008E5C61" w:rsidP="008E5C61">
            <w:pPr>
              <w:rPr>
                <w:b/>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25F5" w14:textId="5A58E1EA" w:rsidR="008E5C61" w:rsidRPr="008A2FEF" w:rsidRDefault="008E5C61" w:rsidP="00557F9C">
            <w:pPr>
              <w:rPr>
                <w:b/>
              </w:rPr>
            </w:pPr>
            <w:r w:rsidRPr="008A2FEF">
              <w:rPr>
                <w:b/>
              </w:rPr>
              <w:t>$</w:t>
            </w:r>
            <w:r w:rsidR="00557F9C" w:rsidRPr="008A2FEF">
              <w:rPr>
                <w:b/>
              </w:rPr>
              <w:t>4,892.3</w:t>
            </w:r>
            <w:r w:rsidR="00E779EF" w:rsidRPr="008A2FEF">
              <w:rPr>
                <w:b/>
              </w:rPr>
              <w:t>0</w:t>
            </w:r>
          </w:p>
        </w:tc>
      </w:tr>
    </w:tbl>
    <w:p w14:paraId="125D0AC8" w14:textId="77777777" w:rsidR="00ED6492" w:rsidRDefault="00ED6492">
      <w:pPr>
        <w:rPr>
          <w:b/>
          <w:bCs/>
          <w:u w:val="single"/>
        </w:rPr>
      </w:pPr>
    </w:p>
    <w:p w14:paraId="16736536"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3FE9830" w14:textId="77777777" w:rsidR="0069403B" w:rsidRDefault="0069403B" w:rsidP="00F06866">
      <w:pPr>
        <w:rPr>
          <w:b/>
        </w:rPr>
      </w:pPr>
    </w:p>
    <w:p w14:paraId="392165E5" w14:textId="77777777" w:rsidR="00F06866" w:rsidRDefault="00636621" w:rsidP="00F06866">
      <w:pPr>
        <w:rPr>
          <w:b/>
        </w:rPr>
      </w:pPr>
      <w:r>
        <w:rPr>
          <w:b/>
        </w:rPr>
        <w:t>The</w:t>
      </w:r>
      <w:r w:rsidR="0069403B">
        <w:rPr>
          <w:b/>
        </w:rPr>
        <w:t xml:space="preserve"> select</w:t>
      </w:r>
      <w:r>
        <w:rPr>
          <w:b/>
        </w:rPr>
        <w:t>ion of your targeted respondents</w:t>
      </w:r>
    </w:p>
    <w:p w14:paraId="514ED0B7" w14:textId="1FEA8C8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473B">
        <w:t>X</w:t>
      </w:r>
      <w:r>
        <w:t xml:space="preserve"> ] Yes</w:t>
      </w:r>
      <w:r>
        <w:tab/>
        <w:t>[ ] No</w:t>
      </w:r>
    </w:p>
    <w:p w14:paraId="57A9E41B" w14:textId="77777777" w:rsidR="00636621" w:rsidRDefault="00636621" w:rsidP="00636621">
      <w:pPr>
        <w:pStyle w:val="ListParagraph"/>
      </w:pPr>
    </w:p>
    <w:p w14:paraId="2BA0C1AB"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3B22238" w14:textId="77777777" w:rsidR="008F473B" w:rsidRDefault="008F473B" w:rsidP="001B0AAA"/>
    <w:p w14:paraId="5DB19A61" w14:textId="3BA209FC" w:rsidR="008F473B" w:rsidRDefault="008F473B" w:rsidP="001B0AAA">
      <w:r>
        <w:t>The NSSP team has a list of all jurisdictions that were previously sending data to the BioSense web application. Among those jurisdictions, 47 transitioned to the new BioSense Platform between June-December 2016.</w:t>
      </w:r>
      <w:r w:rsidR="00DF713B">
        <w:t xml:space="preserve"> </w:t>
      </w:r>
      <w:r w:rsidR="00DF713B" w:rsidRPr="00DF713B">
        <w:t>The NSSP team maintains points of contact information, including site administrators, for jurisdictions that participate in BioSense. This information will be utilized to send an invitation email to site administrators of the 47 jurisdictions mentioned above inviting them to participate in the survey</w:t>
      </w:r>
      <w:r w:rsidR="005D510E" w:rsidRPr="00DF713B">
        <w:t>.</w:t>
      </w:r>
      <w:r w:rsidR="005D510E">
        <w:t xml:space="preserve"> The site administrator will also </w:t>
      </w:r>
      <w:r>
        <w:t>select one local user in their jurisdiction</w:t>
      </w:r>
      <w:r w:rsidR="005D510E">
        <w:t xml:space="preserve"> who has accessed the BioSense Platform in the past 30 days to take the local user survey.</w:t>
      </w:r>
    </w:p>
    <w:p w14:paraId="2C83BC94" w14:textId="77777777" w:rsidR="004D6E14" w:rsidRDefault="004D6E14" w:rsidP="00A403BB">
      <w:pPr>
        <w:rPr>
          <w:b/>
        </w:rPr>
      </w:pPr>
    </w:p>
    <w:p w14:paraId="54E64298" w14:textId="77777777" w:rsidR="00A403BB" w:rsidRDefault="00A403BB" w:rsidP="00A403BB">
      <w:pPr>
        <w:rPr>
          <w:b/>
        </w:rPr>
      </w:pPr>
      <w:r>
        <w:rPr>
          <w:b/>
        </w:rPr>
        <w:t>Administration of the Instrument</w:t>
      </w:r>
    </w:p>
    <w:p w14:paraId="2095B057" w14:textId="77777777" w:rsidR="00A403BB" w:rsidRDefault="001B0AAA" w:rsidP="00A403BB">
      <w:pPr>
        <w:pStyle w:val="ListParagraph"/>
        <w:numPr>
          <w:ilvl w:val="0"/>
          <w:numId w:val="17"/>
        </w:numPr>
      </w:pPr>
      <w:r>
        <w:t>H</w:t>
      </w:r>
      <w:r w:rsidR="00A403BB">
        <w:t>ow will you collect the information? (Check all that apply)</w:t>
      </w:r>
    </w:p>
    <w:p w14:paraId="299ABB65" w14:textId="54CC367F" w:rsidR="001B0AAA" w:rsidRDefault="00A403BB" w:rsidP="001B0AAA">
      <w:pPr>
        <w:ind w:left="720"/>
      </w:pPr>
      <w:r>
        <w:t xml:space="preserve">[ </w:t>
      </w:r>
      <w:r w:rsidR="00A5498B">
        <w:t>X</w:t>
      </w:r>
      <w:r w:rsidR="001B0AAA">
        <w:t xml:space="preserve"> </w:t>
      </w:r>
      <w:r>
        <w:t>] Web-based</w:t>
      </w:r>
      <w:r w:rsidR="001B0AAA">
        <w:t xml:space="preserve"> or other forms of Social Media </w:t>
      </w:r>
    </w:p>
    <w:p w14:paraId="3013D79A" w14:textId="77777777" w:rsidR="001B0AAA" w:rsidRDefault="00A403BB" w:rsidP="001B0AAA">
      <w:pPr>
        <w:ind w:left="720"/>
      </w:pPr>
      <w:r>
        <w:t xml:space="preserve">[ </w:t>
      </w:r>
      <w:r w:rsidR="001B0AAA">
        <w:t xml:space="preserve"> </w:t>
      </w:r>
      <w:r>
        <w:t>] Telephone</w:t>
      </w:r>
      <w:r>
        <w:tab/>
      </w:r>
    </w:p>
    <w:p w14:paraId="0442F47C" w14:textId="77777777" w:rsidR="001B0AAA" w:rsidRDefault="00A403BB" w:rsidP="001B0AAA">
      <w:pPr>
        <w:ind w:left="720"/>
      </w:pPr>
      <w:r>
        <w:t>[</w:t>
      </w:r>
      <w:r w:rsidR="001B0AAA">
        <w:t xml:space="preserve"> </w:t>
      </w:r>
      <w:r>
        <w:t xml:space="preserve"> ] In-person</w:t>
      </w:r>
      <w:r>
        <w:tab/>
      </w:r>
    </w:p>
    <w:p w14:paraId="17A9DBBE" w14:textId="77777777" w:rsidR="001B0AAA" w:rsidRDefault="00A403BB" w:rsidP="001B0AAA">
      <w:pPr>
        <w:ind w:left="720"/>
      </w:pPr>
      <w:r>
        <w:t xml:space="preserve">[ </w:t>
      </w:r>
      <w:r w:rsidR="001B0AAA">
        <w:t xml:space="preserve"> </w:t>
      </w:r>
      <w:r>
        <w:t>] Mail</w:t>
      </w:r>
      <w:r w:rsidR="001B0AAA">
        <w:t xml:space="preserve"> </w:t>
      </w:r>
    </w:p>
    <w:p w14:paraId="6A5FBF51" w14:textId="77777777" w:rsidR="001B0AAA" w:rsidRDefault="00A403BB" w:rsidP="001B0AAA">
      <w:pPr>
        <w:ind w:left="720"/>
      </w:pPr>
      <w:r>
        <w:t xml:space="preserve">[ </w:t>
      </w:r>
      <w:r w:rsidR="001B0AAA">
        <w:t xml:space="preserve"> </w:t>
      </w:r>
      <w:r>
        <w:t>] Other, Explain</w:t>
      </w:r>
    </w:p>
    <w:p w14:paraId="433CA938" w14:textId="77777777" w:rsidR="00A5498B" w:rsidRDefault="00A5498B" w:rsidP="001B0AAA">
      <w:pPr>
        <w:ind w:left="720"/>
      </w:pPr>
    </w:p>
    <w:p w14:paraId="307FDCFB" w14:textId="77777777" w:rsidR="00E779EF" w:rsidRPr="008A2FEF" w:rsidRDefault="00E779EF" w:rsidP="00E779EF">
      <w:r w:rsidRPr="008A2FEF">
        <w:t>The BioSense Platform User Satisfaction Survey for Site Administrators and the BioSense Platform User Satisfaction Survey for Local Users will be administered as web-based surveys and respondents will be given two weeks to complete the surveys. An initial invitation email with a link to the BioSense Platform User Satisfaction Survey for Site Administrators will be sent to all 47 site administrators. The email will request the site administrators to complete the survey. In addition, the email will request the site administrators to send an email to a local user that requests the local user to complete the BioSense Platform User Satisfaction Survey for Local Users. It will be specified that the local user needs to be someone who regularly uses the BioSense Platform and has accessed the Platform in the past 30 days.</w:t>
      </w:r>
    </w:p>
    <w:p w14:paraId="344D616A" w14:textId="77777777" w:rsidR="00E779EF" w:rsidRPr="00E779EF" w:rsidRDefault="00E779EF" w:rsidP="00E779EF">
      <w:pPr>
        <w:rPr>
          <w:highlight w:val="yellow"/>
        </w:rPr>
      </w:pPr>
    </w:p>
    <w:p w14:paraId="179EE1A3" w14:textId="6838BE4C" w:rsidR="00E779EF" w:rsidRPr="008A2FEF" w:rsidRDefault="00E779EF" w:rsidP="00E779EF">
      <w:r w:rsidRPr="008A2FEF">
        <w:t xml:space="preserve">A draft email containing a link to the BioSense Platform User Satisfaction Survey for Local Users will be attached </w:t>
      </w:r>
      <w:r w:rsidR="000660DF" w:rsidRPr="008A2FEF">
        <w:t xml:space="preserve">to </w:t>
      </w:r>
      <w:r w:rsidRPr="008A2FEF">
        <w:t>the email sent to site administrators. The site administrators will be asked to use this attached draft email to request a local user to complete the BioSense Platform User Satisfaction Survey for Local Users.</w:t>
      </w:r>
    </w:p>
    <w:p w14:paraId="7CA2D9A3" w14:textId="77777777" w:rsidR="00E779EF" w:rsidRPr="008A2FEF" w:rsidRDefault="00E779EF" w:rsidP="00A5498B"/>
    <w:p w14:paraId="460B753A" w14:textId="6DB84300" w:rsidR="00A5498B" w:rsidRDefault="00A5498B" w:rsidP="00A5498B">
      <w:r w:rsidRPr="008A2FEF">
        <w:t>A reminder email will be sent twice</w:t>
      </w:r>
      <w:r w:rsidR="005D510E" w:rsidRPr="008A2FEF">
        <w:t xml:space="preserve"> to site administrators </w:t>
      </w:r>
      <w:r w:rsidR="00E779EF" w:rsidRPr="008A2FEF">
        <w:t xml:space="preserve">as per the following schedule: the first reminder will be sent 7 days prior to the closing date </w:t>
      </w:r>
      <w:r w:rsidR="008A2FEF" w:rsidRPr="008A2FEF">
        <w:t xml:space="preserve">of the survey </w:t>
      </w:r>
      <w:r w:rsidR="00E779EF" w:rsidRPr="008A2FEF">
        <w:t xml:space="preserve">and the second reminder will be sent on the day before the closing date. Each reminder will also include a request for the site administrators to send a reminder to the local user who was previously sent the BioSense Platform User Satisfaction Survey for Local Users. A draft email that can be used to provide a reminder to the local user will be attached to the reminder email to the site administrator. The site administrator will be asked to use this attached draft email to send a reminder to the local user. </w:t>
      </w:r>
      <w:r w:rsidRPr="008A2FEF">
        <w:t>Respondents have the option of completing the survey over several sittings if</w:t>
      </w:r>
      <w:r>
        <w:t xml:space="preserve"> they so choose</w:t>
      </w:r>
      <w:r w:rsidRPr="004D0129">
        <w:t xml:space="preserve">. </w:t>
      </w:r>
      <w:r>
        <w:t>T</w:t>
      </w:r>
      <w:r w:rsidRPr="004D0129">
        <w:t xml:space="preserve">he survey does not track individual responses.  </w:t>
      </w:r>
    </w:p>
    <w:p w14:paraId="409CFDF9" w14:textId="77777777" w:rsidR="00A5498B" w:rsidRDefault="00A5498B" w:rsidP="001B0AAA">
      <w:pPr>
        <w:ind w:left="720"/>
      </w:pPr>
    </w:p>
    <w:p w14:paraId="763B8893" w14:textId="3953952E" w:rsidR="00F24CFC" w:rsidRDefault="00F24CFC" w:rsidP="00F24CFC">
      <w:pPr>
        <w:pStyle w:val="ListParagraph"/>
        <w:numPr>
          <w:ilvl w:val="0"/>
          <w:numId w:val="17"/>
        </w:numPr>
      </w:pPr>
      <w:r>
        <w:t xml:space="preserve">Will interviewers or facilitators be used?  [  ] Yes [  </w:t>
      </w:r>
      <w:r w:rsidR="00A5498B">
        <w:t>X</w:t>
      </w:r>
      <w:r>
        <w:t>] No</w:t>
      </w:r>
    </w:p>
    <w:p w14:paraId="64F35CCC" w14:textId="77777777" w:rsidR="00F24CFC" w:rsidRDefault="00F24CFC" w:rsidP="00F24CFC">
      <w:pPr>
        <w:pStyle w:val="ListParagraph"/>
        <w:ind w:left="360"/>
      </w:pPr>
      <w:r>
        <w:t xml:space="preserve"> </w:t>
      </w:r>
    </w:p>
    <w:p w14:paraId="673BDF70" w14:textId="77777777" w:rsidR="00EA2F32" w:rsidRDefault="00F24CFC" w:rsidP="0024521E">
      <w:pPr>
        <w:rPr>
          <w:b/>
        </w:rPr>
        <w:sectPr w:rsidR="00EA2F32" w:rsidSect="00194AC6">
          <w:footerReference w:type="default" r:id="rId9"/>
          <w:pgSz w:w="12240" w:h="15840"/>
          <w:pgMar w:top="720" w:right="1440" w:bottom="1440" w:left="1440" w:header="720" w:footer="720" w:gutter="0"/>
          <w:cols w:space="720"/>
          <w:docGrid w:linePitch="360"/>
        </w:sectPr>
      </w:pPr>
      <w:r w:rsidRPr="00F24CFC">
        <w:rPr>
          <w:b/>
        </w:rPr>
        <w:t>Please make sure that all instruments, instructions, and scripts are submitted with the request.</w:t>
      </w:r>
    </w:p>
    <w:p w14:paraId="7EF7CA03" w14:textId="77777777" w:rsidR="0024521E" w:rsidRPr="00F24CFC" w:rsidRDefault="0024521E" w:rsidP="0024521E">
      <w:pPr>
        <w:rPr>
          <w:b/>
        </w:rPr>
      </w:pPr>
    </w:p>
    <w:p w14:paraId="030DDEB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6269FB3" w14:textId="77777777" w:rsidR="00F24CFC" w:rsidRDefault="005F2381" w:rsidP="00F24CFC">
      <w:pPr>
        <w:rPr>
          <w:b/>
        </w:rPr>
      </w:pPr>
      <w:r>
        <w:rPr>
          <w:b/>
          <w:noProof/>
        </w:rPr>
        <mc:AlternateContent>
          <mc:Choice Requires="wps">
            <w:drawing>
              <wp:anchor distT="0" distB="0" distL="114300" distR="114300" simplePos="0" relativeHeight="251658240" behindDoc="0" locked="0" layoutInCell="0" allowOverlap="1" wp14:anchorId="2CD3A041" wp14:editId="4DB7B56E">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01C906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2C961D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2BBF883" w14:textId="77777777" w:rsidR="00F24CFC" w:rsidRPr="00CF6542" w:rsidRDefault="00F24CFC" w:rsidP="00F24CFC">
      <w:pPr>
        <w:rPr>
          <w:sz w:val="20"/>
          <w:szCs w:val="20"/>
        </w:rPr>
      </w:pPr>
    </w:p>
    <w:p w14:paraId="503966EC"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52E4174" w14:textId="77777777" w:rsidR="00F24CFC" w:rsidRPr="008F50D4" w:rsidRDefault="00F24CFC" w:rsidP="00F24CFC">
      <w:pPr>
        <w:pStyle w:val="Header"/>
        <w:tabs>
          <w:tab w:val="clear" w:pos="4320"/>
          <w:tab w:val="clear" w:pos="8640"/>
        </w:tabs>
        <w:rPr>
          <w:b/>
        </w:rPr>
      </w:pPr>
    </w:p>
    <w:p w14:paraId="1A91D13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712F44E" w14:textId="77777777" w:rsidR="00F24CFC" w:rsidRPr="00CF6542" w:rsidRDefault="00F24CFC" w:rsidP="00F24CFC">
      <w:pPr>
        <w:rPr>
          <w:b/>
          <w:sz w:val="20"/>
          <w:szCs w:val="20"/>
        </w:rPr>
      </w:pPr>
    </w:p>
    <w:p w14:paraId="5D33345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06AFB6B" w14:textId="77777777" w:rsidR="00F24CFC" w:rsidRPr="00CF6542" w:rsidRDefault="00F24CFC" w:rsidP="00F24CFC">
      <w:pPr>
        <w:pStyle w:val="BodyTextIndent"/>
        <w:tabs>
          <w:tab w:val="left" w:pos="360"/>
        </w:tabs>
        <w:ind w:left="0"/>
        <w:rPr>
          <w:bCs/>
        </w:rPr>
      </w:pPr>
    </w:p>
    <w:p w14:paraId="733BF23D"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DC8FB1B" w14:textId="77777777" w:rsidR="00F24CFC" w:rsidRDefault="00F24CFC" w:rsidP="00F24CFC">
      <w:pPr>
        <w:rPr>
          <w:sz w:val="16"/>
          <w:szCs w:val="16"/>
        </w:rPr>
      </w:pPr>
    </w:p>
    <w:p w14:paraId="025618D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C03EEBC" w14:textId="77777777" w:rsidR="008F50D4" w:rsidRPr="00CF6542" w:rsidRDefault="008F50D4" w:rsidP="00F24CFC">
      <w:pPr>
        <w:rPr>
          <w:sz w:val="20"/>
          <w:szCs w:val="20"/>
        </w:rPr>
      </w:pPr>
    </w:p>
    <w:p w14:paraId="7DEA7B16"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780F534" w14:textId="77777777" w:rsidR="00F24CFC" w:rsidRDefault="00F24CFC" w:rsidP="00F24CFC">
      <w:pPr>
        <w:rPr>
          <w:b/>
        </w:rPr>
      </w:pPr>
    </w:p>
    <w:p w14:paraId="194B8942" w14:textId="77777777" w:rsidR="008F50D4" w:rsidRDefault="00F24CFC" w:rsidP="00F24CFC">
      <w:pPr>
        <w:rPr>
          <w:b/>
        </w:rPr>
      </w:pPr>
      <w:r>
        <w:rPr>
          <w:b/>
        </w:rPr>
        <w:t>BURDEN HOURS</w:t>
      </w:r>
      <w:r w:rsidR="008F50D4">
        <w:rPr>
          <w:b/>
        </w:rPr>
        <w:t>:</w:t>
      </w:r>
    </w:p>
    <w:p w14:paraId="01DD79C1"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8948D3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65FB8334"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CE54026"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1DADEFB" w14:textId="77777777" w:rsidR="00F24CFC" w:rsidRPr="006832D9" w:rsidRDefault="00F24CFC" w:rsidP="00F24CFC">
      <w:pPr>
        <w:keepNext/>
        <w:keepLines/>
        <w:rPr>
          <w:b/>
        </w:rPr>
      </w:pPr>
    </w:p>
    <w:p w14:paraId="44A8E952"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F0BDA17" w14:textId="77777777" w:rsidR="00F24CFC" w:rsidRPr="00CF6542" w:rsidRDefault="00F24CFC" w:rsidP="00F24CFC">
      <w:pPr>
        <w:rPr>
          <w:b/>
          <w:bCs/>
          <w:sz w:val="20"/>
          <w:szCs w:val="20"/>
          <w:u w:val="single"/>
        </w:rPr>
      </w:pPr>
    </w:p>
    <w:p w14:paraId="24BA730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FDBC91C" w14:textId="77777777" w:rsidR="00F24CFC" w:rsidRPr="00CF6542" w:rsidRDefault="00F24CFC" w:rsidP="00F24CFC">
      <w:pPr>
        <w:rPr>
          <w:b/>
          <w:sz w:val="20"/>
          <w:szCs w:val="20"/>
        </w:rPr>
      </w:pPr>
    </w:p>
    <w:p w14:paraId="4DBEEA6C"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3034145E" w14:textId="77777777" w:rsidR="00F24CFC" w:rsidRPr="00CF6542" w:rsidRDefault="00F24CFC" w:rsidP="00F24CFC">
      <w:pPr>
        <w:rPr>
          <w:b/>
          <w:sz w:val="20"/>
          <w:szCs w:val="20"/>
        </w:rPr>
      </w:pPr>
    </w:p>
    <w:p w14:paraId="58FE1989"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726903C" w14:textId="77777777" w:rsidR="00F24CFC" w:rsidRDefault="00F24CFC" w:rsidP="00F24CFC">
      <w:pPr>
        <w:pStyle w:val="ListParagraph"/>
        <w:ind w:left="360"/>
      </w:pPr>
    </w:p>
    <w:p w14:paraId="0D78241E" w14:textId="77777777" w:rsidR="005E714A" w:rsidRDefault="00CF6542" w:rsidP="00EA2F32">
      <w:r>
        <w:rPr>
          <w:b/>
        </w:rPr>
        <w:t xml:space="preserve">Submit </w:t>
      </w:r>
      <w:r w:rsidR="00F24CFC" w:rsidRPr="00F24CFC">
        <w:rPr>
          <w:b/>
        </w:rPr>
        <w:t>all instruments, instructions, and scripts are submitted with the request.</w:t>
      </w:r>
    </w:p>
    <w:sectPr w:rsidR="005E714A"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26621" w14:textId="77777777" w:rsidR="00CB4CA5" w:rsidRDefault="00CB4CA5">
      <w:r>
        <w:separator/>
      </w:r>
    </w:p>
  </w:endnote>
  <w:endnote w:type="continuationSeparator" w:id="0">
    <w:p w14:paraId="26213C0A" w14:textId="77777777" w:rsidR="00CB4CA5" w:rsidRDefault="00CB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BDCF4" w14:textId="52A908BF" w:rsidR="009A21CD" w:rsidRDefault="009A21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375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14595" w14:textId="77777777" w:rsidR="00CB4CA5" w:rsidRDefault="00CB4CA5">
      <w:r>
        <w:separator/>
      </w:r>
    </w:p>
  </w:footnote>
  <w:footnote w:type="continuationSeparator" w:id="0">
    <w:p w14:paraId="5CB21F32" w14:textId="77777777" w:rsidR="00CB4CA5" w:rsidRDefault="00CB4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421"/>
    <w:rsid w:val="0001027E"/>
    <w:rsid w:val="00023A57"/>
    <w:rsid w:val="00047A64"/>
    <w:rsid w:val="000660DF"/>
    <w:rsid w:val="00067329"/>
    <w:rsid w:val="00084F6D"/>
    <w:rsid w:val="000B1A3A"/>
    <w:rsid w:val="000B2838"/>
    <w:rsid w:val="000D44CA"/>
    <w:rsid w:val="000E200B"/>
    <w:rsid w:val="000F1047"/>
    <w:rsid w:val="000F1633"/>
    <w:rsid w:val="000F61ED"/>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05F2A"/>
    <w:rsid w:val="00312311"/>
    <w:rsid w:val="00373B7A"/>
    <w:rsid w:val="00396CC3"/>
    <w:rsid w:val="003D5BBE"/>
    <w:rsid w:val="003E3C61"/>
    <w:rsid w:val="003F1C5B"/>
    <w:rsid w:val="00404BBF"/>
    <w:rsid w:val="00434E33"/>
    <w:rsid w:val="00441434"/>
    <w:rsid w:val="0045195B"/>
    <w:rsid w:val="0045264C"/>
    <w:rsid w:val="004876EC"/>
    <w:rsid w:val="00494EAB"/>
    <w:rsid w:val="004D6E14"/>
    <w:rsid w:val="005009B0"/>
    <w:rsid w:val="005305AA"/>
    <w:rsid w:val="00543859"/>
    <w:rsid w:val="00557F9C"/>
    <w:rsid w:val="005A1006"/>
    <w:rsid w:val="005B68C3"/>
    <w:rsid w:val="005C4C89"/>
    <w:rsid w:val="005D510E"/>
    <w:rsid w:val="005D7E86"/>
    <w:rsid w:val="005E714A"/>
    <w:rsid w:val="005F2381"/>
    <w:rsid w:val="005F693D"/>
    <w:rsid w:val="0061164A"/>
    <w:rsid w:val="006140A0"/>
    <w:rsid w:val="00636621"/>
    <w:rsid w:val="00642B49"/>
    <w:rsid w:val="00646D56"/>
    <w:rsid w:val="006832D9"/>
    <w:rsid w:val="0069403B"/>
    <w:rsid w:val="006A3F7C"/>
    <w:rsid w:val="006F3DDE"/>
    <w:rsid w:val="00704678"/>
    <w:rsid w:val="0074079B"/>
    <w:rsid w:val="007425E7"/>
    <w:rsid w:val="007D69DF"/>
    <w:rsid w:val="007F7080"/>
    <w:rsid w:val="0080105E"/>
    <w:rsid w:val="00802607"/>
    <w:rsid w:val="008101A5"/>
    <w:rsid w:val="00822318"/>
    <w:rsid w:val="00822664"/>
    <w:rsid w:val="00843796"/>
    <w:rsid w:val="00895229"/>
    <w:rsid w:val="008A2FEF"/>
    <w:rsid w:val="008B2EB3"/>
    <w:rsid w:val="008D3AD3"/>
    <w:rsid w:val="008E5C61"/>
    <w:rsid w:val="008F0203"/>
    <w:rsid w:val="008F473B"/>
    <w:rsid w:val="008F50D4"/>
    <w:rsid w:val="009239AA"/>
    <w:rsid w:val="00935ADA"/>
    <w:rsid w:val="00946B6C"/>
    <w:rsid w:val="00955A71"/>
    <w:rsid w:val="0096108F"/>
    <w:rsid w:val="009A21CD"/>
    <w:rsid w:val="009C13B9"/>
    <w:rsid w:val="009D01A2"/>
    <w:rsid w:val="009F1414"/>
    <w:rsid w:val="009F5923"/>
    <w:rsid w:val="00A250E9"/>
    <w:rsid w:val="00A403BB"/>
    <w:rsid w:val="00A5498B"/>
    <w:rsid w:val="00A6162E"/>
    <w:rsid w:val="00A674DF"/>
    <w:rsid w:val="00A83AA6"/>
    <w:rsid w:val="00A934D6"/>
    <w:rsid w:val="00AC485D"/>
    <w:rsid w:val="00AD4198"/>
    <w:rsid w:val="00AE1809"/>
    <w:rsid w:val="00B2336F"/>
    <w:rsid w:val="00B61B6C"/>
    <w:rsid w:val="00B64781"/>
    <w:rsid w:val="00B80D76"/>
    <w:rsid w:val="00BA2105"/>
    <w:rsid w:val="00BA7E06"/>
    <w:rsid w:val="00BB43B5"/>
    <w:rsid w:val="00BB6219"/>
    <w:rsid w:val="00BC3F95"/>
    <w:rsid w:val="00BD290F"/>
    <w:rsid w:val="00C14CC4"/>
    <w:rsid w:val="00C33C52"/>
    <w:rsid w:val="00C40D8B"/>
    <w:rsid w:val="00C8407A"/>
    <w:rsid w:val="00C8488C"/>
    <w:rsid w:val="00C86E91"/>
    <w:rsid w:val="00C9227D"/>
    <w:rsid w:val="00CA2650"/>
    <w:rsid w:val="00CB1078"/>
    <w:rsid w:val="00CB4CA5"/>
    <w:rsid w:val="00CC1492"/>
    <w:rsid w:val="00CC6FAF"/>
    <w:rsid w:val="00CD15CB"/>
    <w:rsid w:val="00CF375E"/>
    <w:rsid w:val="00CF6542"/>
    <w:rsid w:val="00D24698"/>
    <w:rsid w:val="00D47FE2"/>
    <w:rsid w:val="00D6383F"/>
    <w:rsid w:val="00DA2DC3"/>
    <w:rsid w:val="00DB59D0"/>
    <w:rsid w:val="00DC33D3"/>
    <w:rsid w:val="00DD2531"/>
    <w:rsid w:val="00DF713B"/>
    <w:rsid w:val="00E26329"/>
    <w:rsid w:val="00E40B50"/>
    <w:rsid w:val="00E50293"/>
    <w:rsid w:val="00E53D20"/>
    <w:rsid w:val="00E65FFC"/>
    <w:rsid w:val="00E7350C"/>
    <w:rsid w:val="00E744EA"/>
    <w:rsid w:val="00E779EF"/>
    <w:rsid w:val="00E80951"/>
    <w:rsid w:val="00E86CC6"/>
    <w:rsid w:val="00EA291F"/>
    <w:rsid w:val="00EA2F32"/>
    <w:rsid w:val="00EB56B3"/>
    <w:rsid w:val="00ED6492"/>
    <w:rsid w:val="00EF1C83"/>
    <w:rsid w:val="00EF2095"/>
    <w:rsid w:val="00F06866"/>
    <w:rsid w:val="00F15956"/>
    <w:rsid w:val="00F248FE"/>
    <w:rsid w:val="00F24CFC"/>
    <w:rsid w:val="00F3170F"/>
    <w:rsid w:val="00F757C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70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DD253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DD2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epiinfo/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Tony Richardson</dc:creator>
  <cp:keywords/>
  <cp:lastModifiedBy>SYSTEM</cp:lastModifiedBy>
  <cp:revision>2</cp:revision>
  <cp:lastPrinted>2017-07-06T17:36:00Z</cp:lastPrinted>
  <dcterms:created xsi:type="dcterms:W3CDTF">2017-07-20T15:40:00Z</dcterms:created>
  <dcterms:modified xsi:type="dcterms:W3CDTF">2017-07-20T15:40:00Z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