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2E" w:rsidRDefault="0022152E" w:rsidP="00321B1C">
      <w:pPr>
        <w:spacing w:before="100" w:beforeAutospacing="1" w:after="100" w:afterAutospacing="1" w:line="270" w:lineRule="atLeast"/>
        <w:rPr>
          <w:rFonts w:ascii="Georgia" w:hAnsi="Georgia"/>
          <w:color w:val="000000"/>
          <w:sz w:val="28"/>
          <w:szCs w:val="28"/>
          <w:lang w:val="en"/>
        </w:rPr>
      </w:pPr>
      <w:bookmarkStart w:id="0" w:name="_GoBack"/>
      <w:bookmarkEnd w:id="0"/>
    </w:p>
    <w:p w:rsidR="0022152E" w:rsidRPr="00321B1C" w:rsidRDefault="0022152E" w:rsidP="00321B1C">
      <w:pPr>
        <w:spacing w:before="100" w:beforeAutospacing="1" w:after="100" w:afterAutospacing="1" w:line="270" w:lineRule="atLeast"/>
        <w:rPr>
          <w:rFonts w:ascii="Georgia" w:hAnsi="Georgia"/>
          <w:color w:val="000000"/>
          <w:sz w:val="28"/>
          <w:szCs w:val="28"/>
          <w:lang w:val="en"/>
        </w:rPr>
      </w:pPr>
      <w:r>
        <w:rPr>
          <w:rFonts w:ascii="Georgia" w:hAnsi="Georgia"/>
          <w:color w:val="000000"/>
          <w:sz w:val="28"/>
          <w:szCs w:val="28"/>
          <w:lang w:val="en"/>
        </w:rPr>
        <w:t>Attachment 5b Summary of Modules by State and (Split) Samples</w:t>
      </w:r>
    </w:p>
    <w:p w:rsidR="00321B1C" w:rsidRPr="00321B1C" w:rsidRDefault="00321B1C" w:rsidP="00321B1C">
      <w:pPr>
        <w:spacing w:line="270" w:lineRule="atLeast"/>
        <w:rPr>
          <w:rFonts w:ascii="Georgia" w:hAnsi="Georgia"/>
          <w:color w:val="000000"/>
          <w:sz w:val="20"/>
          <w:szCs w:val="20"/>
          <w:lang w:val="en"/>
        </w:rPr>
      </w:pPr>
      <w:r w:rsidRPr="00321B1C">
        <w:rPr>
          <w:rFonts w:ascii="Georgia" w:hAnsi="Georgia"/>
          <w:noProof/>
          <w:color w:val="000000"/>
          <w:sz w:val="20"/>
          <w:szCs w:val="20"/>
        </w:rPr>
        <w:drawing>
          <wp:inline distT="0" distB="0" distL="0" distR="0" wp14:anchorId="67925D50" wp14:editId="7512BBC6">
            <wp:extent cx="57150" cy="9525"/>
            <wp:effectExtent l="0" t="0" r="0" b="0"/>
            <wp:docPr id="9" name="Picture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B1C">
        <w:rPr>
          <w:rFonts w:ascii="Georgia" w:hAnsi="Georgia"/>
          <w:color w:val="000000"/>
          <w:sz w:val="20"/>
          <w:szCs w:val="20"/>
          <w:lang w:val="en"/>
        </w:rPr>
        <w:br/>
      </w:r>
    </w:p>
    <w:tbl>
      <w:tblPr>
        <w:tblStyle w:val="TableGrid"/>
        <w:tblW w:w="4860" w:type="pct"/>
        <w:tblLayout w:type="fixed"/>
        <w:tblLook w:val="04A0" w:firstRow="1" w:lastRow="0" w:firstColumn="1" w:lastColumn="0" w:noHBand="0" w:noVBand="1"/>
      </w:tblPr>
      <w:tblGrid>
        <w:gridCol w:w="2268"/>
        <w:gridCol w:w="1529"/>
        <w:gridCol w:w="991"/>
        <w:gridCol w:w="1261"/>
        <w:gridCol w:w="3959"/>
      </w:tblGrid>
      <w:tr w:rsidR="00321B1C" w:rsidRPr="00321B1C" w:rsidTr="00321B1C">
        <w:tc>
          <w:tcPr>
            <w:tcW w:w="1133" w:type="pct"/>
            <w:hideMark/>
          </w:tcPr>
          <w:p w:rsidR="00321B1C" w:rsidRPr="00321B1C" w:rsidRDefault="00321B1C" w:rsidP="00365FA3">
            <w:pPr>
              <w:spacing w:line="270" w:lineRule="atLeast"/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Mode Type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#Versions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#Modules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Module List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Alabama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Childhood Asthma Prevalence, Health Care Access,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Childhood Asthma Prevalence, Health Care Access,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Alaska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Diabetes, Health Care Access, Pre-Diabetes, Sodium or Salt-Related Behavior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Diabetes, Health Care Access, Pre-Diabetes, Sodium or Salt-Related Behavior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Arizona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Reactions to Race, Sodium or Salt-Related Behavior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Reactions to Race, Sodium or Salt-Related Behavior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California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Pre-Diabetes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Pre-Diabetes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Colorado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Access, Industry and Occupation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Industry and Occupation, Pre-Diabetes,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 xml:space="preserve">Health Care Access, Industry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and Occupation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Industry and Occupation, Pre-Diabetes,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lastRenderedPageBreak/>
              <w:t>Connecticut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Diabetes, Health Care Access, Industry and Occupation, Influenza,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Diabetes, Health Care Access, Industry and Occupation, Influenza,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Delaware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Diabetes, Health Care Access, Pre-Diabetes,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Diabetes, Health Care Access, Pre-Diabetes,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District of Columbia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Health Care Access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Health Care Access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Florida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Industry and Occupation,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Industry and Occupation, Pre-Diabetes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Georgia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Asthma History, Adult Human Papilloma Virus (HPV) - Testing, Adult Human Papilloma Virus (HPV) - Vaccination, Childhood Asthma Prevalence, Diabetes, Health Care Access, Healthy Days (Symptoms), Industry and Occupation, Influenza, Pre-Diabetes, Random Child Selection, Social Context, Sodium or Salt-Related Behavior,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 xml:space="preserve">Adult Asthma History, Adult Human Papilloma Virus (HPV) - Testing, Adult Human Papilloma Virus (HPV) - Vaccination, Childhood Asthma Prevalence, Diabetes, Health Care Access, Healthy Days (Symptoms), Industry and Occupation, Influenza, Pre-Diabetes,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Random Child Selection, Social Context, Sodium or Salt-Related Behavior,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lastRenderedPageBreak/>
              <w:t>Guam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Hawaii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Idaho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Access, Industry and Occupation, Pre-Diabetes,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Access, Industry and Occupation, Pre-Diabetes,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Illinois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Pre-Diabetes, Random Child Selection, Sodium or Salt-Related Behavior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Pre-Diabetes, Random Child Selection, Sodium or Salt-Related Behavior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Indiana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Childhood Asthma Prevalence, Diabetes, Pre-Diabetes, Random Child Selection,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Childhood Asthma Prevalence, Diabetes, Pre-Diabetes, Random Child Selection,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Iowa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Diabetes, Health Care Access, Industry and Occupation, Influenza,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Pre-Diabetes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Diabetes, Health Care Access, Industry and Occupation, Influenza,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Pre-Diabetes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Kansas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Random Child Selection,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Pre-Diabetes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Random Child Selection,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Pre-Diabetes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Kentucky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Louisiana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Asthma History, Childhood Asthma Prevalence, Diabetes, Health Care Access, Industry and Occupation,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Asthma History, Childhood Asthma Prevalence, Diabetes, Health Care Access, Industry and Occupation,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Maine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Influenza, Random Child Selection, Sodium or Salt-Related Behavior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Influenza, Random Child Selection, Sodium or Salt-Related Behavior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Maryland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 xml:space="preserve">Childhood Asthma Prevalence, Health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Care Access, Industry and Occupation,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lastRenderedPageBreak/>
              <w:t>Massachusetts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Health Care Access, Industry and Occupation, Influenza, Pre-Diabetes, Tetanus Diphtheria (TDAP) (Adults)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3: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Health Care Access, Industry and Occupation, Influenza, Pre-Diabetes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Michigan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3: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3: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Minnesota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Testing, Adult Human Papilloma Virus (HPV) - Vaccination, Alcohol Screening &amp; Brief Intervention (ASBI), Emotional Support and Life Satisfaction, Health Care Access, Industry and Occupation, Pre-Diabetes, Reactions to Race,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Testing, Adult Human Papilloma Virus (HPV) - Vaccination, Alcohol Screening &amp; Brief Intervention (ASBI), Emotional Support and Life Satisfaction, Health Care Access, Industry and Occupation, Pre-Diabetes, Reactions to Race,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Mississippi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Childhood Asthma Prevalence, Diabetes, Health Care Access, Industry and Occupation, Pre-Diabetes, Random Child Selection, Reactions to Race,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Childhood Asthma Prevalence, Diabetes, Health Care Access, Industry and Occupation, Pre-Diabetes, Random Child Selection, Reactions to Race,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Missouri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Childhood Asthma Prevalence,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Childhood Asthma Prevalence,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Montana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Industry and Occupation,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Industry and Occupation,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Nebraska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Childhood Asthma Prevalence, Health Care Access,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Industry and Occupation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Cancer Survivorship, Childhood Asthma Prevalence, Health Care Access,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Industry and Occupation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Nevada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New Hampshire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lastRenderedPageBreak/>
              <w:t>New Jersey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Diabetes, Health Care Access,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Industry and Occupation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Diabetes, Health Care Access,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Industry and Occupation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New Mexico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Diabetes, Health Care Access, Industry and Occupation, Pre-Diabetes, Random Child Selection, Reactions to Race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Diabetes, Health Care Access, Industry and Occupation, Pre-Diabetes, Random Child Selection, Reactions to Race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New York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Industry and Occupation,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Industry and Occupation,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North Carolina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North Dakota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Industry and Occupation, Pre-Diabetes, Sodium or Salt-Related Behavior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Industry and Occupation, Pre-Diabetes, Sodium or Salt-Related Behavior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Ohio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 xml:space="preserve">Adult Human Papilloma Virus (HPV) - Testing, Cancer Survivorship, Childhood Asthma Prevalence, Healthy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Days (Symptoms), Random Child Selection, Social Context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Pre-Diabetes, Sexual Orientation and Gender Identity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Testing, Cancer Survivorship, Childhood Asthma Prevalence, Healthy Days (Symptoms), Random Child Selection, Social Context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Oklahoma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Pre-Diabetes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Health Care Access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Pre-Diabetes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Oregon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Industry and Occupation,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Sodium or Salt-Related Behavior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Industry and Occupation, Pre-Diabetes,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Sodium or Salt-Related Behavior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Pennsylvania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Testing, Childhood Asthma Prevalence, Health Care Access,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Testing, Childhood Asthma Prevalence, Health Care Access,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Puerto Rico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Diabetes, Health Care Access, Influenza,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Diabetes, Health Care Access, Influenza,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Rhode Island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 xml:space="preserve">Adult Human Papilloma Virus (HPV) - Vaccination, Childhood Asthma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Prevalence, Health Care Access, Pre-Diabetes, Random Child Selection,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Childhood Asthma Prevalence, Health Care Access, Pre-Diabetes, Random Child Selection,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South Carolina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South Dakota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Pre-Diabetes, Random Child Selection, Sodium or Salt-Related Behavior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Pre-Diabetes, Random Child Selection, Sodium or Salt-Related Behavior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Tennessee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Asthma History, Childhood Asthma Prevalence, Diabetes, Health Care Access, Healthy Days (Symptoms), Industry and Occupation, Influenza, Pre-Diabetes, Random Child Selection, Social Context,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Asthma History, Childhood Asthma Prevalence, Diabetes, Health Care Access, Healthy Days (Symptoms), Industry and Occupation, Influenza, Pre-Diabetes, Random Child Selection, Social Context,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Texas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Influenza,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Random Child Selection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1: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Pre-Diabetes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Survey 2: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Influenza,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Utah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Common: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lastRenderedPageBreak/>
              <w:t>Vermont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Pre-Diabetes, Random Child Selection, Sexual Orientation and Gender Identity,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Health Care Access, Industry and Occupation, Pre-Diabetes, Random Child Selection, Sexual Orientation and Gender Identity,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Virginia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Pre-Diabetes, Sexual Orientation and Gender Identity, Social Context,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Diabetes, Health Care Access, Pre-Diabetes, Sexual Orientation and Gender Identity, Social Context, Tetanus Diphtheria (TDAP) (Adults)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Washington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Industry and Occupation,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Childhood Asthma Prevalence, Health Care Access, Industry and Occupation,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West Virginia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Diabetes, Health Care Access,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Childhood Asthma Prevalence, Diabetes, Health Care Access, Pre-Diabetes, Random Child Selection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Wisconsin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Cancer Survivorship, Childhood Asthma Prevalence, Health Care Access, Influenza,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Alcohol Screening &amp; Brief Intervention (ASBI), Cancer Survivorship, Childhood Asthma Prevalence, Health Care Access, Influenza, Pre-Diabetes, Random Child Selection,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 w:val="restar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b/>
                <w:bCs/>
                <w:color w:val="003385"/>
                <w:sz w:val="20"/>
                <w:szCs w:val="20"/>
                <w:u w:val="single"/>
              </w:rPr>
              <w:t>Wyoming</w:t>
            </w:r>
          </w:p>
        </w:tc>
        <w:tc>
          <w:tcPr>
            <w:tcW w:w="764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Land Line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Adult Human Papilloma Virus (HPV) - Vaccination, Diabetes, Pre-Diabetes, Sexual Orientation and Gender Identity</w:t>
            </w:r>
          </w:p>
        </w:tc>
      </w:tr>
      <w:tr w:rsidR="00321B1C" w:rsidRPr="00321B1C" w:rsidTr="00321B1C">
        <w:tc>
          <w:tcPr>
            <w:tcW w:w="1133" w:type="pct"/>
            <w:vMerge/>
            <w:hideMark/>
          </w:tcPr>
          <w:p w:rsidR="00321B1C" w:rsidRPr="00321B1C" w:rsidRDefault="00321B1C" w:rsidP="00365FA3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hideMark/>
          </w:tcPr>
          <w:p w:rsidR="00321B1C" w:rsidRPr="00321B1C" w:rsidRDefault="00321B1C" w:rsidP="00321B1C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Cell Phone </w:t>
            </w:r>
          </w:p>
        </w:tc>
        <w:tc>
          <w:tcPr>
            <w:tcW w:w="495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8" w:type="pct"/>
            <w:hideMark/>
          </w:tcPr>
          <w:p w:rsidR="00321B1C" w:rsidRPr="00321B1C" w:rsidRDefault="00321B1C" w:rsidP="00365FA3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t xml:space="preserve">Adult Human Papilloma Virus (HPV) - </w:t>
            </w:r>
            <w:r w:rsidRPr="00321B1C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Vaccination, Diabetes, Pre-Diabetes, Sexual Orientation and Gender Identity</w:t>
            </w:r>
          </w:p>
        </w:tc>
      </w:tr>
    </w:tbl>
    <w:p w:rsidR="0059620B" w:rsidRDefault="0059620B"/>
    <w:sectPr w:rsidR="0059620B" w:rsidSect="004410C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9A" w:rsidRDefault="005E699A" w:rsidP="005E699A">
      <w:r>
        <w:separator/>
      </w:r>
    </w:p>
  </w:endnote>
  <w:endnote w:type="continuationSeparator" w:id="0">
    <w:p w:rsidR="005E699A" w:rsidRDefault="005E699A" w:rsidP="005E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9A" w:rsidRDefault="005E699A" w:rsidP="005E699A">
      <w:r>
        <w:separator/>
      </w:r>
    </w:p>
  </w:footnote>
  <w:footnote w:type="continuationSeparator" w:id="0">
    <w:p w:rsidR="005E699A" w:rsidRDefault="005E699A" w:rsidP="005E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99A" w:rsidRDefault="005E699A" w:rsidP="005E699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1C"/>
    <w:rsid w:val="0022152E"/>
    <w:rsid w:val="00321B1C"/>
    <w:rsid w:val="004410CA"/>
    <w:rsid w:val="0059620B"/>
    <w:rsid w:val="005E699A"/>
    <w:rsid w:val="009E70F1"/>
    <w:rsid w:val="00B74B98"/>
    <w:rsid w:val="00D0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21B1C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321B1C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321B1C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21B1C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321B1C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B1C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21B1C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21B1C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21B1C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321B1C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321B1C"/>
  </w:style>
  <w:style w:type="character" w:styleId="Hyperlink">
    <w:name w:val="Hyperlink"/>
    <w:basedOn w:val="DefaultParagraphFont"/>
    <w:uiPriority w:val="99"/>
    <w:unhideWhenUsed/>
    <w:rsid w:val="00321B1C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21B1C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321B1C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321B1C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321B1C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321B1C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321B1C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321B1C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321B1C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321B1C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321B1C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321B1C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321B1C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321B1C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321B1C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321B1C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321B1C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321B1C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321B1C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321B1C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321B1C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321B1C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321B1C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321B1C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321B1C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321B1C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321B1C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321B1C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321B1C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321B1C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321B1C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321B1C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321B1C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321B1C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321B1C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321B1C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321B1C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321B1C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321B1C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321B1C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321B1C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321B1C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21B1C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21B1C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21B1C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21B1C"/>
    <w:rPr>
      <w:rFonts w:ascii="Arial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32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B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215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1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152E"/>
  </w:style>
  <w:style w:type="paragraph" w:styleId="CommentSubject">
    <w:name w:val="annotation subject"/>
    <w:basedOn w:val="CommentText"/>
    <w:next w:val="CommentText"/>
    <w:link w:val="CommentSubjectChar"/>
    <w:rsid w:val="00221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152E"/>
    <w:rPr>
      <w:b/>
      <w:bCs/>
    </w:rPr>
  </w:style>
  <w:style w:type="paragraph" w:styleId="Header">
    <w:name w:val="header"/>
    <w:basedOn w:val="Normal"/>
    <w:link w:val="HeaderChar"/>
    <w:rsid w:val="005E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699A"/>
    <w:rPr>
      <w:sz w:val="24"/>
      <w:szCs w:val="24"/>
    </w:rPr>
  </w:style>
  <w:style w:type="paragraph" w:styleId="Footer">
    <w:name w:val="footer"/>
    <w:basedOn w:val="Normal"/>
    <w:link w:val="FooterChar"/>
    <w:rsid w:val="005E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69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21B1C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321B1C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321B1C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21B1C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321B1C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B1C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21B1C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21B1C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21B1C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321B1C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321B1C"/>
  </w:style>
  <w:style w:type="character" w:styleId="Hyperlink">
    <w:name w:val="Hyperlink"/>
    <w:basedOn w:val="DefaultParagraphFont"/>
    <w:uiPriority w:val="99"/>
    <w:unhideWhenUsed/>
    <w:rsid w:val="00321B1C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21B1C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321B1C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321B1C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321B1C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321B1C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321B1C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321B1C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321B1C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321B1C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321B1C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321B1C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321B1C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321B1C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321B1C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321B1C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321B1C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321B1C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321B1C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321B1C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321B1C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321B1C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321B1C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321B1C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321B1C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321B1C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321B1C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321B1C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321B1C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321B1C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321B1C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321B1C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321B1C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321B1C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321B1C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321B1C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321B1C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321B1C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321B1C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321B1C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321B1C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321B1C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21B1C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21B1C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21B1C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21B1C"/>
    <w:rPr>
      <w:rFonts w:ascii="Arial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32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B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215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1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152E"/>
  </w:style>
  <w:style w:type="paragraph" w:styleId="CommentSubject">
    <w:name w:val="annotation subject"/>
    <w:basedOn w:val="CommentText"/>
    <w:next w:val="CommentText"/>
    <w:link w:val="CommentSubjectChar"/>
    <w:rsid w:val="00221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152E"/>
    <w:rPr>
      <w:b/>
      <w:bCs/>
    </w:rPr>
  </w:style>
  <w:style w:type="paragraph" w:styleId="Header">
    <w:name w:val="header"/>
    <w:basedOn w:val="Normal"/>
    <w:link w:val="HeaderChar"/>
    <w:rsid w:val="005E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699A"/>
    <w:rPr>
      <w:sz w:val="24"/>
      <w:szCs w:val="24"/>
    </w:rPr>
  </w:style>
  <w:style w:type="paragraph" w:styleId="Footer">
    <w:name w:val="footer"/>
    <w:basedOn w:val="Normal"/>
    <w:link w:val="FooterChar"/>
    <w:rsid w:val="005E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6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3050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2534</Words>
  <Characters>16247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2014-08-25T17:42:00Z</dcterms:created>
  <dcterms:modified xsi:type="dcterms:W3CDTF">2014-12-04T22:49:00Z</dcterms:modified>
</cp:coreProperties>
</file>