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D196" w14:textId="77777777" w:rsidR="005A59A9" w:rsidRPr="00D275A5" w:rsidRDefault="005A59A9" w:rsidP="00F422FA">
      <w:pPr>
        <w:jc w:val="center"/>
        <w:rPr>
          <w:b/>
        </w:rPr>
      </w:pPr>
      <w:bookmarkStart w:id="0" w:name="_GoBack"/>
      <w:bookmarkEnd w:id="0"/>
    </w:p>
    <w:p w14:paraId="7EA92A66" w14:textId="77777777" w:rsidR="00220B0C" w:rsidRPr="002B2653" w:rsidRDefault="00D70D0F" w:rsidP="00F422FA">
      <w:pPr>
        <w:jc w:val="center"/>
        <w:rPr>
          <w:b/>
        </w:rPr>
      </w:pPr>
      <w:r w:rsidRPr="002B2653">
        <w:rPr>
          <w:b/>
        </w:rPr>
        <w:t>Supporting Statement B</w:t>
      </w:r>
      <w:r w:rsidR="005C3DC2" w:rsidRPr="002B2653">
        <w:rPr>
          <w:b/>
        </w:rPr>
        <w:t xml:space="preserve"> for</w:t>
      </w:r>
      <w:r w:rsidR="00220B0C" w:rsidRPr="002B2653">
        <w:rPr>
          <w:b/>
        </w:rPr>
        <w:t>:</w:t>
      </w:r>
    </w:p>
    <w:p w14:paraId="3ACC9320" w14:textId="77777777" w:rsidR="00220B0C" w:rsidRPr="002B2653" w:rsidRDefault="00220B0C" w:rsidP="00BC4019">
      <w:pPr>
        <w:jc w:val="center"/>
        <w:rPr>
          <w:b/>
        </w:rPr>
      </w:pPr>
    </w:p>
    <w:p w14:paraId="55350711" w14:textId="77777777" w:rsidR="000B08F7" w:rsidRPr="00A63F68" w:rsidRDefault="000B08F7" w:rsidP="000B08F7">
      <w:pPr>
        <w:jc w:val="center"/>
        <w:rPr>
          <w:b/>
          <w:sz w:val="32"/>
          <w:szCs w:val="32"/>
        </w:rPr>
      </w:pPr>
      <w:r w:rsidRPr="00A63F68">
        <w:rPr>
          <w:b/>
          <w:sz w:val="32"/>
          <w:szCs w:val="32"/>
        </w:rPr>
        <w:t>National Institutes of Health</w:t>
      </w:r>
    </w:p>
    <w:p w14:paraId="6E5D0C36" w14:textId="77777777" w:rsidR="000B08F7" w:rsidRPr="00A63F68" w:rsidRDefault="000B08F7" w:rsidP="000B08F7">
      <w:pPr>
        <w:jc w:val="center"/>
        <w:rPr>
          <w:b/>
          <w:sz w:val="32"/>
          <w:szCs w:val="32"/>
        </w:rPr>
      </w:pPr>
      <w:r>
        <w:rPr>
          <w:b/>
          <w:sz w:val="32"/>
          <w:szCs w:val="32"/>
        </w:rPr>
        <w:t xml:space="preserve">Evaluation of the Enhancing Diversity of the NIH-funded Workforce Program </w:t>
      </w:r>
      <w:r w:rsidRPr="00A63F68">
        <w:rPr>
          <w:b/>
          <w:sz w:val="32"/>
          <w:szCs w:val="32"/>
        </w:rPr>
        <w:t xml:space="preserve">for the </w:t>
      </w:r>
      <w:r>
        <w:rPr>
          <w:b/>
          <w:sz w:val="32"/>
          <w:szCs w:val="32"/>
        </w:rPr>
        <w:t>National Institute of General Medical Sciences</w:t>
      </w:r>
    </w:p>
    <w:p w14:paraId="02AA692F" w14:textId="77777777" w:rsidR="000B08F7" w:rsidRDefault="000B08F7" w:rsidP="000B08F7"/>
    <w:p w14:paraId="5E91E366" w14:textId="77777777" w:rsidR="000B08F7" w:rsidRPr="00596D04" w:rsidRDefault="000B08F7" w:rsidP="000B08F7">
      <w:pPr>
        <w:rPr>
          <w:b/>
          <w:color w:val="0070C0"/>
          <w:sz w:val="32"/>
          <w:szCs w:val="32"/>
        </w:rPr>
      </w:pPr>
    </w:p>
    <w:p w14:paraId="1DCDAA28" w14:textId="77777777" w:rsidR="00220B0C" w:rsidRPr="002B2653" w:rsidRDefault="00220B0C" w:rsidP="00FF71B8"/>
    <w:p w14:paraId="760592CD" w14:textId="77777777" w:rsidR="009B2EF0" w:rsidRDefault="009B2EF0" w:rsidP="00FF71B8">
      <w:pPr>
        <w:jc w:val="center"/>
        <w:rPr>
          <w:b/>
        </w:rPr>
      </w:pPr>
    </w:p>
    <w:p w14:paraId="4EDDAD3F" w14:textId="77777777" w:rsidR="00D8063C" w:rsidRDefault="00D8063C" w:rsidP="00FF71B8">
      <w:pPr>
        <w:jc w:val="center"/>
        <w:rPr>
          <w:b/>
        </w:rPr>
      </w:pPr>
    </w:p>
    <w:p w14:paraId="294C1D95" w14:textId="77777777" w:rsidR="00D8063C" w:rsidRDefault="00D8063C" w:rsidP="00FF71B8">
      <w:pPr>
        <w:jc w:val="center"/>
        <w:rPr>
          <w:b/>
        </w:rPr>
      </w:pPr>
    </w:p>
    <w:p w14:paraId="6817B2D8" w14:textId="77777777" w:rsidR="00D8063C" w:rsidRDefault="00D8063C" w:rsidP="00FF71B8">
      <w:pPr>
        <w:jc w:val="center"/>
        <w:rPr>
          <w:b/>
        </w:rPr>
      </w:pPr>
    </w:p>
    <w:p w14:paraId="703500E0" w14:textId="77777777" w:rsidR="00D8063C" w:rsidRDefault="00D8063C" w:rsidP="00FF71B8">
      <w:pPr>
        <w:jc w:val="center"/>
        <w:rPr>
          <w:b/>
        </w:rPr>
      </w:pPr>
    </w:p>
    <w:p w14:paraId="3C6F8D9B" w14:textId="77777777" w:rsidR="00D8063C" w:rsidRDefault="00D8063C" w:rsidP="00FF71B8">
      <w:pPr>
        <w:jc w:val="center"/>
        <w:rPr>
          <w:b/>
        </w:rPr>
      </w:pPr>
    </w:p>
    <w:p w14:paraId="1E985372" w14:textId="77777777" w:rsidR="00D8063C" w:rsidRDefault="00D8063C" w:rsidP="00FF71B8">
      <w:pPr>
        <w:jc w:val="center"/>
        <w:rPr>
          <w:b/>
        </w:rPr>
      </w:pPr>
    </w:p>
    <w:p w14:paraId="54C5F19D" w14:textId="77777777" w:rsidR="00D8063C" w:rsidRDefault="00D8063C" w:rsidP="00FF71B8">
      <w:pPr>
        <w:jc w:val="center"/>
        <w:rPr>
          <w:b/>
        </w:rPr>
      </w:pPr>
    </w:p>
    <w:p w14:paraId="48D2EC86" w14:textId="77777777" w:rsidR="00D8063C" w:rsidRPr="002B2653" w:rsidRDefault="00D8063C" w:rsidP="00FF71B8">
      <w:pPr>
        <w:jc w:val="center"/>
        <w:rPr>
          <w:b/>
        </w:rPr>
      </w:pPr>
    </w:p>
    <w:p w14:paraId="5EC8BE60" w14:textId="77777777" w:rsidR="009B2EF0" w:rsidRDefault="009B2EF0" w:rsidP="00FF71B8">
      <w:pPr>
        <w:jc w:val="center"/>
        <w:rPr>
          <w:b/>
        </w:rPr>
      </w:pPr>
    </w:p>
    <w:p w14:paraId="563C3FB7" w14:textId="2F4E1ED3" w:rsidR="00003371" w:rsidRPr="002B2653" w:rsidRDefault="00603E27" w:rsidP="00FF71B8">
      <w:pPr>
        <w:jc w:val="center"/>
        <w:rPr>
          <w:b/>
        </w:rPr>
      </w:pPr>
      <w:r>
        <w:rPr>
          <w:b/>
        </w:rPr>
        <w:t>May 9, 2016</w:t>
      </w:r>
    </w:p>
    <w:p w14:paraId="60653D53" w14:textId="77777777" w:rsidR="00220B0C" w:rsidRPr="002B2653" w:rsidRDefault="00220B0C" w:rsidP="00FF71B8"/>
    <w:p w14:paraId="26EE7DEF" w14:textId="77777777" w:rsidR="00220B0C" w:rsidRPr="002B2653" w:rsidRDefault="00220B0C" w:rsidP="00FF71B8"/>
    <w:p w14:paraId="2661F911" w14:textId="77777777" w:rsidR="00CF4DBD" w:rsidRPr="002B2653" w:rsidRDefault="00CF4DBD" w:rsidP="00FF71B8"/>
    <w:p w14:paraId="179CC058" w14:textId="77777777" w:rsidR="00CF4DBD" w:rsidRPr="002B2653" w:rsidRDefault="00CF4DBD" w:rsidP="00FF71B8"/>
    <w:p w14:paraId="738BA82A" w14:textId="77777777" w:rsidR="00220B0C" w:rsidRPr="002B2653" w:rsidRDefault="00220B0C" w:rsidP="00FF71B8"/>
    <w:p w14:paraId="4FBF35F0" w14:textId="77777777" w:rsidR="0000556E" w:rsidRPr="002B2653" w:rsidRDefault="0000556E" w:rsidP="00FF71B8"/>
    <w:p w14:paraId="75851A91" w14:textId="77777777" w:rsidR="0000556E" w:rsidRPr="002B2653" w:rsidRDefault="0000556E" w:rsidP="00FF71B8"/>
    <w:p w14:paraId="0E59197A" w14:textId="77777777" w:rsidR="0000556E" w:rsidRPr="002B2653" w:rsidRDefault="0000556E" w:rsidP="00FF71B8"/>
    <w:p w14:paraId="0B3306E9" w14:textId="77777777" w:rsidR="00220B0C" w:rsidRPr="002B2653" w:rsidRDefault="00220B0C" w:rsidP="004C770F">
      <w:pPr>
        <w:jc w:val="center"/>
        <w:rPr>
          <w:b/>
        </w:rPr>
      </w:pPr>
    </w:p>
    <w:p w14:paraId="3F9CC4DA" w14:textId="77777777" w:rsidR="00D075B4" w:rsidRPr="006F5221" w:rsidRDefault="00D075B4" w:rsidP="00D075B4">
      <w:pPr>
        <w:rPr>
          <w:sz w:val="28"/>
          <w:szCs w:val="28"/>
        </w:rPr>
      </w:pPr>
      <w:r>
        <w:rPr>
          <w:b/>
          <w:bCs/>
          <w:sz w:val="28"/>
          <w:szCs w:val="28"/>
        </w:rPr>
        <w:t>Michael Sesma,</w:t>
      </w:r>
      <w:r w:rsidRPr="006F5221">
        <w:rPr>
          <w:b/>
          <w:bCs/>
          <w:sz w:val="28"/>
          <w:szCs w:val="28"/>
        </w:rPr>
        <w:t xml:space="preserve"> Ph.D. </w:t>
      </w:r>
    </w:p>
    <w:p w14:paraId="7C38BF7A" w14:textId="77777777" w:rsidR="00D075B4" w:rsidRDefault="00D075B4" w:rsidP="00D075B4">
      <w:pPr>
        <w:rPr>
          <w:sz w:val="28"/>
          <w:szCs w:val="28"/>
        </w:rPr>
      </w:pPr>
      <w:r>
        <w:rPr>
          <w:sz w:val="28"/>
          <w:szCs w:val="28"/>
        </w:rPr>
        <w:t>Chief, Postdoctoral Training Branch</w:t>
      </w:r>
    </w:p>
    <w:p w14:paraId="281694D2" w14:textId="77777777" w:rsidR="00D075B4" w:rsidRPr="006F5221" w:rsidRDefault="00D075B4" w:rsidP="00D075B4">
      <w:pPr>
        <w:rPr>
          <w:sz w:val="28"/>
          <w:szCs w:val="28"/>
        </w:rPr>
      </w:pPr>
      <w:r>
        <w:rPr>
          <w:sz w:val="28"/>
          <w:szCs w:val="28"/>
        </w:rPr>
        <w:t>Division Training, Workforce Development, and Diversity</w:t>
      </w:r>
    </w:p>
    <w:p w14:paraId="05580C8B" w14:textId="77777777" w:rsidR="00D075B4" w:rsidRPr="006F5221" w:rsidRDefault="00D075B4" w:rsidP="00D075B4">
      <w:pPr>
        <w:rPr>
          <w:sz w:val="28"/>
          <w:szCs w:val="28"/>
        </w:rPr>
      </w:pPr>
      <w:r w:rsidRPr="006F5221">
        <w:rPr>
          <w:sz w:val="28"/>
          <w:szCs w:val="28"/>
        </w:rPr>
        <w:t>Diversity Program Consortium</w:t>
      </w:r>
    </w:p>
    <w:p w14:paraId="1DE5D237" w14:textId="77777777" w:rsidR="00D075B4" w:rsidRPr="006F5221" w:rsidRDefault="00D075B4" w:rsidP="00D075B4">
      <w:pPr>
        <w:rPr>
          <w:sz w:val="28"/>
          <w:szCs w:val="28"/>
        </w:rPr>
      </w:pPr>
      <w:r w:rsidRPr="006F5221">
        <w:rPr>
          <w:sz w:val="28"/>
          <w:szCs w:val="28"/>
        </w:rPr>
        <w:t>National Institute of General Medical Sciences</w:t>
      </w:r>
    </w:p>
    <w:p w14:paraId="14BE57C8" w14:textId="77777777" w:rsidR="00D075B4" w:rsidRPr="006F5221" w:rsidRDefault="00D075B4" w:rsidP="00D075B4">
      <w:pPr>
        <w:rPr>
          <w:sz w:val="28"/>
          <w:szCs w:val="28"/>
        </w:rPr>
      </w:pPr>
      <w:r w:rsidRPr="006F5221">
        <w:rPr>
          <w:sz w:val="28"/>
          <w:szCs w:val="28"/>
        </w:rPr>
        <w:t>45 Center Drive, 2AS</w:t>
      </w:r>
      <w:r>
        <w:rPr>
          <w:sz w:val="28"/>
          <w:szCs w:val="28"/>
        </w:rPr>
        <w:t>43H</w:t>
      </w:r>
    </w:p>
    <w:p w14:paraId="653A584A" w14:textId="77777777" w:rsidR="00D075B4" w:rsidRPr="006F5221" w:rsidRDefault="00D075B4" w:rsidP="00D075B4">
      <w:pPr>
        <w:rPr>
          <w:sz w:val="28"/>
          <w:szCs w:val="28"/>
        </w:rPr>
      </w:pPr>
      <w:r w:rsidRPr="006F5221">
        <w:rPr>
          <w:sz w:val="28"/>
          <w:szCs w:val="28"/>
        </w:rPr>
        <w:t>Bethesda,  MD 20892</w:t>
      </w:r>
    </w:p>
    <w:p w14:paraId="0A59F769" w14:textId="77777777" w:rsidR="00D075B4" w:rsidRPr="006F5221" w:rsidRDefault="00D075B4" w:rsidP="00D075B4">
      <w:pPr>
        <w:rPr>
          <w:sz w:val="28"/>
          <w:szCs w:val="28"/>
        </w:rPr>
      </w:pPr>
      <w:r w:rsidRPr="006F5221">
        <w:rPr>
          <w:sz w:val="28"/>
          <w:szCs w:val="28"/>
        </w:rPr>
        <w:t>Phone: (301) 594-</w:t>
      </w:r>
      <w:r w:rsidR="00693374">
        <w:rPr>
          <w:sz w:val="28"/>
          <w:szCs w:val="28"/>
        </w:rPr>
        <w:t>3900</w:t>
      </w:r>
    </w:p>
    <w:p w14:paraId="38753988" w14:textId="77777777" w:rsidR="00D075B4" w:rsidRDefault="00D075B4" w:rsidP="00D075B4">
      <w:pPr>
        <w:rPr>
          <w:sz w:val="28"/>
          <w:szCs w:val="28"/>
        </w:rPr>
      </w:pPr>
      <w:r w:rsidRPr="006F5221">
        <w:rPr>
          <w:sz w:val="28"/>
          <w:szCs w:val="28"/>
        </w:rPr>
        <w:t xml:space="preserve">Email: </w:t>
      </w:r>
      <w:r>
        <w:rPr>
          <w:sz w:val="28"/>
          <w:szCs w:val="28"/>
        </w:rPr>
        <w:t>msesma</w:t>
      </w:r>
      <w:r w:rsidRPr="006F5221">
        <w:rPr>
          <w:sz w:val="28"/>
          <w:szCs w:val="28"/>
        </w:rPr>
        <w:t>@nih.gov</w:t>
      </w:r>
    </w:p>
    <w:p w14:paraId="042CEDB4" w14:textId="77777777" w:rsidR="00DF7186" w:rsidRPr="002B2653" w:rsidRDefault="009F5464" w:rsidP="00FF71B8">
      <w:r w:rsidRPr="002B2653">
        <w:t xml:space="preserve"> </w:t>
      </w:r>
    </w:p>
    <w:p w14:paraId="4AA7B6F5" w14:textId="77777777" w:rsidR="005C3DC2" w:rsidRPr="002B2653" w:rsidRDefault="005C3DC2" w:rsidP="00BC4019"/>
    <w:p w14:paraId="1F22A10F" w14:textId="77777777" w:rsidR="005A27A5" w:rsidRPr="002B2653" w:rsidRDefault="005A27A5" w:rsidP="00FF71B8"/>
    <w:p w14:paraId="0E897DF1" w14:textId="77777777" w:rsidR="00476658" w:rsidRDefault="00BC4019" w:rsidP="00FF71B8">
      <w:pPr>
        <w:pStyle w:val="P1-StandPara"/>
        <w:tabs>
          <w:tab w:val="left" w:pos="720"/>
          <w:tab w:val="right" w:leader="dot" w:pos="9504"/>
        </w:tabs>
        <w:spacing w:line="240" w:lineRule="atLeast"/>
        <w:ind w:firstLine="0"/>
        <w:jc w:val="center"/>
        <w:rPr>
          <w:b/>
          <w:sz w:val="24"/>
          <w:szCs w:val="24"/>
        </w:rPr>
      </w:pPr>
      <w:r w:rsidRPr="002B2653">
        <w:rPr>
          <w:b/>
          <w:sz w:val="24"/>
          <w:szCs w:val="24"/>
        </w:rPr>
        <w:br w:type="page"/>
      </w:r>
    </w:p>
    <w:p w14:paraId="4BB13096" w14:textId="77777777" w:rsidR="00476658" w:rsidRDefault="00476658">
      <w:pPr>
        <w:pStyle w:val="TOC1"/>
        <w:rPr>
          <w:b/>
        </w:rPr>
      </w:pPr>
    </w:p>
    <w:p w14:paraId="67A1C082" w14:textId="77777777" w:rsidR="00476658" w:rsidRDefault="00476658">
      <w:pPr>
        <w:pStyle w:val="TOC1"/>
        <w:rPr>
          <w:b/>
        </w:rPr>
      </w:pPr>
    </w:p>
    <w:p w14:paraId="43632925" w14:textId="77777777" w:rsidR="00476658" w:rsidRPr="00E520BA" w:rsidRDefault="00476658" w:rsidP="00476658">
      <w:pPr>
        <w:pStyle w:val="P1-StandPara"/>
        <w:tabs>
          <w:tab w:val="left" w:pos="720"/>
          <w:tab w:val="right" w:leader="dot" w:pos="9504"/>
        </w:tabs>
        <w:spacing w:line="240" w:lineRule="atLeast"/>
        <w:ind w:firstLine="0"/>
        <w:jc w:val="center"/>
        <w:rPr>
          <w:b/>
          <w:sz w:val="24"/>
          <w:szCs w:val="24"/>
        </w:rPr>
      </w:pPr>
      <w:r w:rsidRPr="00E520BA">
        <w:rPr>
          <w:b/>
          <w:sz w:val="24"/>
          <w:szCs w:val="24"/>
        </w:rPr>
        <w:t>Table of contents</w:t>
      </w:r>
    </w:p>
    <w:p w14:paraId="4E2E5C30" w14:textId="77777777" w:rsidR="00476658" w:rsidRPr="000C7FBE" w:rsidRDefault="00476658" w:rsidP="00476658">
      <w:pPr>
        <w:pStyle w:val="TOC1"/>
        <w:spacing w:before="0" w:after="0"/>
      </w:pPr>
    </w:p>
    <w:p w14:paraId="63937EEB" w14:textId="77777777" w:rsidR="00476658" w:rsidRPr="00D8063C" w:rsidRDefault="00476658" w:rsidP="00D8063C">
      <w:pPr>
        <w:pStyle w:val="TOC1"/>
        <w:spacing w:before="0" w:after="0"/>
        <w:rPr>
          <w:b/>
        </w:rPr>
      </w:pPr>
      <w:r w:rsidRPr="00D8063C">
        <w:rPr>
          <w:b/>
        </w:rPr>
        <w:t>B.</w:t>
      </w:r>
      <w:r>
        <w:rPr>
          <w:b/>
        </w:rPr>
        <w:tab/>
      </w:r>
      <w:r w:rsidRPr="00D8063C">
        <w:rPr>
          <w:b/>
        </w:rPr>
        <w:t>COLLECTIONS OF INFORMATION EMPLOYING STATISTICAL METHODS</w:t>
      </w:r>
    </w:p>
    <w:p w14:paraId="2C78E346" w14:textId="77777777" w:rsidR="00476658" w:rsidRDefault="00476658" w:rsidP="00D8063C">
      <w:pPr>
        <w:pStyle w:val="TOC1"/>
        <w:tabs>
          <w:tab w:val="clear" w:pos="0"/>
        </w:tabs>
        <w:rPr>
          <w:rFonts w:asciiTheme="minorHAnsi" w:eastAsiaTheme="minorEastAsia" w:hAnsiTheme="minorHAnsi" w:cstheme="minorBidi"/>
          <w:caps w:val="0"/>
          <w:sz w:val="22"/>
          <w:szCs w:val="22"/>
        </w:rPr>
      </w:pPr>
      <w:r>
        <w:rPr>
          <w:b/>
          <w:caps w:val="0"/>
        </w:rPr>
        <w:fldChar w:fldCharType="begin"/>
      </w:r>
      <w:r>
        <w:rPr>
          <w:b/>
          <w:caps w:val="0"/>
        </w:rPr>
        <w:instrText xml:space="preserve"> TOC \o "1-3" \h \z \u </w:instrText>
      </w:r>
      <w:r>
        <w:rPr>
          <w:b/>
          <w:caps w:val="0"/>
        </w:rPr>
        <w:fldChar w:fldCharType="separate"/>
      </w:r>
      <w:hyperlink w:anchor="_Toc440001872" w:history="1">
        <w:r w:rsidRPr="00640FF3">
          <w:rPr>
            <w:rStyle w:val="Hyperlink"/>
          </w:rPr>
          <w:t xml:space="preserve">B.1 </w:t>
        </w:r>
        <w:r>
          <w:rPr>
            <w:rStyle w:val="Hyperlink"/>
          </w:rPr>
          <w:tab/>
        </w:r>
        <w:r w:rsidRPr="00640FF3">
          <w:rPr>
            <w:rStyle w:val="Hyperlink"/>
          </w:rPr>
          <w:t>Respondent Universe and Sampling Methods</w:t>
        </w:r>
        <w:r>
          <w:rPr>
            <w:webHidden/>
          </w:rPr>
          <w:tab/>
        </w:r>
        <w:r>
          <w:rPr>
            <w:webHidden/>
          </w:rPr>
          <w:fldChar w:fldCharType="begin"/>
        </w:r>
        <w:r>
          <w:rPr>
            <w:webHidden/>
          </w:rPr>
          <w:instrText xml:space="preserve"> PAGEREF _Toc440001872 \h </w:instrText>
        </w:r>
        <w:r>
          <w:rPr>
            <w:webHidden/>
          </w:rPr>
        </w:r>
        <w:r>
          <w:rPr>
            <w:webHidden/>
          </w:rPr>
          <w:fldChar w:fldCharType="separate"/>
        </w:r>
        <w:r w:rsidR="00A54A33">
          <w:rPr>
            <w:webHidden/>
          </w:rPr>
          <w:t>1</w:t>
        </w:r>
        <w:r>
          <w:rPr>
            <w:webHidden/>
          </w:rPr>
          <w:fldChar w:fldCharType="end"/>
        </w:r>
      </w:hyperlink>
    </w:p>
    <w:p w14:paraId="34B3CF78" w14:textId="77777777" w:rsidR="00476658" w:rsidRDefault="003E6341">
      <w:pPr>
        <w:pStyle w:val="TOC1"/>
        <w:rPr>
          <w:rFonts w:asciiTheme="minorHAnsi" w:eastAsiaTheme="minorEastAsia" w:hAnsiTheme="minorHAnsi" w:cstheme="minorBidi"/>
          <w:caps w:val="0"/>
          <w:sz w:val="22"/>
          <w:szCs w:val="22"/>
        </w:rPr>
      </w:pPr>
      <w:hyperlink w:anchor="_Toc440001873" w:history="1">
        <w:r w:rsidR="00476658" w:rsidRPr="00640FF3">
          <w:rPr>
            <w:rStyle w:val="Hyperlink"/>
          </w:rPr>
          <w:t xml:space="preserve">B.2 </w:t>
        </w:r>
        <w:r w:rsidR="00476658">
          <w:rPr>
            <w:rStyle w:val="Hyperlink"/>
          </w:rPr>
          <w:tab/>
        </w:r>
        <w:r w:rsidR="00476658" w:rsidRPr="00640FF3">
          <w:rPr>
            <w:rStyle w:val="Hyperlink"/>
          </w:rPr>
          <w:t>Procedures for the Collection of Information</w:t>
        </w:r>
        <w:r w:rsidR="00476658">
          <w:rPr>
            <w:webHidden/>
          </w:rPr>
          <w:tab/>
        </w:r>
        <w:r w:rsidR="00476658">
          <w:rPr>
            <w:webHidden/>
          </w:rPr>
          <w:fldChar w:fldCharType="begin"/>
        </w:r>
        <w:r w:rsidR="00476658">
          <w:rPr>
            <w:webHidden/>
          </w:rPr>
          <w:instrText xml:space="preserve"> PAGEREF _Toc440001873 \h </w:instrText>
        </w:r>
        <w:r w:rsidR="00476658">
          <w:rPr>
            <w:webHidden/>
          </w:rPr>
        </w:r>
        <w:r w:rsidR="00476658">
          <w:rPr>
            <w:webHidden/>
          </w:rPr>
          <w:fldChar w:fldCharType="separate"/>
        </w:r>
        <w:r w:rsidR="00A54A33">
          <w:rPr>
            <w:webHidden/>
          </w:rPr>
          <w:t>4</w:t>
        </w:r>
        <w:r w:rsidR="00476658">
          <w:rPr>
            <w:webHidden/>
          </w:rPr>
          <w:fldChar w:fldCharType="end"/>
        </w:r>
      </w:hyperlink>
    </w:p>
    <w:p w14:paraId="712AFCAB" w14:textId="0D40A006" w:rsidR="00476658" w:rsidRDefault="003E6341">
      <w:pPr>
        <w:pStyle w:val="TOC1"/>
        <w:rPr>
          <w:rFonts w:asciiTheme="minorHAnsi" w:eastAsiaTheme="minorEastAsia" w:hAnsiTheme="minorHAnsi" w:cstheme="minorBidi"/>
          <w:caps w:val="0"/>
          <w:sz w:val="22"/>
          <w:szCs w:val="22"/>
        </w:rPr>
      </w:pPr>
      <w:hyperlink w:anchor="_Toc440001874" w:history="1">
        <w:r w:rsidR="00476658" w:rsidRPr="00640FF3">
          <w:rPr>
            <w:rStyle w:val="Hyperlink"/>
          </w:rPr>
          <w:t xml:space="preserve">B.3 </w:t>
        </w:r>
        <w:r w:rsidR="00476658">
          <w:rPr>
            <w:rStyle w:val="Hyperlink"/>
          </w:rPr>
          <w:tab/>
        </w:r>
        <w:r w:rsidR="00476658" w:rsidRPr="00640FF3">
          <w:rPr>
            <w:rStyle w:val="Hyperlink"/>
          </w:rPr>
          <w:t>Methods to Maximize Response Rates and Deal with Nonresponse</w:t>
        </w:r>
        <w:r w:rsidR="00F04002">
          <w:rPr>
            <w:rStyle w:val="Hyperlink"/>
          </w:rPr>
          <w:t xml:space="preserve"> </w:t>
        </w:r>
        <w:r w:rsidR="00476658">
          <w:rPr>
            <w:webHidden/>
          </w:rPr>
          <w:tab/>
        </w:r>
        <w:r w:rsidR="00476658">
          <w:rPr>
            <w:webHidden/>
          </w:rPr>
          <w:fldChar w:fldCharType="begin"/>
        </w:r>
        <w:r w:rsidR="00476658">
          <w:rPr>
            <w:webHidden/>
          </w:rPr>
          <w:instrText xml:space="preserve"> PAGEREF _Toc440001874 \h </w:instrText>
        </w:r>
        <w:r w:rsidR="00476658">
          <w:rPr>
            <w:webHidden/>
          </w:rPr>
        </w:r>
        <w:r w:rsidR="00476658">
          <w:rPr>
            <w:webHidden/>
          </w:rPr>
          <w:fldChar w:fldCharType="separate"/>
        </w:r>
        <w:r w:rsidR="00A54A33">
          <w:rPr>
            <w:webHidden/>
          </w:rPr>
          <w:t>8</w:t>
        </w:r>
        <w:r w:rsidR="00476658">
          <w:rPr>
            <w:webHidden/>
          </w:rPr>
          <w:fldChar w:fldCharType="end"/>
        </w:r>
      </w:hyperlink>
    </w:p>
    <w:p w14:paraId="192C104E" w14:textId="77777777" w:rsidR="00476658" w:rsidRDefault="003E6341">
      <w:pPr>
        <w:pStyle w:val="TOC1"/>
        <w:rPr>
          <w:rFonts w:asciiTheme="minorHAnsi" w:eastAsiaTheme="minorEastAsia" w:hAnsiTheme="minorHAnsi" w:cstheme="minorBidi"/>
          <w:caps w:val="0"/>
          <w:sz w:val="22"/>
          <w:szCs w:val="22"/>
        </w:rPr>
      </w:pPr>
      <w:hyperlink w:anchor="_Toc440001875" w:history="1">
        <w:r w:rsidR="00476658" w:rsidRPr="00640FF3">
          <w:rPr>
            <w:rStyle w:val="Hyperlink"/>
          </w:rPr>
          <w:t xml:space="preserve">B.4 </w:t>
        </w:r>
        <w:r w:rsidR="00476658">
          <w:rPr>
            <w:rStyle w:val="Hyperlink"/>
          </w:rPr>
          <w:tab/>
        </w:r>
        <w:r w:rsidR="00476658" w:rsidRPr="00640FF3">
          <w:rPr>
            <w:rStyle w:val="Hyperlink"/>
          </w:rPr>
          <w:t>Test of Procedures or Methods to be Undertaken</w:t>
        </w:r>
        <w:r w:rsidR="00476658">
          <w:rPr>
            <w:webHidden/>
          </w:rPr>
          <w:tab/>
        </w:r>
        <w:r w:rsidR="00476658">
          <w:rPr>
            <w:webHidden/>
          </w:rPr>
          <w:fldChar w:fldCharType="begin"/>
        </w:r>
        <w:r w:rsidR="00476658">
          <w:rPr>
            <w:webHidden/>
          </w:rPr>
          <w:instrText xml:space="preserve"> PAGEREF _Toc440001875 \h </w:instrText>
        </w:r>
        <w:r w:rsidR="00476658">
          <w:rPr>
            <w:webHidden/>
          </w:rPr>
        </w:r>
        <w:r w:rsidR="00476658">
          <w:rPr>
            <w:webHidden/>
          </w:rPr>
          <w:fldChar w:fldCharType="separate"/>
        </w:r>
        <w:r w:rsidR="00A54A33">
          <w:rPr>
            <w:webHidden/>
          </w:rPr>
          <w:t>8</w:t>
        </w:r>
        <w:r w:rsidR="00476658">
          <w:rPr>
            <w:webHidden/>
          </w:rPr>
          <w:fldChar w:fldCharType="end"/>
        </w:r>
      </w:hyperlink>
    </w:p>
    <w:p w14:paraId="4A7A2E44" w14:textId="77777777" w:rsidR="00476658" w:rsidRDefault="003E6341">
      <w:pPr>
        <w:pStyle w:val="TOC1"/>
        <w:rPr>
          <w:rFonts w:asciiTheme="minorHAnsi" w:eastAsiaTheme="minorEastAsia" w:hAnsiTheme="minorHAnsi" w:cstheme="minorBidi"/>
          <w:caps w:val="0"/>
          <w:sz w:val="22"/>
          <w:szCs w:val="22"/>
        </w:rPr>
      </w:pPr>
      <w:hyperlink w:anchor="_Toc440001876" w:history="1">
        <w:r w:rsidR="00476658" w:rsidRPr="00640FF3">
          <w:rPr>
            <w:rStyle w:val="Hyperlink"/>
          </w:rPr>
          <w:t xml:space="preserve">B.5 </w:t>
        </w:r>
        <w:r w:rsidR="00476658">
          <w:rPr>
            <w:rStyle w:val="Hyperlink"/>
          </w:rPr>
          <w:tab/>
        </w:r>
        <w:r w:rsidR="00476658" w:rsidRPr="00640FF3">
          <w:rPr>
            <w:rStyle w:val="Hyperlink"/>
          </w:rPr>
          <w:t>Individuals Consulted on Statistical Aspects and Individuals Collecting and/or Analyzing Data</w:t>
        </w:r>
        <w:r w:rsidR="00476658">
          <w:rPr>
            <w:webHidden/>
          </w:rPr>
          <w:tab/>
        </w:r>
        <w:r w:rsidR="00476658">
          <w:rPr>
            <w:webHidden/>
          </w:rPr>
          <w:fldChar w:fldCharType="begin"/>
        </w:r>
        <w:r w:rsidR="00476658">
          <w:rPr>
            <w:webHidden/>
          </w:rPr>
          <w:instrText xml:space="preserve"> PAGEREF _Toc440001876 \h </w:instrText>
        </w:r>
        <w:r w:rsidR="00476658">
          <w:rPr>
            <w:webHidden/>
          </w:rPr>
        </w:r>
        <w:r w:rsidR="00476658">
          <w:rPr>
            <w:webHidden/>
          </w:rPr>
          <w:fldChar w:fldCharType="separate"/>
        </w:r>
        <w:r w:rsidR="00A54A33">
          <w:rPr>
            <w:webHidden/>
          </w:rPr>
          <w:t>9</w:t>
        </w:r>
        <w:r w:rsidR="00476658">
          <w:rPr>
            <w:webHidden/>
          </w:rPr>
          <w:fldChar w:fldCharType="end"/>
        </w:r>
      </w:hyperlink>
    </w:p>
    <w:p w14:paraId="4C4DCDCE" w14:textId="77777777" w:rsidR="00476658" w:rsidRDefault="00476658" w:rsidP="00FF71B8">
      <w:pPr>
        <w:pStyle w:val="P1-StandPara"/>
        <w:tabs>
          <w:tab w:val="left" w:pos="720"/>
          <w:tab w:val="right" w:leader="dot" w:pos="9504"/>
        </w:tabs>
        <w:spacing w:line="240" w:lineRule="atLeast"/>
        <w:ind w:firstLine="0"/>
        <w:jc w:val="center"/>
        <w:rPr>
          <w:b/>
          <w:sz w:val="24"/>
          <w:szCs w:val="24"/>
        </w:rPr>
      </w:pPr>
      <w:r>
        <w:rPr>
          <w:b/>
          <w:caps/>
          <w:noProof/>
          <w:sz w:val="24"/>
          <w:szCs w:val="24"/>
        </w:rPr>
        <w:fldChar w:fldCharType="end"/>
      </w:r>
    </w:p>
    <w:p w14:paraId="5FDD2F47" w14:textId="77777777" w:rsidR="00476658" w:rsidRDefault="00476658" w:rsidP="00FF71B8">
      <w:pPr>
        <w:pStyle w:val="P1-StandPara"/>
        <w:tabs>
          <w:tab w:val="left" w:pos="720"/>
          <w:tab w:val="right" w:leader="dot" w:pos="9504"/>
        </w:tabs>
        <w:spacing w:line="240" w:lineRule="atLeast"/>
        <w:ind w:firstLine="0"/>
        <w:jc w:val="center"/>
        <w:rPr>
          <w:b/>
          <w:sz w:val="24"/>
          <w:szCs w:val="24"/>
        </w:rPr>
      </w:pPr>
    </w:p>
    <w:p w14:paraId="436B8FA8" w14:textId="77777777" w:rsidR="004A70E1" w:rsidRPr="000C7FBE" w:rsidRDefault="004A70E1" w:rsidP="00FF71B8">
      <w:pPr>
        <w:pStyle w:val="P1-StandPara"/>
        <w:ind w:firstLine="0"/>
        <w:rPr>
          <w:color w:val="FF0000"/>
          <w:sz w:val="24"/>
          <w:szCs w:val="24"/>
        </w:rPr>
      </w:pPr>
    </w:p>
    <w:p w14:paraId="10730A35" w14:textId="77777777" w:rsidR="00220B0C" w:rsidRPr="000C7FBE" w:rsidRDefault="00220B0C" w:rsidP="00FF71B8">
      <w:pPr>
        <w:pStyle w:val="P1-StandPara"/>
        <w:ind w:firstLine="0"/>
        <w:rPr>
          <w:color w:val="FF0000"/>
          <w:sz w:val="24"/>
          <w:szCs w:val="24"/>
        </w:rPr>
      </w:pPr>
    </w:p>
    <w:p w14:paraId="285B557E" w14:textId="77777777" w:rsidR="00220B0C" w:rsidRPr="000C7FBE" w:rsidRDefault="00220B0C" w:rsidP="00FF71B8">
      <w:pPr>
        <w:pStyle w:val="P1-StandPara"/>
        <w:ind w:firstLine="0"/>
        <w:rPr>
          <w:color w:val="FF0000"/>
          <w:sz w:val="24"/>
          <w:szCs w:val="24"/>
        </w:rPr>
      </w:pPr>
    </w:p>
    <w:p w14:paraId="52EB8C21" w14:textId="77777777" w:rsidR="00220B0C" w:rsidRPr="000C7FBE" w:rsidRDefault="00220B0C" w:rsidP="00FF71B8">
      <w:pPr>
        <w:pStyle w:val="P1-StandPara"/>
        <w:ind w:firstLine="0"/>
        <w:rPr>
          <w:color w:val="FF0000"/>
          <w:sz w:val="24"/>
          <w:szCs w:val="24"/>
        </w:rPr>
      </w:pPr>
    </w:p>
    <w:p w14:paraId="316BA129" w14:textId="77777777" w:rsidR="006732F8" w:rsidRDefault="006732F8">
      <w:pPr>
        <w:rPr>
          <w:color w:val="FF0000"/>
        </w:rPr>
      </w:pPr>
      <w:r>
        <w:rPr>
          <w:color w:val="FF0000"/>
        </w:rPr>
        <w:br w:type="page"/>
      </w:r>
    </w:p>
    <w:p w14:paraId="09126D33" w14:textId="77777777" w:rsidR="00220B0C" w:rsidRPr="000C7FBE" w:rsidRDefault="00220B0C" w:rsidP="00FF71B8">
      <w:pPr>
        <w:pStyle w:val="P1-StandPara"/>
        <w:ind w:firstLine="0"/>
        <w:rPr>
          <w:color w:val="FF0000"/>
          <w:sz w:val="24"/>
          <w:szCs w:val="24"/>
        </w:rPr>
      </w:pPr>
    </w:p>
    <w:p w14:paraId="22F4060F" w14:textId="77777777" w:rsidR="00A370BB" w:rsidRPr="008611FE" w:rsidRDefault="00A370BB" w:rsidP="00A370BB">
      <w:pPr>
        <w:jc w:val="center"/>
        <w:rPr>
          <w:b/>
        </w:rPr>
      </w:pPr>
      <w:bookmarkStart w:id="1" w:name="_Toc443881763"/>
      <w:bookmarkStart w:id="2" w:name="_Toc451592250"/>
      <w:bookmarkStart w:id="3" w:name="_Toc5610291"/>
      <w:bookmarkStart w:id="4" w:name="_Toc99178797"/>
      <w:r w:rsidRPr="008611FE">
        <w:rPr>
          <w:b/>
        </w:rPr>
        <w:t>List of Attachments</w:t>
      </w:r>
    </w:p>
    <w:p w14:paraId="069940B3" w14:textId="77777777" w:rsidR="00A370BB" w:rsidRPr="008611FE" w:rsidRDefault="00A370BB" w:rsidP="00A370BB"/>
    <w:p w14:paraId="4053BEF0" w14:textId="77777777" w:rsidR="00A370BB" w:rsidRPr="00BF1831" w:rsidRDefault="00A370BB" w:rsidP="00A370BB">
      <w:pPr>
        <w:ind w:left="1584" w:hanging="1584"/>
      </w:pPr>
      <w:r w:rsidRPr="00BF1831">
        <w:t>Attachment 1</w:t>
      </w:r>
      <w:r>
        <w:t>:</w:t>
      </w:r>
      <w:r w:rsidRPr="00BF1831">
        <w:t xml:space="preserve">  RFA-RM-13-016 (Building Infrastructure Leading to Diversity (BUILD))</w:t>
      </w:r>
    </w:p>
    <w:p w14:paraId="67D0C198" w14:textId="77777777" w:rsidR="00A370BB" w:rsidRDefault="00A370BB" w:rsidP="00A370BB"/>
    <w:p w14:paraId="4E9FDE34" w14:textId="77777777" w:rsidR="00A370BB" w:rsidRPr="00BF1831" w:rsidRDefault="00A370BB" w:rsidP="00A370BB">
      <w:r w:rsidRPr="00BF1831">
        <w:t>Attachment 2</w:t>
      </w:r>
      <w:r>
        <w:t xml:space="preserve">: </w:t>
      </w:r>
      <w:r w:rsidRPr="00BF1831">
        <w:t xml:space="preserve"> RFA-RM-13-017 (National Research Mentoring Network (NRMN))</w:t>
      </w:r>
    </w:p>
    <w:p w14:paraId="661C3FA3" w14:textId="77777777" w:rsidR="00A370BB" w:rsidRDefault="00A370BB" w:rsidP="00A370BB"/>
    <w:p w14:paraId="64C24CBE" w14:textId="77777777" w:rsidR="00A370BB" w:rsidRDefault="00A370BB" w:rsidP="00A370BB">
      <w:r>
        <w:t xml:space="preserve">Attachment 3: </w:t>
      </w:r>
      <w:r w:rsidRPr="008611FE">
        <w:t xml:space="preserve"> RFA-RM-13-015 (Coordination &amp; Evaluation Center)</w:t>
      </w:r>
    </w:p>
    <w:p w14:paraId="0D0710E2" w14:textId="77777777" w:rsidR="00A370BB" w:rsidRDefault="00A370BB" w:rsidP="00A370BB"/>
    <w:p w14:paraId="631F6B3E" w14:textId="77777777" w:rsidR="00A370BB" w:rsidRPr="00AC1FD5" w:rsidRDefault="00A370BB" w:rsidP="00A370BB">
      <w:r w:rsidRPr="00AC1FD5">
        <w:t xml:space="preserve">Attachment 4: </w:t>
      </w:r>
      <w:r>
        <w:t xml:space="preserve"> </w:t>
      </w:r>
      <w:r w:rsidRPr="00AC1FD5">
        <w:t>Hallmarks of Success</w:t>
      </w:r>
    </w:p>
    <w:p w14:paraId="47620BC1" w14:textId="77777777" w:rsidR="00A370BB" w:rsidRDefault="00A370BB" w:rsidP="00A370BB"/>
    <w:p w14:paraId="1769C9FA" w14:textId="77777777" w:rsidR="00A370BB" w:rsidRPr="00BF1831" w:rsidRDefault="00A370BB" w:rsidP="00A370BB">
      <w:r w:rsidRPr="00BF1831">
        <w:t xml:space="preserve">Attachment 5: </w:t>
      </w:r>
      <w:r>
        <w:t xml:space="preserve"> </w:t>
      </w:r>
      <w:r w:rsidRPr="00BF1831">
        <w:t>BUILD Interventions Summary Table</w:t>
      </w:r>
    </w:p>
    <w:p w14:paraId="50762DA6" w14:textId="77777777" w:rsidR="00A370BB" w:rsidRDefault="00A370BB" w:rsidP="00A370BB"/>
    <w:p w14:paraId="60C20B20" w14:textId="77777777" w:rsidR="00A370BB" w:rsidRPr="00BF1831" w:rsidRDefault="00A370BB" w:rsidP="00A370BB">
      <w:r w:rsidRPr="00AC1FD5">
        <w:t xml:space="preserve">Attachment 6: </w:t>
      </w:r>
      <w:r>
        <w:t xml:space="preserve"> </w:t>
      </w:r>
      <w:r w:rsidRPr="00AC1FD5">
        <w:t>BUILD Logic Model</w:t>
      </w:r>
      <w:r>
        <w:t>s</w:t>
      </w:r>
    </w:p>
    <w:p w14:paraId="0F31B1F4" w14:textId="77777777" w:rsidR="00A370BB" w:rsidRDefault="00A370BB" w:rsidP="00A370BB"/>
    <w:p w14:paraId="0084A3A1" w14:textId="77777777" w:rsidR="00A370BB" w:rsidRPr="00BF1831" w:rsidRDefault="00A370BB" w:rsidP="00A370BB">
      <w:r>
        <w:t>Attachment 7:  NRMN Logic Model</w:t>
      </w:r>
    </w:p>
    <w:p w14:paraId="7B85FDA0" w14:textId="77777777" w:rsidR="00A370BB" w:rsidRDefault="00A370BB" w:rsidP="00A370BB">
      <w:pPr>
        <w:rPr>
          <w:color w:val="212121"/>
        </w:rPr>
      </w:pPr>
    </w:p>
    <w:p w14:paraId="5E5FCE6C" w14:textId="77777777" w:rsidR="00A370BB" w:rsidRDefault="00A370BB" w:rsidP="00A370BB">
      <w:pPr>
        <w:rPr>
          <w:color w:val="212121"/>
        </w:rPr>
      </w:pPr>
      <w:r w:rsidRPr="00FB01AB">
        <w:rPr>
          <w:color w:val="212121"/>
        </w:rPr>
        <w:t xml:space="preserve">Attachment </w:t>
      </w:r>
      <w:r>
        <w:rPr>
          <w:color w:val="212121"/>
        </w:rPr>
        <w:t>8a:</w:t>
      </w:r>
      <w:r w:rsidRPr="00FB01AB">
        <w:rPr>
          <w:color w:val="212121"/>
        </w:rPr>
        <w:t xml:space="preserve"> </w:t>
      </w:r>
      <w:r>
        <w:rPr>
          <w:color w:val="212121"/>
        </w:rPr>
        <w:t xml:space="preserve"> HERI Freshman Survey (On-line Version)</w:t>
      </w:r>
    </w:p>
    <w:p w14:paraId="1C7EEED0" w14:textId="77777777" w:rsidR="00A370BB" w:rsidRDefault="00A370BB" w:rsidP="00A370BB">
      <w:pPr>
        <w:rPr>
          <w:color w:val="212121"/>
        </w:rPr>
      </w:pPr>
    </w:p>
    <w:p w14:paraId="4C9C526A" w14:textId="77777777" w:rsidR="00A370BB" w:rsidRPr="00BF1831" w:rsidRDefault="00A370BB" w:rsidP="00A370BB">
      <w:r>
        <w:rPr>
          <w:color w:val="212121"/>
        </w:rPr>
        <w:t>Attachment 8b:  HERI Freshman Survey (Paper Version)</w:t>
      </w:r>
    </w:p>
    <w:p w14:paraId="241296D5" w14:textId="77777777" w:rsidR="00A370BB" w:rsidRDefault="00A370BB" w:rsidP="00A370BB"/>
    <w:p w14:paraId="7831398D" w14:textId="77777777" w:rsidR="00A370BB" w:rsidRDefault="00A370BB" w:rsidP="00A370BB">
      <w:r>
        <w:t>Attachment 9:  HERI Transfer Student Survey</w:t>
      </w:r>
    </w:p>
    <w:p w14:paraId="1379BDB4" w14:textId="77777777" w:rsidR="00A370BB" w:rsidRDefault="00A370BB" w:rsidP="00A370BB"/>
    <w:p w14:paraId="406F5006" w14:textId="77777777" w:rsidR="00A370BB" w:rsidRDefault="00A370BB" w:rsidP="00A370BB">
      <w:r>
        <w:t>Attachment 10:  HERI Your First College Year</w:t>
      </w:r>
    </w:p>
    <w:p w14:paraId="095DC169" w14:textId="77777777" w:rsidR="00A370BB" w:rsidRDefault="00A370BB" w:rsidP="00A370BB"/>
    <w:p w14:paraId="6CD19AB4" w14:textId="77777777" w:rsidR="00A370BB" w:rsidRDefault="00A370BB" w:rsidP="00A370BB">
      <w:r>
        <w:t>Attachment 11: HERI College Senior Survey</w:t>
      </w:r>
    </w:p>
    <w:p w14:paraId="4028E91F" w14:textId="77777777" w:rsidR="00A370BB" w:rsidRDefault="00A370BB" w:rsidP="00A370BB"/>
    <w:p w14:paraId="7C841C4E" w14:textId="77777777" w:rsidR="00A370BB" w:rsidRDefault="00A370BB" w:rsidP="00A370BB">
      <w:r>
        <w:t>Attachment 12: BUILD Student Annual Follow-up Survey</w:t>
      </w:r>
    </w:p>
    <w:p w14:paraId="733ED890" w14:textId="77777777" w:rsidR="00A370BB" w:rsidRDefault="00A370BB" w:rsidP="00A370BB"/>
    <w:p w14:paraId="4D0712CF" w14:textId="77777777" w:rsidR="00A370BB" w:rsidRDefault="00A370BB" w:rsidP="00A370BB">
      <w:r>
        <w:t>Attachment 13:  HERI Faculty Survey</w:t>
      </w:r>
    </w:p>
    <w:p w14:paraId="23696AD7" w14:textId="77777777" w:rsidR="00A370BB" w:rsidRDefault="00A370BB" w:rsidP="00A370BB"/>
    <w:p w14:paraId="1E347334" w14:textId="77777777" w:rsidR="00A370BB" w:rsidRDefault="00A370BB" w:rsidP="00A370BB">
      <w:r>
        <w:t>Attachment 14: BUILD Faculty Annual Follow-up Survey</w:t>
      </w:r>
    </w:p>
    <w:p w14:paraId="5D34551A" w14:textId="77777777" w:rsidR="00A370BB" w:rsidRDefault="00A370BB" w:rsidP="00A370BB"/>
    <w:p w14:paraId="3BB19DAA" w14:textId="77777777" w:rsidR="00A370BB" w:rsidRDefault="00A370BB" w:rsidP="00A370BB">
      <w:r>
        <w:t xml:space="preserve">Attachment 15: Mentee Mentor Assessment </w:t>
      </w:r>
    </w:p>
    <w:p w14:paraId="27FA46B8" w14:textId="77777777" w:rsidR="00A370BB" w:rsidRDefault="00A370BB" w:rsidP="00A370BB"/>
    <w:p w14:paraId="4777D104" w14:textId="77777777" w:rsidR="00A370BB" w:rsidRDefault="00A370BB" w:rsidP="00A370BB">
      <w:r>
        <w:t>Attachment 16: NRMN Data Warehouse Baseline Data</w:t>
      </w:r>
    </w:p>
    <w:p w14:paraId="5A9A6DEE" w14:textId="77777777" w:rsidR="00A370BB" w:rsidRDefault="00A370BB" w:rsidP="00A370BB"/>
    <w:p w14:paraId="71781761" w14:textId="77777777" w:rsidR="00A370BB" w:rsidRDefault="00A370BB" w:rsidP="00A370BB">
      <w:r>
        <w:t>Attachment 17:  NRMN Faculty/Mentor Core Follow-up Survey</w:t>
      </w:r>
    </w:p>
    <w:p w14:paraId="2725CEDD" w14:textId="77777777" w:rsidR="00A370BB" w:rsidRDefault="00A370BB" w:rsidP="00A370BB"/>
    <w:p w14:paraId="707DBA0A" w14:textId="77777777" w:rsidR="00A370BB" w:rsidRDefault="00A370BB" w:rsidP="00A370BB">
      <w:r>
        <w:t>Attachment 18:  NRMN Student/Mentee Core Follow-up Survey</w:t>
      </w:r>
    </w:p>
    <w:p w14:paraId="225715F5" w14:textId="77777777" w:rsidR="00A370BB" w:rsidRDefault="00A370BB" w:rsidP="00A370BB"/>
    <w:p w14:paraId="01F22974" w14:textId="77777777" w:rsidR="00A370BB" w:rsidRDefault="00A370BB" w:rsidP="00A370BB">
      <w:r>
        <w:t>Attachment 19:  NRMN Mentor Skills Module</w:t>
      </w:r>
    </w:p>
    <w:p w14:paraId="422D0BA0" w14:textId="77777777" w:rsidR="00A370BB" w:rsidRDefault="00A370BB" w:rsidP="00A370BB"/>
    <w:p w14:paraId="5523D3B7" w14:textId="77777777" w:rsidR="00A370BB" w:rsidRDefault="00A370BB" w:rsidP="00A370BB">
      <w:r>
        <w:t>Attachment 20:  NRMN Research &amp; Grant Writing Module</w:t>
      </w:r>
    </w:p>
    <w:p w14:paraId="5A7DF51C" w14:textId="77777777" w:rsidR="00A370BB" w:rsidRDefault="00A370BB" w:rsidP="00A370BB"/>
    <w:p w14:paraId="2D312703" w14:textId="77777777" w:rsidR="00A370BB" w:rsidRDefault="00A370BB" w:rsidP="00A370BB">
      <w:r>
        <w:t>Attachment 21:  NRMN Coaching Training Module</w:t>
      </w:r>
    </w:p>
    <w:p w14:paraId="51B270E3" w14:textId="77777777" w:rsidR="00A370BB" w:rsidRDefault="00A370BB" w:rsidP="00A370BB"/>
    <w:p w14:paraId="45A1834A" w14:textId="77777777" w:rsidR="00A370BB" w:rsidRDefault="00A370BB" w:rsidP="00A370BB">
      <w:r>
        <w:t>Attachment 22:  NRMN Institutional Context Module</w:t>
      </w:r>
    </w:p>
    <w:p w14:paraId="60368B04" w14:textId="77777777" w:rsidR="00A370BB" w:rsidRDefault="00A370BB" w:rsidP="00A370BB"/>
    <w:p w14:paraId="27801031" w14:textId="77777777" w:rsidR="00A370BB" w:rsidRDefault="00A370BB" w:rsidP="00A370BB">
      <w:r>
        <w:t>Attachment 23:  BUILD Site Visit &amp; Case Studies Protocol</w:t>
      </w:r>
    </w:p>
    <w:p w14:paraId="76F9E550" w14:textId="77777777" w:rsidR="00A370BB" w:rsidRDefault="00A370BB" w:rsidP="00A370BB"/>
    <w:p w14:paraId="6BDF3322" w14:textId="77777777" w:rsidR="00A370BB" w:rsidRDefault="00A370BB" w:rsidP="00A370BB">
      <w:r>
        <w:t>Attachment 24:  NRMN Site Visit &amp; Case Studies Protocol</w:t>
      </w:r>
    </w:p>
    <w:p w14:paraId="6CB98FF7" w14:textId="77777777" w:rsidR="00A370BB" w:rsidRDefault="00A370BB" w:rsidP="00A370BB"/>
    <w:p w14:paraId="25D4F73C" w14:textId="77777777" w:rsidR="00A370BB" w:rsidRDefault="00A370BB" w:rsidP="00A370BB">
      <w:r>
        <w:t>Attachment 25:  BUILD Institutional Records &amp; Program Data Requests</w:t>
      </w:r>
    </w:p>
    <w:p w14:paraId="761D800D" w14:textId="77777777" w:rsidR="00A370BB" w:rsidRDefault="00A370BB" w:rsidP="00A370BB"/>
    <w:p w14:paraId="64C668F5" w14:textId="77777777" w:rsidR="00A370BB" w:rsidRDefault="00A370BB" w:rsidP="00A370BB">
      <w:r>
        <w:t>Attachment 26:  BUILD Implementation Reports</w:t>
      </w:r>
    </w:p>
    <w:p w14:paraId="2AB5711F" w14:textId="77777777" w:rsidR="00A370BB" w:rsidRDefault="00A370BB" w:rsidP="00A370BB"/>
    <w:p w14:paraId="0DC17E3E" w14:textId="77777777" w:rsidR="00A370BB" w:rsidRDefault="00A370BB" w:rsidP="00A370BB">
      <w:r>
        <w:t xml:space="preserve">Attachment 27:  Coordination &amp; Evaluation Center (CEC) </w:t>
      </w:r>
      <w:r w:rsidRPr="0096295B">
        <w:t>Tracker Security Overview</w:t>
      </w:r>
    </w:p>
    <w:p w14:paraId="5314CB0B" w14:textId="77777777" w:rsidR="00A370BB" w:rsidRDefault="00A370BB" w:rsidP="00A370BB"/>
    <w:p w14:paraId="5FBE3983" w14:textId="77777777" w:rsidR="006732F8" w:rsidRPr="008611FE" w:rsidRDefault="00A370BB" w:rsidP="00A370BB">
      <w:pPr>
        <w:rPr>
          <w:b/>
        </w:rPr>
      </w:pPr>
      <w:r>
        <w:t>Attachment 28:  Advisory Committee to the Director – Working Group on Diversity in the Biomedical Research Workforce Membership</w:t>
      </w:r>
    </w:p>
    <w:p w14:paraId="1FB15299" w14:textId="77777777" w:rsidR="00274526" w:rsidRDefault="00274526" w:rsidP="006732F8"/>
    <w:p w14:paraId="70BA82A8" w14:textId="77777777" w:rsidR="006732F8" w:rsidRPr="000C7FBE" w:rsidRDefault="006732F8">
      <w:pPr>
        <w:jc w:val="center"/>
        <w:rPr>
          <w:b/>
        </w:rPr>
        <w:sectPr w:rsidR="006732F8" w:rsidRPr="000C7FBE" w:rsidSect="00D8063C">
          <w:footerReference w:type="even" r:id="rId8"/>
          <w:footerReference w:type="default" r:id="rId9"/>
          <w:pgSz w:w="12240" w:h="15840"/>
          <w:pgMar w:top="720" w:right="720" w:bottom="720" w:left="720" w:header="720" w:footer="720" w:gutter="0"/>
          <w:pgNumType w:fmt="lowerRoman" w:start="1"/>
          <w:cols w:space="720"/>
          <w:docGrid w:linePitch="360"/>
        </w:sectPr>
      </w:pPr>
    </w:p>
    <w:p w14:paraId="3E336762" w14:textId="77777777" w:rsidR="00821E82" w:rsidRPr="000C7FBE" w:rsidRDefault="00821E82" w:rsidP="00FF71B8">
      <w:pPr>
        <w:rPr>
          <w:b/>
        </w:rPr>
      </w:pPr>
    </w:p>
    <w:p w14:paraId="5511FA49" w14:textId="77777777" w:rsidR="00C01FD4" w:rsidRPr="000C7FBE" w:rsidRDefault="00C01FD4" w:rsidP="00F422FA">
      <w:pPr>
        <w:jc w:val="center"/>
        <w:rPr>
          <w:b/>
        </w:rPr>
      </w:pPr>
      <w:r w:rsidRPr="000C7FBE">
        <w:rPr>
          <w:b/>
        </w:rPr>
        <w:t>Supporting Statement for the</w:t>
      </w:r>
    </w:p>
    <w:p w14:paraId="2DBB9AA3" w14:textId="77777777" w:rsidR="00C01FD4" w:rsidRPr="000C7FBE" w:rsidRDefault="00C01FD4" w:rsidP="007B55B4">
      <w:pPr>
        <w:jc w:val="center"/>
        <w:rPr>
          <w:b/>
        </w:rPr>
      </w:pPr>
      <w:r w:rsidRPr="000C7FBE">
        <w:rPr>
          <w:b/>
        </w:rPr>
        <w:t>Paperwork Reduction Act Submission</w:t>
      </w:r>
    </w:p>
    <w:p w14:paraId="11282A12" w14:textId="77777777" w:rsidR="00C01FD4" w:rsidRPr="000C7FBE" w:rsidRDefault="00C01FD4" w:rsidP="00E46EE4">
      <w:pPr>
        <w:jc w:val="center"/>
        <w:rPr>
          <w:b/>
        </w:rPr>
      </w:pPr>
      <w:r w:rsidRPr="000C7FBE">
        <w:rPr>
          <w:b/>
        </w:rPr>
        <w:t>B: Justification</w:t>
      </w:r>
    </w:p>
    <w:p w14:paraId="4CE2B99F" w14:textId="77777777" w:rsidR="00C01FD4" w:rsidRPr="000C7FBE" w:rsidRDefault="00C01FD4" w:rsidP="00D2794B">
      <w:pPr>
        <w:jc w:val="center"/>
        <w:rPr>
          <w:b/>
        </w:rPr>
      </w:pPr>
    </w:p>
    <w:p w14:paraId="30F7F4BC" w14:textId="77777777" w:rsidR="00C01FD4" w:rsidRPr="000C7FBE" w:rsidRDefault="00C01FD4" w:rsidP="00D02153">
      <w:pPr>
        <w:jc w:val="center"/>
        <w:rPr>
          <w:b/>
        </w:rPr>
      </w:pPr>
      <w:r w:rsidRPr="000C7FBE">
        <w:rPr>
          <w:b/>
        </w:rPr>
        <w:t>National Institutes of Health</w:t>
      </w:r>
    </w:p>
    <w:p w14:paraId="3374A052" w14:textId="77777777" w:rsidR="00C01FD4" w:rsidRPr="000C7FBE" w:rsidRDefault="00C01FD4" w:rsidP="00950E1F">
      <w:pPr>
        <w:jc w:val="center"/>
        <w:rPr>
          <w:b/>
        </w:rPr>
      </w:pPr>
      <w:r w:rsidRPr="000C7FBE">
        <w:rPr>
          <w:b/>
        </w:rPr>
        <w:t>Evaluation of the Enhancing Diversity of the NIH-funded Workforce Program</w:t>
      </w:r>
    </w:p>
    <w:p w14:paraId="1C374355" w14:textId="77777777" w:rsidR="00C01FD4" w:rsidRPr="000C7FBE" w:rsidRDefault="00C01FD4" w:rsidP="00FF71B8">
      <w:pPr>
        <w:pStyle w:val="Heading2"/>
        <w:spacing w:after="0"/>
        <w:ind w:left="0"/>
        <w:rPr>
          <w:sz w:val="24"/>
          <w:szCs w:val="24"/>
        </w:rPr>
      </w:pPr>
      <w:r w:rsidRPr="000C7FBE">
        <w:rPr>
          <w:sz w:val="24"/>
          <w:szCs w:val="24"/>
        </w:rPr>
        <w:t xml:space="preserve"> </w:t>
      </w:r>
    </w:p>
    <w:p w14:paraId="0F1EC9AE" w14:textId="77777777" w:rsidR="00144958" w:rsidRPr="00476658" w:rsidRDefault="00144958">
      <w:r w:rsidRPr="00476658">
        <w:t xml:space="preserve">This </w:t>
      </w:r>
      <w:r w:rsidR="005F0DC3" w:rsidRPr="00476658">
        <w:t>OMB application</w:t>
      </w:r>
      <w:r w:rsidRPr="00476658">
        <w:t xml:space="preserve"> seeks approval for 3-year </w:t>
      </w:r>
      <w:r w:rsidR="005F0DC3" w:rsidRPr="00476658">
        <w:t>c</w:t>
      </w:r>
      <w:r w:rsidRPr="00476658">
        <w:t xml:space="preserve">learance to conduct an evaluation of the NIH Common Fund’s Enhancing Diversity of the NIH-funded Workforce Program (also referred to as the Diversity Program Consortium) - a national consortium comprised of three integrated initiatives: (1) Building Infrastructure Leading to Diversity (BUILD), (2) National Research Mentoring Network (NRMN), and (3) Coordination and Evaluation Center (CEC).  </w:t>
      </w:r>
      <w:r w:rsidR="005F0DC3" w:rsidRPr="00476658">
        <w:t>We are requesting</w:t>
      </w:r>
      <w:r w:rsidRPr="00476658">
        <w:t xml:space="preserve"> OMB clearance for the data collection </w:t>
      </w:r>
      <w:r w:rsidR="005F0DC3" w:rsidRPr="00476658">
        <w:t xml:space="preserve">that is required for the CEC to </w:t>
      </w:r>
      <w:r w:rsidRPr="00476658">
        <w:t>evaluat</w:t>
      </w:r>
      <w:r w:rsidR="005F0DC3" w:rsidRPr="00476658">
        <w:t xml:space="preserve">e </w:t>
      </w:r>
      <w:r w:rsidRPr="00476658">
        <w:t>the overall impact and effectiveness of the BUILD and NRMN initiatives</w:t>
      </w:r>
      <w:r w:rsidR="005F0DC3" w:rsidRPr="00476658">
        <w:t xml:space="preserve"> as required by the NIH Common Fund award</w:t>
      </w:r>
      <w:r w:rsidRPr="00476658">
        <w:t>.  The evaluation will assess agreed-upon consortium-wide hallmarks of success at the student/mentee-level, faculty/mentor level, and institutional-level (see Attachment 4: Hallmarks of Success).</w:t>
      </w:r>
    </w:p>
    <w:p w14:paraId="2B2BDBB9" w14:textId="77777777" w:rsidR="00144958" w:rsidRPr="00476658" w:rsidRDefault="00144958" w:rsidP="00657EF5"/>
    <w:p w14:paraId="4C9914EF" w14:textId="77777777" w:rsidR="00144958" w:rsidRPr="00476658" w:rsidRDefault="00144958" w:rsidP="00657EF5">
      <w:r w:rsidRPr="00476658">
        <w:t>Data collection will include annual surveys for BUILD undergraduate students and faculty to assess key outcomes for these groups. Institutional and program data collection along with site visits and case studies will be used to assess BUILD program implementati</w:t>
      </w:r>
      <w:r w:rsidR="00693374">
        <w:t xml:space="preserve">on and institutional outcomes. </w:t>
      </w:r>
      <w:r w:rsidRPr="00476658">
        <w:t>Evaluation of NRMN outcomes will rely on surveys of a sample of faculty/mentors and students/mentees (including undergraduate and graduate students as well as postdoctoral students and junior faculty) participating in NRMN activities; additional case studies information will be collected from a small number of participants through phon</w:t>
      </w:r>
      <w:r w:rsidR="00693374">
        <w:t xml:space="preserve">e and/or in-person interviews. </w:t>
      </w:r>
      <w:r w:rsidRPr="00476658">
        <w:t>Site visits with NRMN lead investigators will provide needed informa</w:t>
      </w:r>
      <w:r w:rsidR="00693374">
        <w:t>tion on program implementation.</w:t>
      </w:r>
      <w:r w:rsidRPr="00476658">
        <w:t xml:space="preserve"> The information gathered from these various sources will document the BUILD and NRMN outcomes and allow the CEC and NIH to evaluate the effectiveness of the initiatives and the consortium as a whole.</w:t>
      </w:r>
    </w:p>
    <w:p w14:paraId="27C4EEAA" w14:textId="77777777" w:rsidR="00C01FD4" w:rsidRPr="000C7FBE" w:rsidRDefault="00C01FD4" w:rsidP="00F422FA"/>
    <w:p w14:paraId="4904C16E" w14:textId="77777777" w:rsidR="00C01FD4" w:rsidRPr="000C7FBE" w:rsidRDefault="00C01FD4" w:rsidP="007B55B4">
      <w:pPr>
        <w:rPr>
          <w:b/>
        </w:rPr>
      </w:pPr>
      <w:r w:rsidRPr="000C7FBE">
        <w:rPr>
          <w:b/>
        </w:rPr>
        <w:t>B. Collection of Information Employing Statistical Methods</w:t>
      </w:r>
    </w:p>
    <w:p w14:paraId="567D7259" w14:textId="77777777" w:rsidR="00C01FD4" w:rsidRPr="00657EF5" w:rsidRDefault="00C01FD4" w:rsidP="00657EF5">
      <w:pPr>
        <w:pStyle w:val="Heading1"/>
        <w:rPr>
          <w:b w:val="0"/>
        </w:rPr>
      </w:pPr>
      <w:bookmarkStart w:id="5" w:name="_Toc440001872"/>
      <w:r w:rsidRPr="00D8063C">
        <w:t>B.1 Respondent Universe and Sampling Methods</w:t>
      </w:r>
      <w:bookmarkEnd w:id="5"/>
    </w:p>
    <w:p w14:paraId="2598B4EC" w14:textId="77777777" w:rsidR="00C01FD4" w:rsidRPr="000C7FBE" w:rsidRDefault="00C01FD4" w:rsidP="00D2794B">
      <w:pPr>
        <w:rPr>
          <w:b/>
        </w:rPr>
      </w:pPr>
    </w:p>
    <w:p w14:paraId="6E618D7C" w14:textId="77777777" w:rsidR="00BB35D2" w:rsidRPr="000C7FBE" w:rsidRDefault="00144958" w:rsidP="00D02153">
      <w:r>
        <w:t>W</w:t>
      </w:r>
      <w:r w:rsidR="00C01FD4" w:rsidRPr="000C7FBE">
        <w:t xml:space="preserve">e will conduct a longitudinal evaluation using mixed methods to assess implementation and outcomes of the </w:t>
      </w:r>
      <w:r w:rsidR="00D5034C" w:rsidRPr="000C7FBE">
        <w:t xml:space="preserve">Diversity </w:t>
      </w:r>
      <w:r w:rsidR="00A9340A">
        <w:t xml:space="preserve">Program </w:t>
      </w:r>
      <w:r w:rsidR="00D5034C" w:rsidRPr="000C7FBE">
        <w:t>Consor</w:t>
      </w:r>
      <w:r w:rsidR="00E9652D" w:rsidRPr="000C7FBE">
        <w:t>t</w:t>
      </w:r>
      <w:r w:rsidR="00D5034C" w:rsidRPr="000C7FBE">
        <w:t>ium</w:t>
      </w:r>
      <w:r w:rsidR="00C01FD4" w:rsidRPr="000C7FBE">
        <w:t xml:space="preserve">. The BUILD initiative has three major intervention components aimed at: </w:t>
      </w:r>
    </w:p>
    <w:p w14:paraId="2F7DC064" w14:textId="77777777" w:rsidR="00BB35D2" w:rsidRPr="000C7FBE" w:rsidRDefault="00C01FD4" w:rsidP="00FB1D53">
      <w:pPr>
        <w:pStyle w:val="ListParagraph"/>
        <w:numPr>
          <w:ilvl w:val="0"/>
          <w:numId w:val="15"/>
        </w:numPr>
        <w:rPr>
          <w:rFonts w:ascii="Times New Roman" w:hAnsi="Times New Roman"/>
          <w:sz w:val="24"/>
          <w:szCs w:val="24"/>
        </w:rPr>
      </w:pPr>
      <w:r w:rsidRPr="000C7FBE">
        <w:rPr>
          <w:rFonts w:ascii="Times New Roman" w:hAnsi="Times New Roman"/>
          <w:sz w:val="24"/>
          <w:szCs w:val="24"/>
        </w:rPr>
        <w:t xml:space="preserve">better preparing students to enter a biomedical research career, </w:t>
      </w:r>
    </w:p>
    <w:p w14:paraId="064A7700" w14:textId="77777777" w:rsidR="00BB35D2" w:rsidRPr="000C7FBE" w:rsidRDefault="00C01FD4" w:rsidP="00FB1D53">
      <w:pPr>
        <w:pStyle w:val="ListParagraph"/>
        <w:numPr>
          <w:ilvl w:val="0"/>
          <w:numId w:val="15"/>
        </w:numPr>
        <w:rPr>
          <w:rFonts w:ascii="Times New Roman" w:hAnsi="Times New Roman"/>
          <w:sz w:val="24"/>
          <w:szCs w:val="24"/>
        </w:rPr>
      </w:pPr>
      <w:r w:rsidRPr="000C7FBE">
        <w:rPr>
          <w:rFonts w:ascii="Times New Roman" w:hAnsi="Times New Roman"/>
          <w:sz w:val="24"/>
          <w:szCs w:val="24"/>
        </w:rPr>
        <w:t xml:space="preserve">faculty development, and </w:t>
      </w:r>
    </w:p>
    <w:p w14:paraId="71C3F717" w14:textId="77777777" w:rsidR="00BB35D2" w:rsidRPr="000C7FBE" w:rsidRDefault="00C01FD4" w:rsidP="00FB1D53">
      <w:pPr>
        <w:pStyle w:val="ListParagraph"/>
        <w:numPr>
          <w:ilvl w:val="0"/>
          <w:numId w:val="15"/>
        </w:numPr>
        <w:rPr>
          <w:rFonts w:ascii="Times New Roman" w:hAnsi="Times New Roman"/>
          <w:sz w:val="24"/>
          <w:szCs w:val="24"/>
        </w:rPr>
      </w:pPr>
      <w:r w:rsidRPr="000C7FBE">
        <w:rPr>
          <w:rFonts w:ascii="Times New Roman" w:hAnsi="Times New Roman"/>
          <w:sz w:val="24"/>
          <w:szCs w:val="24"/>
        </w:rPr>
        <w:t xml:space="preserve">institutional infrastructure </w:t>
      </w:r>
      <w:r w:rsidR="00FA3ADD">
        <w:rPr>
          <w:rFonts w:ascii="Times New Roman" w:hAnsi="Times New Roman"/>
          <w:sz w:val="24"/>
          <w:szCs w:val="24"/>
        </w:rPr>
        <w:t xml:space="preserve">development </w:t>
      </w:r>
      <w:r w:rsidRPr="000C7FBE">
        <w:rPr>
          <w:rFonts w:ascii="Times New Roman" w:hAnsi="Times New Roman"/>
          <w:sz w:val="24"/>
          <w:szCs w:val="24"/>
        </w:rPr>
        <w:t xml:space="preserve">to transform training/mentorship. </w:t>
      </w:r>
    </w:p>
    <w:p w14:paraId="05EB2120" w14:textId="77777777" w:rsidR="00144958" w:rsidRDefault="00D5034C" w:rsidP="00D02153">
      <w:r w:rsidRPr="000C7FBE">
        <w:t xml:space="preserve">The NRMN initiative </w:t>
      </w:r>
      <w:r w:rsidR="00B96E57">
        <w:t xml:space="preserve">includes </w:t>
      </w:r>
      <w:r w:rsidR="00A9340A">
        <w:t xml:space="preserve">a set of intervention activities, including: </w:t>
      </w:r>
      <w:r w:rsidR="00B96E57">
        <w:t>mentor recruitment, training</w:t>
      </w:r>
      <w:r w:rsidR="00A9340A">
        <w:t xml:space="preserve">; </w:t>
      </w:r>
      <w:r w:rsidR="00B96E57">
        <w:t xml:space="preserve">matching </w:t>
      </w:r>
      <w:r w:rsidR="00A9340A">
        <w:t xml:space="preserve">mentors </w:t>
      </w:r>
      <w:r w:rsidR="00B96E57">
        <w:t>to mentees</w:t>
      </w:r>
      <w:r w:rsidR="00A9340A">
        <w:t>;</w:t>
      </w:r>
      <w:r w:rsidR="00B96E57">
        <w:t xml:space="preserve"> and various professional development modules targeting grant-writing skills and coaching</w:t>
      </w:r>
      <w:r w:rsidR="00A9340A">
        <w:t>.</w:t>
      </w:r>
    </w:p>
    <w:p w14:paraId="28626E2A" w14:textId="77777777" w:rsidR="00AA4E58" w:rsidRDefault="00AA4E58" w:rsidP="00AA4E58"/>
    <w:p w14:paraId="63291B2C" w14:textId="77777777" w:rsidR="00CA35A7" w:rsidRPr="001B4586" w:rsidRDefault="00AA4E58" w:rsidP="001B4586">
      <w:r>
        <w:t>The Consortium-wide Diversity Program e</w:t>
      </w:r>
      <w:r w:rsidRPr="000C7FBE">
        <w:t>valuation will include assessment of outcomes</w:t>
      </w:r>
      <w:r w:rsidR="00E60D38">
        <w:t xml:space="preserve"> such as those outlined in Table B.1.</w:t>
      </w:r>
      <w:r w:rsidR="00CA35A7">
        <w:t xml:space="preserve">  </w:t>
      </w:r>
    </w:p>
    <w:p w14:paraId="3B043FA0" w14:textId="77777777" w:rsidR="00CA35A7" w:rsidRDefault="00CA35A7" w:rsidP="00CA35A7">
      <w:pPr>
        <w:ind w:firstLine="720"/>
      </w:pPr>
    </w:p>
    <w:tbl>
      <w:tblPr>
        <w:tblStyle w:val="TableGrid1"/>
        <w:tblW w:w="0" w:type="auto"/>
        <w:tblLook w:val="04A0" w:firstRow="1" w:lastRow="0" w:firstColumn="1" w:lastColumn="0" w:noHBand="0" w:noVBand="1"/>
      </w:tblPr>
      <w:tblGrid>
        <w:gridCol w:w="6408"/>
        <w:gridCol w:w="4320"/>
      </w:tblGrid>
      <w:tr w:rsidR="00CA35A7" w:rsidRPr="00E60D38" w14:paraId="680D9B4A" w14:textId="77777777" w:rsidTr="00693374">
        <w:tc>
          <w:tcPr>
            <w:tcW w:w="10728" w:type="dxa"/>
            <w:gridSpan w:val="2"/>
          </w:tcPr>
          <w:p w14:paraId="2D09B265" w14:textId="77777777" w:rsidR="00CA35A7" w:rsidRPr="00E60D38" w:rsidRDefault="00CA35A7" w:rsidP="00693374">
            <w:pPr>
              <w:rPr>
                <w:rFonts w:ascii="Times New Roman" w:hAnsi="Times New Roman" w:cs="Times New Roman"/>
                <w:b/>
                <w:sz w:val="22"/>
                <w:szCs w:val="22"/>
              </w:rPr>
            </w:pPr>
            <w:r w:rsidRPr="00E60D38">
              <w:rPr>
                <w:rFonts w:ascii="Times New Roman" w:hAnsi="Times New Roman" w:cs="Times New Roman"/>
                <w:b/>
                <w:sz w:val="22"/>
                <w:szCs w:val="22"/>
              </w:rPr>
              <w:t>Table B.1 Key Consortium Evaluation Outcomes</w:t>
            </w:r>
          </w:p>
        </w:tc>
      </w:tr>
      <w:tr w:rsidR="00CA35A7" w:rsidRPr="00E60D38" w14:paraId="3BECBDEB" w14:textId="77777777" w:rsidTr="00693374">
        <w:tc>
          <w:tcPr>
            <w:tcW w:w="6408" w:type="dxa"/>
          </w:tcPr>
          <w:p w14:paraId="6D0B5479" w14:textId="77777777" w:rsidR="00CA35A7" w:rsidRPr="00E60D38" w:rsidRDefault="00CA35A7" w:rsidP="00693374">
            <w:pPr>
              <w:rPr>
                <w:rFonts w:ascii="Times New Roman" w:hAnsi="Times New Roman" w:cs="Times New Roman"/>
                <w:b/>
                <w:sz w:val="22"/>
                <w:szCs w:val="22"/>
              </w:rPr>
            </w:pPr>
            <w:r w:rsidRPr="00E60D38">
              <w:rPr>
                <w:rFonts w:ascii="Times New Roman" w:hAnsi="Times New Roman" w:cs="Times New Roman"/>
                <w:b/>
                <w:sz w:val="22"/>
                <w:szCs w:val="22"/>
              </w:rPr>
              <w:t xml:space="preserve">Outcomes </w:t>
            </w:r>
          </w:p>
        </w:tc>
        <w:tc>
          <w:tcPr>
            <w:tcW w:w="4320" w:type="dxa"/>
          </w:tcPr>
          <w:p w14:paraId="66B4AA0E" w14:textId="77777777" w:rsidR="00CA35A7" w:rsidRPr="00E60D38" w:rsidRDefault="00CA35A7" w:rsidP="00693374">
            <w:pPr>
              <w:rPr>
                <w:rFonts w:ascii="Times New Roman" w:hAnsi="Times New Roman" w:cs="Times New Roman"/>
                <w:b/>
                <w:sz w:val="22"/>
                <w:szCs w:val="22"/>
              </w:rPr>
            </w:pPr>
            <w:r w:rsidRPr="00E60D38">
              <w:rPr>
                <w:rFonts w:ascii="Times New Roman" w:hAnsi="Times New Roman" w:cs="Times New Roman"/>
                <w:b/>
                <w:sz w:val="22"/>
                <w:szCs w:val="22"/>
              </w:rPr>
              <w:t>Data Source</w:t>
            </w:r>
          </w:p>
        </w:tc>
      </w:tr>
      <w:tr w:rsidR="00CA35A7" w:rsidRPr="00E60D38" w14:paraId="36428490" w14:textId="77777777" w:rsidTr="00693374">
        <w:tc>
          <w:tcPr>
            <w:tcW w:w="6408" w:type="dxa"/>
          </w:tcPr>
          <w:p w14:paraId="043EAA41" w14:textId="77777777" w:rsidR="00CA35A7" w:rsidRPr="00E60D38" w:rsidRDefault="00CA35A7" w:rsidP="00693374">
            <w:pPr>
              <w:rPr>
                <w:rFonts w:ascii="Times New Roman" w:hAnsi="Times New Roman" w:cs="Times New Roman"/>
                <w:b/>
                <w:sz w:val="22"/>
                <w:szCs w:val="22"/>
                <w:u w:val="single"/>
              </w:rPr>
            </w:pPr>
            <w:r w:rsidRPr="00E60D38">
              <w:rPr>
                <w:rFonts w:ascii="Times New Roman" w:hAnsi="Times New Roman" w:cs="Times New Roman"/>
                <w:b/>
                <w:sz w:val="22"/>
                <w:szCs w:val="22"/>
                <w:u w:val="single"/>
              </w:rPr>
              <w:t>BUILD Student outcomes</w:t>
            </w:r>
          </w:p>
        </w:tc>
        <w:tc>
          <w:tcPr>
            <w:tcW w:w="4320" w:type="dxa"/>
          </w:tcPr>
          <w:p w14:paraId="731636D5" w14:textId="77777777" w:rsidR="00CA35A7" w:rsidRPr="00E60D38" w:rsidRDefault="00CA35A7" w:rsidP="00693374">
            <w:pPr>
              <w:rPr>
                <w:rFonts w:ascii="Times New Roman" w:hAnsi="Times New Roman" w:cs="Times New Roman"/>
                <w:sz w:val="22"/>
                <w:szCs w:val="22"/>
              </w:rPr>
            </w:pPr>
          </w:p>
        </w:tc>
      </w:tr>
      <w:tr w:rsidR="00CA35A7" w:rsidRPr="00E60D38" w14:paraId="65CC55EC" w14:textId="77777777" w:rsidTr="00693374">
        <w:tc>
          <w:tcPr>
            <w:tcW w:w="6408" w:type="dxa"/>
          </w:tcPr>
          <w:p w14:paraId="30E45378"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1. Engagement in research </w:t>
            </w:r>
          </w:p>
        </w:tc>
        <w:tc>
          <w:tcPr>
            <w:tcW w:w="4320" w:type="dxa"/>
          </w:tcPr>
          <w:p w14:paraId="4262DD30" w14:textId="77777777" w:rsidR="00CA35A7" w:rsidRPr="00E60D38" w:rsidRDefault="00CA35A7" w:rsidP="00274526">
            <w:pPr>
              <w:rPr>
                <w:rFonts w:ascii="Times New Roman" w:hAnsi="Times New Roman" w:cs="Times New Roman"/>
                <w:sz w:val="22"/>
                <w:szCs w:val="22"/>
              </w:rPr>
            </w:pPr>
            <w:r>
              <w:rPr>
                <w:rFonts w:ascii="Times New Roman" w:hAnsi="Times New Roman" w:cs="Times New Roman"/>
                <w:sz w:val="22"/>
                <w:szCs w:val="22"/>
              </w:rPr>
              <w:t>HERI Freshman</w:t>
            </w:r>
            <w:r w:rsidR="00E57617">
              <w:rPr>
                <w:rFonts w:ascii="Times New Roman" w:hAnsi="Times New Roman" w:cs="Times New Roman"/>
                <w:sz w:val="22"/>
                <w:szCs w:val="22"/>
              </w:rPr>
              <w:t xml:space="preserve"> &amp; Transfer Student</w:t>
            </w:r>
            <w:r>
              <w:rPr>
                <w:rFonts w:ascii="Times New Roman" w:hAnsi="Times New Roman" w:cs="Times New Roman"/>
                <w:sz w:val="22"/>
                <w:szCs w:val="22"/>
              </w:rPr>
              <w:t xml:space="preserve"> Survey</w:t>
            </w:r>
            <w:r w:rsidR="00E57617">
              <w:rPr>
                <w:rFonts w:ascii="Times New Roman" w:hAnsi="Times New Roman" w:cs="Times New Roman"/>
                <w:sz w:val="22"/>
                <w:szCs w:val="22"/>
              </w:rPr>
              <w:t>s</w:t>
            </w:r>
            <w:r>
              <w:rPr>
                <w:rFonts w:ascii="Times New Roman" w:hAnsi="Times New Roman" w:cs="Times New Roman"/>
                <w:sz w:val="22"/>
                <w:szCs w:val="22"/>
              </w:rPr>
              <w:t xml:space="preserve">; HERI Your First College Year Survey; HERI College Senior Survey; BUILD Student </w:t>
            </w:r>
            <w:r w:rsidRPr="00E60D38">
              <w:rPr>
                <w:rFonts w:ascii="Times New Roman" w:hAnsi="Times New Roman" w:cs="Times New Roman"/>
                <w:sz w:val="22"/>
                <w:szCs w:val="22"/>
              </w:rPr>
              <w:t xml:space="preserve">Annual </w:t>
            </w:r>
            <w:r w:rsidR="00274526">
              <w:rPr>
                <w:rFonts w:ascii="Times New Roman" w:hAnsi="Times New Roman" w:cs="Times New Roman"/>
                <w:sz w:val="22"/>
                <w:szCs w:val="22"/>
              </w:rPr>
              <w:t>Follow-up</w:t>
            </w:r>
            <w:r w:rsidR="002118AD">
              <w:rPr>
                <w:rFonts w:ascii="Times New Roman" w:hAnsi="Times New Roman" w:cs="Times New Roman"/>
                <w:sz w:val="22"/>
                <w:szCs w:val="22"/>
              </w:rPr>
              <w:t xml:space="preserve"> </w:t>
            </w:r>
            <w:r>
              <w:rPr>
                <w:rFonts w:ascii="Times New Roman" w:hAnsi="Times New Roman" w:cs="Times New Roman"/>
                <w:sz w:val="22"/>
                <w:szCs w:val="22"/>
              </w:rPr>
              <w:t>S</w:t>
            </w:r>
            <w:r w:rsidRPr="00E60D38">
              <w:rPr>
                <w:rFonts w:ascii="Times New Roman" w:hAnsi="Times New Roman" w:cs="Times New Roman"/>
                <w:sz w:val="22"/>
                <w:szCs w:val="22"/>
              </w:rPr>
              <w:t>urvey</w:t>
            </w:r>
          </w:p>
        </w:tc>
      </w:tr>
      <w:tr w:rsidR="00CA35A7" w:rsidRPr="00E60D38" w14:paraId="08163D87" w14:textId="77777777" w:rsidTr="00693374">
        <w:tc>
          <w:tcPr>
            <w:tcW w:w="6408" w:type="dxa"/>
          </w:tcPr>
          <w:p w14:paraId="6B09369E"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lastRenderedPageBreak/>
              <w:t xml:space="preserve"> 2. Satisfaction with faculty mentorship</w:t>
            </w:r>
          </w:p>
        </w:tc>
        <w:tc>
          <w:tcPr>
            <w:tcW w:w="4320" w:type="dxa"/>
          </w:tcPr>
          <w:p w14:paraId="5B813D37" w14:textId="77777777" w:rsidR="00CA35A7" w:rsidRPr="00E60D38" w:rsidRDefault="00CA35A7" w:rsidP="00274526">
            <w:pPr>
              <w:rPr>
                <w:rFonts w:ascii="Times New Roman" w:hAnsi="Times New Roman" w:cs="Times New Roman"/>
                <w:sz w:val="22"/>
                <w:szCs w:val="22"/>
              </w:rPr>
            </w:pPr>
            <w:r>
              <w:rPr>
                <w:rFonts w:ascii="Times New Roman" w:hAnsi="Times New Roman" w:cs="Times New Roman"/>
                <w:sz w:val="22"/>
                <w:szCs w:val="22"/>
              </w:rPr>
              <w:t>BUILD Student Annual</w:t>
            </w:r>
            <w:r w:rsidRPr="00E60D38">
              <w:rPr>
                <w:rFonts w:ascii="Times New Roman" w:hAnsi="Times New Roman" w:cs="Times New Roman"/>
                <w:sz w:val="22"/>
                <w:szCs w:val="22"/>
              </w:rPr>
              <w:t xml:space="preserve"> </w:t>
            </w:r>
            <w:r w:rsidR="00274526">
              <w:rPr>
                <w:rFonts w:ascii="Times New Roman" w:hAnsi="Times New Roman" w:cs="Times New Roman"/>
                <w:sz w:val="22"/>
                <w:szCs w:val="22"/>
              </w:rPr>
              <w:t xml:space="preserve">Follow-up </w:t>
            </w:r>
            <w:r>
              <w:rPr>
                <w:rFonts w:ascii="Times New Roman" w:hAnsi="Times New Roman" w:cs="Times New Roman"/>
                <w:sz w:val="22"/>
                <w:szCs w:val="22"/>
              </w:rPr>
              <w:t>S</w:t>
            </w:r>
            <w:r w:rsidRPr="00E60D38">
              <w:rPr>
                <w:rFonts w:ascii="Times New Roman" w:hAnsi="Times New Roman" w:cs="Times New Roman"/>
                <w:sz w:val="22"/>
                <w:szCs w:val="22"/>
              </w:rPr>
              <w:t>urvey</w:t>
            </w:r>
            <w:r>
              <w:rPr>
                <w:rFonts w:ascii="Times New Roman" w:hAnsi="Times New Roman" w:cs="Times New Roman"/>
                <w:sz w:val="22"/>
                <w:szCs w:val="22"/>
              </w:rPr>
              <w:t xml:space="preserve"> HERI Freshman </w:t>
            </w:r>
            <w:r w:rsidR="00E57617">
              <w:rPr>
                <w:rFonts w:ascii="Times New Roman" w:hAnsi="Times New Roman" w:cs="Times New Roman"/>
                <w:sz w:val="22"/>
                <w:szCs w:val="22"/>
              </w:rPr>
              <w:t xml:space="preserve">&amp; Transfer Student </w:t>
            </w:r>
            <w:r>
              <w:rPr>
                <w:rFonts w:ascii="Times New Roman" w:hAnsi="Times New Roman" w:cs="Times New Roman"/>
                <w:sz w:val="22"/>
                <w:szCs w:val="22"/>
              </w:rPr>
              <w:t>Survey</w:t>
            </w:r>
            <w:r w:rsidR="00E57617">
              <w:rPr>
                <w:rFonts w:ascii="Times New Roman" w:hAnsi="Times New Roman" w:cs="Times New Roman"/>
                <w:sz w:val="22"/>
                <w:szCs w:val="22"/>
              </w:rPr>
              <w:t>s</w:t>
            </w:r>
            <w:r>
              <w:rPr>
                <w:rFonts w:ascii="Times New Roman" w:hAnsi="Times New Roman" w:cs="Times New Roman"/>
                <w:sz w:val="22"/>
                <w:szCs w:val="22"/>
              </w:rPr>
              <w:t>; HERI Your First College Year; HERI College Senior Survey</w:t>
            </w:r>
          </w:p>
        </w:tc>
      </w:tr>
      <w:tr w:rsidR="00CA35A7" w:rsidRPr="00E60D38" w14:paraId="1538C6C8" w14:textId="77777777" w:rsidTr="00693374">
        <w:tc>
          <w:tcPr>
            <w:tcW w:w="6408" w:type="dxa"/>
          </w:tcPr>
          <w:p w14:paraId="58430FA6"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3. Enhanced science identity and self-efficacy,</w:t>
            </w:r>
          </w:p>
        </w:tc>
        <w:tc>
          <w:tcPr>
            <w:tcW w:w="4320" w:type="dxa"/>
          </w:tcPr>
          <w:p w14:paraId="1FBC4892" w14:textId="77777777" w:rsidR="00CA35A7" w:rsidRPr="00E60D38" w:rsidRDefault="00CA35A7" w:rsidP="00274526">
            <w:pPr>
              <w:rPr>
                <w:rFonts w:ascii="Times New Roman" w:hAnsi="Times New Roman" w:cs="Times New Roman"/>
                <w:sz w:val="22"/>
                <w:szCs w:val="22"/>
              </w:rPr>
            </w:pPr>
            <w:r>
              <w:rPr>
                <w:rFonts w:ascii="Times New Roman" w:hAnsi="Times New Roman" w:cs="Times New Roman"/>
                <w:sz w:val="22"/>
                <w:szCs w:val="22"/>
              </w:rPr>
              <w:t xml:space="preserve">HERI Freshman </w:t>
            </w:r>
            <w:r w:rsidR="00E57617">
              <w:rPr>
                <w:rFonts w:ascii="Times New Roman" w:hAnsi="Times New Roman" w:cs="Times New Roman"/>
                <w:sz w:val="22"/>
                <w:szCs w:val="22"/>
              </w:rPr>
              <w:t>&amp; Transfer Student Surveys</w:t>
            </w:r>
            <w:r>
              <w:rPr>
                <w:rFonts w:ascii="Times New Roman" w:hAnsi="Times New Roman" w:cs="Times New Roman"/>
                <w:sz w:val="22"/>
                <w:szCs w:val="22"/>
              </w:rPr>
              <w:t xml:space="preserve">; HERI  Your First College Year Survey; HERI College Senior Survey;  BUILD Student Annual </w:t>
            </w:r>
            <w:r w:rsidR="00274526">
              <w:rPr>
                <w:rFonts w:ascii="Times New Roman" w:hAnsi="Times New Roman" w:cs="Times New Roman"/>
                <w:sz w:val="22"/>
                <w:szCs w:val="22"/>
              </w:rPr>
              <w:t>Follow-up</w:t>
            </w:r>
            <w:r>
              <w:rPr>
                <w:rFonts w:ascii="Times New Roman" w:hAnsi="Times New Roman" w:cs="Times New Roman"/>
                <w:sz w:val="22"/>
                <w:szCs w:val="22"/>
              </w:rPr>
              <w:t xml:space="preserve"> Survey; </w:t>
            </w:r>
          </w:p>
        </w:tc>
      </w:tr>
      <w:tr w:rsidR="00CA35A7" w:rsidRPr="00E60D38" w14:paraId="6832F5F5" w14:textId="77777777" w:rsidTr="00693374">
        <w:tc>
          <w:tcPr>
            <w:tcW w:w="6408" w:type="dxa"/>
          </w:tcPr>
          <w:p w14:paraId="3E2EB3E8"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4. Participation in academic and professional student organizations</w:t>
            </w:r>
          </w:p>
        </w:tc>
        <w:tc>
          <w:tcPr>
            <w:tcW w:w="4320" w:type="dxa"/>
          </w:tcPr>
          <w:p w14:paraId="20B8AF8A"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 xml:space="preserve">BUILD Student follow-up survey HERI Your First College Year Survey, HERI College Senior Survey); </w:t>
            </w:r>
          </w:p>
        </w:tc>
      </w:tr>
      <w:tr w:rsidR="00CA35A7" w:rsidRPr="00E60D38" w14:paraId="5637864C" w14:textId="77777777" w:rsidTr="00693374">
        <w:tc>
          <w:tcPr>
            <w:tcW w:w="6408" w:type="dxa"/>
          </w:tcPr>
          <w:p w14:paraId="06129405"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5. Pursuit, persistence/retention, and success in biomedical science discipline</w:t>
            </w:r>
          </w:p>
        </w:tc>
        <w:tc>
          <w:tcPr>
            <w:tcW w:w="4320" w:type="dxa"/>
          </w:tcPr>
          <w:p w14:paraId="11C53965" w14:textId="77777777" w:rsidR="00CA35A7" w:rsidRPr="00E60D38" w:rsidRDefault="00CA35A7" w:rsidP="00E57617">
            <w:pPr>
              <w:rPr>
                <w:rFonts w:ascii="Times New Roman" w:hAnsi="Times New Roman" w:cs="Times New Roman"/>
                <w:sz w:val="22"/>
                <w:szCs w:val="22"/>
              </w:rPr>
            </w:pPr>
            <w:r>
              <w:rPr>
                <w:rFonts w:ascii="Times New Roman" w:hAnsi="Times New Roman" w:cs="Times New Roman"/>
                <w:sz w:val="22"/>
                <w:szCs w:val="22"/>
              </w:rPr>
              <w:t xml:space="preserve"> HERI Freshman </w:t>
            </w:r>
            <w:r w:rsidR="00E57617">
              <w:rPr>
                <w:rFonts w:ascii="Times New Roman" w:hAnsi="Times New Roman" w:cs="Times New Roman"/>
                <w:sz w:val="22"/>
                <w:szCs w:val="22"/>
              </w:rPr>
              <w:t>&amp; Transfer Stu</w:t>
            </w:r>
            <w:r w:rsidR="00693374">
              <w:rPr>
                <w:rFonts w:ascii="Times New Roman" w:hAnsi="Times New Roman" w:cs="Times New Roman"/>
                <w:sz w:val="22"/>
                <w:szCs w:val="22"/>
              </w:rPr>
              <w:t>dent Surveys</w:t>
            </w:r>
            <w:r>
              <w:rPr>
                <w:rFonts w:ascii="Times New Roman" w:hAnsi="Times New Roman" w:cs="Times New Roman"/>
                <w:sz w:val="22"/>
                <w:szCs w:val="22"/>
              </w:rPr>
              <w:t xml:space="preserve">; HERI College Senior Survey, BUILD Student Annual </w:t>
            </w:r>
            <w:r w:rsidR="00274526">
              <w:rPr>
                <w:rFonts w:ascii="Times New Roman" w:hAnsi="Times New Roman" w:cs="Times New Roman"/>
                <w:sz w:val="22"/>
                <w:szCs w:val="22"/>
              </w:rPr>
              <w:t>Follow-up</w:t>
            </w:r>
            <w:r>
              <w:rPr>
                <w:rFonts w:ascii="Times New Roman" w:hAnsi="Times New Roman" w:cs="Times New Roman"/>
                <w:sz w:val="22"/>
                <w:szCs w:val="22"/>
              </w:rPr>
              <w:t xml:space="preserve"> Survey; </w:t>
            </w:r>
          </w:p>
        </w:tc>
      </w:tr>
      <w:tr w:rsidR="00CA35A7" w:rsidRPr="00E60D38" w14:paraId="4C0D2E42" w14:textId="77777777" w:rsidTr="00693374">
        <w:tc>
          <w:tcPr>
            <w:tcW w:w="6408" w:type="dxa"/>
          </w:tcPr>
          <w:p w14:paraId="2B27EAB3"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6. Evidence of scholarly productivity (e.g. science conference presentation, authorship on papers)</w:t>
            </w:r>
          </w:p>
        </w:tc>
        <w:tc>
          <w:tcPr>
            <w:tcW w:w="4320" w:type="dxa"/>
          </w:tcPr>
          <w:p w14:paraId="3563ADBE"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 xml:space="preserve">BUILD Student Annual </w:t>
            </w:r>
            <w:r w:rsidR="00274526">
              <w:rPr>
                <w:rFonts w:ascii="Times New Roman" w:hAnsi="Times New Roman" w:cs="Times New Roman"/>
                <w:sz w:val="22"/>
                <w:szCs w:val="22"/>
              </w:rPr>
              <w:t xml:space="preserve">Follow-up </w:t>
            </w:r>
            <w:r>
              <w:rPr>
                <w:rFonts w:ascii="Times New Roman" w:hAnsi="Times New Roman" w:cs="Times New Roman"/>
                <w:sz w:val="22"/>
                <w:szCs w:val="22"/>
              </w:rPr>
              <w:t xml:space="preserve">Survey; </w:t>
            </w:r>
          </w:p>
        </w:tc>
      </w:tr>
      <w:tr w:rsidR="00CA35A7" w:rsidRPr="00E60D38" w14:paraId="0964C569" w14:textId="77777777" w:rsidTr="00693374">
        <w:tc>
          <w:tcPr>
            <w:tcW w:w="6408" w:type="dxa"/>
          </w:tcPr>
          <w:p w14:paraId="30B48AD2"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7. Intent to pursue biomedical research career</w:t>
            </w:r>
          </w:p>
        </w:tc>
        <w:tc>
          <w:tcPr>
            <w:tcW w:w="4320" w:type="dxa"/>
          </w:tcPr>
          <w:p w14:paraId="193E62E6" w14:textId="77777777" w:rsidR="00CA35A7" w:rsidRPr="00E60D38" w:rsidRDefault="00CA35A7" w:rsidP="00E57617">
            <w:pPr>
              <w:rPr>
                <w:rFonts w:ascii="Times New Roman" w:hAnsi="Times New Roman" w:cs="Times New Roman"/>
                <w:sz w:val="22"/>
                <w:szCs w:val="22"/>
              </w:rPr>
            </w:pPr>
            <w:r>
              <w:rPr>
                <w:rFonts w:ascii="Times New Roman" w:hAnsi="Times New Roman" w:cs="Times New Roman"/>
                <w:sz w:val="22"/>
                <w:szCs w:val="22"/>
              </w:rPr>
              <w:t xml:space="preserve">HERI Freshman </w:t>
            </w:r>
            <w:r w:rsidR="00693374">
              <w:rPr>
                <w:rFonts w:ascii="Times New Roman" w:hAnsi="Times New Roman" w:cs="Times New Roman"/>
                <w:sz w:val="22"/>
                <w:szCs w:val="22"/>
              </w:rPr>
              <w:t>&amp; Transfer Student Surveys</w:t>
            </w:r>
            <w:r>
              <w:rPr>
                <w:rFonts w:ascii="Times New Roman" w:hAnsi="Times New Roman" w:cs="Times New Roman"/>
                <w:sz w:val="22"/>
                <w:szCs w:val="22"/>
              </w:rPr>
              <w:t xml:space="preserve">; BUILD Student Annual </w:t>
            </w:r>
            <w:r w:rsidR="00274526">
              <w:rPr>
                <w:rFonts w:ascii="Times New Roman" w:hAnsi="Times New Roman" w:cs="Times New Roman"/>
                <w:sz w:val="22"/>
                <w:szCs w:val="22"/>
              </w:rPr>
              <w:t xml:space="preserve">Follow-up </w:t>
            </w:r>
            <w:r>
              <w:rPr>
                <w:rFonts w:ascii="Times New Roman" w:hAnsi="Times New Roman" w:cs="Times New Roman"/>
                <w:sz w:val="22"/>
                <w:szCs w:val="22"/>
              </w:rPr>
              <w:t>Survey</w:t>
            </w:r>
            <w:r w:rsidRPr="00E60D38">
              <w:rPr>
                <w:rFonts w:ascii="Times New Roman" w:hAnsi="Times New Roman" w:cs="Times New Roman"/>
                <w:sz w:val="22"/>
                <w:szCs w:val="22"/>
              </w:rPr>
              <w:t xml:space="preserve"> </w:t>
            </w:r>
            <w:r>
              <w:rPr>
                <w:rFonts w:ascii="Times New Roman" w:hAnsi="Times New Roman" w:cs="Times New Roman"/>
                <w:sz w:val="22"/>
                <w:szCs w:val="22"/>
              </w:rPr>
              <w:t xml:space="preserve"> </w:t>
            </w:r>
          </w:p>
        </w:tc>
      </w:tr>
      <w:tr w:rsidR="00CA35A7" w:rsidRPr="00E60D38" w14:paraId="1528E5EC" w14:textId="77777777" w:rsidTr="00693374">
        <w:tc>
          <w:tcPr>
            <w:tcW w:w="6408" w:type="dxa"/>
          </w:tcPr>
          <w:p w14:paraId="79F5F4EE"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8. Completion of undergraduate degree in biomedical science discipline</w:t>
            </w:r>
          </w:p>
        </w:tc>
        <w:tc>
          <w:tcPr>
            <w:tcW w:w="4320" w:type="dxa"/>
          </w:tcPr>
          <w:p w14:paraId="6BC2399B"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BUILD Student Annual</w:t>
            </w:r>
            <w:r w:rsidR="00274526">
              <w:rPr>
                <w:rFonts w:ascii="Times New Roman" w:hAnsi="Times New Roman" w:cs="Times New Roman"/>
                <w:sz w:val="22"/>
                <w:szCs w:val="22"/>
              </w:rPr>
              <w:t xml:space="preserve"> Follow-up</w:t>
            </w:r>
            <w:r>
              <w:rPr>
                <w:rFonts w:ascii="Times New Roman" w:hAnsi="Times New Roman" w:cs="Times New Roman"/>
                <w:sz w:val="22"/>
                <w:szCs w:val="22"/>
              </w:rPr>
              <w:t xml:space="preserve"> Survey; HERI College Senior Survey; </w:t>
            </w:r>
          </w:p>
        </w:tc>
      </w:tr>
      <w:tr w:rsidR="00CA35A7" w:rsidRPr="00E60D38" w14:paraId="102F9119" w14:textId="77777777" w:rsidTr="00693374">
        <w:tc>
          <w:tcPr>
            <w:tcW w:w="6408" w:type="dxa"/>
          </w:tcPr>
          <w:p w14:paraId="5D0956E4"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9. Application to attend graduate program in biomedical science discipline</w:t>
            </w:r>
          </w:p>
        </w:tc>
        <w:tc>
          <w:tcPr>
            <w:tcW w:w="4320" w:type="dxa"/>
          </w:tcPr>
          <w:p w14:paraId="4A573F98"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 xml:space="preserve">HERI College Senior Survey, BUILD Student Annual </w:t>
            </w:r>
            <w:r w:rsidR="00274526">
              <w:rPr>
                <w:rFonts w:ascii="Times New Roman" w:hAnsi="Times New Roman" w:cs="Times New Roman"/>
                <w:sz w:val="22"/>
                <w:szCs w:val="22"/>
              </w:rPr>
              <w:t xml:space="preserve">Follow-up </w:t>
            </w:r>
            <w:r>
              <w:rPr>
                <w:rFonts w:ascii="Times New Roman" w:hAnsi="Times New Roman" w:cs="Times New Roman"/>
                <w:sz w:val="22"/>
                <w:szCs w:val="22"/>
              </w:rPr>
              <w:t xml:space="preserve">Survey; </w:t>
            </w:r>
          </w:p>
        </w:tc>
      </w:tr>
      <w:tr w:rsidR="00CA35A7" w:rsidRPr="00E60D38" w14:paraId="10820B2D" w14:textId="77777777" w:rsidTr="00693374">
        <w:tc>
          <w:tcPr>
            <w:tcW w:w="6408" w:type="dxa"/>
          </w:tcPr>
          <w:p w14:paraId="0BDE2E9F"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10. Entrance to graduate program in biomedical science discipline</w:t>
            </w:r>
          </w:p>
        </w:tc>
        <w:tc>
          <w:tcPr>
            <w:tcW w:w="4320" w:type="dxa"/>
          </w:tcPr>
          <w:p w14:paraId="65AF48A0"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 xml:space="preserve">BUILD Student Annual Tracking Survey; </w:t>
            </w:r>
          </w:p>
        </w:tc>
      </w:tr>
      <w:tr w:rsidR="00CA35A7" w:rsidRPr="00E60D38" w14:paraId="13A8B897" w14:textId="77777777" w:rsidTr="00693374">
        <w:tc>
          <w:tcPr>
            <w:tcW w:w="6408" w:type="dxa"/>
          </w:tcPr>
          <w:p w14:paraId="67F38A26"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11. Perceptions of BUILD program benefits and challenges</w:t>
            </w:r>
          </w:p>
        </w:tc>
        <w:tc>
          <w:tcPr>
            <w:tcW w:w="4320" w:type="dxa"/>
          </w:tcPr>
          <w:p w14:paraId="0507B49E"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 xml:space="preserve">BUILD </w:t>
            </w:r>
            <w:r w:rsidRPr="00E60D38">
              <w:rPr>
                <w:rFonts w:ascii="Times New Roman" w:hAnsi="Times New Roman" w:cs="Times New Roman"/>
                <w:sz w:val="22"/>
                <w:szCs w:val="22"/>
              </w:rPr>
              <w:t xml:space="preserve">Site Visits; </w:t>
            </w:r>
            <w:r>
              <w:rPr>
                <w:rFonts w:ascii="Times New Roman" w:hAnsi="Times New Roman" w:cs="Times New Roman"/>
                <w:sz w:val="22"/>
                <w:szCs w:val="22"/>
              </w:rPr>
              <w:t xml:space="preserve">BUILD </w:t>
            </w:r>
            <w:r w:rsidRPr="00E60D38">
              <w:rPr>
                <w:rFonts w:ascii="Times New Roman" w:hAnsi="Times New Roman" w:cs="Times New Roman"/>
                <w:sz w:val="22"/>
                <w:szCs w:val="22"/>
              </w:rPr>
              <w:t>Case Studies</w:t>
            </w:r>
          </w:p>
        </w:tc>
      </w:tr>
      <w:tr w:rsidR="00CA35A7" w:rsidRPr="00E60D38" w14:paraId="3A04B2B9" w14:textId="77777777" w:rsidTr="00693374">
        <w:tc>
          <w:tcPr>
            <w:tcW w:w="6408" w:type="dxa"/>
          </w:tcPr>
          <w:p w14:paraId="4ABE2C42" w14:textId="77777777" w:rsidR="00CA35A7" w:rsidRPr="00E60D38" w:rsidRDefault="00CA35A7" w:rsidP="00693374">
            <w:pPr>
              <w:rPr>
                <w:sz w:val="22"/>
                <w:szCs w:val="22"/>
              </w:rPr>
            </w:pPr>
          </w:p>
        </w:tc>
        <w:tc>
          <w:tcPr>
            <w:tcW w:w="4320" w:type="dxa"/>
          </w:tcPr>
          <w:p w14:paraId="7CB4AAAD" w14:textId="77777777" w:rsidR="00CA35A7" w:rsidRPr="00E60D38" w:rsidRDefault="00CA35A7" w:rsidP="00693374">
            <w:pPr>
              <w:rPr>
                <w:sz w:val="22"/>
                <w:szCs w:val="22"/>
              </w:rPr>
            </w:pPr>
          </w:p>
        </w:tc>
      </w:tr>
      <w:tr w:rsidR="00CA35A7" w:rsidRPr="00E60D38" w14:paraId="265928CB" w14:textId="77777777" w:rsidTr="00693374">
        <w:tc>
          <w:tcPr>
            <w:tcW w:w="6408" w:type="dxa"/>
          </w:tcPr>
          <w:p w14:paraId="6149310E" w14:textId="77777777" w:rsidR="00CA35A7" w:rsidRPr="00E60D38" w:rsidRDefault="00CA35A7" w:rsidP="00693374">
            <w:pPr>
              <w:rPr>
                <w:rFonts w:ascii="Times New Roman" w:hAnsi="Times New Roman" w:cs="Times New Roman"/>
                <w:b/>
                <w:sz w:val="22"/>
                <w:szCs w:val="22"/>
                <w:u w:val="single"/>
              </w:rPr>
            </w:pPr>
            <w:r w:rsidRPr="00E60D38">
              <w:rPr>
                <w:rFonts w:ascii="Times New Roman" w:hAnsi="Times New Roman" w:cs="Times New Roman"/>
                <w:b/>
                <w:sz w:val="22"/>
                <w:szCs w:val="22"/>
                <w:u w:val="single"/>
              </w:rPr>
              <w:t>BUILD Faculty Outcomes</w:t>
            </w:r>
          </w:p>
        </w:tc>
        <w:tc>
          <w:tcPr>
            <w:tcW w:w="4320" w:type="dxa"/>
          </w:tcPr>
          <w:p w14:paraId="4FEBDBB9" w14:textId="77777777" w:rsidR="00CA35A7" w:rsidRPr="00E60D38" w:rsidRDefault="00CA35A7" w:rsidP="00693374">
            <w:pPr>
              <w:rPr>
                <w:rFonts w:ascii="Times New Roman" w:hAnsi="Times New Roman" w:cs="Times New Roman"/>
                <w:sz w:val="22"/>
                <w:szCs w:val="22"/>
              </w:rPr>
            </w:pPr>
          </w:p>
        </w:tc>
      </w:tr>
      <w:tr w:rsidR="00CA35A7" w:rsidRPr="00E60D38" w14:paraId="013C7816" w14:textId="77777777" w:rsidTr="00693374">
        <w:tc>
          <w:tcPr>
            <w:tcW w:w="6408" w:type="dxa"/>
          </w:tcPr>
          <w:p w14:paraId="457EAC64"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1. Change/increase in self-efficacy as instructor, mentor and/or researcher</w:t>
            </w:r>
          </w:p>
        </w:tc>
        <w:tc>
          <w:tcPr>
            <w:tcW w:w="4320" w:type="dxa"/>
          </w:tcPr>
          <w:p w14:paraId="27A85E75"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BUILD Faculty Annua</w:t>
            </w:r>
            <w:r w:rsidR="00693374">
              <w:rPr>
                <w:rFonts w:ascii="Times New Roman" w:hAnsi="Times New Roman" w:cs="Times New Roman"/>
                <w:sz w:val="22"/>
                <w:szCs w:val="22"/>
              </w:rPr>
              <w:t xml:space="preserve">l Follow-up </w:t>
            </w:r>
            <w:r>
              <w:rPr>
                <w:rFonts w:ascii="Times New Roman" w:hAnsi="Times New Roman" w:cs="Times New Roman"/>
                <w:sz w:val="22"/>
                <w:szCs w:val="22"/>
              </w:rPr>
              <w:t>Survey</w:t>
            </w:r>
          </w:p>
        </w:tc>
      </w:tr>
      <w:tr w:rsidR="00CA35A7" w:rsidRPr="00E60D38" w14:paraId="5BB8B4D2" w14:textId="77777777" w:rsidTr="00693374">
        <w:tc>
          <w:tcPr>
            <w:tcW w:w="6408" w:type="dxa"/>
          </w:tcPr>
          <w:p w14:paraId="07D7A5B5"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2. Increase in participation in professional development activities for faculty in BUILD programs (e.g. training in NIH grant applications, technical training for conducting research, workshops on cultural assets/ stereotype threat, etc.)</w:t>
            </w:r>
          </w:p>
        </w:tc>
        <w:tc>
          <w:tcPr>
            <w:tcW w:w="4320" w:type="dxa"/>
          </w:tcPr>
          <w:p w14:paraId="76FCCFB1"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 xml:space="preserve">BUILD Faculty Annual </w:t>
            </w:r>
            <w:r w:rsidR="00693374">
              <w:rPr>
                <w:rFonts w:ascii="Times New Roman" w:hAnsi="Times New Roman" w:cs="Times New Roman"/>
                <w:sz w:val="22"/>
                <w:szCs w:val="22"/>
              </w:rPr>
              <w:t>Follow-up</w:t>
            </w:r>
            <w:r>
              <w:rPr>
                <w:rFonts w:ascii="Times New Roman" w:hAnsi="Times New Roman" w:cs="Times New Roman"/>
                <w:sz w:val="22"/>
                <w:szCs w:val="22"/>
              </w:rPr>
              <w:t xml:space="preserve"> Survey; HERI Faculty Survey</w:t>
            </w:r>
          </w:p>
        </w:tc>
      </w:tr>
      <w:tr w:rsidR="00CA35A7" w:rsidRPr="00E60D38" w14:paraId="7A50AD48" w14:textId="77777777" w:rsidTr="00693374">
        <w:tc>
          <w:tcPr>
            <w:tcW w:w="6408" w:type="dxa"/>
          </w:tcPr>
          <w:p w14:paraId="57FDB3BB"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3. Increase participation in BUILD mentorship programs</w:t>
            </w:r>
          </w:p>
        </w:tc>
        <w:tc>
          <w:tcPr>
            <w:tcW w:w="4320" w:type="dxa"/>
          </w:tcPr>
          <w:p w14:paraId="3AE4E5CD"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BUILD Faculty Annual Follow-up Survey</w:t>
            </w:r>
          </w:p>
        </w:tc>
      </w:tr>
      <w:tr w:rsidR="00CA35A7" w:rsidRPr="00E60D38" w14:paraId="43A3708D" w14:textId="77777777" w:rsidTr="00693374">
        <w:tc>
          <w:tcPr>
            <w:tcW w:w="6408" w:type="dxa"/>
          </w:tcPr>
          <w:p w14:paraId="04148BC3"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4. Increased research productivity in grant submissions and awards </w:t>
            </w:r>
          </w:p>
        </w:tc>
        <w:tc>
          <w:tcPr>
            <w:tcW w:w="4320" w:type="dxa"/>
          </w:tcPr>
          <w:p w14:paraId="23425AD5"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BUILD Faculty Annual Follow-up Survey</w:t>
            </w:r>
          </w:p>
        </w:tc>
      </w:tr>
      <w:tr w:rsidR="00CA35A7" w:rsidRPr="00E60D38" w14:paraId="1B226DA6" w14:textId="77777777" w:rsidTr="00693374">
        <w:tc>
          <w:tcPr>
            <w:tcW w:w="6408" w:type="dxa"/>
          </w:tcPr>
          <w:p w14:paraId="70219C86"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5. Increase in number of trainees mentored in BUILD programs</w:t>
            </w:r>
          </w:p>
        </w:tc>
        <w:tc>
          <w:tcPr>
            <w:tcW w:w="4320" w:type="dxa"/>
          </w:tcPr>
          <w:p w14:paraId="547EAF93"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BUILD Faculty Annual Follow-up Survey</w:t>
            </w:r>
          </w:p>
        </w:tc>
      </w:tr>
      <w:tr w:rsidR="00CA35A7" w:rsidRPr="00E60D38" w14:paraId="5D885EF7" w14:textId="77777777" w:rsidTr="00693374">
        <w:tc>
          <w:tcPr>
            <w:tcW w:w="6408" w:type="dxa"/>
          </w:tcPr>
          <w:p w14:paraId="12D54B94"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6. Increase in the quality of mentoring</w:t>
            </w:r>
          </w:p>
        </w:tc>
        <w:tc>
          <w:tcPr>
            <w:tcW w:w="4320" w:type="dxa"/>
          </w:tcPr>
          <w:p w14:paraId="1BC1312D" w14:textId="77777777" w:rsidR="00CA35A7" w:rsidRPr="00E60D38" w:rsidRDefault="00693374" w:rsidP="00693374">
            <w:pPr>
              <w:rPr>
                <w:rFonts w:ascii="Times New Roman" w:hAnsi="Times New Roman" w:cs="Times New Roman"/>
                <w:sz w:val="22"/>
                <w:szCs w:val="22"/>
              </w:rPr>
            </w:pPr>
            <w:r>
              <w:rPr>
                <w:rFonts w:ascii="Times New Roman" w:hAnsi="Times New Roman" w:cs="Times New Roman"/>
                <w:sz w:val="22"/>
                <w:szCs w:val="22"/>
              </w:rPr>
              <w:t xml:space="preserve">BUILD Faculty Annual </w:t>
            </w:r>
            <w:r w:rsidR="00CA35A7">
              <w:rPr>
                <w:rFonts w:ascii="Times New Roman" w:hAnsi="Times New Roman" w:cs="Times New Roman"/>
                <w:sz w:val="22"/>
                <w:szCs w:val="22"/>
              </w:rPr>
              <w:t>Follow-up Survey</w:t>
            </w:r>
            <w:r w:rsidR="00E57617">
              <w:rPr>
                <w:rFonts w:ascii="Times New Roman" w:hAnsi="Times New Roman" w:cs="Times New Roman"/>
                <w:sz w:val="22"/>
                <w:szCs w:val="22"/>
              </w:rPr>
              <w:t>; Mentee “mentor assessment” survey</w:t>
            </w:r>
          </w:p>
        </w:tc>
      </w:tr>
      <w:tr w:rsidR="00CA35A7" w:rsidRPr="00E60D38" w14:paraId="4DB6B4B5" w14:textId="77777777" w:rsidTr="00693374">
        <w:tc>
          <w:tcPr>
            <w:tcW w:w="6408" w:type="dxa"/>
          </w:tcPr>
          <w:p w14:paraId="53B01ED8"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7. Perceptions of BUILD program and faculty development activities</w:t>
            </w:r>
          </w:p>
        </w:tc>
        <w:tc>
          <w:tcPr>
            <w:tcW w:w="4320" w:type="dxa"/>
          </w:tcPr>
          <w:p w14:paraId="269C1AA3" w14:textId="77777777" w:rsidR="00CA35A7" w:rsidRPr="00E60D38" w:rsidRDefault="00693374" w:rsidP="00693374">
            <w:pPr>
              <w:rPr>
                <w:rFonts w:ascii="Times New Roman" w:hAnsi="Times New Roman" w:cs="Times New Roman"/>
                <w:sz w:val="22"/>
                <w:szCs w:val="22"/>
              </w:rPr>
            </w:pPr>
            <w:r>
              <w:rPr>
                <w:rFonts w:ascii="Times New Roman" w:hAnsi="Times New Roman" w:cs="Times New Roman"/>
                <w:sz w:val="22"/>
                <w:szCs w:val="22"/>
              </w:rPr>
              <w:t xml:space="preserve">BUILD Faculty Annual </w:t>
            </w:r>
            <w:r w:rsidR="00CA35A7">
              <w:rPr>
                <w:rFonts w:ascii="Times New Roman" w:hAnsi="Times New Roman" w:cs="Times New Roman"/>
                <w:sz w:val="22"/>
                <w:szCs w:val="22"/>
              </w:rPr>
              <w:t xml:space="preserve">Follow-up Survey BUILD </w:t>
            </w:r>
            <w:r w:rsidR="00CA35A7" w:rsidRPr="00E60D38">
              <w:rPr>
                <w:rFonts w:ascii="Times New Roman" w:hAnsi="Times New Roman" w:cs="Times New Roman"/>
                <w:sz w:val="22"/>
                <w:szCs w:val="22"/>
              </w:rPr>
              <w:t>Case studies</w:t>
            </w:r>
          </w:p>
        </w:tc>
      </w:tr>
      <w:tr w:rsidR="00CA35A7" w:rsidRPr="00E60D38" w14:paraId="0A919D31" w14:textId="77777777" w:rsidTr="00693374">
        <w:tc>
          <w:tcPr>
            <w:tcW w:w="6408" w:type="dxa"/>
          </w:tcPr>
          <w:p w14:paraId="753F6741" w14:textId="77777777" w:rsidR="00CA35A7" w:rsidRPr="00E60D38" w:rsidRDefault="00CA35A7" w:rsidP="00693374">
            <w:pPr>
              <w:rPr>
                <w:sz w:val="22"/>
                <w:szCs w:val="22"/>
              </w:rPr>
            </w:pPr>
          </w:p>
        </w:tc>
        <w:tc>
          <w:tcPr>
            <w:tcW w:w="4320" w:type="dxa"/>
          </w:tcPr>
          <w:p w14:paraId="1C693136" w14:textId="77777777" w:rsidR="00CA35A7" w:rsidRPr="00E60D38" w:rsidRDefault="00CA35A7" w:rsidP="00693374">
            <w:pPr>
              <w:rPr>
                <w:sz w:val="22"/>
                <w:szCs w:val="22"/>
              </w:rPr>
            </w:pPr>
          </w:p>
        </w:tc>
      </w:tr>
      <w:tr w:rsidR="00CA35A7" w:rsidRPr="00E60D38" w14:paraId="25E541DC" w14:textId="77777777" w:rsidTr="00693374">
        <w:tc>
          <w:tcPr>
            <w:tcW w:w="6408" w:type="dxa"/>
          </w:tcPr>
          <w:p w14:paraId="0F48199A" w14:textId="77777777" w:rsidR="00CA35A7" w:rsidRPr="00E60D38" w:rsidRDefault="00CA35A7" w:rsidP="00693374">
            <w:pPr>
              <w:rPr>
                <w:rFonts w:ascii="Times New Roman" w:hAnsi="Times New Roman" w:cs="Times New Roman"/>
                <w:b/>
                <w:sz w:val="22"/>
                <w:szCs w:val="22"/>
                <w:u w:val="single"/>
              </w:rPr>
            </w:pPr>
            <w:r w:rsidRPr="00E60D38">
              <w:rPr>
                <w:rFonts w:ascii="Times New Roman" w:hAnsi="Times New Roman" w:cs="Times New Roman"/>
                <w:b/>
                <w:sz w:val="22"/>
                <w:szCs w:val="22"/>
                <w:u w:val="single"/>
              </w:rPr>
              <w:t>BUILD Institutional Outcomes</w:t>
            </w:r>
          </w:p>
        </w:tc>
        <w:tc>
          <w:tcPr>
            <w:tcW w:w="4320" w:type="dxa"/>
          </w:tcPr>
          <w:p w14:paraId="5C0AD048" w14:textId="77777777" w:rsidR="00CA35A7" w:rsidRPr="00E60D38" w:rsidRDefault="00CA35A7" w:rsidP="00693374">
            <w:pPr>
              <w:rPr>
                <w:rFonts w:ascii="Times New Roman" w:hAnsi="Times New Roman" w:cs="Times New Roman"/>
                <w:sz w:val="22"/>
                <w:szCs w:val="22"/>
              </w:rPr>
            </w:pPr>
          </w:p>
        </w:tc>
      </w:tr>
      <w:tr w:rsidR="00CA35A7" w:rsidRPr="00E60D38" w14:paraId="55996D17" w14:textId="77777777" w:rsidTr="00693374">
        <w:tc>
          <w:tcPr>
            <w:tcW w:w="6408" w:type="dxa"/>
          </w:tcPr>
          <w:p w14:paraId="671C5762" w14:textId="77777777" w:rsidR="00CA35A7" w:rsidRPr="00E60D38" w:rsidRDefault="00693374" w:rsidP="00693374">
            <w:pPr>
              <w:rPr>
                <w:rFonts w:ascii="Times New Roman" w:hAnsi="Times New Roman" w:cs="Times New Roman"/>
                <w:sz w:val="22"/>
                <w:szCs w:val="22"/>
              </w:rPr>
            </w:pPr>
            <w:r>
              <w:rPr>
                <w:rFonts w:ascii="Times New Roman" w:hAnsi="Times New Roman" w:cs="Times New Roman"/>
                <w:sz w:val="22"/>
                <w:szCs w:val="22"/>
              </w:rPr>
              <w:t xml:space="preserve"> 1.</w:t>
            </w:r>
            <w:r w:rsidR="00CA35A7" w:rsidRPr="00E60D38">
              <w:rPr>
                <w:rFonts w:ascii="Times New Roman" w:hAnsi="Times New Roman" w:cs="Times New Roman"/>
                <w:sz w:val="22"/>
                <w:szCs w:val="22"/>
              </w:rPr>
              <w:t xml:space="preserve"> </w:t>
            </w:r>
            <w:r w:rsidR="00CA35A7" w:rsidRPr="00E60D38">
              <w:rPr>
                <w:rFonts w:ascii="Times New Roman" w:hAnsi="Times New Roman" w:cs="Times New Roman"/>
                <w:color w:val="000000"/>
                <w:sz w:val="22"/>
                <w:szCs w:val="22"/>
              </w:rPr>
              <w:t>Improved undergraduate retention rates of students in programs relevant to BUILD</w:t>
            </w:r>
          </w:p>
        </w:tc>
        <w:tc>
          <w:tcPr>
            <w:tcW w:w="4320" w:type="dxa"/>
          </w:tcPr>
          <w:p w14:paraId="455128DD"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Institutional Research Office</w:t>
            </w:r>
          </w:p>
        </w:tc>
      </w:tr>
      <w:tr w:rsidR="00CA35A7" w:rsidRPr="00E60D38" w14:paraId="42EE28CC" w14:textId="77777777" w:rsidTr="00693374">
        <w:tc>
          <w:tcPr>
            <w:tcW w:w="6408" w:type="dxa"/>
          </w:tcPr>
          <w:p w14:paraId="79FAFE24"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 xml:space="preserve"> 2. Increased student and faculty participation in mentoring in BUILD activities</w:t>
            </w:r>
          </w:p>
        </w:tc>
        <w:tc>
          <w:tcPr>
            <w:tcW w:w="4320" w:type="dxa"/>
          </w:tcPr>
          <w:p w14:paraId="2CF4B5C6"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 xml:space="preserve">BUILD Student &amp; Faculty </w:t>
            </w:r>
            <w:r w:rsidRPr="00E60D38">
              <w:rPr>
                <w:rFonts w:ascii="Times New Roman" w:hAnsi="Times New Roman" w:cs="Times New Roman"/>
                <w:sz w:val="22"/>
                <w:szCs w:val="22"/>
              </w:rPr>
              <w:t xml:space="preserve">Annual </w:t>
            </w:r>
            <w:r>
              <w:rPr>
                <w:rFonts w:ascii="Times New Roman" w:hAnsi="Times New Roman" w:cs="Times New Roman"/>
                <w:sz w:val="22"/>
                <w:szCs w:val="22"/>
              </w:rPr>
              <w:t>Follow-up S</w:t>
            </w:r>
            <w:r w:rsidRPr="00E60D38">
              <w:rPr>
                <w:rFonts w:ascii="Times New Roman" w:hAnsi="Times New Roman" w:cs="Times New Roman"/>
                <w:sz w:val="22"/>
                <w:szCs w:val="22"/>
              </w:rPr>
              <w:t>urveys; BUILD program implementation reports</w:t>
            </w:r>
          </w:p>
        </w:tc>
      </w:tr>
      <w:tr w:rsidR="00CA35A7" w:rsidRPr="00E60D38" w14:paraId="35403458" w14:textId="77777777" w:rsidTr="00693374">
        <w:tc>
          <w:tcPr>
            <w:tcW w:w="6408" w:type="dxa"/>
          </w:tcPr>
          <w:p w14:paraId="459FF8F8"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3. Increase enrollment and retention of disadvantaged/underrepresented students in BUILD related programs,</w:t>
            </w:r>
          </w:p>
        </w:tc>
        <w:tc>
          <w:tcPr>
            <w:tcW w:w="4320" w:type="dxa"/>
          </w:tcPr>
          <w:p w14:paraId="251F1A49" w14:textId="77777777" w:rsidR="00CA35A7" w:rsidRPr="00E60D38" w:rsidRDefault="00CA35A7" w:rsidP="00693374">
            <w:pPr>
              <w:rPr>
                <w:rFonts w:ascii="Times New Roman" w:hAnsi="Times New Roman" w:cs="Times New Roman"/>
                <w:sz w:val="22"/>
                <w:szCs w:val="22"/>
              </w:rPr>
            </w:pPr>
            <w:r>
              <w:rPr>
                <w:rFonts w:ascii="Times New Roman" w:hAnsi="Times New Roman" w:cs="Times New Roman"/>
                <w:sz w:val="22"/>
                <w:szCs w:val="22"/>
              </w:rPr>
              <w:t xml:space="preserve">BUILD Student Annual Follow-up Survey; </w:t>
            </w:r>
            <w:r w:rsidRPr="00E60D38">
              <w:rPr>
                <w:rFonts w:ascii="Times New Roman" w:hAnsi="Times New Roman" w:cs="Times New Roman"/>
                <w:sz w:val="22"/>
                <w:szCs w:val="22"/>
              </w:rPr>
              <w:t>BUILD program implementation reports</w:t>
            </w:r>
          </w:p>
        </w:tc>
      </w:tr>
      <w:tr w:rsidR="00CA35A7" w:rsidRPr="00E60D38" w14:paraId="3E84C3DA" w14:textId="77777777" w:rsidTr="00693374">
        <w:tc>
          <w:tcPr>
            <w:tcW w:w="6408" w:type="dxa"/>
          </w:tcPr>
          <w:p w14:paraId="7B24D4EE"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4. Increase in number of student research training opportunities in BUILD programs,</w:t>
            </w:r>
          </w:p>
        </w:tc>
        <w:tc>
          <w:tcPr>
            <w:tcW w:w="4320" w:type="dxa"/>
          </w:tcPr>
          <w:p w14:paraId="4F099ACF" w14:textId="77777777" w:rsidR="00CA35A7" w:rsidRPr="00E60D38" w:rsidRDefault="00CA35A7" w:rsidP="00693374">
            <w:pPr>
              <w:rPr>
                <w:rFonts w:ascii="Times New Roman" w:hAnsi="Times New Roman" w:cs="Times New Roman"/>
                <w:sz w:val="22"/>
                <w:szCs w:val="22"/>
              </w:rPr>
            </w:pPr>
            <w:r w:rsidRPr="00E60D38">
              <w:rPr>
                <w:rFonts w:ascii="Times New Roman" w:hAnsi="Times New Roman" w:cs="Times New Roman"/>
                <w:sz w:val="22"/>
                <w:szCs w:val="22"/>
              </w:rPr>
              <w:t>BUILD program implementation reports</w:t>
            </w:r>
          </w:p>
        </w:tc>
      </w:tr>
      <w:tr w:rsidR="00CA35A7" w:rsidRPr="00E60D38" w14:paraId="50DBFD1C" w14:textId="77777777" w:rsidTr="00693374">
        <w:tc>
          <w:tcPr>
            <w:tcW w:w="6408" w:type="dxa"/>
          </w:tcPr>
          <w:p w14:paraId="065A5512" w14:textId="77777777" w:rsidR="00CA35A7" w:rsidRPr="00003371" w:rsidRDefault="00CA35A7" w:rsidP="00693374">
            <w:pPr>
              <w:rPr>
                <w:rFonts w:ascii="Times New Roman" w:hAnsi="Times New Roman" w:cs="Times New Roman"/>
                <w:b/>
                <w:sz w:val="22"/>
                <w:szCs w:val="22"/>
              </w:rPr>
            </w:pPr>
            <w:r w:rsidRPr="00003371">
              <w:rPr>
                <w:rFonts w:ascii="Times New Roman" w:hAnsi="Times New Roman" w:cs="Times New Roman"/>
                <w:sz w:val="22"/>
                <w:szCs w:val="22"/>
              </w:rPr>
              <w:t xml:space="preserve"> 5 Increased inter-institutional collaborations to achieve BUILD outcomes related to research, mentorship, and faculty development (e.g., linkages with community colleges, collaborations with NRMN);  </w:t>
            </w:r>
          </w:p>
        </w:tc>
        <w:tc>
          <w:tcPr>
            <w:tcW w:w="4320" w:type="dxa"/>
          </w:tcPr>
          <w:p w14:paraId="527E42F8"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 xml:space="preserve">BUILD Site Visits; BUILD Case Studies; BUILD Program Implementation Reports </w:t>
            </w:r>
          </w:p>
        </w:tc>
      </w:tr>
      <w:tr w:rsidR="00CA35A7" w:rsidRPr="00E60D38" w14:paraId="2491770A" w14:textId="77777777" w:rsidTr="00693374">
        <w:tc>
          <w:tcPr>
            <w:tcW w:w="6408" w:type="dxa"/>
          </w:tcPr>
          <w:p w14:paraId="2289ECEC" w14:textId="77777777" w:rsidR="00CA35A7" w:rsidRPr="00003371" w:rsidRDefault="00CA35A7" w:rsidP="00693374">
            <w:pPr>
              <w:rPr>
                <w:rFonts w:ascii="Times New Roman" w:hAnsi="Times New Roman" w:cs="Times New Roman"/>
                <w:sz w:val="22"/>
                <w:szCs w:val="22"/>
              </w:rPr>
            </w:pPr>
          </w:p>
        </w:tc>
        <w:tc>
          <w:tcPr>
            <w:tcW w:w="4320" w:type="dxa"/>
          </w:tcPr>
          <w:p w14:paraId="2052D3BB" w14:textId="77777777" w:rsidR="00CA35A7" w:rsidRPr="00003371" w:rsidRDefault="00CA35A7" w:rsidP="00693374">
            <w:pPr>
              <w:rPr>
                <w:rFonts w:ascii="Times New Roman" w:hAnsi="Times New Roman" w:cs="Times New Roman"/>
                <w:sz w:val="22"/>
                <w:szCs w:val="22"/>
              </w:rPr>
            </w:pPr>
          </w:p>
        </w:tc>
      </w:tr>
      <w:tr w:rsidR="00CA35A7" w:rsidRPr="00E60D38" w14:paraId="66E7C2F6" w14:textId="77777777" w:rsidTr="00693374">
        <w:tc>
          <w:tcPr>
            <w:tcW w:w="6408" w:type="dxa"/>
          </w:tcPr>
          <w:p w14:paraId="7B9086C2" w14:textId="77777777" w:rsidR="00CA35A7" w:rsidRPr="00003371" w:rsidRDefault="00CA35A7" w:rsidP="00693374">
            <w:pPr>
              <w:rPr>
                <w:rFonts w:ascii="Times New Roman" w:hAnsi="Times New Roman" w:cs="Times New Roman"/>
                <w:b/>
                <w:sz w:val="22"/>
                <w:szCs w:val="22"/>
                <w:u w:val="single"/>
              </w:rPr>
            </w:pPr>
            <w:r w:rsidRPr="00003371">
              <w:rPr>
                <w:rFonts w:ascii="Times New Roman" w:hAnsi="Times New Roman" w:cs="Times New Roman"/>
                <w:b/>
                <w:sz w:val="22"/>
                <w:szCs w:val="22"/>
                <w:u w:val="single"/>
              </w:rPr>
              <w:t>NRMN Program Outcomes</w:t>
            </w:r>
          </w:p>
        </w:tc>
        <w:tc>
          <w:tcPr>
            <w:tcW w:w="4320" w:type="dxa"/>
          </w:tcPr>
          <w:p w14:paraId="728EAF4B" w14:textId="77777777" w:rsidR="00CA35A7" w:rsidRPr="00003371" w:rsidRDefault="00CA35A7" w:rsidP="00693374">
            <w:pPr>
              <w:rPr>
                <w:rFonts w:ascii="Times New Roman" w:hAnsi="Times New Roman" w:cs="Times New Roman"/>
                <w:sz w:val="22"/>
                <w:szCs w:val="22"/>
              </w:rPr>
            </w:pPr>
          </w:p>
        </w:tc>
      </w:tr>
      <w:tr w:rsidR="00CA35A7" w:rsidRPr="00E60D38" w14:paraId="42F52B3D" w14:textId="77777777" w:rsidTr="00693374">
        <w:tc>
          <w:tcPr>
            <w:tcW w:w="6408" w:type="dxa"/>
          </w:tcPr>
          <w:p w14:paraId="642F34CD"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 xml:space="preserve"> 1. Increase in the number and quality of trained mentors and mentees</w:t>
            </w:r>
          </w:p>
        </w:tc>
        <w:tc>
          <w:tcPr>
            <w:tcW w:w="4320" w:type="dxa"/>
          </w:tcPr>
          <w:p w14:paraId="020989B9"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 xml:space="preserve">NRMN Annual Mentor &amp; Mentee CORE Annual Follow-up Surveys; </w:t>
            </w:r>
            <w:r w:rsidR="00E57617">
              <w:rPr>
                <w:rFonts w:ascii="Times New Roman" w:hAnsi="Times New Roman" w:cs="Times New Roman"/>
                <w:sz w:val="22"/>
                <w:szCs w:val="22"/>
              </w:rPr>
              <w:t>Mentee “mentor assessment” survey</w:t>
            </w:r>
          </w:p>
        </w:tc>
      </w:tr>
      <w:tr w:rsidR="00CA35A7" w:rsidRPr="00E60D38" w14:paraId="42D472E1" w14:textId="77777777" w:rsidTr="00693374">
        <w:tc>
          <w:tcPr>
            <w:tcW w:w="6408" w:type="dxa"/>
          </w:tcPr>
          <w:p w14:paraId="5288A35F"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 xml:space="preserve"> 2. Increase in the numbers and quality of culturally responsive active mentor/mentee pairs</w:t>
            </w:r>
          </w:p>
        </w:tc>
        <w:tc>
          <w:tcPr>
            <w:tcW w:w="4320" w:type="dxa"/>
          </w:tcPr>
          <w:p w14:paraId="5EF046AE"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 xml:space="preserve">NRMN Annual Mentor  &amp; Mentee CORE Annual Follow-up Surveys; </w:t>
            </w:r>
          </w:p>
        </w:tc>
      </w:tr>
      <w:tr w:rsidR="00CA35A7" w:rsidRPr="00E60D38" w14:paraId="4BF7CB69" w14:textId="77777777" w:rsidTr="00693374">
        <w:tc>
          <w:tcPr>
            <w:tcW w:w="6408" w:type="dxa"/>
          </w:tcPr>
          <w:p w14:paraId="6B47EA44" w14:textId="77777777" w:rsidR="00CA35A7" w:rsidRPr="00003371" w:rsidRDefault="00CA35A7" w:rsidP="009E4589">
            <w:pPr>
              <w:rPr>
                <w:rFonts w:ascii="Times New Roman" w:hAnsi="Times New Roman" w:cs="Times New Roman"/>
                <w:sz w:val="22"/>
                <w:szCs w:val="22"/>
              </w:rPr>
            </w:pPr>
            <w:r w:rsidRPr="00003371">
              <w:rPr>
                <w:rFonts w:ascii="Times New Roman" w:hAnsi="Times New Roman" w:cs="Times New Roman"/>
                <w:sz w:val="22"/>
                <w:szCs w:val="22"/>
              </w:rPr>
              <w:t xml:space="preserve"> </w:t>
            </w:r>
            <w:r w:rsidR="009E4589">
              <w:rPr>
                <w:rFonts w:ascii="Times New Roman" w:hAnsi="Times New Roman" w:cs="Times New Roman"/>
                <w:sz w:val="22"/>
                <w:szCs w:val="22"/>
              </w:rPr>
              <w:t>3</w:t>
            </w:r>
            <w:r w:rsidRPr="00E57617">
              <w:rPr>
                <w:rFonts w:ascii="Times New Roman" w:hAnsi="Times New Roman" w:cs="Times New Roman"/>
                <w:sz w:val="22"/>
                <w:szCs w:val="22"/>
              </w:rPr>
              <w:t xml:space="preserve">. Increase in satisfaction </w:t>
            </w:r>
            <w:r w:rsidR="00E57617">
              <w:rPr>
                <w:rFonts w:ascii="Times New Roman" w:hAnsi="Times New Roman" w:cs="Times New Roman"/>
                <w:sz w:val="22"/>
                <w:szCs w:val="22"/>
              </w:rPr>
              <w:t>with</w:t>
            </w:r>
            <w:r w:rsidRPr="00E57617">
              <w:rPr>
                <w:rFonts w:ascii="Times New Roman" w:hAnsi="Times New Roman" w:cs="Times New Roman"/>
                <w:sz w:val="22"/>
                <w:szCs w:val="22"/>
              </w:rPr>
              <w:t xml:space="preserve"> mentoring (for mentors and mentees);</w:t>
            </w:r>
          </w:p>
        </w:tc>
        <w:tc>
          <w:tcPr>
            <w:tcW w:w="4320" w:type="dxa"/>
          </w:tcPr>
          <w:p w14:paraId="40F32C50" w14:textId="77777777" w:rsidR="00CA35A7" w:rsidRPr="00003371" w:rsidRDefault="00CA35A7" w:rsidP="00E57617">
            <w:pPr>
              <w:rPr>
                <w:rFonts w:ascii="Times New Roman" w:hAnsi="Times New Roman" w:cs="Times New Roman"/>
                <w:sz w:val="22"/>
                <w:szCs w:val="22"/>
              </w:rPr>
            </w:pPr>
            <w:r w:rsidRPr="00003371">
              <w:rPr>
                <w:rFonts w:ascii="Times New Roman" w:hAnsi="Times New Roman" w:cs="Times New Roman"/>
                <w:sz w:val="22"/>
                <w:szCs w:val="22"/>
              </w:rPr>
              <w:t>NRMN Mentor Annual Follow-up Survey;</w:t>
            </w:r>
            <w:r w:rsidR="00E57617">
              <w:rPr>
                <w:rFonts w:ascii="Times New Roman" w:hAnsi="Times New Roman" w:cs="Times New Roman"/>
                <w:sz w:val="22"/>
                <w:szCs w:val="22"/>
              </w:rPr>
              <w:t xml:space="preserve"> Mentee “mentor assessment” survey</w:t>
            </w:r>
            <w:r w:rsidRPr="00003371">
              <w:rPr>
                <w:rFonts w:ascii="Times New Roman" w:hAnsi="Times New Roman" w:cs="Times New Roman"/>
                <w:sz w:val="22"/>
                <w:szCs w:val="22"/>
              </w:rPr>
              <w:t xml:space="preserve"> NRMN Annual Student/ Mentee Annual Follow-up Survey</w:t>
            </w:r>
          </w:p>
        </w:tc>
      </w:tr>
      <w:tr w:rsidR="00CA35A7" w:rsidRPr="00E60D38" w14:paraId="4D5E7DE9" w14:textId="77777777" w:rsidTr="00693374">
        <w:tc>
          <w:tcPr>
            <w:tcW w:w="6408" w:type="dxa"/>
          </w:tcPr>
          <w:p w14:paraId="7C434685" w14:textId="77777777" w:rsidR="00CA35A7" w:rsidRPr="00003371" w:rsidRDefault="00CA35A7" w:rsidP="009E4589">
            <w:pPr>
              <w:rPr>
                <w:rFonts w:ascii="Times New Roman" w:hAnsi="Times New Roman" w:cs="Times New Roman"/>
                <w:sz w:val="22"/>
                <w:szCs w:val="22"/>
              </w:rPr>
            </w:pPr>
            <w:r w:rsidRPr="00003371">
              <w:rPr>
                <w:rFonts w:ascii="Times New Roman" w:hAnsi="Times New Roman" w:cs="Times New Roman"/>
                <w:sz w:val="22"/>
                <w:szCs w:val="22"/>
              </w:rPr>
              <w:t xml:space="preserve"> </w:t>
            </w:r>
            <w:r w:rsidR="009E4589">
              <w:rPr>
                <w:rFonts w:ascii="Times New Roman" w:hAnsi="Times New Roman" w:cs="Times New Roman"/>
                <w:sz w:val="22"/>
                <w:szCs w:val="22"/>
              </w:rPr>
              <w:t>4</w:t>
            </w:r>
            <w:r w:rsidRPr="00003371">
              <w:rPr>
                <w:rFonts w:ascii="Times New Roman" w:hAnsi="Times New Roman" w:cs="Times New Roman"/>
                <w:sz w:val="22"/>
                <w:szCs w:val="22"/>
              </w:rPr>
              <w:t>. Increase in the quantity, quality, and use of NRMN portal resources</w:t>
            </w:r>
          </w:p>
        </w:tc>
        <w:tc>
          <w:tcPr>
            <w:tcW w:w="4320" w:type="dxa"/>
          </w:tcPr>
          <w:p w14:paraId="3BF5522E"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NRMN data warehouse; NRMN Case Studies, NRMN Site Visits</w:t>
            </w:r>
          </w:p>
        </w:tc>
      </w:tr>
      <w:tr w:rsidR="00CA35A7" w:rsidRPr="00E60D38" w14:paraId="07969191" w14:textId="77777777" w:rsidTr="00693374">
        <w:tc>
          <w:tcPr>
            <w:tcW w:w="6408" w:type="dxa"/>
          </w:tcPr>
          <w:p w14:paraId="3D112D42" w14:textId="77777777" w:rsidR="00CA35A7" w:rsidRPr="00003371" w:rsidRDefault="009E4589" w:rsidP="009E4589">
            <w:pPr>
              <w:rPr>
                <w:rFonts w:ascii="Times New Roman" w:hAnsi="Times New Roman" w:cs="Times New Roman"/>
                <w:sz w:val="22"/>
                <w:szCs w:val="22"/>
              </w:rPr>
            </w:pPr>
            <w:r>
              <w:rPr>
                <w:rFonts w:ascii="Times New Roman" w:hAnsi="Times New Roman" w:cs="Times New Roman"/>
                <w:sz w:val="22"/>
                <w:szCs w:val="22"/>
              </w:rPr>
              <w:t xml:space="preserve"> 5</w:t>
            </w:r>
            <w:r w:rsidR="00CA35A7" w:rsidRPr="00003371">
              <w:rPr>
                <w:rFonts w:ascii="Times New Roman" w:hAnsi="Times New Roman" w:cs="Times New Roman"/>
                <w:sz w:val="22"/>
                <w:szCs w:val="22"/>
              </w:rPr>
              <w:t>. Increase in research productivity skills</w:t>
            </w:r>
          </w:p>
        </w:tc>
        <w:tc>
          <w:tcPr>
            <w:tcW w:w="4320" w:type="dxa"/>
          </w:tcPr>
          <w:p w14:paraId="5702201B"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NRMN</w:t>
            </w:r>
            <w:r w:rsidR="00693374">
              <w:rPr>
                <w:rFonts w:ascii="Times New Roman" w:hAnsi="Times New Roman" w:cs="Times New Roman"/>
                <w:sz w:val="22"/>
                <w:szCs w:val="22"/>
              </w:rPr>
              <w:t xml:space="preserve"> Mentor Annual Follow-up Survey</w:t>
            </w:r>
            <w:r w:rsidRPr="00003371">
              <w:rPr>
                <w:rFonts w:ascii="Times New Roman" w:hAnsi="Times New Roman" w:cs="Times New Roman"/>
                <w:sz w:val="22"/>
                <w:szCs w:val="22"/>
              </w:rPr>
              <w:t>; NRMN Annual Student/ Mentee Annual Follow-up Survey</w:t>
            </w:r>
          </w:p>
        </w:tc>
      </w:tr>
      <w:tr w:rsidR="00CA35A7" w:rsidRPr="00E60D38" w14:paraId="10BF5816" w14:textId="77777777" w:rsidTr="00693374">
        <w:tc>
          <w:tcPr>
            <w:tcW w:w="6408" w:type="dxa"/>
          </w:tcPr>
          <w:p w14:paraId="365B0E6A" w14:textId="77777777" w:rsidR="00CA35A7" w:rsidRPr="00003371" w:rsidRDefault="00CA35A7" w:rsidP="009E4589">
            <w:pPr>
              <w:rPr>
                <w:rFonts w:ascii="Times New Roman" w:hAnsi="Times New Roman" w:cs="Times New Roman"/>
                <w:sz w:val="22"/>
                <w:szCs w:val="22"/>
              </w:rPr>
            </w:pPr>
            <w:r w:rsidRPr="00003371">
              <w:rPr>
                <w:rFonts w:ascii="Times New Roman" w:hAnsi="Times New Roman" w:cs="Times New Roman"/>
                <w:sz w:val="22"/>
                <w:szCs w:val="22"/>
              </w:rPr>
              <w:t xml:space="preserve"> </w:t>
            </w:r>
            <w:r w:rsidR="009E4589">
              <w:rPr>
                <w:rFonts w:ascii="Times New Roman" w:hAnsi="Times New Roman" w:cs="Times New Roman"/>
                <w:sz w:val="22"/>
                <w:szCs w:val="22"/>
              </w:rPr>
              <w:t>6</w:t>
            </w:r>
            <w:r w:rsidRPr="00003371">
              <w:rPr>
                <w:rFonts w:ascii="Times New Roman" w:hAnsi="Times New Roman" w:cs="Times New Roman"/>
                <w:sz w:val="22"/>
                <w:szCs w:val="22"/>
              </w:rPr>
              <w:t>. Increase in motivation to pursue a biomedical career path;</w:t>
            </w:r>
          </w:p>
        </w:tc>
        <w:tc>
          <w:tcPr>
            <w:tcW w:w="4320" w:type="dxa"/>
          </w:tcPr>
          <w:p w14:paraId="5E44CED3"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NRMN Annual Student/Mentee Follow-up Survey</w:t>
            </w:r>
          </w:p>
        </w:tc>
      </w:tr>
      <w:tr w:rsidR="00CA35A7" w:rsidRPr="00E60D38" w14:paraId="5F3E4E03" w14:textId="77777777" w:rsidTr="00693374">
        <w:tc>
          <w:tcPr>
            <w:tcW w:w="6408" w:type="dxa"/>
          </w:tcPr>
          <w:p w14:paraId="17A2F8E5" w14:textId="77777777" w:rsidR="00CA35A7" w:rsidRPr="00003371" w:rsidRDefault="00CA35A7" w:rsidP="009E4589">
            <w:pPr>
              <w:rPr>
                <w:rFonts w:ascii="Times New Roman" w:hAnsi="Times New Roman" w:cs="Times New Roman"/>
                <w:sz w:val="22"/>
                <w:szCs w:val="22"/>
              </w:rPr>
            </w:pPr>
            <w:r w:rsidRPr="00003371">
              <w:rPr>
                <w:rFonts w:ascii="Times New Roman" w:hAnsi="Times New Roman" w:cs="Times New Roman"/>
                <w:sz w:val="22"/>
                <w:szCs w:val="22"/>
              </w:rPr>
              <w:t xml:space="preserve"> </w:t>
            </w:r>
            <w:r w:rsidR="009E4589">
              <w:rPr>
                <w:rFonts w:ascii="Times New Roman" w:hAnsi="Times New Roman" w:cs="Times New Roman"/>
                <w:sz w:val="22"/>
                <w:szCs w:val="22"/>
              </w:rPr>
              <w:t>7</w:t>
            </w:r>
            <w:r w:rsidRPr="00003371">
              <w:rPr>
                <w:rFonts w:ascii="Times New Roman" w:hAnsi="Times New Roman" w:cs="Times New Roman"/>
                <w:sz w:val="22"/>
                <w:szCs w:val="22"/>
              </w:rPr>
              <w:t>. Increase in career productivity of NRMN participants</w:t>
            </w:r>
          </w:p>
        </w:tc>
        <w:tc>
          <w:tcPr>
            <w:tcW w:w="4320" w:type="dxa"/>
          </w:tcPr>
          <w:p w14:paraId="623325CE" w14:textId="77777777" w:rsidR="00CA35A7" w:rsidRPr="00003371" w:rsidRDefault="00CA35A7" w:rsidP="00693374">
            <w:pPr>
              <w:rPr>
                <w:rFonts w:ascii="Times New Roman" w:hAnsi="Times New Roman" w:cs="Times New Roman"/>
                <w:sz w:val="22"/>
                <w:szCs w:val="22"/>
              </w:rPr>
            </w:pPr>
            <w:r w:rsidRPr="00003371">
              <w:rPr>
                <w:rFonts w:ascii="Times New Roman" w:hAnsi="Times New Roman" w:cs="Times New Roman"/>
                <w:sz w:val="22"/>
                <w:szCs w:val="22"/>
              </w:rPr>
              <w:t>NRMN Mentor Annual Follow-up Survey; NRMN Annual Student/Mentee Follow-up Survey</w:t>
            </w:r>
          </w:p>
        </w:tc>
      </w:tr>
      <w:tr w:rsidR="00CA35A7" w:rsidRPr="00E60D38" w14:paraId="781E2678" w14:textId="77777777" w:rsidTr="00693374">
        <w:tc>
          <w:tcPr>
            <w:tcW w:w="6408" w:type="dxa"/>
          </w:tcPr>
          <w:p w14:paraId="7443C4CB" w14:textId="77777777" w:rsidR="00CA35A7" w:rsidRPr="00003371" w:rsidRDefault="00CA35A7" w:rsidP="009E4589">
            <w:pPr>
              <w:rPr>
                <w:rFonts w:ascii="Times New Roman" w:hAnsi="Times New Roman" w:cs="Times New Roman"/>
                <w:sz w:val="22"/>
                <w:szCs w:val="22"/>
              </w:rPr>
            </w:pPr>
            <w:r w:rsidRPr="00003371">
              <w:rPr>
                <w:rFonts w:ascii="Times New Roman" w:hAnsi="Times New Roman" w:cs="Times New Roman"/>
                <w:sz w:val="22"/>
                <w:szCs w:val="22"/>
              </w:rPr>
              <w:t xml:space="preserve"> </w:t>
            </w:r>
            <w:r w:rsidR="009E4589">
              <w:rPr>
                <w:rFonts w:ascii="Times New Roman" w:hAnsi="Times New Roman" w:cs="Times New Roman"/>
                <w:sz w:val="22"/>
                <w:szCs w:val="22"/>
              </w:rPr>
              <w:t>8</w:t>
            </w:r>
            <w:r w:rsidRPr="00003371">
              <w:rPr>
                <w:rFonts w:ascii="Times New Roman" w:hAnsi="Times New Roman" w:cs="Times New Roman"/>
                <w:sz w:val="22"/>
                <w:szCs w:val="22"/>
              </w:rPr>
              <w:t>. Increase in NRMN participant progression in biomedical careers</w:t>
            </w:r>
          </w:p>
        </w:tc>
        <w:tc>
          <w:tcPr>
            <w:tcW w:w="4320" w:type="dxa"/>
          </w:tcPr>
          <w:p w14:paraId="66E19BAD" w14:textId="77777777" w:rsidR="00CA35A7" w:rsidRPr="00E57617" w:rsidRDefault="00CA35A7" w:rsidP="00693374">
            <w:pPr>
              <w:rPr>
                <w:rFonts w:ascii="Times New Roman" w:hAnsi="Times New Roman" w:cs="Times New Roman"/>
                <w:sz w:val="22"/>
                <w:szCs w:val="22"/>
              </w:rPr>
            </w:pPr>
            <w:r w:rsidRPr="00E57617">
              <w:rPr>
                <w:rFonts w:ascii="Times New Roman" w:hAnsi="Times New Roman" w:cs="Times New Roman"/>
                <w:sz w:val="22"/>
                <w:szCs w:val="22"/>
              </w:rPr>
              <w:t>NRMN Mentor Annual Follow-up Survey; NRMN Annual Student/Mentee Follow-up Survey</w:t>
            </w:r>
          </w:p>
        </w:tc>
      </w:tr>
      <w:tr w:rsidR="00CA35A7" w:rsidRPr="00E60D38" w14:paraId="32911533" w14:textId="77777777" w:rsidTr="00693374">
        <w:tc>
          <w:tcPr>
            <w:tcW w:w="6408" w:type="dxa"/>
          </w:tcPr>
          <w:p w14:paraId="37B6B5A4" w14:textId="77777777" w:rsidR="00CA35A7" w:rsidRPr="00E57617" w:rsidRDefault="00CA35A7" w:rsidP="009E4589">
            <w:pPr>
              <w:rPr>
                <w:rFonts w:ascii="Times New Roman" w:hAnsi="Times New Roman" w:cs="Times New Roman"/>
                <w:sz w:val="22"/>
                <w:szCs w:val="22"/>
              </w:rPr>
            </w:pPr>
            <w:r w:rsidRPr="00E57617">
              <w:rPr>
                <w:rFonts w:ascii="Times New Roman" w:hAnsi="Times New Roman" w:cs="Times New Roman"/>
                <w:sz w:val="22"/>
                <w:szCs w:val="22"/>
              </w:rPr>
              <w:t xml:space="preserve"> </w:t>
            </w:r>
            <w:r w:rsidR="009E4589">
              <w:rPr>
                <w:rFonts w:ascii="Times New Roman" w:hAnsi="Times New Roman" w:cs="Times New Roman"/>
                <w:sz w:val="22"/>
                <w:szCs w:val="22"/>
              </w:rPr>
              <w:t>9</w:t>
            </w:r>
            <w:r w:rsidRPr="00E57617">
              <w:rPr>
                <w:rFonts w:ascii="Times New Roman" w:hAnsi="Times New Roman" w:cs="Times New Roman"/>
                <w:sz w:val="22"/>
                <w:szCs w:val="22"/>
              </w:rPr>
              <w:t>. Increase in institutional commitment to training diverse students in biomedical fields.</w:t>
            </w:r>
          </w:p>
        </w:tc>
        <w:tc>
          <w:tcPr>
            <w:tcW w:w="4320" w:type="dxa"/>
          </w:tcPr>
          <w:p w14:paraId="77632BB7" w14:textId="77777777" w:rsidR="00CA35A7" w:rsidRPr="00E57617" w:rsidRDefault="00CA35A7" w:rsidP="00693374">
            <w:pPr>
              <w:rPr>
                <w:rFonts w:ascii="Times New Roman" w:hAnsi="Times New Roman" w:cs="Times New Roman"/>
                <w:sz w:val="22"/>
                <w:szCs w:val="22"/>
              </w:rPr>
            </w:pPr>
            <w:r w:rsidRPr="00E57617">
              <w:rPr>
                <w:rFonts w:ascii="Times New Roman" w:hAnsi="Times New Roman" w:cs="Times New Roman"/>
                <w:sz w:val="22"/>
                <w:szCs w:val="22"/>
              </w:rPr>
              <w:t>NRMN Institutional Context module; NRMN Case Studies and Site Visits</w:t>
            </w:r>
          </w:p>
        </w:tc>
      </w:tr>
      <w:tr w:rsidR="00CA35A7" w:rsidRPr="00E60D38" w14:paraId="78C8CB8D" w14:textId="77777777" w:rsidTr="00693374">
        <w:tc>
          <w:tcPr>
            <w:tcW w:w="6408" w:type="dxa"/>
          </w:tcPr>
          <w:p w14:paraId="02E719FA" w14:textId="77777777" w:rsidR="00CA35A7" w:rsidRPr="00E57617" w:rsidRDefault="009E4589" w:rsidP="009E4589">
            <w:pPr>
              <w:rPr>
                <w:rFonts w:ascii="Times New Roman" w:hAnsi="Times New Roman" w:cs="Times New Roman"/>
                <w:sz w:val="22"/>
                <w:szCs w:val="22"/>
              </w:rPr>
            </w:pPr>
            <w:r>
              <w:rPr>
                <w:rFonts w:ascii="Times New Roman" w:hAnsi="Times New Roman" w:cs="Times New Roman"/>
                <w:sz w:val="22"/>
                <w:szCs w:val="22"/>
              </w:rPr>
              <w:t xml:space="preserve"> </w:t>
            </w:r>
            <w:r w:rsidR="00CA35A7" w:rsidRPr="00E57617">
              <w:rPr>
                <w:rFonts w:ascii="Times New Roman" w:hAnsi="Times New Roman" w:cs="Times New Roman"/>
                <w:sz w:val="22"/>
                <w:szCs w:val="22"/>
              </w:rPr>
              <w:t>1</w:t>
            </w:r>
            <w:r>
              <w:rPr>
                <w:rFonts w:ascii="Times New Roman" w:hAnsi="Times New Roman" w:cs="Times New Roman"/>
                <w:sz w:val="22"/>
                <w:szCs w:val="22"/>
              </w:rPr>
              <w:t>0</w:t>
            </w:r>
            <w:r w:rsidR="00CA35A7" w:rsidRPr="00E57617">
              <w:rPr>
                <w:rFonts w:ascii="Times New Roman" w:hAnsi="Times New Roman" w:cs="Times New Roman"/>
                <w:sz w:val="22"/>
                <w:szCs w:val="22"/>
              </w:rPr>
              <w:t>. NRMN program implementation successes and challenges</w:t>
            </w:r>
          </w:p>
        </w:tc>
        <w:tc>
          <w:tcPr>
            <w:tcW w:w="4320" w:type="dxa"/>
          </w:tcPr>
          <w:p w14:paraId="76DC3421" w14:textId="77777777" w:rsidR="00CA35A7" w:rsidRPr="00E57617" w:rsidRDefault="00CA35A7" w:rsidP="00693374">
            <w:pPr>
              <w:rPr>
                <w:rFonts w:ascii="Times New Roman" w:hAnsi="Times New Roman" w:cs="Times New Roman"/>
                <w:sz w:val="22"/>
                <w:szCs w:val="22"/>
              </w:rPr>
            </w:pPr>
            <w:r w:rsidRPr="00E57617">
              <w:rPr>
                <w:rFonts w:ascii="Times New Roman" w:hAnsi="Times New Roman" w:cs="Times New Roman"/>
                <w:sz w:val="22"/>
                <w:szCs w:val="22"/>
              </w:rPr>
              <w:t>NRMN Site Visits &amp; Case Studies</w:t>
            </w:r>
          </w:p>
        </w:tc>
      </w:tr>
    </w:tbl>
    <w:p w14:paraId="4A35D0D7" w14:textId="77777777" w:rsidR="00E60D38" w:rsidRDefault="00E60D38" w:rsidP="00AA4E58"/>
    <w:bookmarkEnd w:id="1"/>
    <w:bookmarkEnd w:id="2"/>
    <w:bookmarkEnd w:id="3"/>
    <w:bookmarkEnd w:id="4"/>
    <w:p w14:paraId="0D99A23F" w14:textId="77777777" w:rsidR="009F5464" w:rsidRPr="00E60D38" w:rsidRDefault="009F5464" w:rsidP="00AA3AA2">
      <w:r w:rsidRPr="00AA3AA2">
        <w:rPr>
          <w:b/>
        </w:rPr>
        <w:t xml:space="preserve">B.1.1. </w:t>
      </w:r>
      <w:r w:rsidR="0064007D" w:rsidRPr="00AA3AA2">
        <w:rPr>
          <w:b/>
        </w:rPr>
        <w:t>Respondent Universe</w:t>
      </w:r>
    </w:p>
    <w:p w14:paraId="59F21211" w14:textId="77777777" w:rsidR="00B83C8E" w:rsidRDefault="009F5464" w:rsidP="00C01540">
      <w:pPr>
        <w:pStyle w:val="P1-StandPara"/>
        <w:widowControl w:val="0"/>
        <w:spacing w:line="240" w:lineRule="auto"/>
        <w:ind w:firstLine="0"/>
        <w:rPr>
          <w:sz w:val="24"/>
          <w:szCs w:val="24"/>
        </w:rPr>
      </w:pPr>
      <w:r w:rsidRPr="000C7FBE">
        <w:rPr>
          <w:sz w:val="24"/>
          <w:szCs w:val="24"/>
        </w:rPr>
        <w:t>The respondent</w:t>
      </w:r>
      <w:r w:rsidR="0064007D" w:rsidRPr="000C7FBE">
        <w:rPr>
          <w:sz w:val="24"/>
          <w:szCs w:val="24"/>
        </w:rPr>
        <w:t xml:space="preserve"> univer</w:t>
      </w:r>
      <w:r w:rsidR="006D7983" w:rsidRPr="000C7FBE">
        <w:rPr>
          <w:sz w:val="24"/>
          <w:szCs w:val="24"/>
        </w:rPr>
        <w:t xml:space="preserve">se </w:t>
      </w:r>
      <w:r w:rsidR="00E800E0" w:rsidRPr="000C7FBE">
        <w:rPr>
          <w:sz w:val="24"/>
          <w:szCs w:val="24"/>
        </w:rPr>
        <w:t xml:space="preserve">varies </w:t>
      </w:r>
      <w:r w:rsidR="006D7983" w:rsidRPr="000C7FBE">
        <w:rPr>
          <w:sz w:val="24"/>
          <w:szCs w:val="24"/>
        </w:rPr>
        <w:t>depend</w:t>
      </w:r>
      <w:r w:rsidR="00E800E0" w:rsidRPr="000C7FBE">
        <w:rPr>
          <w:sz w:val="24"/>
          <w:szCs w:val="24"/>
        </w:rPr>
        <w:t>ing</w:t>
      </w:r>
      <w:r w:rsidR="006D7983" w:rsidRPr="000C7FBE">
        <w:rPr>
          <w:sz w:val="24"/>
          <w:szCs w:val="24"/>
        </w:rPr>
        <w:t xml:space="preserve"> on </w:t>
      </w:r>
      <w:r w:rsidR="00E800E0" w:rsidRPr="000C7FBE">
        <w:rPr>
          <w:sz w:val="24"/>
          <w:szCs w:val="24"/>
        </w:rPr>
        <w:t>the</w:t>
      </w:r>
      <w:r w:rsidR="006D7983" w:rsidRPr="000C7FBE">
        <w:rPr>
          <w:sz w:val="24"/>
          <w:szCs w:val="24"/>
        </w:rPr>
        <w:t xml:space="preserve"> </w:t>
      </w:r>
      <w:r w:rsidR="001D2DA3">
        <w:rPr>
          <w:sz w:val="24"/>
          <w:szCs w:val="24"/>
        </w:rPr>
        <w:t xml:space="preserve">outcome of interest (e.g., BUILD students, BUILD faculty, </w:t>
      </w:r>
      <w:r w:rsidR="00FA3ADD">
        <w:rPr>
          <w:sz w:val="24"/>
          <w:szCs w:val="24"/>
        </w:rPr>
        <w:t xml:space="preserve">participants in various </w:t>
      </w:r>
      <w:r w:rsidR="001D2DA3">
        <w:rPr>
          <w:sz w:val="24"/>
          <w:szCs w:val="24"/>
        </w:rPr>
        <w:t xml:space="preserve">NRMN </w:t>
      </w:r>
      <w:r w:rsidR="00FA3ADD">
        <w:rPr>
          <w:sz w:val="24"/>
          <w:szCs w:val="24"/>
        </w:rPr>
        <w:t>activities</w:t>
      </w:r>
      <w:r w:rsidR="001D2DA3">
        <w:rPr>
          <w:sz w:val="24"/>
          <w:szCs w:val="24"/>
        </w:rPr>
        <w:t>)</w:t>
      </w:r>
      <w:r w:rsidR="0064007D" w:rsidRPr="00E353DE">
        <w:rPr>
          <w:sz w:val="24"/>
          <w:szCs w:val="24"/>
        </w:rPr>
        <w:t xml:space="preserve">. </w:t>
      </w:r>
      <w:r w:rsidR="001D2DA3">
        <w:rPr>
          <w:sz w:val="24"/>
          <w:szCs w:val="24"/>
        </w:rPr>
        <w:t xml:space="preserve"> </w:t>
      </w:r>
    </w:p>
    <w:p w14:paraId="36AC0572" w14:textId="77777777" w:rsidR="00B83C8E" w:rsidRDefault="00B83C8E" w:rsidP="00C01540">
      <w:pPr>
        <w:pStyle w:val="P1-StandPara"/>
        <w:widowControl w:val="0"/>
        <w:spacing w:line="240" w:lineRule="auto"/>
        <w:ind w:firstLine="0"/>
        <w:rPr>
          <w:sz w:val="24"/>
          <w:szCs w:val="24"/>
        </w:rPr>
      </w:pPr>
    </w:p>
    <w:p w14:paraId="0059B624" w14:textId="1F27AE3A" w:rsidR="006D06F9" w:rsidRDefault="001D2DA3" w:rsidP="00C01540">
      <w:pPr>
        <w:pStyle w:val="P1-StandPara"/>
        <w:widowControl w:val="0"/>
        <w:spacing w:line="240" w:lineRule="auto"/>
        <w:ind w:firstLine="0"/>
        <w:rPr>
          <w:sz w:val="24"/>
          <w:szCs w:val="24"/>
        </w:rPr>
      </w:pPr>
      <w:r w:rsidRPr="00AA4E58">
        <w:rPr>
          <w:sz w:val="24"/>
          <w:szCs w:val="24"/>
          <w:u w:val="single"/>
        </w:rPr>
        <w:t xml:space="preserve">BUILD </w:t>
      </w:r>
      <w:r w:rsidR="00B83C8E" w:rsidRPr="00AA4E58">
        <w:rPr>
          <w:sz w:val="24"/>
          <w:szCs w:val="24"/>
          <w:u w:val="single"/>
        </w:rPr>
        <w:t>S</w:t>
      </w:r>
      <w:r w:rsidRPr="00AA4E58">
        <w:rPr>
          <w:sz w:val="24"/>
          <w:szCs w:val="24"/>
          <w:u w:val="single"/>
        </w:rPr>
        <w:t>tudents</w:t>
      </w:r>
      <w:r w:rsidR="00693374">
        <w:rPr>
          <w:sz w:val="24"/>
          <w:szCs w:val="24"/>
        </w:rPr>
        <w:t xml:space="preserve">: </w:t>
      </w:r>
      <w:r w:rsidR="00B83C8E">
        <w:rPr>
          <w:sz w:val="24"/>
          <w:szCs w:val="24"/>
        </w:rPr>
        <w:t>W</w:t>
      </w:r>
      <w:r>
        <w:rPr>
          <w:sz w:val="24"/>
          <w:szCs w:val="24"/>
        </w:rPr>
        <w:t>e will survey all students identified by each of the 10 BUILD programs as being a participant in the</w:t>
      </w:r>
      <w:r w:rsidR="00FA3ADD">
        <w:rPr>
          <w:sz w:val="24"/>
          <w:szCs w:val="24"/>
        </w:rPr>
        <w:t>ir</w:t>
      </w:r>
      <w:r>
        <w:rPr>
          <w:sz w:val="24"/>
          <w:szCs w:val="24"/>
        </w:rPr>
        <w:t xml:space="preserve"> program, starting when they enter the program (usually as either a </w:t>
      </w:r>
      <w:r w:rsidR="00932363">
        <w:rPr>
          <w:sz w:val="24"/>
          <w:szCs w:val="24"/>
        </w:rPr>
        <w:t>freshman</w:t>
      </w:r>
      <w:r>
        <w:rPr>
          <w:sz w:val="24"/>
          <w:szCs w:val="24"/>
        </w:rPr>
        <w:t xml:space="preserve"> or transferring junior).  We will also sample additional students from each BUILD institution to achieve our target 500 students annually. </w:t>
      </w:r>
      <w:r w:rsidR="006D06F9">
        <w:rPr>
          <w:sz w:val="24"/>
          <w:szCs w:val="24"/>
        </w:rPr>
        <w:t>(</w:t>
      </w:r>
      <w:r w:rsidR="006D06F9" w:rsidRPr="008B6FB8">
        <w:rPr>
          <w:sz w:val="24"/>
          <w:szCs w:val="24"/>
        </w:rPr>
        <w:t>This number is based on the power calculations presented in Section B.1.2 below</w:t>
      </w:r>
      <w:r w:rsidR="006D06F9" w:rsidRPr="002C67CA">
        <w:rPr>
          <w:sz w:val="24"/>
          <w:szCs w:val="24"/>
        </w:rPr>
        <w:t xml:space="preserve">.) </w:t>
      </w:r>
      <w:r w:rsidR="00773552" w:rsidRPr="002C67CA">
        <w:rPr>
          <w:sz w:val="24"/>
          <w:szCs w:val="24"/>
        </w:rPr>
        <w:t xml:space="preserve"> </w:t>
      </w:r>
      <w:r w:rsidRPr="002C67CA">
        <w:rPr>
          <w:sz w:val="24"/>
          <w:szCs w:val="24"/>
        </w:rPr>
        <w:t xml:space="preserve">Entering </w:t>
      </w:r>
      <w:r w:rsidR="00932363" w:rsidRPr="002C67CA">
        <w:rPr>
          <w:sz w:val="24"/>
          <w:szCs w:val="24"/>
        </w:rPr>
        <w:t>freshmen</w:t>
      </w:r>
      <w:r w:rsidRPr="002C67CA">
        <w:rPr>
          <w:sz w:val="24"/>
          <w:szCs w:val="24"/>
        </w:rPr>
        <w:t xml:space="preserve"> and transferring juniors will be sampled non-proportionally with greater weight </w:t>
      </w:r>
      <w:r w:rsidR="00773552" w:rsidRPr="002C67CA">
        <w:rPr>
          <w:sz w:val="24"/>
          <w:szCs w:val="24"/>
        </w:rPr>
        <w:t xml:space="preserve">(80:20) </w:t>
      </w:r>
      <w:r w:rsidRPr="002C67CA">
        <w:rPr>
          <w:sz w:val="24"/>
          <w:szCs w:val="24"/>
        </w:rPr>
        <w:t>given to those with a declared biomedical major (the f</w:t>
      </w:r>
      <w:r w:rsidR="005E200B" w:rsidRPr="002C67CA">
        <w:rPr>
          <w:sz w:val="24"/>
          <w:szCs w:val="24"/>
        </w:rPr>
        <w:t xml:space="preserve">ocus of the BUILD initiative). </w:t>
      </w:r>
      <w:r w:rsidR="00773552" w:rsidRPr="002C67CA">
        <w:rPr>
          <w:sz w:val="24"/>
          <w:szCs w:val="24"/>
        </w:rPr>
        <w:t xml:space="preserve"> In addition, we will over-sample African American and Hispanic/Native American subgroups in light of their lower response rates as seen in annual HERI surveys.  For African Americans, the oversampling rate will be 160%; for the Hispanic/Native American group it will be 130%</w:t>
      </w:r>
      <w:r w:rsidR="00C83219">
        <w:rPr>
          <w:sz w:val="24"/>
          <w:szCs w:val="24"/>
        </w:rPr>
        <w:t xml:space="preserve"> relative to Whites/Others</w:t>
      </w:r>
      <w:r w:rsidR="00773552" w:rsidRPr="002C67CA">
        <w:rPr>
          <w:sz w:val="24"/>
          <w:szCs w:val="24"/>
        </w:rPr>
        <w:t xml:space="preserve">.  </w:t>
      </w:r>
      <w:r w:rsidRPr="002C67CA">
        <w:rPr>
          <w:sz w:val="24"/>
          <w:szCs w:val="24"/>
        </w:rPr>
        <w:t xml:space="preserve">In each year (2016-2018), the resulting sample </w:t>
      </w:r>
      <w:r w:rsidR="005C5027" w:rsidRPr="002C67CA">
        <w:rPr>
          <w:sz w:val="24"/>
          <w:szCs w:val="24"/>
        </w:rPr>
        <w:t xml:space="preserve">of </w:t>
      </w:r>
      <w:r w:rsidR="00B75F51" w:rsidRPr="002C67CA">
        <w:rPr>
          <w:sz w:val="24"/>
          <w:szCs w:val="24"/>
        </w:rPr>
        <w:t>students at each BUILD</w:t>
      </w:r>
      <w:r w:rsidR="00B75F51">
        <w:rPr>
          <w:sz w:val="24"/>
          <w:szCs w:val="24"/>
        </w:rPr>
        <w:t xml:space="preserve"> institution </w:t>
      </w:r>
      <w:r>
        <w:rPr>
          <w:sz w:val="24"/>
          <w:szCs w:val="24"/>
        </w:rPr>
        <w:t xml:space="preserve">will reflect the demographic characteristics of </w:t>
      </w:r>
      <w:r w:rsidR="00B75F51">
        <w:rPr>
          <w:sz w:val="24"/>
          <w:szCs w:val="24"/>
        </w:rPr>
        <w:t>entering students at those i</w:t>
      </w:r>
      <w:r>
        <w:rPr>
          <w:sz w:val="24"/>
          <w:szCs w:val="24"/>
        </w:rPr>
        <w:t>nstitution</w:t>
      </w:r>
      <w:r w:rsidR="00B75F51">
        <w:rPr>
          <w:sz w:val="24"/>
          <w:szCs w:val="24"/>
        </w:rPr>
        <w:t>s</w:t>
      </w:r>
      <w:r w:rsidR="005E200B">
        <w:rPr>
          <w:sz w:val="24"/>
          <w:szCs w:val="24"/>
        </w:rPr>
        <w:t xml:space="preserve">. </w:t>
      </w:r>
      <w:r w:rsidR="00B75F51">
        <w:rPr>
          <w:sz w:val="24"/>
          <w:szCs w:val="24"/>
        </w:rPr>
        <w:t xml:space="preserve">BUILD awardees reflect institutions </w:t>
      </w:r>
      <w:r w:rsidR="00BC4450">
        <w:rPr>
          <w:sz w:val="24"/>
          <w:szCs w:val="24"/>
        </w:rPr>
        <w:t>(</w:t>
      </w:r>
      <w:r w:rsidR="00B75F51">
        <w:rPr>
          <w:sz w:val="24"/>
          <w:szCs w:val="24"/>
        </w:rPr>
        <w:t xml:space="preserve">with relatively </w:t>
      </w:r>
      <w:r w:rsidR="00BC4450">
        <w:rPr>
          <w:sz w:val="24"/>
          <w:szCs w:val="24"/>
        </w:rPr>
        <w:t xml:space="preserve">high proportions of </w:t>
      </w:r>
      <w:r w:rsidR="001B26D4">
        <w:rPr>
          <w:sz w:val="24"/>
          <w:szCs w:val="24"/>
        </w:rPr>
        <w:t>“under-represented groups”</w:t>
      </w:r>
      <w:r w:rsidR="00FA3ADD">
        <w:rPr>
          <w:sz w:val="24"/>
          <w:szCs w:val="24"/>
        </w:rPr>
        <w:t xml:space="preserve">, </w:t>
      </w:r>
      <w:r w:rsidR="001B26D4">
        <w:rPr>
          <w:sz w:val="24"/>
          <w:szCs w:val="24"/>
        </w:rPr>
        <w:t>e.g., race/ethnic minorities and lower SES groups)</w:t>
      </w:r>
      <w:r w:rsidR="00BC4450">
        <w:rPr>
          <w:sz w:val="24"/>
          <w:szCs w:val="24"/>
        </w:rPr>
        <w:t xml:space="preserve"> (see table in A.8.2. for list of awardee institutions)</w:t>
      </w:r>
      <w:r w:rsidR="001B26D4">
        <w:rPr>
          <w:sz w:val="24"/>
          <w:szCs w:val="24"/>
        </w:rPr>
        <w:t xml:space="preserve">; our sampling will yield similar representation of those groups among those asked to participate in the </w:t>
      </w:r>
      <w:r w:rsidR="005D66D5">
        <w:rPr>
          <w:sz w:val="24"/>
          <w:szCs w:val="24"/>
        </w:rPr>
        <w:t xml:space="preserve">evaluation project and its associated </w:t>
      </w:r>
      <w:r w:rsidR="005E200B">
        <w:rPr>
          <w:sz w:val="24"/>
          <w:szCs w:val="24"/>
        </w:rPr>
        <w:t xml:space="preserve">data collection. </w:t>
      </w:r>
      <w:r>
        <w:rPr>
          <w:sz w:val="24"/>
          <w:szCs w:val="24"/>
        </w:rPr>
        <w:t xml:space="preserve">Students selected for inclusion in the evaluation data collection will be asked to complete the </w:t>
      </w:r>
      <w:bookmarkStart w:id="6" w:name="_Toc238371625"/>
      <w:bookmarkStart w:id="7" w:name="_Toc393888592"/>
      <w:bookmarkStart w:id="8" w:name="_Toc394009764"/>
      <w:r w:rsidR="001E2803" w:rsidRPr="008B6FB8">
        <w:rPr>
          <w:sz w:val="24"/>
          <w:szCs w:val="24"/>
        </w:rPr>
        <w:t xml:space="preserve">HERI </w:t>
      </w:r>
      <w:r w:rsidR="008B6FB8">
        <w:rPr>
          <w:sz w:val="24"/>
          <w:szCs w:val="24"/>
        </w:rPr>
        <w:t>“Freshman</w:t>
      </w:r>
      <w:r w:rsidR="005C5027">
        <w:rPr>
          <w:sz w:val="24"/>
          <w:szCs w:val="24"/>
        </w:rPr>
        <w:t xml:space="preserve"> Survey” or the “Tran</w:t>
      </w:r>
      <w:r w:rsidR="00B30515">
        <w:rPr>
          <w:sz w:val="24"/>
          <w:szCs w:val="24"/>
        </w:rPr>
        <w:t>s</w:t>
      </w:r>
      <w:r w:rsidR="005C5027">
        <w:rPr>
          <w:sz w:val="24"/>
          <w:szCs w:val="24"/>
        </w:rPr>
        <w:t>fer Student Survey”</w:t>
      </w:r>
      <w:r w:rsidR="006D06F9">
        <w:rPr>
          <w:sz w:val="24"/>
          <w:szCs w:val="24"/>
        </w:rPr>
        <w:t xml:space="preserve"> and </w:t>
      </w:r>
      <w:r w:rsidR="008B6FB8">
        <w:rPr>
          <w:sz w:val="24"/>
          <w:szCs w:val="24"/>
        </w:rPr>
        <w:t>will be followed and asked to complete the HERI “Your First College Year” and “College Senior Survey”</w:t>
      </w:r>
      <w:r w:rsidR="005D66D5">
        <w:rPr>
          <w:sz w:val="24"/>
          <w:szCs w:val="24"/>
        </w:rPr>
        <w:t xml:space="preserve"> as well as annual </w:t>
      </w:r>
      <w:r w:rsidR="00477510">
        <w:rPr>
          <w:sz w:val="24"/>
          <w:szCs w:val="24"/>
        </w:rPr>
        <w:t>follow-up</w:t>
      </w:r>
      <w:r w:rsidR="005D66D5">
        <w:rPr>
          <w:sz w:val="24"/>
          <w:szCs w:val="24"/>
        </w:rPr>
        <w:t xml:space="preserve"> surveys</w:t>
      </w:r>
      <w:r w:rsidR="006D06F9" w:rsidRPr="008B6FB8">
        <w:rPr>
          <w:sz w:val="24"/>
          <w:szCs w:val="24"/>
        </w:rPr>
        <w:t>.</w:t>
      </w:r>
      <w:r w:rsidR="006D06F9" w:rsidRPr="00B96E57">
        <w:rPr>
          <w:sz w:val="24"/>
          <w:szCs w:val="24"/>
        </w:rPr>
        <w:t xml:space="preserve">  </w:t>
      </w:r>
      <w:r w:rsidR="006D06F9" w:rsidRPr="00E353DE">
        <w:rPr>
          <w:sz w:val="24"/>
          <w:szCs w:val="24"/>
        </w:rPr>
        <w:t xml:space="preserve">For each of the 10 BUILD institutions, </w:t>
      </w:r>
      <w:r w:rsidR="006D06F9" w:rsidRPr="00B96E57">
        <w:rPr>
          <w:sz w:val="24"/>
          <w:szCs w:val="24"/>
        </w:rPr>
        <w:t xml:space="preserve">we will identify a comparable non-BUILD institution </w:t>
      </w:r>
      <w:r w:rsidR="006D06F9">
        <w:rPr>
          <w:sz w:val="24"/>
          <w:szCs w:val="24"/>
        </w:rPr>
        <w:t>that has also collected HERI Freshman/</w:t>
      </w:r>
      <w:r w:rsidR="005C5027">
        <w:rPr>
          <w:sz w:val="24"/>
          <w:szCs w:val="24"/>
        </w:rPr>
        <w:t>Transfer</w:t>
      </w:r>
      <w:r w:rsidR="006D06F9">
        <w:rPr>
          <w:sz w:val="24"/>
          <w:szCs w:val="24"/>
        </w:rPr>
        <w:t xml:space="preserve"> student</w:t>
      </w:r>
      <w:r w:rsidR="005D66D5">
        <w:rPr>
          <w:sz w:val="24"/>
          <w:szCs w:val="24"/>
        </w:rPr>
        <w:t>, Your First College Year</w:t>
      </w:r>
      <w:r w:rsidR="006D06F9">
        <w:rPr>
          <w:sz w:val="24"/>
          <w:szCs w:val="24"/>
        </w:rPr>
        <w:t xml:space="preserve"> </w:t>
      </w:r>
      <w:r w:rsidR="005D66D5">
        <w:rPr>
          <w:sz w:val="24"/>
          <w:szCs w:val="24"/>
        </w:rPr>
        <w:t xml:space="preserve">and Senior Year </w:t>
      </w:r>
      <w:r w:rsidR="006D06F9">
        <w:rPr>
          <w:sz w:val="24"/>
          <w:szCs w:val="24"/>
        </w:rPr>
        <w:t xml:space="preserve">surveys; matching of BUILD/non-BUILD institutions will be </w:t>
      </w:r>
      <w:r w:rsidR="006D06F9" w:rsidRPr="00B96E57">
        <w:rPr>
          <w:sz w:val="24"/>
          <w:szCs w:val="24"/>
        </w:rPr>
        <w:t>based on ethnic distribution and curricular offerings.</w:t>
      </w:r>
      <w:r w:rsidR="002B2653" w:rsidRPr="008B6FB8">
        <w:rPr>
          <w:sz w:val="24"/>
          <w:szCs w:val="24"/>
        </w:rPr>
        <w:t xml:space="preserve"> </w:t>
      </w:r>
      <w:r w:rsidR="00477510">
        <w:rPr>
          <w:sz w:val="24"/>
          <w:szCs w:val="24"/>
        </w:rPr>
        <w:t>Secondary d</w:t>
      </w:r>
      <w:r w:rsidR="005D66D5">
        <w:rPr>
          <w:sz w:val="24"/>
          <w:szCs w:val="24"/>
        </w:rPr>
        <w:t xml:space="preserve">ata from HERI surveys at those non-BUILD institutions will be used for comparison with outcomes at BUILD </w:t>
      </w:r>
      <w:r w:rsidR="005D66D5">
        <w:rPr>
          <w:sz w:val="24"/>
          <w:szCs w:val="24"/>
        </w:rPr>
        <w:lastRenderedPageBreak/>
        <w:t>institutions.</w:t>
      </w:r>
    </w:p>
    <w:p w14:paraId="0CAD40BF" w14:textId="77777777" w:rsidR="006D06F9" w:rsidRDefault="006D06F9" w:rsidP="00C01540">
      <w:pPr>
        <w:pStyle w:val="P1-StandPara"/>
        <w:widowControl w:val="0"/>
        <w:spacing w:line="240" w:lineRule="auto"/>
        <w:ind w:firstLine="0"/>
        <w:rPr>
          <w:sz w:val="24"/>
          <w:szCs w:val="24"/>
        </w:rPr>
      </w:pPr>
    </w:p>
    <w:p w14:paraId="6D99A5AB" w14:textId="5F2DE154" w:rsidR="006D06F9" w:rsidRDefault="00B83C8E" w:rsidP="00C01540">
      <w:pPr>
        <w:pStyle w:val="P1-StandPara"/>
        <w:widowControl w:val="0"/>
        <w:spacing w:line="240" w:lineRule="auto"/>
        <w:ind w:firstLine="0"/>
        <w:rPr>
          <w:sz w:val="24"/>
          <w:szCs w:val="24"/>
        </w:rPr>
      </w:pPr>
      <w:r w:rsidRPr="00AA4E58">
        <w:rPr>
          <w:sz w:val="24"/>
          <w:szCs w:val="24"/>
          <w:u w:val="single"/>
        </w:rPr>
        <w:t>BUILD Faculty</w:t>
      </w:r>
      <w:r>
        <w:rPr>
          <w:sz w:val="24"/>
          <w:szCs w:val="24"/>
        </w:rPr>
        <w:t>: W</w:t>
      </w:r>
      <w:r w:rsidR="001E2803" w:rsidRPr="008B6FB8">
        <w:rPr>
          <w:sz w:val="24"/>
          <w:szCs w:val="24"/>
        </w:rPr>
        <w:t xml:space="preserve">e will survey </w:t>
      </w:r>
      <w:r w:rsidR="00CC11F5" w:rsidRPr="009E76B0">
        <w:rPr>
          <w:sz w:val="24"/>
          <w:szCs w:val="24"/>
        </w:rPr>
        <w:t>5</w:t>
      </w:r>
      <w:r w:rsidR="001E2803" w:rsidRPr="008B6FB8">
        <w:rPr>
          <w:sz w:val="24"/>
          <w:szCs w:val="24"/>
        </w:rPr>
        <w:t xml:space="preserve">00 faculty from </w:t>
      </w:r>
      <w:r w:rsidR="00CC11F5" w:rsidRPr="009E76B0">
        <w:rPr>
          <w:sz w:val="24"/>
          <w:szCs w:val="24"/>
        </w:rPr>
        <w:t xml:space="preserve">all </w:t>
      </w:r>
      <w:r w:rsidR="001E2803" w:rsidRPr="008B6FB8">
        <w:rPr>
          <w:sz w:val="24"/>
          <w:szCs w:val="24"/>
        </w:rPr>
        <w:t>BUILD institutions</w:t>
      </w:r>
      <w:r w:rsidR="00CC11F5" w:rsidRPr="009E76B0">
        <w:rPr>
          <w:sz w:val="24"/>
          <w:szCs w:val="24"/>
        </w:rPr>
        <w:t xml:space="preserve"> combined (~50/institution)</w:t>
      </w:r>
      <w:r w:rsidR="001E2803" w:rsidRPr="008B6FB8">
        <w:rPr>
          <w:sz w:val="24"/>
          <w:szCs w:val="24"/>
        </w:rPr>
        <w:t xml:space="preserve"> and </w:t>
      </w:r>
      <w:r w:rsidR="00CC11F5" w:rsidRPr="009E76B0">
        <w:rPr>
          <w:sz w:val="24"/>
          <w:szCs w:val="24"/>
        </w:rPr>
        <w:t>5</w:t>
      </w:r>
      <w:r w:rsidR="001E2803" w:rsidRPr="008B6FB8">
        <w:rPr>
          <w:sz w:val="24"/>
          <w:szCs w:val="24"/>
        </w:rPr>
        <w:t xml:space="preserve">00 faculty from non-BUILD institutions </w:t>
      </w:r>
      <w:r w:rsidR="00CC11F5" w:rsidRPr="009E76B0">
        <w:rPr>
          <w:sz w:val="24"/>
          <w:szCs w:val="24"/>
        </w:rPr>
        <w:t xml:space="preserve">(~50/institution) </w:t>
      </w:r>
      <w:r w:rsidR="002B2653" w:rsidRPr="009E76B0">
        <w:rPr>
          <w:sz w:val="24"/>
          <w:szCs w:val="24"/>
        </w:rPr>
        <w:t>in 2016 (baseline)</w:t>
      </w:r>
      <w:r w:rsidR="00BC4450">
        <w:rPr>
          <w:sz w:val="24"/>
          <w:szCs w:val="24"/>
        </w:rPr>
        <w:t>.</w:t>
      </w:r>
      <w:r w:rsidR="002B2653" w:rsidRPr="009E76B0">
        <w:rPr>
          <w:sz w:val="24"/>
          <w:szCs w:val="24"/>
        </w:rPr>
        <w:t xml:space="preserve"> </w:t>
      </w:r>
      <w:r w:rsidR="00B738CB" w:rsidRPr="008B6FB8">
        <w:rPr>
          <w:sz w:val="24"/>
          <w:szCs w:val="24"/>
        </w:rPr>
        <w:t>Faculty are</w:t>
      </w:r>
      <w:r w:rsidR="002B2653" w:rsidRPr="008B6FB8">
        <w:rPr>
          <w:sz w:val="24"/>
          <w:szCs w:val="24"/>
        </w:rPr>
        <w:t xml:space="preserve"> sampled only once as there is expected to be little change in faculty over the 3 year follow-up</w:t>
      </w:r>
      <w:r w:rsidR="007B621F">
        <w:rPr>
          <w:sz w:val="24"/>
          <w:szCs w:val="24"/>
        </w:rPr>
        <w:t xml:space="preserve"> based on faculty retention and turnover rates</w:t>
      </w:r>
      <w:r w:rsidR="006D06F9" w:rsidRPr="002C67CA">
        <w:rPr>
          <w:sz w:val="24"/>
          <w:szCs w:val="24"/>
        </w:rPr>
        <w:t>.  At BUILD institutions, faculty will be sampled such that all faculty participating in the BUILD program activities are included</w:t>
      </w:r>
      <w:r w:rsidR="00D403EE" w:rsidRPr="002C67CA">
        <w:rPr>
          <w:sz w:val="24"/>
          <w:szCs w:val="24"/>
        </w:rPr>
        <w:t xml:space="preserve"> (unless there are more than 25 in which case a random sample will be drawn so that the faculty who have participated in BUILD do not represent more than 50% of the total sample of 50).  In addition, </w:t>
      </w:r>
      <w:r w:rsidR="006D06F9" w:rsidRPr="002C67CA">
        <w:rPr>
          <w:sz w:val="24"/>
          <w:szCs w:val="24"/>
        </w:rPr>
        <w:t>a random sample of other faculty in biomedical disciplines</w:t>
      </w:r>
      <w:r w:rsidR="00D403EE" w:rsidRPr="002C67CA">
        <w:rPr>
          <w:sz w:val="24"/>
          <w:szCs w:val="24"/>
        </w:rPr>
        <w:t xml:space="preserve"> will be drawn to complete the total sample of 50</w:t>
      </w:r>
      <w:r w:rsidR="006D06F9" w:rsidRPr="002C67CA">
        <w:rPr>
          <w:sz w:val="24"/>
          <w:szCs w:val="24"/>
        </w:rPr>
        <w:t xml:space="preserve">.  Faculty at non-BUILD institutions will be randomly sampled from </w:t>
      </w:r>
      <w:r w:rsidR="00477510" w:rsidRPr="002C67CA">
        <w:rPr>
          <w:sz w:val="24"/>
          <w:szCs w:val="24"/>
        </w:rPr>
        <w:t>existing secondary data from HERI Faculty Surveys administered independent of this initiative by various US academic institutions</w:t>
      </w:r>
      <w:r w:rsidR="00477510">
        <w:rPr>
          <w:sz w:val="24"/>
          <w:szCs w:val="24"/>
        </w:rPr>
        <w:t>; faculty will be sampled (based on responses in the HERI Faculty Survey) based on the</w:t>
      </w:r>
      <w:r w:rsidR="006D06F9">
        <w:rPr>
          <w:sz w:val="24"/>
          <w:szCs w:val="24"/>
        </w:rPr>
        <w:t xml:space="preserve"> same biomedical disciplines.</w:t>
      </w:r>
      <w:r w:rsidR="00A54624">
        <w:rPr>
          <w:sz w:val="24"/>
          <w:szCs w:val="24"/>
        </w:rPr>
        <w:t xml:space="preserve"> Resulting samples will reflect the demographic characteristics of faculty in those disciplines at participating institutions.</w:t>
      </w:r>
    </w:p>
    <w:p w14:paraId="3A7587E0" w14:textId="77777777" w:rsidR="006D06F9" w:rsidRDefault="006D06F9" w:rsidP="00C01540">
      <w:pPr>
        <w:pStyle w:val="P1-StandPara"/>
        <w:widowControl w:val="0"/>
        <w:spacing w:line="240" w:lineRule="auto"/>
        <w:ind w:firstLine="0"/>
        <w:rPr>
          <w:sz w:val="24"/>
          <w:szCs w:val="24"/>
        </w:rPr>
      </w:pPr>
    </w:p>
    <w:p w14:paraId="49EA632F" w14:textId="77777777" w:rsidR="006D06F9" w:rsidRDefault="00D05B2C" w:rsidP="00AA4E58">
      <w:r w:rsidRPr="00AA4E58">
        <w:rPr>
          <w:u w:val="single"/>
        </w:rPr>
        <w:t>NRMN</w:t>
      </w:r>
      <w:r>
        <w:t xml:space="preserve">: </w:t>
      </w:r>
      <w:r w:rsidR="00AA4E58">
        <w:t xml:space="preserve">NRMN </w:t>
      </w:r>
      <w:r w:rsidR="00AA4E58" w:rsidRPr="000C7FBE">
        <w:t>target</w:t>
      </w:r>
      <w:r w:rsidR="00AA4E58">
        <w:t>s</w:t>
      </w:r>
      <w:r w:rsidR="00AA4E58" w:rsidRPr="000C7FBE">
        <w:t xml:space="preserve"> students</w:t>
      </w:r>
      <w:r w:rsidR="00AA4E58">
        <w:t xml:space="preserve"> (undergraduate through post-doctoral)</w:t>
      </w:r>
      <w:r w:rsidR="00AA4E58" w:rsidRPr="000C7FBE">
        <w:t xml:space="preserve"> and </w:t>
      </w:r>
      <w:r w:rsidR="00AA4E58">
        <w:t>faculty/</w:t>
      </w:r>
      <w:r w:rsidR="00AA4E58" w:rsidRPr="000C7FBE">
        <w:t>professional</w:t>
      </w:r>
      <w:r w:rsidR="00477510">
        <w:t>s</w:t>
      </w:r>
      <w:r w:rsidR="00AA4E58" w:rsidRPr="000C7FBE">
        <w:t xml:space="preserve"> </w:t>
      </w:r>
      <w:r w:rsidR="00AA4E58">
        <w:t xml:space="preserve">at all levels who are training for or engaged </w:t>
      </w:r>
      <w:r w:rsidR="00AA4E58" w:rsidRPr="000C7FBE">
        <w:t>in bio</w:t>
      </w:r>
      <w:r w:rsidR="00AA4E58">
        <w:t xml:space="preserve">medical research studies or </w:t>
      </w:r>
      <w:r w:rsidR="00AA4E58" w:rsidRPr="000C7FBE">
        <w:t>career</w:t>
      </w:r>
      <w:r w:rsidR="00AA4E58">
        <w:t>s</w:t>
      </w:r>
      <w:r w:rsidR="005E200B">
        <w:t xml:space="preserve">. </w:t>
      </w:r>
      <w:r w:rsidR="00AA4E58" w:rsidRPr="000C7FBE">
        <w:t xml:space="preserve">Thus, the description of the respondent universe </w:t>
      </w:r>
      <w:r w:rsidR="00AA4E58">
        <w:t>relies</w:t>
      </w:r>
      <w:r w:rsidR="00AA4E58" w:rsidRPr="000C7FBE">
        <w:t xml:space="preserve"> on the respondents’ r</w:t>
      </w:r>
      <w:r w:rsidR="005E200B">
        <w:t xml:space="preserve">oles in the NRMN intervention. </w:t>
      </w:r>
      <w:r w:rsidR="00AA4E58">
        <w:t>W</w:t>
      </w:r>
      <w:r w:rsidR="006D06F9">
        <w:t xml:space="preserve">e will randomly sample from </w:t>
      </w:r>
      <w:r w:rsidR="00AA4E58">
        <w:t xml:space="preserve">subgroups </w:t>
      </w:r>
      <w:r w:rsidR="006D06F9">
        <w:t>defined by the specific NRMN activities that individuals have participated in (e.g., sampling those taking mentor training, those taking the grant writing skills workshops).</w:t>
      </w:r>
      <w:r w:rsidR="00A54624">
        <w:t xml:space="preserve">  Resulting samples will reflect the demographic characteristics of those participating in the various NRMN activities.</w:t>
      </w:r>
    </w:p>
    <w:p w14:paraId="3FEBCE80" w14:textId="77777777" w:rsidR="006D06F9" w:rsidRDefault="006D06F9" w:rsidP="00C01540">
      <w:pPr>
        <w:pStyle w:val="P1-StandPara"/>
        <w:widowControl w:val="0"/>
        <w:spacing w:line="240" w:lineRule="auto"/>
        <w:ind w:firstLine="0"/>
        <w:rPr>
          <w:sz w:val="24"/>
          <w:szCs w:val="24"/>
        </w:rPr>
      </w:pPr>
    </w:p>
    <w:p w14:paraId="545DE8D4" w14:textId="77777777" w:rsidR="001E2803" w:rsidRPr="00B96E57" w:rsidRDefault="001D2DA3" w:rsidP="00C01540">
      <w:pPr>
        <w:pStyle w:val="P1-StandPara"/>
        <w:widowControl w:val="0"/>
        <w:spacing w:line="240" w:lineRule="auto"/>
        <w:ind w:firstLine="0"/>
        <w:rPr>
          <w:sz w:val="24"/>
          <w:szCs w:val="24"/>
        </w:rPr>
      </w:pPr>
      <w:r w:rsidRPr="00B96E57">
        <w:rPr>
          <w:sz w:val="24"/>
          <w:szCs w:val="24"/>
        </w:rPr>
        <w:t xml:space="preserve">Intervention, contextual, institutional, faculty, and student variables (discussed below) will be used in the multilevel analysis to assess </w:t>
      </w:r>
      <w:r w:rsidRPr="008B6FB8">
        <w:rPr>
          <w:sz w:val="24"/>
          <w:szCs w:val="24"/>
        </w:rPr>
        <w:t>BUILD impact.</w:t>
      </w:r>
      <w:r w:rsidRPr="008B6FB8">
        <w:rPr>
          <w:b/>
          <w:sz w:val="24"/>
          <w:szCs w:val="24"/>
        </w:rPr>
        <w:t xml:space="preserve">  </w:t>
      </w:r>
    </w:p>
    <w:p w14:paraId="31B9EF2C" w14:textId="77777777" w:rsidR="006D06F9" w:rsidRDefault="006D06F9" w:rsidP="0095781C">
      <w:pPr>
        <w:rPr>
          <w:b/>
          <w:u w:val="single"/>
        </w:rPr>
      </w:pPr>
    </w:p>
    <w:p w14:paraId="451942E0" w14:textId="77777777" w:rsidR="0095781C" w:rsidRDefault="0095781C" w:rsidP="00932363">
      <w:pPr>
        <w:pStyle w:val="Heading1"/>
        <w:rPr>
          <w:u w:val="single"/>
        </w:rPr>
      </w:pPr>
      <w:bookmarkStart w:id="9" w:name="_Toc440001873"/>
      <w:r w:rsidRPr="00932363">
        <w:rPr>
          <w:u w:val="single"/>
        </w:rPr>
        <w:t>B.2 Procedures for the Collection of Information</w:t>
      </w:r>
      <w:bookmarkEnd w:id="9"/>
    </w:p>
    <w:p w14:paraId="752767AF" w14:textId="77777777" w:rsidR="00E36942" w:rsidRPr="00E36942" w:rsidRDefault="00E36942" w:rsidP="00E36942"/>
    <w:p w14:paraId="03C19C63" w14:textId="77777777" w:rsidR="00F81549" w:rsidRPr="00D8063C" w:rsidRDefault="00F81549" w:rsidP="00932363">
      <w:r w:rsidRPr="00932363">
        <w:rPr>
          <w:b/>
        </w:rPr>
        <w:t>B.</w:t>
      </w:r>
      <w:r w:rsidR="0095781C" w:rsidRPr="00932363">
        <w:rPr>
          <w:b/>
        </w:rPr>
        <w:t>2</w:t>
      </w:r>
      <w:r w:rsidRPr="00932363">
        <w:rPr>
          <w:b/>
        </w:rPr>
        <w:t>.</w:t>
      </w:r>
      <w:r w:rsidR="0095781C" w:rsidRPr="00932363">
        <w:rPr>
          <w:b/>
        </w:rPr>
        <w:t>1</w:t>
      </w:r>
      <w:r w:rsidRPr="00932363">
        <w:rPr>
          <w:b/>
        </w:rPr>
        <w:t>. Power Analysis and Estimation Procedure</w:t>
      </w:r>
      <w:bookmarkEnd w:id="6"/>
      <w:bookmarkEnd w:id="7"/>
      <w:bookmarkEnd w:id="8"/>
    </w:p>
    <w:p w14:paraId="35994686" w14:textId="77777777" w:rsidR="00D05B2C" w:rsidRDefault="00D05B2C" w:rsidP="00144958">
      <w:pPr>
        <w:pStyle w:val="P1-StandPara"/>
        <w:spacing w:line="240" w:lineRule="auto"/>
        <w:ind w:firstLine="0"/>
        <w:rPr>
          <w:sz w:val="24"/>
          <w:szCs w:val="24"/>
        </w:rPr>
      </w:pPr>
    </w:p>
    <w:p w14:paraId="5433643C" w14:textId="77777777" w:rsidR="00D05B2C" w:rsidRDefault="00D05B2C" w:rsidP="00144958">
      <w:pPr>
        <w:pStyle w:val="P1-StandPara"/>
        <w:spacing w:line="240" w:lineRule="auto"/>
        <w:ind w:firstLine="0"/>
        <w:rPr>
          <w:sz w:val="24"/>
          <w:szCs w:val="24"/>
        </w:rPr>
      </w:pPr>
      <w:r>
        <w:rPr>
          <w:sz w:val="24"/>
          <w:szCs w:val="24"/>
        </w:rPr>
        <w:t>Our overall analysis plan will compare BUILD exposed groups (students, faculty, institution) to non-BUILD exposed comparison groups or will compare NRMN participants exposed to a given activities (</w:t>
      </w:r>
      <w:r w:rsidR="00477510">
        <w:rPr>
          <w:sz w:val="24"/>
          <w:szCs w:val="24"/>
        </w:rPr>
        <w:t xml:space="preserve">grant-writing </w:t>
      </w:r>
      <w:r>
        <w:rPr>
          <w:sz w:val="24"/>
          <w:szCs w:val="24"/>
        </w:rPr>
        <w:t>workshop, mentoring) to NRMN participants who were</w:t>
      </w:r>
      <w:r w:rsidR="005E200B">
        <w:rPr>
          <w:sz w:val="24"/>
          <w:szCs w:val="24"/>
        </w:rPr>
        <w:t xml:space="preserve"> not exposed to that activity. </w:t>
      </w:r>
      <w:r>
        <w:rPr>
          <w:sz w:val="24"/>
          <w:szCs w:val="24"/>
        </w:rPr>
        <w:t xml:space="preserve">For the various key outcomes (defined in the Hallmarks; </w:t>
      </w:r>
      <w:r w:rsidR="009A4C71">
        <w:rPr>
          <w:sz w:val="24"/>
          <w:szCs w:val="24"/>
        </w:rPr>
        <w:t>see Attachment 4), g</w:t>
      </w:r>
      <w:r>
        <w:rPr>
          <w:sz w:val="24"/>
          <w:szCs w:val="24"/>
        </w:rPr>
        <w:t>eneralized mixed linear models will be used to test the hypothesis that the BUILD or NRMN interventions results in better outcomes for those participating in BUILD or NRMN activities.</w:t>
      </w:r>
      <w:r w:rsidR="00F673FD">
        <w:rPr>
          <w:sz w:val="24"/>
          <w:szCs w:val="24"/>
        </w:rPr>
        <w:t xml:space="preserve"> Models will test for the significance of an interaction term reflecting the “difference of differences” of the senior minus freshman scores for BUILD students versus similar </w:t>
      </w:r>
      <w:r w:rsidR="005E200B">
        <w:rPr>
          <w:sz w:val="24"/>
          <w:szCs w:val="24"/>
        </w:rPr>
        <w:t xml:space="preserve">students in non-BUILD schools. </w:t>
      </w:r>
      <w:r w:rsidR="00F673FD">
        <w:rPr>
          <w:sz w:val="24"/>
          <w:szCs w:val="24"/>
        </w:rPr>
        <w:t>A statistically significant term in a positive direction would indicate success of BUILD, after adjusting for the covariates and clustering within institutions.</w:t>
      </w:r>
    </w:p>
    <w:p w14:paraId="52993EAB" w14:textId="77777777" w:rsidR="0064194B" w:rsidRDefault="0064194B" w:rsidP="00144958">
      <w:pPr>
        <w:pStyle w:val="P1-StandPara"/>
        <w:spacing w:line="240" w:lineRule="auto"/>
        <w:ind w:firstLine="0"/>
        <w:rPr>
          <w:sz w:val="24"/>
          <w:szCs w:val="24"/>
        </w:rPr>
      </w:pPr>
    </w:p>
    <w:p w14:paraId="5C05FD09" w14:textId="77777777" w:rsidR="006D7983" w:rsidRDefault="00D05B2C" w:rsidP="00BC4019">
      <w:pPr>
        <w:pStyle w:val="P1-StandPara"/>
        <w:ind w:firstLine="0"/>
        <w:rPr>
          <w:sz w:val="24"/>
          <w:szCs w:val="24"/>
        </w:rPr>
      </w:pPr>
      <w:r>
        <w:rPr>
          <w:sz w:val="24"/>
          <w:szCs w:val="24"/>
        </w:rPr>
        <w:t>T</w:t>
      </w:r>
      <w:r w:rsidR="006D7983" w:rsidRPr="000C7FBE">
        <w:rPr>
          <w:sz w:val="24"/>
          <w:szCs w:val="24"/>
        </w:rPr>
        <w:t>he power calculations are based on</w:t>
      </w:r>
      <w:r w:rsidR="000028C7" w:rsidRPr="000C7FBE">
        <w:rPr>
          <w:sz w:val="24"/>
          <w:szCs w:val="24"/>
        </w:rPr>
        <w:t xml:space="preserve"> testing the following </w:t>
      </w:r>
      <w:r>
        <w:rPr>
          <w:sz w:val="24"/>
          <w:szCs w:val="24"/>
        </w:rPr>
        <w:t xml:space="preserve">key </w:t>
      </w:r>
      <w:r w:rsidR="000028C7" w:rsidRPr="000C7FBE">
        <w:rPr>
          <w:sz w:val="24"/>
          <w:szCs w:val="24"/>
        </w:rPr>
        <w:t>hypothes</w:t>
      </w:r>
      <w:r w:rsidR="00710964" w:rsidRPr="000C7FBE">
        <w:rPr>
          <w:sz w:val="24"/>
          <w:szCs w:val="24"/>
        </w:rPr>
        <w:t>i</w:t>
      </w:r>
      <w:r w:rsidR="006D7983" w:rsidRPr="000C7FBE">
        <w:rPr>
          <w:sz w:val="24"/>
          <w:szCs w:val="24"/>
        </w:rPr>
        <w:t>s:</w:t>
      </w:r>
    </w:p>
    <w:p w14:paraId="6CC93715" w14:textId="77777777" w:rsidR="002C3642" w:rsidRPr="002B2653" w:rsidRDefault="002C3642" w:rsidP="00BC4019">
      <w:pPr>
        <w:pStyle w:val="P1-StandPara"/>
        <w:ind w:firstLine="0"/>
        <w:rPr>
          <w:b/>
          <w:sz w:val="24"/>
          <w:szCs w:val="24"/>
          <w:u w:val="single"/>
        </w:rPr>
      </w:pPr>
      <w:r w:rsidRPr="002B2653">
        <w:rPr>
          <w:b/>
          <w:sz w:val="24"/>
          <w:szCs w:val="24"/>
          <w:u w:val="single"/>
        </w:rPr>
        <w:t>Students (BUILD)</w:t>
      </w:r>
    </w:p>
    <w:p w14:paraId="7E530148" w14:textId="77777777" w:rsidR="001A3DB6" w:rsidRPr="00C01540" w:rsidRDefault="001A3DB6" w:rsidP="00BC4019">
      <w:pPr>
        <w:widowControl w:val="0"/>
        <w:rPr>
          <w:rFonts w:eastAsia="Arial"/>
          <w:i/>
        </w:rPr>
      </w:pPr>
      <w:r w:rsidRPr="00C01540">
        <w:rPr>
          <w:rFonts w:eastAsia="Arial"/>
          <w:b/>
          <w:bCs/>
          <w:i/>
          <w:spacing w:val="-1"/>
        </w:rPr>
        <w:t>H</w:t>
      </w:r>
      <w:r w:rsidR="00710964" w:rsidRPr="00C01540">
        <w:rPr>
          <w:rFonts w:eastAsia="Arial"/>
          <w:b/>
          <w:bCs/>
          <w:i/>
          <w:spacing w:val="-1"/>
        </w:rPr>
        <w:t>1</w:t>
      </w:r>
      <w:r w:rsidRPr="00C01540">
        <w:rPr>
          <w:rFonts w:eastAsia="Arial"/>
          <w:i/>
          <w:spacing w:val="-1"/>
        </w:rPr>
        <w:t>:</w:t>
      </w:r>
      <w:r w:rsidRPr="00C01540">
        <w:rPr>
          <w:rFonts w:eastAsia="Arial"/>
          <w:i/>
          <w:spacing w:val="-6"/>
        </w:rPr>
        <w:t xml:space="preserve"> </w:t>
      </w:r>
      <w:r w:rsidRPr="00C01540">
        <w:rPr>
          <w:rFonts w:eastAsia="Arial"/>
          <w:i/>
        </w:rPr>
        <w:t>The</w:t>
      </w:r>
      <w:r w:rsidRPr="00C01540">
        <w:rPr>
          <w:rFonts w:eastAsia="Arial"/>
          <w:i/>
          <w:spacing w:val="-6"/>
        </w:rPr>
        <w:t xml:space="preserve"> </w:t>
      </w:r>
      <w:r w:rsidRPr="00C01540">
        <w:rPr>
          <w:rFonts w:eastAsia="Arial"/>
          <w:i/>
        </w:rPr>
        <w:t>“</w:t>
      </w:r>
      <w:r w:rsidR="00557265" w:rsidRPr="00C01540">
        <w:rPr>
          <w:rFonts w:eastAsia="Arial"/>
          <w:b/>
          <w:bCs/>
          <w:i/>
        </w:rPr>
        <w:t>Biomedical Career Interest Scale score</w:t>
      </w:r>
      <w:r w:rsidRPr="000C7FBE">
        <w:rPr>
          <w:rFonts w:eastAsia="Arial"/>
          <w:i/>
        </w:rPr>
        <w:t>”</w:t>
      </w:r>
      <w:r w:rsidRPr="000C7FBE">
        <w:rPr>
          <w:rFonts w:eastAsia="Arial"/>
          <w:i/>
          <w:spacing w:val="-8"/>
        </w:rPr>
        <w:t xml:space="preserve"> </w:t>
      </w:r>
      <w:r w:rsidRPr="00E353DE">
        <w:rPr>
          <w:rFonts w:eastAsia="Arial"/>
          <w:i/>
        </w:rPr>
        <w:t>will</w:t>
      </w:r>
      <w:r w:rsidRPr="00E353DE">
        <w:rPr>
          <w:rFonts w:eastAsia="Arial"/>
          <w:i/>
          <w:spacing w:val="-7"/>
        </w:rPr>
        <w:t xml:space="preserve"> </w:t>
      </w:r>
      <w:r w:rsidRPr="00E353DE">
        <w:rPr>
          <w:rFonts w:eastAsia="Arial"/>
          <w:i/>
          <w:spacing w:val="-1"/>
        </w:rPr>
        <w:t>improve</w:t>
      </w:r>
      <w:r w:rsidRPr="00B96E57">
        <w:rPr>
          <w:rFonts w:eastAsia="Arial"/>
          <w:i/>
          <w:spacing w:val="-6"/>
        </w:rPr>
        <w:t xml:space="preserve"> </w:t>
      </w:r>
      <w:r w:rsidRPr="000C7FBE">
        <w:rPr>
          <w:rFonts w:eastAsia="Arial"/>
          <w:i/>
        </w:rPr>
        <w:t>over</w:t>
      </w:r>
      <w:r w:rsidRPr="000C7FBE">
        <w:rPr>
          <w:rFonts w:eastAsia="Arial"/>
          <w:i/>
          <w:spacing w:val="-7"/>
        </w:rPr>
        <w:t xml:space="preserve"> </w:t>
      </w:r>
      <w:r w:rsidRPr="000C7FBE">
        <w:rPr>
          <w:rFonts w:eastAsia="Arial"/>
          <w:i/>
          <w:spacing w:val="-1"/>
        </w:rPr>
        <w:t>time</w:t>
      </w:r>
      <w:r w:rsidRPr="000C7FBE">
        <w:rPr>
          <w:rFonts w:eastAsia="Arial"/>
          <w:i/>
          <w:spacing w:val="-5"/>
        </w:rPr>
        <w:t xml:space="preserve"> </w:t>
      </w:r>
      <w:r w:rsidRPr="000C7FBE">
        <w:rPr>
          <w:rFonts w:eastAsia="Arial"/>
          <w:i/>
        </w:rPr>
        <w:t>more</w:t>
      </w:r>
      <w:r w:rsidRPr="000C7FBE">
        <w:rPr>
          <w:rFonts w:eastAsia="Arial"/>
          <w:i/>
          <w:spacing w:val="-7"/>
        </w:rPr>
        <w:t xml:space="preserve"> </w:t>
      </w:r>
      <w:r w:rsidRPr="000C7FBE">
        <w:rPr>
          <w:rFonts w:eastAsia="Arial"/>
          <w:i/>
        </w:rPr>
        <w:t>for</w:t>
      </w:r>
      <w:r w:rsidRPr="000C7FBE">
        <w:rPr>
          <w:rFonts w:eastAsia="Arial"/>
          <w:i/>
          <w:spacing w:val="-7"/>
        </w:rPr>
        <w:t xml:space="preserve"> </w:t>
      </w:r>
      <w:r w:rsidRPr="00E353DE">
        <w:rPr>
          <w:rFonts w:eastAsia="Arial"/>
          <w:i/>
        </w:rPr>
        <w:t>students</w:t>
      </w:r>
      <w:r w:rsidRPr="00E353DE">
        <w:rPr>
          <w:rFonts w:eastAsia="Arial"/>
          <w:i/>
          <w:spacing w:val="-6"/>
        </w:rPr>
        <w:t xml:space="preserve"> </w:t>
      </w:r>
      <w:r w:rsidRPr="00E353DE">
        <w:rPr>
          <w:rFonts w:eastAsia="Arial"/>
          <w:i/>
          <w:spacing w:val="-1"/>
        </w:rPr>
        <w:t>in</w:t>
      </w:r>
      <w:r w:rsidRPr="00E353DE">
        <w:rPr>
          <w:rFonts w:eastAsia="Arial"/>
          <w:i/>
          <w:spacing w:val="-6"/>
        </w:rPr>
        <w:t xml:space="preserve"> </w:t>
      </w:r>
      <w:r w:rsidR="00B760D3" w:rsidRPr="00B96E57">
        <w:rPr>
          <w:rFonts w:eastAsia="Arial"/>
          <w:i/>
          <w:spacing w:val="-6"/>
        </w:rPr>
        <w:t xml:space="preserve">the </w:t>
      </w:r>
      <w:r w:rsidRPr="00B96E57">
        <w:rPr>
          <w:rFonts w:eastAsia="Arial"/>
          <w:i/>
        </w:rPr>
        <w:t>BUILD</w:t>
      </w:r>
      <w:r w:rsidRPr="00B96E57">
        <w:rPr>
          <w:rFonts w:eastAsia="Arial"/>
          <w:i/>
          <w:spacing w:val="39"/>
          <w:w w:val="99"/>
        </w:rPr>
        <w:t xml:space="preserve"> </w:t>
      </w:r>
      <w:r w:rsidRPr="00B96E57">
        <w:rPr>
          <w:rFonts w:eastAsia="Arial"/>
          <w:i/>
        </w:rPr>
        <w:t>than</w:t>
      </w:r>
      <w:r w:rsidRPr="00C01540">
        <w:rPr>
          <w:rFonts w:eastAsia="Arial"/>
          <w:i/>
          <w:spacing w:val="-11"/>
        </w:rPr>
        <w:t xml:space="preserve"> </w:t>
      </w:r>
      <w:r w:rsidRPr="00C01540">
        <w:rPr>
          <w:rFonts w:eastAsia="Arial"/>
          <w:i/>
        </w:rPr>
        <w:t>in</w:t>
      </w:r>
      <w:r w:rsidRPr="00C01540">
        <w:rPr>
          <w:rFonts w:eastAsia="Arial"/>
          <w:i/>
          <w:spacing w:val="-10"/>
        </w:rPr>
        <w:t xml:space="preserve"> </w:t>
      </w:r>
      <w:r w:rsidR="00B760D3" w:rsidRPr="00C01540">
        <w:rPr>
          <w:rFonts w:eastAsia="Arial"/>
          <w:i/>
          <w:spacing w:val="-10"/>
        </w:rPr>
        <w:t xml:space="preserve">the </w:t>
      </w:r>
      <w:r w:rsidRPr="00C01540">
        <w:rPr>
          <w:rFonts w:eastAsia="Arial"/>
          <w:i/>
          <w:spacing w:val="-1"/>
        </w:rPr>
        <w:t>non-BUILD</w:t>
      </w:r>
      <w:r w:rsidRPr="00C01540">
        <w:rPr>
          <w:rFonts w:eastAsia="Arial"/>
          <w:i/>
          <w:spacing w:val="-10"/>
        </w:rPr>
        <w:t xml:space="preserve"> </w:t>
      </w:r>
      <w:r w:rsidRPr="00C01540">
        <w:rPr>
          <w:rFonts w:eastAsia="Arial"/>
          <w:i/>
        </w:rPr>
        <w:t>institution.</w:t>
      </w:r>
    </w:p>
    <w:p w14:paraId="516533A5" w14:textId="77777777" w:rsidR="001A3DB6" w:rsidRPr="00C01540" w:rsidRDefault="001A3DB6" w:rsidP="00BC4019">
      <w:pPr>
        <w:widowControl w:val="0"/>
        <w:rPr>
          <w:rFonts w:eastAsia="Arial"/>
        </w:rPr>
      </w:pPr>
    </w:p>
    <w:p w14:paraId="327B30F6" w14:textId="77777777" w:rsidR="00496045" w:rsidRPr="00E520BA" w:rsidRDefault="00496045" w:rsidP="00FC1964">
      <w:pPr>
        <w:rPr>
          <w:rFonts w:eastAsia="Calibri"/>
        </w:rPr>
      </w:pPr>
      <w:r w:rsidRPr="000C7FBE">
        <w:rPr>
          <w:rFonts w:eastAsia="Calibri"/>
        </w:rPr>
        <w:t xml:space="preserve">For this hypothesis, the outcome variable is the </w:t>
      </w:r>
      <w:r w:rsidR="00557265" w:rsidRPr="00C01540">
        <w:rPr>
          <w:rFonts w:eastAsia="Calibri"/>
          <w:i/>
        </w:rPr>
        <w:t>Biomedical Career Interest Scale</w:t>
      </w:r>
      <w:r w:rsidR="00557265" w:rsidRPr="000C7FBE">
        <w:rPr>
          <w:rFonts w:eastAsia="Calibri"/>
        </w:rPr>
        <w:t xml:space="preserve"> </w:t>
      </w:r>
      <w:r w:rsidRPr="000C7FBE">
        <w:rPr>
          <w:rFonts w:eastAsia="Calibri"/>
        </w:rPr>
        <w:t xml:space="preserve">score collected in the freshman and senior years. </w:t>
      </w:r>
      <w:r w:rsidR="00557265" w:rsidRPr="000C7FBE">
        <w:rPr>
          <w:rFonts w:eastAsia="Calibri"/>
        </w:rPr>
        <w:t xml:space="preserve">This scale will be computed from the combined answers to the following questions: </w:t>
      </w:r>
      <w:r w:rsidR="00C01540">
        <w:rPr>
          <w:rFonts w:eastAsia="Calibri"/>
        </w:rPr>
        <w:t>Do you intend to</w:t>
      </w:r>
      <w:r w:rsidR="00FC1964" w:rsidRPr="000C7FBE">
        <w:rPr>
          <w:rFonts w:eastAsia="Calibri"/>
        </w:rPr>
        <w:t xml:space="preserve"> pursue a science-related research career? </w:t>
      </w:r>
      <w:r w:rsidR="00FC1964" w:rsidRPr="00E353DE">
        <w:rPr>
          <w:rFonts w:eastAsia="Calibri"/>
        </w:rPr>
        <w:t xml:space="preserve">How many months since entering college (including </w:t>
      </w:r>
      <w:r w:rsidR="00FC1964" w:rsidRPr="00B96E57">
        <w:rPr>
          <w:rFonts w:eastAsia="Calibri"/>
        </w:rPr>
        <w:t xml:space="preserve">summer) did you work on a professor’s research project? Have you participated in an undergraduate research program? </w:t>
      </w:r>
      <w:r w:rsidR="00FC1964" w:rsidRPr="00C01540">
        <w:rPr>
          <w:rFonts w:eastAsia="Calibri"/>
        </w:rPr>
        <w:t xml:space="preserve">How often did a professor provide you with an opportunity to conduct research? How often have you </w:t>
      </w:r>
      <w:r w:rsidR="00FC1964" w:rsidRPr="00C01540">
        <w:rPr>
          <w:rFonts w:eastAsia="Calibri"/>
        </w:rPr>
        <w:lastRenderedPageBreak/>
        <w:t>met with an advisor/counselor about your career plans</w:t>
      </w:r>
      <w:r w:rsidR="00C01540">
        <w:rPr>
          <w:rFonts w:eastAsia="Calibri"/>
        </w:rPr>
        <w:t xml:space="preserve">? </w:t>
      </w:r>
      <w:r w:rsidR="00B760D3" w:rsidRPr="000C7FBE">
        <w:t xml:space="preserve">Since many possible covariates could be used to predict any outcome, a two-step method will be used to derive the final model. First, we perform a univariate analysis of each covariate as it relates to our outcome and select those that are associated with it at the p=0.20 significance level or less. We then regress the outcome on these selected covariates using a specific best-subset regression approach, from which a generalized mixed linear model relating the outcome to the selected covariates is derived. </w:t>
      </w:r>
      <w:r w:rsidRPr="000C7FBE">
        <w:rPr>
          <w:rFonts w:eastAsia="Calibri"/>
        </w:rPr>
        <w:t xml:space="preserve">In the model, we would include as covariates all those selected above as well as: X1 = </w:t>
      </w:r>
      <w:r w:rsidRPr="00E520BA">
        <w:rPr>
          <w:rFonts w:eastAsia="Calibri"/>
        </w:rPr>
        <w:t>(BUILD/non-BUILD school), X2</w:t>
      </w:r>
      <w:r w:rsidR="005E200B">
        <w:rPr>
          <w:rFonts w:eastAsia="Calibri"/>
        </w:rPr>
        <w:t xml:space="preserve"> </w:t>
      </w:r>
      <w:r w:rsidRPr="00E520BA">
        <w:rPr>
          <w:rFonts w:eastAsia="Calibri"/>
        </w:rPr>
        <w:t>= Year (freshman/senior) and X3 = the product of X1 and X2 as their interaction. Thus, the interaction term is a “difference of differences” of the senior minus fresh</w:t>
      </w:r>
      <w:r w:rsidR="005E200B">
        <w:rPr>
          <w:rFonts w:eastAsia="Calibri"/>
        </w:rPr>
        <w:t>man score for BUILD versus non-</w:t>
      </w:r>
      <w:r w:rsidRPr="00E520BA">
        <w:rPr>
          <w:rFonts w:eastAsia="Calibri"/>
        </w:rPr>
        <w:t xml:space="preserve">BUILD schools. A statistically significant interaction term in a positive direction would indicate success of BUILD. </w:t>
      </w:r>
    </w:p>
    <w:p w14:paraId="3B12160C" w14:textId="77777777" w:rsidR="00E9652D" w:rsidRPr="00E520BA" w:rsidRDefault="00E9652D" w:rsidP="00BC4019">
      <w:pPr>
        <w:rPr>
          <w:rFonts w:eastAsia="Calibri"/>
        </w:rPr>
      </w:pPr>
    </w:p>
    <w:p w14:paraId="3FE4AB8B" w14:textId="77777777" w:rsidR="00B82E77" w:rsidRPr="00E520BA" w:rsidRDefault="00B760D3" w:rsidP="00B760D3">
      <w:pPr>
        <w:rPr>
          <w:rFonts w:eastAsia="Calibri"/>
        </w:rPr>
      </w:pPr>
      <w:r w:rsidRPr="00E520BA">
        <w:rPr>
          <w:rFonts w:eastAsia="Calibri"/>
        </w:rPr>
        <w:t>W</w:t>
      </w:r>
      <w:r w:rsidR="00496045" w:rsidRPr="00E520BA">
        <w:rPr>
          <w:rFonts w:eastAsia="Calibri"/>
        </w:rPr>
        <w:t xml:space="preserve">e test the null hypothesis that the average change in the </w:t>
      </w:r>
      <w:r w:rsidR="005C67C2" w:rsidRPr="00E520BA">
        <w:rPr>
          <w:rFonts w:eastAsia="Calibri"/>
        </w:rPr>
        <w:t>biomedical career interest scale</w:t>
      </w:r>
      <w:r w:rsidR="00496045" w:rsidRPr="00E520BA">
        <w:rPr>
          <w:rFonts w:eastAsia="Calibri"/>
        </w:rPr>
        <w:t xml:space="preserve"> from freshman to senior years is the same in the BUILD and non-BUILD institutions versus the alternative that the BUILD students will show a higher increase in the average score. We define Y = change in score (senior – freshman) and define the effect size as: Effect size = [(Mean of Y | BUILD) - (Mean of Y | non-BUILD)]/standard deviation of Y. </w:t>
      </w:r>
      <w:r w:rsidRPr="00E520BA">
        <w:rPr>
          <w:rFonts w:eastAsia="Calibri"/>
        </w:rPr>
        <w:t>With significance level of 0.05, we select the sample</w:t>
      </w:r>
      <w:r w:rsidR="00E23078" w:rsidRPr="00E520BA">
        <w:rPr>
          <w:rFonts w:eastAsia="Calibri"/>
        </w:rPr>
        <w:t xml:space="preserve"> size </w:t>
      </w:r>
      <w:r w:rsidRPr="00E520BA">
        <w:rPr>
          <w:rFonts w:eastAsia="Calibri"/>
        </w:rPr>
        <w:t>necessary to produce 0.8 power to identify a</w:t>
      </w:r>
      <w:r w:rsidR="00D1187E" w:rsidRPr="00E520BA">
        <w:rPr>
          <w:rFonts w:eastAsia="Calibri"/>
        </w:rPr>
        <w:t xml:space="preserve"> low</w:t>
      </w:r>
      <w:r w:rsidRPr="00E520BA">
        <w:rPr>
          <w:rFonts w:eastAsia="Calibri"/>
        </w:rPr>
        <w:t xml:space="preserve"> effect</w:t>
      </w:r>
      <w:r w:rsidR="00E23078" w:rsidRPr="00E520BA">
        <w:rPr>
          <w:rFonts w:eastAsia="Calibri"/>
        </w:rPr>
        <w:t xml:space="preserve"> size </w:t>
      </w:r>
      <w:r w:rsidRPr="00E520BA">
        <w:rPr>
          <w:rFonts w:eastAsia="Calibri"/>
        </w:rPr>
        <w:t>of 0.25.  The necessary sample</w:t>
      </w:r>
      <w:r w:rsidR="00E23078" w:rsidRPr="00E520BA">
        <w:rPr>
          <w:rFonts w:eastAsia="Calibri"/>
        </w:rPr>
        <w:t xml:space="preserve"> size </w:t>
      </w:r>
      <w:r w:rsidRPr="00E520BA">
        <w:rPr>
          <w:rFonts w:eastAsia="Calibri"/>
        </w:rPr>
        <w:t xml:space="preserve">is 253 students in each of the BUILD institutions and their comparable non-BUILD institutions.  </w:t>
      </w:r>
      <w:r w:rsidR="00E23078" w:rsidRPr="00E520BA">
        <w:rPr>
          <w:rFonts w:eastAsia="Calibri"/>
        </w:rPr>
        <w:t xml:space="preserve">Allowing for </w:t>
      </w:r>
      <w:r w:rsidR="00D24ED0" w:rsidRPr="00E520BA">
        <w:rPr>
          <w:rFonts w:eastAsia="Calibri"/>
        </w:rPr>
        <w:t xml:space="preserve">annual </w:t>
      </w:r>
      <w:r w:rsidR="00E23078" w:rsidRPr="00E520BA">
        <w:rPr>
          <w:rFonts w:eastAsia="Calibri"/>
        </w:rPr>
        <w:t>non-response attrition of 20%</w:t>
      </w:r>
      <w:r w:rsidR="00D24ED0" w:rsidRPr="00E520BA">
        <w:rPr>
          <w:rFonts w:eastAsia="Calibri"/>
        </w:rPr>
        <w:t xml:space="preserve"> over 3</w:t>
      </w:r>
      <w:r w:rsidR="0085035C" w:rsidRPr="00E520BA">
        <w:rPr>
          <w:rFonts w:eastAsia="Calibri"/>
        </w:rPr>
        <w:t>-4</w:t>
      </w:r>
      <w:r w:rsidR="00D24ED0" w:rsidRPr="00E520BA">
        <w:rPr>
          <w:rFonts w:eastAsia="Calibri"/>
        </w:rPr>
        <w:t xml:space="preserve"> </w:t>
      </w:r>
      <w:r w:rsidR="0085035C" w:rsidRPr="00E520BA">
        <w:rPr>
          <w:rFonts w:eastAsia="Calibri"/>
        </w:rPr>
        <w:t>years</w:t>
      </w:r>
      <w:r w:rsidR="00E23078" w:rsidRPr="00E520BA">
        <w:rPr>
          <w:rFonts w:eastAsia="Calibri"/>
        </w:rPr>
        <w:t xml:space="preserve">, we </w:t>
      </w:r>
      <w:r w:rsidR="00D24ED0" w:rsidRPr="00E520BA">
        <w:rPr>
          <w:rFonts w:eastAsia="Calibri"/>
        </w:rPr>
        <w:t xml:space="preserve">proposed to sample 500 </w:t>
      </w:r>
      <w:r w:rsidR="00E23078" w:rsidRPr="00E520BA">
        <w:rPr>
          <w:rFonts w:eastAsia="Calibri"/>
        </w:rPr>
        <w:t>students in each institution</w:t>
      </w:r>
      <w:r w:rsidR="00D24ED0" w:rsidRPr="00E520BA">
        <w:rPr>
          <w:rFonts w:eastAsia="Calibri"/>
        </w:rPr>
        <w:t xml:space="preserve"> </w:t>
      </w:r>
      <w:r w:rsidR="00F419AA" w:rsidRPr="00E520BA">
        <w:rPr>
          <w:rFonts w:eastAsia="Calibri"/>
        </w:rPr>
        <w:t xml:space="preserve">from the incoming 2016 cohort </w:t>
      </w:r>
      <w:r w:rsidR="00D24ED0" w:rsidRPr="00E520BA">
        <w:rPr>
          <w:rFonts w:eastAsia="Calibri"/>
        </w:rPr>
        <w:t>for follow-up</w:t>
      </w:r>
      <w:r w:rsidR="00E23078" w:rsidRPr="00E520BA">
        <w:rPr>
          <w:rFonts w:eastAsia="Calibri"/>
        </w:rPr>
        <w:t xml:space="preserve">.  </w:t>
      </w:r>
      <w:r w:rsidR="00F419AA" w:rsidRPr="00E520BA">
        <w:rPr>
          <w:rFonts w:eastAsia="Calibri"/>
        </w:rPr>
        <w:t>W</w:t>
      </w:r>
      <w:r w:rsidR="00B82E77" w:rsidRPr="00E520BA">
        <w:rPr>
          <w:rFonts w:eastAsia="Calibri"/>
        </w:rPr>
        <w:t xml:space="preserve">e </w:t>
      </w:r>
      <w:r w:rsidR="00F419AA" w:rsidRPr="00E520BA">
        <w:rPr>
          <w:rFonts w:eastAsia="Calibri"/>
        </w:rPr>
        <w:t xml:space="preserve">will also </w:t>
      </w:r>
      <w:r w:rsidR="00B82E77" w:rsidRPr="00E520BA">
        <w:rPr>
          <w:rFonts w:eastAsia="Calibri"/>
        </w:rPr>
        <w:t xml:space="preserve">sample 500 per year </w:t>
      </w:r>
      <w:r w:rsidR="00F419AA" w:rsidRPr="00E520BA">
        <w:rPr>
          <w:rFonts w:eastAsia="Calibri"/>
        </w:rPr>
        <w:t>in 2017-2019</w:t>
      </w:r>
      <w:r w:rsidR="00B82E77" w:rsidRPr="00E520BA">
        <w:rPr>
          <w:rFonts w:eastAsia="Calibri"/>
        </w:rPr>
        <w:t xml:space="preserve"> from each of these institutions in order to</w:t>
      </w:r>
      <w:r w:rsidR="009E76B0" w:rsidRPr="00E520BA">
        <w:rPr>
          <w:rFonts w:eastAsia="Calibri"/>
        </w:rPr>
        <w:t xml:space="preserve"> provide adequate sample sizes for subsequent cohorts (2017-2018) </w:t>
      </w:r>
      <w:r w:rsidR="00B82E77" w:rsidRPr="00E520BA">
        <w:rPr>
          <w:rFonts w:eastAsia="Calibri"/>
        </w:rPr>
        <w:t xml:space="preserve">to </w:t>
      </w:r>
      <w:r w:rsidR="009E76B0" w:rsidRPr="00E520BA">
        <w:rPr>
          <w:rFonts w:eastAsia="Calibri"/>
        </w:rPr>
        <w:t>evaluate potential</w:t>
      </w:r>
      <w:r w:rsidR="00B82E77" w:rsidRPr="00E520BA">
        <w:rPr>
          <w:rFonts w:eastAsia="Calibri"/>
        </w:rPr>
        <w:t xml:space="preserve"> differences in </w:t>
      </w:r>
      <w:r w:rsidR="00E520BA">
        <w:rPr>
          <w:rFonts w:eastAsia="Calibri"/>
        </w:rPr>
        <w:t xml:space="preserve">shorter-term, </w:t>
      </w:r>
      <w:r w:rsidR="00B82E77" w:rsidRPr="00E520BA">
        <w:rPr>
          <w:rFonts w:eastAsia="Calibri"/>
        </w:rPr>
        <w:t xml:space="preserve">interim outcomes </w:t>
      </w:r>
      <w:r w:rsidR="00B82E77" w:rsidRPr="00E520BA">
        <w:t xml:space="preserve">(e.g., research self-efficacy, science identify, intent to pursue biomedical career) </w:t>
      </w:r>
      <w:r w:rsidR="00B82E77" w:rsidRPr="00E520BA">
        <w:rPr>
          <w:rFonts w:eastAsia="Calibri"/>
        </w:rPr>
        <w:t xml:space="preserve">for </w:t>
      </w:r>
      <w:r w:rsidR="00F419AA" w:rsidRPr="00E520BA">
        <w:rPr>
          <w:rFonts w:eastAsia="Calibri"/>
        </w:rPr>
        <w:t xml:space="preserve">these different cohorts </w:t>
      </w:r>
      <w:r w:rsidR="009E76B0" w:rsidRPr="00E520BA">
        <w:rPr>
          <w:rFonts w:eastAsia="Calibri"/>
        </w:rPr>
        <w:t xml:space="preserve">as each </w:t>
      </w:r>
      <w:r w:rsidR="00F419AA" w:rsidRPr="00E520BA">
        <w:rPr>
          <w:rFonts w:eastAsia="Calibri"/>
        </w:rPr>
        <w:t xml:space="preserve">is likely to </w:t>
      </w:r>
      <w:r w:rsidR="009E76B0" w:rsidRPr="00E520BA">
        <w:rPr>
          <w:rFonts w:eastAsia="Calibri"/>
        </w:rPr>
        <w:t xml:space="preserve">be exposed to somewhat different BUILD offerings as those </w:t>
      </w:r>
      <w:r w:rsidR="00F419AA" w:rsidRPr="00E520BA">
        <w:rPr>
          <w:rFonts w:eastAsia="Calibri"/>
        </w:rPr>
        <w:t>are</w:t>
      </w:r>
      <w:r w:rsidR="009E76B0" w:rsidRPr="00E520BA">
        <w:rPr>
          <w:rFonts w:eastAsia="Calibri"/>
        </w:rPr>
        <w:t xml:space="preserve"> modified over the funding period. </w:t>
      </w:r>
      <w:r w:rsidR="00F419AA" w:rsidRPr="00E520BA">
        <w:rPr>
          <w:rFonts w:eastAsia="Calibri"/>
        </w:rPr>
        <w:t xml:space="preserve"> B</w:t>
      </w:r>
      <w:r w:rsidR="00B82E77" w:rsidRPr="00E520BA">
        <w:rPr>
          <w:rFonts w:eastAsia="Calibri"/>
        </w:rPr>
        <w:t xml:space="preserve">y sampling 500/year from each institution, we </w:t>
      </w:r>
      <w:r w:rsidR="00F419AA" w:rsidRPr="00E520BA">
        <w:rPr>
          <w:rFonts w:eastAsia="Calibri"/>
        </w:rPr>
        <w:t xml:space="preserve">also </w:t>
      </w:r>
      <w:r w:rsidR="00B82E77" w:rsidRPr="00E520BA">
        <w:rPr>
          <w:rFonts w:eastAsia="Calibri"/>
        </w:rPr>
        <w:t xml:space="preserve">position the Diversity Program to examine longer-term outcomes of these different cohorts (with their likely somewhat different exposures) should additional funding </w:t>
      </w:r>
      <w:r w:rsidR="009E76B0" w:rsidRPr="00E520BA">
        <w:rPr>
          <w:rFonts w:eastAsia="Calibri"/>
        </w:rPr>
        <w:t xml:space="preserve">to support follow-up after 2019 </w:t>
      </w:r>
      <w:r w:rsidR="00B82E77" w:rsidRPr="00E520BA">
        <w:rPr>
          <w:rFonts w:eastAsia="Calibri"/>
        </w:rPr>
        <w:t xml:space="preserve">be forthcoming. </w:t>
      </w:r>
      <w:r w:rsidR="00577E89" w:rsidRPr="00E520BA">
        <w:rPr>
          <w:rFonts w:eastAsia="Calibri"/>
        </w:rPr>
        <w:t xml:space="preserve">Furthermore, the annual samples will allow us to examine longitudinal trends in our outcomes. </w:t>
      </w:r>
    </w:p>
    <w:p w14:paraId="4295BD87" w14:textId="77777777" w:rsidR="00B82E77" w:rsidRPr="00E520BA" w:rsidRDefault="00B82E77" w:rsidP="00B760D3">
      <w:pPr>
        <w:rPr>
          <w:rFonts w:eastAsia="Calibri"/>
        </w:rPr>
      </w:pPr>
    </w:p>
    <w:p w14:paraId="0594A935" w14:textId="77777777" w:rsidR="00E9652D" w:rsidRPr="00E520BA" w:rsidRDefault="00557265" w:rsidP="00B760D3">
      <w:pPr>
        <w:rPr>
          <w:rFonts w:eastAsia="Calibri"/>
        </w:rPr>
      </w:pPr>
      <w:r w:rsidRPr="00E520BA">
        <w:rPr>
          <w:rFonts w:eastAsia="Calibri"/>
        </w:rPr>
        <w:t>This type of analysis will be used for any similar longitudinal change hypothesis with a continuous outcome and for any two groups, e.g</w:t>
      </w:r>
      <w:r w:rsidR="005E200B">
        <w:rPr>
          <w:rFonts w:eastAsia="Calibri"/>
        </w:rPr>
        <w:t>.</w:t>
      </w:r>
      <w:r w:rsidRPr="00E520BA">
        <w:rPr>
          <w:rFonts w:eastAsia="Calibri"/>
        </w:rPr>
        <w:t>, all BUILD students vs</w:t>
      </w:r>
      <w:r w:rsidR="005C67C2" w:rsidRPr="00E520BA">
        <w:rPr>
          <w:rFonts w:eastAsia="Calibri"/>
        </w:rPr>
        <w:t>.</w:t>
      </w:r>
      <w:r w:rsidRPr="00E520BA">
        <w:rPr>
          <w:rFonts w:eastAsia="Calibri"/>
        </w:rPr>
        <w:t xml:space="preserve"> non-BUILD students, or BUILD faculty vs</w:t>
      </w:r>
      <w:r w:rsidR="005C67C2" w:rsidRPr="00E520BA">
        <w:rPr>
          <w:rFonts w:eastAsia="Calibri"/>
        </w:rPr>
        <w:t>.</w:t>
      </w:r>
      <w:r w:rsidRPr="00E520BA">
        <w:rPr>
          <w:rFonts w:eastAsia="Calibri"/>
        </w:rPr>
        <w:t xml:space="preserve"> non-BUILD faculty, and so forth. </w:t>
      </w:r>
      <w:r w:rsidR="00E23078" w:rsidRPr="00E520BA">
        <w:rPr>
          <w:rFonts w:eastAsia="Calibri"/>
        </w:rPr>
        <w:t xml:space="preserve">In particular, we test the same hypothesis comparing all BUILD students vs. all non-BUILD students.  To account for the clustering effect (with institution being a cluster), we incorporate an intra-class correlation ranging from 0.001 to </w:t>
      </w:r>
      <w:r w:rsidR="000D47F5" w:rsidRPr="00E520BA">
        <w:rPr>
          <w:rFonts w:eastAsia="Calibri"/>
        </w:rPr>
        <w:t>0.04 (Adams et al., 2004).  The following table show</w:t>
      </w:r>
      <w:r w:rsidR="00D1187E" w:rsidRPr="00E520BA">
        <w:rPr>
          <w:rFonts w:eastAsia="Calibri"/>
        </w:rPr>
        <w:t xml:space="preserve">s </w:t>
      </w:r>
      <w:r w:rsidR="000D47F5" w:rsidRPr="00E520BA">
        <w:rPr>
          <w:rFonts w:eastAsia="Calibri"/>
        </w:rPr>
        <w:t>the power for a two-sided alternative and an effect si</w:t>
      </w:r>
      <w:r w:rsidR="00D1187E" w:rsidRPr="00E520BA">
        <w:rPr>
          <w:rFonts w:eastAsia="Calibri"/>
        </w:rPr>
        <w:t>z</w:t>
      </w:r>
      <w:r w:rsidR="000D47F5" w:rsidRPr="00E520BA">
        <w:rPr>
          <w:rFonts w:eastAsia="Calibri"/>
        </w:rPr>
        <w:t xml:space="preserve">e of 0.25.  </w:t>
      </w:r>
    </w:p>
    <w:p w14:paraId="332BFC78" w14:textId="77777777" w:rsidR="00B82E77" w:rsidRPr="00E520BA" w:rsidRDefault="00B82E77" w:rsidP="00B760D3">
      <w:pPr>
        <w:rPr>
          <w:rFonts w:eastAsia="Calibri"/>
        </w:rPr>
      </w:pPr>
    </w:p>
    <w:tbl>
      <w:tblPr>
        <w:tblStyle w:val="TableGrid"/>
        <w:tblW w:w="0" w:type="auto"/>
        <w:tblLook w:val="04A0" w:firstRow="1" w:lastRow="0" w:firstColumn="1" w:lastColumn="0" w:noHBand="0" w:noVBand="1"/>
      </w:tblPr>
      <w:tblGrid>
        <w:gridCol w:w="1256"/>
        <w:gridCol w:w="1079"/>
        <w:gridCol w:w="1079"/>
        <w:gridCol w:w="1079"/>
        <w:gridCol w:w="1079"/>
        <w:gridCol w:w="1079"/>
        <w:gridCol w:w="3964"/>
      </w:tblGrid>
      <w:tr w:rsidR="000D47F5" w:rsidRPr="00C01540" w14:paraId="73BAC8E3" w14:textId="77777777" w:rsidTr="00C01540">
        <w:tc>
          <w:tcPr>
            <w:tcW w:w="1256" w:type="dxa"/>
          </w:tcPr>
          <w:p w14:paraId="3981537F" w14:textId="77777777" w:rsidR="000D47F5" w:rsidRPr="00E520BA" w:rsidRDefault="000D47F5" w:rsidP="00B760D3">
            <w:pPr>
              <w:rPr>
                <w:rFonts w:eastAsia="Calibri"/>
              </w:rPr>
            </w:pPr>
            <w:r w:rsidRPr="00E520BA">
              <w:rPr>
                <w:rFonts w:eastAsia="Calibri"/>
              </w:rPr>
              <w:t>Intra-class correlation</w:t>
            </w:r>
          </w:p>
        </w:tc>
        <w:tc>
          <w:tcPr>
            <w:tcW w:w="1079" w:type="dxa"/>
          </w:tcPr>
          <w:p w14:paraId="316D090D" w14:textId="77777777" w:rsidR="000D47F5" w:rsidRPr="00E520BA" w:rsidRDefault="000D47F5" w:rsidP="00B760D3">
            <w:pPr>
              <w:rPr>
                <w:rFonts w:eastAsia="Calibri"/>
              </w:rPr>
            </w:pPr>
            <w:r w:rsidRPr="00E520BA">
              <w:rPr>
                <w:rFonts w:eastAsia="Calibri"/>
              </w:rPr>
              <w:t>0.001</w:t>
            </w:r>
          </w:p>
        </w:tc>
        <w:tc>
          <w:tcPr>
            <w:tcW w:w="1079" w:type="dxa"/>
          </w:tcPr>
          <w:p w14:paraId="3F01105D" w14:textId="77777777" w:rsidR="000D47F5" w:rsidRPr="00E520BA" w:rsidRDefault="000D47F5" w:rsidP="00B760D3">
            <w:pPr>
              <w:rPr>
                <w:rFonts w:eastAsia="Calibri"/>
              </w:rPr>
            </w:pPr>
            <w:r w:rsidRPr="00E520BA">
              <w:rPr>
                <w:rFonts w:eastAsia="Calibri"/>
              </w:rPr>
              <w:t>0.005</w:t>
            </w:r>
          </w:p>
        </w:tc>
        <w:tc>
          <w:tcPr>
            <w:tcW w:w="1079" w:type="dxa"/>
          </w:tcPr>
          <w:p w14:paraId="26DD950E" w14:textId="77777777" w:rsidR="000D47F5" w:rsidRPr="00E520BA" w:rsidRDefault="000D47F5" w:rsidP="00B760D3">
            <w:pPr>
              <w:rPr>
                <w:rFonts w:eastAsia="Calibri"/>
              </w:rPr>
            </w:pPr>
            <w:r w:rsidRPr="00E520BA">
              <w:rPr>
                <w:rFonts w:eastAsia="Calibri"/>
              </w:rPr>
              <w:t>0.01</w:t>
            </w:r>
          </w:p>
        </w:tc>
        <w:tc>
          <w:tcPr>
            <w:tcW w:w="1079" w:type="dxa"/>
          </w:tcPr>
          <w:p w14:paraId="1DAC08B0" w14:textId="77777777" w:rsidR="000D47F5" w:rsidRPr="00E520BA" w:rsidRDefault="000D47F5" w:rsidP="00B760D3">
            <w:pPr>
              <w:rPr>
                <w:rFonts w:eastAsia="Calibri"/>
              </w:rPr>
            </w:pPr>
            <w:r w:rsidRPr="00E520BA">
              <w:rPr>
                <w:rFonts w:eastAsia="Calibri"/>
              </w:rPr>
              <w:t>0.02</w:t>
            </w:r>
          </w:p>
        </w:tc>
        <w:tc>
          <w:tcPr>
            <w:tcW w:w="1079" w:type="dxa"/>
          </w:tcPr>
          <w:p w14:paraId="6BD6102B" w14:textId="77777777" w:rsidR="000D47F5" w:rsidRPr="00E520BA" w:rsidRDefault="000D47F5" w:rsidP="00B760D3">
            <w:pPr>
              <w:rPr>
                <w:rFonts w:eastAsia="Calibri"/>
              </w:rPr>
            </w:pPr>
            <w:r w:rsidRPr="00E520BA">
              <w:rPr>
                <w:rFonts w:eastAsia="Calibri"/>
              </w:rPr>
              <w:t>0.03</w:t>
            </w:r>
          </w:p>
        </w:tc>
        <w:tc>
          <w:tcPr>
            <w:tcW w:w="3964" w:type="dxa"/>
          </w:tcPr>
          <w:p w14:paraId="0E371F5C" w14:textId="77777777" w:rsidR="000D47F5" w:rsidRPr="00C01540" w:rsidRDefault="000D47F5" w:rsidP="00B760D3">
            <w:pPr>
              <w:rPr>
                <w:rFonts w:eastAsia="Calibri"/>
              </w:rPr>
            </w:pPr>
            <w:r w:rsidRPr="00E520BA">
              <w:rPr>
                <w:rFonts w:eastAsia="Calibri"/>
              </w:rPr>
              <w:t>0.04</w:t>
            </w:r>
          </w:p>
        </w:tc>
      </w:tr>
      <w:tr w:rsidR="000D47F5" w:rsidRPr="00C01540" w14:paraId="4BA67ACE" w14:textId="77777777" w:rsidTr="00C01540">
        <w:tc>
          <w:tcPr>
            <w:tcW w:w="1256" w:type="dxa"/>
          </w:tcPr>
          <w:p w14:paraId="5FB99CB5" w14:textId="77777777" w:rsidR="000D47F5" w:rsidRPr="00C01540" w:rsidRDefault="000D47F5" w:rsidP="00B760D3">
            <w:pPr>
              <w:rPr>
                <w:rFonts w:eastAsia="Calibri"/>
              </w:rPr>
            </w:pPr>
            <w:r w:rsidRPr="00C01540">
              <w:rPr>
                <w:rFonts w:eastAsia="Calibri"/>
              </w:rPr>
              <w:t>Power</w:t>
            </w:r>
          </w:p>
        </w:tc>
        <w:tc>
          <w:tcPr>
            <w:tcW w:w="1079" w:type="dxa"/>
          </w:tcPr>
          <w:p w14:paraId="6EBDA97D" w14:textId="77777777" w:rsidR="000D47F5" w:rsidRPr="00C01540" w:rsidRDefault="000D47F5" w:rsidP="00B760D3">
            <w:pPr>
              <w:rPr>
                <w:rFonts w:eastAsia="Calibri"/>
              </w:rPr>
            </w:pPr>
            <w:r w:rsidRPr="00C01540">
              <w:rPr>
                <w:rFonts w:eastAsia="Calibri"/>
              </w:rPr>
              <w:t>1.00</w:t>
            </w:r>
          </w:p>
        </w:tc>
        <w:tc>
          <w:tcPr>
            <w:tcW w:w="1079" w:type="dxa"/>
          </w:tcPr>
          <w:p w14:paraId="7D1C032A" w14:textId="77777777" w:rsidR="000D47F5" w:rsidRPr="00C01540" w:rsidRDefault="000D47F5" w:rsidP="00B760D3">
            <w:pPr>
              <w:rPr>
                <w:rFonts w:eastAsia="Calibri"/>
              </w:rPr>
            </w:pPr>
            <w:r w:rsidRPr="00C01540">
              <w:rPr>
                <w:rFonts w:eastAsia="Calibri"/>
              </w:rPr>
              <w:t>1.00</w:t>
            </w:r>
          </w:p>
        </w:tc>
        <w:tc>
          <w:tcPr>
            <w:tcW w:w="1079" w:type="dxa"/>
          </w:tcPr>
          <w:p w14:paraId="36B24BAF" w14:textId="77777777" w:rsidR="000D47F5" w:rsidRPr="00C01540" w:rsidRDefault="000D47F5" w:rsidP="00B760D3">
            <w:pPr>
              <w:rPr>
                <w:rFonts w:eastAsia="Calibri"/>
              </w:rPr>
            </w:pPr>
            <w:r w:rsidRPr="00C01540">
              <w:rPr>
                <w:rFonts w:eastAsia="Calibri"/>
              </w:rPr>
              <w:t>1.00</w:t>
            </w:r>
          </w:p>
        </w:tc>
        <w:tc>
          <w:tcPr>
            <w:tcW w:w="1079" w:type="dxa"/>
          </w:tcPr>
          <w:p w14:paraId="710E41ED" w14:textId="77777777" w:rsidR="000D47F5" w:rsidRPr="00C01540" w:rsidRDefault="000D47F5" w:rsidP="000D47F5">
            <w:pPr>
              <w:rPr>
                <w:rFonts w:eastAsia="Calibri"/>
              </w:rPr>
            </w:pPr>
            <w:r w:rsidRPr="00C01540">
              <w:rPr>
                <w:rFonts w:eastAsia="Calibri"/>
              </w:rPr>
              <w:t>0.95</w:t>
            </w:r>
          </w:p>
        </w:tc>
        <w:tc>
          <w:tcPr>
            <w:tcW w:w="1079" w:type="dxa"/>
          </w:tcPr>
          <w:p w14:paraId="4B041AA2" w14:textId="77777777" w:rsidR="000D47F5" w:rsidRPr="00C01540" w:rsidRDefault="000D47F5" w:rsidP="00B760D3">
            <w:pPr>
              <w:rPr>
                <w:rFonts w:eastAsia="Calibri"/>
              </w:rPr>
            </w:pPr>
            <w:r w:rsidRPr="00C01540">
              <w:rPr>
                <w:rFonts w:eastAsia="Calibri"/>
              </w:rPr>
              <w:t>0.86</w:t>
            </w:r>
          </w:p>
        </w:tc>
        <w:tc>
          <w:tcPr>
            <w:tcW w:w="3964" w:type="dxa"/>
          </w:tcPr>
          <w:p w14:paraId="777E844D" w14:textId="77777777" w:rsidR="000D47F5" w:rsidRPr="00C01540" w:rsidRDefault="000D47F5" w:rsidP="00B760D3">
            <w:pPr>
              <w:rPr>
                <w:rFonts w:eastAsia="Calibri"/>
              </w:rPr>
            </w:pPr>
            <w:r w:rsidRPr="00C01540">
              <w:rPr>
                <w:rFonts w:eastAsia="Calibri"/>
              </w:rPr>
              <w:t>0.76</w:t>
            </w:r>
          </w:p>
        </w:tc>
      </w:tr>
    </w:tbl>
    <w:p w14:paraId="4CC1FBFD" w14:textId="77777777" w:rsidR="00E23078" w:rsidRPr="00C01540" w:rsidRDefault="00E23078" w:rsidP="00B760D3">
      <w:pPr>
        <w:rPr>
          <w:rFonts w:eastAsia="Calibri"/>
        </w:rPr>
      </w:pPr>
    </w:p>
    <w:p w14:paraId="48ECF9DE" w14:textId="77777777" w:rsidR="000D47F5" w:rsidRPr="00C01540" w:rsidRDefault="000D47F5" w:rsidP="00B760D3">
      <w:pPr>
        <w:rPr>
          <w:rFonts w:eastAsia="Calibri"/>
        </w:rPr>
      </w:pPr>
      <w:r w:rsidRPr="00C01540">
        <w:rPr>
          <w:rFonts w:eastAsia="Calibri"/>
        </w:rPr>
        <w:t>Thus the power is at least 0.76 for all scenarios, and is near or equal to 1.0 for most scenarios.  The power figures for higher effect si</w:t>
      </w:r>
      <w:r w:rsidR="00247826" w:rsidRPr="00C01540">
        <w:rPr>
          <w:rFonts w:eastAsia="Calibri"/>
        </w:rPr>
        <w:t>z</w:t>
      </w:r>
      <w:r w:rsidRPr="00C01540">
        <w:rPr>
          <w:rFonts w:eastAsia="Calibri"/>
        </w:rPr>
        <w:t xml:space="preserve">es of 0.5 and 0.8 are all equal to 1.00.  </w:t>
      </w:r>
    </w:p>
    <w:p w14:paraId="463A9523" w14:textId="77777777" w:rsidR="00A0623E" w:rsidRPr="00C01540" w:rsidRDefault="00A0623E" w:rsidP="00B760D3">
      <w:pPr>
        <w:rPr>
          <w:rFonts w:eastAsia="Calibri"/>
        </w:rPr>
      </w:pPr>
    </w:p>
    <w:p w14:paraId="5078313C" w14:textId="77777777" w:rsidR="00A0623E" w:rsidRPr="00C01540" w:rsidRDefault="000727FF" w:rsidP="00B760D3">
      <w:pPr>
        <w:rPr>
          <w:rFonts w:eastAsia="Calibri"/>
        </w:rPr>
      </w:pPr>
      <w:r w:rsidRPr="00C01540">
        <w:rPr>
          <w:rFonts w:eastAsia="Calibri"/>
        </w:rPr>
        <w:t xml:space="preserve">Another hypothesis to be tested relates to entry into the biomedical fields. Specifically, </w:t>
      </w:r>
    </w:p>
    <w:p w14:paraId="2E05BC9D" w14:textId="77777777" w:rsidR="000727FF" w:rsidRPr="00C01540" w:rsidRDefault="000727FF" w:rsidP="00B760D3">
      <w:pPr>
        <w:rPr>
          <w:rFonts w:eastAsia="Calibri"/>
        </w:rPr>
      </w:pPr>
    </w:p>
    <w:p w14:paraId="2D21A981" w14:textId="77777777" w:rsidR="000727FF" w:rsidRPr="00C01540" w:rsidRDefault="000727FF" w:rsidP="000727FF">
      <w:pPr>
        <w:widowControl w:val="0"/>
        <w:rPr>
          <w:rFonts w:eastAsia="Arial"/>
        </w:rPr>
      </w:pPr>
      <w:r w:rsidRPr="00C01540">
        <w:rPr>
          <w:rFonts w:eastAsia="Calibri"/>
          <w:b/>
          <w:i/>
          <w:spacing w:val="-1"/>
        </w:rPr>
        <w:t>H2</w:t>
      </w:r>
      <w:r w:rsidRPr="00C01540">
        <w:rPr>
          <w:rFonts w:eastAsia="Calibri"/>
          <w:i/>
          <w:spacing w:val="-1"/>
        </w:rPr>
        <w:t>:</w:t>
      </w:r>
      <w:r w:rsidRPr="00C01540">
        <w:rPr>
          <w:rFonts w:eastAsia="Calibri"/>
          <w:i/>
          <w:spacing w:val="-7"/>
        </w:rPr>
        <w:t xml:space="preserve"> </w:t>
      </w:r>
      <w:r w:rsidRPr="00C01540">
        <w:rPr>
          <w:rFonts w:eastAsia="Calibri"/>
          <w:i/>
        </w:rPr>
        <w:t>The</w:t>
      </w:r>
      <w:r w:rsidRPr="00C01540">
        <w:rPr>
          <w:rFonts w:eastAsia="Calibri"/>
          <w:i/>
          <w:spacing w:val="-6"/>
        </w:rPr>
        <w:t xml:space="preserve"> </w:t>
      </w:r>
      <w:r w:rsidRPr="00C01540">
        <w:rPr>
          <w:rFonts w:eastAsia="Calibri"/>
          <w:i/>
        </w:rPr>
        <w:t>proportion</w:t>
      </w:r>
      <w:r w:rsidRPr="00C01540">
        <w:rPr>
          <w:rFonts w:eastAsia="Calibri"/>
          <w:i/>
          <w:spacing w:val="-6"/>
        </w:rPr>
        <w:t xml:space="preserve"> </w:t>
      </w:r>
      <w:r w:rsidRPr="00C01540">
        <w:rPr>
          <w:rFonts w:eastAsia="Calibri"/>
          <w:i/>
        </w:rPr>
        <w:t>of</w:t>
      </w:r>
      <w:r w:rsidRPr="00C01540">
        <w:rPr>
          <w:rFonts w:eastAsia="Calibri"/>
          <w:i/>
          <w:spacing w:val="-6"/>
        </w:rPr>
        <w:t xml:space="preserve"> </w:t>
      </w:r>
      <w:r w:rsidRPr="00C01540">
        <w:rPr>
          <w:rFonts w:eastAsia="Calibri"/>
          <w:i/>
        </w:rPr>
        <w:t>students</w:t>
      </w:r>
      <w:r w:rsidRPr="00C01540">
        <w:rPr>
          <w:rFonts w:eastAsia="Calibri"/>
          <w:i/>
          <w:spacing w:val="-6"/>
        </w:rPr>
        <w:t xml:space="preserve"> </w:t>
      </w:r>
      <w:r w:rsidRPr="00C01540">
        <w:rPr>
          <w:rFonts w:eastAsia="Calibri"/>
          <w:i/>
        </w:rPr>
        <w:t>in</w:t>
      </w:r>
      <w:r w:rsidRPr="00C01540">
        <w:rPr>
          <w:rFonts w:eastAsia="Calibri"/>
          <w:i/>
          <w:spacing w:val="-6"/>
        </w:rPr>
        <w:t xml:space="preserve"> </w:t>
      </w:r>
      <w:r w:rsidRPr="00C01540">
        <w:rPr>
          <w:rFonts w:eastAsia="Calibri"/>
          <w:i/>
          <w:spacing w:val="-1"/>
        </w:rPr>
        <w:t>BUILD</w:t>
      </w:r>
      <w:r w:rsidRPr="00C01540">
        <w:rPr>
          <w:rFonts w:eastAsia="Calibri"/>
          <w:i/>
          <w:spacing w:val="-7"/>
        </w:rPr>
        <w:t xml:space="preserve"> </w:t>
      </w:r>
      <w:r w:rsidRPr="00C01540">
        <w:rPr>
          <w:rFonts w:eastAsia="Calibri"/>
          <w:i/>
        </w:rPr>
        <w:t>institutions</w:t>
      </w:r>
      <w:r w:rsidRPr="00C01540">
        <w:rPr>
          <w:rFonts w:eastAsia="Calibri"/>
          <w:i/>
          <w:spacing w:val="-6"/>
        </w:rPr>
        <w:t xml:space="preserve"> </w:t>
      </w:r>
      <w:r w:rsidRPr="00C01540">
        <w:rPr>
          <w:rFonts w:eastAsia="Calibri"/>
          <w:i/>
        </w:rPr>
        <w:t>who</w:t>
      </w:r>
      <w:r w:rsidRPr="00C01540">
        <w:rPr>
          <w:rFonts w:eastAsia="Calibri"/>
          <w:i/>
          <w:spacing w:val="-6"/>
        </w:rPr>
        <w:t xml:space="preserve"> </w:t>
      </w:r>
      <w:r w:rsidRPr="00C01540">
        <w:rPr>
          <w:rFonts w:eastAsia="Calibri"/>
          <w:i/>
        </w:rPr>
        <w:t>graduate with an undergraduate degree in a biomedical science discipline will</w:t>
      </w:r>
      <w:r w:rsidRPr="00C01540">
        <w:rPr>
          <w:rFonts w:eastAsia="Calibri"/>
          <w:i/>
          <w:spacing w:val="-8"/>
        </w:rPr>
        <w:t xml:space="preserve"> </w:t>
      </w:r>
      <w:r w:rsidRPr="00C01540">
        <w:rPr>
          <w:rFonts w:eastAsia="Calibri"/>
          <w:i/>
        </w:rPr>
        <w:t>be</w:t>
      </w:r>
      <w:r w:rsidRPr="00C01540">
        <w:rPr>
          <w:rFonts w:eastAsia="Calibri"/>
          <w:i/>
          <w:spacing w:val="-8"/>
        </w:rPr>
        <w:t xml:space="preserve"> </w:t>
      </w:r>
      <w:r w:rsidRPr="00C01540">
        <w:rPr>
          <w:rFonts w:eastAsia="Calibri"/>
          <w:i/>
        </w:rPr>
        <w:t>higher</w:t>
      </w:r>
      <w:r w:rsidRPr="00C01540">
        <w:rPr>
          <w:rFonts w:eastAsia="Calibri"/>
          <w:i/>
          <w:spacing w:val="-8"/>
        </w:rPr>
        <w:t xml:space="preserve"> </w:t>
      </w:r>
      <w:r w:rsidRPr="00C01540">
        <w:rPr>
          <w:rFonts w:eastAsia="Calibri"/>
          <w:i/>
        </w:rPr>
        <w:t>than</w:t>
      </w:r>
      <w:r w:rsidRPr="00C01540">
        <w:rPr>
          <w:rFonts w:eastAsia="Calibri"/>
          <w:i/>
          <w:spacing w:val="-7"/>
        </w:rPr>
        <w:t xml:space="preserve"> </w:t>
      </w:r>
      <w:r w:rsidRPr="00C01540">
        <w:rPr>
          <w:rFonts w:eastAsia="Calibri"/>
          <w:i/>
          <w:spacing w:val="-1"/>
        </w:rPr>
        <w:t>the proportion</w:t>
      </w:r>
      <w:r w:rsidR="002C3642">
        <w:rPr>
          <w:rFonts w:eastAsia="Calibri"/>
          <w:i/>
          <w:spacing w:val="-1"/>
        </w:rPr>
        <w:t xml:space="preserve"> </w:t>
      </w:r>
      <w:r w:rsidRPr="00C01540">
        <w:rPr>
          <w:rFonts w:eastAsia="Calibri"/>
          <w:i/>
        </w:rPr>
        <w:t>in</w:t>
      </w:r>
      <w:r w:rsidRPr="00C01540">
        <w:rPr>
          <w:rFonts w:eastAsia="Calibri"/>
          <w:i/>
          <w:spacing w:val="-8"/>
        </w:rPr>
        <w:t xml:space="preserve"> </w:t>
      </w:r>
      <w:r w:rsidRPr="00C01540">
        <w:rPr>
          <w:rFonts w:eastAsia="Calibri"/>
          <w:i/>
        </w:rPr>
        <w:t>otherwise</w:t>
      </w:r>
      <w:r w:rsidRPr="00C01540">
        <w:rPr>
          <w:rFonts w:eastAsia="Calibri"/>
          <w:i/>
          <w:spacing w:val="-7"/>
        </w:rPr>
        <w:t xml:space="preserve"> </w:t>
      </w:r>
      <w:r w:rsidRPr="00C01540">
        <w:rPr>
          <w:rFonts w:eastAsia="Calibri"/>
          <w:i/>
          <w:spacing w:val="-1"/>
        </w:rPr>
        <w:t>similar</w:t>
      </w:r>
      <w:r w:rsidRPr="00C01540">
        <w:rPr>
          <w:rFonts w:eastAsia="Calibri"/>
          <w:i/>
          <w:spacing w:val="-8"/>
        </w:rPr>
        <w:t xml:space="preserve"> </w:t>
      </w:r>
      <w:r w:rsidRPr="00C01540">
        <w:rPr>
          <w:rFonts w:eastAsia="Calibri"/>
          <w:i/>
          <w:spacing w:val="2"/>
        </w:rPr>
        <w:t>non-</w:t>
      </w:r>
      <w:r w:rsidRPr="00C01540">
        <w:rPr>
          <w:rFonts w:eastAsia="Calibri"/>
          <w:i/>
        </w:rPr>
        <w:t>BUILD</w:t>
      </w:r>
      <w:r w:rsidRPr="00C01540">
        <w:rPr>
          <w:rFonts w:eastAsia="Calibri"/>
          <w:i/>
          <w:spacing w:val="-19"/>
        </w:rPr>
        <w:t xml:space="preserve"> </w:t>
      </w:r>
      <w:r w:rsidRPr="00C01540">
        <w:rPr>
          <w:rFonts w:eastAsia="Calibri"/>
          <w:i/>
        </w:rPr>
        <w:t>institutions</w:t>
      </w:r>
      <w:r w:rsidRPr="00C01540">
        <w:rPr>
          <w:rFonts w:eastAsia="Calibri"/>
        </w:rPr>
        <w:t>.</w:t>
      </w:r>
    </w:p>
    <w:p w14:paraId="7F7084DD" w14:textId="77777777" w:rsidR="000727FF" w:rsidRPr="00C01540" w:rsidRDefault="000727FF" w:rsidP="00B760D3">
      <w:pPr>
        <w:rPr>
          <w:rFonts w:eastAsia="Calibri"/>
        </w:rPr>
      </w:pPr>
    </w:p>
    <w:p w14:paraId="1AA60BAC" w14:textId="77777777" w:rsidR="00E23078" w:rsidRPr="00C01540" w:rsidRDefault="000727FF" w:rsidP="00B760D3">
      <w:pPr>
        <w:rPr>
          <w:rFonts w:eastAsia="Calibri"/>
        </w:rPr>
      </w:pPr>
      <w:r w:rsidRPr="00C01540">
        <w:rPr>
          <w:rFonts w:eastAsia="Calibri"/>
        </w:rPr>
        <w:t>The analysis to test this hypothesis will also be a generalized linear mixed model, but with a binary outcome. The selection of the model and the included covariates will follow the same lines as described for H1.</w:t>
      </w:r>
    </w:p>
    <w:p w14:paraId="6F1A82D9" w14:textId="77777777" w:rsidR="002C3642" w:rsidRDefault="002C3642" w:rsidP="00395E54">
      <w:pPr>
        <w:pStyle w:val="NoSpacing"/>
        <w:rPr>
          <w:rFonts w:ascii="Times New Roman" w:hAnsi="Times New Roman" w:cs="Times New Roman"/>
          <w:sz w:val="24"/>
          <w:szCs w:val="24"/>
        </w:rPr>
      </w:pPr>
    </w:p>
    <w:p w14:paraId="671AB5F7" w14:textId="77777777" w:rsidR="002C3642" w:rsidRPr="0081301A" w:rsidRDefault="002C3642" w:rsidP="00395E54">
      <w:pPr>
        <w:pStyle w:val="NoSpacing"/>
        <w:rPr>
          <w:rFonts w:ascii="Times New Roman" w:hAnsi="Times New Roman" w:cs="Times New Roman"/>
          <w:b/>
          <w:sz w:val="24"/>
          <w:szCs w:val="24"/>
          <w:u w:val="single"/>
        </w:rPr>
      </w:pPr>
      <w:r w:rsidRPr="0081301A">
        <w:rPr>
          <w:rFonts w:ascii="Times New Roman" w:hAnsi="Times New Roman" w:cs="Times New Roman"/>
          <w:b/>
          <w:sz w:val="24"/>
          <w:szCs w:val="24"/>
          <w:u w:val="single"/>
        </w:rPr>
        <w:lastRenderedPageBreak/>
        <w:t xml:space="preserve">BUILD Faculty &amp; NRMN faculty/mentors and students/mentees   </w:t>
      </w:r>
    </w:p>
    <w:p w14:paraId="06C3BDBE" w14:textId="77777777" w:rsidR="002C3642" w:rsidRPr="0081301A" w:rsidRDefault="002C3642" w:rsidP="00395E54">
      <w:pPr>
        <w:pStyle w:val="NoSpacing"/>
        <w:rPr>
          <w:rFonts w:ascii="Times New Roman" w:hAnsi="Times New Roman" w:cs="Times New Roman"/>
          <w:sz w:val="24"/>
          <w:szCs w:val="24"/>
        </w:rPr>
      </w:pPr>
    </w:p>
    <w:p w14:paraId="1E52E2EA" w14:textId="77777777" w:rsidR="00395E54" w:rsidRPr="0081301A" w:rsidRDefault="00247826" w:rsidP="00395E54">
      <w:pPr>
        <w:pStyle w:val="NoSpacing"/>
        <w:rPr>
          <w:rFonts w:ascii="Times New Roman" w:hAnsi="Times New Roman" w:cs="Times New Roman"/>
          <w:sz w:val="24"/>
          <w:szCs w:val="24"/>
        </w:rPr>
      </w:pPr>
      <w:r w:rsidRPr="0081301A">
        <w:rPr>
          <w:rFonts w:ascii="Times New Roman" w:hAnsi="Times New Roman" w:cs="Times New Roman"/>
          <w:sz w:val="24"/>
          <w:szCs w:val="24"/>
        </w:rPr>
        <w:t>Turning to faculty</w:t>
      </w:r>
      <w:r w:rsidR="002C3642" w:rsidRPr="0081301A">
        <w:rPr>
          <w:rFonts w:ascii="Times New Roman" w:hAnsi="Times New Roman" w:cs="Times New Roman"/>
          <w:sz w:val="24"/>
          <w:szCs w:val="24"/>
        </w:rPr>
        <w:t>/mentor</w:t>
      </w:r>
      <w:r w:rsidRPr="0081301A">
        <w:rPr>
          <w:rFonts w:ascii="Times New Roman" w:hAnsi="Times New Roman" w:cs="Times New Roman"/>
          <w:sz w:val="24"/>
          <w:szCs w:val="24"/>
        </w:rPr>
        <w:t xml:space="preserve"> data analysis, </w:t>
      </w:r>
      <w:r w:rsidR="00395E54" w:rsidRPr="0081301A">
        <w:rPr>
          <w:rFonts w:ascii="Times New Roman" w:hAnsi="Times New Roman" w:cs="Times New Roman"/>
          <w:sz w:val="24"/>
          <w:szCs w:val="24"/>
        </w:rPr>
        <w:t xml:space="preserve">NRMN plans to train </w:t>
      </w:r>
      <w:r w:rsidR="00F673FD">
        <w:rPr>
          <w:rFonts w:ascii="Times New Roman" w:hAnsi="Times New Roman" w:cs="Times New Roman"/>
          <w:sz w:val="24"/>
          <w:szCs w:val="24"/>
        </w:rPr>
        <w:t xml:space="preserve">some </w:t>
      </w:r>
      <w:r w:rsidR="005C7B7D">
        <w:rPr>
          <w:rFonts w:ascii="Times New Roman" w:hAnsi="Times New Roman" w:cs="Times New Roman"/>
          <w:sz w:val="24"/>
          <w:szCs w:val="24"/>
        </w:rPr>
        <w:t>8</w:t>
      </w:r>
      <w:r w:rsidR="00395E54" w:rsidRPr="0081301A">
        <w:rPr>
          <w:rFonts w:ascii="Times New Roman" w:hAnsi="Times New Roman" w:cs="Times New Roman"/>
          <w:sz w:val="24"/>
          <w:szCs w:val="24"/>
        </w:rPr>
        <w:t>00 mentors</w:t>
      </w:r>
      <w:r w:rsidR="005C7B7D">
        <w:rPr>
          <w:rFonts w:ascii="Times New Roman" w:hAnsi="Times New Roman" w:cs="Times New Roman"/>
          <w:sz w:val="24"/>
          <w:szCs w:val="24"/>
        </w:rPr>
        <w:t>; we will sample 500</w:t>
      </w:r>
      <w:r w:rsidR="00303181">
        <w:rPr>
          <w:rFonts w:ascii="Times New Roman" w:hAnsi="Times New Roman" w:cs="Times New Roman"/>
          <w:sz w:val="24"/>
          <w:szCs w:val="24"/>
        </w:rPr>
        <w:t xml:space="preserve"> (sample size justification is below)</w:t>
      </w:r>
      <w:r w:rsidR="00395E54" w:rsidRPr="0081301A">
        <w:rPr>
          <w:rFonts w:ascii="Times New Roman" w:hAnsi="Times New Roman" w:cs="Times New Roman"/>
          <w:sz w:val="24"/>
          <w:szCs w:val="24"/>
        </w:rPr>
        <w:t xml:space="preserve">. To test the effectiveness of this training, we measure the Mentoring Competency </w:t>
      </w:r>
      <w:r w:rsidR="005E200B">
        <w:rPr>
          <w:rFonts w:ascii="Times New Roman" w:hAnsi="Times New Roman" w:cs="Times New Roman"/>
          <w:sz w:val="24"/>
          <w:szCs w:val="24"/>
        </w:rPr>
        <w:t>Assessment scale pre- and post-</w:t>
      </w:r>
      <w:r w:rsidR="00395E54" w:rsidRPr="0081301A">
        <w:rPr>
          <w:rFonts w:ascii="Times New Roman" w:hAnsi="Times New Roman" w:cs="Times New Roman"/>
          <w:sz w:val="24"/>
          <w:szCs w:val="24"/>
        </w:rPr>
        <w:t>training</w:t>
      </w:r>
      <w:r w:rsidRPr="0081301A">
        <w:rPr>
          <w:rFonts w:ascii="Times New Roman" w:hAnsi="Times New Roman" w:cs="Times New Roman"/>
          <w:sz w:val="24"/>
          <w:szCs w:val="24"/>
        </w:rPr>
        <w:t xml:space="preserve"> (</w:t>
      </w:r>
      <w:r w:rsidR="003F1353" w:rsidRPr="0081301A">
        <w:rPr>
          <w:rFonts w:ascii="Times New Roman" w:hAnsi="Times New Roman" w:cs="Times New Roman"/>
          <w:sz w:val="24"/>
          <w:szCs w:val="24"/>
        </w:rPr>
        <w:t>P</w:t>
      </w:r>
      <w:r w:rsidRPr="0081301A">
        <w:rPr>
          <w:rFonts w:ascii="Times New Roman" w:hAnsi="Times New Roman" w:cs="Times New Roman"/>
          <w:sz w:val="24"/>
          <w:szCs w:val="24"/>
        </w:rPr>
        <w:t>fund et al., 2014)</w:t>
      </w:r>
      <w:r w:rsidR="00395E54" w:rsidRPr="0081301A">
        <w:rPr>
          <w:rFonts w:ascii="Times New Roman" w:hAnsi="Times New Roman" w:cs="Times New Roman"/>
          <w:sz w:val="24"/>
          <w:szCs w:val="24"/>
        </w:rPr>
        <w:t xml:space="preserve">. We </w:t>
      </w:r>
      <w:r w:rsidR="009B5BA9">
        <w:rPr>
          <w:rFonts w:ascii="Times New Roman" w:hAnsi="Times New Roman" w:cs="Times New Roman"/>
          <w:sz w:val="24"/>
          <w:szCs w:val="24"/>
        </w:rPr>
        <w:t xml:space="preserve">will also </w:t>
      </w:r>
      <w:r w:rsidR="00B72329">
        <w:rPr>
          <w:rFonts w:ascii="Times New Roman" w:hAnsi="Times New Roman" w:cs="Times New Roman"/>
          <w:sz w:val="24"/>
          <w:szCs w:val="24"/>
        </w:rPr>
        <w:t>g</w:t>
      </w:r>
      <w:r w:rsidR="00395E54" w:rsidRPr="0081301A">
        <w:rPr>
          <w:rFonts w:ascii="Times New Roman" w:hAnsi="Times New Roman" w:cs="Times New Roman"/>
          <w:sz w:val="24"/>
          <w:szCs w:val="24"/>
        </w:rPr>
        <w:t xml:space="preserve">ather the same data on a </w:t>
      </w:r>
      <w:r w:rsidR="009B5BA9">
        <w:rPr>
          <w:rFonts w:ascii="Times New Roman" w:hAnsi="Times New Roman" w:cs="Times New Roman"/>
          <w:sz w:val="24"/>
          <w:szCs w:val="24"/>
        </w:rPr>
        <w:t xml:space="preserve">random sample of </w:t>
      </w:r>
      <w:r w:rsidR="005C7B7D">
        <w:rPr>
          <w:rFonts w:ascii="Times New Roman" w:hAnsi="Times New Roman" w:cs="Times New Roman"/>
          <w:sz w:val="24"/>
          <w:szCs w:val="24"/>
        </w:rPr>
        <w:t xml:space="preserve">500 </w:t>
      </w:r>
      <w:r w:rsidR="00395E54" w:rsidRPr="0081301A">
        <w:rPr>
          <w:rFonts w:ascii="Times New Roman" w:hAnsi="Times New Roman" w:cs="Times New Roman"/>
          <w:sz w:val="24"/>
          <w:szCs w:val="24"/>
        </w:rPr>
        <w:t xml:space="preserve">faculty </w:t>
      </w:r>
      <w:r w:rsidR="009B5BA9">
        <w:rPr>
          <w:rFonts w:ascii="Times New Roman" w:hAnsi="Times New Roman" w:cs="Times New Roman"/>
          <w:sz w:val="24"/>
          <w:szCs w:val="24"/>
        </w:rPr>
        <w:t xml:space="preserve">participating in NRMN other than mentor </w:t>
      </w:r>
      <w:r w:rsidR="00395E54" w:rsidRPr="0081301A">
        <w:rPr>
          <w:rFonts w:ascii="Times New Roman" w:hAnsi="Times New Roman" w:cs="Times New Roman"/>
          <w:sz w:val="24"/>
          <w:szCs w:val="24"/>
        </w:rPr>
        <w:t>training. We test the hypothesis:</w:t>
      </w:r>
    </w:p>
    <w:p w14:paraId="6CD7EA05" w14:textId="77777777" w:rsidR="00395E54" w:rsidRPr="0081301A" w:rsidRDefault="00395E54" w:rsidP="00395E54">
      <w:pPr>
        <w:pStyle w:val="NoSpacing"/>
        <w:rPr>
          <w:rFonts w:ascii="Times New Roman" w:hAnsi="Times New Roman" w:cs="Times New Roman"/>
          <w:sz w:val="24"/>
          <w:szCs w:val="24"/>
        </w:rPr>
      </w:pPr>
    </w:p>
    <w:p w14:paraId="3239B8CE" w14:textId="77777777" w:rsidR="00395E54" w:rsidRPr="0081301A" w:rsidRDefault="00395E54" w:rsidP="00395E54">
      <w:pPr>
        <w:pStyle w:val="NoSpacing"/>
        <w:rPr>
          <w:rFonts w:ascii="Times New Roman" w:hAnsi="Times New Roman" w:cs="Times New Roman"/>
          <w:sz w:val="24"/>
          <w:szCs w:val="24"/>
        </w:rPr>
      </w:pPr>
      <w:r w:rsidRPr="0081301A">
        <w:rPr>
          <w:rFonts w:ascii="Times New Roman" w:hAnsi="Times New Roman" w:cs="Times New Roman"/>
          <w:b/>
          <w:sz w:val="24"/>
          <w:szCs w:val="24"/>
        </w:rPr>
        <w:t>H</w:t>
      </w:r>
      <w:r w:rsidR="002C3642" w:rsidRPr="0081301A">
        <w:rPr>
          <w:rFonts w:ascii="Times New Roman" w:hAnsi="Times New Roman" w:cs="Times New Roman"/>
          <w:b/>
          <w:sz w:val="24"/>
          <w:szCs w:val="24"/>
        </w:rPr>
        <w:t>3</w:t>
      </w:r>
      <w:r w:rsidRPr="0081301A">
        <w:rPr>
          <w:rFonts w:ascii="Times New Roman" w:hAnsi="Times New Roman" w:cs="Times New Roman"/>
          <w:b/>
          <w:sz w:val="24"/>
          <w:szCs w:val="24"/>
        </w:rPr>
        <w:t>:</w:t>
      </w:r>
      <w:r w:rsidRPr="0081301A">
        <w:rPr>
          <w:rFonts w:ascii="Times New Roman" w:hAnsi="Times New Roman" w:cs="Times New Roman"/>
          <w:sz w:val="24"/>
          <w:szCs w:val="24"/>
        </w:rPr>
        <w:t xml:space="preserve"> </w:t>
      </w:r>
      <w:r w:rsidRPr="0081301A">
        <w:rPr>
          <w:rFonts w:ascii="Times New Roman" w:hAnsi="Times New Roman" w:cs="Times New Roman"/>
          <w:i/>
          <w:sz w:val="24"/>
          <w:szCs w:val="24"/>
        </w:rPr>
        <w:t>The mean change of post – pre score is greater in the NRMN-trained group than in the control group</w:t>
      </w:r>
      <w:r w:rsidRPr="0081301A">
        <w:rPr>
          <w:rFonts w:ascii="Times New Roman" w:hAnsi="Times New Roman" w:cs="Times New Roman"/>
          <w:sz w:val="24"/>
          <w:szCs w:val="24"/>
        </w:rPr>
        <w:t>.</w:t>
      </w:r>
    </w:p>
    <w:p w14:paraId="6B737B65" w14:textId="77777777" w:rsidR="00395E54" w:rsidRPr="0081301A" w:rsidRDefault="00395E54" w:rsidP="00395E54">
      <w:pPr>
        <w:pStyle w:val="NoSpacing"/>
        <w:rPr>
          <w:rFonts w:ascii="Times New Roman" w:hAnsi="Times New Roman" w:cs="Times New Roman"/>
          <w:sz w:val="24"/>
          <w:szCs w:val="24"/>
        </w:rPr>
      </w:pPr>
    </w:p>
    <w:p w14:paraId="4851B33F" w14:textId="77777777" w:rsidR="00395E54" w:rsidRPr="0081301A" w:rsidRDefault="00395E54" w:rsidP="00395E54">
      <w:pPr>
        <w:pStyle w:val="NoSpacing"/>
        <w:rPr>
          <w:rFonts w:ascii="Times New Roman" w:hAnsi="Times New Roman" w:cs="Times New Roman"/>
          <w:sz w:val="24"/>
          <w:szCs w:val="24"/>
        </w:rPr>
      </w:pPr>
      <w:r w:rsidRPr="0081301A">
        <w:rPr>
          <w:rFonts w:ascii="Times New Roman" w:hAnsi="Times New Roman" w:cs="Times New Roman"/>
          <w:sz w:val="24"/>
          <w:szCs w:val="24"/>
        </w:rPr>
        <w:t xml:space="preserve">The analysis will follow the same approach described </w:t>
      </w:r>
      <w:r w:rsidR="006F1B10" w:rsidRPr="0081301A">
        <w:rPr>
          <w:rFonts w:ascii="Times New Roman" w:hAnsi="Times New Roman" w:cs="Times New Roman"/>
          <w:sz w:val="24"/>
          <w:szCs w:val="24"/>
        </w:rPr>
        <w:t>for hypothes</w:t>
      </w:r>
      <w:r w:rsidR="002C3642" w:rsidRPr="0081301A">
        <w:rPr>
          <w:rFonts w:ascii="Times New Roman" w:hAnsi="Times New Roman" w:cs="Times New Roman"/>
          <w:sz w:val="24"/>
          <w:szCs w:val="24"/>
        </w:rPr>
        <w:t>e</w:t>
      </w:r>
      <w:r w:rsidR="006F1B10" w:rsidRPr="0081301A">
        <w:rPr>
          <w:rFonts w:ascii="Times New Roman" w:hAnsi="Times New Roman" w:cs="Times New Roman"/>
          <w:sz w:val="24"/>
          <w:szCs w:val="24"/>
        </w:rPr>
        <w:t>s H</w:t>
      </w:r>
      <w:r w:rsidR="000D47F5" w:rsidRPr="0081301A">
        <w:rPr>
          <w:rFonts w:ascii="Times New Roman" w:hAnsi="Times New Roman" w:cs="Times New Roman"/>
          <w:sz w:val="24"/>
          <w:szCs w:val="24"/>
        </w:rPr>
        <w:t>1</w:t>
      </w:r>
      <w:r w:rsidR="002C3642" w:rsidRPr="0081301A">
        <w:rPr>
          <w:rFonts w:ascii="Times New Roman" w:hAnsi="Times New Roman" w:cs="Times New Roman"/>
          <w:sz w:val="24"/>
          <w:szCs w:val="24"/>
        </w:rPr>
        <w:t xml:space="preserve"> &amp; H2</w:t>
      </w:r>
      <w:r w:rsidRPr="0081301A">
        <w:rPr>
          <w:rFonts w:ascii="Times New Roman" w:hAnsi="Times New Roman" w:cs="Times New Roman"/>
          <w:sz w:val="24"/>
          <w:szCs w:val="24"/>
        </w:rPr>
        <w:t xml:space="preserve">. </w:t>
      </w:r>
      <w:r w:rsidR="003F1353" w:rsidRPr="0081301A">
        <w:rPr>
          <w:rFonts w:ascii="Times New Roman" w:hAnsi="Times New Roman" w:cs="Times New Roman"/>
          <w:sz w:val="24"/>
          <w:szCs w:val="24"/>
        </w:rPr>
        <w:t xml:space="preserve">The control group will be selected from NRMN faculty who do not receive NRMN mentor training. </w:t>
      </w:r>
      <w:r w:rsidRPr="0081301A">
        <w:rPr>
          <w:rFonts w:ascii="Times New Roman" w:hAnsi="Times New Roman" w:cs="Times New Roman"/>
          <w:sz w:val="24"/>
          <w:szCs w:val="24"/>
        </w:rPr>
        <w:t xml:space="preserve">To find the size of </w:t>
      </w:r>
      <w:r w:rsidR="003F1353" w:rsidRPr="0081301A">
        <w:rPr>
          <w:rFonts w:ascii="Times New Roman" w:hAnsi="Times New Roman" w:cs="Times New Roman"/>
          <w:sz w:val="24"/>
          <w:szCs w:val="24"/>
        </w:rPr>
        <w:t xml:space="preserve">this </w:t>
      </w:r>
      <w:r w:rsidRPr="0081301A">
        <w:rPr>
          <w:rFonts w:ascii="Times New Roman" w:hAnsi="Times New Roman" w:cs="Times New Roman"/>
          <w:sz w:val="24"/>
          <w:szCs w:val="24"/>
        </w:rPr>
        <w:t xml:space="preserve">control group, we use a conservative two-sided t-test with power = 0.80 and N1 = </w:t>
      </w:r>
      <w:r w:rsidR="00F673FD">
        <w:rPr>
          <w:rFonts w:ascii="Times New Roman" w:hAnsi="Times New Roman" w:cs="Times New Roman"/>
          <w:sz w:val="24"/>
          <w:szCs w:val="24"/>
        </w:rPr>
        <w:t>5</w:t>
      </w:r>
      <w:r w:rsidRPr="0081301A">
        <w:rPr>
          <w:rFonts w:ascii="Times New Roman" w:hAnsi="Times New Roman" w:cs="Times New Roman"/>
          <w:sz w:val="24"/>
          <w:szCs w:val="24"/>
        </w:rPr>
        <w:t xml:space="preserve">00 NRMN-trained faculty. </w:t>
      </w:r>
      <w:r w:rsidR="000A31A8" w:rsidRPr="0081301A">
        <w:rPr>
          <w:rFonts w:ascii="Times New Roman" w:hAnsi="Times New Roman" w:cs="Times New Roman"/>
          <w:sz w:val="24"/>
          <w:szCs w:val="24"/>
        </w:rPr>
        <w:t xml:space="preserve">We ignore the clustering effect (intra-class correlation) since the faculty will largely be recruited from different universities, with at most two faculty members from any one institution. </w:t>
      </w:r>
      <w:r w:rsidRPr="0081301A">
        <w:rPr>
          <w:rFonts w:ascii="Times New Roman" w:hAnsi="Times New Roman" w:cs="Times New Roman"/>
          <w:sz w:val="24"/>
          <w:szCs w:val="24"/>
        </w:rPr>
        <w:t>Allowing for 20% attrition</w:t>
      </w:r>
      <w:r w:rsidR="000E1239" w:rsidRPr="0081301A">
        <w:rPr>
          <w:rFonts w:ascii="Times New Roman" w:hAnsi="Times New Roman" w:cs="Times New Roman"/>
          <w:sz w:val="24"/>
          <w:szCs w:val="24"/>
        </w:rPr>
        <w:t xml:space="preserve"> per year over a 3-year follow-up</w:t>
      </w:r>
      <w:r w:rsidRPr="0081301A">
        <w:rPr>
          <w:rFonts w:ascii="Times New Roman" w:hAnsi="Times New Roman" w:cs="Times New Roman"/>
          <w:sz w:val="24"/>
          <w:szCs w:val="24"/>
        </w:rPr>
        <w:t xml:space="preserve">, we use N1 = </w:t>
      </w:r>
      <w:r w:rsidR="00E520BA">
        <w:rPr>
          <w:rFonts w:ascii="Times New Roman" w:hAnsi="Times New Roman" w:cs="Times New Roman"/>
          <w:sz w:val="24"/>
          <w:szCs w:val="24"/>
        </w:rPr>
        <w:t>320</w:t>
      </w:r>
      <w:r w:rsidR="005C7B7D">
        <w:rPr>
          <w:rFonts w:ascii="Times New Roman" w:hAnsi="Times New Roman" w:cs="Times New Roman"/>
          <w:sz w:val="24"/>
          <w:szCs w:val="24"/>
        </w:rPr>
        <w:t xml:space="preserve"> to calculate the needed number of controls</w:t>
      </w:r>
      <w:r w:rsidRPr="0081301A">
        <w:rPr>
          <w:rFonts w:ascii="Times New Roman" w:hAnsi="Times New Roman" w:cs="Times New Roman"/>
          <w:sz w:val="24"/>
          <w:szCs w:val="24"/>
        </w:rPr>
        <w:t xml:space="preserve">. </w:t>
      </w:r>
      <w:r w:rsidR="000A31A8" w:rsidRPr="0081301A">
        <w:rPr>
          <w:rFonts w:ascii="Times New Roman" w:hAnsi="Times New Roman" w:cs="Times New Roman"/>
          <w:sz w:val="24"/>
          <w:szCs w:val="24"/>
        </w:rPr>
        <w:t>An</w:t>
      </w:r>
      <w:r w:rsidRPr="0081301A">
        <w:rPr>
          <w:rFonts w:ascii="Times New Roman" w:hAnsi="Times New Roman" w:cs="Times New Roman"/>
          <w:sz w:val="24"/>
          <w:szCs w:val="24"/>
        </w:rPr>
        <w:t xml:space="preserve"> effect size of 0.40 was derived from data provided in the reference below from a similar study</w:t>
      </w:r>
      <w:r w:rsidR="000A31A8" w:rsidRPr="0081301A">
        <w:rPr>
          <w:rFonts w:ascii="Times New Roman" w:hAnsi="Times New Roman" w:cs="Times New Roman"/>
          <w:sz w:val="24"/>
          <w:szCs w:val="24"/>
        </w:rPr>
        <w:t xml:space="preserve"> (Pfund et al., 2014)</w:t>
      </w:r>
      <w:r w:rsidRPr="0081301A">
        <w:rPr>
          <w:rFonts w:ascii="Times New Roman" w:hAnsi="Times New Roman" w:cs="Times New Roman"/>
          <w:sz w:val="24"/>
          <w:szCs w:val="24"/>
        </w:rPr>
        <w:t>. However, since we will be following this group after training, we use an effect size of 0.25 to account for the longer time effect. The required sample size is N2 = 208 controls. Allowing for 20% attrition</w:t>
      </w:r>
      <w:r w:rsidR="000E1239" w:rsidRPr="0081301A">
        <w:rPr>
          <w:rFonts w:ascii="Times New Roman" w:hAnsi="Times New Roman" w:cs="Times New Roman"/>
          <w:sz w:val="24"/>
          <w:szCs w:val="24"/>
        </w:rPr>
        <w:t xml:space="preserve"> per year over 3</w:t>
      </w:r>
      <w:r w:rsidR="00E520BA">
        <w:rPr>
          <w:rFonts w:ascii="Times New Roman" w:hAnsi="Times New Roman" w:cs="Times New Roman"/>
          <w:sz w:val="24"/>
          <w:szCs w:val="24"/>
        </w:rPr>
        <w:t>-4-</w:t>
      </w:r>
      <w:r w:rsidR="000E1239" w:rsidRPr="0081301A">
        <w:rPr>
          <w:rFonts w:ascii="Times New Roman" w:hAnsi="Times New Roman" w:cs="Times New Roman"/>
          <w:sz w:val="24"/>
          <w:szCs w:val="24"/>
        </w:rPr>
        <w:t xml:space="preserve"> years</w:t>
      </w:r>
      <w:r w:rsidRPr="0081301A">
        <w:rPr>
          <w:rFonts w:ascii="Times New Roman" w:hAnsi="Times New Roman" w:cs="Times New Roman"/>
          <w:sz w:val="24"/>
          <w:szCs w:val="24"/>
        </w:rPr>
        <w:t xml:space="preserve">, we need to recruit at least </w:t>
      </w:r>
      <w:r w:rsidR="00E520BA">
        <w:rPr>
          <w:rFonts w:ascii="Times New Roman" w:hAnsi="Times New Roman" w:cs="Times New Roman"/>
          <w:sz w:val="24"/>
          <w:szCs w:val="24"/>
        </w:rPr>
        <w:t>260</w:t>
      </w:r>
      <w:r w:rsidRPr="0081301A">
        <w:rPr>
          <w:rFonts w:ascii="Times New Roman" w:hAnsi="Times New Roman" w:cs="Times New Roman"/>
          <w:sz w:val="24"/>
          <w:szCs w:val="24"/>
        </w:rPr>
        <w:t xml:space="preserve"> controls. To be on the safe side</w:t>
      </w:r>
      <w:r w:rsidRPr="00477510">
        <w:rPr>
          <w:rFonts w:ascii="Times New Roman" w:hAnsi="Times New Roman" w:cs="Times New Roman"/>
          <w:sz w:val="24"/>
          <w:szCs w:val="24"/>
        </w:rPr>
        <w:t xml:space="preserve">, we recruit </w:t>
      </w:r>
      <w:r w:rsidR="00F673FD" w:rsidRPr="00477510">
        <w:rPr>
          <w:rFonts w:ascii="Times New Roman" w:hAnsi="Times New Roman" w:cs="Times New Roman"/>
          <w:sz w:val="24"/>
          <w:szCs w:val="24"/>
        </w:rPr>
        <w:t>5</w:t>
      </w:r>
      <w:r w:rsidRPr="00477510">
        <w:rPr>
          <w:rFonts w:ascii="Times New Roman" w:hAnsi="Times New Roman" w:cs="Times New Roman"/>
          <w:sz w:val="24"/>
          <w:szCs w:val="24"/>
        </w:rPr>
        <w:t>00 controls</w:t>
      </w:r>
      <w:r w:rsidR="00477510" w:rsidRPr="00477510">
        <w:rPr>
          <w:rFonts w:ascii="Times New Roman" w:hAnsi="Times New Roman" w:cs="Times New Roman"/>
          <w:sz w:val="24"/>
          <w:szCs w:val="24"/>
        </w:rPr>
        <w:t xml:space="preserve"> as this also positions the D</w:t>
      </w:r>
      <w:r w:rsidR="00477510" w:rsidRPr="00303181">
        <w:rPr>
          <w:rFonts w:ascii="Times New Roman" w:eastAsia="Calibri" w:hAnsi="Times New Roman" w:cs="Times New Roman"/>
        </w:rPr>
        <w:t>iversity Program to examine longer-term outcomes of these groups should additional funding to support follow-up after 2019 be forthcoming</w:t>
      </w:r>
      <w:r w:rsidRPr="00477510">
        <w:rPr>
          <w:rFonts w:ascii="Times New Roman" w:hAnsi="Times New Roman" w:cs="Times New Roman"/>
          <w:sz w:val="24"/>
          <w:szCs w:val="24"/>
        </w:rPr>
        <w:t>.</w:t>
      </w:r>
      <w:r w:rsidR="00577E89" w:rsidRPr="00477510">
        <w:rPr>
          <w:rFonts w:ascii="Times New Roman" w:hAnsi="Times New Roman" w:cs="Times New Roman"/>
          <w:sz w:val="24"/>
          <w:szCs w:val="24"/>
        </w:rPr>
        <w:t xml:space="preserve"> In addition, we will survey the mentees of</w:t>
      </w:r>
      <w:r w:rsidR="00577E89">
        <w:rPr>
          <w:rFonts w:ascii="Times New Roman" w:hAnsi="Times New Roman" w:cs="Times New Roman"/>
          <w:sz w:val="24"/>
          <w:szCs w:val="24"/>
        </w:rPr>
        <w:t xml:space="preserve"> the</w:t>
      </w:r>
      <w:r w:rsidR="005C7B7D">
        <w:rPr>
          <w:rFonts w:ascii="Times New Roman" w:hAnsi="Times New Roman" w:cs="Times New Roman"/>
          <w:sz w:val="24"/>
          <w:szCs w:val="24"/>
        </w:rPr>
        <w:t xml:space="preserve"> NRMN </w:t>
      </w:r>
      <w:r w:rsidR="00477510">
        <w:rPr>
          <w:rFonts w:ascii="Times New Roman" w:hAnsi="Times New Roman" w:cs="Times New Roman"/>
          <w:sz w:val="24"/>
          <w:szCs w:val="24"/>
        </w:rPr>
        <w:t xml:space="preserve">faculty who receive </w:t>
      </w:r>
      <w:r w:rsidR="005C7B7D">
        <w:rPr>
          <w:rFonts w:ascii="Times New Roman" w:hAnsi="Times New Roman" w:cs="Times New Roman"/>
          <w:sz w:val="24"/>
          <w:szCs w:val="24"/>
        </w:rPr>
        <w:t>mentor</w:t>
      </w:r>
      <w:r w:rsidR="00477510">
        <w:rPr>
          <w:rFonts w:ascii="Times New Roman" w:hAnsi="Times New Roman" w:cs="Times New Roman"/>
          <w:sz w:val="24"/>
          <w:szCs w:val="24"/>
        </w:rPr>
        <w:t xml:space="preserve"> </w:t>
      </w:r>
      <w:r w:rsidR="005C7B7D">
        <w:rPr>
          <w:rFonts w:ascii="Times New Roman" w:hAnsi="Times New Roman" w:cs="Times New Roman"/>
          <w:sz w:val="24"/>
          <w:szCs w:val="24"/>
        </w:rPr>
        <w:t>train</w:t>
      </w:r>
      <w:r w:rsidR="00477510">
        <w:rPr>
          <w:rFonts w:ascii="Times New Roman" w:hAnsi="Times New Roman" w:cs="Times New Roman"/>
          <w:sz w:val="24"/>
          <w:szCs w:val="24"/>
        </w:rPr>
        <w:t>ing</w:t>
      </w:r>
      <w:r w:rsidR="00303181">
        <w:rPr>
          <w:rFonts w:ascii="Times New Roman" w:hAnsi="Times New Roman" w:cs="Times New Roman"/>
          <w:sz w:val="24"/>
          <w:szCs w:val="24"/>
        </w:rPr>
        <w:t xml:space="preserve"> </w:t>
      </w:r>
      <w:r w:rsidR="00577E89">
        <w:rPr>
          <w:rFonts w:ascii="Times New Roman" w:hAnsi="Times New Roman" w:cs="Times New Roman"/>
          <w:sz w:val="24"/>
          <w:szCs w:val="24"/>
        </w:rPr>
        <w:t xml:space="preserve">in order to examine the effect of the mentorship program on those mentees. </w:t>
      </w:r>
    </w:p>
    <w:p w14:paraId="015664E9" w14:textId="77777777" w:rsidR="00395E54" w:rsidRPr="0081301A" w:rsidRDefault="00395E54" w:rsidP="00395E54">
      <w:pPr>
        <w:pStyle w:val="NoSpacing"/>
        <w:rPr>
          <w:rFonts w:ascii="Times New Roman" w:hAnsi="Times New Roman" w:cs="Times New Roman"/>
          <w:sz w:val="24"/>
          <w:szCs w:val="24"/>
        </w:rPr>
      </w:pPr>
    </w:p>
    <w:p w14:paraId="6A69FD22" w14:textId="7F78B7A9" w:rsidR="00395E54" w:rsidRPr="0081301A" w:rsidRDefault="00395E54" w:rsidP="00395E54">
      <w:pPr>
        <w:pStyle w:val="NoSpacing"/>
        <w:rPr>
          <w:rFonts w:ascii="Times New Roman" w:hAnsi="Times New Roman" w:cs="Times New Roman"/>
          <w:sz w:val="24"/>
          <w:szCs w:val="24"/>
        </w:rPr>
      </w:pPr>
      <w:r w:rsidRPr="0081301A">
        <w:rPr>
          <w:rFonts w:ascii="Times New Roman" w:hAnsi="Times New Roman" w:cs="Times New Roman"/>
          <w:sz w:val="24"/>
          <w:szCs w:val="24"/>
        </w:rPr>
        <w:t>For BUILD institution</w:t>
      </w:r>
      <w:r w:rsidR="006F1B10" w:rsidRPr="0081301A">
        <w:rPr>
          <w:rFonts w:ascii="Times New Roman" w:hAnsi="Times New Roman" w:cs="Times New Roman"/>
          <w:sz w:val="24"/>
          <w:szCs w:val="24"/>
        </w:rPr>
        <w:t>s’</w:t>
      </w:r>
      <w:r w:rsidRPr="0081301A">
        <w:rPr>
          <w:rFonts w:ascii="Times New Roman" w:hAnsi="Times New Roman" w:cs="Times New Roman"/>
          <w:sz w:val="24"/>
          <w:szCs w:val="24"/>
        </w:rPr>
        <w:t xml:space="preserve"> faculty, we </w:t>
      </w:r>
      <w:r w:rsidR="000E1239" w:rsidRPr="0081301A">
        <w:rPr>
          <w:rFonts w:ascii="Times New Roman" w:hAnsi="Times New Roman" w:cs="Times New Roman"/>
          <w:sz w:val="24"/>
          <w:szCs w:val="24"/>
        </w:rPr>
        <w:t xml:space="preserve">will </w:t>
      </w:r>
      <w:r w:rsidRPr="0081301A">
        <w:rPr>
          <w:rFonts w:ascii="Times New Roman" w:hAnsi="Times New Roman" w:cs="Times New Roman"/>
          <w:sz w:val="24"/>
          <w:szCs w:val="24"/>
        </w:rPr>
        <w:t xml:space="preserve">follow </w:t>
      </w:r>
      <w:r w:rsidR="000D47F5" w:rsidRPr="0081301A">
        <w:rPr>
          <w:rFonts w:ascii="Times New Roman" w:hAnsi="Times New Roman" w:cs="Times New Roman"/>
          <w:sz w:val="24"/>
          <w:szCs w:val="24"/>
        </w:rPr>
        <w:t xml:space="preserve">the same approach </w:t>
      </w:r>
      <w:r w:rsidR="00247826" w:rsidRPr="0081301A">
        <w:rPr>
          <w:rFonts w:ascii="Times New Roman" w:hAnsi="Times New Roman" w:cs="Times New Roman"/>
          <w:sz w:val="24"/>
          <w:szCs w:val="24"/>
        </w:rPr>
        <w:t xml:space="preserve">as </w:t>
      </w:r>
      <w:r w:rsidRPr="0081301A">
        <w:rPr>
          <w:rFonts w:ascii="Times New Roman" w:hAnsi="Times New Roman" w:cs="Times New Roman"/>
          <w:sz w:val="24"/>
          <w:szCs w:val="24"/>
        </w:rPr>
        <w:t xml:space="preserve">for NRMN faculty. </w:t>
      </w:r>
      <w:r w:rsidR="000D47F5" w:rsidRPr="0081301A">
        <w:rPr>
          <w:rFonts w:ascii="Times New Roman" w:hAnsi="Times New Roman" w:cs="Times New Roman"/>
          <w:sz w:val="24"/>
          <w:szCs w:val="24"/>
        </w:rPr>
        <w:t xml:space="preserve">Therefore, we also need to survey </w:t>
      </w:r>
      <w:r w:rsidR="00F673FD">
        <w:rPr>
          <w:rFonts w:ascii="Times New Roman" w:hAnsi="Times New Roman" w:cs="Times New Roman"/>
          <w:sz w:val="24"/>
          <w:szCs w:val="24"/>
        </w:rPr>
        <w:t>5</w:t>
      </w:r>
      <w:r w:rsidR="000D47F5" w:rsidRPr="0081301A">
        <w:rPr>
          <w:rFonts w:ascii="Times New Roman" w:hAnsi="Times New Roman" w:cs="Times New Roman"/>
          <w:sz w:val="24"/>
          <w:szCs w:val="24"/>
        </w:rPr>
        <w:t>00 BUILD institution faculty</w:t>
      </w:r>
      <w:r w:rsidR="006D4678">
        <w:rPr>
          <w:rFonts w:ascii="Times New Roman" w:hAnsi="Times New Roman" w:cs="Times New Roman"/>
          <w:sz w:val="24"/>
          <w:szCs w:val="24"/>
        </w:rPr>
        <w:t xml:space="preserve"> </w:t>
      </w:r>
      <w:r w:rsidR="009B5BA9">
        <w:rPr>
          <w:rFonts w:ascii="Times New Roman" w:hAnsi="Times New Roman" w:cs="Times New Roman"/>
          <w:sz w:val="24"/>
          <w:szCs w:val="24"/>
        </w:rPr>
        <w:t xml:space="preserve">in </w:t>
      </w:r>
      <w:r w:rsidR="009B5BA9" w:rsidRPr="002C67CA">
        <w:rPr>
          <w:rFonts w:ascii="Times New Roman" w:hAnsi="Times New Roman" w:cs="Times New Roman"/>
          <w:sz w:val="24"/>
          <w:szCs w:val="24"/>
        </w:rPr>
        <w:t>order to ensure that we have a minimum of 300 faculty at the 3 year follow-up (allowing for 20% attrition annually)</w:t>
      </w:r>
      <w:r w:rsidR="000D47F5" w:rsidRPr="002C67CA">
        <w:rPr>
          <w:rFonts w:ascii="Times New Roman" w:hAnsi="Times New Roman" w:cs="Times New Roman"/>
          <w:sz w:val="24"/>
          <w:szCs w:val="24"/>
        </w:rPr>
        <w:t xml:space="preserve">.  </w:t>
      </w:r>
      <w:r w:rsidR="001410DD" w:rsidRPr="002C67CA">
        <w:rPr>
          <w:rFonts w:ascii="Times New Roman" w:hAnsi="Times New Roman" w:cs="Times New Roman"/>
          <w:sz w:val="24"/>
          <w:szCs w:val="24"/>
        </w:rPr>
        <w:t xml:space="preserve">These faculty will be </w:t>
      </w:r>
      <w:r w:rsidR="000E1239" w:rsidRPr="002C67CA">
        <w:rPr>
          <w:rFonts w:ascii="Times New Roman" w:hAnsi="Times New Roman" w:cs="Times New Roman"/>
          <w:sz w:val="24"/>
          <w:szCs w:val="24"/>
        </w:rPr>
        <w:t xml:space="preserve">sampled from among institutional faculty in </w:t>
      </w:r>
      <w:r w:rsidR="0095781C" w:rsidRPr="002C67CA">
        <w:rPr>
          <w:rFonts w:ascii="Times New Roman" w:hAnsi="Times New Roman" w:cs="Times New Roman"/>
          <w:sz w:val="24"/>
          <w:szCs w:val="24"/>
        </w:rPr>
        <w:t xml:space="preserve">biomedical research </w:t>
      </w:r>
      <w:r w:rsidR="000E1239" w:rsidRPr="002C67CA">
        <w:rPr>
          <w:rFonts w:ascii="Times New Roman" w:hAnsi="Times New Roman" w:cs="Times New Roman"/>
          <w:sz w:val="24"/>
          <w:szCs w:val="24"/>
        </w:rPr>
        <w:t xml:space="preserve">fields, taking 100% </w:t>
      </w:r>
      <w:r w:rsidR="00AC4FF0" w:rsidRPr="002C67CA">
        <w:rPr>
          <w:rFonts w:ascii="Times New Roman" w:hAnsi="Times New Roman" w:cs="Times New Roman"/>
          <w:sz w:val="24"/>
          <w:szCs w:val="24"/>
        </w:rPr>
        <w:t xml:space="preserve">of </w:t>
      </w:r>
      <w:r w:rsidR="000E1239" w:rsidRPr="002C67CA">
        <w:rPr>
          <w:rFonts w:ascii="Times New Roman" w:hAnsi="Times New Roman" w:cs="Times New Roman"/>
          <w:sz w:val="24"/>
          <w:szCs w:val="24"/>
        </w:rPr>
        <w:t xml:space="preserve">those participating in BUILD activities </w:t>
      </w:r>
      <w:r w:rsidR="00D403EE" w:rsidRPr="002C67CA">
        <w:rPr>
          <w:rFonts w:ascii="Times New Roman" w:hAnsi="Times New Roman" w:cs="Times New Roman"/>
          <w:sz w:val="24"/>
          <w:szCs w:val="24"/>
        </w:rPr>
        <w:t xml:space="preserve">(unless there are more than 25 in which case a random sample of 25 will be drawn) </w:t>
      </w:r>
      <w:r w:rsidR="000E1239" w:rsidRPr="002C67CA">
        <w:rPr>
          <w:rFonts w:ascii="Times New Roman" w:hAnsi="Times New Roman" w:cs="Times New Roman"/>
          <w:sz w:val="24"/>
          <w:szCs w:val="24"/>
        </w:rPr>
        <w:t xml:space="preserve">and random sampling the balance needed for the target sample size from amongst the rest of the bioscience faculty. </w:t>
      </w:r>
      <w:r w:rsidR="001410DD" w:rsidRPr="002C67CA">
        <w:rPr>
          <w:rFonts w:ascii="Times New Roman" w:hAnsi="Times New Roman" w:cs="Times New Roman"/>
          <w:sz w:val="24"/>
          <w:szCs w:val="24"/>
        </w:rPr>
        <w:t xml:space="preserve"> </w:t>
      </w:r>
      <w:r w:rsidR="003F1353" w:rsidRPr="002C67CA">
        <w:rPr>
          <w:rFonts w:ascii="Times New Roman" w:hAnsi="Times New Roman" w:cs="Times New Roman"/>
          <w:sz w:val="24"/>
          <w:szCs w:val="24"/>
        </w:rPr>
        <w:t>As</w:t>
      </w:r>
      <w:r w:rsidR="003F1353" w:rsidRPr="0081301A">
        <w:rPr>
          <w:rFonts w:ascii="Times New Roman" w:hAnsi="Times New Roman" w:cs="Times New Roman"/>
          <w:sz w:val="24"/>
          <w:szCs w:val="24"/>
        </w:rPr>
        <w:t xml:space="preserve"> with BUILD students, the control faculty will be s</w:t>
      </w:r>
      <w:r w:rsidR="000E1239" w:rsidRPr="0081301A">
        <w:rPr>
          <w:rFonts w:ascii="Times New Roman" w:hAnsi="Times New Roman" w:cs="Times New Roman"/>
          <w:sz w:val="24"/>
          <w:szCs w:val="24"/>
        </w:rPr>
        <w:t xml:space="preserve">ampled from </w:t>
      </w:r>
      <w:r w:rsidR="0095781C" w:rsidRPr="0081301A">
        <w:rPr>
          <w:rFonts w:ascii="Times New Roman" w:hAnsi="Times New Roman" w:cs="Times New Roman"/>
          <w:sz w:val="24"/>
          <w:szCs w:val="24"/>
        </w:rPr>
        <w:t>bio</w:t>
      </w:r>
      <w:r w:rsidR="0095781C">
        <w:rPr>
          <w:rFonts w:ascii="Times New Roman" w:hAnsi="Times New Roman" w:cs="Times New Roman"/>
          <w:sz w:val="24"/>
          <w:szCs w:val="24"/>
        </w:rPr>
        <w:t>medical research</w:t>
      </w:r>
      <w:r w:rsidR="0095781C" w:rsidRPr="0081301A">
        <w:rPr>
          <w:rFonts w:ascii="Times New Roman" w:hAnsi="Times New Roman" w:cs="Times New Roman"/>
          <w:sz w:val="24"/>
          <w:szCs w:val="24"/>
        </w:rPr>
        <w:t xml:space="preserve"> </w:t>
      </w:r>
      <w:r w:rsidR="000E1239" w:rsidRPr="0081301A">
        <w:rPr>
          <w:rFonts w:ascii="Times New Roman" w:hAnsi="Times New Roman" w:cs="Times New Roman"/>
          <w:sz w:val="24"/>
          <w:szCs w:val="24"/>
        </w:rPr>
        <w:t xml:space="preserve">faculty at </w:t>
      </w:r>
      <w:r w:rsidR="003F1353" w:rsidRPr="0081301A">
        <w:rPr>
          <w:rFonts w:ascii="Times New Roman" w:hAnsi="Times New Roman" w:cs="Times New Roman"/>
          <w:sz w:val="24"/>
          <w:szCs w:val="24"/>
        </w:rPr>
        <w:t xml:space="preserve">comparable institutions without BUILD programs. Their number is also </w:t>
      </w:r>
      <w:r w:rsidR="00F673FD">
        <w:rPr>
          <w:rFonts w:ascii="Times New Roman" w:hAnsi="Times New Roman" w:cs="Times New Roman"/>
          <w:sz w:val="24"/>
          <w:szCs w:val="24"/>
        </w:rPr>
        <w:t>5</w:t>
      </w:r>
      <w:r w:rsidR="003F1353" w:rsidRPr="0081301A">
        <w:rPr>
          <w:rFonts w:ascii="Times New Roman" w:hAnsi="Times New Roman" w:cs="Times New Roman"/>
          <w:sz w:val="24"/>
          <w:szCs w:val="24"/>
        </w:rPr>
        <w:t xml:space="preserve">00. </w:t>
      </w:r>
      <w:r w:rsidR="00303181">
        <w:rPr>
          <w:rFonts w:ascii="Times New Roman" w:hAnsi="Times New Roman" w:cs="Times New Roman"/>
          <w:sz w:val="24"/>
          <w:szCs w:val="24"/>
        </w:rPr>
        <w:t xml:space="preserve"> As for students from non-BUILD institutions, data for faculty at non-BUILD institutions will come from secondary data available from HERI surveys </w:t>
      </w:r>
      <w:r w:rsidR="007A12D8">
        <w:rPr>
          <w:rFonts w:ascii="Times New Roman" w:hAnsi="Times New Roman" w:cs="Times New Roman"/>
          <w:sz w:val="24"/>
          <w:szCs w:val="24"/>
        </w:rPr>
        <w:t xml:space="preserve">independently </w:t>
      </w:r>
      <w:r w:rsidR="00303181">
        <w:rPr>
          <w:rFonts w:ascii="Times New Roman" w:hAnsi="Times New Roman" w:cs="Times New Roman"/>
          <w:sz w:val="24"/>
          <w:szCs w:val="24"/>
        </w:rPr>
        <w:t xml:space="preserve">administered at these institutions.  </w:t>
      </w:r>
      <w:r w:rsidR="003F1353" w:rsidRPr="0081301A">
        <w:rPr>
          <w:rFonts w:ascii="Times New Roman" w:hAnsi="Times New Roman" w:cs="Times New Roman"/>
          <w:sz w:val="24"/>
          <w:szCs w:val="24"/>
        </w:rPr>
        <w:t>The outcomes for these analyses include mentor</w:t>
      </w:r>
      <w:r w:rsidR="002060D2" w:rsidRPr="0081301A">
        <w:rPr>
          <w:rFonts w:ascii="Times New Roman" w:hAnsi="Times New Roman" w:cs="Times New Roman"/>
          <w:sz w:val="24"/>
          <w:szCs w:val="24"/>
        </w:rPr>
        <w:t xml:space="preserve">ing efficacy (similar to NRMN) </w:t>
      </w:r>
      <w:r w:rsidR="003F1353" w:rsidRPr="0081301A">
        <w:rPr>
          <w:rFonts w:ascii="Times New Roman" w:hAnsi="Times New Roman" w:cs="Times New Roman"/>
          <w:sz w:val="24"/>
          <w:szCs w:val="24"/>
        </w:rPr>
        <w:t xml:space="preserve">as well as </w:t>
      </w:r>
      <w:r w:rsidR="002060D2" w:rsidRPr="0081301A">
        <w:rPr>
          <w:rFonts w:ascii="Times New Roman" w:hAnsi="Times New Roman" w:cs="Times New Roman"/>
          <w:sz w:val="24"/>
          <w:szCs w:val="24"/>
        </w:rPr>
        <w:t xml:space="preserve">the </w:t>
      </w:r>
      <w:r w:rsidR="003F1353" w:rsidRPr="0081301A">
        <w:rPr>
          <w:rFonts w:ascii="Times New Roman" w:hAnsi="Times New Roman" w:cs="Times New Roman"/>
          <w:sz w:val="24"/>
          <w:szCs w:val="24"/>
        </w:rPr>
        <w:t xml:space="preserve">research productivity </w:t>
      </w:r>
      <w:r w:rsidR="00E85176" w:rsidRPr="0081301A">
        <w:rPr>
          <w:rFonts w:ascii="Times New Roman" w:hAnsi="Times New Roman" w:cs="Times New Roman"/>
          <w:sz w:val="24"/>
          <w:szCs w:val="24"/>
        </w:rPr>
        <w:t>(e.g., numbers of publications, grant submissions).  Thus, s</w:t>
      </w:r>
      <w:r w:rsidR="002060D2" w:rsidRPr="0081301A">
        <w:rPr>
          <w:rFonts w:ascii="Times New Roman" w:hAnsi="Times New Roman" w:cs="Times New Roman"/>
          <w:sz w:val="24"/>
          <w:szCs w:val="24"/>
        </w:rPr>
        <w:t xml:space="preserve">ome </w:t>
      </w:r>
      <w:r w:rsidR="00E85176" w:rsidRPr="0081301A">
        <w:rPr>
          <w:rFonts w:ascii="Times New Roman" w:hAnsi="Times New Roman" w:cs="Times New Roman"/>
          <w:sz w:val="24"/>
          <w:szCs w:val="24"/>
        </w:rPr>
        <w:t>outcomes</w:t>
      </w:r>
      <w:r w:rsidR="002060D2" w:rsidRPr="0081301A">
        <w:rPr>
          <w:rFonts w:ascii="Times New Roman" w:hAnsi="Times New Roman" w:cs="Times New Roman"/>
          <w:sz w:val="24"/>
          <w:szCs w:val="24"/>
        </w:rPr>
        <w:t xml:space="preserve"> will be scale measures (continuous) and others are counts to be analyzed with Poisson-type methodology. All will use the generalized mixed model methods described earlier. </w:t>
      </w:r>
      <w:r w:rsidR="000727FF" w:rsidRPr="0081301A">
        <w:rPr>
          <w:rFonts w:ascii="Times New Roman" w:hAnsi="Times New Roman" w:cs="Times New Roman"/>
          <w:sz w:val="24"/>
          <w:szCs w:val="24"/>
        </w:rPr>
        <w:t xml:space="preserve">Subgroup analyses will compare </w:t>
      </w:r>
      <w:r w:rsidR="0095781C" w:rsidRPr="0081301A">
        <w:rPr>
          <w:rFonts w:ascii="Times New Roman" w:hAnsi="Times New Roman" w:cs="Times New Roman"/>
          <w:sz w:val="24"/>
          <w:szCs w:val="24"/>
        </w:rPr>
        <w:t>B</w:t>
      </w:r>
      <w:r w:rsidR="0095781C">
        <w:rPr>
          <w:rFonts w:ascii="Times New Roman" w:hAnsi="Times New Roman" w:cs="Times New Roman"/>
          <w:sz w:val="24"/>
          <w:szCs w:val="24"/>
        </w:rPr>
        <w:t>UILD</w:t>
      </w:r>
      <w:r w:rsidR="000727FF" w:rsidRPr="0081301A">
        <w:rPr>
          <w:rFonts w:ascii="Times New Roman" w:hAnsi="Times New Roman" w:cs="Times New Roman"/>
          <w:sz w:val="24"/>
          <w:szCs w:val="24"/>
        </w:rPr>
        <w:t xml:space="preserve">-connected faculty to others in the same institutions. </w:t>
      </w:r>
    </w:p>
    <w:p w14:paraId="7F20EDEC" w14:textId="77777777" w:rsidR="00395E54" w:rsidRPr="0081301A" w:rsidRDefault="00395E54" w:rsidP="00395E54">
      <w:pPr>
        <w:pStyle w:val="NoSpacing"/>
        <w:rPr>
          <w:rFonts w:ascii="Times New Roman" w:hAnsi="Times New Roman" w:cs="Times New Roman"/>
          <w:sz w:val="24"/>
          <w:szCs w:val="24"/>
        </w:rPr>
      </w:pPr>
    </w:p>
    <w:p w14:paraId="2D54639B" w14:textId="77777777" w:rsidR="000B48C8" w:rsidRPr="000C7FBE" w:rsidRDefault="000B48C8" w:rsidP="00BC4019">
      <w:pPr>
        <w:rPr>
          <w:b/>
          <w:u w:val="single"/>
        </w:rPr>
      </w:pPr>
      <w:r w:rsidRPr="0081301A">
        <w:rPr>
          <w:b/>
          <w:u w:val="single"/>
        </w:rPr>
        <w:t>B.2.1. Data Collection Procedures</w:t>
      </w:r>
    </w:p>
    <w:p w14:paraId="197E084E" w14:textId="77777777" w:rsidR="00BC4019" w:rsidRPr="000C7FBE" w:rsidRDefault="00BC4019" w:rsidP="00BC4019">
      <w:pPr>
        <w:pStyle w:val="bullet0"/>
        <w:tabs>
          <w:tab w:val="clear" w:pos="360"/>
        </w:tabs>
        <w:spacing w:before="0" w:after="0"/>
        <w:ind w:left="0" w:firstLine="0"/>
      </w:pPr>
    </w:p>
    <w:p w14:paraId="13114765" w14:textId="77777777" w:rsidR="0068253F" w:rsidRDefault="0068253F" w:rsidP="0068253F">
      <w:pPr>
        <w:pStyle w:val="bullet0"/>
        <w:tabs>
          <w:tab w:val="clear" w:pos="360"/>
        </w:tabs>
        <w:spacing w:before="0" w:after="0"/>
        <w:ind w:left="0" w:firstLine="0"/>
        <w:rPr>
          <w:u w:val="single"/>
        </w:rPr>
      </w:pPr>
      <w:r>
        <w:rPr>
          <w:u w:val="single"/>
        </w:rPr>
        <w:t>Student and Faculty Data</w:t>
      </w:r>
      <w:r w:rsidR="00E9652D" w:rsidRPr="000C7FBE">
        <w:rPr>
          <w:u w:val="single"/>
        </w:rPr>
        <w:t xml:space="preserve">:  </w:t>
      </w:r>
    </w:p>
    <w:p w14:paraId="18ECA3DE" w14:textId="77777777" w:rsidR="0068253F" w:rsidRDefault="0068253F" w:rsidP="0068253F">
      <w:pPr>
        <w:pStyle w:val="bullet0"/>
        <w:tabs>
          <w:tab w:val="clear" w:pos="360"/>
        </w:tabs>
        <w:spacing w:before="0" w:after="0"/>
        <w:ind w:left="0" w:firstLine="0"/>
        <w:rPr>
          <w:u w:val="single"/>
        </w:rPr>
      </w:pPr>
    </w:p>
    <w:p w14:paraId="49573BA3" w14:textId="77777777" w:rsidR="0068253F" w:rsidRDefault="00FB0BB4" w:rsidP="0068253F">
      <w:pPr>
        <w:pStyle w:val="bullet0"/>
        <w:tabs>
          <w:tab w:val="clear" w:pos="360"/>
        </w:tabs>
        <w:spacing w:before="0" w:after="0"/>
        <w:ind w:left="0" w:firstLine="0"/>
      </w:pPr>
      <w:r w:rsidRPr="009B5BA9">
        <w:rPr>
          <w:i/>
          <w:u w:val="single"/>
        </w:rPr>
        <w:t>Surveys.</w:t>
      </w:r>
      <w:r w:rsidR="0068253F">
        <w:rPr>
          <w:u w:val="single"/>
        </w:rPr>
        <w:t xml:space="preserve"> </w:t>
      </w:r>
      <w:r w:rsidR="0068253F" w:rsidRPr="00114DB8">
        <w:t xml:space="preserve">The student and faculty surveys will be administered according to the schedule outlined in </w:t>
      </w:r>
      <w:r w:rsidR="009B5BA9" w:rsidRPr="00114DB8">
        <w:t>Table A.16</w:t>
      </w:r>
      <w:r w:rsidR="00E36942">
        <w:t xml:space="preserve">.  </w:t>
      </w:r>
      <w:r w:rsidR="00E36942" w:rsidRPr="00E36942">
        <w:t>T</w:t>
      </w:r>
      <w:r w:rsidR="0068253F" w:rsidRPr="00E36942">
        <w:t>he</w:t>
      </w:r>
      <w:r w:rsidR="0068253F">
        <w:t xml:space="preserve"> p</w:t>
      </w:r>
      <w:r w:rsidR="0068253F" w:rsidRPr="00E353DE">
        <w:t>rimary modality for all survey</w:t>
      </w:r>
      <w:r w:rsidR="0068253F">
        <w:t xml:space="preserve"> administration</w:t>
      </w:r>
      <w:r w:rsidR="0068253F" w:rsidRPr="00E353DE">
        <w:t xml:space="preserve"> will be online.  However, understanding that</w:t>
      </w:r>
      <w:r w:rsidR="0068253F">
        <w:t xml:space="preserve"> individual</w:t>
      </w:r>
      <w:r w:rsidR="0068253F" w:rsidRPr="00E353DE">
        <w:t xml:space="preserve"> respondents may have different preferences or that institutional factors may facilitate different method</w:t>
      </w:r>
      <w:r w:rsidR="0068253F" w:rsidRPr="00B96E57">
        <w:t>s (such as a group</w:t>
      </w:r>
      <w:r w:rsidR="0068253F">
        <w:t>-administration during student</w:t>
      </w:r>
      <w:r w:rsidR="0068253F" w:rsidRPr="00B96E57">
        <w:t xml:space="preserve"> orientation or </w:t>
      </w:r>
      <w:r w:rsidR="0068253F">
        <w:t xml:space="preserve">other group </w:t>
      </w:r>
      <w:r w:rsidR="0068253F" w:rsidRPr="00B96E57">
        <w:t xml:space="preserve">activity), </w:t>
      </w:r>
      <w:r w:rsidR="0068253F">
        <w:t xml:space="preserve">scannable paper </w:t>
      </w:r>
      <w:r w:rsidR="0068253F" w:rsidRPr="00B96E57">
        <w:t xml:space="preserve">surveys will also be </w:t>
      </w:r>
      <w:r w:rsidR="0068253F">
        <w:t xml:space="preserve">available for </w:t>
      </w:r>
      <w:r w:rsidR="0068253F" w:rsidRPr="00C01540">
        <w:t xml:space="preserve">use as </w:t>
      </w:r>
      <w:r w:rsidR="0068253F">
        <w:t>needed</w:t>
      </w:r>
      <w:r w:rsidR="0068253F" w:rsidRPr="00C01540">
        <w:t>. All surveys will also be formatted to be completed as computer-assisted interviews (conducted by CEC interviewers)</w:t>
      </w:r>
      <w:r w:rsidR="0068253F">
        <w:t xml:space="preserve"> for respondents who prefer this modality.</w:t>
      </w:r>
      <w:r w:rsidR="0068253F" w:rsidRPr="0068253F">
        <w:t xml:space="preserve"> </w:t>
      </w:r>
      <w:r w:rsidR="0068253F" w:rsidRPr="00C01540">
        <w:t xml:space="preserve">Regardless of modality, surveys will be designed with skip patterns so that respondents are presented only with questions that are relevant for them.  </w:t>
      </w:r>
    </w:p>
    <w:p w14:paraId="3297BAB3" w14:textId="77777777" w:rsidR="00114DB8" w:rsidRPr="00C01540" w:rsidRDefault="00114DB8" w:rsidP="0068253F">
      <w:pPr>
        <w:pStyle w:val="bullet0"/>
        <w:tabs>
          <w:tab w:val="clear" w:pos="360"/>
        </w:tabs>
        <w:spacing w:before="0" w:after="0"/>
        <w:ind w:left="0" w:firstLine="0"/>
      </w:pPr>
    </w:p>
    <w:p w14:paraId="01E240BE" w14:textId="77777777" w:rsidR="0068253F" w:rsidRPr="00E85176" w:rsidRDefault="0068253F" w:rsidP="0068253F">
      <w:pPr>
        <w:pStyle w:val="bullet0"/>
        <w:tabs>
          <w:tab w:val="clear" w:pos="360"/>
        </w:tabs>
        <w:spacing w:before="0" w:after="0"/>
        <w:ind w:left="0" w:firstLine="0"/>
      </w:pPr>
      <w:r w:rsidRPr="000E1239">
        <w:t>Consent procedures will be implemented as indicated by the Institutional Review Board at the Universi</w:t>
      </w:r>
      <w:r w:rsidR="00202081">
        <w:t xml:space="preserve">ty of California, Los Angeles. </w:t>
      </w:r>
      <w:r w:rsidRPr="000E1239">
        <w:t>For most online surveys, this will be in the form of a screen after the introductory information that will indicate how data will be handled and the confidentiality of the responses, with contact information for CEC staff should respondents have questions or concerns prior to beginning the survey.</w:t>
      </w:r>
      <w:r w:rsidRPr="00E85176">
        <w:t xml:space="preserve"> </w:t>
      </w:r>
      <w:r w:rsidRPr="00C01540">
        <w:t>All surveys will provide introductory information about the purpose of the survey and the expected time f</w:t>
      </w:r>
      <w:r w:rsidRPr="00D24ED0">
        <w:t xml:space="preserve">or completion.  </w:t>
      </w:r>
    </w:p>
    <w:p w14:paraId="5FDA7916" w14:textId="77777777" w:rsidR="0068253F" w:rsidRPr="00E85176" w:rsidRDefault="0068253F" w:rsidP="0068253F">
      <w:pPr>
        <w:pStyle w:val="bullet0"/>
        <w:tabs>
          <w:tab w:val="clear" w:pos="360"/>
        </w:tabs>
        <w:spacing w:before="0" w:after="0"/>
        <w:ind w:left="0" w:firstLine="0"/>
      </w:pPr>
    </w:p>
    <w:p w14:paraId="5B642672" w14:textId="77777777" w:rsidR="0068253F" w:rsidRDefault="0068253F" w:rsidP="0068253F">
      <w:pPr>
        <w:pStyle w:val="bullet0"/>
        <w:tabs>
          <w:tab w:val="clear" w:pos="360"/>
        </w:tabs>
        <w:spacing w:before="0" w:after="0"/>
        <w:ind w:left="0" w:firstLine="0"/>
      </w:pPr>
      <w:r w:rsidRPr="00E85176">
        <w:t>Invitations to participate in online surveys will be provided through email, with an individualized link or access cod</w:t>
      </w:r>
      <w:r w:rsidR="00202081">
        <w:t xml:space="preserve">e provided for the respondent. </w:t>
      </w:r>
      <w:r w:rsidRPr="00E85176">
        <w:t xml:space="preserve">Non-respondents will be prompted with four follow up emails every 5-7 days.  In addition, CEC staff will make reminder phone calls between reminder 1 and reminder 2 and then between reminder 2 and reminder 3 and then between reminder 3 and reminder 4. </w:t>
      </w:r>
    </w:p>
    <w:p w14:paraId="2C23D202" w14:textId="77777777" w:rsidR="0068253F" w:rsidRPr="00E85176" w:rsidRDefault="0068253F" w:rsidP="0068253F">
      <w:pPr>
        <w:pStyle w:val="bullet0"/>
        <w:tabs>
          <w:tab w:val="clear" w:pos="360"/>
        </w:tabs>
        <w:spacing w:before="0" w:after="0"/>
        <w:ind w:left="0" w:firstLine="0"/>
      </w:pPr>
    </w:p>
    <w:p w14:paraId="753C7475" w14:textId="77777777" w:rsidR="0068253F" w:rsidRPr="00E85176" w:rsidRDefault="00FB0BB4" w:rsidP="0068253F">
      <w:pPr>
        <w:pStyle w:val="bullet0"/>
        <w:tabs>
          <w:tab w:val="clear" w:pos="360"/>
        </w:tabs>
        <w:spacing w:before="0" w:after="0"/>
        <w:ind w:left="0" w:firstLine="0"/>
      </w:pPr>
      <w:r w:rsidRPr="00D2540C">
        <w:rPr>
          <w:i/>
          <w:u w:val="single"/>
        </w:rPr>
        <w:t>Site Visits &amp; Case Studies</w:t>
      </w:r>
      <w:r w:rsidR="0068253F" w:rsidRPr="00202081">
        <w:rPr>
          <w:i/>
        </w:rPr>
        <w:t xml:space="preserve">.  </w:t>
      </w:r>
      <w:r w:rsidR="0068253F" w:rsidRPr="00E85176">
        <w:t xml:space="preserve">Site visits </w:t>
      </w:r>
      <w:r w:rsidR="0068253F">
        <w:t xml:space="preserve">to the BUILD institutions and NRMN meetings </w:t>
      </w:r>
      <w:r w:rsidR="0068253F" w:rsidRPr="00E85176">
        <w:t xml:space="preserve">will be conducted over a two-day period by a team of at least three CEC investigators and trained staff.  </w:t>
      </w:r>
      <w:r w:rsidR="0068253F">
        <w:t>For case studies, a</w:t>
      </w:r>
      <w:r w:rsidR="0068253F" w:rsidRPr="00E85176">
        <w:t>ppropriate participants in semi-structured interviews will be determined with the participating site in advance of the visit, along with a specific schedule for the interviews.</w:t>
      </w:r>
    </w:p>
    <w:p w14:paraId="2B4CB5A0" w14:textId="77777777" w:rsidR="0068253F" w:rsidRPr="00E85176" w:rsidRDefault="0068253F" w:rsidP="0068253F">
      <w:pPr>
        <w:pStyle w:val="bullet0"/>
        <w:tabs>
          <w:tab w:val="clear" w:pos="360"/>
        </w:tabs>
        <w:spacing w:before="0" w:after="0"/>
        <w:ind w:left="0" w:firstLine="0"/>
      </w:pPr>
    </w:p>
    <w:p w14:paraId="38E07E30" w14:textId="77777777" w:rsidR="0068253F" w:rsidRPr="00E85176" w:rsidRDefault="00E249DE" w:rsidP="0068253F">
      <w:pPr>
        <w:pStyle w:val="bullet0"/>
        <w:tabs>
          <w:tab w:val="clear" w:pos="360"/>
        </w:tabs>
        <w:spacing w:before="0" w:after="0"/>
        <w:ind w:left="0" w:firstLine="0"/>
      </w:pPr>
      <w:r>
        <w:t>After completing appropriate consent procedures, i</w:t>
      </w:r>
      <w:r w:rsidR="0068253F" w:rsidRPr="00E85176">
        <w:t>nterviews wi</w:t>
      </w:r>
      <w:r w:rsidR="00202081">
        <w:t>ll be conducted with two staff:</w:t>
      </w:r>
      <w:r w:rsidR="0068253F" w:rsidRPr="00E85176">
        <w:t xml:space="preserve"> one to serve as interviewer and the other to serve as scribe</w:t>
      </w:r>
      <w:r>
        <w:t xml:space="preserve">; </w:t>
      </w:r>
      <w:r w:rsidR="0068253F" w:rsidRPr="00E85176">
        <w:t xml:space="preserve">interviews will </w:t>
      </w:r>
      <w:r>
        <w:t xml:space="preserve">also </w:t>
      </w:r>
      <w:r w:rsidR="0068253F" w:rsidRPr="00E85176">
        <w:t>be recorded.  Please see Attachment</w:t>
      </w:r>
      <w:r w:rsidR="0068253F">
        <w:t>s 2</w:t>
      </w:r>
      <w:r w:rsidR="00E36942">
        <w:t>3</w:t>
      </w:r>
      <w:r w:rsidR="0068253F">
        <w:t xml:space="preserve"> &amp; 2</w:t>
      </w:r>
      <w:r w:rsidR="00E36942">
        <w:t>4</w:t>
      </w:r>
      <w:r w:rsidR="0068253F">
        <w:t xml:space="preserve"> </w:t>
      </w:r>
      <w:r w:rsidR="0068253F" w:rsidRPr="00E85176">
        <w:t>for the proposed site visit</w:t>
      </w:r>
      <w:r w:rsidR="0068253F">
        <w:t xml:space="preserve"> and case studies</w:t>
      </w:r>
      <w:r w:rsidR="0068253F" w:rsidRPr="00E85176">
        <w:t xml:space="preserve"> protocol</w:t>
      </w:r>
      <w:r w:rsidR="0068253F">
        <w:t>s</w:t>
      </w:r>
      <w:r w:rsidR="0068253F" w:rsidRPr="00E85176">
        <w:t xml:space="preserve">. </w:t>
      </w:r>
    </w:p>
    <w:p w14:paraId="1755C0B8" w14:textId="77777777" w:rsidR="00C167B3" w:rsidRPr="00E85176" w:rsidRDefault="00C167B3" w:rsidP="00BC4019">
      <w:pPr>
        <w:pStyle w:val="bullet0"/>
        <w:tabs>
          <w:tab w:val="clear" w:pos="360"/>
        </w:tabs>
        <w:spacing w:before="0" w:after="0"/>
        <w:ind w:left="0" w:firstLine="0"/>
      </w:pPr>
    </w:p>
    <w:p w14:paraId="4FCF1F0C" w14:textId="77777777" w:rsidR="0068253F" w:rsidRDefault="0068253F" w:rsidP="00BC4019">
      <w:pPr>
        <w:pStyle w:val="bullet0"/>
        <w:tabs>
          <w:tab w:val="clear" w:pos="360"/>
        </w:tabs>
        <w:spacing w:before="0" w:after="0"/>
        <w:ind w:left="0" w:firstLine="0"/>
        <w:rPr>
          <w:u w:val="single"/>
        </w:rPr>
      </w:pPr>
      <w:r>
        <w:rPr>
          <w:u w:val="single"/>
        </w:rPr>
        <w:t>Institutional</w:t>
      </w:r>
      <w:r w:rsidR="006D4678">
        <w:rPr>
          <w:u w:val="single"/>
        </w:rPr>
        <w:t xml:space="preserve"> &amp; Program</w:t>
      </w:r>
      <w:r w:rsidR="00003371">
        <w:rPr>
          <w:u w:val="single"/>
        </w:rPr>
        <w:t xml:space="preserve"> </w:t>
      </w:r>
      <w:r>
        <w:rPr>
          <w:u w:val="single"/>
        </w:rPr>
        <w:t>Data</w:t>
      </w:r>
      <w:r w:rsidRPr="00202081">
        <w:t xml:space="preserve">:  </w:t>
      </w:r>
      <w:r w:rsidR="009B5BA9" w:rsidRPr="00003371">
        <w:t xml:space="preserve">Institutional </w:t>
      </w:r>
      <w:r w:rsidR="006D4678" w:rsidRPr="00003371">
        <w:t xml:space="preserve">and program </w:t>
      </w:r>
      <w:r w:rsidR="009B5BA9" w:rsidRPr="00003371">
        <w:t xml:space="preserve">data will be requested annual from the Institutional Research Offices </w:t>
      </w:r>
      <w:r w:rsidR="006D4678">
        <w:t xml:space="preserve">and BUILD Principal Investigators respectively </w:t>
      </w:r>
      <w:r w:rsidR="009B5BA9" w:rsidRPr="00003371">
        <w:t>at each BUILD institution.</w:t>
      </w:r>
    </w:p>
    <w:p w14:paraId="57E6DEC8" w14:textId="77777777" w:rsidR="0068253F" w:rsidRDefault="0068253F" w:rsidP="00BC4019">
      <w:pPr>
        <w:pStyle w:val="bullet0"/>
        <w:tabs>
          <w:tab w:val="clear" w:pos="360"/>
        </w:tabs>
        <w:spacing w:before="0" w:after="0"/>
        <w:ind w:left="0" w:firstLine="0"/>
        <w:rPr>
          <w:u w:val="single"/>
        </w:rPr>
      </w:pPr>
    </w:p>
    <w:p w14:paraId="4EFD8D2D" w14:textId="77777777" w:rsidR="00FF641A" w:rsidRPr="00FF641A" w:rsidRDefault="009B5BA9" w:rsidP="00AA3AA2">
      <w:r w:rsidRPr="00003371">
        <w:t>A</w:t>
      </w:r>
      <w:r w:rsidR="00FF641A" w:rsidRPr="00003371">
        <w:t>s outline in A.10, all data collected by the CEC</w:t>
      </w:r>
      <w:r w:rsidR="00FF641A" w:rsidRPr="00FF641A">
        <w:rPr>
          <w:u w:val="single"/>
        </w:rPr>
        <w:t xml:space="preserve"> </w:t>
      </w:r>
      <w:r w:rsidR="00FF641A" w:rsidRPr="00FF641A">
        <w:t xml:space="preserve">will be stored in a manner such that restricted information (e.g., name, address, contact information) will be stored in a different system from study </w:t>
      </w:r>
      <w:r w:rsidR="00202081">
        <w:t xml:space="preserve">data such as survey responses. </w:t>
      </w:r>
      <w:r w:rsidR="00FF641A" w:rsidRPr="00FF641A">
        <w:t xml:space="preserve">The restricted information will be stored in a system behind the CEC firewall and operates on a private IP range.  Only </w:t>
      </w:r>
      <w:r w:rsidR="00FF641A">
        <w:t>a limited number of authorized CEC staff will be able to access these IP addresses</w:t>
      </w:r>
      <w:r w:rsidR="00202081">
        <w:t xml:space="preserve">. </w:t>
      </w:r>
      <w:r w:rsidR="00FF641A" w:rsidRPr="00FF641A">
        <w:t>The study data will be maintained in a separate system requiring auth</w:t>
      </w:r>
      <w:r w:rsidR="00FF641A">
        <w:t xml:space="preserve">orized users using encryption. </w:t>
      </w:r>
      <w:r w:rsidR="00FF641A" w:rsidRPr="00FF641A">
        <w:t>Any paper files used for data collection (such as handwritten interview notes) shall be stored in locked cabinets with access limited and controlled as with electronic data.</w:t>
      </w:r>
    </w:p>
    <w:p w14:paraId="701DCE1D" w14:textId="77777777" w:rsidR="00FF641A" w:rsidRDefault="00FF641A" w:rsidP="00BC4019">
      <w:pPr>
        <w:pStyle w:val="bullet0"/>
        <w:tabs>
          <w:tab w:val="clear" w:pos="360"/>
        </w:tabs>
        <w:spacing w:before="0" w:after="0"/>
        <w:ind w:left="0" w:firstLine="0"/>
        <w:rPr>
          <w:u w:val="single"/>
        </w:rPr>
      </w:pPr>
    </w:p>
    <w:p w14:paraId="42791569" w14:textId="77777777" w:rsidR="0068253F" w:rsidRPr="00E85176" w:rsidRDefault="0068253F" w:rsidP="00BC4019">
      <w:pPr>
        <w:pStyle w:val="bullet0"/>
        <w:tabs>
          <w:tab w:val="clear" w:pos="360"/>
        </w:tabs>
        <w:spacing w:before="0" w:after="0"/>
        <w:ind w:left="0" w:firstLine="0"/>
      </w:pPr>
    </w:p>
    <w:p w14:paraId="3A37461F" w14:textId="77777777" w:rsidR="00F41045" w:rsidRPr="000C7FBE" w:rsidRDefault="000B48C8" w:rsidP="002257D9">
      <w:pPr>
        <w:rPr>
          <w:b/>
        </w:rPr>
      </w:pPr>
      <w:r w:rsidRPr="00E85176">
        <w:rPr>
          <w:snapToGrid w:val="0"/>
        </w:rPr>
        <w:t xml:space="preserve"> </w:t>
      </w:r>
      <w:bookmarkStart w:id="10" w:name="_Toc393888595"/>
      <w:bookmarkStart w:id="11" w:name="_Toc394009767"/>
      <w:r w:rsidR="00F41045" w:rsidRPr="00E85176">
        <w:rPr>
          <w:b/>
        </w:rPr>
        <w:t>B.2.2. Analysis Procedures</w:t>
      </w:r>
      <w:bookmarkEnd w:id="10"/>
      <w:bookmarkEnd w:id="11"/>
    </w:p>
    <w:p w14:paraId="7589D918" w14:textId="77777777" w:rsidR="00D275A5" w:rsidRPr="00D275A5" w:rsidRDefault="00D275A5" w:rsidP="00D275A5">
      <w:pPr>
        <w:rPr>
          <w:color w:val="FF0000"/>
        </w:rPr>
      </w:pPr>
    </w:p>
    <w:p w14:paraId="445A52A6" w14:textId="77777777" w:rsidR="00D275A5" w:rsidRPr="00D275A5" w:rsidRDefault="00D275A5" w:rsidP="00D275A5">
      <w:r w:rsidRPr="00D275A5">
        <w:t xml:space="preserve">Observation and interview data from site visits and case studies will be </w:t>
      </w:r>
      <w:r w:rsidRPr="00D275A5">
        <w:rPr>
          <w:color w:val="000000"/>
        </w:rPr>
        <w:t xml:space="preserve">analyzed in two </w:t>
      </w:r>
      <w:r w:rsidRPr="00143E73">
        <w:rPr>
          <w:color w:val="000000"/>
        </w:rPr>
        <w:t>cycles (</w:t>
      </w:r>
      <w:r w:rsidRPr="00143E73">
        <w:t>Saldaña</w:t>
      </w:r>
      <w:r w:rsidRPr="00143E73">
        <w:rPr>
          <w:color w:val="000000"/>
        </w:rPr>
        <w:t>, 2013).</w:t>
      </w:r>
      <w:r w:rsidRPr="00D275A5">
        <w:rPr>
          <w:color w:val="000000"/>
        </w:rPr>
        <w:t xml:space="preserve"> First, data will be assigned preliminary codes through attribute, structural, descriptive, and in vivo coding.</w:t>
      </w:r>
      <w:r w:rsidRPr="00D275A5">
        <w:rPr>
          <w:b/>
          <w:color w:val="000000"/>
        </w:rPr>
        <w:t xml:space="preserve"> </w:t>
      </w:r>
      <w:r w:rsidRPr="00D275A5">
        <w:rPr>
          <w:color w:val="000000"/>
        </w:rPr>
        <w:t xml:space="preserve">During the second coding cycle, we will develop the categorical, thematic, and conceptual organization of the data. Through </w:t>
      </w:r>
      <w:r w:rsidRPr="00D275A5">
        <w:rPr>
          <w:i/>
          <w:color w:val="000000"/>
        </w:rPr>
        <w:t>pattern</w:t>
      </w:r>
      <w:r w:rsidRPr="00D275A5">
        <w:rPr>
          <w:color w:val="000000"/>
        </w:rPr>
        <w:t xml:space="preserve"> </w:t>
      </w:r>
      <w:r w:rsidRPr="00D275A5">
        <w:rPr>
          <w:i/>
          <w:color w:val="000000"/>
        </w:rPr>
        <w:t>coding</w:t>
      </w:r>
      <w:r w:rsidR="00896C6D">
        <w:rPr>
          <w:color w:val="000000"/>
        </w:rPr>
        <w:t>,</w:t>
      </w:r>
      <w:r w:rsidR="00431A2A">
        <w:rPr>
          <w:color w:val="000000"/>
        </w:rPr>
        <w:t xml:space="preserve"> </w:t>
      </w:r>
      <w:r w:rsidRPr="00D275A5">
        <w:rPr>
          <w:color w:val="000000"/>
        </w:rPr>
        <w:t xml:space="preserve">we will synthesize findings into more meaningful units of </w:t>
      </w:r>
      <w:r w:rsidRPr="00143E73">
        <w:rPr>
          <w:color w:val="000000"/>
        </w:rPr>
        <w:t>analysis (Miles &amp; Huberman, 1994).</w:t>
      </w:r>
      <w:r w:rsidRPr="00143E73">
        <w:rPr>
          <w:b/>
          <w:color w:val="000000"/>
        </w:rPr>
        <w:t xml:space="preserve"> </w:t>
      </w:r>
      <w:r w:rsidRPr="00143E73">
        <w:rPr>
          <w:color w:val="000000"/>
        </w:rPr>
        <w:t xml:space="preserve">By grouping similarly coded passages together and assessing the groupings for thematic commonalities, the final coding scheme will be established. Finally, through </w:t>
      </w:r>
      <w:r w:rsidRPr="00143E73">
        <w:rPr>
          <w:i/>
          <w:color w:val="000000"/>
        </w:rPr>
        <w:t>elaborative</w:t>
      </w:r>
      <w:r w:rsidRPr="00143E73">
        <w:rPr>
          <w:color w:val="000000"/>
        </w:rPr>
        <w:t xml:space="preserve"> </w:t>
      </w:r>
      <w:r w:rsidRPr="00143E73">
        <w:rPr>
          <w:i/>
          <w:color w:val="000000"/>
        </w:rPr>
        <w:t>coding</w:t>
      </w:r>
      <w:r w:rsidRPr="00143E73">
        <w:rPr>
          <w:color w:val="000000"/>
        </w:rPr>
        <w:t>, w</w:t>
      </w:r>
      <w:r w:rsidRPr="00D275A5">
        <w:rPr>
          <w:color w:val="000000"/>
        </w:rPr>
        <w:t xml:space="preserve">e will examine the data with an eye toward the consortium level logic model (our conceptual framework).  </w:t>
      </w:r>
      <w:r w:rsidRPr="00D275A5">
        <w:t xml:space="preserve">One of the drawbacks of a conceptual framework is that it may limit the inductive approach when exploring a phenomenon. To safeguard against becoming deductive, researchers will journal their thoughts and decisions and discuss them to determine if their thinking has become too driven by the framework. </w:t>
      </w:r>
      <w:r w:rsidR="00581F92">
        <w:t xml:space="preserve">In qualitative inquiry, the researcher’s values are not “controlled for” in the study design. Qualitative researchers use reflective journals as a strategy for examining personal assumptions and subjectivities. This reflexive practice provides transparency in the research process. Reflective journals will be used by our researchers to ensure that our process is inductive, that is, not overly reliant upon our conceptual program model so that our work may reveal </w:t>
      </w:r>
      <w:r w:rsidR="00581F92">
        <w:lastRenderedPageBreak/>
        <w:t xml:space="preserve">a contextually sensitive pragmatic descriptions of programs at the time of our data collection. Our researchers will discuss their reflective notes so to sharpen our insights and deepen our understandings of our observation and interview data.  </w:t>
      </w:r>
      <w:r w:rsidRPr="00D275A5">
        <w:t xml:space="preserve">We will also be sure that our multiple data sources converge in an attempt to understand the overall case. </w:t>
      </w:r>
    </w:p>
    <w:p w14:paraId="5821778E" w14:textId="77777777" w:rsidR="00754DCD" w:rsidRPr="00D275A5" w:rsidRDefault="00754DCD" w:rsidP="002257D9"/>
    <w:p w14:paraId="16F466D8" w14:textId="77777777" w:rsidR="00F41045" w:rsidRPr="00D24ED0" w:rsidRDefault="00F41045" w:rsidP="002257D9">
      <w:r w:rsidRPr="00D275A5">
        <w:t xml:space="preserve">For quantitative data, descriptive statistics such as counts, ranges, means, and frequency distributions will be </w:t>
      </w:r>
      <w:r w:rsidR="007541A2" w:rsidRPr="00D275A5">
        <w:t xml:space="preserve">employed </w:t>
      </w:r>
      <w:r w:rsidRPr="00D275A5">
        <w:t xml:space="preserve">using </w:t>
      </w:r>
      <w:r w:rsidR="007541A2" w:rsidRPr="00D275A5">
        <w:t xml:space="preserve">SAS </w:t>
      </w:r>
      <w:r w:rsidR="00FC017B" w:rsidRPr="00D275A5">
        <w:t>and</w:t>
      </w:r>
      <w:r w:rsidR="007541A2" w:rsidRPr="00D275A5">
        <w:t xml:space="preserve"> Stata</w:t>
      </w:r>
      <w:r w:rsidRPr="00D275A5">
        <w:t xml:space="preserve"> software. </w:t>
      </w:r>
      <w:r w:rsidR="007541A2" w:rsidRPr="00D275A5">
        <w:t>Statistical methods to test our study objectives are described in Section B.1.2 above. In brief, we will use generalized mixed linear models that incorporate appropriate covariates and account for clustering among students within the same school. Software used will be either SAS or Stata depending</w:t>
      </w:r>
      <w:r w:rsidR="007541A2" w:rsidRPr="00C01540">
        <w:t xml:space="preserve"> on the appropriate procedure. </w:t>
      </w:r>
    </w:p>
    <w:p w14:paraId="391A214B" w14:textId="77777777" w:rsidR="007541A2" w:rsidRPr="002C3642" w:rsidRDefault="007541A2" w:rsidP="002257D9"/>
    <w:p w14:paraId="3A7C1642" w14:textId="77777777" w:rsidR="005A59A9" w:rsidRPr="00E85176" w:rsidRDefault="005A59A9" w:rsidP="002257D9">
      <w:r w:rsidRPr="000E1239">
        <w:t xml:space="preserve">The evaluation of the </w:t>
      </w:r>
      <w:r w:rsidR="003A0168" w:rsidRPr="000E1239">
        <w:t xml:space="preserve">BUILD and NRMN </w:t>
      </w:r>
      <w:r w:rsidR="00813D28" w:rsidRPr="000E1239">
        <w:t>program</w:t>
      </w:r>
      <w:r w:rsidR="003A0168" w:rsidRPr="000E1239">
        <w:t>s</w:t>
      </w:r>
      <w:r w:rsidR="00813D28" w:rsidRPr="000E1239">
        <w:t xml:space="preserve"> </w:t>
      </w:r>
      <w:r w:rsidRPr="000E1239">
        <w:t xml:space="preserve">will make a number of important contributions.  First, the information collected </w:t>
      </w:r>
      <w:r w:rsidR="003B4389">
        <w:t>will be used to e</w:t>
      </w:r>
      <w:r w:rsidRPr="000E1239">
        <w:t>valuat</w:t>
      </w:r>
      <w:r w:rsidR="003B4389">
        <w:t>e</w:t>
      </w:r>
      <w:r w:rsidRPr="000E1239">
        <w:t xml:space="preserve"> the </w:t>
      </w:r>
      <w:r w:rsidR="003A0168" w:rsidRPr="00E85176">
        <w:t xml:space="preserve">BUILD and NRMN </w:t>
      </w:r>
      <w:r w:rsidRPr="00E85176">
        <w:t>desired impacts, which are the goals of the program</w:t>
      </w:r>
      <w:r w:rsidR="003A0168" w:rsidRPr="00E85176">
        <w:t>s</w:t>
      </w:r>
      <w:r w:rsidRPr="00E85176">
        <w:t>.  Second, the results of the evaluation will inform the NIH Director and</w:t>
      </w:r>
      <w:r w:rsidR="00813D28" w:rsidRPr="00E85176">
        <w:t xml:space="preserve"> </w:t>
      </w:r>
      <w:r w:rsidR="003A0168" w:rsidRPr="00E85176">
        <w:t xml:space="preserve">Diversity Program Consortium and CEC </w:t>
      </w:r>
      <w:r w:rsidRPr="00E85176">
        <w:t>program staff on the outcome</w:t>
      </w:r>
      <w:r w:rsidR="00896C6D">
        <w:t>s</w:t>
      </w:r>
      <w:r w:rsidRPr="00E85176">
        <w:t xml:space="preserve"> </w:t>
      </w:r>
      <w:r w:rsidR="00896C6D">
        <w:t xml:space="preserve">associated with the </w:t>
      </w:r>
      <w:r w:rsidR="003A0168" w:rsidRPr="00E85176">
        <w:t xml:space="preserve">BUILD </w:t>
      </w:r>
      <w:r w:rsidR="00E9652D" w:rsidRPr="00E85176">
        <w:t xml:space="preserve">and </w:t>
      </w:r>
      <w:r w:rsidR="003A0168" w:rsidRPr="00E85176">
        <w:t xml:space="preserve">NRMN </w:t>
      </w:r>
      <w:r w:rsidR="00896C6D">
        <w:t>interventions and initiatives</w:t>
      </w:r>
      <w:r w:rsidRPr="00E85176">
        <w:t xml:space="preserve">. </w:t>
      </w:r>
      <w:r w:rsidR="00E36942">
        <w:t xml:space="preserve"> </w:t>
      </w:r>
      <w:r w:rsidRPr="00E85176">
        <w:t xml:space="preserve">Third, the results of the outcome evaluation will be distributed to the </w:t>
      </w:r>
      <w:r w:rsidR="003A0168" w:rsidRPr="00E85176">
        <w:t xml:space="preserve">biomedical </w:t>
      </w:r>
      <w:r w:rsidRPr="00E85176">
        <w:t xml:space="preserve">research </w:t>
      </w:r>
      <w:r w:rsidR="003A0168" w:rsidRPr="00E85176">
        <w:t xml:space="preserve">and education </w:t>
      </w:r>
      <w:r w:rsidRPr="00E85176">
        <w:t>communit</w:t>
      </w:r>
      <w:r w:rsidR="003A0168" w:rsidRPr="00E85176">
        <w:t xml:space="preserve">ies. </w:t>
      </w:r>
      <w:r w:rsidRPr="00E85176">
        <w:t>Fourth, this evaluation will enable the</w:t>
      </w:r>
      <w:r w:rsidR="00813D28" w:rsidRPr="00E85176">
        <w:t xml:space="preserve"> </w:t>
      </w:r>
      <w:r w:rsidR="003A0168" w:rsidRPr="00E85176">
        <w:t xml:space="preserve">BUILD </w:t>
      </w:r>
      <w:r w:rsidR="00E9652D" w:rsidRPr="00E85176">
        <w:t xml:space="preserve">and </w:t>
      </w:r>
      <w:r w:rsidR="003A0168" w:rsidRPr="00E85176">
        <w:t xml:space="preserve">NRMN </w:t>
      </w:r>
      <w:r w:rsidRPr="00E85176">
        <w:t>program activities to be disseminated across biomedical training programs</w:t>
      </w:r>
      <w:r w:rsidR="00896C6D">
        <w:t xml:space="preserve"> and the NIH as a whole</w:t>
      </w:r>
      <w:r w:rsidR="00202081">
        <w:t xml:space="preserve">. </w:t>
      </w:r>
      <w:r w:rsidRPr="00E85176">
        <w:t>To disseminate the evaluation findings to the evaluation and the scientific communities, efforts also will be made to publish the results of the outcome evaluation in professional journal</w:t>
      </w:r>
      <w:r w:rsidR="003A0168" w:rsidRPr="00E85176">
        <w:t>s</w:t>
      </w:r>
      <w:r w:rsidRPr="00E85176">
        <w:t xml:space="preserve"> and to present the findings at conferences. </w:t>
      </w:r>
    </w:p>
    <w:p w14:paraId="456EBDEA" w14:textId="77777777" w:rsidR="007541A2" w:rsidRPr="00E85176" w:rsidRDefault="007541A2" w:rsidP="002257D9"/>
    <w:p w14:paraId="44788EFA" w14:textId="77777777" w:rsidR="00D9224D" w:rsidRPr="00E85176" w:rsidRDefault="00D9224D" w:rsidP="002257D9">
      <w:pPr>
        <w:rPr>
          <w:highlight w:val="yellow"/>
        </w:rPr>
      </w:pPr>
    </w:p>
    <w:p w14:paraId="6011E5E9" w14:textId="77777777" w:rsidR="005A59A9" w:rsidRDefault="005A59A9" w:rsidP="00E36942">
      <w:pPr>
        <w:pStyle w:val="Heading1"/>
      </w:pPr>
      <w:bookmarkStart w:id="12" w:name="_Toc440001874"/>
      <w:r w:rsidRPr="00382513">
        <w:t>B.3 Methods to Maximize Response Rates and Deal with Nonresponse</w:t>
      </w:r>
      <w:bookmarkEnd w:id="12"/>
    </w:p>
    <w:p w14:paraId="29ADF45C" w14:textId="77777777" w:rsidR="00476658" w:rsidRPr="00D8063C" w:rsidRDefault="00476658" w:rsidP="00E36942"/>
    <w:p w14:paraId="655CBFB3" w14:textId="77777777" w:rsidR="00644F71" w:rsidRDefault="00644F71" w:rsidP="00644F71">
      <w:r>
        <w:t xml:space="preserve">In order to be </w:t>
      </w:r>
      <w:r w:rsidRPr="003161CF">
        <w:t xml:space="preserve">responsive to the Coordination and Evaluation Center Funding Opportunity Announcement (RFA-RM-13-015), and collect comprehensive, longitudinal data to assess the impact of interventions across the consortium, </w:t>
      </w:r>
      <w:r>
        <w:t>it is critical that we achieve two central goals.  First, we must successfully recruit students and faculty from groups with varying degrees of involvement with the interventions that comprise this Consortium – ranging from heavily involved to those with no involvement.  The latter in particular are likely to be quite difficult to recruit as they have no direct connection to the Consortium’s activities.  We need to secure good recruitment for all of these groups in order to have data that will allow us to draw unbiased conclusions from the program evaluation.  Second, once individuals are recruited into the project, we must retain participants over the longitudinal follow-up. This is critical to our ability to derive valid conclusions regarding the impact of the interventions on primary outcomes, including rates of graduation and progression to graduate school for BUILD students and career progress with respect to research, publications and general career advancement for BUILD and NRMN faculty and trainees.  Failure to achieve good response rates at baseline and/or failure to retain participants over the next several years of contact has the potential to result in non-representative samples and associated bias in conclusions that would be drawn from those data.</w:t>
      </w:r>
    </w:p>
    <w:p w14:paraId="32333495" w14:textId="77777777" w:rsidR="00644F71" w:rsidRDefault="00644F71" w:rsidP="00644F71"/>
    <w:p w14:paraId="0529190A" w14:textId="77777777" w:rsidR="00644F71" w:rsidRPr="000C7FBE" w:rsidRDefault="00644F71" w:rsidP="00644F71">
      <w:pPr>
        <w:pStyle w:val="P1-StandPara"/>
        <w:tabs>
          <w:tab w:val="left" w:pos="720"/>
          <w:tab w:val="right" w:leader="dot" w:pos="9504"/>
        </w:tabs>
        <w:spacing w:line="240" w:lineRule="auto"/>
        <w:ind w:firstLine="0"/>
        <w:rPr>
          <w:sz w:val="24"/>
          <w:szCs w:val="24"/>
        </w:rPr>
      </w:pPr>
      <w:r w:rsidRPr="000C7FBE">
        <w:rPr>
          <w:sz w:val="24"/>
          <w:szCs w:val="24"/>
        </w:rPr>
        <w:t>Multiple strategies will be used to maximize response rates.  First, all surveys will be implemented with multiple modalities.  The primary modality will be online, but all surveys will also be formatted to be completed as computer-assisted interviews (conducted by CEC interview</w:t>
      </w:r>
      <w:r>
        <w:rPr>
          <w:sz w:val="24"/>
          <w:szCs w:val="24"/>
        </w:rPr>
        <w:t>ers) and as paper-based surveys.</w:t>
      </w:r>
      <w:r w:rsidRPr="000C7FBE">
        <w:rPr>
          <w:sz w:val="24"/>
          <w:szCs w:val="24"/>
        </w:rPr>
        <w:t xml:space="preserve"> Thus, respondents will be able to choose the modality with which they are most comfortable.</w:t>
      </w:r>
    </w:p>
    <w:p w14:paraId="6B610C7D" w14:textId="77777777" w:rsidR="00644F71" w:rsidRDefault="00644F71" w:rsidP="00644F71"/>
    <w:p w14:paraId="717509F3" w14:textId="132773C8" w:rsidR="00644F71" w:rsidRDefault="00644F71" w:rsidP="00644F71">
      <w:r>
        <w:t xml:space="preserve">In addition, we propose to offer for two critical reasons.  First, our target student and faculty populations include hard-to-reach underrepresented groups within student and faculty populations.  These are groups that have traditionally participated in research studies such as this at lower rates (Sharknesss, 2012; Porter &amp; Whitcomb, 2005).  It is essential that we achieve good representation for these groups.  Second, our project depends critically on our ability to obtain longitudinal data for both students and faculty and thus depends importantly on participants’ willingness to commit to annual requests that they take time from their busy </w:t>
      </w:r>
      <w:r>
        <w:lastRenderedPageBreak/>
        <w:t>schedules to complete our surveys.  Though the burden to participants for the individual surveys is fairly minimal, it is essential that we maximize the willingness of our participants to respond repeatedly over time to our requests that they complete an annual survey.</w:t>
      </w:r>
    </w:p>
    <w:p w14:paraId="320B969B" w14:textId="77777777" w:rsidR="00644F71" w:rsidRDefault="00644F71" w:rsidP="00644F71"/>
    <w:p w14:paraId="019D7E5F" w14:textId="77777777" w:rsidR="00644F71" w:rsidRPr="00C54AE9" w:rsidRDefault="00644F71" w:rsidP="00644F71">
      <w:r>
        <w:t xml:space="preserve">Though our recruitment/retention strategies will include non-monetary approaches known to improve response rates (e.g., </w:t>
      </w:r>
      <w:r w:rsidRPr="003161CF">
        <w:t>provid</w:t>
      </w:r>
      <w:r>
        <w:t>ing</w:t>
      </w:r>
      <w:r w:rsidRPr="003161CF">
        <w:t xml:space="preserve"> respondents information about the contribution they will be </w:t>
      </w:r>
      <w:r w:rsidRPr="00C54AE9">
        <w:t xml:space="preserve">making to the understanding of the important issues on which the project focuses </w:t>
      </w:r>
      <w:r>
        <w:t xml:space="preserve">as a means of </w:t>
      </w:r>
      <w:r w:rsidRPr="00C54AE9">
        <w:t>enhanc</w:t>
      </w:r>
      <w:r>
        <w:t>ing</w:t>
      </w:r>
      <w:r w:rsidRPr="00C54AE9">
        <w:t xml:space="preserve"> their intrinsic motivation to participate; Singer &amp; Ye, 2013), we believe that successful recruitment/retention efforts will also require that we offer a</w:t>
      </w:r>
      <w:r>
        <w:t xml:space="preserve"> monetary</w:t>
      </w:r>
      <w:r w:rsidRPr="00C54AE9">
        <w:t xml:space="preserve"> incentive for participants. We are requesting OMB approval to provide an incentive of $25to each of </w:t>
      </w:r>
      <w:r>
        <w:t xml:space="preserve">our </w:t>
      </w:r>
      <w:r w:rsidRPr="00C54AE9">
        <w:t>participant</w:t>
      </w:r>
      <w:r>
        <w:t>s for each survey they are asked to complete</w:t>
      </w:r>
      <w:r w:rsidRPr="00C54AE9">
        <w:t>.  Without such an incentive, prior evidence suggests that we will have a difficult time recruiting</w:t>
      </w:r>
      <w:r>
        <w:t xml:space="preserve"> a representative group</w:t>
      </w:r>
      <w:r w:rsidRPr="00C54AE9">
        <w:t>, especially among some of the underrepresented groups among both students and faculty who are key elements of our target population</w:t>
      </w:r>
      <w:r>
        <w:t>s</w:t>
      </w:r>
      <w:r w:rsidRPr="00C54AE9">
        <w:t xml:space="preserve"> (Estrada</w:t>
      </w:r>
      <w:r>
        <w:t>, Woodcock, &amp; Schultz, 2014)</w:t>
      </w:r>
      <w:r w:rsidRPr="00C54AE9">
        <w:t>.</w:t>
      </w:r>
      <w:r>
        <w:t xml:space="preserve"> </w:t>
      </w:r>
      <w:r w:rsidRPr="00C54AE9">
        <w:t>There is strong and consistent evidence that provision of a monetary incentive to all participants as part of the survey request is the most effective strategy for ensuring better response rates (LaRose</w:t>
      </w:r>
      <w:r>
        <w:t xml:space="preserve"> </w:t>
      </w:r>
      <w:r w:rsidRPr="00C54AE9">
        <w:t xml:space="preserve">&amp; Tsai, 2014; Singer &amp; Ye, 2013). </w:t>
      </w:r>
      <w:r>
        <w:t xml:space="preserve"> </w:t>
      </w:r>
      <w:r w:rsidRPr="00C54AE9">
        <w:t>Once individuals have been recruited, incentives will also be critical to our ability to retain a representative sample over the longitudinal</w:t>
      </w:r>
      <w:r>
        <w:t xml:space="preserve"> </w:t>
      </w:r>
      <w:r w:rsidRPr="00C54AE9">
        <w:t>follow-up in order to track primary outcomes for the required program evaluation (</w:t>
      </w:r>
      <w:r w:rsidRPr="0068346B">
        <w:t>Estrada</w:t>
      </w:r>
      <w:r>
        <w:t>, Woodcock, &amp; Schultz, 2014</w:t>
      </w:r>
      <w:r w:rsidRPr="00C54AE9">
        <w:t>).</w:t>
      </w:r>
      <w:r>
        <w:t xml:space="preserve"> </w:t>
      </w:r>
      <w:r w:rsidRPr="00C54AE9">
        <w:t>The choice of a $25</w:t>
      </w:r>
      <w:r>
        <w:t xml:space="preserve"> </w:t>
      </w:r>
      <w:r w:rsidRPr="00C54AE9">
        <w:t>incentive is based on evidence from prior experimental work showing incentives in this range can improve response rates significantly (To, 2015) as well as the experience of members of our Consortium with the value of such incentives in maintaining better longitudinal response</w:t>
      </w:r>
      <w:r>
        <w:t xml:space="preserve"> </w:t>
      </w:r>
      <w:r w:rsidRPr="00C54AE9">
        <w:t>rates (</w:t>
      </w:r>
      <w:r w:rsidRPr="0068346B">
        <w:t>Estrada</w:t>
      </w:r>
      <w:r>
        <w:t>, Woodcock, &amp; Schultz, 2014</w:t>
      </w:r>
      <w:r w:rsidRPr="00C54AE9">
        <w:t>).</w:t>
      </w:r>
    </w:p>
    <w:p w14:paraId="4F31FE66" w14:textId="77777777" w:rsidR="00BC4019" w:rsidRPr="00C01540" w:rsidRDefault="00BC4019" w:rsidP="002257D9"/>
    <w:p w14:paraId="4BF95D35" w14:textId="77777777" w:rsidR="005A59A9" w:rsidRPr="002C3642" w:rsidRDefault="00967A1B" w:rsidP="002257D9">
      <w:r w:rsidRPr="00C01540">
        <w:t xml:space="preserve">For all respondents, the scientific value – both overall and for specific communities of students and faculty – will be </w:t>
      </w:r>
      <w:r w:rsidR="00202081">
        <w:t xml:space="preserve">emphasized during recruitment. </w:t>
      </w:r>
      <w:r w:rsidRPr="00C01540">
        <w:t>Response rate targets for each BUILD program may also be publici</w:t>
      </w:r>
      <w:r w:rsidRPr="00D24ED0">
        <w:t>zed to build “friendly” com</w:t>
      </w:r>
      <w:r w:rsidR="00202081">
        <w:t xml:space="preserve">petition through social media. </w:t>
      </w:r>
      <w:r w:rsidRPr="00D24ED0">
        <w:t>Aggregate findings will be distributed to respondents through websites, electronic newsletters, scientific conference presentations, and reports in the public media.</w:t>
      </w:r>
    </w:p>
    <w:p w14:paraId="3879960B" w14:textId="77777777" w:rsidR="005A59A9" w:rsidRPr="000E1239" w:rsidRDefault="005A59A9" w:rsidP="002257D9"/>
    <w:p w14:paraId="2B7DEB08" w14:textId="77777777" w:rsidR="00967A1B" w:rsidRPr="00382513" w:rsidRDefault="00967A1B" w:rsidP="002257D9">
      <w:r w:rsidRPr="000E1239">
        <w:t>Finally, we will continue to emphasize to respondents as they enroll in the various programs how important the continued tracking of information is to the long-t</w:t>
      </w:r>
      <w:r w:rsidR="00202081">
        <w:t xml:space="preserve">erm evaluation of the program. </w:t>
      </w:r>
      <w:r w:rsidRPr="000E1239">
        <w:t>Ensuring the messaging associated with each response request places the value on response for</w:t>
      </w:r>
      <w:r w:rsidRPr="00E85176">
        <w:t xml:space="preserve"> individual participants.</w:t>
      </w:r>
    </w:p>
    <w:p w14:paraId="18AE4CE1" w14:textId="77777777" w:rsidR="005A59A9" w:rsidRPr="00382513" w:rsidRDefault="005A59A9" w:rsidP="002257D9"/>
    <w:p w14:paraId="71C80557" w14:textId="77777777" w:rsidR="005A59A9" w:rsidRPr="00382513" w:rsidRDefault="005A59A9" w:rsidP="00E36942">
      <w:pPr>
        <w:pStyle w:val="Heading1"/>
      </w:pPr>
    </w:p>
    <w:p w14:paraId="2181BDE3" w14:textId="77777777" w:rsidR="005A59A9" w:rsidRDefault="005A59A9" w:rsidP="00E36942">
      <w:pPr>
        <w:pStyle w:val="Heading1"/>
      </w:pPr>
      <w:bookmarkStart w:id="13" w:name="_Toc440001875"/>
      <w:r w:rsidRPr="001D4FBC">
        <w:t>B.4 Test of Procedures or Methods to be Undertaken</w:t>
      </w:r>
      <w:bookmarkEnd w:id="13"/>
    </w:p>
    <w:p w14:paraId="095E7ADF" w14:textId="77777777" w:rsidR="00476658" w:rsidRPr="00D8063C" w:rsidRDefault="00476658" w:rsidP="00E36942"/>
    <w:p w14:paraId="089C627B" w14:textId="77777777" w:rsidR="00382920" w:rsidRPr="00261279" w:rsidRDefault="00382920" w:rsidP="002257D9">
      <w:r w:rsidRPr="00D351BA">
        <w:t>All surveys will be pilot tested with</w:t>
      </w:r>
      <w:r w:rsidR="00C33347" w:rsidRPr="00D351BA">
        <w:t xml:space="preserve"> </w:t>
      </w:r>
      <w:r w:rsidR="00D351BA">
        <w:t>5-9</w:t>
      </w:r>
      <w:r w:rsidRPr="00D351BA">
        <w:t xml:space="preserve"> respondents to ensure readability, flow, and time for administration.</w:t>
      </w:r>
      <w:r w:rsidR="008637B2" w:rsidRPr="00D351BA">
        <w:t xml:space="preserve">  Semi-structured interviews will be pilot tested with 1-2 respondents to ensure flow and time for administration.</w:t>
      </w:r>
    </w:p>
    <w:p w14:paraId="727AB543" w14:textId="77777777" w:rsidR="000802B7" w:rsidRPr="00261279" w:rsidRDefault="000802B7" w:rsidP="002257D9"/>
    <w:p w14:paraId="6888CE76" w14:textId="77777777" w:rsidR="005A59A9" w:rsidRPr="00261279" w:rsidRDefault="005A59A9" w:rsidP="002257D9">
      <w:pPr>
        <w:rPr>
          <w:b/>
        </w:rPr>
      </w:pPr>
    </w:p>
    <w:p w14:paraId="63658046" w14:textId="77777777" w:rsidR="005A59A9" w:rsidRPr="00261279" w:rsidRDefault="005A59A9" w:rsidP="00E36942">
      <w:pPr>
        <w:pStyle w:val="Heading1"/>
      </w:pPr>
      <w:bookmarkStart w:id="14" w:name="_Toc440001876"/>
      <w:r w:rsidRPr="00261279">
        <w:t>B.5 Individuals Consulted on Statistical Aspects and Individuals Collecting and/or Analyzing Data</w:t>
      </w:r>
      <w:bookmarkEnd w:id="14"/>
      <w:r w:rsidR="0072201A" w:rsidRPr="00261279">
        <w:t xml:space="preserve"> </w:t>
      </w:r>
    </w:p>
    <w:p w14:paraId="47F6DD7D" w14:textId="77777777" w:rsidR="0075488E" w:rsidRPr="00261279" w:rsidRDefault="0075488E" w:rsidP="002257D9"/>
    <w:p w14:paraId="649BD901" w14:textId="77777777" w:rsidR="005A59A9" w:rsidRPr="00261279" w:rsidRDefault="008637B2" w:rsidP="002257D9">
      <w:r w:rsidRPr="00261279">
        <w:t xml:space="preserve">All plans for </w:t>
      </w:r>
      <w:r w:rsidR="0075488E" w:rsidRPr="00261279">
        <w:t xml:space="preserve">data collection and </w:t>
      </w:r>
      <w:r w:rsidRPr="00261279">
        <w:t>statistical a</w:t>
      </w:r>
      <w:r w:rsidR="0075488E" w:rsidRPr="00261279">
        <w:t>nalysis</w:t>
      </w:r>
      <w:r w:rsidRPr="00261279">
        <w:t xml:space="preserve"> </w:t>
      </w:r>
      <w:r w:rsidR="0075488E" w:rsidRPr="00261279">
        <w:t xml:space="preserve">are the </w:t>
      </w:r>
      <w:r w:rsidRPr="00261279">
        <w:t xml:space="preserve">product of CEC investigators and staff, </w:t>
      </w:r>
      <w:r w:rsidR="00ED3523" w:rsidRPr="00261279">
        <w:t xml:space="preserve">which includes PhD-level biostatistics faculty as well as researchers </w:t>
      </w:r>
      <w:r w:rsidR="00FF641A">
        <w:t>with extensive expertise in p</w:t>
      </w:r>
      <w:r w:rsidR="00ED3523" w:rsidRPr="00261279">
        <w:t xml:space="preserve">rogram evaluation, </w:t>
      </w:r>
      <w:r w:rsidRPr="00261279">
        <w:t>with input from Consortium Working Group members and th</w:t>
      </w:r>
      <w:r w:rsidR="00202081">
        <w:t>e Executive Steering Committee.</w:t>
      </w:r>
      <w:r w:rsidRPr="00261279">
        <w:t xml:space="preserve"> No one outside of the Consortium has been consulted for these aspects. </w:t>
      </w:r>
    </w:p>
    <w:p w14:paraId="49E0D7F9" w14:textId="77777777" w:rsidR="00261279" w:rsidRDefault="00261279" w:rsidP="002257D9">
      <w:pPr>
        <w:pStyle w:val="P1-StandPara"/>
        <w:tabs>
          <w:tab w:val="left" w:pos="720"/>
          <w:tab w:val="right" w:leader="dot" w:pos="9504"/>
        </w:tabs>
        <w:spacing w:line="240" w:lineRule="auto"/>
        <w:ind w:firstLine="0"/>
        <w:contextualSpacing/>
        <w:rPr>
          <w:color w:val="FF0000"/>
          <w:sz w:val="24"/>
          <w:szCs w:val="24"/>
        </w:rPr>
      </w:pPr>
    </w:p>
    <w:p w14:paraId="51CA58C7" w14:textId="77777777" w:rsidR="00261279" w:rsidRDefault="00261279" w:rsidP="002257D9">
      <w:pPr>
        <w:pStyle w:val="P1-StandPara"/>
        <w:tabs>
          <w:tab w:val="left" w:pos="720"/>
          <w:tab w:val="right" w:leader="dot" w:pos="9504"/>
        </w:tabs>
        <w:spacing w:line="240" w:lineRule="auto"/>
        <w:ind w:firstLine="0"/>
        <w:contextualSpacing/>
        <w:rPr>
          <w:color w:val="FF0000"/>
          <w:sz w:val="24"/>
          <w:szCs w:val="24"/>
        </w:rPr>
      </w:pPr>
    </w:p>
    <w:p w14:paraId="5ABCA4A8" w14:textId="77777777" w:rsidR="002C3642" w:rsidRPr="00261279" w:rsidRDefault="002C3642" w:rsidP="002C3642">
      <w:pPr>
        <w:pStyle w:val="NoSpacing"/>
        <w:rPr>
          <w:rFonts w:ascii="Times New Roman" w:hAnsi="Times New Roman" w:cs="Times New Roman"/>
          <w:b/>
          <w:sz w:val="24"/>
          <w:szCs w:val="24"/>
        </w:rPr>
      </w:pPr>
      <w:r w:rsidRPr="00261279">
        <w:rPr>
          <w:rFonts w:ascii="Times New Roman" w:hAnsi="Times New Roman" w:cs="Times New Roman"/>
          <w:b/>
          <w:sz w:val="24"/>
          <w:szCs w:val="24"/>
        </w:rPr>
        <w:t>References:</w:t>
      </w:r>
    </w:p>
    <w:p w14:paraId="12059D1F" w14:textId="77777777" w:rsidR="002C3642" w:rsidRPr="00143E73" w:rsidRDefault="002C3642" w:rsidP="00A80B74">
      <w:pPr>
        <w:pStyle w:val="MediumGrid21"/>
        <w:widowControl w:val="0"/>
        <w:ind w:left="720" w:hanging="720"/>
        <w:rPr>
          <w:rFonts w:ascii="Times New Roman" w:hAnsi="Times New Roman"/>
          <w:sz w:val="24"/>
          <w:szCs w:val="24"/>
          <w:lang w:val="de-DE"/>
        </w:rPr>
      </w:pPr>
      <w:r w:rsidRPr="002C3642">
        <w:rPr>
          <w:rFonts w:ascii="Times New Roman" w:hAnsi="Times New Roman"/>
          <w:color w:val="000000"/>
          <w:sz w:val="24"/>
          <w:szCs w:val="24"/>
        </w:rPr>
        <w:t xml:space="preserve">Adams G, Gulliford MC, Ukoumunne OC et al. Patterns of intra-cluster correlation from primary care research to inform study design and analysis. </w:t>
      </w:r>
      <w:r w:rsidRPr="002C3642">
        <w:rPr>
          <w:rFonts w:ascii="Times New Roman" w:hAnsi="Times New Roman"/>
          <w:color w:val="000000"/>
          <w:sz w:val="24"/>
          <w:szCs w:val="24"/>
          <w:lang w:val="de-DE"/>
        </w:rPr>
        <w:t xml:space="preserve">J Clin Epidemiol 2004; 57: </w:t>
      </w:r>
      <w:r w:rsidRPr="00143E73">
        <w:rPr>
          <w:rFonts w:ascii="Times New Roman" w:hAnsi="Times New Roman"/>
          <w:color w:val="000000"/>
          <w:sz w:val="24"/>
          <w:szCs w:val="24"/>
          <w:lang w:val="de-DE"/>
        </w:rPr>
        <w:t>785–94.</w:t>
      </w:r>
    </w:p>
    <w:p w14:paraId="7C696ACD" w14:textId="77777777" w:rsidR="002C3642" w:rsidRPr="00143E73" w:rsidRDefault="002C3642" w:rsidP="00A80B74">
      <w:pPr>
        <w:pStyle w:val="NoSpacing"/>
        <w:rPr>
          <w:rFonts w:ascii="Times New Roman" w:hAnsi="Times New Roman" w:cs="Times New Roman"/>
          <w:sz w:val="24"/>
          <w:szCs w:val="24"/>
        </w:rPr>
      </w:pPr>
    </w:p>
    <w:p w14:paraId="733331AE" w14:textId="77777777" w:rsidR="00143E73" w:rsidRPr="00143E73" w:rsidRDefault="00143E73" w:rsidP="00A80B74">
      <w:pPr>
        <w:ind w:left="720" w:hanging="720"/>
        <w:rPr>
          <w:color w:val="000000"/>
        </w:rPr>
      </w:pPr>
      <w:r w:rsidRPr="00143E73">
        <w:rPr>
          <w:color w:val="000000"/>
        </w:rPr>
        <w:lastRenderedPageBreak/>
        <w:t xml:space="preserve">Miles, M. B., &amp; Huberman, A. M. (1994). </w:t>
      </w:r>
      <w:r w:rsidRPr="00143E73">
        <w:rPr>
          <w:i/>
          <w:iCs/>
          <w:color w:val="000000"/>
        </w:rPr>
        <w:t>Qualitative data analysis: An expanded sourcebook</w:t>
      </w:r>
      <w:r w:rsidRPr="00143E73">
        <w:rPr>
          <w:color w:val="000000"/>
        </w:rPr>
        <w:t>. San Francisco, CA: Sage.</w:t>
      </w:r>
    </w:p>
    <w:p w14:paraId="0E05E01E" w14:textId="77777777" w:rsidR="00143E73" w:rsidRPr="00143E73" w:rsidRDefault="00143E73" w:rsidP="00A80B74">
      <w:pPr>
        <w:pStyle w:val="NoSpacing"/>
        <w:rPr>
          <w:rFonts w:ascii="Times New Roman" w:hAnsi="Times New Roman" w:cs="Times New Roman"/>
          <w:sz w:val="24"/>
          <w:szCs w:val="24"/>
        </w:rPr>
      </w:pPr>
    </w:p>
    <w:p w14:paraId="127394C6" w14:textId="77777777" w:rsidR="002C3642" w:rsidRPr="00143E73" w:rsidRDefault="002C3642" w:rsidP="00A80B74">
      <w:pPr>
        <w:pStyle w:val="NoSpacing"/>
        <w:ind w:left="720" w:hanging="720"/>
        <w:rPr>
          <w:rFonts w:ascii="Times New Roman" w:hAnsi="Times New Roman" w:cs="Times New Roman"/>
          <w:sz w:val="24"/>
          <w:szCs w:val="24"/>
        </w:rPr>
      </w:pPr>
      <w:r w:rsidRPr="00143E73">
        <w:rPr>
          <w:rFonts w:ascii="Times New Roman" w:hAnsi="Times New Roman" w:cs="Times New Roman"/>
          <w:sz w:val="24"/>
          <w:szCs w:val="24"/>
        </w:rPr>
        <w:t>Pfund</w:t>
      </w:r>
      <w:r w:rsidR="00143E73">
        <w:rPr>
          <w:rFonts w:ascii="Times New Roman" w:hAnsi="Times New Roman" w:cs="Times New Roman"/>
          <w:sz w:val="24"/>
          <w:szCs w:val="24"/>
        </w:rPr>
        <w:t xml:space="preserve"> C.</w:t>
      </w:r>
      <w:r w:rsidRPr="00143E73">
        <w:rPr>
          <w:rFonts w:ascii="Times New Roman" w:hAnsi="Times New Roman" w:cs="Times New Roman"/>
          <w:sz w:val="24"/>
          <w:szCs w:val="24"/>
        </w:rPr>
        <w:t>, S. House, et al. Training Mentors of Clinical and Translational Research</w:t>
      </w:r>
    </w:p>
    <w:p w14:paraId="771F3A68" w14:textId="77777777" w:rsidR="002C3642" w:rsidRPr="00143E73" w:rsidRDefault="002C3642" w:rsidP="00A80B74">
      <w:pPr>
        <w:pStyle w:val="NoSpacing"/>
        <w:ind w:left="720" w:hanging="720"/>
        <w:rPr>
          <w:rFonts w:ascii="Times New Roman" w:hAnsi="Times New Roman" w:cs="Times New Roman"/>
          <w:sz w:val="24"/>
          <w:szCs w:val="24"/>
        </w:rPr>
      </w:pPr>
      <w:r w:rsidRPr="00143E73">
        <w:rPr>
          <w:rFonts w:ascii="Times New Roman" w:hAnsi="Times New Roman" w:cs="Times New Roman"/>
          <w:sz w:val="24"/>
          <w:szCs w:val="24"/>
        </w:rPr>
        <w:t xml:space="preserve">Scholars: A Randomized Controlled Trial, </w:t>
      </w:r>
      <w:r w:rsidRPr="00143E73">
        <w:rPr>
          <w:rFonts w:ascii="Times New Roman" w:hAnsi="Times New Roman" w:cs="Times New Roman"/>
          <w:i/>
          <w:iCs/>
          <w:sz w:val="24"/>
          <w:szCs w:val="24"/>
        </w:rPr>
        <w:t>Acad Med</w:t>
      </w:r>
      <w:r w:rsidRPr="00143E73">
        <w:rPr>
          <w:rFonts w:ascii="Times New Roman" w:hAnsi="Times New Roman" w:cs="Times New Roman"/>
          <w:sz w:val="24"/>
          <w:szCs w:val="24"/>
        </w:rPr>
        <w:t>. 2014 May ; 89(5): 774–782. doi:10.1097/ACM.0000000000000218.</w:t>
      </w:r>
    </w:p>
    <w:p w14:paraId="041096C1" w14:textId="77777777" w:rsidR="002C3642" w:rsidRPr="00143E73" w:rsidRDefault="002C3642" w:rsidP="00A80B74">
      <w:pPr>
        <w:rPr>
          <w:rFonts w:eastAsia="Calibri"/>
        </w:rPr>
      </w:pPr>
    </w:p>
    <w:p w14:paraId="0B741E0B" w14:textId="77777777" w:rsidR="00143E73" w:rsidRPr="00143E73" w:rsidRDefault="00143E73" w:rsidP="00A80B74">
      <w:pPr>
        <w:tabs>
          <w:tab w:val="left" w:pos="720"/>
        </w:tabs>
        <w:ind w:left="720" w:hanging="720"/>
      </w:pPr>
      <w:r w:rsidRPr="00143E73">
        <w:t xml:space="preserve">Saldaña, J. (2014). </w:t>
      </w:r>
      <w:r w:rsidRPr="00143E73">
        <w:rPr>
          <w:i/>
        </w:rPr>
        <w:t xml:space="preserve">The coding manual for qualitative researchers </w:t>
      </w:r>
      <w:r w:rsidRPr="00143E73">
        <w:t>(2</w:t>
      </w:r>
      <w:r w:rsidRPr="00143E73">
        <w:rPr>
          <w:vertAlign w:val="superscript"/>
        </w:rPr>
        <w:t>nd</w:t>
      </w:r>
      <w:r w:rsidRPr="00143E73">
        <w:t xml:space="preserve"> ed.)</w:t>
      </w:r>
      <w:r w:rsidRPr="00143E73">
        <w:rPr>
          <w:i/>
        </w:rPr>
        <w:t xml:space="preserve">. </w:t>
      </w:r>
      <w:r w:rsidRPr="00143E73">
        <w:t>Thousand Oaks, CA: Sage.</w:t>
      </w:r>
    </w:p>
    <w:p w14:paraId="00B13AC1" w14:textId="77777777" w:rsidR="002C3642" w:rsidRPr="002C3642" w:rsidRDefault="002C3642" w:rsidP="00A80B74"/>
    <w:sectPr w:rsidR="002C3642" w:rsidRPr="002C3642" w:rsidSect="00D8063C">
      <w:footerReference w:type="even" r:id="rId10"/>
      <w:footerReference w:type="default" r:id="rId11"/>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B3DFC" w14:textId="77777777" w:rsidR="000838E3" w:rsidRDefault="000838E3">
      <w:r>
        <w:separator/>
      </w:r>
    </w:p>
  </w:endnote>
  <w:endnote w:type="continuationSeparator" w:id="0">
    <w:p w14:paraId="1CFF43BC" w14:textId="77777777" w:rsidR="000838E3" w:rsidRDefault="0008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658E7" w14:textId="77777777" w:rsidR="005E200B" w:rsidRDefault="005E200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D5DB3" w14:textId="77777777" w:rsidR="005E200B" w:rsidRDefault="005E200B">
    <w:pPr>
      <w:pStyle w:val="Footer"/>
    </w:pPr>
  </w:p>
  <w:p w14:paraId="78607650" w14:textId="77777777" w:rsidR="005E200B" w:rsidRDefault="005E200B"/>
  <w:p w14:paraId="27A7D68C" w14:textId="77777777" w:rsidR="005E200B" w:rsidRDefault="005E200B"/>
  <w:p w14:paraId="6CDE7985" w14:textId="77777777" w:rsidR="005E200B" w:rsidRDefault="005E200B"/>
  <w:p w14:paraId="2DE8DA27" w14:textId="77777777" w:rsidR="005E200B" w:rsidRDefault="005E200B"/>
  <w:p w14:paraId="5905E74D" w14:textId="77777777" w:rsidR="005E200B" w:rsidRDefault="005E200B"/>
  <w:p w14:paraId="52876CB5" w14:textId="77777777" w:rsidR="005E200B" w:rsidRDefault="005E2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00890" w14:textId="77777777" w:rsidR="005E200B" w:rsidRDefault="005E200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6341">
      <w:rPr>
        <w:rStyle w:val="PageNumber"/>
        <w:noProof/>
      </w:rPr>
      <w:t>i</w:t>
    </w:r>
    <w:r>
      <w:rPr>
        <w:rStyle w:val="PageNumber"/>
      </w:rPr>
      <w:fldChar w:fldCharType="end"/>
    </w:r>
  </w:p>
  <w:p w14:paraId="01C54692" w14:textId="77777777" w:rsidR="005E200B" w:rsidRDefault="005E200B" w:rsidP="004A70E1">
    <w:pPr>
      <w:pStyle w:val="Footer"/>
      <w:jc w:val="center"/>
    </w:pPr>
  </w:p>
  <w:p w14:paraId="083102BE" w14:textId="77777777" w:rsidR="005E200B" w:rsidRDefault="005E200B"/>
  <w:p w14:paraId="5B42F33D" w14:textId="77777777" w:rsidR="005E200B" w:rsidRDefault="005E200B"/>
  <w:p w14:paraId="327A4F2E" w14:textId="77777777" w:rsidR="005E200B" w:rsidRDefault="005E200B"/>
  <w:p w14:paraId="193C7513" w14:textId="77777777" w:rsidR="005E200B" w:rsidRDefault="005E200B"/>
  <w:p w14:paraId="3F6419D1" w14:textId="77777777" w:rsidR="005E200B" w:rsidRDefault="005E200B"/>
  <w:p w14:paraId="7E3F3E70" w14:textId="77777777" w:rsidR="005E200B" w:rsidRDefault="005E20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4483A" w14:textId="77777777" w:rsidR="005E200B" w:rsidRDefault="005E200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53C903" w14:textId="77777777" w:rsidR="005E200B" w:rsidRDefault="005E200B">
    <w:pPr>
      <w:pStyle w:val="Footer"/>
    </w:pPr>
  </w:p>
  <w:p w14:paraId="20536051" w14:textId="77777777" w:rsidR="005E200B" w:rsidRDefault="005E200B"/>
  <w:p w14:paraId="39A2D04E" w14:textId="77777777" w:rsidR="005E200B" w:rsidRDefault="005E200B"/>
  <w:p w14:paraId="361E01C0" w14:textId="77777777" w:rsidR="005E200B" w:rsidRDefault="005E200B"/>
  <w:p w14:paraId="3835EC2E" w14:textId="77777777" w:rsidR="005E200B" w:rsidRDefault="005E200B"/>
  <w:p w14:paraId="07B27ADA" w14:textId="77777777" w:rsidR="005E200B" w:rsidRDefault="005E200B"/>
  <w:p w14:paraId="651FC460" w14:textId="77777777" w:rsidR="005E200B" w:rsidRDefault="005E200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0092B" w14:textId="77777777" w:rsidR="005E200B" w:rsidRDefault="005E200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6341">
      <w:rPr>
        <w:rStyle w:val="PageNumber"/>
        <w:noProof/>
      </w:rPr>
      <w:t>10</w:t>
    </w:r>
    <w:r>
      <w:rPr>
        <w:rStyle w:val="PageNumber"/>
      </w:rPr>
      <w:fldChar w:fldCharType="end"/>
    </w:r>
  </w:p>
  <w:p w14:paraId="22FC744A" w14:textId="77777777" w:rsidR="005E200B" w:rsidRDefault="005E200B" w:rsidP="004A70E1">
    <w:pPr>
      <w:pStyle w:val="Footer"/>
      <w:jc w:val="center"/>
    </w:pPr>
  </w:p>
  <w:p w14:paraId="4A06012A" w14:textId="77777777" w:rsidR="005E200B" w:rsidRDefault="005E200B" w:rsidP="003829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B6407" w14:textId="77777777" w:rsidR="000838E3" w:rsidRDefault="000838E3">
      <w:r>
        <w:separator/>
      </w:r>
    </w:p>
  </w:footnote>
  <w:footnote w:type="continuationSeparator" w:id="0">
    <w:p w14:paraId="136AF17B" w14:textId="77777777" w:rsidR="000838E3" w:rsidRDefault="00083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5C6F"/>
    <w:multiLevelType w:val="hybridMultilevel"/>
    <w:tmpl w:val="CB12FC38"/>
    <w:lvl w:ilvl="0" w:tplc="A910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23662"/>
    <w:multiLevelType w:val="singleLevel"/>
    <w:tmpl w:val="BCEC5342"/>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0F333B5D"/>
    <w:multiLevelType w:val="hybridMultilevel"/>
    <w:tmpl w:val="0F2C6890"/>
    <w:lvl w:ilvl="0" w:tplc="A9103DD8">
      <w:start w:val="1"/>
      <w:numFmt w:val="decimal"/>
      <w:lvlText w:val="(%1)"/>
      <w:lvlJc w:val="left"/>
      <w:pPr>
        <w:ind w:left="720" w:hanging="360"/>
      </w:pPr>
      <w:rPr>
        <w:rFonts w:hint="default"/>
      </w:rPr>
    </w:lvl>
    <w:lvl w:ilvl="1" w:tplc="B628C42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85BDE"/>
    <w:multiLevelType w:val="hybridMultilevel"/>
    <w:tmpl w:val="4C9AFF8E"/>
    <w:lvl w:ilvl="0" w:tplc="87FEAAAE">
      <w:start w:val="1"/>
      <w:numFmt w:val="bullet"/>
      <w:lvlText w:val="•"/>
      <w:lvlJc w:val="left"/>
      <w:pPr>
        <w:tabs>
          <w:tab w:val="num" w:pos="720"/>
        </w:tabs>
        <w:ind w:left="720" w:hanging="360"/>
      </w:pPr>
      <w:rPr>
        <w:rFonts w:ascii="Arial" w:hAnsi="Arial" w:hint="default"/>
      </w:rPr>
    </w:lvl>
    <w:lvl w:ilvl="1" w:tplc="89562556" w:tentative="1">
      <w:start w:val="1"/>
      <w:numFmt w:val="bullet"/>
      <w:lvlText w:val="•"/>
      <w:lvlJc w:val="left"/>
      <w:pPr>
        <w:tabs>
          <w:tab w:val="num" w:pos="1440"/>
        </w:tabs>
        <w:ind w:left="1440" w:hanging="360"/>
      </w:pPr>
      <w:rPr>
        <w:rFonts w:ascii="Arial" w:hAnsi="Arial" w:hint="default"/>
      </w:rPr>
    </w:lvl>
    <w:lvl w:ilvl="2" w:tplc="B92A11A8" w:tentative="1">
      <w:start w:val="1"/>
      <w:numFmt w:val="bullet"/>
      <w:lvlText w:val="•"/>
      <w:lvlJc w:val="left"/>
      <w:pPr>
        <w:tabs>
          <w:tab w:val="num" w:pos="2160"/>
        </w:tabs>
        <w:ind w:left="2160" w:hanging="360"/>
      </w:pPr>
      <w:rPr>
        <w:rFonts w:ascii="Arial" w:hAnsi="Arial" w:hint="default"/>
      </w:rPr>
    </w:lvl>
    <w:lvl w:ilvl="3" w:tplc="E03AAD2E" w:tentative="1">
      <w:start w:val="1"/>
      <w:numFmt w:val="bullet"/>
      <w:lvlText w:val="•"/>
      <w:lvlJc w:val="left"/>
      <w:pPr>
        <w:tabs>
          <w:tab w:val="num" w:pos="2880"/>
        </w:tabs>
        <w:ind w:left="2880" w:hanging="360"/>
      </w:pPr>
      <w:rPr>
        <w:rFonts w:ascii="Arial" w:hAnsi="Arial" w:hint="default"/>
      </w:rPr>
    </w:lvl>
    <w:lvl w:ilvl="4" w:tplc="69E27D30" w:tentative="1">
      <w:start w:val="1"/>
      <w:numFmt w:val="bullet"/>
      <w:lvlText w:val="•"/>
      <w:lvlJc w:val="left"/>
      <w:pPr>
        <w:tabs>
          <w:tab w:val="num" w:pos="3600"/>
        </w:tabs>
        <w:ind w:left="3600" w:hanging="360"/>
      </w:pPr>
      <w:rPr>
        <w:rFonts w:ascii="Arial" w:hAnsi="Arial" w:hint="default"/>
      </w:rPr>
    </w:lvl>
    <w:lvl w:ilvl="5" w:tplc="12FE1404" w:tentative="1">
      <w:start w:val="1"/>
      <w:numFmt w:val="bullet"/>
      <w:lvlText w:val="•"/>
      <w:lvlJc w:val="left"/>
      <w:pPr>
        <w:tabs>
          <w:tab w:val="num" w:pos="4320"/>
        </w:tabs>
        <w:ind w:left="4320" w:hanging="360"/>
      </w:pPr>
      <w:rPr>
        <w:rFonts w:ascii="Arial" w:hAnsi="Arial" w:hint="default"/>
      </w:rPr>
    </w:lvl>
    <w:lvl w:ilvl="6" w:tplc="28A818D4" w:tentative="1">
      <w:start w:val="1"/>
      <w:numFmt w:val="bullet"/>
      <w:lvlText w:val="•"/>
      <w:lvlJc w:val="left"/>
      <w:pPr>
        <w:tabs>
          <w:tab w:val="num" w:pos="5040"/>
        </w:tabs>
        <w:ind w:left="5040" w:hanging="360"/>
      </w:pPr>
      <w:rPr>
        <w:rFonts w:ascii="Arial" w:hAnsi="Arial" w:hint="default"/>
      </w:rPr>
    </w:lvl>
    <w:lvl w:ilvl="7" w:tplc="F9CE00EE" w:tentative="1">
      <w:start w:val="1"/>
      <w:numFmt w:val="bullet"/>
      <w:lvlText w:val="•"/>
      <w:lvlJc w:val="left"/>
      <w:pPr>
        <w:tabs>
          <w:tab w:val="num" w:pos="5760"/>
        </w:tabs>
        <w:ind w:left="5760" w:hanging="360"/>
      </w:pPr>
      <w:rPr>
        <w:rFonts w:ascii="Arial" w:hAnsi="Arial" w:hint="default"/>
      </w:rPr>
    </w:lvl>
    <w:lvl w:ilvl="8" w:tplc="EA9036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AF3316"/>
    <w:multiLevelType w:val="hybridMultilevel"/>
    <w:tmpl w:val="0FFA5E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B125B"/>
    <w:multiLevelType w:val="hybridMultilevel"/>
    <w:tmpl w:val="D3D07ECE"/>
    <w:lvl w:ilvl="0" w:tplc="386C14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51290"/>
    <w:multiLevelType w:val="hybridMultilevel"/>
    <w:tmpl w:val="AE3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34801"/>
    <w:multiLevelType w:val="hybridMultilevel"/>
    <w:tmpl w:val="092C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415A2"/>
    <w:multiLevelType w:val="hybridMultilevel"/>
    <w:tmpl w:val="9B1E72E8"/>
    <w:lvl w:ilvl="0" w:tplc="A910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42C94"/>
    <w:multiLevelType w:val="hybridMultilevel"/>
    <w:tmpl w:val="C3A8A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9FE6D780">
      <w:start w:val="1"/>
      <w:numFmt w:val="lowerLetter"/>
      <w:lvlText w:val="%3."/>
      <w:lvlJc w:val="right"/>
      <w:pPr>
        <w:ind w:left="2160" w:hanging="180"/>
      </w:pPr>
      <w:rPr>
        <w:rFonts w:ascii="Calibri" w:eastAsia="Calibri" w:hAnsi="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1" w15:restartNumberingAfterBreak="0">
    <w:nsid w:val="5845190B"/>
    <w:multiLevelType w:val="hybridMultilevel"/>
    <w:tmpl w:val="F5D24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1527E"/>
    <w:multiLevelType w:val="hybridMultilevel"/>
    <w:tmpl w:val="049E8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A123AA"/>
    <w:multiLevelType w:val="hybridMultilevel"/>
    <w:tmpl w:val="7D6C2880"/>
    <w:lvl w:ilvl="0" w:tplc="A810FB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B36EF2"/>
    <w:multiLevelType w:val="hybridMultilevel"/>
    <w:tmpl w:val="1B70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82C94"/>
    <w:multiLevelType w:val="hybridMultilevel"/>
    <w:tmpl w:val="E8A463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291A3166">
      <w:start w:val="1"/>
      <w:numFmt w:val="lowerLetter"/>
      <w:lvlText w:val="%3."/>
      <w:lvlJc w:val="left"/>
      <w:pPr>
        <w:ind w:left="2700" w:hanging="720"/>
      </w:pPr>
      <w:rPr>
        <w:rFonts w:ascii="Calibri" w:eastAsia="Calibri" w:hAnsi="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67600"/>
    <w:multiLevelType w:val="hybridMultilevel"/>
    <w:tmpl w:val="6D385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434E76"/>
    <w:multiLevelType w:val="hybridMultilevel"/>
    <w:tmpl w:val="A2E60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6F4FA5"/>
    <w:multiLevelType w:val="hybridMultilevel"/>
    <w:tmpl w:val="004CCF5A"/>
    <w:lvl w:ilvl="0" w:tplc="A910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5"/>
  </w:num>
  <w:num w:numId="4">
    <w:abstractNumId w:val="1"/>
  </w:num>
  <w:num w:numId="5">
    <w:abstractNumId w:val="12"/>
  </w:num>
  <w:num w:numId="6">
    <w:abstractNumId w:val="19"/>
  </w:num>
  <w:num w:numId="7">
    <w:abstractNumId w:val="0"/>
  </w:num>
  <w:num w:numId="8">
    <w:abstractNumId w:val="2"/>
  </w:num>
  <w:num w:numId="9">
    <w:abstractNumId w:val="11"/>
  </w:num>
  <w:num w:numId="10">
    <w:abstractNumId w:val="16"/>
  </w:num>
  <w:num w:numId="11">
    <w:abstractNumId w:val="18"/>
  </w:num>
  <w:num w:numId="12">
    <w:abstractNumId w:val="15"/>
  </w:num>
  <w:num w:numId="13">
    <w:abstractNumId w:val="9"/>
  </w:num>
  <w:num w:numId="14">
    <w:abstractNumId w:val="17"/>
  </w:num>
  <w:num w:numId="15">
    <w:abstractNumId w:val="8"/>
  </w:num>
  <w:num w:numId="16">
    <w:abstractNumId w:val="4"/>
  </w:num>
  <w:num w:numId="17">
    <w:abstractNumId w:val="14"/>
  </w:num>
  <w:num w:numId="18">
    <w:abstractNumId w:val="3"/>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0E"/>
    <w:rsid w:val="000028C7"/>
    <w:rsid w:val="00003371"/>
    <w:rsid w:val="0000556E"/>
    <w:rsid w:val="00007846"/>
    <w:rsid w:val="00010A75"/>
    <w:rsid w:val="000311E5"/>
    <w:rsid w:val="0005035B"/>
    <w:rsid w:val="000727FF"/>
    <w:rsid w:val="000802B7"/>
    <w:rsid w:val="000838E3"/>
    <w:rsid w:val="000A31A8"/>
    <w:rsid w:val="000B08F7"/>
    <w:rsid w:val="000B1A13"/>
    <w:rsid w:val="000B42A9"/>
    <w:rsid w:val="000B48C8"/>
    <w:rsid w:val="000C061C"/>
    <w:rsid w:val="000C7FBE"/>
    <w:rsid w:val="000D47F5"/>
    <w:rsid w:val="000E1239"/>
    <w:rsid w:val="000E3526"/>
    <w:rsid w:val="00100E83"/>
    <w:rsid w:val="00110533"/>
    <w:rsid w:val="00114DB8"/>
    <w:rsid w:val="00117878"/>
    <w:rsid w:val="00137FA5"/>
    <w:rsid w:val="001410DD"/>
    <w:rsid w:val="00143E73"/>
    <w:rsid w:val="0014449A"/>
    <w:rsid w:val="00144705"/>
    <w:rsid w:val="00144958"/>
    <w:rsid w:val="001648FE"/>
    <w:rsid w:val="0016603E"/>
    <w:rsid w:val="001663E8"/>
    <w:rsid w:val="00195A37"/>
    <w:rsid w:val="00197085"/>
    <w:rsid w:val="001A3DB6"/>
    <w:rsid w:val="001B26D4"/>
    <w:rsid w:val="001B4586"/>
    <w:rsid w:val="001D2DA3"/>
    <w:rsid w:val="001D4FBC"/>
    <w:rsid w:val="001E02A9"/>
    <w:rsid w:val="001E1AAA"/>
    <w:rsid w:val="001E2803"/>
    <w:rsid w:val="001E2C04"/>
    <w:rsid w:val="001E2E2A"/>
    <w:rsid w:val="001F3252"/>
    <w:rsid w:val="001F553C"/>
    <w:rsid w:val="00202081"/>
    <w:rsid w:val="002060D2"/>
    <w:rsid w:val="002118AD"/>
    <w:rsid w:val="00220B0C"/>
    <w:rsid w:val="002257D9"/>
    <w:rsid w:val="00226613"/>
    <w:rsid w:val="0024029C"/>
    <w:rsid w:val="00242162"/>
    <w:rsid w:val="00247826"/>
    <w:rsid w:val="00253C78"/>
    <w:rsid w:val="00261279"/>
    <w:rsid w:val="00270371"/>
    <w:rsid w:val="00274526"/>
    <w:rsid w:val="00274EBD"/>
    <w:rsid w:val="00282C7C"/>
    <w:rsid w:val="00285627"/>
    <w:rsid w:val="002928BA"/>
    <w:rsid w:val="00292F39"/>
    <w:rsid w:val="00293373"/>
    <w:rsid w:val="002951F5"/>
    <w:rsid w:val="002B2653"/>
    <w:rsid w:val="002C3642"/>
    <w:rsid w:val="002C67CA"/>
    <w:rsid w:val="002D2886"/>
    <w:rsid w:val="002D2CA0"/>
    <w:rsid w:val="002D33BB"/>
    <w:rsid w:val="002E05E1"/>
    <w:rsid w:val="002E4DA3"/>
    <w:rsid w:val="002F0E8E"/>
    <w:rsid w:val="002F4DEF"/>
    <w:rsid w:val="00303181"/>
    <w:rsid w:val="0031033D"/>
    <w:rsid w:val="00314AF6"/>
    <w:rsid w:val="00317CB0"/>
    <w:rsid w:val="00323F97"/>
    <w:rsid w:val="00331190"/>
    <w:rsid w:val="00333217"/>
    <w:rsid w:val="003427BF"/>
    <w:rsid w:val="00362988"/>
    <w:rsid w:val="0037556F"/>
    <w:rsid w:val="0037748B"/>
    <w:rsid w:val="00382513"/>
    <w:rsid w:val="00382920"/>
    <w:rsid w:val="00390E3E"/>
    <w:rsid w:val="00395E54"/>
    <w:rsid w:val="003A0168"/>
    <w:rsid w:val="003B4389"/>
    <w:rsid w:val="003B43BC"/>
    <w:rsid w:val="003C7F21"/>
    <w:rsid w:val="003D36D9"/>
    <w:rsid w:val="003D3783"/>
    <w:rsid w:val="003E597B"/>
    <w:rsid w:val="003E5D3E"/>
    <w:rsid w:val="003E6341"/>
    <w:rsid w:val="003F1353"/>
    <w:rsid w:val="00406ABF"/>
    <w:rsid w:val="00413E24"/>
    <w:rsid w:val="00431A2A"/>
    <w:rsid w:val="00436A2C"/>
    <w:rsid w:val="00436F8B"/>
    <w:rsid w:val="0045295D"/>
    <w:rsid w:val="004572C8"/>
    <w:rsid w:val="0047313D"/>
    <w:rsid w:val="00476658"/>
    <w:rsid w:val="00477510"/>
    <w:rsid w:val="00481C2F"/>
    <w:rsid w:val="00483A69"/>
    <w:rsid w:val="004860AD"/>
    <w:rsid w:val="00494C53"/>
    <w:rsid w:val="00495AC7"/>
    <w:rsid w:val="00496045"/>
    <w:rsid w:val="004A317D"/>
    <w:rsid w:val="004A6AFB"/>
    <w:rsid w:val="004A70E1"/>
    <w:rsid w:val="004B3260"/>
    <w:rsid w:val="004C0728"/>
    <w:rsid w:val="004C770F"/>
    <w:rsid w:val="004D3606"/>
    <w:rsid w:val="004D7222"/>
    <w:rsid w:val="00530A5D"/>
    <w:rsid w:val="00532057"/>
    <w:rsid w:val="005371A7"/>
    <w:rsid w:val="0055098C"/>
    <w:rsid w:val="00552B5C"/>
    <w:rsid w:val="00554465"/>
    <w:rsid w:val="005545C5"/>
    <w:rsid w:val="00557265"/>
    <w:rsid w:val="00562D42"/>
    <w:rsid w:val="005669B9"/>
    <w:rsid w:val="00573FFC"/>
    <w:rsid w:val="00574786"/>
    <w:rsid w:val="00577E89"/>
    <w:rsid w:val="00581CD2"/>
    <w:rsid w:val="00581F92"/>
    <w:rsid w:val="00587CE3"/>
    <w:rsid w:val="005974BD"/>
    <w:rsid w:val="005A1C2C"/>
    <w:rsid w:val="005A27A5"/>
    <w:rsid w:val="005A59A9"/>
    <w:rsid w:val="005B492D"/>
    <w:rsid w:val="005C3DC2"/>
    <w:rsid w:val="005C5027"/>
    <w:rsid w:val="005C67C2"/>
    <w:rsid w:val="005C7B7D"/>
    <w:rsid w:val="005D2491"/>
    <w:rsid w:val="005D2DD7"/>
    <w:rsid w:val="005D2FE5"/>
    <w:rsid w:val="005D3103"/>
    <w:rsid w:val="005D3DA0"/>
    <w:rsid w:val="005D596D"/>
    <w:rsid w:val="005D66D5"/>
    <w:rsid w:val="005E06C5"/>
    <w:rsid w:val="005E1A63"/>
    <w:rsid w:val="005E200B"/>
    <w:rsid w:val="005E3002"/>
    <w:rsid w:val="005F0DC3"/>
    <w:rsid w:val="005F33DB"/>
    <w:rsid w:val="005F3912"/>
    <w:rsid w:val="006037AA"/>
    <w:rsid w:val="00603E27"/>
    <w:rsid w:val="006321FC"/>
    <w:rsid w:val="006339DE"/>
    <w:rsid w:val="0064007D"/>
    <w:rsid w:val="0064194B"/>
    <w:rsid w:val="006420DF"/>
    <w:rsid w:val="00644F71"/>
    <w:rsid w:val="00654981"/>
    <w:rsid w:val="00657EF5"/>
    <w:rsid w:val="00666564"/>
    <w:rsid w:val="0067103C"/>
    <w:rsid w:val="00672CCA"/>
    <w:rsid w:val="006732F8"/>
    <w:rsid w:val="00680E77"/>
    <w:rsid w:val="0068253F"/>
    <w:rsid w:val="00693374"/>
    <w:rsid w:val="006952E5"/>
    <w:rsid w:val="006A575F"/>
    <w:rsid w:val="006D06F9"/>
    <w:rsid w:val="006D4678"/>
    <w:rsid w:val="006D4A2D"/>
    <w:rsid w:val="006D6540"/>
    <w:rsid w:val="006D7983"/>
    <w:rsid w:val="006E0F6D"/>
    <w:rsid w:val="006E2B61"/>
    <w:rsid w:val="006E557B"/>
    <w:rsid w:val="006F1B10"/>
    <w:rsid w:val="00710964"/>
    <w:rsid w:val="00717507"/>
    <w:rsid w:val="00720249"/>
    <w:rsid w:val="0072201A"/>
    <w:rsid w:val="00741EE3"/>
    <w:rsid w:val="00744670"/>
    <w:rsid w:val="007541A2"/>
    <w:rsid w:val="0075488E"/>
    <w:rsid w:val="00754DCD"/>
    <w:rsid w:val="007602F1"/>
    <w:rsid w:val="00770176"/>
    <w:rsid w:val="00773552"/>
    <w:rsid w:val="0077506C"/>
    <w:rsid w:val="0078033B"/>
    <w:rsid w:val="00795153"/>
    <w:rsid w:val="007A0F20"/>
    <w:rsid w:val="007A12D8"/>
    <w:rsid w:val="007A66A8"/>
    <w:rsid w:val="007A6B3C"/>
    <w:rsid w:val="007A76C8"/>
    <w:rsid w:val="007B39D1"/>
    <w:rsid w:val="007B55B4"/>
    <w:rsid w:val="007B621F"/>
    <w:rsid w:val="007B6EF4"/>
    <w:rsid w:val="007C0A89"/>
    <w:rsid w:val="007C16BD"/>
    <w:rsid w:val="007C4BCF"/>
    <w:rsid w:val="007D0175"/>
    <w:rsid w:val="007D30DA"/>
    <w:rsid w:val="00801246"/>
    <w:rsid w:val="00807E31"/>
    <w:rsid w:val="0081301A"/>
    <w:rsid w:val="00813D28"/>
    <w:rsid w:val="00821E82"/>
    <w:rsid w:val="00831BD1"/>
    <w:rsid w:val="00832D42"/>
    <w:rsid w:val="008343F7"/>
    <w:rsid w:val="00837582"/>
    <w:rsid w:val="008404FE"/>
    <w:rsid w:val="00842D4C"/>
    <w:rsid w:val="00844DD4"/>
    <w:rsid w:val="0085035C"/>
    <w:rsid w:val="0085671F"/>
    <w:rsid w:val="00860957"/>
    <w:rsid w:val="008637B2"/>
    <w:rsid w:val="008656C6"/>
    <w:rsid w:val="0086747E"/>
    <w:rsid w:val="00896C6D"/>
    <w:rsid w:val="00897649"/>
    <w:rsid w:val="008A1C8B"/>
    <w:rsid w:val="008A2770"/>
    <w:rsid w:val="008B6FB8"/>
    <w:rsid w:val="008C310E"/>
    <w:rsid w:val="008E4CAC"/>
    <w:rsid w:val="008E73B0"/>
    <w:rsid w:val="008F048F"/>
    <w:rsid w:val="008F709D"/>
    <w:rsid w:val="00905C81"/>
    <w:rsid w:val="0090788B"/>
    <w:rsid w:val="0091193A"/>
    <w:rsid w:val="0091542E"/>
    <w:rsid w:val="00932363"/>
    <w:rsid w:val="0093431F"/>
    <w:rsid w:val="00950E1F"/>
    <w:rsid w:val="009560FB"/>
    <w:rsid w:val="0095781C"/>
    <w:rsid w:val="00957F14"/>
    <w:rsid w:val="00964142"/>
    <w:rsid w:val="00967A1B"/>
    <w:rsid w:val="00991D01"/>
    <w:rsid w:val="00992147"/>
    <w:rsid w:val="00994AC9"/>
    <w:rsid w:val="009965F7"/>
    <w:rsid w:val="009A3150"/>
    <w:rsid w:val="009A4C71"/>
    <w:rsid w:val="009B2EF0"/>
    <w:rsid w:val="009B5BA9"/>
    <w:rsid w:val="009B62FD"/>
    <w:rsid w:val="009C4608"/>
    <w:rsid w:val="009C6AC8"/>
    <w:rsid w:val="009D5EF3"/>
    <w:rsid w:val="009E4589"/>
    <w:rsid w:val="009E76B0"/>
    <w:rsid w:val="009F019E"/>
    <w:rsid w:val="009F1339"/>
    <w:rsid w:val="009F5464"/>
    <w:rsid w:val="00A0623E"/>
    <w:rsid w:val="00A06868"/>
    <w:rsid w:val="00A10AC6"/>
    <w:rsid w:val="00A124C3"/>
    <w:rsid w:val="00A20D08"/>
    <w:rsid w:val="00A22755"/>
    <w:rsid w:val="00A22F58"/>
    <w:rsid w:val="00A34B59"/>
    <w:rsid w:val="00A357BC"/>
    <w:rsid w:val="00A370BB"/>
    <w:rsid w:val="00A37B1C"/>
    <w:rsid w:val="00A42C04"/>
    <w:rsid w:val="00A54624"/>
    <w:rsid w:val="00A54A33"/>
    <w:rsid w:val="00A60522"/>
    <w:rsid w:val="00A61B94"/>
    <w:rsid w:val="00A71760"/>
    <w:rsid w:val="00A71EE2"/>
    <w:rsid w:val="00A749C6"/>
    <w:rsid w:val="00A80813"/>
    <w:rsid w:val="00A80B74"/>
    <w:rsid w:val="00A835C8"/>
    <w:rsid w:val="00A9340A"/>
    <w:rsid w:val="00A93C27"/>
    <w:rsid w:val="00AA0A3B"/>
    <w:rsid w:val="00AA3AA2"/>
    <w:rsid w:val="00AA4E58"/>
    <w:rsid w:val="00AB53FB"/>
    <w:rsid w:val="00AC0FF6"/>
    <w:rsid w:val="00AC4FF0"/>
    <w:rsid w:val="00AD0A61"/>
    <w:rsid w:val="00AF034C"/>
    <w:rsid w:val="00AF6E40"/>
    <w:rsid w:val="00B16302"/>
    <w:rsid w:val="00B30515"/>
    <w:rsid w:val="00B41EC6"/>
    <w:rsid w:val="00B429F1"/>
    <w:rsid w:val="00B42A69"/>
    <w:rsid w:val="00B52891"/>
    <w:rsid w:val="00B55092"/>
    <w:rsid w:val="00B5683E"/>
    <w:rsid w:val="00B56986"/>
    <w:rsid w:val="00B70C07"/>
    <w:rsid w:val="00B71B3A"/>
    <w:rsid w:val="00B71C0C"/>
    <w:rsid w:val="00B72329"/>
    <w:rsid w:val="00B738CB"/>
    <w:rsid w:val="00B75F51"/>
    <w:rsid w:val="00B760D3"/>
    <w:rsid w:val="00B8253E"/>
    <w:rsid w:val="00B82E77"/>
    <w:rsid w:val="00B834BA"/>
    <w:rsid w:val="00B83C8E"/>
    <w:rsid w:val="00B9080B"/>
    <w:rsid w:val="00B914B7"/>
    <w:rsid w:val="00B96E57"/>
    <w:rsid w:val="00BA024F"/>
    <w:rsid w:val="00BB1CAE"/>
    <w:rsid w:val="00BB35D2"/>
    <w:rsid w:val="00BC4019"/>
    <w:rsid w:val="00BC4450"/>
    <w:rsid w:val="00BC4E67"/>
    <w:rsid w:val="00BD78AD"/>
    <w:rsid w:val="00BE021E"/>
    <w:rsid w:val="00BE0605"/>
    <w:rsid w:val="00BE7AEB"/>
    <w:rsid w:val="00BF7FA4"/>
    <w:rsid w:val="00C01540"/>
    <w:rsid w:val="00C01D75"/>
    <w:rsid w:val="00C01FD4"/>
    <w:rsid w:val="00C05918"/>
    <w:rsid w:val="00C1102A"/>
    <w:rsid w:val="00C13C11"/>
    <w:rsid w:val="00C167B3"/>
    <w:rsid w:val="00C16C30"/>
    <w:rsid w:val="00C17439"/>
    <w:rsid w:val="00C33347"/>
    <w:rsid w:val="00C41E5E"/>
    <w:rsid w:val="00C541DC"/>
    <w:rsid w:val="00C54D36"/>
    <w:rsid w:val="00C62CC8"/>
    <w:rsid w:val="00C70D6F"/>
    <w:rsid w:val="00C76E94"/>
    <w:rsid w:val="00C83219"/>
    <w:rsid w:val="00C94EE3"/>
    <w:rsid w:val="00CA02BF"/>
    <w:rsid w:val="00CA35A7"/>
    <w:rsid w:val="00CB7952"/>
    <w:rsid w:val="00CC11F5"/>
    <w:rsid w:val="00CC56E1"/>
    <w:rsid w:val="00CD679B"/>
    <w:rsid w:val="00CF3CBF"/>
    <w:rsid w:val="00CF4DBD"/>
    <w:rsid w:val="00CF51F8"/>
    <w:rsid w:val="00CF5365"/>
    <w:rsid w:val="00D02153"/>
    <w:rsid w:val="00D05B2C"/>
    <w:rsid w:val="00D075B4"/>
    <w:rsid w:val="00D1187E"/>
    <w:rsid w:val="00D24ED0"/>
    <w:rsid w:val="00D2540C"/>
    <w:rsid w:val="00D275A5"/>
    <w:rsid w:val="00D2794B"/>
    <w:rsid w:val="00D351BA"/>
    <w:rsid w:val="00D3751D"/>
    <w:rsid w:val="00D403EE"/>
    <w:rsid w:val="00D42D2E"/>
    <w:rsid w:val="00D5034C"/>
    <w:rsid w:val="00D649F9"/>
    <w:rsid w:val="00D64A0A"/>
    <w:rsid w:val="00D70D0F"/>
    <w:rsid w:val="00D8063C"/>
    <w:rsid w:val="00D872D1"/>
    <w:rsid w:val="00D91E00"/>
    <w:rsid w:val="00D9224D"/>
    <w:rsid w:val="00D96668"/>
    <w:rsid w:val="00D9678B"/>
    <w:rsid w:val="00DB7058"/>
    <w:rsid w:val="00DD00AB"/>
    <w:rsid w:val="00DE1AD2"/>
    <w:rsid w:val="00DE452B"/>
    <w:rsid w:val="00DF7186"/>
    <w:rsid w:val="00E04A99"/>
    <w:rsid w:val="00E0618B"/>
    <w:rsid w:val="00E11288"/>
    <w:rsid w:val="00E127A0"/>
    <w:rsid w:val="00E16340"/>
    <w:rsid w:val="00E200DA"/>
    <w:rsid w:val="00E23078"/>
    <w:rsid w:val="00E23B27"/>
    <w:rsid w:val="00E249DE"/>
    <w:rsid w:val="00E32F46"/>
    <w:rsid w:val="00E34D50"/>
    <w:rsid w:val="00E353DE"/>
    <w:rsid w:val="00E36942"/>
    <w:rsid w:val="00E36A07"/>
    <w:rsid w:val="00E43D6A"/>
    <w:rsid w:val="00E46EE4"/>
    <w:rsid w:val="00E520BA"/>
    <w:rsid w:val="00E54293"/>
    <w:rsid w:val="00E542C8"/>
    <w:rsid w:val="00E57617"/>
    <w:rsid w:val="00E60D38"/>
    <w:rsid w:val="00E76D59"/>
    <w:rsid w:val="00E800E0"/>
    <w:rsid w:val="00E85176"/>
    <w:rsid w:val="00E934F2"/>
    <w:rsid w:val="00E9652D"/>
    <w:rsid w:val="00EA6E4F"/>
    <w:rsid w:val="00EB3963"/>
    <w:rsid w:val="00EB4C85"/>
    <w:rsid w:val="00ED3288"/>
    <w:rsid w:val="00ED3523"/>
    <w:rsid w:val="00EE638E"/>
    <w:rsid w:val="00EE7C95"/>
    <w:rsid w:val="00EF03F4"/>
    <w:rsid w:val="00EF1EDB"/>
    <w:rsid w:val="00EF460F"/>
    <w:rsid w:val="00EF58A6"/>
    <w:rsid w:val="00F04002"/>
    <w:rsid w:val="00F1068F"/>
    <w:rsid w:val="00F12E9E"/>
    <w:rsid w:val="00F168D0"/>
    <w:rsid w:val="00F21B11"/>
    <w:rsid w:val="00F220BF"/>
    <w:rsid w:val="00F263BC"/>
    <w:rsid w:val="00F31965"/>
    <w:rsid w:val="00F41045"/>
    <w:rsid w:val="00F419AA"/>
    <w:rsid w:val="00F422FA"/>
    <w:rsid w:val="00F42447"/>
    <w:rsid w:val="00F4506A"/>
    <w:rsid w:val="00F460A8"/>
    <w:rsid w:val="00F51A60"/>
    <w:rsid w:val="00F6488B"/>
    <w:rsid w:val="00F673FD"/>
    <w:rsid w:val="00F81549"/>
    <w:rsid w:val="00F82654"/>
    <w:rsid w:val="00F91974"/>
    <w:rsid w:val="00F919E3"/>
    <w:rsid w:val="00F91A68"/>
    <w:rsid w:val="00F92D15"/>
    <w:rsid w:val="00F95A8D"/>
    <w:rsid w:val="00FA3ADD"/>
    <w:rsid w:val="00FB0BB4"/>
    <w:rsid w:val="00FB1D53"/>
    <w:rsid w:val="00FC017B"/>
    <w:rsid w:val="00FC1964"/>
    <w:rsid w:val="00FC718E"/>
    <w:rsid w:val="00FE56F0"/>
    <w:rsid w:val="00FF5E57"/>
    <w:rsid w:val="00FF641A"/>
    <w:rsid w:val="00FF7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B46156E"/>
  <w15:docId w15:val="{3002DFEA-847F-4C19-8E0A-5BB1A95F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9A9"/>
    <w:rPr>
      <w:sz w:val="24"/>
      <w:szCs w:val="24"/>
    </w:rPr>
  </w:style>
  <w:style w:type="paragraph" w:styleId="Heading1">
    <w:name w:val="heading 1"/>
    <w:basedOn w:val="Normal"/>
    <w:next w:val="Normal"/>
    <w:qFormat/>
    <w:rsid w:val="00476658"/>
    <w:pPr>
      <w:keepNext/>
      <w:outlineLvl w:val="0"/>
    </w:pPr>
    <w:rPr>
      <w:b/>
      <w:bCs/>
      <w:kern w:val="32"/>
    </w:rPr>
  </w:style>
  <w:style w:type="paragraph" w:styleId="Heading2">
    <w:name w:val="heading 2"/>
    <w:aliases w:val="H2-Sec. Head"/>
    <w:basedOn w:val="Normal"/>
    <w:next w:val="P1-StandPara"/>
    <w:link w:val="Heading2Char"/>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uiPriority w:val="9"/>
    <w:unhideWhenUsed/>
    <w:qFormat/>
    <w:rsid w:val="00F8154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476658"/>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BodyText">
    <w:name w:val="Body Text"/>
    <w:basedOn w:val="Normal"/>
    <w:link w:val="BodyTextChar"/>
    <w:rsid w:val="00CF3CBF"/>
    <w:pPr>
      <w:spacing w:after="120"/>
    </w:pPr>
  </w:style>
  <w:style w:type="character" w:customStyle="1" w:styleId="BodyTextChar">
    <w:name w:val="Body Text Char"/>
    <w:link w:val="BodyText"/>
    <w:rsid w:val="00CF3CBF"/>
    <w:rPr>
      <w:sz w:val="24"/>
      <w:szCs w:val="24"/>
    </w:rPr>
  </w:style>
  <w:style w:type="paragraph" w:customStyle="1" w:styleId="TableParagraph">
    <w:name w:val="Table Paragraph"/>
    <w:basedOn w:val="Normal"/>
    <w:uiPriority w:val="1"/>
    <w:qFormat/>
    <w:rsid w:val="00CF3CBF"/>
    <w:pPr>
      <w:widowControl w:val="0"/>
    </w:pPr>
    <w:rPr>
      <w:rFonts w:ascii="Calibri" w:eastAsia="Calibri" w:hAnsi="Calibri"/>
      <w:sz w:val="22"/>
      <w:szCs w:val="22"/>
    </w:rPr>
  </w:style>
  <w:style w:type="character" w:styleId="CommentReference">
    <w:name w:val="annotation reference"/>
    <w:uiPriority w:val="99"/>
    <w:rsid w:val="00436F8B"/>
    <w:rPr>
      <w:sz w:val="16"/>
      <w:szCs w:val="16"/>
    </w:rPr>
  </w:style>
  <w:style w:type="paragraph" w:styleId="CommentText">
    <w:name w:val="annotation text"/>
    <w:basedOn w:val="Normal"/>
    <w:link w:val="CommentTextChar"/>
    <w:uiPriority w:val="99"/>
    <w:rsid w:val="00436F8B"/>
    <w:rPr>
      <w:sz w:val="20"/>
      <w:szCs w:val="20"/>
    </w:rPr>
  </w:style>
  <w:style w:type="character" w:customStyle="1" w:styleId="CommentTextChar">
    <w:name w:val="Comment Text Char"/>
    <w:basedOn w:val="DefaultParagraphFont"/>
    <w:link w:val="CommentText"/>
    <w:uiPriority w:val="99"/>
    <w:rsid w:val="00436F8B"/>
  </w:style>
  <w:style w:type="paragraph" w:styleId="CommentSubject">
    <w:name w:val="annotation subject"/>
    <w:basedOn w:val="CommentText"/>
    <w:next w:val="CommentText"/>
    <w:link w:val="CommentSubjectChar"/>
    <w:rsid w:val="00436F8B"/>
    <w:rPr>
      <w:b/>
      <w:bCs/>
    </w:rPr>
  </w:style>
  <w:style w:type="character" w:customStyle="1" w:styleId="CommentSubjectChar">
    <w:name w:val="Comment Subject Char"/>
    <w:link w:val="CommentSubject"/>
    <w:rsid w:val="00436F8B"/>
    <w:rPr>
      <w:b/>
      <w:bCs/>
    </w:rPr>
  </w:style>
  <w:style w:type="paragraph" w:styleId="BalloonText">
    <w:name w:val="Balloon Text"/>
    <w:basedOn w:val="Normal"/>
    <w:link w:val="BalloonTextChar"/>
    <w:rsid w:val="00436F8B"/>
    <w:rPr>
      <w:rFonts w:ascii="Tahoma" w:hAnsi="Tahoma" w:cs="Tahoma"/>
      <w:sz w:val="16"/>
      <w:szCs w:val="16"/>
    </w:rPr>
  </w:style>
  <w:style w:type="character" w:customStyle="1" w:styleId="BalloonTextChar">
    <w:name w:val="Balloon Text Char"/>
    <w:link w:val="BalloonText"/>
    <w:rsid w:val="00436F8B"/>
    <w:rPr>
      <w:rFonts w:ascii="Tahoma" w:hAnsi="Tahoma" w:cs="Tahoma"/>
      <w:sz w:val="16"/>
      <w:szCs w:val="16"/>
    </w:rPr>
  </w:style>
  <w:style w:type="paragraph" w:styleId="Revision">
    <w:name w:val="Revision"/>
    <w:hidden/>
    <w:uiPriority w:val="99"/>
    <w:semiHidden/>
    <w:rsid w:val="00436F8B"/>
    <w:rPr>
      <w:sz w:val="24"/>
      <w:szCs w:val="24"/>
    </w:rPr>
  </w:style>
  <w:style w:type="paragraph" w:styleId="ListParagraph">
    <w:name w:val="List Paragraph"/>
    <w:basedOn w:val="Normal"/>
    <w:uiPriority w:val="34"/>
    <w:qFormat/>
    <w:rsid w:val="0064007D"/>
    <w:pPr>
      <w:spacing w:after="160" w:line="259" w:lineRule="auto"/>
      <w:ind w:left="720"/>
      <w:contextualSpacing/>
    </w:pPr>
    <w:rPr>
      <w:rFonts w:ascii="Calibri" w:eastAsia="Calibri" w:hAnsi="Calibri"/>
      <w:sz w:val="22"/>
      <w:szCs w:val="22"/>
    </w:rPr>
  </w:style>
  <w:style w:type="character" w:customStyle="1" w:styleId="Heading3Char">
    <w:name w:val="Heading 3 Char"/>
    <w:link w:val="Heading3"/>
    <w:uiPriority w:val="9"/>
    <w:rsid w:val="00F8154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F919E3"/>
    <w:pPr>
      <w:outlineLvl w:val="9"/>
    </w:pPr>
    <w:rPr>
      <w:rFonts w:ascii="Cambria" w:hAnsi="Cambria"/>
    </w:rPr>
  </w:style>
  <w:style w:type="character" w:customStyle="1" w:styleId="FooterChar">
    <w:name w:val="Footer Char"/>
    <w:link w:val="Footer"/>
    <w:rsid w:val="00314AF6"/>
    <w:rPr>
      <w:sz w:val="22"/>
    </w:rPr>
  </w:style>
  <w:style w:type="character" w:styleId="Hyperlink">
    <w:name w:val="Hyperlink"/>
    <w:uiPriority w:val="99"/>
    <w:unhideWhenUsed/>
    <w:rsid w:val="00220B0C"/>
    <w:rPr>
      <w:color w:val="0563C1"/>
      <w:u w:val="single"/>
    </w:rPr>
  </w:style>
  <w:style w:type="paragraph" w:customStyle="1" w:styleId="Bullet">
    <w:name w:val="Bullet"/>
    <w:basedOn w:val="BodyText"/>
    <w:rsid w:val="000B48C8"/>
    <w:pPr>
      <w:numPr>
        <w:numId w:val="4"/>
      </w:numPr>
      <w:spacing w:before="120"/>
    </w:pPr>
  </w:style>
  <w:style w:type="paragraph" w:customStyle="1" w:styleId="bullet0">
    <w:name w:val="bullet"/>
    <w:basedOn w:val="Normal"/>
    <w:rsid w:val="000B48C8"/>
    <w:pPr>
      <w:tabs>
        <w:tab w:val="num" w:pos="360"/>
      </w:tabs>
      <w:spacing w:before="120" w:after="120"/>
      <w:ind w:left="360" w:hanging="360"/>
    </w:pPr>
  </w:style>
  <w:style w:type="character" w:customStyle="1" w:styleId="Heading2Char">
    <w:name w:val="Heading 2 Char"/>
    <w:aliases w:val="H2-Sec. Head Char"/>
    <w:link w:val="Heading2"/>
    <w:rsid w:val="005A59A9"/>
    <w:rPr>
      <w:b/>
      <w:sz w:val="22"/>
    </w:rPr>
  </w:style>
  <w:style w:type="paragraph" w:styleId="Header">
    <w:name w:val="header"/>
    <w:basedOn w:val="Normal"/>
    <w:link w:val="HeaderChar"/>
    <w:rsid w:val="00382920"/>
    <w:pPr>
      <w:tabs>
        <w:tab w:val="center" w:pos="4680"/>
        <w:tab w:val="right" w:pos="9360"/>
      </w:tabs>
    </w:pPr>
  </w:style>
  <w:style w:type="character" w:customStyle="1" w:styleId="HeaderChar">
    <w:name w:val="Header Char"/>
    <w:basedOn w:val="DefaultParagraphFont"/>
    <w:link w:val="Header"/>
    <w:rsid w:val="00382920"/>
    <w:rPr>
      <w:sz w:val="24"/>
      <w:szCs w:val="24"/>
    </w:rPr>
  </w:style>
  <w:style w:type="paragraph" w:styleId="NoSpacing">
    <w:name w:val="No Spacing"/>
    <w:uiPriority w:val="1"/>
    <w:qFormat/>
    <w:rsid w:val="00395E54"/>
    <w:rPr>
      <w:rFonts w:asciiTheme="minorHAnsi" w:eastAsiaTheme="minorHAnsi" w:hAnsiTheme="minorHAnsi" w:cstheme="minorBidi"/>
      <w:sz w:val="22"/>
      <w:szCs w:val="22"/>
    </w:rPr>
  </w:style>
  <w:style w:type="paragraph" w:customStyle="1" w:styleId="MediumGrid21">
    <w:name w:val="Medium Grid 21"/>
    <w:uiPriority w:val="1"/>
    <w:qFormat/>
    <w:rsid w:val="00F12E9E"/>
    <w:rPr>
      <w:rFonts w:ascii="Calibri" w:eastAsia="Calibri" w:hAnsi="Calibri"/>
      <w:sz w:val="22"/>
      <w:szCs w:val="22"/>
    </w:rPr>
  </w:style>
  <w:style w:type="table" w:styleId="TableGrid">
    <w:name w:val="Table Grid"/>
    <w:basedOn w:val="TableNormal"/>
    <w:rsid w:val="000D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0D38"/>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9645">
      <w:bodyDiv w:val="1"/>
      <w:marLeft w:val="0"/>
      <w:marRight w:val="0"/>
      <w:marTop w:val="0"/>
      <w:marBottom w:val="0"/>
      <w:divBdr>
        <w:top w:val="none" w:sz="0" w:space="0" w:color="auto"/>
        <w:left w:val="none" w:sz="0" w:space="0" w:color="auto"/>
        <w:bottom w:val="none" w:sz="0" w:space="0" w:color="auto"/>
        <w:right w:val="none" w:sz="0" w:space="0" w:color="auto"/>
      </w:divBdr>
    </w:div>
    <w:div w:id="727605633">
      <w:bodyDiv w:val="1"/>
      <w:marLeft w:val="0"/>
      <w:marRight w:val="0"/>
      <w:marTop w:val="0"/>
      <w:marBottom w:val="0"/>
      <w:divBdr>
        <w:top w:val="none" w:sz="0" w:space="0" w:color="auto"/>
        <w:left w:val="none" w:sz="0" w:space="0" w:color="auto"/>
        <w:bottom w:val="none" w:sz="0" w:space="0" w:color="auto"/>
        <w:right w:val="none" w:sz="0" w:space="0" w:color="auto"/>
      </w:divBdr>
    </w:div>
    <w:div w:id="761948748">
      <w:bodyDiv w:val="1"/>
      <w:marLeft w:val="0"/>
      <w:marRight w:val="0"/>
      <w:marTop w:val="0"/>
      <w:marBottom w:val="0"/>
      <w:divBdr>
        <w:top w:val="none" w:sz="0" w:space="0" w:color="auto"/>
        <w:left w:val="none" w:sz="0" w:space="0" w:color="auto"/>
        <w:bottom w:val="none" w:sz="0" w:space="0" w:color="auto"/>
        <w:right w:val="none" w:sz="0" w:space="0" w:color="auto"/>
      </w:divBdr>
    </w:div>
    <w:div w:id="865564315">
      <w:bodyDiv w:val="1"/>
      <w:marLeft w:val="0"/>
      <w:marRight w:val="0"/>
      <w:marTop w:val="0"/>
      <w:marBottom w:val="0"/>
      <w:divBdr>
        <w:top w:val="none" w:sz="0" w:space="0" w:color="auto"/>
        <w:left w:val="none" w:sz="0" w:space="0" w:color="auto"/>
        <w:bottom w:val="none" w:sz="0" w:space="0" w:color="auto"/>
        <w:right w:val="none" w:sz="0" w:space="0" w:color="auto"/>
      </w:divBdr>
    </w:div>
    <w:div w:id="1871453542">
      <w:bodyDiv w:val="1"/>
      <w:marLeft w:val="0"/>
      <w:marRight w:val="0"/>
      <w:marTop w:val="0"/>
      <w:marBottom w:val="0"/>
      <w:divBdr>
        <w:top w:val="none" w:sz="0" w:space="0" w:color="auto"/>
        <w:left w:val="none" w:sz="0" w:space="0" w:color="auto"/>
        <w:bottom w:val="none" w:sz="0" w:space="0" w:color="auto"/>
        <w:right w:val="none" w:sz="0" w:space="0" w:color="auto"/>
      </w:divBdr>
      <w:divsChild>
        <w:div w:id="1858234106">
          <w:marLeft w:val="288"/>
          <w:marRight w:val="0"/>
          <w:marTop w:val="106"/>
          <w:marBottom w:val="0"/>
          <w:divBdr>
            <w:top w:val="none" w:sz="0" w:space="0" w:color="auto"/>
            <w:left w:val="none" w:sz="0" w:space="0" w:color="auto"/>
            <w:bottom w:val="none" w:sz="0" w:space="0" w:color="auto"/>
            <w:right w:val="none" w:sz="0" w:space="0" w:color="auto"/>
          </w:divBdr>
        </w:div>
        <w:div w:id="1581327925">
          <w:marLeft w:val="288"/>
          <w:marRight w:val="0"/>
          <w:marTop w:val="106"/>
          <w:marBottom w:val="0"/>
          <w:divBdr>
            <w:top w:val="none" w:sz="0" w:space="0" w:color="auto"/>
            <w:left w:val="none" w:sz="0" w:space="0" w:color="auto"/>
            <w:bottom w:val="none" w:sz="0" w:space="0" w:color="auto"/>
            <w:right w:val="none" w:sz="0" w:space="0" w:color="auto"/>
          </w:divBdr>
        </w:div>
        <w:div w:id="1448498963">
          <w:marLeft w:val="288"/>
          <w:marRight w:val="0"/>
          <w:marTop w:val="106"/>
          <w:marBottom w:val="0"/>
          <w:divBdr>
            <w:top w:val="none" w:sz="0" w:space="0" w:color="auto"/>
            <w:left w:val="none" w:sz="0" w:space="0" w:color="auto"/>
            <w:bottom w:val="none" w:sz="0" w:space="0" w:color="auto"/>
            <w:right w:val="none" w:sz="0" w:space="0" w:color="auto"/>
          </w:divBdr>
        </w:div>
        <w:div w:id="1608584039">
          <w:marLeft w:val="288"/>
          <w:marRight w:val="0"/>
          <w:marTop w:val="106"/>
          <w:marBottom w:val="0"/>
          <w:divBdr>
            <w:top w:val="none" w:sz="0" w:space="0" w:color="auto"/>
            <w:left w:val="none" w:sz="0" w:space="0" w:color="auto"/>
            <w:bottom w:val="none" w:sz="0" w:space="0" w:color="auto"/>
            <w:right w:val="none" w:sz="0" w:space="0" w:color="auto"/>
          </w:divBdr>
        </w:div>
      </w:divsChild>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88B7-959E-44B3-9065-6A594D87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5498</Words>
  <Characters>32442</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Supporting Statement 'B' Preparation - 03/21/2011</vt:lpstr>
    </vt:vector>
  </TitlesOfParts>
  <Company>NIH\OD</Company>
  <LinksUpToDate>false</LinksUpToDate>
  <CharactersWithSpaces>37865</CharactersWithSpaces>
  <SharedDoc>false</SharedDoc>
  <HLinks>
    <vt:vector size="6" baseType="variant">
      <vt:variant>
        <vt:i4>852081</vt:i4>
      </vt:variant>
      <vt:variant>
        <vt:i4>0</vt:i4>
      </vt:variant>
      <vt:variant>
        <vt:i4>0</vt:i4>
      </vt:variant>
      <vt:variant>
        <vt:i4>5</vt:i4>
      </vt:variant>
      <vt:variant>
        <vt:lpwstr>mailto:allison.scott@nih.gov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- 03/21/2011</dc:title>
  <dc:subject>Supporting Statement 'B' Preparation - 03/21/2011</dc:subject>
  <dc:creator>OD/USER;CEC</dc:creator>
  <cp:keywords>Supporting Statement 'B' Preparation - 03/21/2011</cp:keywords>
  <cp:lastModifiedBy>Dean-Maxwell, Tammy (NIH/NIGMS) [E]</cp:lastModifiedBy>
  <cp:revision>2</cp:revision>
  <cp:lastPrinted>2016-03-21T17:09:00Z</cp:lastPrinted>
  <dcterms:created xsi:type="dcterms:W3CDTF">2016-05-18T13:34:00Z</dcterms:created>
  <dcterms:modified xsi:type="dcterms:W3CDTF">2016-05-18T13:34:00Z</dcterms:modified>
</cp:coreProperties>
</file>