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50A70B" w14:textId="77777777" w:rsidR="00B75C22" w:rsidRDefault="00B75C22" w:rsidP="00B75C22">
      <w:pPr>
        <w:jc w:val="center"/>
        <w:rPr>
          <w:rFonts w:ascii="Times New Roman Bold" w:hAnsi="Times New Roman Bold"/>
          <w:b/>
          <w:caps/>
        </w:rPr>
      </w:pPr>
      <w:r>
        <w:rPr>
          <w:rFonts w:ascii="Times New Roman Bold" w:hAnsi="Times New Roman Bold"/>
          <w:b/>
          <w:caps/>
        </w:rPr>
        <w:t>The NATIONAL Evaluation OF the Substance Abuse and</w:t>
      </w:r>
    </w:p>
    <w:p w14:paraId="6C255684" w14:textId="53F15BFF" w:rsidR="00B75C22" w:rsidRPr="002035C2" w:rsidRDefault="00B75C22" w:rsidP="00B75C22">
      <w:pPr>
        <w:spacing w:after="120"/>
        <w:jc w:val="center"/>
        <w:rPr>
          <w:rFonts w:ascii="Times New Roman Bold" w:hAnsi="Times New Roman Bold"/>
          <w:b/>
          <w:caps/>
        </w:rPr>
      </w:pPr>
      <w:r>
        <w:rPr>
          <w:rFonts w:ascii="Times New Roman Bold" w:hAnsi="Times New Roman Bold"/>
          <w:b/>
          <w:caps/>
        </w:rPr>
        <w:t xml:space="preserve"> Mental Health Services administration’s Youth Programs </w:t>
      </w:r>
    </w:p>
    <w:p w14:paraId="6F74FA2A" w14:textId="77777777" w:rsidR="00B75C22" w:rsidRPr="00F64D36" w:rsidRDefault="00B75C22" w:rsidP="00B75C22">
      <w:pPr>
        <w:jc w:val="center"/>
        <w:rPr>
          <w:b/>
        </w:rPr>
      </w:pPr>
      <w:r w:rsidRPr="002035C2">
        <w:rPr>
          <w:rFonts w:ascii="Times New Roman Bold" w:hAnsi="Times New Roman Bold"/>
          <w:b/>
          <w:caps/>
        </w:rPr>
        <w:t>Supporting Statement</w:t>
      </w:r>
    </w:p>
    <w:p w14:paraId="41D4C3C6" w14:textId="34417107" w:rsidR="00B75C22" w:rsidRPr="00427E3F" w:rsidRDefault="00B75C22" w:rsidP="00427E3F">
      <w:pPr>
        <w:pStyle w:val="Heading2"/>
      </w:pPr>
      <w:bookmarkStart w:id="0" w:name="_Toc79980788"/>
      <w:bookmarkStart w:id="1" w:name="_Toc88277949"/>
      <w:bookmarkStart w:id="2" w:name="_Toc131564338"/>
      <w:r w:rsidRPr="00BF6861">
        <w:t>A.</w:t>
      </w:r>
      <w:r w:rsidRPr="00BF6861">
        <w:tab/>
        <w:t>J</w:t>
      </w:r>
      <w:r>
        <w:t>USTIFICATION</w:t>
      </w:r>
      <w:bookmarkEnd w:id="0"/>
      <w:bookmarkEnd w:id="1"/>
      <w:bookmarkEnd w:id="2"/>
      <w:r w:rsidRPr="00BF6861">
        <w:t xml:space="preserve"> </w:t>
      </w:r>
    </w:p>
    <w:p w14:paraId="1A676C48" w14:textId="77777777" w:rsidR="00B75C22" w:rsidRPr="00522A2B" w:rsidRDefault="00B75C22" w:rsidP="00427E3F">
      <w:pPr>
        <w:pStyle w:val="Heading2"/>
      </w:pPr>
      <w:bookmarkStart w:id="3" w:name="_Toc88277950"/>
      <w:bookmarkStart w:id="4" w:name="_Toc131564339"/>
      <w:r w:rsidRPr="00522A2B">
        <w:t>1.</w:t>
      </w:r>
      <w:r w:rsidRPr="00522A2B">
        <w:tab/>
      </w:r>
      <w:r w:rsidRPr="00427E3F">
        <w:rPr>
          <w:u w:val="single"/>
        </w:rPr>
        <w:t>Circumstances of Information Collection</w:t>
      </w:r>
      <w:bookmarkEnd w:id="3"/>
      <w:bookmarkEnd w:id="4"/>
    </w:p>
    <w:p w14:paraId="1B6473EB" w14:textId="4823635D" w:rsidR="002670D9" w:rsidRPr="00EA4D19" w:rsidRDefault="002670D9" w:rsidP="00427E3F">
      <w:pPr>
        <w:pStyle w:val="BodyText"/>
      </w:pPr>
      <w:r w:rsidRPr="00EA4D19">
        <w:t xml:space="preserve">The Substance Abuse and Mental Health Services Administration (SAMHSA), Center for Substance Abuse Treatment </w:t>
      </w:r>
      <w:r w:rsidR="00EA4D19">
        <w:t xml:space="preserve">(CSAT) </w:t>
      </w:r>
      <w:r w:rsidRPr="00EA4D19">
        <w:t>is requesting approval from the Office of Management and Budget (OMB) for data collection activities designed to evaluate t</w:t>
      </w:r>
      <w:r w:rsidR="005E46C0" w:rsidRPr="00EA4D19">
        <w:t>hree</w:t>
      </w:r>
      <w:r w:rsidRPr="00EA4D19">
        <w:t xml:space="preserve"> grantee programs that are critical to </w:t>
      </w:r>
      <w:r w:rsidR="00890346" w:rsidRPr="00832E37">
        <w:t>the Agency’s</w:t>
      </w:r>
      <w:r w:rsidRPr="00832E37">
        <w:t xml:space="preserve"> </w:t>
      </w:r>
      <w:r w:rsidR="00890346" w:rsidRPr="00832E37">
        <w:t>y</w:t>
      </w:r>
      <w:r w:rsidRPr="00832E37">
        <w:t>outh</w:t>
      </w:r>
      <w:r w:rsidRPr="00EA4D19">
        <w:t xml:space="preserve"> portfolio</w:t>
      </w:r>
      <w:r w:rsidR="005E46C0" w:rsidRPr="00EA4D19">
        <w:t>. The three program</w:t>
      </w:r>
      <w:r w:rsidR="000E6892" w:rsidRPr="00EA4D19">
        <w:t>s</w:t>
      </w:r>
      <w:r w:rsidR="005E46C0" w:rsidRPr="00EA4D19">
        <w:t xml:space="preserve"> include </w:t>
      </w:r>
      <w:r w:rsidRPr="00EA4D19">
        <w:t>the 2013 Cooperative Agreements for State Adolescent and Transitional Aged Youth Treatment Enhancement and Dissemination (SYT-ED)</w:t>
      </w:r>
      <w:r w:rsidR="00EA4D19">
        <w:t>,</w:t>
      </w:r>
      <w:r w:rsidR="00C739DC" w:rsidRPr="00EA4D19">
        <w:t xml:space="preserve"> </w:t>
      </w:r>
      <w:r w:rsidR="005E46C0" w:rsidRPr="00EA4D19">
        <w:t xml:space="preserve">the </w:t>
      </w:r>
      <w:r w:rsidR="00C739DC" w:rsidRPr="00EA4D19">
        <w:t>2015</w:t>
      </w:r>
      <w:r w:rsidR="00210734">
        <w:t xml:space="preserve"> and 2016</w:t>
      </w:r>
      <w:r w:rsidR="00C739DC" w:rsidRPr="00EA4D19">
        <w:t xml:space="preserve"> Cooperative Agreements for State Adolescent and Transitional Aged Youth Treatment Enhancement and Dissemination Implementation (SYT-I)</w:t>
      </w:r>
      <w:r w:rsidR="004248E5">
        <w:t>, and the 2015 Cooperative Agreements for State Adolescent and Transitional Aged Youth Treatment Enhancement and Dissemination Planning (SYT-P)</w:t>
      </w:r>
      <w:r w:rsidRPr="00EA4D19">
        <w:t xml:space="preserve">. </w:t>
      </w:r>
    </w:p>
    <w:p w14:paraId="143873EA" w14:textId="654DA0C5" w:rsidR="005E46C0" w:rsidRDefault="00DF03E0" w:rsidP="00427E3F">
      <w:pPr>
        <w:pStyle w:val="BodyText"/>
      </w:pPr>
      <w:r>
        <w:t xml:space="preserve">This data collection </w:t>
      </w:r>
      <w:r w:rsidR="00890346">
        <w:t xml:space="preserve">includes the following </w:t>
      </w:r>
      <w:r>
        <w:t xml:space="preserve">tools: </w:t>
      </w:r>
    </w:p>
    <w:p w14:paraId="65C9B850" w14:textId="7C471A90" w:rsidR="004A1116" w:rsidRDefault="004A1116" w:rsidP="00832E37">
      <w:pPr>
        <w:pStyle w:val="ListBullet"/>
        <w:tabs>
          <w:tab w:val="clear" w:pos="360"/>
        </w:tabs>
        <w:rPr>
          <w:b/>
          <w:bCs/>
        </w:rPr>
      </w:pPr>
      <w:r>
        <w:rPr>
          <w:b/>
          <w:bCs/>
        </w:rPr>
        <w:t>Implementation Interview Guide</w:t>
      </w:r>
    </w:p>
    <w:p w14:paraId="229ACBD3" w14:textId="4F84A908" w:rsidR="004A1116" w:rsidRDefault="00832E37" w:rsidP="004A1116">
      <w:pPr>
        <w:pStyle w:val="ListBullet"/>
        <w:tabs>
          <w:tab w:val="clear" w:pos="360"/>
        </w:tabs>
        <w:rPr>
          <w:b/>
          <w:bCs/>
        </w:rPr>
      </w:pPr>
      <w:r>
        <w:rPr>
          <w:b/>
          <w:bCs/>
        </w:rPr>
        <w:t>Sustainability</w:t>
      </w:r>
      <w:r w:rsidR="004A1116">
        <w:rPr>
          <w:b/>
          <w:bCs/>
        </w:rPr>
        <w:t xml:space="preserve"> Interview Guide</w:t>
      </w:r>
    </w:p>
    <w:p w14:paraId="6F714732" w14:textId="13408EE4" w:rsidR="005E46C0" w:rsidRPr="00427E3F" w:rsidRDefault="00832E37" w:rsidP="004A1116">
      <w:pPr>
        <w:pStyle w:val="ListBullet"/>
        <w:tabs>
          <w:tab w:val="clear" w:pos="360"/>
        </w:tabs>
        <w:rPr>
          <w:b/>
          <w:bCs/>
        </w:rPr>
      </w:pPr>
      <w:r>
        <w:rPr>
          <w:b/>
          <w:bCs/>
        </w:rPr>
        <w:t xml:space="preserve">Stakeholder </w:t>
      </w:r>
      <w:r w:rsidR="004C2114">
        <w:rPr>
          <w:b/>
          <w:bCs/>
        </w:rPr>
        <w:t>I</w:t>
      </w:r>
      <w:r>
        <w:rPr>
          <w:b/>
          <w:bCs/>
        </w:rPr>
        <w:t xml:space="preserve">nterview </w:t>
      </w:r>
      <w:r w:rsidR="004C2114">
        <w:rPr>
          <w:b/>
          <w:bCs/>
        </w:rPr>
        <w:t>G</w:t>
      </w:r>
      <w:r w:rsidR="004A1116">
        <w:rPr>
          <w:b/>
          <w:bCs/>
        </w:rPr>
        <w:t>uide</w:t>
      </w:r>
      <w:r w:rsidR="00461F1D">
        <w:rPr>
          <w:b/>
          <w:bCs/>
        </w:rPr>
        <w:t xml:space="preserve"> </w:t>
      </w:r>
    </w:p>
    <w:p w14:paraId="67C53B6D" w14:textId="5E145DFE" w:rsidR="005E46C0" w:rsidRDefault="005E46C0" w:rsidP="00427E3F">
      <w:pPr>
        <w:pStyle w:val="ListBullet"/>
        <w:tabs>
          <w:tab w:val="clear" w:pos="360"/>
        </w:tabs>
        <w:rPr>
          <w:b/>
          <w:bCs/>
        </w:rPr>
      </w:pPr>
      <w:r w:rsidRPr="00427E3F">
        <w:rPr>
          <w:b/>
          <w:bCs/>
        </w:rPr>
        <w:t xml:space="preserve">Provider </w:t>
      </w:r>
      <w:r w:rsidR="00A95FA1">
        <w:rPr>
          <w:b/>
          <w:bCs/>
        </w:rPr>
        <w:t>S</w:t>
      </w:r>
      <w:r w:rsidRPr="00427E3F">
        <w:rPr>
          <w:b/>
          <w:bCs/>
        </w:rPr>
        <w:t>urvey</w:t>
      </w:r>
    </w:p>
    <w:p w14:paraId="259087C4" w14:textId="25766C07" w:rsidR="00461F1D" w:rsidRDefault="004C2114" w:rsidP="00427E3F">
      <w:pPr>
        <w:pStyle w:val="ListBullet"/>
        <w:tabs>
          <w:tab w:val="clear" w:pos="360"/>
        </w:tabs>
        <w:rPr>
          <w:b/>
          <w:bCs/>
        </w:rPr>
      </w:pPr>
      <w:r>
        <w:rPr>
          <w:b/>
          <w:bCs/>
        </w:rPr>
        <w:t>Focus G</w:t>
      </w:r>
      <w:r w:rsidR="00461F1D">
        <w:rPr>
          <w:b/>
          <w:bCs/>
        </w:rPr>
        <w:t xml:space="preserve">roup </w:t>
      </w:r>
      <w:r>
        <w:rPr>
          <w:b/>
          <w:bCs/>
        </w:rPr>
        <w:t>G</w:t>
      </w:r>
      <w:r w:rsidR="005514C5">
        <w:rPr>
          <w:b/>
          <w:bCs/>
        </w:rPr>
        <w:t>uide</w:t>
      </w:r>
    </w:p>
    <w:p w14:paraId="6AE17DE2" w14:textId="5B247F4A" w:rsidR="002670D9" w:rsidRDefault="002670D9" w:rsidP="00267342">
      <w:pPr>
        <w:pStyle w:val="BodyText"/>
      </w:pPr>
      <w:r>
        <w:t>The</w:t>
      </w:r>
      <w:r w:rsidR="00DF03E0">
        <w:t xml:space="preserve">, </w:t>
      </w:r>
      <w:r>
        <w:t>SYT-ED</w:t>
      </w:r>
      <w:r w:rsidR="00EA4D19">
        <w:t>,</w:t>
      </w:r>
      <w:r w:rsidR="00DF03E0">
        <w:t xml:space="preserve"> </w:t>
      </w:r>
      <w:r w:rsidR="00C739DC">
        <w:t>SYT-I</w:t>
      </w:r>
      <w:r w:rsidR="004248E5">
        <w:t>, and SYT-P</w:t>
      </w:r>
      <w:r>
        <w:t xml:space="preserve"> programs are authorized under Section 50</w:t>
      </w:r>
      <w:r w:rsidR="00B40BA9">
        <w:t>9</w:t>
      </w:r>
      <w:bookmarkStart w:id="5" w:name="_GoBack"/>
      <w:bookmarkEnd w:id="5"/>
      <w:r>
        <w:t xml:space="preserve"> of the Public Health Service Act, as amended. </w:t>
      </w:r>
      <w:r>
        <w:fldChar w:fldCharType="begin"/>
      </w:r>
      <w:r>
        <w:instrText xml:space="preserve"> XE "ONDCP, 2007" </w:instrText>
      </w:r>
      <w:r>
        <w:fldChar w:fldCharType="end"/>
      </w:r>
      <w:r>
        <w:t xml:space="preserve"> </w:t>
      </w:r>
      <w:r w:rsidR="00DF03E0">
        <w:t>The programs support SAMHSA’s Trauma and Justice, Recovery Support</w:t>
      </w:r>
      <w:r w:rsidR="00EA4D19">
        <w:t>,</w:t>
      </w:r>
      <w:r w:rsidR="00DF03E0">
        <w:t xml:space="preserve"> and Health Reform Strategic Initiatives. The information provided by this data collection effort and the evaluation as a whole will provide SAMHSA </w:t>
      </w:r>
      <w:r w:rsidR="001F634B">
        <w:t xml:space="preserve">with the </w:t>
      </w:r>
      <w:r w:rsidR="00DF03E0">
        <w:t>necessary information to continue to</w:t>
      </w:r>
      <w:r w:rsidR="00267342">
        <w:t xml:space="preserve"> improve the SYT programs ability to</w:t>
      </w:r>
      <w:r w:rsidR="00DF03E0">
        <w:t xml:space="preserve"> address the three strategic initiatives listed above.</w:t>
      </w:r>
    </w:p>
    <w:p w14:paraId="67A73E9C" w14:textId="77777777" w:rsidR="00DF03E0" w:rsidRDefault="00DF03E0" w:rsidP="00427E3F">
      <w:pPr>
        <w:pStyle w:val="Heading3"/>
      </w:pPr>
      <w:r>
        <w:t>Background</w:t>
      </w:r>
    </w:p>
    <w:p w14:paraId="7A582A55" w14:textId="69A1C349" w:rsidR="00F669EA" w:rsidRDefault="00F71DDB" w:rsidP="00CF78A8">
      <w:pPr>
        <w:pStyle w:val="BodyText"/>
      </w:pPr>
      <w:r>
        <w:t>P</w:t>
      </w:r>
      <w:r w:rsidR="00DF03E0">
        <w:t>reventing and treating substance</w:t>
      </w:r>
      <w:r w:rsidR="00326AD6">
        <w:t xml:space="preserve"> </w:t>
      </w:r>
      <w:r w:rsidR="00DF03E0">
        <w:t xml:space="preserve">use </w:t>
      </w:r>
      <w:r>
        <w:t xml:space="preserve">and mental health </w:t>
      </w:r>
      <w:r w:rsidR="00DF03E0">
        <w:t>disorders are essential to SAMHSA’s mission to reduce the impact of behavioral health conditions in America’s communities. The specific populations (i.e.</w:t>
      </w:r>
      <w:r w:rsidR="00BE5A24">
        <w:t xml:space="preserve">, </w:t>
      </w:r>
      <w:r w:rsidR="000E6892">
        <w:t xml:space="preserve">adolescents, </w:t>
      </w:r>
      <w:r w:rsidR="00A77E8C">
        <w:t xml:space="preserve">transitional aged </w:t>
      </w:r>
      <w:r w:rsidR="00BE5A24">
        <w:t>youth)</w:t>
      </w:r>
      <w:r w:rsidR="00DF03E0">
        <w:t xml:space="preserve"> targeted by the </w:t>
      </w:r>
      <w:r w:rsidR="00DE594B">
        <w:t>y</w:t>
      </w:r>
      <w:r w:rsidR="00DF03E0">
        <w:t xml:space="preserve">outh programs face </w:t>
      </w:r>
      <w:r w:rsidR="00F669EA">
        <w:t>particular behavioral health challenges.</w:t>
      </w:r>
      <w:r w:rsidR="00F669EA" w:rsidRPr="00F669EA">
        <w:t xml:space="preserve"> </w:t>
      </w:r>
      <w:r w:rsidR="00F669EA" w:rsidRPr="001D3E9C">
        <w:t>In 2013, an estimated 12</w:t>
      </w:r>
      <w:r w:rsidR="00F669EA">
        <w:t xml:space="preserve"> percent</w:t>
      </w:r>
      <w:r w:rsidR="00F669EA" w:rsidRPr="001D3E9C">
        <w:t xml:space="preserve"> of adolescents aged 12 to 17 reported alcohol use in the past month, and 6</w:t>
      </w:r>
      <w:r w:rsidR="00F669EA">
        <w:t xml:space="preserve"> percent</w:t>
      </w:r>
      <w:r w:rsidR="00F669EA" w:rsidRPr="001D3E9C">
        <w:t xml:space="preserve"> reported binge drinking. The 2013 NSDUH also reported that 43</w:t>
      </w:r>
      <w:r w:rsidR="00F669EA">
        <w:t xml:space="preserve"> percent</w:t>
      </w:r>
      <w:r w:rsidR="00F669EA" w:rsidRPr="001D3E9C">
        <w:t xml:space="preserve"> of young adults aged 21 to 25 reported binge drinking in the past month, and 13</w:t>
      </w:r>
      <w:r w:rsidR="00F669EA">
        <w:t xml:space="preserve"> percent</w:t>
      </w:r>
      <w:r w:rsidR="00F669EA" w:rsidRPr="001D3E9C">
        <w:t xml:space="preserve"> were</w:t>
      </w:r>
      <w:r w:rsidR="00CF78A8">
        <w:t xml:space="preserve"> heavy drinkers (SAMHSA, 2014</w:t>
      </w:r>
      <w:r w:rsidR="00BC06CD">
        <w:t>a</w:t>
      </w:r>
      <w:r w:rsidR="00F669EA" w:rsidRPr="001D3E9C">
        <w:t>). Approximately 22</w:t>
      </w:r>
      <w:r w:rsidR="00F669EA">
        <w:t xml:space="preserve"> percent</w:t>
      </w:r>
      <w:r w:rsidR="00F669EA" w:rsidRPr="001D3E9C">
        <w:t xml:space="preserve"> of young adults aged 18 to 25 and 9</w:t>
      </w:r>
      <w:r w:rsidR="00F669EA">
        <w:t xml:space="preserve"> percent</w:t>
      </w:r>
      <w:r w:rsidR="00F669EA" w:rsidRPr="001D3E9C">
        <w:t xml:space="preserve"> of adolescents aged 12 to </w:t>
      </w:r>
      <w:r w:rsidR="00F669EA" w:rsidRPr="001D3E9C">
        <w:lastRenderedPageBreak/>
        <w:t>17 reported being current illicit drug users. In both age groups, marijuana was the most common drug reported at 19</w:t>
      </w:r>
      <w:r w:rsidR="00F669EA">
        <w:t xml:space="preserve"> percent</w:t>
      </w:r>
      <w:r w:rsidR="00F669EA" w:rsidRPr="001D3E9C">
        <w:t xml:space="preserve"> and 7</w:t>
      </w:r>
      <w:r w:rsidR="00F669EA">
        <w:t xml:space="preserve"> percent</w:t>
      </w:r>
      <w:r w:rsidR="00CF78A8">
        <w:t>, respectively (SAMHSA, 2014</w:t>
      </w:r>
      <w:r w:rsidR="00BC06CD">
        <w:t>a</w:t>
      </w:r>
      <w:r w:rsidR="00F669EA" w:rsidRPr="001D3E9C">
        <w:t>). In addition, an emerging threat to public health, particularly among America’s youth (aged 12 to 25), is prescription drug misuse, which includes consumption for euphoria (to get high) and/or to self-medicate symptoms of mental and physical illness. Just under 3</w:t>
      </w:r>
      <w:r w:rsidR="00F669EA">
        <w:t xml:space="preserve"> percent</w:t>
      </w:r>
      <w:r w:rsidR="00F669EA" w:rsidRPr="001D3E9C">
        <w:t xml:space="preserve"> of individuals aged 12 to 17 have used prescription drugs in the past month that were not prescribed to them, and this rate is nearly double (5.0</w:t>
      </w:r>
      <w:r w:rsidR="00F669EA">
        <w:t xml:space="preserve"> percent</w:t>
      </w:r>
      <w:r w:rsidR="00F669EA" w:rsidRPr="001D3E9C">
        <w:t>) among 18- to 25-year-olds.</w:t>
      </w:r>
      <w:r>
        <w:t xml:space="preserve"> </w:t>
      </w:r>
      <w:r w:rsidRPr="001D3E9C">
        <w:t>In 2013, approximately 11</w:t>
      </w:r>
      <w:r>
        <w:t xml:space="preserve"> percent</w:t>
      </w:r>
      <w:r w:rsidRPr="001D3E9C">
        <w:t xml:space="preserve"> of youth aged 12 to 17 had a major depressive episode during the past year, and 8</w:t>
      </w:r>
      <w:r>
        <w:t xml:space="preserve"> percent</w:t>
      </w:r>
      <w:r w:rsidRPr="001D3E9C">
        <w:t xml:space="preserve"> had a major depressive episode with severe impairment (SAMHSA, 2014</w:t>
      </w:r>
      <w:r w:rsidR="00BC06CD">
        <w:t>a</w:t>
      </w:r>
      <w:r w:rsidRPr="001D3E9C">
        <w:t>).</w:t>
      </w:r>
      <w:r>
        <w:t xml:space="preserve"> </w:t>
      </w:r>
      <w:r w:rsidR="00326AD6">
        <w:t xml:space="preserve">Co-occurrence of mental health and substance use disorders also </w:t>
      </w:r>
      <w:r w:rsidR="007F3139">
        <w:t>challenges this</w:t>
      </w:r>
      <w:r w:rsidR="00326AD6">
        <w:t xml:space="preserve"> population. </w:t>
      </w:r>
      <w:r w:rsidR="0095529A">
        <w:rPr>
          <w:lang w:val="en"/>
        </w:rPr>
        <w:t xml:space="preserve">In 2013, </w:t>
      </w:r>
      <w:r w:rsidR="007F3139">
        <w:rPr>
          <w:lang w:val="en"/>
        </w:rPr>
        <w:t>approximately one</w:t>
      </w:r>
      <w:r w:rsidR="0095529A">
        <w:rPr>
          <w:lang w:val="en"/>
        </w:rPr>
        <w:t xml:space="preserve"> percent of adolescents aged 12 to 17 (359,000 adolescents) had both </w:t>
      </w:r>
      <w:r w:rsidR="007F3139">
        <w:rPr>
          <w:lang w:val="en"/>
        </w:rPr>
        <w:t>a substance use disorder and a major depressive episode in the past year</w:t>
      </w:r>
      <w:r w:rsidR="0095529A">
        <w:rPr>
          <w:lang w:val="en"/>
        </w:rPr>
        <w:t xml:space="preserve"> (</w:t>
      </w:r>
      <w:r w:rsidR="007F3139">
        <w:rPr>
          <w:lang w:val="en"/>
        </w:rPr>
        <w:t>SAMHSA, 2014b</w:t>
      </w:r>
      <w:r w:rsidR="0095529A">
        <w:rPr>
          <w:lang w:val="en"/>
        </w:rPr>
        <w:t>).</w:t>
      </w:r>
      <w:r w:rsidR="007F3139">
        <w:rPr>
          <w:lang w:val="en"/>
        </w:rPr>
        <w:t xml:space="preserve"> In addition, </w:t>
      </w:r>
      <w:r w:rsidR="007F3139">
        <w:t>i</w:t>
      </w:r>
      <w:r w:rsidR="007F3139">
        <w:rPr>
          <w:lang w:val="en"/>
        </w:rPr>
        <w:t>n 2013</w:t>
      </w:r>
      <w:r w:rsidR="00BC06CD">
        <w:rPr>
          <w:lang w:val="en"/>
        </w:rPr>
        <w:t xml:space="preserve"> </w:t>
      </w:r>
      <w:r w:rsidR="007F3139">
        <w:rPr>
          <w:lang w:val="en"/>
        </w:rPr>
        <w:t xml:space="preserve">among </w:t>
      </w:r>
      <w:r w:rsidR="00BC06CD">
        <w:rPr>
          <w:lang w:val="en"/>
        </w:rPr>
        <w:t>young adults aged 18 to 25 with any mental illness in the past year</w:t>
      </w:r>
      <w:r w:rsidR="007F3139">
        <w:rPr>
          <w:lang w:val="en"/>
        </w:rPr>
        <w:t>, approximately 30 percent</w:t>
      </w:r>
      <w:r w:rsidR="00BC06CD">
        <w:rPr>
          <w:lang w:val="en"/>
        </w:rPr>
        <w:t xml:space="preserve"> also met the criteria for past-year substance use disorder. This percentage was even higher among young adults with serious mental illness</w:t>
      </w:r>
      <w:r w:rsidR="007F3139">
        <w:rPr>
          <w:lang w:val="en"/>
        </w:rPr>
        <w:t xml:space="preserve"> with almost 40 percent meeting the criteria for past–year substance use disorder (</w:t>
      </w:r>
      <w:r w:rsidR="00BC06CD">
        <w:rPr>
          <w:lang w:val="en"/>
        </w:rPr>
        <w:t xml:space="preserve">CBHSQ, 2015). </w:t>
      </w:r>
    </w:p>
    <w:p w14:paraId="3FCDB3C0" w14:textId="7DCDB2BD" w:rsidR="00F669EA" w:rsidRDefault="00F71DDB" w:rsidP="00F669EA">
      <w:pPr>
        <w:pStyle w:val="BodyText"/>
      </w:pPr>
      <w:r>
        <w:t>S</w:t>
      </w:r>
      <w:r w:rsidR="00F669EA" w:rsidRPr="001D3E9C">
        <w:t>ubstance use</w:t>
      </w:r>
      <w:r>
        <w:t xml:space="preserve"> and mental health</w:t>
      </w:r>
      <w:r w:rsidR="00F669EA" w:rsidRPr="001D3E9C">
        <w:t xml:space="preserve"> disorders have a substantial impact on the health and well-being of individuals, their families, and their communities. For example, </w:t>
      </w:r>
      <w:r>
        <w:t>s</w:t>
      </w:r>
      <w:r w:rsidR="00F669EA">
        <w:t xml:space="preserve">tudies show strong links between substance use and decreased ability to learn, deficits in academic performance, increases in </w:t>
      </w:r>
      <w:r w:rsidR="007F3139">
        <w:t xml:space="preserve">school </w:t>
      </w:r>
      <w:r w:rsidR="00F669EA">
        <w:t>truancy and dropping out, involvement in delinquency and perpetration of aggression, depressive and anxiety disorders, and suicide ideation or attempts</w:t>
      </w:r>
      <w:r w:rsidR="00A77E8C">
        <w:t xml:space="preserve"> (e.g., Cox et al., 2007; </w:t>
      </w:r>
      <w:r w:rsidR="00676E3F">
        <w:t>Bryant et al., 2003; Brook et al., 2002; Mason and Windle, 2002; DuRant et al., 1999)</w:t>
      </w:r>
      <w:r w:rsidR="00F669EA">
        <w:t>.</w:t>
      </w:r>
      <w:r>
        <w:t xml:space="preserve"> In addition, </w:t>
      </w:r>
      <w:r w:rsidRPr="001D3E9C">
        <w:t>disruptive and aggressive behavior problems in youth are associated with a host of developmental problems for the perpetrator and victims of such violence (Arseneault et al., 2006).</w:t>
      </w:r>
      <w:r>
        <w:t xml:space="preserve"> </w:t>
      </w:r>
    </w:p>
    <w:p w14:paraId="1619DC16" w14:textId="642360A5" w:rsidR="00DF03E0" w:rsidRDefault="00F669EA" w:rsidP="00F669EA">
      <w:pPr>
        <w:pStyle w:val="BodyText"/>
      </w:pPr>
      <w:r>
        <w:t>E</w:t>
      </w:r>
      <w:r w:rsidR="00BE5A24">
        <w:t xml:space="preserve">ach of the </w:t>
      </w:r>
      <w:r>
        <w:t xml:space="preserve">SYT </w:t>
      </w:r>
      <w:r w:rsidR="00BE5A24">
        <w:t xml:space="preserve">programs helps provide targeted services and </w:t>
      </w:r>
      <w:r w:rsidR="00DE594B">
        <w:t>evidence-</w:t>
      </w:r>
      <w:r w:rsidR="00BE5A24">
        <w:t>based practices</w:t>
      </w:r>
      <w:r w:rsidR="00A9538A">
        <w:t xml:space="preserve"> (EBPs)</w:t>
      </w:r>
      <w:r>
        <w:t xml:space="preserve"> to address the specific needs of adolescents, youth and their families/caregivers. The SYT </w:t>
      </w:r>
      <w:r w:rsidR="00BE5A24">
        <w:t>program</w:t>
      </w:r>
      <w:r>
        <w:t>s</w:t>
      </w:r>
      <w:r w:rsidR="00BE5A24">
        <w:t xml:space="preserve"> </w:t>
      </w:r>
      <w:r>
        <w:t xml:space="preserve">are </w:t>
      </w:r>
      <w:r w:rsidR="00BE5A24">
        <w:t>briefly described below:</w:t>
      </w:r>
    </w:p>
    <w:p w14:paraId="59E3F9BE" w14:textId="0BDD20E5" w:rsidR="00903D77" w:rsidRPr="00427E3F" w:rsidRDefault="00903D77" w:rsidP="00427E3F">
      <w:pPr>
        <w:pStyle w:val="ListBullet"/>
        <w:rPr>
          <w:u w:val="single"/>
        </w:rPr>
      </w:pPr>
      <w:r>
        <w:t xml:space="preserve">2013 SYT-ED grant </w:t>
      </w:r>
      <w:r w:rsidR="00ED745A">
        <w:t>program focuses</w:t>
      </w:r>
      <w:r w:rsidR="002E5878">
        <w:t xml:space="preserve"> on</w:t>
      </w:r>
      <w:r>
        <w:t xml:space="preserve"> </w:t>
      </w:r>
      <w:r w:rsidRPr="00903D77">
        <w:t>development of a comprehensive service system that supports treatment services, infrastructure, and delivery</w:t>
      </w:r>
      <w:r w:rsidR="00A9538A">
        <w:t xml:space="preserve"> of EBPs (assessments and treatments)</w:t>
      </w:r>
      <w:r w:rsidRPr="00903D77">
        <w:t xml:space="preserve"> at the provider level (</w:t>
      </w:r>
      <w:r w:rsidR="002E5878">
        <w:t xml:space="preserve">two </w:t>
      </w:r>
      <w:r w:rsidR="00A9538A">
        <w:t xml:space="preserve">providers </w:t>
      </w:r>
      <w:r w:rsidR="002E5878">
        <w:t>per grantee</w:t>
      </w:r>
      <w:r w:rsidRPr="00903D77">
        <w:t>). Under the SYT-ED initiative, states, territories, and tribes target services for adolescents (aged 12 to 18) and their families</w:t>
      </w:r>
      <w:r w:rsidR="00FD2D6E">
        <w:t xml:space="preserve"> or </w:t>
      </w:r>
      <w:r w:rsidRPr="00903D77">
        <w:t xml:space="preserve">primary caregivers, </w:t>
      </w:r>
      <w:r w:rsidR="007F3139">
        <w:t>for</w:t>
      </w:r>
      <w:r w:rsidRPr="00903D77">
        <w:t xml:space="preserve"> transitional aged youth (aged 18 to 24) and their families</w:t>
      </w:r>
      <w:r w:rsidR="00FD2D6E">
        <w:t xml:space="preserve"> or </w:t>
      </w:r>
      <w:r w:rsidRPr="00903D77">
        <w:t xml:space="preserve">primary caregivers, or both. </w:t>
      </w:r>
    </w:p>
    <w:p w14:paraId="19F0CE16" w14:textId="3D43B12E" w:rsidR="00C739DC" w:rsidRDefault="00C739DC" w:rsidP="00427E3F">
      <w:pPr>
        <w:pStyle w:val="ListBullet"/>
      </w:pPr>
      <w:r w:rsidRPr="00F85F88">
        <w:t>2015</w:t>
      </w:r>
      <w:r w:rsidR="00210734">
        <w:t xml:space="preserve"> and 2016</w:t>
      </w:r>
      <w:r w:rsidRPr="00F85F88">
        <w:t xml:space="preserve"> SYT-I grant program</w:t>
      </w:r>
      <w:r w:rsidR="00210734">
        <w:t>s</w:t>
      </w:r>
      <w:r w:rsidRPr="00F85F88">
        <w:t xml:space="preserve"> expands on the earlier </w:t>
      </w:r>
      <w:r w:rsidR="00151CCC">
        <w:t xml:space="preserve">SAT-ED and </w:t>
      </w:r>
      <w:r w:rsidRPr="00F85F88">
        <w:t>SYT</w:t>
      </w:r>
      <w:r w:rsidR="00151CCC">
        <w:t>-ED</w:t>
      </w:r>
      <w:r w:rsidRPr="00F85F88">
        <w:t xml:space="preserve"> grant cohorts by continuing to fund a combination of infrastructure improvement and direct treatment service delivery.</w:t>
      </w:r>
      <w:r w:rsidR="00207E4C">
        <w:t xml:space="preserve"> </w:t>
      </w:r>
      <w:r w:rsidRPr="00F85F88">
        <w:t>These grants are designed to bring together stakeholders across the systems serving the population of focus to strengthen an existing coordinated network. The SYT-I projects are to serve as an example to be replicated</w:t>
      </w:r>
      <w:r w:rsidR="00FD2D6E">
        <w:t>—</w:t>
      </w:r>
      <w:r w:rsidRPr="00F85F88">
        <w:t>projects are</w:t>
      </w:r>
      <w:r w:rsidR="00DA5B90" w:rsidRPr="00F85F88">
        <w:t xml:space="preserve"> expect</w:t>
      </w:r>
      <w:r w:rsidR="00FD2D6E">
        <w:t>ed</w:t>
      </w:r>
      <w:r w:rsidR="00DA5B90" w:rsidRPr="00F85F88">
        <w:t xml:space="preserve"> to implement successful EBPs</w:t>
      </w:r>
      <w:r w:rsidR="00A9538A">
        <w:t xml:space="preserve"> (assessments and treatments) at four pilot </w:t>
      </w:r>
      <w:r w:rsidR="007F3139">
        <w:t xml:space="preserve">provider </w:t>
      </w:r>
      <w:r w:rsidR="00A9538A">
        <w:t>sites</w:t>
      </w:r>
      <w:r w:rsidR="00DA5B90" w:rsidRPr="00F85F88">
        <w:t xml:space="preserve"> </w:t>
      </w:r>
      <w:r w:rsidR="00FD2D6E">
        <w:t>that</w:t>
      </w:r>
      <w:r w:rsidRPr="00F85F88">
        <w:t xml:space="preserve"> address the needs of the population of focus. The population of focus includes adolescents and transitional aged youth; grantee projects </w:t>
      </w:r>
      <w:r w:rsidR="00A9538A">
        <w:t xml:space="preserve">also </w:t>
      </w:r>
      <w:r w:rsidRPr="00F85F88">
        <w:t>may choose to provide supportive services to their families</w:t>
      </w:r>
      <w:r w:rsidR="00FD2D6E">
        <w:t xml:space="preserve"> or </w:t>
      </w:r>
      <w:r w:rsidR="00FD448C" w:rsidRPr="00F85F88">
        <w:t>primary caregivers</w:t>
      </w:r>
      <w:r w:rsidRPr="00F85F88">
        <w:t>.</w:t>
      </w:r>
    </w:p>
    <w:p w14:paraId="68F56317" w14:textId="68F11031" w:rsidR="002E5878" w:rsidRPr="00F85F88" w:rsidRDefault="002E5878" w:rsidP="00ED745A">
      <w:pPr>
        <w:pStyle w:val="ListBullet"/>
      </w:pPr>
      <w:r>
        <w:lastRenderedPageBreak/>
        <w:t xml:space="preserve">2015 SYT-P grant program focuses on </w:t>
      </w:r>
      <w:r w:rsidR="00F617EA">
        <w:t xml:space="preserve">the development of a comprehensive strategic plan by states/territories/tribes to improve treatment for adolescents with substance use disorders and/or mental </w:t>
      </w:r>
      <w:r w:rsidR="007F3139">
        <w:t xml:space="preserve">health </w:t>
      </w:r>
      <w:r w:rsidR="00F617EA">
        <w:t>disorders.</w:t>
      </w:r>
      <w:r w:rsidR="00F44863">
        <w:t xml:space="preserve"> The main goal of the plan is to strengthen the existing infrastructure system to help assure that youth have access to evidence-based assessments and treatment models </w:t>
      </w:r>
      <w:r w:rsidR="00A9538A">
        <w:t>as well as</w:t>
      </w:r>
      <w:r w:rsidR="00F44863">
        <w:t xml:space="preserve"> recovery</w:t>
      </w:r>
      <w:r w:rsidR="00A9538A">
        <w:t xml:space="preserve"> support services</w:t>
      </w:r>
      <w:r w:rsidR="00F44863">
        <w:t xml:space="preserve">. SYT-P is an infrastructure grant and does not include funds for the provision of direct treatment services. </w:t>
      </w:r>
    </w:p>
    <w:p w14:paraId="1CEACBC0" w14:textId="15F5AE70" w:rsidR="0074684D" w:rsidRDefault="0074684D" w:rsidP="00427E3F">
      <w:pPr>
        <w:pStyle w:val="Heading3"/>
      </w:pPr>
      <w:r w:rsidRPr="0074684D">
        <w:t>Youth</w:t>
      </w:r>
      <w:r w:rsidR="000A2D27">
        <w:t xml:space="preserve"> Program’s</w:t>
      </w:r>
      <w:r w:rsidRPr="0074684D">
        <w:t xml:space="preserve"> </w:t>
      </w:r>
      <w:r w:rsidR="000A2D27">
        <w:t xml:space="preserve">Evaluation </w:t>
      </w:r>
    </w:p>
    <w:p w14:paraId="2268F9D7" w14:textId="4558335A" w:rsidR="00AD26A8" w:rsidRPr="00FD448C" w:rsidRDefault="0074684D" w:rsidP="00506955">
      <w:pPr>
        <w:pStyle w:val="BodyText"/>
        <w:rPr>
          <w:sz w:val="23"/>
          <w:szCs w:val="23"/>
        </w:rPr>
      </w:pPr>
      <w:r w:rsidRPr="00C223F9">
        <w:t>The evaluation contractor has been tasked with conducting a cross-program, multi-site evaluation of SAMHSA’s</w:t>
      </w:r>
      <w:r>
        <w:t xml:space="preserve"> Youth </w:t>
      </w:r>
      <w:r w:rsidR="00A9538A">
        <w:t xml:space="preserve">substance abuse treatment </w:t>
      </w:r>
      <w:r>
        <w:t xml:space="preserve">programs over a </w:t>
      </w:r>
      <w:r w:rsidR="00FD2D6E">
        <w:t>5</w:t>
      </w:r>
      <w:r>
        <w:t xml:space="preserve">-year period. This project will provide a comprehensive look at the </w:t>
      </w:r>
      <w:r>
        <w:rPr>
          <w:sz w:val="23"/>
          <w:szCs w:val="23"/>
        </w:rPr>
        <w:t>SAT-ED, SYT-ED,</w:t>
      </w:r>
      <w:r w:rsidR="00FD448C">
        <w:rPr>
          <w:sz w:val="23"/>
          <w:szCs w:val="23"/>
        </w:rPr>
        <w:t xml:space="preserve"> SYT-I</w:t>
      </w:r>
      <w:r w:rsidR="00FD2D6E">
        <w:rPr>
          <w:sz w:val="23"/>
          <w:szCs w:val="23"/>
        </w:rPr>
        <w:t>,</w:t>
      </w:r>
      <w:r w:rsidR="00566794">
        <w:rPr>
          <w:sz w:val="23"/>
          <w:szCs w:val="23"/>
        </w:rPr>
        <w:t xml:space="preserve"> </w:t>
      </w:r>
      <w:r w:rsidR="00A9538A">
        <w:rPr>
          <w:sz w:val="23"/>
          <w:szCs w:val="23"/>
        </w:rPr>
        <w:t xml:space="preserve">and SYT-P </w:t>
      </w:r>
      <w:r>
        <w:rPr>
          <w:sz w:val="23"/>
          <w:szCs w:val="23"/>
        </w:rPr>
        <w:t>programs by conducting three interrelated evaluation efforts: process evaluation, an outcome evaluati</w:t>
      </w:r>
      <w:r w:rsidR="00FD448C">
        <w:rPr>
          <w:sz w:val="23"/>
          <w:szCs w:val="23"/>
        </w:rPr>
        <w:t xml:space="preserve">on, and an economic evaluation. The </w:t>
      </w:r>
      <w:r w:rsidR="00B12DE4">
        <w:rPr>
          <w:sz w:val="23"/>
          <w:szCs w:val="23"/>
        </w:rPr>
        <w:t>2012 SAT-ED cohort</w:t>
      </w:r>
      <w:r w:rsidR="00FD448C">
        <w:rPr>
          <w:sz w:val="23"/>
          <w:szCs w:val="23"/>
        </w:rPr>
        <w:t xml:space="preserve"> </w:t>
      </w:r>
      <w:r w:rsidR="00A9538A">
        <w:rPr>
          <w:sz w:val="23"/>
          <w:szCs w:val="23"/>
        </w:rPr>
        <w:t>is</w:t>
      </w:r>
      <w:r w:rsidR="00FD448C">
        <w:rPr>
          <w:sz w:val="23"/>
          <w:szCs w:val="23"/>
        </w:rPr>
        <w:t xml:space="preserve"> included in the overall evaluation but will not participate in the </w:t>
      </w:r>
      <w:r w:rsidR="00832E37">
        <w:rPr>
          <w:i/>
          <w:iCs/>
          <w:sz w:val="23"/>
          <w:szCs w:val="23"/>
        </w:rPr>
        <w:t xml:space="preserve">Implementation, Sustainability, </w:t>
      </w:r>
      <w:r w:rsidR="00832E37" w:rsidRPr="004C2114">
        <w:rPr>
          <w:iCs/>
          <w:sz w:val="23"/>
          <w:szCs w:val="23"/>
        </w:rPr>
        <w:t>and</w:t>
      </w:r>
      <w:r w:rsidR="00832E37">
        <w:rPr>
          <w:i/>
          <w:iCs/>
          <w:sz w:val="23"/>
          <w:szCs w:val="23"/>
        </w:rPr>
        <w:t xml:space="preserve"> Stakeholder Interview Guides</w:t>
      </w:r>
      <w:r w:rsidR="00506955" w:rsidRPr="00FD26E2">
        <w:rPr>
          <w:i/>
          <w:sz w:val="23"/>
          <w:szCs w:val="23"/>
        </w:rPr>
        <w:t xml:space="preserve">, </w:t>
      </w:r>
      <w:r w:rsidR="00FD26E2" w:rsidRPr="00FD26E2">
        <w:rPr>
          <w:i/>
          <w:iCs/>
          <w:sz w:val="23"/>
          <w:szCs w:val="23"/>
        </w:rPr>
        <w:t>Provider S</w:t>
      </w:r>
      <w:r w:rsidR="005514C5" w:rsidRPr="00FD26E2">
        <w:rPr>
          <w:i/>
          <w:iCs/>
          <w:sz w:val="23"/>
          <w:szCs w:val="23"/>
        </w:rPr>
        <w:t>urvey</w:t>
      </w:r>
      <w:r w:rsidR="00E8510E">
        <w:rPr>
          <w:i/>
          <w:iCs/>
          <w:sz w:val="23"/>
          <w:szCs w:val="23"/>
        </w:rPr>
        <w:t>,</w:t>
      </w:r>
      <w:r w:rsidR="00FD448C" w:rsidRPr="00FD26E2">
        <w:rPr>
          <w:i/>
          <w:iCs/>
          <w:sz w:val="23"/>
          <w:szCs w:val="23"/>
        </w:rPr>
        <w:t xml:space="preserve"> </w:t>
      </w:r>
      <w:r w:rsidR="00506955" w:rsidRPr="00E8510E">
        <w:rPr>
          <w:sz w:val="23"/>
          <w:szCs w:val="23"/>
        </w:rPr>
        <w:t>and</w:t>
      </w:r>
      <w:r w:rsidR="00506955" w:rsidRPr="00FD26E2">
        <w:rPr>
          <w:i/>
          <w:sz w:val="23"/>
          <w:szCs w:val="23"/>
        </w:rPr>
        <w:t xml:space="preserve"> </w:t>
      </w:r>
      <w:r w:rsidR="00FD26E2" w:rsidRPr="00FD26E2">
        <w:rPr>
          <w:i/>
          <w:iCs/>
          <w:sz w:val="23"/>
          <w:szCs w:val="23"/>
        </w:rPr>
        <w:t>Focus Group G</w:t>
      </w:r>
      <w:r w:rsidR="005514C5" w:rsidRPr="00FD26E2">
        <w:rPr>
          <w:i/>
          <w:iCs/>
          <w:sz w:val="23"/>
          <w:szCs w:val="23"/>
        </w:rPr>
        <w:t>uide</w:t>
      </w:r>
      <w:r w:rsidR="00506955">
        <w:rPr>
          <w:i/>
          <w:iCs/>
          <w:sz w:val="23"/>
          <w:szCs w:val="23"/>
        </w:rPr>
        <w:t xml:space="preserve"> </w:t>
      </w:r>
      <w:r w:rsidR="00FD448C">
        <w:rPr>
          <w:sz w:val="23"/>
          <w:szCs w:val="23"/>
        </w:rPr>
        <w:t>described in this request.</w:t>
      </w:r>
    </w:p>
    <w:p w14:paraId="69CEF74A" w14:textId="77777777" w:rsidR="00CA6E26" w:rsidRDefault="00CA6E26" w:rsidP="00CA6E26">
      <w:pPr>
        <w:pStyle w:val="Heading2"/>
        <w:spacing w:before="0"/>
      </w:pPr>
      <w:bookmarkStart w:id="6" w:name="_Toc211747128"/>
      <w:r>
        <w:t>2.</w:t>
      </w:r>
      <w:r>
        <w:tab/>
      </w:r>
      <w:r w:rsidRPr="00633198">
        <w:rPr>
          <w:u w:val="single"/>
        </w:rPr>
        <w:t>Purpose and Use of Information</w:t>
      </w:r>
      <w:bookmarkEnd w:id="6"/>
    </w:p>
    <w:p w14:paraId="43F1D3E2" w14:textId="206EDBD7" w:rsidR="00F559EA" w:rsidRDefault="00F559EA" w:rsidP="00506955">
      <w:pPr>
        <w:pStyle w:val="BodyText"/>
      </w:pPr>
      <w:r>
        <w:t xml:space="preserve">The </w:t>
      </w:r>
      <w:r w:rsidR="00832E37">
        <w:rPr>
          <w:i/>
          <w:iCs/>
          <w:sz w:val="23"/>
          <w:szCs w:val="23"/>
        </w:rPr>
        <w:t xml:space="preserve">Implementation, Sustainability, </w:t>
      </w:r>
      <w:r w:rsidR="00832E37" w:rsidRPr="004C2114">
        <w:rPr>
          <w:iCs/>
          <w:sz w:val="23"/>
          <w:szCs w:val="23"/>
        </w:rPr>
        <w:t>and</w:t>
      </w:r>
      <w:r w:rsidR="00832E37">
        <w:rPr>
          <w:i/>
          <w:iCs/>
          <w:sz w:val="23"/>
          <w:szCs w:val="23"/>
        </w:rPr>
        <w:t xml:space="preserve"> Stakeholder Interview Guides</w:t>
      </w:r>
      <w:r w:rsidR="00FD26E2" w:rsidRPr="00FD26E2">
        <w:rPr>
          <w:i/>
          <w:sz w:val="23"/>
          <w:szCs w:val="23"/>
        </w:rPr>
        <w:t xml:space="preserve">, </w:t>
      </w:r>
      <w:r w:rsidR="00FD26E2" w:rsidRPr="00FD26E2">
        <w:rPr>
          <w:i/>
          <w:iCs/>
          <w:sz w:val="23"/>
          <w:szCs w:val="23"/>
        </w:rPr>
        <w:t>Provider Survey</w:t>
      </w:r>
      <w:r w:rsidR="00E8510E">
        <w:rPr>
          <w:i/>
          <w:iCs/>
          <w:sz w:val="23"/>
          <w:szCs w:val="23"/>
        </w:rPr>
        <w:t>,</w:t>
      </w:r>
      <w:r w:rsidR="00FD26E2" w:rsidRPr="00FD26E2">
        <w:rPr>
          <w:i/>
          <w:iCs/>
          <w:sz w:val="23"/>
          <w:szCs w:val="23"/>
        </w:rPr>
        <w:t xml:space="preserve"> </w:t>
      </w:r>
      <w:r w:rsidR="00FD26E2" w:rsidRPr="00E8510E">
        <w:rPr>
          <w:sz w:val="23"/>
          <w:szCs w:val="23"/>
        </w:rPr>
        <w:t>and</w:t>
      </w:r>
      <w:r w:rsidR="00FD26E2" w:rsidRPr="00FD26E2">
        <w:rPr>
          <w:i/>
          <w:sz w:val="23"/>
          <w:szCs w:val="23"/>
        </w:rPr>
        <w:t xml:space="preserve"> </w:t>
      </w:r>
      <w:r w:rsidR="003E49DF">
        <w:rPr>
          <w:i/>
          <w:iCs/>
          <w:sz w:val="23"/>
          <w:szCs w:val="23"/>
        </w:rPr>
        <w:t>Focus Group Guide</w:t>
      </w:r>
      <w:r w:rsidR="00FD26E2">
        <w:rPr>
          <w:i/>
          <w:iCs/>
          <w:sz w:val="23"/>
          <w:szCs w:val="23"/>
        </w:rPr>
        <w:t xml:space="preserve"> </w:t>
      </w:r>
      <w:r>
        <w:t xml:space="preserve">are key components in the cross-site evaluation design for </w:t>
      </w:r>
      <w:r w:rsidR="00ED745A">
        <w:t>the SYT</w:t>
      </w:r>
      <w:r w:rsidR="00161260">
        <w:t xml:space="preserve"> </w:t>
      </w:r>
      <w:r>
        <w:t xml:space="preserve">programs. The evaluation design consists of </w:t>
      </w:r>
      <w:r w:rsidRPr="00F559EA">
        <w:t>three interrelated evaluation efforts: a process evaluation, an outcome evaluation, and an economic evaluation. Each of these three evaluation types occurs at multiple levels—grantee, provider, and</w:t>
      </w:r>
      <w:r w:rsidR="00A95FA1">
        <w:t xml:space="preserve"> </w:t>
      </w:r>
      <w:r w:rsidRPr="00F559EA">
        <w:t>client—and supports the evaluation/analytic questions</w:t>
      </w:r>
      <w:r w:rsidR="00633A9C">
        <w:t xml:space="preserve"> (</w:t>
      </w:r>
      <w:r w:rsidR="00633A9C" w:rsidRPr="001E3054">
        <w:t>see Attachment 1</w:t>
      </w:r>
      <w:r w:rsidR="00D23E19" w:rsidRPr="001E3054">
        <w:t xml:space="preserve"> for relevant evaluation questions</w:t>
      </w:r>
      <w:r w:rsidR="00633A9C" w:rsidRPr="00720818">
        <w:t>)</w:t>
      </w:r>
      <w:r w:rsidRPr="00720818">
        <w:t xml:space="preserve"> and</w:t>
      </w:r>
      <w:r w:rsidRPr="00F559EA">
        <w:t xml:space="preserve"> tasks that have been identified as priorities for these programs.</w:t>
      </w:r>
      <w:r>
        <w:t xml:space="preserve"> </w:t>
      </w:r>
    </w:p>
    <w:p w14:paraId="39D0AB86" w14:textId="2BEB7C13" w:rsidR="00F559EA" w:rsidRDefault="005A69BD" w:rsidP="00427E3F">
      <w:pPr>
        <w:pStyle w:val="BodyText"/>
      </w:pPr>
      <w:r>
        <w:t>D</w:t>
      </w:r>
      <w:r w:rsidR="00F559EA">
        <w:t xml:space="preserve">ata collection efforts will directly provide qualitative and quantitative data for the process evaluation. </w:t>
      </w:r>
      <w:r w:rsidR="00F559EA" w:rsidRPr="00F559EA">
        <w:t>The process evaluation component serves the critical role of establishing the overall evaluation’s context and consequently aids in the interpretation of its findings. It focuses on describing the content of the grantees’ programs and their underlying logic models.</w:t>
      </w:r>
      <w:r w:rsidR="00F559EA">
        <w:t xml:space="preserve"> This contextual information then informs both the outcome and economic evaluations. </w:t>
      </w:r>
    </w:p>
    <w:p w14:paraId="611BDD83" w14:textId="0DAF35E0" w:rsidR="00CA6E26" w:rsidRDefault="00F559EA" w:rsidP="00427E3F">
      <w:pPr>
        <w:pStyle w:val="BodyText"/>
      </w:pPr>
      <w:r w:rsidRPr="00F559EA">
        <w:t xml:space="preserve">The outcome evaluation provides information on the impact that the programs had toward achieving their objectives </w:t>
      </w:r>
      <w:r w:rsidR="00207E4C">
        <w:t>and</w:t>
      </w:r>
      <w:r w:rsidRPr="00F559EA">
        <w:t xml:space="preserve"> on client and family treatment outcomes. The economic evaluation provides information on the resource needs and associated costs of implementing the programs </w:t>
      </w:r>
      <w:r w:rsidR="00207E4C">
        <w:t>and</w:t>
      </w:r>
      <w:r w:rsidRPr="00F559EA">
        <w:t xml:space="preserve"> information on how the programs (or components of the programs) may be sustained after SAMHSA funding has ended. Combined, these three evaluations will provide a comprehensive picture of how </w:t>
      </w:r>
      <w:r w:rsidR="00ED745A" w:rsidRPr="00F559EA">
        <w:t xml:space="preserve">the </w:t>
      </w:r>
      <w:r w:rsidR="00ED745A">
        <w:t>SYT</w:t>
      </w:r>
      <w:r w:rsidR="006E0D6B">
        <w:t xml:space="preserve"> </w:t>
      </w:r>
      <w:r w:rsidRPr="00F559EA">
        <w:t>programs were implemented; their effect on grantees/treatment systems, providers, and clients; and what value the programs provided.</w:t>
      </w:r>
      <w:r w:rsidR="003E6D66">
        <w:t xml:space="preserve"> Additional detail on the overall evaluation methodology, design and analysis plans for the evaluation, telephone interviews and provider survey are included in Section A16.</w:t>
      </w:r>
    </w:p>
    <w:p w14:paraId="5880744B" w14:textId="77777777" w:rsidR="00FD20B1" w:rsidRPr="00FD20B1" w:rsidRDefault="00F34F5F" w:rsidP="00427E3F">
      <w:pPr>
        <w:pStyle w:val="Heading4"/>
        <w:rPr>
          <w:i w:val="0"/>
          <w:iCs w:val="0"/>
          <w:u w:val="single"/>
        </w:rPr>
      </w:pPr>
      <w:r w:rsidRPr="00FD20B1">
        <w:rPr>
          <w:i w:val="0"/>
          <w:iCs w:val="0"/>
          <w:u w:val="single"/>
        </w:rPr>
        <w:lastRenderedPageBreak/>
        <w:t xml:space="preserve">Measures Collected Through the </w:t>
      </w:r>
      <w:r w:rsidR="003E6D66" w:rsidRPr="00FD20B1">
        <w:rPr>
          <w:i w:val="0"/>
          <w:iCs w:val="0"/>
          <w:u w:val="single"/>
        </w:rPr>
        <w:t>Evaluation</w:t>
      </w:r>
    </w:p>
    <w:p w14:paraId="150EDF05" w14:textId="782CF026" w:rsidR="00F07288" w:rsidRPr="00DB476A" w:rsidRDefault="003E6D66" w:rsidP="00506955">
      <w:pPr>
        <w:pStyle w:val="Heading4"/>
      </w:pPr>
      <w:r w:rsidRPr="00DB476A">
        <w:t xml:space="preserve"> </w:t>
      </w:r>
      <w:r w:rsidR="00832E37">
        <w:t>Implementation, Sustainability, and Stakeholder Interview Guides</w:t>
      </w:r>
      <w:r w:rsidR="005A69BD">
        <w:t>--Overview</w:t>
      </w:r>
      <w:r w:rsidR="00F07288" w:rsidRPr="00DB476A">
        <w:t xml:space="preserve"> </w:t>
      </w:r>
    </w:p>
    <w:p w14:paraId="116ABD0E" w14:textId="1C71DA3F" w:rsidR="00506955" w:rsidRDefault="00F07288" w:rsidP="005C483C">
      <w:pPr>
        <w:pStyle w:val="BodyText"/>
      </w:pPr>
      <w:r>
        <w:t>The SYT-ED, SYT-I</w:t>
      </w:r>
      <w:r w:rsidR="006E0D6B">
        <w:t>, and SYT-P</w:t>
      </w:r>
      <w:r w:rsidR="00FD26E2">
        <w:t xml:space="preserve"> </w:t>
      </w:r>
      <w:r w:rsidR="00832E37">
        <w:rPr>
          <w:i/>
        </w:rPr>
        <w:t xml:space="preserve">Implementation, Sustainability, </w:t>
      </w:r>
      <w:r w:rsidR="00832E37" w:rsidRPr="00A95FA1">
        <w:t>and</w:t>
      </w:r>
      <w:r w:rsidR="00832E37">
        <w:rPr>
          <w:i/>
        </w:rPr>
        <w:t xml:space="preserve"> Stakeholder Interview Guides</w:t>
      </w:r>
      <w:r>
        <w:t xml:space="preserve"> are semi-structured interviews designed to systematically collect data on i</w:t>
      </w:r>
      <w:r w:rsidRPr="00002095">
        <w:t>nformation related to program implementation facilitators and barriers, infrastructure development, factors related to sustainability, and performance that will inform ongoing recommendations to improve program</w:t>
      </w:r>
      <w:r>
        <w:t xml:space="preserve"> performance and administration.</w:t>
      </w:r>
      <w:r w:rsidR="00207E4C">
        <w:t xml:space="preserve"> </w:t>
      </w:r>
      <w:r w:rsidR="00FD26E2">
        <w:t xml:space="preserve">These </w:t>
      </w:r>
      <w:r w:rsidR="00832E37">
        <w:rPr>
          <w:i/>
        </w:rPr>
        <w:t xml:space="preserve">Implementation, Sustainability, </w:t>
      </w:r>
      <w:r w:rsidR="00832E37" w:rsidRPr="004C2114">
        <w:t>and</w:t>
      </w:r>
      <w:r w:rsidR="00832E37">
        <w:rPr>
          <w:i/>
        </w:rPr>
        <w:t xml:space="preserve"> Stakeholder Interview Guides</w:t>
      </w:r>
      <w:r>
        <w:t xml:space="preserve"> were </w:t>
      </w:r>
      <w:r w:rsidR="00D46C0A">
        <w:t xml:space="preserve">informed by interview </w:t>
      </w:r>
      <w:r w:rsidR="005514C5">
        <w:t>guide</w:t>
      </w:r>
      <w:r w:rsidR="00A80B24" w:rsidRPr="0066749B">
        <w:t xml:space="preserve">s </w:t>
      </w:r>
      <w:r w:rsidR="00D8599B">
        <w:t xml:space="preserve">that were </w:t>
      </w:r>
      <w:r w:rsidR="00A80B24" w:rsidRPr="0066749B">
        <w:t xml:space="preserve">used successfully </w:t>
      </w:r>
      <w:r w:rsidR="00D46C0A" w:rsidRPr="0066749B">
        <w:t xml:space="preserve">in other evaluations including the </w:t>
      </w:r>
      <w:r w:rsidR="005A69BD">
        <w:t xml:space="preserve">SAMHSA </w:t>
      </w:r>
      <w:r w:rsidR="00D46C0A" w:rsidRPr="0066749B">
        <w:t xml:space="preserve">Access to Recovery Evaluation, </w:t>
      </w:r>
      <w:r w:rsidR="00D8599B">
        <w:t>the Office of the Assistant Secretary for Planning and Evaluation (</w:t>
      </w:r>
      <w:r w:rsidR="00D46C0A" w:rsidRPr="0066749B">
        <w:t>ASPE</w:t>
      </w:r>
      <w:r w:rsidR="00D8599B">
        <w:t>)</w:t>
      </w:r>
      <w:r w:rsidR="00D46C0A" w:rsidRPr="0066749B">
        <w:t xml:space="preserve"> Medicaid Expansion Evaluation, and the</w:t>
      </w:r>
      <w:r w:rsidR="005A69BD">
        <w:t xml:space="preserve"> SAMHSA</w:t>
      </w:r>
      <w:r w:rsidR="00D46C0A" w:rsidRPr="0066749B">
        <w:t xml:space="preserve"> Homeless Programs Evaluations.</w:t>
      </w:r>
      <w:r w:rsidR="00D46C0A">
        <w:rPr>
          <w:color w:val="FF0000"/>
        </w:rPr>
        <w:t xml:space="preserve"> </w:t>
      </w:r>
    </w:p>
    <w:p w14:paraId="12363169" w14:textId="0F434B5E" w:rsidR="002C1027" w:rsidRDefault="005514C5" w:rsidP="002C1027">
      <w:pPr>
        <w:pStyle w:val="BodyText"/>
      </w:pPr>
      <w:r>
        <w:t xml:space="preserve">Interviews will be conducted in </w:t>
      </w:r>
      <w:r w:rsidR="00506955">
        <w:t xml:space="preserve">person on site visits for </w:t>
      </w:r>
      <w:r w:rsidR="005A69BD">
        <w:t>five</w:t>
      </w:r>
      <w:r w:rsidR="00506955">
        <w:t xml:space="preserve"> SYT grantees while all other grantees will complete interviews </w:t>
      </w:r>
      <w:r w:rsidR="005A69BD">
        <w:t>via telephone on tele</w:t>
      </w:r>
      <w:r w:rsidR="00506955">
        <w:t>conference</w:t>
      </w:r>
      <w:r w:rsidR="005C483C">
        <w:t>s hosted by the evaluation team. These interviews</w:t>
      </w:r>
      <w:r w:rsidR="005A69BD">
        <w:t>, both in</w:t>
      </w:r>
      <w:r>
        <w:t xml:space="preserve"> </w:t>
      </w:r>
      <w:r w:rsidR="005A69BD">
        <w:t>person and by telephone,</w:t>
      </w:r>
      <w:r w:rsidR="005C483C">
        <w:t xml:space="preserve"> are estimated to take approximately 1 hour</w:t>
      </w:r>
      <w:r w:rsidR="002C1027">
        <w:t xml:space="preserve"> </w:t>
      </w:r>
      <w:r w:rsidR="005A69BD">
        <w:t>each</w:t>
      </w:r>
      <w:r w:rsidR="005C483C">
        <w:t xml:space="preserve">. </w:t>
      </w:r>
    </w:p>
    <w:p w14:paraId="51AAB4EF" w14:textId="50F81575" w:rsidR="00F07288" w:rsidRPr="004D0FC2" w:rsidRDefault="005C483C" w:rsidP="00832E37">
      <w:pPr>
        <w:pStyle w:val="BodyText"/>
      </w:pPr>
      <w:r>
        <w:t>Grantee</w:t>
      </w:r>
      <w:r w:rsidR="00622401">
        <w:t>s</w:t>
      </w:r>
      <w:r>
        <w:t xml:space="preserve"> and </w:t>
      </w:r>
      <w:r w:rsidR="005A69BD">
        <w:t xml:space="preserve">their pilot site </w:t>
      </w:r>
      <w:r>
        <w:t xml:space="preserve">providers will be asked to participate in an interview annually while their program is active. </w:t>
      </w:r>
      <w:r w:rsidR="005A69BD">
        <w:t>They</w:t>
      </w:r>
      <w:r>
        <w:t xml:space="preserve"> will be asked to complete the implementation interview annual</w:t>
      </w:r>
      <w:r w:rsidR="00622401">
        <w:t>ly</w:t>
      </w:r>
      <w:r>
        <w:t xml:space="preserve"> until the last year of the grant program when they will be asked to complete the sustainability interview.</w:t>
      </w:r>
      <w:r w:rsidR="002C1027" w:rsidRPr="002C1027">
        <w:t xml:space="preserve"> </w:t>
      </w:r>
      <w:r w:rsidR="002C1027">
        <w:t xml:space="preserve">The </w:t>
      </w:r>
      <w:r w:rsidR="00720818">
        <w:t xml:space="preserve">grantees </w:t>
      </w:r>
      <w:r w:rsidR="002C1027">
        <w:t>selected for site visits will only be visited once</w:t>
      </w:r>
      <w:r w:rsidR="00622401">
        <w:t>, during which</w:t>
      </w:r>
      <w:r w:rsidR="002C1027">
        <w:t xml:space="preserve"> the </w:t>
      </w:r>
      <w:r w:rsidR="005A69BD">
        <w:t xml:space="preserve">initial </w:t>
      </w:r>
      <w:r w:rsidR="00FD26E2" w:rsidRPr="00FD26E2">
        <w:rPr>
          <w:i/>
        </w:rPr>
        <w:t>I</w:t>
      </w:r>
      <w:r w:rsidR="002C1027" w:rsidRPr="00FD26E2">
        <w:rPr>
          <w:i/>
        </w:rPr>
        <w:t xml:space="preserve">mplementation </w:t>
      </w:r>
      <w:r w:rsidR="002C1027" w:rsidRPr="00A95FA1">
        <w:t>and</w:t>
      </w:r>
      <w:r w:rsidR="002C1027" w:rsidRPr="00FD26E2">
        <w:rPr>
          <w:i/>
        </w:rPr>
        <w:t xml:space="preserve"> </w:t>
      </w:r>
      <w:r w:rsidR="00FD26E2" w:rsidRPr="00FD26E2">
        <w:rPr>
          <w:i/>
        </w:rPr>
        <w:t xml:space="preserve">Stakeholder </w:t>
      </w:r>
      <w:r w:rsidR="00832E37">
        <w:rPr>
          <w:i/>
        </w:rPr>
        <w:t>Interview Guides</w:t>
      </w:r>
      <w:r w:rsidR="00FD26E2">
        <w:t xml:space="preserve"> </w:t>
      </w:r>
      <w:r w:rsidR="007536AB">
        <w:t>will be completed.</w:t>
      </w:r>
      <w:r w:rsidR="00622401">
        <w:t xml:space="preserve"> </w:t>
      </w:r>
      <w:r w:rsidR="00832E37">
        <w:t xml:space="preserve">The </w:t>
      </w:r>
      <w:r w:rsidR="00FD26E2" w:rsidRPr="00FD26E2">
        <w:rPr>
          <w:i/>
        </w:rPr>
        <w:t xml:space="preserve">Sustainability </w:t>
      </w:r>
      <w:r w:rsidR="00832E37">
        <w:rPr>
          <w:i/>
        </w:rPr>
        <w:t>Interview Guide</w:t>
      </w:r>
      <w:r w:rsidR="002C1027">
        <w:t xml:space="preserve"> w</w:t>
      </w:r>
      <w:r w:rsidR="00622401">
        <w:t>ill</w:t>
      </w:r>
      <w:r w:rsidR="002C1027">
        <w:t xml:space="preserve"> be </w:t>
      </w:r>
      <w:r w:rsidR="00D055C7">
        <w:t>administered</w:t>
      </w:r>
      <w:r w:rsidR="002C1027">
        <w:t xml:space="preserve"> </w:t>
      </w:r>
      <w:r w:rsidR="005A69BD">
        <w:t>by tele</w:t>
      </w:r>
      <w:r w:rsidR="002C1027">
        <w:t xml:space="preserve">phone in the </w:t>
      </w:r>
      <w:r w:rsidR="005A69BD">
        <w:t>last</w:t>
      </w:r>
      <w:r w:rsidR="002C1027">
        <w:t xml:space="preserve"> year</w:t>
      </w:r>
      <w:r w:rsidR="005A69BD">
        <w:t xml:space="preserve"> of their grant program</w:t>
      </w:r>
      <w:r w:rsidR="002C1027">
        <w:t>.</w:t>
      </w:r>
    </w:p>
    <w:p w14:paraId="2754583E" w14:textId="5FB39936" w:rsidR="00F07288" w:rsidRDefault="00F07288" w:rsidP="00832E37">
      <w:pPr>
        <w:pStyle w:val="Heading4"/>
      </w:pPr>
      <w:r>
        <w:t xml:space="preserve">Implementation </w:t>
      </w:r>
      <w:r w:rsidR="00832E37">
        <w:t>Interview Guide</w:t>
      </w:r>
    </w:p>
    <w:p w14:paraId="04D52554" w14:textId="589F7F92" w:rsidR="00F07288" w:rsidRPr="00583FC4" w:rsidRDefault="00F07288" w:rsidP="00DA0B2A">
      <w:pPr>
        <w:pStyle w:val="BodyText"/>
      </w:pPr>
      <w:r>
        <w:t xml:space="preserve">All grantees and provider sites involved in the </w:t>
      </w:r>
      <w:r w:rsidR="00E517BE">
        <w:t>SYT</w:t>
      </w:r>
      <w:r>
        <w:t xml:space="preserve"> programs are eligible to participate in the implementation interviews.</w:t>
      </w:r>
      <w:r w:rsidR="00207E4C">
        <w:t xml:space="preserve"> </w:t>
      </w:r>
      <w:r>
        <w:t xml:space="preserve">These interviews </w:t>
      </w:r>
      <w:r w:rsidR="005A69BD">
        <w:t>collect</w:t>
      </w:r>
      <w:r>
        <w:t xml:space="preserve"> detailed information on the </w:t>
      </w:r>
      <w:r w:rsidR="005A69BD">
        <w:t>manner</w:t>
      </w:r>
      <w:r>
        <w:t xml:space="preserve"> in which the programs were implemented and how successfu</w:t>
      </w:r>
      <w:r w:rsidR="00FD26E2">
        <w:t xml:space="preserve">lly they were implemented. The </w:t>
      </w:r>
      <w:r w:rsidR="00DA0B2A" w:rsidRPr="00DA0B2A">
        <w:rPr>
          <w:i/>
          <w:iCs/>
        </w:rPr>
        <w:t>Implementation Interview Guide</w:t>
      </w:r>
      <w:r w:rsidR="00DA0B2A" w:rsidRPr="00FD26E2" w:rsidDel="00DA0B2A">
        <w:rPr>
          <w:i/>
        </w:rPr>
        <w:t xml:space="preserve"> </w:t>
      </w:r>
      <w:r>
        <w:t>focuses on current tre</w:t>
      </w:r>
      <w:r w:rsidR="005A69BD">
        <w:t xml:space="preserve">atment service delivery systems, </w:t>
      </w:r>
      <w:r>
        <w:t>and any needs or gaps in this system, alignment of services with client needs, and facilitators and challenges related to implementation of the SYT programs.</w:t>
      </w:r>
      <w:r w:rsidR="00207E4C">
        <w:t xml:space="preserve"> </w:t>
      </w:r>
      <w:r w:rsidR="00E517BE">
        <w:t xml:space="preserve">SYT-ED and SYT-P grantees and </w:t>
      </w:r>
      <w:r w:rsidR="005A69BD">
        <w:t xml:space="preserve">SYT-ED </w:t>
      </w:r>
      <w:r w:rsidR="00E517BE">
        <w:t>provider</w:t>
      </w:r>
      <w:r w:rsidR="005A69BD">
        <w:t>s</w:t>
      </w:r>
      <w:r w:rsidR="00E517BE">
        <w:t xml:space="preserve"> will be asked to participate in the implementation interview once during their grant program. SYT-I grantees and providers will be asked to participate twice</w:t>
      </w:r>
      <w:r w:rsidR="000B4083">
        <w:t xml:space="preserve"> (once per year) </w:t>
      </w:r>
      <w:r w:rsidR="007926E6">
        <w:t>during</w:t>
      </w:r>
      <w:r w:rsidR="000B4083">
        <w:t xml:space="preserve"> the course of their grant program. </w:t>
      </w:r>
    </w:p>
    <w:p w14:paraId="70C0578D" w14:textId="409BAA20" w:rsidR="000B6724" w:rsidRPr="00913A1E" w:rsidRDefault="00F07288" w:rsidP="00832E37">
      <w:pPr>
        <w:pStyle w:val="BodyText"/>
      </w:pPr>
      <w:r>
        <w:t xml:space="preserve">The </w:t>
      </w:r>
      <w:r w:rsidR="00832E37" w:rsidRPr="00FD26E2">
        <w:rPr>
          <w:i/>
        </w:rPr>
        <w:t>Implementation</w:t>
      </w:r>
      <w:r w:rsidR="00832E37" w:rsidRPr="005A69BD">
        <w:t xml:space="preserve"> </w:t>
      </w:r>
      <w:r w:rsidR="00832E37" w:rsidRPr="00FD26E2">
        <w:rPr>
          <w:i/>
        </w:rPr>
        <w:t>Interview G</w:t>
      </w:r>
      <w:r w:rsidR="00832E37">
        <w:rPr>
          <w:i/>
        </w:rPr>
        <w:t>uide</w:t>
      </w:r>
      <w:r w:rsidR="00FD26E2" w:rsidRPr="00E67004">
        <w:t xml:space="preserve"> </w:t>
      </w:r>
      <w:r w:rsidRPr="00E67004">
        <w:t xml:space="preserve">is composed of the following sections: </w:t>
      </w:r>
      <w:r>
        <w:t>Involvement/Overview, Treatment and Service Delivery System, SYT Program Implementation, Infrastructure and Development, Funding, Facilitators and Challenges, Impact and Utility, and Sustainability.</w:t>
      </w:r>
      <w:r w:rsidRPr="00E67004">
        <w:t xml:space="preserve"> </w:t>
      </w:r>
      <w:r w:rsidR="00F53644">
        <w:rPr>
          <w:b/>
          <w:bCs/>
          <w:i/>
        </w:rPr>
        <w:t>Exhibit</w:t>
      </w:r>
      <w:r w:rsidR="00FD20B1">
        <w:rPr>
          <w:b/>
          <w:bCs/>
          <w:i/>
        </w:rPr>
        <w:t>s</w:t>
      </w:r>
      <w:r w:rsidRPr="00C47473">
        <w:rPr>
          <w:b/>
          <w:bCs/>
          <w:i/>
        </w:rPr>
        <w:t xml:space="preserve"> 1</w:t>
      </w:r>
      <w:r w:rsidR="00FD20B1">
        <w:rPr>
          <w:b/>
          <w:bCs/>
          <w:i/>
        </w:rPr>
        <w:t xml:space="preserve"> </w:t>
      </w:r>
      <w:r w:rsidR="00FD20B1" w:rsidRPr="006609D3">
        <w:rPr>
          <w:iCs/>
        </w:rPr>
        <w:t>and</w:t>
      </w:r>
      <w:r w:rsidR="00FD20B1">
        <w:rPr>
          <w:b/>
          <w:bCs/>
          <w:i/>
        </w:rPr>
        <w:t xml:space="preserve"> 2</w:t>
      </w:r>
      <w:r w:rsidRPr="00E67004">
        <w:t xml:space="preserve"> </w:t>
      </w:r>
      <w:r>
        <w:t>p</w:t>
      </w:r>
      <w:r w:rsidRPr="00E67004">
        <w:t>rovide brief description</w:t>
      </w:r>
      <w:r w:rsidR="007926E6">
        <w:t>s</w:t>
      </w:r>
      <w:r w:rsidRPr="00E67004">
        <w:t xml:space="preserve"> of each section</w:t>
      </w:r>
      <w:r w:rsidR="00D8599B">
        <w:t xml:space="preserve"> </w:t>
      </w:r>
      <w:r w:rsidR="00562DF1">
        <w:t xml:space="preserve">and the </w:t>
      </w:r>
      <w:r w:rsidR="00562DF1" w:rsidRPr="00FD26E2">
        <w:rPr>
          <w:i/>
        </w:rPr>
        <w:t>Implementation</w:t>
      </w:r>
      <w:r w:rsidR="00562DF1" w:rsidRPr="005A69BD">
        <w:t xml:space="preserve"> </w:t>
      </w:r>
      <w:r w:rsidR="00FD26E2" w:rsidRPr="00FD26E2">
        <w:rPr>
          <w:i/>
        </w:rPr>
        <w:t>Interview G</w:t>
      </w:r>
      <w:r w:rsidR="00FD26E2">
        <w:rPr>
          <w:i/>
        </w:rPr>
        <w:t>uide</w:t>
      </w:r>
      <w:r w:rsidR="00562DF1">
        <w:rPr>
          <w:i/>
        </w:rPr>
        <w:t xml:space="preserve"> </w:t>
      </w:r>
      <w:r w:rsidR="00562DF1">
        <w:rPr>
          <w:iCs/>
        </w:rPr>
        <w:t xml:space="preserve">can be found in </w:t>
      </w:r>
      <w:r w:rsidR="00562DF1" w:rsidRPr="00633A9C">
        <w:rPr>
          <w:iCs/>
        </w:rPr>
        <w:t xml:space="preserve">Attachment </w:t>
      </w:r>
      <w:r w:rsidR="00633A9C" w:rsidRPr="00633A9C">
        <w:rPr>
          <w:iCs/>
        </w:rPr>
        <w:t>2</w:t>
      </w:r>
      <w:r w:rsidR="00562DF1" w:rsidRPr="00633A9C">
        <w:rPr>
          <w:iCs/>
        </w:rPr>
        <w:t>.</w:t>
      </w:r>
    </w:p>
    <w:p w14:paraId="36EA8235" w14:textId="77777777" w:rsidR="00F53644" w:rsidRDefault="00F53644">
      <w:pPr>
        <w:spacing w:after="160" w:line="259" w:lineRule="auto"/>
        <w:rPr>
          <w:b/>
        </w:rPr>
      </w:pPr>
      <w:r>
        <w:br w:type="page"/>
      </w:r>
    </w:p>
    <w:p w14:paraId="71F1A961" w14:textId="76F0B2FB" w:rsidR="00F07288" w:rsidRPr="00D312E5" w:rsidRDefault="00F53644" w:rsidP="00237700">
      <w:pPr>
        <w:pStyle w:val="Exhibittitle"/>
      </w:pPr>
      <w:r>
        <w:lastRenderedPageBreak/>
        <w:t>Exhibit</w:t>
      </w:r>
      <w:r w:rsidR="00F07288" w:rsidRPr="00C77D30">
        <w:t xml:space="preserve"> </w:t>
      </w:r>
      <w:r w:rsidR="00F07288">
        <w:t>1</w:t>
      </w:r>
      <w:r w:rsidR="00F07288" w:rsidRPr="00C77D30">
        <w:t xml:space="preserve">. </w:t>
      </w:r>
      <w:r>
        <w:tab/>
      </w:r>
      <w:r w:rsidR="00F07288">
        <w:t>Grantee Implementation Interview Guide</w:t>
      </w:r>
    </w:p>
    <w:tbl>
      <w:tblPr>
        <w:tblStyle w:val="TableGrid"/>
        <w:tblW w:w="9355" w:type="dxa"/>
        <w:tblLook w:val="04A0" w:firstRow="1" w:lastRow="0" w:firstColumn="1" w:lastColumn="0" w:noHBand="0" w:noVBand="1"/>
      </w:tblPr>
      <w:tblGrid>
        <w:gridCol w:w="9355"/>
      </w:tblGrid>
      <w:tr w:rsidR="00F07288" w:rsidRPr="00F53644" w14:paraId="62D1FF80" w14:textId="77777777" w:rsidTr="00F53644">
        <w:tc>
          <w:tcPr>
            <w:tcW w:w="9355" w:type="dxa"/>
            <w:tcBorders>
              <w:bottom w:val="nil"/>
            </w:tcBorders>
            <w:shd w:val="clear" w:color="auto" w:fill="F2F2F2" w:themeFill="background1" w:themeFillShade="F2"/>
          </w:tcPr>
          <w:p w14:paraId="5EFBE2AD" w14:textId="77777777" w:rsidR="00F07288" w:rsidRPr="00F53644" w:rsidRDefault="00F07288" w:rsidP="00F53644">
            <w:pPr>
              <w:spacing w:before="15" w:after="15" w:line="276" w:lineRule="auto"/>
              <w:rPr>
                <w:b/>
                <w:bCs/>
                <w:iCs/>
                <w:sz w:val="20"/>
                <w:szCs w:val="20"/>
              </w:rPr>
            </w:pPr>
            <w:r w:rsidRPr="00F53644">
              <w:rPr>
                <w:b/>
                <w:bCs/>
                <w:iCs/>
                <w:sz w:val="20"/>
                <w:szCs w:val="20"/>
              </w:rPr>
              <w:t>Involvement/Overview</w:t>
            </w:r>
          </w:p>
          <w:p w14:paraId="0033EB2E" w14:textId="77BA201C" w:rsidR="00F07288" w:rsidRPr="00F53644" w:rsidRDefault="00F07288" w:rsidP="000A3C2F">
            <w:pPr>
              <w:spacing w:before="15" w:after="15" w:line="276" w:lineRule="auto"/>
              <w:rPr>
                <w:iCs/>
                <w:sz w:val="20"/>
                <w:szCs w:val="20"/>
              </w:rPr>
            </w:pPr>
            <w:r w:rsidRPr="00F53644">
              <w:rPr>
                <w:bCs/>
                <w:iCs/>
                <w:sz w:val="20"/>
                <w:szCs w:val="20"/>
              </w:rPr>
              <w:t>Asks for general information on the grantees</w:t>
            </w:r>
            <w:r w:rsidR="00631B75">
              <w:rPr>
                <w:bCs/>
                <w:iCs/>
                <w:sz w:val="20"/>
                <w:szCs w:val="20"/>
              </w:rPr>
              <w:t>’</w:t>
            </w:r>
            <w:r w:rsidRPr="00F53644">
              <w:rPr>
                <w:bCs/>
                <w:iCs/>
                <w:sz w:val="20"/>
                <w:szCs w:val="20"/>
              </w:rPr>
              <w:t xml:space="preserve"> role</w:t>
            </w:r>
            <w:r w:rsidR="00631B75">
              <w:rPr>
                <w:bCs/>
                <w:iCs/>
                <w:sz w:val="20"/>
                <w:szCs w:val="20"/>
              </w:rPr>
              <w:t>s</w:t>
            </w:r>
            <w:r w:rsidRPr="00F53644">
              <w:rPr>
                <w:bCs/>
                <w:iCs/>
                <w:sz w:val="20"/>
                <w:szCs w:val="20"/>
              </w:rPr>
              <w:t xml:space="preserve"> in their state agency </w:t>
            </w:r>
            <w:r w:rsidR="00631B75">
              <w:rPr>
                <w:bCs/>
                <w:iCs/>
                <w:sz w:val="20"/>
                <w:szCs w:val="20"/>
              </w:rPr>
              <w:t>and</w:t>
            </w:r>
            <w:r w:rsidRPr="00F53644">
              <w:rPr>
                <w:bCs/>
                <w:iCs/>
                <w:sz w:val="20"/>
                <w:szCs w:val="20"/>
              </w:rPr>
              <w:t xml:space="preserve"> their involvement with the SYT program.</w:t>
            </w:r>
          </w:p>
        </w:tc>
      </w:tr>
      <w:tr w:rsidR="00F07288" w:rsidRPr="00F53644" w14:paraId="6950CAFC" w14:textId="77777777" w:rsidTr="00F53644">
        <w:tc>
          <w:tcPr>
            <w:tcW w:w="9355" w:type="dxa"/>
            <w:tcBorders>
              <w:bottom w:val="nil"/>
            </w:tcBorders>
          </w:tcPr>
          <w:p w14:paraId="248AC0FE" w14:textId="77777777" w:rsidR="00F07288" w:rsidRPr="00F53644" w:rsidRDefault="00F07288" w:rsidP="00F53644">
            <w:pPr>
              <w:keepNext/>
              <w:spacing w:before="15" w:after="15" w:line="276" w:lineRule="auto"/>
              <w:rPr>
                <w:b/>
                <w:iCs/>
                <w:sz w:val="20"/>
                <w:szCs w:val="20"/>
              </w:rPr>
            </w:pPr>
            <w:r w:rsidRPr="00F53644">
              <w:rPr>
                <w:b/>
                <w:iCs/>
                <w:sz w:val="20"/>
                <w:szCs w:val="20"/>
              </w:rPr>
              <w:t>Treatment and Service Delivery System</w:t>
            </w:r>
          </w:p>
          <w:p w14:paraId="7A1A9847" w14:textId="6BB8561C" w:rsidR="00F07288" w:rsidRPr="00F53644" w:rsidRDefault="00F07288" w:rsidP="000A3C2F">
            <w:pPr>
              <w:keepNext/>
              <w:spacing w:before="15" w:after="15" w:line="276" w:lineRule="auto"/>
              <w:rPr>
                <w:bCs/>
                <w:iCs/>
                <w:sz w:val="20"/>
                <w:szCs w:val="20"/>
              </w:rPr>
            </w:pPr>
            <w:r w:rsidRPr="00F53644">
              <w:rPr>
                <w:bCs/>
                <w:iCs/>
                <w:sz w:val="20"/>
                <w:szCs w:val="20"/>
              </w:rPr>
              <w:t>Asks the grantee</w:t>
            </w:r>
            <w:r w:rsidR="00631B75">
              <w:rPr>
                <w:bCs/>
                <w:iCs/>
                <w:sz w:val="20"/>
                <w:szCs w:val="20"/>
              </w:rPr>
              <w:t>s</w:t>
            </w:r>
            <w:r w:rsidRPr="00F53644">
              <w:rPr>
                <w:bCs/>
                <w:iCs/>
                <w:sz w:val="20"/>
                <w:szCs w:val="20"/>
              </w:rPr>
              <w:t xml:space="preserve"> about their state/territory/tribes</w:t>
            </w:r>
            <w:r w:rsidR="00631B75">
              <w:rPr>
                <w:bCs/>
                <w:iCs/>
                <w:sz w:val="20"/>
                <w:szCs w:val="20"/>
              </w:rPr>
              <w:t>’</w:t>
            </w:r>
            <w:r w:rsidRPr="00F53644">
              <w:rPr>
                <w:bCs/>
                <w:iCs/>
                <w:sz w:val="20"/>
                <w:szCs w:val="20"/>
              </w:rPr>
              <w:t xml:space="preserve"> treatment and service delivery system</w:t>
            </w:r>
            <w:r w:rsidR="00631B75">
              <w:rPr>
                <w:bCs/>
                <w:iCs/>
                <w:sz w:val="20"/>
                <w:szCs w:val="20"/>
              </w:rPr>
              <w:t>s</w:t>
            </w:r>
            <w:r w:rsidRPr="00F53644">
              <w:rPr>
                <w:bCs/>
                <w:iCs/>
                <w:sz w:val="20"/>
                <w:szCs w:val="20"/>
              </w:rPr>
              <w:t xml:space="preserve"> in terms of </w:t>
            </w:r>
            <w:r w:rsidR="00631B75">
              <w:rPr>
                <w:bCs/>
                <w:iCs/>
                <w:sz w:val="20"/>
                <w:szCs w:val="20"/>
              </w:rPr>
              <w:t>their</w:t>
            </w:r>
            <w:r w:rsidR="00631B75" w:rsidRPr="00F53644">
              <w:rPr>
                <w:bCs/>
                <w:iCs/>
                <w:sz w:val="20"/>
                <w:szCs w:val="20"/>
              </w:rPr>
              <w:t xml:space="preserve"> </w:t>
            </w:r>
            <w:r w:rsidRPr="00F53644">
              <w:rPr>
                <w:bCs/>
                <w:iCs/>
                <w:sz w:val="20"/>
                <w:szCs w:val="20"/>
              </w:rPr>
              <w:t>abilit</w:t>
            </w:r>
            <w:r w:rsidR="00631B75">
              <w:rPr>
                <w:bCs/>
                <w:iCs/>
                <w:sz w:val="20"/>
                <w:szCs w:val="20"/>
              </w:rPr>
              <w:t>ies</w:t>
            </w:r>
            <w:r w:rsidRPr="00F53644">
              <w:rPr>
                <w:bCs/>
                <w:iCs/>
                <w:sz w:val="20"/>
                <w:szCs w:val="20"/>
              </w:rPr>
              <w:t xml:space="preserve"> to support family-informed care for adolescents and/or transitional youth, the gaps in the current system, and ways that the current SYT program is addressing these needs or gaps.</w:t>
            </w:r>
          </w:p>
        </w:tc>
      </w:tr>
      <w:tr w:rsidR="00F07288" w:rsidRPr="00F53644" w14:paraId="6394C12F" w14:textId="77777777" w:rsidTr="00F53644">
        <w:tc>
          <w:tcPr>
            <w:tcW w:w="9355" w:type="dxa"/>
            <w:tcBorders>
              <w:bottom w:val="nil"/>
            </w:tcBorders>
            <w:shd w:val="clear" w:color="auto" w:fill="F2F2F2" w:themeFill="background1" w:themeFillShade="F2"/>
          </w:tcPr>
          <w:p w14:paraId="0B87D846" w14:textId="1E8968FF" w:rsidR="00F07288" w:rsidRPr="00F53644" w:rsidRDefault="00F07288" w:rsidP="00F53644">
            <w:pPr>
              <w:keepNext/>
              <w:spacing w:before="15" w:after="15" w:line="276" w:lineRule="auto"/>
              <w:rPr>
                <w:b/>
                <w:bCs/>
                <w:iCs/>
                <w:sz w:val="20"/>
                <w:szCs w:val="20"/>
              </w:rPr>
            </w:pPr>
            <w:r w:rsidRPr="00F53644">
              <w:rPr>
                <w:b/>
                <w:bCs/>
                <w:iCs/>
                <w:sz w:val="20"/>
                <w:szCs w:val="20"/>
              </w:rPr>
              <w:t>Program Implementation</w:t>
            </w:r>
          </w:p>
          <w:p w14:paraId="7580A707" w14:textId="2C239A2C" w:rsidR="00F07288" w:rsidRPr="00F53644" w:rsidRDefault="00F07288" w:rsidP="000A3C2F">
            <w:pPr>
              <w:keepNext/>
              <w:spacing w:before="15" w:after="15" w:line="276" w:lineRule="auto"/>
              <w:rPr>
                <w:iCs/>
                <w:sz w:val="20"/>
                <w:szCs w:val="20"/>
              </w:rPr>
            </w:pPr>
            <w:r w:rsidRPr="00F53644">
              <w:rPr>
                <w:iCs/>
                <w:sz w:val="20"/>
                <w:szCs w:val="20"/>
              </w:rPr>
              <w:t>Aims to establish a baseline understanding of the SYT program</w:t>
            </w:r>
            <w:r w:rsidR="00631B75">
              <w:rPr>
                <w:iCs/>
                <w:sz w:val="20"/>
                <w:szCs w:val="20"/>
              </w:rPr>
              <w:t xml:space="preserve"> that</w:t>
            </w:r>
            <w:r w:rsidRPr="00F53644">
              <w:rPr>
                <w:iCs/>
                <w:sz w:val="20"/>
                <w:szCs w:val="20"/>
              </w:rPr>
              <w:t xml:space="preserve"> the grantee has implemented </w:t>
            </w:r>
            <w:r w:rsidR="00631B75">
              <w:rPr>
                <w:iCs/>
                <w:sz w:val="20"/>
                <w:szCs w:val="20"/>
              </w:rPr>
              <w:t>and</w:t>
            </w:r>
            <w:r w:rsidRPr="00F53644">
              <w:rPr>
                <w:iCs/>
                <w:sz w:val="20"/>
                <w:szCs w:val="20"/>
              </w:rPr>
              <w:t xml:space="preserve"> efforts made towards disseminating EBPs for</w:t>
            </w:r>
            <w:r w:rsidR="005A69BD">
              <w:rPr>
                <w:iCs/>
                <w:sz w:val="20"/>
                <w:szCs w:val="20"/>
              </w:rPr>
              <w:t xml:space="preserve"> substance use assessment and treatment for</w:t>
            </w:r>
            <w:r w:rsidRPr="00F53644">
              <w:rPr>
                <w:iCs/>
                <w:sz w:val="20"/>
                <w:szCs w:val="20"/>
              </w:rPr>
              <w:t xml:space="preserve"> adolescents and/or transitional youth.</w:t>
            </w:r>
            <w:r w:rsidR="00207E4C" w:rsidRPr="00F53644">
              <w:rPr>
                <w:iCs/>
                <w:sz w:val="20"/>
                <w:szCs w:val="20"/>
              </w:rPr>
              <w:t xml:space="preserve"> </w:t>
            </w:r>
          </w:p>
        </w:tc>
      </w:tr>
      <w:tr w:rsidR="00F07288" w:rsidRPr="00F53644" w14:paraId="5158FE3F" w14:textId="77777777" w:rsidTr="00F53644">
        <w:tc>
          <w:tcPr>
            <w:tcW w:w="9355" w:type="dxa"/>
            <w:tcBorders>
              <w:bottom w:val="nil"/>
            </w:tcBorders>
          </w:tcPr>
          <w:p w14:paraId="2217AD61" w14:textId="3FF77BAF" w:rsidR="00F07288" w:rsidRPr="00F53644" w:rsidRDefault="00237700" w:rsidP="00F53644">
            <w:pPr>
              <w:keepNext/>
              <w:keepLines/>
              <w:spacing w:before="15" w:after="15" w:line="276" w:lineRule="auto"/>
              <w:rPr>
                <w:b/>
                <w:iCs/>
                <w:sz w:val="20"/>
                <w:szCs w:val="20"/>
              </w:rPr>
            </w:pPr>
            <w:r>
              <w:rPr>
                <w:b/>
                <w:iCs/>
                <w:sz w:val="20"/>
                <w:szCs w:val="20"/>
              </w:rPr>
              <w:t xml:space="preserve">SYT </w:t>
            </w:r>
            <w:r w:rsidR="00F07288" w:rsidRPr="00F53644">
              <w:rPr>
                <w:b/>
                <w:iCs/>
                <w:sz w:val="20"/>
                <w:szCs w:val="20"/>
              </w:rPr>
              <w:t xml:space="preserve">Infrastructure and Development </w:t>
            </w:r>
          </w:p>
          <w:p w14:paraId="0163163E" w14:textId="261EE921" w:rsidR="00F07288" w:rsidRPr="00F53644" w:rsidRDefault="00F07288" w:rsidP="000A3C2F">
            <w:pPr>
              <w:keepNext/>
              <w:keepLines/>
              <w:spacing w:before="15" w:after="15" w:line="276" w:lineRule="auto"/>
              <w:rPr>
                <w:iCs/>
                <w:sz w:val="20"/>
                <w:szCs w:val="20"/>
              </w:rPr>
            </w:pPr>
            <w:r w:rsidRPr="00F53644">
              <w:rPr>
                <w:iCs/>
                <w:sz w:val="20"/>
                <w:szCs w:val="20"/>
              </w:rPr>
              <w:t xml:space="preserve">Asks the grantee about the state/territory/tribe-level infrastructure in place prior to receiving the SYT grant </w:t>
            </w:r>
            <w:r w:rsidR="00631B75">
              <w:rPr>
                <w:iCs/>
                <w:sz w:val="20"/>
                <w:szCs w:val="20"/>
              </w:rPr>
              <w:t xml:space="preserve">and </w:t>
            </w:r>
            <w:r w:rsidRPr="00F53644">
              <w:rPr>
                <w:iCs/>
                <w:sz w:val="20"/>
                <w:szCs w:val="20"/>
              </w:rPr>
              <w:t>infrastructure</w:t>
            </w:r>
            <w:r w:rsidR="00631B75">
              <w:rPr>
                <w:iCs/>
                <w:sz w:val="20"/>
                <w:szCs w:val="20"/>
              </w:rPr>
              <w:t>-</w:t>
            </w:r>
            <w:r w:rsidRPr="00F53644">
              <w:rPr>
                <w:iCs/>
                <w:sz w:val="20"/>
                <w:szCs w:val="20"/>
              </w:rPr>
              <w:t xml:space="preserve">development activities </w:t>
            </w:r>
            <w:r w:rsidR="00AC2B6D" w:rsidRPr="00F53644">
              <w:rPr>
                <w:iCs/>
                <w:sz w:val="20"/>
                <w:szCs w:val="20"/>
              </w:rPr>
              <w:t>undertaken during the grant</w:t>
            </w:r>
            <w:r w:rsidRPr="00F53644">
              <w:rPr>
                <w:iCs/>
                <w:sz w:val="20"/>
                <w:szCs w:val="20"/>
              </w:rPr>
              <w:t xml:space="preserve">. </w:t>
            </w:r>
          </w:p>
        </w:tc>
      </w:tr>
      <w:tr w:rsidR="00F07288" w:rsidRPr="00F53644" w14:paraId="549F7B9B" w14:textId="77777777" w:rsidTr="00F53644">
        <w:tc>
          <w:tcPr>
            <w:tcW w:w="9355" w:type="dxa"/>
            <w:tcBorders>
              <w:bottom w:val="nil"/>
            </w:tcBorders>
            <w:shd w:val="clear" w:color="auto" w:fill="F2F2F2" w:themeFill="background1" w:themeFillShade="F2"/>
          </w:tcPr>
          <w:p w14:paraId="2051B02D" w14:textId="77777777" w:rsidR="00F07288" w:rsidRPr="00F53644" w:rsidRDefault="00F07288" w:rsidP="00F53644">
            <w:pPr>
              <w:spacing w:before="15" w:after="15" w:line="276" w:lineRule="auto"/>
              <w:rPr>
                <w:b/>
                <w:bCs/>
                <w:iCs/>
                <w:sz w:val="20"/>
                <w:szCs w:val="20"/>
              </w:rPr>
            </w:pPr>
            <w:r w:rsidRPr="00F53644">
              <w:rPr>
                <w:b/>
                <w:bCs/>
                <w:iCs/>
                <w:sz w:val="20"/>
                <w:szCs w:val="20"/>
              </w:rPr>
              <w:t>Funding</w:t>
            </w:r>
          </w:p>
          <w:p w14:paraId="78E06C16" w14:textId="1E9AA88E" w:rsidR="00F07288" w:rsidRPr="00F53644" w:rsidRDefault="00631B75" w:rsidP="00F53644">
            <w:pPr>
              <w:spacing w:before="15" w:after="15" w:line="276" w:lineRule="auto"/>
              <w:rPr>
                <w:bCs/>
                <w:iCs/>
                <w:sz w:val="20"/>
                <w:szCs w:val="20"/>
              </w:rPr>
            </w:pPr>
            <w:r>
              <w:rPr>
                <w:bCs/>
                <w:iCs/>
                <w:sz w:val="20"/>
                <w:szCs w:val="20"/>
              </w:rPr>
              <w:t>A</w:t>
            </w:r>
            <w:r w:rsidR="00F07288" w:rsidRPr="00F53644">
              <w:rPr>
                <w:bCs/>
                <w:iCs/>
                <w:sz w:val="20"/>
                <w:szCs w:val="20"/>
              </w:rPr>
              <w:t>sks the grantee to identify any funds being used to support family-informed treatment for adolescents and/or transitional aged youth apart from the SYT grant funds</w:t>
            </w:r>
            <w:r>
              <w:rPr>
                <w:bCs/>
                <w:iCs/>
                <w:sz w:val="20"/>
                <w:szCs w:val="20"/>
              </w:rPr>
              <w:t>.</w:t>
            </w:r>
          </w:p>
        </w:tc>
      </w:tr>
      <w:tr w:rsidR="00F07288" w:rsidRPr="00F53644" w14:paraId="6DB4F427" w14:textId="77777777" w:rsidTr="00F53644">
        <w:trPr>
          <w:cantSplit/>
        </w:trPr>
        <w:tc>
          <w:tcPr>
            <w:tcW w:w="9355" w:type="dxa"/>
            <w:tcBorders>
              <w:bottom w:val="nil"/>
            </w:tcBorders>
          </w:tcPr>
          <w:p w14:paraId="6AA63B04" w14:textId="77777777" w:rsidR="00F07288" w:rsidRPr="00F53644" w:rsidRDefault="00F07288" w:rsidP="00F53644">
            <w:pPr>
              <w:spacing w:before="15" w:after="15" w:line="276" w:lineRule="auto"/>
              <w:rPr>
                <w:b/>
                <w:bCs/>
                <w:iCs/>
                <w:sz w:val="20"/>
                <w:szCs w:val="20"/>
              </w:rPr>
            </w:pPr>
            <w:r w:rsidRPr="00F53644">
              <w:rPr>
                <w:b/>
                <w:bCs/>
                <w:iCs/>
                <w:sz w:val="20"/>
                <w:szCs w:val="20"/>
              </w:rPr>
              <w:t>Facilitators and Challenges</w:t>
            </w:r>
          </w:p>
          <w:p w14:paraId="063300DE" w14:textId="77777777" w:rsidR="00F07288" w:rsidRPr="00F53644" w:rsidRDefault="00F07288" w:rsidP="00F53644">
            <w:pPr>
              <w:spacing w:before="15" w:after="15" w:line="276" w:lineRule="auto"/>
              <w:rPr>
                <w:iCs/>
                <w:sz w:val="20"/>
                <w:szCs w:val="20"/>
              </w:rPr>
            </w:pPr>
            <w:r w:rsidRPr="00F53644">
              <w:rPr>
                <w:iCs/>
                <w:sz w:val="20"/>
                <w:szCs w:val="20"/>
              </w:rPr>
              <w:t>Asks the grantee about facilitators and challenges in implementing the SYT program.</w:t>
            </w:r>
          </w:p>
        </w:tc>
      </w:tr>
      <w:tr w:rsidR="00F07288" w:rsidRPr="00F53644" w14:paraId="29C7C6B6" w14:textId="77777777" w:rsidTr="00237700">
        <w:tc>
          <w:tcPr>
            <w:tcW w:w="9355" w:type="dxa"/>
            <w:tcBorders>
              <w:bottom w:val="single" w:sz="4" w:space="0" w:color="auto"/>
            </w:tcBorders>
            <w:shd w:val="clear" w:color="auto" w:fill="F2F2F2" w:themeFill="background1" w:themeFillShade="F2"/>
          </w:tcPr>
          <w:p w14:paraId="72BCD406" w14:textId="77777777" w:rsidR="00F07288" w:rsidRPr="00F53644" w:rsidRDefault="00F07288" w:rsidP="00F53644">
            <w:pPr>
              <w:spacing w:before="15" w:after="15" w:line="276" w:lineRule="auto"/>
              <w:rPr>
                <w:b/>
                <w:bCs/>
                <w:iCs/>
                <w:sz w:val="20"/>
                <w:szCs w:val="20"/>
              </w:rPr>
            </w:pPr>
            <w:r w:rsidRPr="00F53644">
              <w:rPr>
                <w:b/>
                <w:bCs/>
                <w:iCs/>
                <w:sz w:val="20"/>
                <w:szCs w:val="20"/>
              </w:rPr>
              <w:t>Impact and Utility</w:t>
            </w:r>
          </w:p>
          <w:p w14:paraId="511EE86F" w14:textId="77777777" w:rsidR="00F07288" w:rsidRPr="00F53644" w:rsidRDefault="00F07288" w:rsidP="00F53644">
            <w:pPr>
              <w:spacing w:before="15" w:after="15" w:line="276" w:lineRule="auto"/>
              <w:rPr>
                <w:iCs/>
                <w:sz w:val="20"/>
                <w:szCs w:val="20"/>
              </w:rPr>
            </w:pPr>
            <w:r w:rsidRPr="00F53644">
              <w:rPr>
                <w:iCs/>
                <w:sz w:val="20"/>
                <w:szCs w:val="20"/>
              </w:rPr>
              <w:t xml:space="preserve">Identifies any needs or gaps in the existing treatment service system and how the SYT program met these needs or gaps. </w:t>
            </w:r>
          </w:p>
        </w:tc>
      </w:tr>
      <w:tr w:rsidR="00F07288" w:rsidRPr="00F53644" w14:paraId="3AB48AEE" w14:textId="77777777" w:rsidTr="00237700">
        <w:tc>
          <w:tcPr>
            <w:tcW w:w="9355" w:type="dxa"/>
            <w:tcBorders>
              <w:bottom w:val="single" w:sz="4" w:space="0" w:color="auto"/>
            </w:tcBorders>
          </w:tcPr>
          <w:p w14:paraId="1F1C3869" w14:textId="0D5037DF" w:rsidR="00F07288" w:rsidRPr="00F53644" w:rsidRDefault="00237700" w:rsidP="00F53644">
            <w:pPr>
              <w:keepNext/>
              <w:spacing w:before="15" w:after="15" w:line="276" w:lineRule="auto"/>
              <w:rPr>
                <w:b/>
                <w:bCs/>
                <w:iCs/>
                <w:sz w:val="20"/>
                <w:szCs w:val="20"/>
              </w:rPr>
            </w:pPr>
            <w:r>
              <w:rPr>
                <w:b/>
                <w:bCs/>
                <w:iCs/>
                <w:sz w:val="20"/>
                <w:szCs w:val="20"/>
              </w:rPr>
              <w:t>End of Interview</w:t>
            </w:r>
          </w:p>
          <w:p w14:paraId="18ACDD5A" w14:textId="074CB4B5" w:rsidR="00F07288" w:rsidRPr="00F53644" w:rsidRDefault="00237700" w:rsidP="00F53644">
            <w:pPr>
              <w:keepNext/>
              <w:spacing w:before="15" w:after="15" w:line="276" w:lineRule="auto"/>
              <w:rPr>
                <w:iCs/>
                <w:sz w:val="20"/>
                <w:szCs w:val="20"/>
              </w:rPr>
            </w:pPr>
            <w:r>
              <w:rPr>
                <w:iCs/>
                <w:sz w:val="20"/>
                <w:szCs w:val="20"/>
              </w:rPr>
              <w:t>Ask grantees to share any additional issues or data that should be reported/collected</w:t>
            </w:r>
            <w:r w:rsidR="00631B75">
              <w:rPr>
                <w:iCs/>
                <w:sz w:val="20"/>
                <w:szCs w:val="20"/>
              </w:rPr>
              <w:t>.</w:t>
            </w:r>
          </w:p>
        </w:tc>
      </w:tr>
    </w:tbl>
    <w:p w14:paraId="112F21CF" w14:textId="77777777" w:rsidR="004A1116" w:rsidRDefault="004A1116">
      <w:pPr>
        <w:spacing w:after="160" w:line="259" w:lineRule="auto"/>
        <w:rPr>
          <w:i/>
        </w:rPr>
      </w:pPr>
    </w:p>
    <w:p w14:paraId="4C461CFF" w14:textId="0B0F2E5D" w:rsidR="00F07288" w:rsidRPr="00D312E5" w:rsidRDefault="00F53644" w:rsidP="00237700">
      <w:pPr>
        <w:pStyle w:val="Exhibittitle"/>
      </w:pPr>
      <w:r>
        <w:t>Exhibit</w:t>
      </w:r>
      <w:r w:rsidR="00F07288" w:rsidRPr="00C77D30">
        <w:t xml:space="preserve"> </w:t>
      </w:r>
      <w:r w:rsidR="00F07288">
        <w:t>2</w:t>
      </w:r>
      <w:r w:rsidR="00F07288" w:rsidRPr="00C77D30">
        <w:t xml:space="preserve">. </w:t>
      </w:r>
      <w:r>
        <w:tab/>
      </w:r>
      <w:r w:rsidR="00F07288">
        <w:t>Provider Implementation Interview Guide</w:t>
      </w:r>
    </w:p>
    <w:tbl>
      <w:tblPr>
        <w:tblStyle w:val="TableGrid"/>
        <w:tblW w:w="9355" w:type="dxa"/>
        <w:tblLook w:val="04A0" w:firstRow="1" w:lastRow="0" w:firstColumn="1" w:lastColumn="0" w:noHBand="0" w:noVBand="1"/>
      </w:tblPr>
      <w:tblGrid>
        <w:gridCol w:w="9355"/>
      </w:tblGrid>
      <w:tr w:rsidR="00F07288" w:rsidRPr="00217448" w14:paraId="7A14B0C5" w14:textId="77777777" w:rsidTr="00F53644">
        <w:tc>
          <w:tcPr>
            <w:tcW w:w="9355" w:type="dxa"/>
            <w:tcBorders>
              <w:bottom w:val="nil"/>
            </w:tcBorders>
            <w:shd w:val="clear" w:color="auto" w:fill="F2F2F2" w:themeFill="background1" w:themeFillShade="F2"/>
          </w:tcPr>
          <w:p w14:paraId="38D33C67" w14:textId="77777777" w:rsidR="00F07288" w:rsidRPr="00C65E49" w:rsidRDefault="00F07288" w:rsidP="00F53644">
            <w:pPr>
              <w:spacing w:before="15" w:after="15" w:line="276" w:lineRule="auto"/>
              <w:rPr>
                <w:rFonts w:asciiTheme="majorBidi" w:hAnsiTheme="majorBidi" w:cstheme="majorBidi"/>
                <w:b/>
                <w:bCs/>
                <w:iCs/>
                <w:sz w:val="20"/>
                <w:szCs w:val="20"/>
              </w:rPr>
            </w:pPr>
            <w:r>
              <w:rPr>
                <w:rFonts w:asciiTheme="majorBidi" w:hAnsiTheme="majorBidi" w:cstheme="majorBidi"/>
                <w:b/>
                <w:bCs/>
                <w:iCs/>
                <w:sz w:val="20"/>
                <w:szCs w:val="20"/>
              </w:rPr>
              <w:t>Overview</w:t>
            </w:r>
          </w:p>
          <w:p w14:paraId="1AC10620" w14:textId="2D3EB3F9" w:rsidR="00F07288" w:rsidRPr="00217448" w:rsidRDefault="00F07288" w:rsidP="000A3C2F">
            <w:pPr>
              <w:spacing w:before="15" w:after="15" w:line="276" w:lineRule="auto"/>
              <w:rPr>
                <w:rFonts w:asciiTheme="majorBidi" w:hAnsiTheme="majorBidi" w:cstheme="majorBidi"/>
                <w:iCs/>
                <w:sz w:val="20"/>
                <w:szCs w:val="20"/>
              </w:rPr>
            </w:pPr>
            <w:r w:rsidRPr="000B0EAB">
              <w:rPr>
                <w:rFonts w:asciiTheme="majorBidi" w:hAnsiTheme="majorBidi" w:cstheme="majorBidi"/>
                <w:bCs/>
                <w:iCs/>
                <w:sz w:val="20"/>
                <w:szCs w:val="20"/>
              </w:rPr>
              <w:t xml:space="preserve">Asks for general information on the </w:t>
            </w:r>
            <w:r>
              <w:rPr>
                <w:rFonts w:asciiTheme="majorBidi" w:hAnsiTheme="majorBidi" w:cstheme="majorBidi"/>
                <w:bCs/>
                <w:iCs/>
                <w:sz w:val="20"/>
                <w:szCs w:val="20"/>
              </w:rPr>
              <w:t>provider’s organization</w:t>
            </w:r>
            <w:r w:rsidRPr="000B0EAB">
              <w:rPr>
                <w:rFonts w:asciiTheme="majorBidi" w:hAnsiTheme="majorBidi" w:cstheme="majorBidi"/>
                <w:bCs/>
                <w:iCs/>
                <w:sz w:val="20"/>
                <w:szCs w:val="20"/>
              </w:rPr>
              <w:t xml:space="preserve"> </w:t>
            </w:r>
            <w:r w:rsidR="00631B75">
              <w:rPr>
                <w:rFonts w:asciiTheme="majorBidi" w:hAnsiTheme="majorBidi" w:cstheme="majorBidi"/>
                <w:bCs/>
                <w:iCs/>
                <w:sz w:val="20"/>
                <w:szCs w:val="20"/>
              </w:rPr>
              <w:t>and its</w:t>
            </w:r>
            <w:r>
              <w:rPr>
                <w:rFonts w:asciiTheme="majorBidi" w:hAnsiTheme="majorBidi" w:cstheme="majorBidi"/>
                <w:bCs/>
                <w:iCs/>
                <w:sz w:val="20"/>
                <w:szCs w:val="20"/>
              </w:rPr>
              <w:t xml:space="preserve"> involvement with the SYT</w:t>
            </w:r>
            <w:r w:rsidRPr="000B0EAB">
              <w:rPr>
                <w:rFonts w:asciiTheme="majorBidi" w:hAnsiTheme="majorBidi" w:cstheme="majorBidi"/>
                <w:bCs/>
                <w:iCs/>
                <w:sz w:val="20"/>
                <w:szCs w:val="20"/>
              </w:rPr>
              <w:t xml:space="preserve"> program.</w:t>
            </w:r>
          </w:p>
        </w:tc>
      </w:tr>
      <w:tr w:rsidR="00F07288" w:rsidRPr="00217448" w14:paraId="04D7C322" w14:textId="77777777" w:rsidTr="00F53644">
        <w:tc>
          <w:tcPr>
            <w:tcW w:w="9355" w:type="dxa"/>
            <w:tcBorders>
              <w:bottom w:val="nil"/>
            </w:tcBorders>
          </w:tcPr>
          <w:p w14:paraId="46BE1A97" w14:textId="4B8A0C06" w:rsidR="00F07288" w:rsidRPr="00C65E49" w:rsidRDefault="00F07288" w:rsidP="00F53644">
            <w:pPr>
              <w:keepNext/>
              <w:spacing w:before="15" w:after="15" w:line="276" w:lineRule="auto"/>
              <w:rPr>
                <w:rFonts w:asciiTheme="majorBidi" w:hAnsiTheme="majorBidi" w:cstheme="majorBidi"/>
                <w:b/>
                <w:bCs/>
                <w:iCs/>
                <w:sz w:val="20"/>
                <w:szCs w:val="20"/>
              </w:rPr>
            </w:pPr>
            <w:r>
              <w:rPr>
                <w:rFonts w:asciiTheme="majorBidi" w:hAnsiTheme="majorBidi" w:cstheme="majorBidi"/>
                <w:b/>
                <w:bCs/>
                <w:iCs/>
                <w:sz w:val="20"/>
                <w:szCs w:val="20"/>
              </w:rPr>
              <w:t>Program Implementation</w:t>
            </w:r>
          </w:p>
          <w:p w14:paraId="060EE79A" w14:textId="198DFA4D" w:rsidR="00F07288" w:rsidRPr="00F10AC4" w:rsidRDefault="00F07288" w:rsidP="00F53644">
            <w:pPr>
              <w:keepNext/>
              <w:spacing w:before="15" w:after="15" w:line="276" w:lineRule="auto"/>
              <w:rPr>
                <w:rFonts w:asciiTheme="majorBidi" w:hAnsiTheme="majorBidi" w:cstheme="majorBidi"/>
                <w:bCs/>
                <w:iCs/>
                <w:sz w:val="20"/>
                <w:szCs w:val="20"/>
              </w:rPr>
            </w:pPr>
            <w:r>
              <w:rPr>
                <w:rFonts w:asciiTheme="majorBidi" w:hAnsiTheme="majorBidi" w:cstheme="majorBidi"/>
                <w:bCs/>
                <w:iCs/>
                <w:sz w:val="20"/>
                <w:szCs w:val="20"/>
              </w:rPr>
              <w:t>Asks the provider</w:t>
            </w:r>
            <w:r w:rsidR="00D162FA">
              <w:rPr>
                <w:rFonts w:asciiTheme="majorBidi" w:hAnsiTheme="majorBidi" w:cstheme="majorBidi"/>
                <w:bCs/>
                <w:iCs/>
                <w:sz w:val="20"/>
                <w:szCs w:val="20"/>
              </w:rPr>
              <w:t>s</w:t>
            </w:r>
            <w:r>
              <w:rPr>
                <w:rFonts w:asciiTheme="majorBidi" w:hAnsiTheme="majorBidi" w:cstheme="majorBidi"/>
                <w:bCs/>
                <w:iCs/>
                <w:sz w:val="20"/>
                <w:szCs w:val="20"/>
              </w:rPr>
              <w:t xml:space="preserve"> to identify services they provide</w:t>
            </w:r>
            <w:r w:rsidR="00D162FA">
              <w:rPr>
                <w:rFonts w:asciiTheme="majorBidi" w:hAnsiTheme="majorBidi" w:cstheme="majorBidi"/>
                <w:bCs/>
                <w:iCs/>
                <w:sz w:val="20"/>
                <w:szCs w:val="20"/>
              </w:rPr>
              <w:t xml:space="preserve"> and </w:t>
            </w:r>
            <w:r>
              <w:rPr>
                <w:rFonts w:asciiTheme="majorBidi" w:hAnsiTheme="majorBidi" w:cstheme="majorBidi"/>
                <w:bCs/>
                <w:iCs/>
                <w:sz w:val="20"/>
                <w:szCs w:val="20"/>
              </w:rPr>
              <w:t>who their target population includes</w:t>
            </w:r>
            <w:r w:rsidR="00D162FA">
              <w:rPr>
                <w:rFonts w:asciiTheme="majorBidi" w:hAnsiTheme="majorBidi" w:cstheme="majorBidi"/>
                <w:bCs/>
                <w:iCs/>
                <w:sz w:val="20"/>
                <w:szCs w:val="20"/>
              </w:rPr>
              <w:t xml:space="preserve"> </w:t>
            </w:r>
            <w:r>
              <w:rPr>
                <w:rFonts w:asciiTheme="majorBidi" w:hAnsiTheme="majorBidi" w:cstheme="majorBidi"/>
                <w:bCs/>
                <w:iCs/>
                <w:sz w:val="20"/>
                <w:szCs w:val="20"/>
              </w:rPr>
              <w:t>and to explain how they implemented their SYT program at their site.</w:t>
            </w:r>
            <w:r w:rsidR="00207E4C">
              <w:rPr>
                <w:rFonts w:asciiTheme="majorBidi" w:hAnsiTheme="majorBidi" w:cstheme="majorBidi"/>
                <w:bCs/>
                <w:iCs/>
                <w:sz w:val="20"/>
                <w:szCs w:val="20"/>
              </w:rPr>
              <w:t xml:space="preserve"> </w:t>
            </w:r>
            <w:r>
              <w:rPr>
                <w:rFonts w:asciiTheme="majorBidi" w:hAnsiTheme="majorBidi" w:cstheme="majorBidi"/>
                <w:bCs/>
                <w:iCs/>
                <w:sz w:val="20"/>
                <w:szCs w:val="20"/>
              </w:rPr>
              <w:t>Providers are asked to describe any involvement of family members with their clients</w:t>
            </w:r>
            <w:r w:rsidR="005A69BD">
              <w:rPr>
                <w:rFonts w:asciiTheme="majorBidi" w:hAnsiTheme="majorBidi" w:cstheme="majorBidi"/>
                <w:bCs/>
                <w:iCs/>
                <w:sz w:val="20"/>
                <w:szCs w:val="20"/>
              </w:rPr>
              <w:t>’ treatment process</w:t>
            </w:r>
            <w:r>
              <w:rPr>
                <w:rFonts w:asciiTheme="majorBidi" w:hAnsiTheme="majorBidi" w:cstheme="majorBidi"/>
                <w:bCs/>
                <w:iCs/>
                <w:sz w:val="20"/>
                <w:szCs w:val="20"/>
              </w:rPr>
              <w:t>, client flow</w:t>
            </w:r>
            <w:r w:rsidR="00D162FA">
              <w:rPr>
                <w:rFonts w:asciiTheme="majorBidi" w:hAnsiTheme="majorBidi" w:cstheme="majorBidi"/>
                <w:bCs/>
                <w:iCs/>
                <w:sz w:val="20"/>
                <w:szCs w:val="20"/>
              </w:rPr>
              <w:t>,</w:t>
            </w:r>
            <w:r>
              <w:rPr>
                <w:rFonts w:asciiTheme="majorBidi" w:hAnsiTheme="majorBidi" w:cstheme="majorBidi"/>
                <w:bCs/>
                <w:iCs/>
                <w:sz w:val="20"/>
                <w:szCs w:val="20"/>
              </w:rPr>
              <w:t xml:space="preserve"> and service delivery process and how the clients can access their organization</w:t>
            </w:r>
            <w:r w:rsidR="00D162FA">
              <w:rPr>
                <w:rFonts w:asciiTheme="majorBidi" w:hAnsiTheme="majorBidi" w:cstheme="majorBidi"/>
                <w:bCs/>
                <w:iCs/>
                <w:sz w:val="20"/>
                <w:szCs w:val="20"/>
              </w:rPr>
              <w:t>.</w:t>
            </w:r>
          </w:p>
        </w:tc>
      </w:tr>
      <w:tr w:rsidR="00F07288" w:rsidRPr="008444F4" w14:paraId="20862559" w14:textId="77777777" w:rsidTr="00F53644">
        <w:tc>
          <w:tcPr>
            <w:tcW w:w="9355" w:type="dxa"/>
            <w:tcBorders>
              <w:bottom w:val="nil"/>
            </w:tcBorders>
            <w:shd w:val="clear" w:color="auto" w:fill="F2F2F2" w:themeFill="background1" w:themeFillShade="F2"/>
          </w:tcPr>
          <w:p w14:paraId="722FD875" w14:textId="1450B48E" w:rsidR="00F07288" w:rsidRPr="00C65E49" w:rsidRDefault="00237700" w:rsidP="00F53644">
            <w:pPr>
              <w:keepNext/>
              <w:keepLines/>
              <w:spacing w:before="15" w:after="15" w:line="276" w:lineRule="auto"/>
              <w:rPr>
                <w:rFonts w:asciiTheme="majorBidi" w:hAnsiTheme="majorBidi" w:cstheme="majorBidi"/>
                <w:b/>
                <w:iCs/>
                <w:sz w:val="20"/>
                <w:szCs w:val="20"/>
              </w:rPr>
            </w:pPr>
            <w:r>
              <w:rPr>
                <w:rFonts w:asciiTheme="majorBidi" w:hAnsiTheme="majorBidi" w:cstheme="majorBidi"/>
                <w:b/>
                <w:iCs/>
                <w:sz w:val="20"/>
                <w:szCs w:val="20"/>
              </w:rPr>
              <w:t xml:space="preserve">SYT </w:t>
            </w:r>
            <w:r w:rsidR="00F07288">
              <w:rPr>
                <w:rFonts w:asciiTheme="majorBidi" w:hAnsiTheme="majorBidi" w:cstheme="majorBidi"/>
                <w:b/>
                <w:iCs/>
                <w:sz w:val="20"/>
                <w:szCs w:val="20"/>
              </w:rPr>
              <w:t xml:space="preserve">Infrastructure and Development </w:t>
            </w:r>
          </w:p>
          <w:p w14:paraId="309007C0" w14:textId="78F67DCE" w:rsidR="00F07288" w:rsidRPr="008444F4" w:rsidRDefault="00F07288" w:rsidP="00F53644">
            <w:pPr>
              <w:keepNext/>
              <w:spacing w:before="15" w:after="15" w:line="276" w:lineRule="auto"/>
              <w:rPr>
                <w:rFonts w:asciiTheme="majorBidi" w:hAnsiTheme="majorBidi" w:cstheme="majorBidi"/>
                <w:iCs/>
                <w:sz w:val="20"/>
                <w:szCs w:val="20"/>
              </w:rPr>
            </w:pPr>
            <w:r>
              <w:rPr>
                <w:rFonts w:asciiTheme="majorBidi" w:hAnsiTheme="majorBidi" w:cstheme="majorBidi"/>
                <w:iCs/>
                <w:sz w:val="20"/>
                <w:szCs w:val="20"/>
              </w:rPr>
              <w:t>Asks the provider</w:t>
            </w:r>
            <w:r w:rsidR="00D162FA">
              <w:rPr>
                <w:rFonts w:asciiTheme="majorBidi" w:hAnsiTheme="majorBidi" w:cstheme="majorBidi"/>
                <w:iCs/>
                <w:sz w:val="20"/>
                <w:szCs w:val="20"/>
              </w:rPr>
              <w:t>s</w:t>
            </w:r>
            <w:r>
              <w:rPr>
                <w:rFonts w:asciiTheme="majorBidi" w:hAnsiTheme="majorBidi" w:cstheme="majorBidi"/>
                <w:iCs/>
                <w:sz w:val="20"/>
                <w:szCs w:val="20"/>
              </w:rPr>
              <w:t xml:space="preserve"> to explain any start-up or ongoing implementation infrastructure development activities they have engaged in. </w:t>
            </w:r>
          </w:p>
        </w:tc>
      </w:tr>
      <w:tr w:rsidR="00F07288" w:rsidRPr="00217448" w14:paraId="4487352E" w14:textId="77777777" w:rsidTr="00237700">
        <w:tc>
          <w:tcPr>
            <w:tcW w:w="9355" w:type="dxa"/>
            <w:tcBorders>
              <w:bottom w:val="single" w:sz="4" w:space="0" w:color="auto"/>
            </w:tcBorders>
          </w:tcPr>
          <w:p w14:paraId="4EA0CED5" w14:textId="77777777" w:rsidR="00F07288" w:rsidRPr="00C65E49" w:rsidRDefault="00F07288" w:rsidP="00F53644">
            <w:pPr>
              <w:keepNext/>
              <w:keepLines/>
              <w:spacing w:before="15" w:after="15" w:line="276" w:lineRule="auto"/>
              <w:rPr>
                <w:rFonts w:asciiTheme="majorBidi" w:hAnsiTheme="majorBidi" w:cstheme="majorBidi"/>
                <w:b/>
                <w:iCs/>
                <w:sz w:val="20"/>
                <w:szCs w:val="20"/>
              </w:rPr>
            </w:pPr>
            <w:r>
              <w:rPr>
                <w:rFonts w:asciiTheme="majorBidi" w:hAnsiTheme="majorBidi" w:cstheme="majorBidi"/>
                <w:b/>
                <w:iCs/>
                <w:sz w:val="20"/>
                <w:szCs w:val="20"/>
              </w:rPr>
              <w:t>Facilitators and Challenges</w:t>
            </w:r>
          </w:p>
          <w:p w14:paraId="0A2B91DB" w14:textId="2B35C5D5" w:rsidR="00F07288" w:rsidRPr="00217448" w:rsidRDefault="00F07288" w:rsidP="000A3C2F">
            <w:pPr>
              <w:keepNext/>
              <w:keepLines/>
              <w:spacing w:before="15" w:after="15" w:line="276" w:lineRule="auto"/>
              <w:rPr>
                <w:rFonts w:asciiTheme="majorBidi" w:hAnsiTheme="majorBidi" w:cstheme="majorBidi"/>
                <w:b/>
                <w:iCs/>
                <w:sz w:val="20"/>
                <w:szCs w:val="20"/>
              </w:rPr>
            </w:pPr>
            <w:r>
              <w:rPr>
                <w:rFonts w:asciiTheme="majorBidi" w:hAnsiTheme="majorBidi" w:cstheme="majorBidi"/>
                <w:iCs/>
                <w:sz w:val="20"/>
                <w:szCs w:val="20"/>
              </w:rPr>
              <w:t>Asks the grantee</w:t>
            </w:r>
            <w:r w:rsidR="00D162FA">
              <w:rPr>
                <w:rFonts w:asciiTheme="majorBidi" w:hAnsiTheme="majorBidi" w:cstheme="majorBidi"/>
                <w:iCs/>
                <w:sz w:val="20"/>
                <w:szCs w:val="20"/>
              </w:rPr>
              <w:t>s</w:t>
            </w:r>
            <w:r>
              <w:rPr>
                <w:rFonts w:asciiTheme="majorBidi" w:hAnsiTheme="majorBidi" w:cstheme="majorBidi"/>
                <w:iCs/>
                <w:sz w:val="20"/>
                <w:szCs w:val="20"/>
              </w:rPr>
              <w:t xml:space="preserve"> about facilitators and challenges in implementing the SYT program </w:t>
            </w:r>
            <w:r w:rsidR="00D162FA">
              <w:rPr>
                <w:rFonts w:asciiTheme="majorBidi" w:hAnsiTheme="majorBidi" w:cstheme="majorBidi"/>
                <w:iCs/>
                <w:sz w:val="20"/>
                <w:szCs w:val="20"/>
              </w:rPr>
              <w:t>and</w:t>
            </w:r>
            <w:r>
              <w:rPr>
                <w:rFonts w:asciiTheme="majorBidi" w:hAnsiTheme="majorBidi" w:cstheme="majorBidi"/>
                <w:iCs/>
                <w:sz w:val="20"/>
                <w:szCs w:val="20"/>
              </w:rPr>
              <w:t xml:space="preserve"> solutions they have applied to overcome these challenges.</w:t>
            </w:r>
          </w:p>
        </w:tc>
      </w:tr>
      <w:tr w:rsidR="00F07288" w:rsidRPr="008444F4" w14:paraId="144BC123" w14:textId="77777777" w:rsidTr="004A1116">
        <w:tc>
          <w:tcPr>
            <w:tcW w:w="9355" w:type="dxa"/>
            <w:tcBorders>
              <w:bottom w:val="single" w:sz="4" w:space="0" w:color="auto"/>
            </w:tcBorders>
            <w:shd w:val="clear" w:color="auto" w:fill="F2F2F2" w:themeFill="background1" w:themeFillShade="F2"/>
          </w:tcPr>
          <w:p w14:paraId="00AA7E69" w14:textId="77777777" w:rsidR="00F07288" w:rsidRPr="00C65E49" w:rsidRDefault="00F07288" w:rsidP="00F53644">
            <w:pPr>
              <w:spacing w:before="15" w:after="15" w:line="276" w:lineRule="auto"/>
              <w:rPr>
                <w:rFonts w:asciiTheme="majorBidi" w:hAnsiTheme="majorBidi" w:cstheme="majorBidi"/>
                <w:b/>
                <w:bCs/>
                <w:iCs/>
                <w:sz w:val="20"/>
                <w:szCs w:val="20"/>
              </w:rPr>
            </w:pPr>
            <w:r>
              <w:rPr>
                <w:rFonts w:asciiTheme="majorBidi" w:hAnsiTheme="majorBidi" w:cstheme="majorBidi"/>
                <w:b/>
                <w:bCs/>
                <w:iCs/>
                <w:sz w:val="20"/>
                <w:szCs w:val="20"/>
              </w:rPr>
              <w:t>Outcomes</w:t>
            </w:r>
          </w:p>
          <w:p w14:paraId="27C038B2" w14:textId="3120A7D7" w:rsidR="00F07288" w:rsidRDefault="00F07288" w:rsidP="00F53644">
            <w:pPr>
              <w:spacing w:before="15" w:after="15" w:line="276" w:lineRule="auto"/>
              <w:rPr>
                <w:rFonts w:asciiTheme="majorBidi" w:hAnsiTheme="majorBidi" w:cstheme="majorBidi"/>
                <w:iCs/>
                <w:sz w:val="20"/>
                <w:szCs w:val="20"/>
              </w:rPr>
            </w:pPr>
            <w:r>
              <w:rPr>
                <w:rFonts w:asciiTheme="majorBidi" w:hAnsiTheme="majorBidi" w:cstheme="majorBidi"/>
                <w:iCs/>
                <w:sz w:val="20"/>
                <w:szCs w:val="20"/>
              </w:rPr>
              <w:t>Asks the grantee</w:t>
            </w:r>
            <w:r w:rsidR="00D162FA">
              <w:rPr>
                <w:rFonts w:asciiTheme="majorBidi" w:hAnsiTheme="majorBidi" w:cstheme="majorBidi"/>
                <w:iCs/>
                <w:sz w:val="20"/>
                <w:szCs w:val="20"/>
              </w:rPr>
              <w:t>s</w:t>
            </w:r>
            <w:r>
              <w:rPr>
                <w:rFonts w:asciiTheme="majorBidi" w:hAnsiTheme="majorBidi" w:cstheme="majorBidi"/>
                <w:iCs/>
                <w:sz w:val="20"/>
                <w:szCs w:val="20"/>
              </w:rPr>
              <w:t xml:space="preserve"> their opinion</w:t>
            </w:r>
            <w:r w:rsidR="00D162FA">
              <w:rPr>
                <w:rFonts w:asciiTheme="majorBidi" w:hAnsiTheme="majorBidi" w:cstheme="majorBidi"/>
                <w:iCs/>
                <w:sz w:val="20"/>
                <w:szCs w:val="20"/>
              </w:rPr>
              <w:t>s</w:t>
            </w:r>
            <w:r>
              <w:rPr>
                <w:rFonts w:asciiTheme="majorBidi" w:hAnsiTheme="majorBidi" w:cstheme="majorBidi"/>
                <w:iCs/>
                <w:sz w:val="20"/>
                <w:szCs w:val="20"/>
              </w:rPr>
              <w:t xml:space="preserve"> on how successfully the SYT program has been implemented and if the existing treatment system prior to the program changed since the implementation of SYT.</w:t>
            </w:r>
          </w:p>
        </w:tc>
      </w:tr>
      <w:tr w:rsidR="004A1116" w:rsidRPr="008444F4" w14:paraId="57A4B599" w14:textId="77777777" w:rsidTr="004A1116">
        <w:tc>
          <w:tcPr>
            <w:tcW w:w="9355" w:type="dxa"/>
            <w:tcBorders>
              <w:left w:val="nil"/>
              <w:bottom w:val="nil"/>
              <w:right w:val="nil"/>
            </w:tcBorders>
            <w:shd w:val="clear" w:color="auto" w:fill="auto"/>
          </w:tcPr>
          <w:p w14:paraId="28837ED0" w14:textId="1683611C" w:rsidR="004A1116" w:rsidRDefault="004A1116" w:rsidP="004A1116">
            <w:pPr>
              <w:spacing w:before="15" w:after="15" w:line="276" w:lineRule="auto"/>
              <w:jc w:val="right"/>
              <w:rPr>
                <w:rFonts w:asciiTheme="majorBidi" w:hAnsiTheme="majorBidi" w:cstheme="majorBidi"/>
                <w:b/>
                <w:bCs/>
                <w:iCs/>
                <w:sz w:val="20"/>
                <w:szCs w:val="20"/>
              </w:rPr>
            </w:pPr>
            <w:r>
              <w:rPr>
                <w:rFonts w:asciiTheme="majorBidi" w:hAnsiTheme="majorBidi" w:cstheme="majorBidi"/>
                <w:b/>
                <w:bCs/>
                <w:iCs/>
                <w:sz w:val="20"/>
                <w:szCs w:val="20"/>
              </w:rPr>
              <w:t>(continued)</w:t>
            </w:r>
          </w:p>
        </w:tc>
      </w:tr>
      <w:tr w:rsidR="004A1116" w:rsidRPr="008444F4" w14:paraId="576416A3" w14:textId="77777777" w:rsidTr="004A1116">
        <w:tc>
          <w:tcPr>
            <w:tcW w:w="9355" w:type="dxa"/>
            <w:tcBorders>
              <w:top w:val="nil"/>
              <w:left w:val="nil"/>
              <w:bottom w:val="single" w:sz="4" w:space="0" w:color="auto"/>
              <w:right w:val="nil"/>
            </w:tcBorders>
            <w:shd w:val="clear" w:color="auto" w:fill="FFFFFF" w:themeFill="background1"/>
          </w:tcPr>
          <w:p w14:paraId="12B8D22F" w14:textId="093673A1" w:rsidR="004A1116" w:rsidRDefault="004A1116" w:rsidP="00237700">
            <w:pPr>
              <w:keepNext/>
              <w:spacing w:before="15" w:after="15" w:line="276" w:lineRule="auto"/>
              <w:rPr>
                <w:b/>
                <w:bCs/>
                <w:iCs/>
                <w:sz w:val="20"/>
                <w:szCs w:val="20"/>
              </w:rPr>
            </w:pPr>
            <w:r>
              <w:rPr>
                <w:b/>
                <w:bCs/>
                <w:iCs/>
                <w:sz w:val="20"/>
                <w:szCs w:val="20"/>
              </w:rPr>
              <w:lastRenderedPageBreak/>
              <w:t>Exhibit 2. Provider Implementation Interview Guide</w:t>
            </w:r>
          </w:p>
        </w:tc>
      </w:tr>
      <w:tr w:rsidR="00237700" w:rsidRPr="008444F4" w14:paraId="656145E3" w14:textId="77777777" w:rsidTr="004A1116">
        <w:tc>
          <w:tcPr>
            <w:tcW w:w="9355" w:type="dxa"/>
            <w:tcBorders>
              <w:top w:val="single" w:sz="4" w:space="0" w:color="auto"/>
              <w:bottom w:val="single" w:sz="4" w:space="0" w:color="auto"/>
            </w:tcBorders>
            <w:shd w:val="clear" w:color="auto" w:fill="FFFFFF" w:themeFill="background1"/>
          </w:tcPr>
          <w:p w14:paraId="7904B956" w14:textId="77777777" w:rsidR="00237700" w:rsidRPr="00F53644" w:rsidRDefault="00237700" w:rsidP="00237700">
            <w:pPr>
              <w:keepNext/>
              <w:spacing w:before="15" w:after="15" w:line="276" w:lineRule="auto"/>
              <w:rPr>
                <w:b/>
                <w:bCs/>
                <w:iCs/>
                <w:sz w:val="20"/>
                <w:szCs w:val="20"/>
              </w:rPr>
            </w:pPr>
            <w:r>
              <w:rPr>
                <w:b/>
                <w:bCs/>
                <w:iCs/>
                <w:sz w:val="20"/>
                <w:szCs w:val="20"/>
              </w:rPr>
              <w:t>End of Interview</w:t>
            </w:r>
          </w:p>
          <w:p w14:paraId="2A74FED7" w14:textId="56A5958D" w:rsidR="00237700" w:rsidRDefault="00237700" w:rsidP="00DC00B7">
            <w:pPr>
              <w:spacing w:before="15" w:after="15" w:line="276" w:lineRule="auto"/>
              <w:rPr>
                <w:rFonts w:asciiTheme="majorBidi" w:hAnsiTheme="majorBidi" w:cstheme="majorBidi"/>
                <w:b/>
                <w:bCs/>
                <w:iCs/>
                <w:sz w:val="20"/>
                <w:szCs w:val="20"/>
              </w:rPr>
            </w:pPr>
            <w:r>
              <w:rPr>
                <w:iCs/>
                <w:sz w:val="20"/>
                <w:szCs w:val="20"/>
              </w:rPr>
              <w:t>Ask</w:t>
            </w:r>
            <w:r w:rsidR="00DC00B7">
              <w:rPr>
                <w:iCs/>
                <w:sz w:val="20"/>
                <w:szCs w:val="20"/>
              </w:rPr>
              <w:t>s</w:t>
            </w:r>
            <w:r>
              <w:rPr>
                <w:iCs/>
                <w:sz w:val="20"/>
                <w:szCs w:val="20"/>
              </w:rPr>
              <w:t xml:space="preserve"> </w:t>
            </w:r>
            <w:r w:rsidR="00DC00B7">
              <w:rPr>
                <w:iCs/>
                <w:sz w:val="20"/>
                <w:szCs w:val="20"/>
              </w:rPr>
              <w:t>providers</w:t>
            </w:r>
            <w:r>
              <w:rPr>
                <w:iCs/>
                <w:sz w:val="20"/>
                <w:szCs w:val="20"/>
              </w:rPr>
              <w:t xml:space="preserve"> to share any additional issues or data that should be reported/collected.</w:t>
            </w:r>
          </w:p>
        </w:tc>
      </w:tr>
    </w:tbl>
    <w:p w14:paraId="6EDD2BA0" w14:textId="361DCA22" w:rsidR="00F07288" w:rsidRDefault="00F07288" w:rsidP="00F53644">
      <w:pPr>
        <w:pStyle w:val="Heading4"/>
        <w:spacing w:before="240"/>
      </w:pPr>
      <w:r>
        <w:t>Sustainability Interview Guides</w:t>
      </w:r>
    </w:p>
    <w:p w14:paraId="5ADF61BB" w14:textId="292EA5CA" w:rsidR="00F07288" w:rsidRPr="005514C5" w:rsidRDefault="00F07288" w:rsidP="007E4693">
      <w:pPr>
        <w:pStyle w:val="BodyText"/>
      </w:pPr>
      <w:r>
        <w:t xml:space="preserve">The purpose of the </w:t>
      </w:r>
      <w:r w:rsidR="00FD26E2" w:rsidRPr="00FD26E2">
        <w:rPr>
          <w:i/>
        </w:rPr>
        <w:t>Sustainability Interview G</w:t>
      </w:r>
      <w:r w:rsidRPr="00FD26E2">
        <w:rPr>
          <w:i/>
        </w:rPr>
        <w:t>uides</w:t>
      </w:r>
      <w:r>
        <w:t xml:space="preserve"> is to understand efforts the grantee and providers have made towards establishing a sustainability plan; what aspects of the </w:t>
      </w:r>
      <w:r w:rsidR="00E6245E">
        <w:t xml:space="preserve">SYT </w:t>
      </w:r>
      <w:r>
        <w:t xml:space="preserve">programs they found most useful and if they plan on sustaining these aspects; facilitators and challenges </w:t>
      </w:r>
      <w:r w:rsidR="005A69BD">
        <w:t>to</w:t>
      </w:r>
      <w:r>
        <w:t xml:space="preserve"> successfully sustaining these programs; and possible key stakeholders involved in program</w:t>
      </w:r>
      <w:r w:rsidR="008002F4">
        <w:t xml:space="preserve"> sustainability</w:t>
      </w:r>
      <w:r>
        <w:t xml:space="preserve">. </w:t>
      </w:r>
      <w:r w:rsidR="00D57FE7">
        <w:t xml:space="preserve">Each SYT grantee and provider will be asked to complete the </w:t>
      </w:r>
      <w:r w:rsidR="00245E6F">
        <w:rPr>
          <w:iCs/>
        </w:rPr>
        <w:t>sustainability i</w:t>
      </w:r>
      <w:r w:rsidR="00D57FE7" w:rsidRPr="005514C5">
        <w:rPr>
          <w:iCs/>
        </w:rPr>
        <w:t>nterview</w:t>
      </w:r>
      <w:r w:rsidR="00D57FE7" w:rsidRPr="005514C5">
        <w:t xml:space="preserve"> once during the final year of their grant program. </w:t>
      </w:r>
      <w:r w:rsidR="00F53644" w:rsidRPr="005514C5">
        <w:rPr>
          <w:b/>
          <w:bCs/>
        </w:rPr>
        <w:t>Exhibit</w:t>
      </w:r>
      <w:r w:rsidR="00562DF1" w:rsidRPr="005514C5">
        <w:rPr>
          <w:b/>
          <w:bCs/>
        </w:rPr>
        <w:t xml:space="preserve"> 3</w:t>
      </w:r>
      <w:r w:rsidR="00562DF1" w:rsidRPr="005514C5">
        <w:t xml:space="preserve"> provides a brief description of each section</w:t>
      </w:r>
      <w:r w:rsidR="00D62D6E" w:rsidRPr="005514C5">
        <w:t xml:space="preserve"> </w:t>
      </w:r>
      <w:r w:rsidR="00562DF1" w:rsidRPr="005514C5">
        <w:t xml:space="preserve">and the </w:t>
      </w:r>
      <w:r w:rsidR="00FD26E2" w:rsidRPr="00FD26E2">
        <w:rPr>
          <w:i/>
        </w:rPr>
        <w:t>Sustainability Interview Guides</w:t>
      </w:r>
      <w:r w:rsidR="00FD26E2">
        <w:t xml:space="preserve"> </w:t>
      </w:r>
      <w:r w:rsidR="00562DF1" w:rsidRPr="005514C5">
        <w:rPr>
          <w:iCs/>
        </w:rPr>
        <w:t xml:space="preserve">can be found in Attachment </w:t>
      </w:r>
      <w:r w:rsidR="00633A9C" w:rsidRPr="005514C5">
        <w:rPr>
          <w:iCs/>
        </w:rPr>
        <w:t>3</w:t>
      </w:r>
      <w:r w:rsidR="00562DF1" w:rsidRPr="005514C5">
        <w:rPr>
          <w:iCs/>
        </w:rPr>
        <w:t>.</w:t>
      </w:r>
      <w:r w:rsidRPr="005514C5">
        <w:t xml:space="preserve"> </w:t>
      </w:r>
    </w:p>
    <w:p w14:paraId="2FC6EAF4" w14:textId="78C525B3" w:rsidR="00F07288" w:rsidRPr="00957AA3" w:rsidRDefault="00F53644" w:rsidP="00F53644">
      <w:pPr>
        <w:pStyle w:val="Exhibittitle"/>
      </w:pPr>
      <w:r>
        <w:t>Exhibit</w:t>
      </w:r>
      <w:r w:rsidRPr="00C77D30">
        <w:t xml:space="preserve"> </w:t>
      </w:r>
      <w:r w:rsidR="00F07288">
        <w:t xml:space="preserve">3. </w:t>
      </w:r>
      <w:r>
        <w:tab/>
      </w:r>
      <w:r w:rsidR="00F07288">
        <w:t>Grantee and Provider Sustainability</w:t>
      </w:r>
      <w:r w:rsidR="00F07288" w:rsidRPr="00EA7FB9">
        <w:t xml:space="preserve"> </w:t>
      </w:r>
      <w:r w:rsidR="00F07288">
        <w:t>Interview Guides</w:t>
      </w:r>
    </w:p>
    <w:tbl>
      <w:tblPr>
        <w:tblStyle w:val="LightShading"/>
        <w:tblW w:w="9355" w:type="dxa"/>
        <w:tblLook w:val="04A0" w:firstRow="1" w:lastRow="0" w:firstColumn="1" w:lastColumn="0" w:noHBand="0" w:noVBand="1"/>
      </w:tblPr>
      <w:tblGrid>
        <w:gridCol w:w="9355"/>
      </w:tblGrid>
      <w:tr w:rsidR="00F07288" w:rsidRPr="00217448" w14:paraId="676BD8DF" w14:textId="77777777" w:rsidTr="00F53644">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355" w:type="dxa"/>
            <w:tcBorders>
              <w:top w:val="single" w:sz="4" w:space="0" w:color="auto"/>
              <w:left w:val="single" w:sz="4" w:space="0" w:color="auto"/>
              <w:bottom w:val="nil"/>
              <w:right w:val="single" w:sz="4" w:space="0" w:color="auto"/>
            </w:tcBorders>
            <w:shd w:val="clear" w:color="auto" w:fill="F2F2F2" w:themeFill="background1" w:themeFillShade="F2"/>
          </w:tcPr>
          <w:p w14:paraId="7D305A6B" w14:textId="77777777" w:rsidR="00F07288" w:rsidRPr="00BD5D89" w:rsidRDefault="00F07288" w:rsidP="00F53644">
            <w:pPr>
              <w:keepNext/>
              <w:keepLines/>
              <w:spacing w:before="15" w:after="15" w:line="276" w:lineRule="auto"/>
              <w:rPr>
                <w:rFonts w:asciiTheme="majorBidi" w:hAnsiTheme="majorBidi" w:cstheme="majorBidi"/>
                <w:iCs/>
                <w:sz w:val="20"/>
                <w:szCs w:val="20"/>
              </w:rPr>
            </w:pPr>
            <w:r>
              <w:rPr>
                <w:rFonts w:asciiTheme="majorBidi" w:hAnsiTheme="majorBidi" w:cstheme="majorBidi"/>
                <w:iCs/>
                <w:sz w:val="20"/>
                <w:szCs w:val="20"/>
              </w:rPr>
              <w:t>Involvement/Overview</w:t>
            </w:r>
          </w:p>
          <w:p w14:paraId="4309BB86" w14:textId="33A9DD53" w:rsidR="00F07288" w:rsidRPr="008063A8" w:rsidRDefault="00F07288" w:rsidP="00C22459">
            <w:pPr>
              <w:keepNext/>
              <w:keepLines/>
              <w:spacing w:before="15" w:after="15" w:line="276" w:lineRule="auto"/>
              <w:rPr>
                <w:rFonts w:asciiTheme="majorBidi" w:hAnsiTheme="majorBidi" w:cstheme="majorBidi"/>
                <w:b w:val="0"/>
                <w:bCs w:val="0"/>
                <w:iCs/>
                <w:sz w:val="20"/>
                <w:szCs w:val="20"/>
              </w:rPr>
            </w:pPr>
            <w:r w:rsidRPr="008063A8">
              <w:rPr>
                <w:rFonts w:asciiTheme="majorBidi" w:hAnsiTheme="majorBidi" w:cstheme="majorBidi"/>
                <w:b w:val="0"/>
                <w:bCs w:val="0"/>
                <w:iCs/>
                <w:sz w:val="20"/>
                <w:szCs w:val="20"/>
              </w:rPr>
              <w:t>Asks for general information on the grantees</w:t>
            </w:r>
            <w:r w:rsidR="00D62D6E">
              <w:rPr>
                <w:rFonts w:asciiTheme="majorBidi" w:hAnsiTheme="majorBidi" w:cstheme="majorBidi"/>
                <w:b w:val="0"/>
                <w:bCs w:val="0"/>
                <w:iCs/>
                <w:sz w:val="20"/>
                <w:szCs w:val="20"/>
              </w:rPr>
              <w:t>’</w:t>
            </w:r>
            <w:r w:rsidRPr="008063A8">
              <w:rPr>
                <w:rFonts w:asciiTheme="majorBidi" w:hAnsiTheme="majorBidi" w:cstheme="majorBidi"/>
                <w:b w:val="0"/>
                <w:bCs w:val="0"/>
                <w:iCs/>
                <w:sz w:val="20"/>
                <w:szCs w:val="20"/>
              </w:rPr>
              <w:t xml:space="preserve"> role</w:t>
            </w:r>
            <w:r w:rsidR="00D62D6E">
              <w:rPr>
                <w:rFonts w:asciiTheme="majorBidi" w:hAnsiTheme="majorBidi" w:cstheme="majorBidi"/>
                <w:b w:val="0"/>
                <w:bCs w:val="0"/>
                <w:iCs/>
                <w:sz w:val="20"/>
                <w:szCs w:val="20"/>
              </w:rPr>
              <w:t>s</w:t>
            </w:r>
            <w:r w:rsidRPr="008063A8">
              <w:rPr>
                <w:rFonts w:asciiTheme="majorBidi" w:hAnsiTheme="majorBidi" w:cstheme="majorBidi"/>
                <w:b w:val="0"/>
                <w:bCs w:val="0"/>
                <w:iCs/>
                <w:sz w:val="20"/>
                <w:szCs w:val="20"/>
              </w:rPr>
              <w:t xml:space="preserve"> in their state</w:t>
            </w:r>
            <w:r w:rsidR="005A69BD">
              <w:rPr>
                <w:rFonts w:asciiTheme="majorBidi" w:hAnsiTheme="majorBidi" w:cstheme="majorBidi"/>
                <w:b w:val="0"/>
                <w:bCs w:val="0"/>
                <w:iCs/>
                <w:sz w:val="20"/>
                <w:szCs w:val="20"/>
              </w:rPr>
              <w:t>/territory/tribe</w:t>
            </w:r>
            <w:r w:rsidRPr="008063A8">
              <w:rPr>
                <w:rFonts w:asciiTheme="majorBidi" w:hAnsiTheme="majorBidi" w:cstheme="majorBidi"/>
                <w:b w:val="0"/>
                <w:bCs w:val="0"/>
                <w:iCs/>
                <w:sz w:val="20"/>
                <w:szCs w:val="20"/>
              </w:rPr>
              <w:t xml:space="preserve"> agenc</w:t>
            </w:r>
            <w:r w:rsidR="00D62D6E">
              <w:rPr>
                <w:rFonts w:asciiTheme="majorBidi" w:hAnsiTheme="majorBidi" w:cstheme="majorBidi"/>
                <w:b w:val="0"/>
                <w:bCs w:val="0"/>
                <w:iCs/>
                <w:sz w:val="20"/>
                <w:szCs w:val="20"/>
              </w:rPr>
              <w:t>ies</w:t>
            </w:r>
            <w:r w:rsidRPr="008063A8">
              <w:rPr>
                <w:rFonts w:asciiTheme="majorBidi" w:hAnsiTheme="majorBidi" w:cstheme="majorBidi"/>
                <w:b w:val="0"/>
                <w:bCs w:val="0"/>
                <w:iCs/>
                <w:sz w:val="20"/>
                <w:szCs w:val="20"/>
              </w:rPr>
              <w:t xml:space="preserve"> </w:t>
            </w:r>
            <w:r w:rsidR="00D62D6E">
              <w:rPr>
                <w:rFonts w:asciiTheme="majorBidi" w:hAnsiTheme="majorBidi" w:cstheme="majorBidi"/>
                <w:b w:val="0"/>
                <w:bCs w:val="0"/>
                <w:iCs/>
                <w:sz w:val="20"/>
                <w:szCs w:val="20"/>
              </w:rPr>
              <w:t>and</w:t>
            </w:r>
            <w:r w:rsidRPr="008063A8">
              <w:rPr>
                <w:rFonts w:asciiTheme="majorBidi" w:hAnsiTheme="majorBidi" w:cstheme="majorBidi"/>
                <w:b w:val="0"/>
                <w:bCs w:val="0"/>
                <w:iCs/>
                <w:sz w:val="20"/>
                <w:szCs w:val="20"/>
              </w:rPr>
              <w:t xml:space="preserve"> their involvement with the </w:t>
            </w:r>
            <w:r w:rsidR="00C22459">
              <w:rPr>
                <w:rFonts w:asciiTheme="majorBidi" w:hAnsiTheme="majorBidi" w:cstheme="majorBidi"/>
                <w:b w:val="0"/>
                <w:bCs w:val="0"/>
                <w:iCs/>
                <w:sz w:val="20"/>
                <w:szCs w:val="20"/>
              </w:rPr>
              <w:t xml:space="preserve">SYT </w:t>
            </w:r>
            <w:r w:rsidRPr="008063A8">
              <w:rPr>
                <w:rFonts w:asciiTheme="majorBidi" w:hAnsiTheme="majorBidi" w:cstheme="majorBidi"/>
                <w:b w:val="0"/>
                <w:bCs w:val="0"/>
                <w:iCs/>
                <w:sz w:val="20"/>
                <w:szCs w:val="20"/>
              </w:rPr>
              <w:t xml:space="preserve">program. </w:t>
            </w:r>
          </w:p>
        </w:tc>
      </w:tr>
      <w:tr w:rsidR="00237700" w:rsidRPr="00217448" w14:paraId="78D8CB1F" w14:textId="77777777" w:rsidTr="0023770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355" w:type="dxa"/>
            <w:tcBorders>
              <w:top w:val="single" w:sz="4" w:space="0" w:color="auto"/>
              <w:left w:val="single" w:sz="4" w:space="0" w:color="auto"/>
              <w:bottom w:val="single" w:sz="4" w:space="0" w:color="auto"/>
              <w:right w:val="single" w:sz="4" w:space="0" w:color="auto"/>
            </w:tcBorders>
            <w:shd w:val="clear" w:color="auto" w:fill="FFFFFF" w:themeFill="background1"/>
          </w:tcPr>
          <w:p w14:paraId="2FF563DE" w14:textId="1931CEF2" w:rsidR="00237700" w:rsidRDefault="00237700" w:rsidP="00F53644">
            <w:pPr>
              <w:spacing w:before="15" w:after="15" w:line="276" w:lineRule="auto"/>
              <w:rPr>
                <w:rFonts w:asciiTheme="majorBidi" w:hAnsiTheme="majorBidi" w:cstheme="majorBidi"/>
                <w:b w:val="0"/>
                <w:bCs w:val="0"/>
                <w:iCs/>
                <w:sz w:val="20"/>
                <w:szCs w:val="20"/>
              </w:rPr>
            </w:pPr>
            <w:r w:rsidRPr="00237700">
              <w:rPr>
                <w:rFonts w:asciiTheme="majorBidi" w:hAnsiTheme="majorBidi" w:cstheme="majorBidi"/>
                <w:iCs/>
                <w:sz w:val="20"/>
                <w:szCs w:val="20"/>
              </w:rPr>
              <w:t>Service Delivery</w:t>
            </w:r>
            <w:r>
              <w:rPr>
                <w:rFonts w:asciiTheme="majorBidi" w:hAnsiTheme="majorBidi" w:cstheme="majorBidi"/>
                <w:b w:val="0"/>
                <w:bCs w:val="0"/>
                <w:iCs/>
                <w:sz w:val="20"/>
                <w:szCs w:val="20"/>
              </w:rPr>
              <w:t xml:space="preserve"> (Providers only)</w:t>
            </w:r>
          </w:p>
          <w:p w14:paraId="6F2EFE25" w14:textId="0D60BB32" w:rsidR="00237700" w:rsidRPr="00237700" w:rsidRDefault="00DC00B7" w:rsidP="00F53644">
            <w:pPr>
              <w:spacing w:before="15" w:after="15" w:line="276" w:lineRule="auto"/>
              <w:rPr>
                <w:rFonts w:asciiTheme="majorBidi" w:hAnsiTheme="majorBidi" w:cstheme="majorBidi"/>
                <w:b w:val="0"/>
                <w:bCs w:val="0"/>
                <w:iCs/>
                <w:sz w:val="20"/>
                <w:szCs w:val="20"/>
              </w:rPr>
            </w:pPr>
            <w:r>
              <w:rPr>
                <w:rFonts w:asciiTheme="majorBidi" w:hAnsiTheme="majorBidi" w:cstheme="majorBidi"/>
                <w:b w:val="0"/>
                <w:bCs w:val="0"/>
                <w:iCs/>
                <w:sz w:val="20"/>
                <w:szCs w:val="20"/>
              </w:rPr>
              <w:t xml:space="preserve">Ask for general information about the types of services provided to youth and their families and their sustainability after grant funding. </w:t>
            </w:r>
          </w:p>
        </w:tc>
      </w:tr>
      <w:tr w:rsidR="00F07288" w:rsidRPr="00217448" w14:paraId="3E347117" w14:textId="77777777" w:rsidTr="00DC00B7">
        <w:trPr>
          <w:cantSplit/>
        </w:trPr>
        <w:tc>
          <w:tcPr>
            <w:cnfStyle w:val="001000000000" w:firstRow="0" w:lastRow="0" w:firstColumn="1" w:lastColumn="0" w:oddVBand="0" w:evenVBand="0" w:oddHBand="0" w:evenHBand="0" w:firstRowFirstColumn="0" w:firstRowLastColumn="0" w:lastRowFirstColumn="0" w:lastRowLastColumn="0"/>
            <w:tcW w:w="93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8BF124" w14:textId="77777777" w:rsidR="00F07288" w:rsidRPr="00BD5D89" w:rsidRDefault="00F07288" w:rsidP="00F53644">
            <w:pPr>
              <w:spacing w:before="15" w:after="15" w:line="276" w:lineRule="auto"/>
              <w:rPr>
                <w:rFonts w:asciiTheme="majorBidi" w:hAnsiTheme="majorBidi" w:cstheme="majorBidi"/>
                <w:iCs/>
                <w:sz w:val="20"/>
                <w:szCs w:val="20"/>
              </w:rPr>
            </w:pPr>
            <w:r>
              <w:rPr>
                <w:rFonts w:asciiTheme="majorBidi" w:hAnsiTheme="majorBidi" w:cstheme="majorBidi"/>
                <w:iCs/>
                <w:sz w:val="20"/>
                <w:szCs w:val="20"/>
              </w:rPr>
              <w:t>Sustainability</w:t>
            </w:r>
          </w:p>
          <w:p w14:paraId="46AEE282" w14:textId="169C7938" w:rsidR="00F07288" w:rsidRPr="008063A8" w:rsidRDefault="00F07288" w:rsidP="000A3C2F">
            <w:pPr>
              <w:spacing w:before="15" w:after="15" w:line="276" w:lineRule="auto"/>
              <w:rPr>
                <w:rFonts w:asciiTheme="majorBidi" w:hAnsiTheme="majorBidi" w:cstheme="majorBidi"/>
                <w:b w:val="0"/>
                <w:bCs w:val="0"/>
                <w:iCs/>
                <w:sz w:val="20"/>
                <w:szCs w:val="20"/>
              </w:rPr>
            </w:pPr>
            <w:r w:rsidRPr="008063A8">
              <w:rPr>
                <w:rFonts w:asciiTheme="majorBidi" w:hAnsiTheme="majorBidi" w:cstheme="majorBidi"/>
                <w:b w:val="0"/>
                <w:bCs w:val="0"/>
                <w:iCs/>
                <w:sz w:val="20"/>
                <w:szCs w:val="20"/>
              </w:rPr>
              <w:t>Establishes a baseline understanding of how grantees</w:t>
            </w:r>
            <w:r w:rsidR="005A69BD">
              <w:rPr>
                <w:rFonts w:asciiTheme="majorBidi" w:hAnsiTheme="majorBidi" w:cstheme="majorBidi"/>
                <w:b w:val="0"/>
                <w:bCs w:val="0"/>
                <w:iCs/>
                <w:sz w:val="20"/>
                <w:szCs w:val="20"/>
              </w:rPr>
              <w:t>/providers</w:t>
            </w:r>
            <w:r w:rsidRPr="008063A8">
              <w:rPr>
                <w:rFonts w:asciiTheme="majorBidi" w:hAnsiTheme="majorBidi" w:cstheme="majorBidi"/>
                <w:b w:val="0"/>
                <w:bCs w:val="0"/>
                <w:iCs/>
                <w:sz w:val="20"/>
                <w:szCs w:val="20"/>
              </w:rPr>
              <w:t xml:space="preserve"> plan to sustain their projects after SAMHSA funding ends by identifying sustainability plans, resources needed, factors contributing to or impeding successful sustainability of the program, activities</w:t>
            </w:r>
            <w:r w:rsidR="00D62D6E">
              <w:rPr>
                <w:rFonts w:asciiTheme="majorBidi" w:hAnsiTheme="majorBidi" w:cstheme="majorBidi"/>
                <w:b w:val="0"/>
                <w:bCs w:val="0"/>
                <w:iCs/>
                <w:sz w:val="20"/>
                <w:szCs w:val="20"/>
              </w:rPr>
              <w:t>,</w:t>
            </w:r>
            <w:r w:rsidRPr="008063A8">
              <w:rPr>
                <w:rFonts w:asciiTheme="majorBidi" w:hAnsiTheme="majorBidi" w:cstheme="majorBidi"/>
                <w:b w:val="0"/>
                <w:bCs w:val="0"/>
                <w:iCs/>
                <w:sz w:val="20"/>
                <w:szCs w:val="20"/>
              </w:rPr>
              <w:t xml:space="preserve"> and the partners involved in sustainability efforts.</w:t>
            </w:r>
          </w:p>
        </w:tc>
      </w:tr>
    </w:tbl>
    <w:tbl>
      <w:tblPr>
        <w:tblStyle w:val="TableGrid"/>
        <w:tblW w:w="9355" w:type="dxa"/>
        <w:tblBorders>
          <w:top w:val="none" w:sz="0" w:space="0" w:color="auto"/>
          <w:insideH w:val="none" w:sz="0" w:space="0" w:color="auto"/>
          <w:insideV w:val="none" w:sz="0" w:space="0" w:color="auto"/>
        </w:tblBorders>
        <w:tblLook w:val="04A0" w:firstRow="1" w:lastRow="0" w:firstColumn="1" w:lastColumn="0" w:noHBand="0" w:noVBand="1"/>
      </w:tblPr>
      <w:tblGrid>
        <w:gridCol w:w="9355"/>
      </w:tblGrid>
      <w:tr w:rsidR="00237700" w:rsidRPr="008444F4" w14:paraId="1FD5ABF2" w14:textId="77777777" w:rsidTr="00237700">
        <w:tc>
          <w:tcPr>
            <w:tcW w:w="9355" w:type="dxa"/>
            <w:shd w:val="clear" w:color="auto" w:fill="FFFFFF" w:themeFill="background1"/>
          </w:tcPr>
          <w:p w14:paraId="6E1E7439" w14:textId="77777777" w:rsidR="00237700" w:rsidRPr="00F53644" w:rsidRDefault="00237700" w:rsidP="00237700">
            <w:pPr>
              <w:keepNext/>
              <w:spacing w:before="15" w:after="15" w:line="276" w:lineRule="auto"/>
              <w:rPr>
                <w:b/>
                <w:bCs/>
                <w:iCs/>
                <w:sz w:val="20"/>
                <w:szCs w:val="20"/>
              </w:rPr>
            </w:pPr>
            <w:r>
              <w:rPr>
                <w:b/>
                <w:bCs/>
                <w:iCs/>
                <w:sz w:val="20"/>
                <w:szCs w:val="20"/>
              </w:rPr>
              <w:t>End of Interview</w:t>
            </w:r>
          </w:p>
          <w:p w14:paraId="215DA027" w14:textId="29671D56" w:rsidR="00237700" w:rsidRDefault="00237700" w:rsidP="00237700">
            <w:pPr>
              <w:spacing w:before="15" w:after="15" w:line="276" w:lineRule="auto"/>
              <w:rPr>
                <w:rFonts w:asciiTheme="majorBidi" w:hAnsiTheme="majorBidi" w:cstheme="majorBidi"/>
                <w:b/>
                <w:bCs/>
                <w:iCs/>
                <w:sz w:val="20"/>
                <w:szCs w:val="20"/>
              </w:rPr>
            </w:pPr>
            <w:r>
              <w:rPr>
                <w:iCs/>
                <w:sz w:val="20"/>
                <w:szCs w:val="20"/>
              </w:rPr>
              <w:t>Ask</w:t>
            </w:r>
            <w:r w:rsidR="00DC00B7">
              <w:rPr>
                <w:iCs/>
                <w:sz w:val="20"/>
                <w:szCs w:val="20"/>
              </w:rPr>
              <w:t>s</w:t>
            </w:r>
            <w:r>
              <w:rPr>
                <w:iCs/>
                <w:sz w:val="20"/>
                <w:szCs w:val="20"/>
              </w:rPr>
              <w:t xml:space="preserve"> grantees</w:t>
            </w:r>
            <w:r w:rsidR="00DC00B7">
              <w:rPr>
                <w:iCs/>
                <w:sz w:val="20"/>
                <w:szCs w:val="20"/>
              </w:rPr>
              <w:t>/providers</w:t>
            </w:r>
            <w:r>
              <w:rPr>
                <w:iCs/>
                <w:sz w:val="20"/>
                <w:szCs w:val="20"/>
              </w:rPr>
              <w:t xml:space="preserve"> to share any additional issues to discuss.</w:t>
            </w:r>
          </w:p>
        </w:tc>
      </w:tr>
    </w:tbl>
    <w:p w14:paraId="658C675F" w14:textId="3E443B50" w:rsidR="00F07288" w:rsidRDefault="00F07288" w:rsidP="00F53644">
      <w:pPr>
        <w:pStyle w:val="Heading4"/>
        <w:spacing w:before="240"/>
      </w:pPr>
      <w:r w:rsidRPr="00932BD6">
        <w:t xml:space="preserve">Stakeholder </w:t>
      </w:r>
      <w:r>
        <w:t>Interview Guides</w:t>
      </w:r>
    </w:p>
    <w:p w14:paraId="615CA162" w14:textId="223DE701" w:rsidR="00562DF1" w:rsidRPr="00ED4619" w:rsidRDefault="00FD26E2" w:rsidP="007E4693">
      <w:pPr>
        <w:pStyle w:val="BodyText"/>
      </w:pPr>
      <w:r>
        <w:t xml:space="preserve">The purpose of the </w:t>
      </w:r>
      <w:r w:rsidRPr="00FD26E2">
        <w:rPr>
          <w:i/>
        </w:rPr>
        <w:t>S</w:t>
      </w:r>
      <w:r w:rsidR="00F07288" w:rsidRPr="00FD26E2">
        <w:rPr>
          <w:i/>
        </w:rPr>
        <w:t xml:space="preserve">takeholder </w:t>
      </w:r>
      <w:r w:rsidRPr="00FD26E2">
        <w:rPr>
          <w:i/>
        </w:rPr>
        <w:t>Interview G</w:t>
      </w:r>
      <w:r w:rsidR="00F07288" w:rsidRPr="00FD26E2">
        <w:rPr>
          <w:i/>
        </w:rPr>
        <w:t>uide</w:t>
      </w:r>
      <w:r w:rsidR="00F07288" w:rsidRPr="00A16653">
        <w:t xml:space="preserve"> is to learn about </w:t>
      </w:r>
      <w:r w:rsidR="00D57FE7">
        <w:t>the SYT</w:t>
      </w:r>
      <w:r w:rsidR="00E6245E">
        <w:t xml:space="preserve"> </w:t>
      </w:r>
      <w:r w:rsidR="00F07288">
        <w:t xml:space="preserve">programs </w:t>
      </w:r>
      <w:r w:rsidR="00F07288" w:rsidRPr="00A16653">
        <w:t>from the perspective of key stakeholders a</w:t>
      </w:r>
      <w:r w:rsidR="00F07288">
        <w:t>nd local funders.</w:t>
      </w:r>
      <w:r>
        <w:t xml:space="preserve"> The </w:t>
      </w:r>
      <w:r w:rsidRPr="00FD26E2">
        <w:rPr>
          <w:i/>
        </w:rPr>
        <w:t>Interview G</w:t>
      </w:r>
      <w:r w:rsidR="00F07288" w:rsidRPr="00FD26E2">
        <w:rPr>
          <w:i/>
        </w:rPr>
        <w:t>uide</w:t>
      </w:r>
      <w:r w:rsidR="00F07288" w:rsidRPr="00A16653">
        <w:t xml:space="preserve"> aims to learn about </w:t>
      </w:r>
      <w:r w:rsidR="005A69BD">
        <w:t>other state/territory/tribe</w:t>
      </w:r>
      <w:r w:rsidR="00F07288" w:rsidRPr="00A16653">
        <w:t xml:space="preserve"> agencies</w:t>
      </w:r>
      <w:r w:rsidR="00D62D6E">
        <w:t xml:space="preserve"> and </w:t>
      </w:r>
      <w:r w:rsidR="005A69BD">
        <w:t xml:space="preserve">community-based </w:t>
      </w:r>
      <w:r w:rsidR="00F07288" w:rsidRPr="00A16653">
        <w:t xml:space="preserve">providers involved in the </w:t>
      </w:r>
      <w:r w:rsidR="00F07288">
        <w:t>programs</w:t>
      </w:r>
      <w:r w:rsidR="00D62D6E">
        <w:t>;</w:t>
      </w:r>
      <w:r w:rsidR="00F07288" w:rsidRPr="00A16653">
        <w:t xml:space="preserve"> the ways in which they are involved</w:t>
      </w:r>
      <w:r w:rsidR="00D62D6E">
        <w:t>;</w:t>
      </w:r>
      <w:r w:rsidR="00F07288" w:rsidRPr="00A16653">
        <w:t xml:space="preserve"> </w:t>
      </w:r>
      <w:r w:rsidR="00F07288">
        <w:t>and</w:t>
      </w:r>
      <w:r w:rsidR="00F07288" w:rsidRPr="00A16653">
        <w:t xml:space="preserve"> their perspective</w:t>
      </w:r>
      <w:r w:rsidR="00F07288">
        <w:t>s</w:t>
      </w:r>
      <w:r w:rsidR="00F07288" w:rsidRPr="00A16653">
        <w:t xml:space="preserve"> on how the </w:t>
      </w:r>
      <w:r w:rsidR="00F07288">
        <w:t>programs</w:t>
      </w:r>
      <w:r w:rsidR="00F07288" w:rsidRPr="00A16653">
        <w:t xml:space="preserve"> </w:t>
      </w:r>
      <w:r w:rsidR="00F07288">
        <w:t>have</w:t>
      </w:r>
      <w:r w:rsidR="00F07288" w:rsidRPr="00A16653">
        <w:t xml:space="preserve"> been implemented, </w:t>
      </w:r>
      <w:r w:rsidR="00D62D6E">
        <w:t>their</w:t>
      </w:r>
      <w:r w:rsidR="00F07288" w:rsidRPr="00A16653">
        <w:t xml:space="preserve"> impact</w:t>
      </w:r>
      <w:r w:rsidR="00F07288">
        <w:t xml:space="preserve"> on and </w:t>
      </w:r>
      <w:r w:rsidR="00F07288" w:rsidRPr="00A16653">
        <w:t>contribution to the community</w:t>
      </w:r>
      <w:r w:rsidR="00F07288">
        <w:t>,</w:t>
      </w:r>
      <w:r w:rsidR="00F07288" w:rsidRPr="00A16653">
        <w:t xml:space="preserve"> and efforts made toward sustainability.</w:t>
      </w:r>
      <w:r w:rsidR="00207E4C">
        <w:t xml:space="preserve"> </w:t>
      </w:r>
      <w:r w:rsidR="00F07288">
        <w:t>The key stakeholders will be identified through the SYT grantee and provider implementation and sustainability interviews</w:t>
      </w:r>
      <w:r w:rsidR="00760F1B">
        <w:t>,</w:t>
      </w:r>
      <w:r w:rsidR="005A69BD">
        <w:t xml:space="preserve"> as well as through document review and an environmental scan</w:t>
      </w:r>
      <w:r w:rsidR="00F07288">
        <w:t>.</w:t>
      </w:r>
      <w:r w:rsidR="00207E4C">
        <w:t xml:space="preserve"> </w:t>
      </w:r>
      <w:r w:rsidR="009B1BAF">
        <w:t xml:space="preserve">Stakeholders will be asked to complete the </w:t>
      </w:r>
      <w:r w:rsidR="00245E6F">
        <w:rPr>
          <w:iCs/>
        </w:rPr>
        <w:t>stakeholder i</w:t>
      </w:r>
      <w:r w:rsidR="009B1BAF" w:rsidRPr="005A69BD">
        <w:rPr>
          <w:iCs/>
        </w:rPr>
        <w:t>nterview</w:t>
      </w:r>
      <w:r w:rsidR="009B1BAF">
        <w:t xml:space="preserve"> once during the course of the grant program. </w:t>
      </w:r>
      <w:r w:rsidR="00F53644">
        <w:rPr>
          <w:b/>
          <w:bCs/>
          <w:i/>
        </w:rPr>
        <w:t>Exhibit</w:t>
      </w:r>
      <w:r w:rsidR="00562DF1" w:rsidRPr="00C47473">
        <w:rPr>
          <w:b/>
          <w:bCs/>
          <w:i/>
        </w:rPr>
        <w:t xml:space="preserve"> 4</w:t>
      </w:r>
      <w:r w:rsidR="00562DF1" w:rsidRPr="00E67004">
        <w:t xml:space="preserve"> </w:t>
      </w:r>
      <w:r w:rsidR="00562DF1">
        <w:t>p</w:t>
      </w:r>
      <w:r w:rsidR="00562DF1" w:rsidRPr="00E67004">
        <w:t>rovides a brief description of each section</w:t>
      </w:r>
      <w:r w:rsidR="00D62D6E">
        <w:t xml:space="preserve"> </w:t>
      </w:r>
      <w:r w:rsidR="00562DF1">
        <w:t xml:space="preserve">and the </w:t>
      </w:r>
      <w:r w:rsidR="00562DF1" w:rsidRPr="00FD26E2">
        <w:rPr>
          <w:rFonts w:cs="Arial"/>
          <w:bCs/>
          <w:i/>
          <w:iCs/>
          <w:szCs w:val="28"/>
        </w:rPr>
        <w:t xml:space="preserve">Stakeholder </w:t>
      </w:r>
      <w:r w:rsidRPr="00FD26E2">
        <w:rPr>
          <w:rFonts w:cs="Arial"/>
          <w:bCs/>
          <w:i/>
          <w:iCs/>
          <w:szCs w:val="28"/>
        </w:rPr>
        <w:t>Interview G</w:t>
      </w:r>
      <w:r w:rsidR="005514C5" w:rsidRPr="00FD26E2">
        <w:rPr>
          <w:rFonts w:cs="Arial"/>
          <w:bCs/>
          <w:i/>
          <w:iCs/>
          <w:szCs w:val="28"/>
        </w:rPr>
        <w:t>uide</w:t>
      </w:r>
      <w:r w:rsidR="00562DF1">
        <w:rPr>
          <w:rFonts w:cs="Arial"/>
          <w:bCs/>
          <w:i/>
          <w:iCs/>
          <w:szCs w:val="28"/>
        </w:rPr>
        <w:t xml:space="preserve"> </w:t>
      </w:r>
      <w:r w:rsidR="00562DF1">
        <w:rPr>
          <w:iCs/>
        </w:rPr>
        <w:t xml:space="preserve">can be found in </w:t>
      </w:r>
      <w:r w:rsidR="00562DF1" w:rsidRPr="00A60B8E">
        <w:rPr>
          <w:iCs/>
        </w:rPr>
        <w:t xml:space="preserve">Attachment </w:t>
      </w:r>
      <w:r w:rsidR="00A60B8E" w:rsidRPr="00A60B8E">
        <w:rPr>
          <w:iCs/>
        </w:rPr>
        <w:t>4</w:t>
      </w:r>
      <w:r w:rsidR="00562DF1" w:rsidRPr="00A60B8E">
        <w:rPr>
          <w:iCs/>
        </w:rPr>
        <w:t>.</w:t>
      </w:r>
      <w:r w:rsidR="00562DF1">
        <w:t xml:space="preserve"> </w:t>
      </w:r>
    </w:p>
    <w:p w14:paraId="45338E65" w14:textId="535DDC3F" w:rsidR="00F07288" w:rsidRPr="0091376A" w:rsidRDefault="00F53644" w:rsidP="00237700">
      <w:pPr>
        <w:pStyle w:val="Exhibittitle"/>
      </w:pPr>
      <w:r>
        <w:lastRenderedPageBreak/>
        <w:t>Exhibit</w:t>
      </w:r>
      <w:r w:rsidRPr="00C77D30">
        <w:t xml:space="preserve"> </w:t>
      </w:r>
      <w:r w:rsidR="00F07288">
        <w:t xml:space="preserve">4. </w:t>
      </w:r>
      <w:r>
        <w:tab/>
      </w:r>
      <w:r w:rsidR="00F07288">
        <w:t>Stakeholder</w:t>
      </w:r>
      <w:r w:rsidR="00F07288" w:rsidRPr="00EA7FB9">
        <w:t xml:space="preserve"> </w:t>
      </w:r>
      <w:r w:rsidR="00F07288">
        <w:t>Interview Guide</w:t>
      </w:r>
    </w:p>
    <w:tbl>
      <w:tblPr>
        <w:tblStyle w:val="LightShading"/>
        <w:tblW w:w="9445" w:type="dxa"/>
        <w:tblLook w:val="04A0" w:firstRow="1" w:lastRow="0" w:firstColumn="1" w:lastColumn="0" w:noHBand="0" w:noVBand="1"/>
      </w:tblPr>
      <w:tblGrid>
        <w:gridCol w:w="9445"/>
      </w:tblGrid>
      <w:tr w:rsidR="00F07288" w:rsidRPr="00217448" w14:paraId="1C1643F5" w14:textId="77777777" w:rsidTr="004A1116">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45" w:type="dxa"/>
            <w:tcBorders>
              <w:top w:val="single" w:sz="4" w:space="0" w:color="auto"/>
              <w:left w:val="single" w:sz="4" w:space="0" w:color="auto"/>
              <w:bottom w:val="nil"/>
              <w:right w:val="single" w:sz="4" w:space="0" w:color="auto"/>
            </w:tcBorders>
            <w:shd w:val="clear" w:color="auto" w:fill="F2F2F2" w:themeFill="background1" w:themeFillShade="F2"/>
          </w:tcPr>
          <w:p w14:paraId="65EA9A8C" w14:textId="77777777" w:rsidR="00F07288" w:rsidRPr="00BD5D89" w:rsidRDefault="00F07288" w:rsidP="00F53644">
            <w:pPr>
              <w:keepNext/>
              <w:keepLines/>
              <w:spacing w:before="15" w:after="15" w:line="276" w:lineRule="auto"/>
              <w:rPr>
                <w:rFonts w:asciiTheme="majorBidi" w:hAnsiTheme="majorBidi" w:cstheme="majorBidi"/>
                <w:iCs/>
                <w:sz w:val="20"/>
                <w:szCs w:val="20"/>
              </w:rPr>
            </w:pPr>
            <w:r>
              <w:rPr>
                <w:rFonts w:asciiTheme="majorBidi" w:hAnsiTheme="majorBidi" w:cstheme="majorBidi"/>
                <w:iCs/>
                <w:sz w:val="20"/>
                <w:szCs w:val="20"/>
              </w:rPr>
              <w:t xml:space="preserve">Background/Involvement </w:t>
            </w:r>
          </w:p>
          <w:p w14:paraId="7437CF3D" w14:textId="3AAE4115" w:rsidR="00F07288" w:rsidRPr="000B6724" w:rsidRDefault="00F07288" w:rsidP="00C22459">
            <w:pPr>
              <w:keepNext/>
              <w:keepLines/>
              <w:spacing w:before="15" w:after="15" w:line="276" w:lineRule="auto"/>
              <w:rPr>
                <w:rFonts w:asciiTheme="majorBidi" w:hAnsiTheme="majorBidi" w:cstheme="majorBidi"/>
                <w:b w:val="0"/>
                <w:bCs w:val="0"/>
                <w:iCs/>
                <w:sz w:val="20"/>
                <w:szCs w:val="20"/>
              </w:rPr>
            </w:pPr>
            <w:r w:rsidRPr="000B6724">
              <w:rPr>
                <w:rFonts w:asciiTheme="majorBidi" w:hAnsiTheme="majorBidi" w:cstheme="majorBidi"/>
                <w:b w:val="0"/>
                <w:bCs w:val="0"/>
                <w:iCs/>
                <w:sz w:val="20"/>
                <w:szCs w:val="20"/>
              </w:rPr>
              <w:t>Asks for general information on the stakeholders</w:t>
            </w:r>
            <w:r w:rsidR="00D62D6E">
              <w:rPr>
                <w:rFonts w:asciiTheme="majorBidi" w:hAnsiTheme="majorBidi" w:cstheme="majorBidi"/>
                <w:b w:val="0"/>
                <w:bCs w:val="0"/>
                <w:iCs/>
                <w:sz w:val="20"/>
                <w:szCs w:val="20"/>
              </w:rPr>
              <w:t>’</w:t>
            </w:r>
            <w:r w:rsidRPr="000B6724">
              <w:rPr>
                <w:rFonts w:asciiTheme="majorBidi" w:hAnsiTheme="majorBidi" w:cstheme="majorBidi"/>
                <w:b w:val="0"/>
                <w:bCs w:val="0"/>
                <w:iCs/>
                <w:sz w:val="20"/>
                <w:szCs w:val="20"/>
              </w:rPr>
              <w:t xml:space="preserve"> personal involvement and their organizations</w:t>
            </w:r>
            <w:r w:rsidR="00D62D6E">
              <w:rPr>
                <w:rFonts w:asciiTheme="majorBidi" w:hAnsiTheme="majorBidi" w:cstheme="majorBidi"/>
                <w:b w:val="0"/>
                <w:bCs w:val="0"/>
                <w:iCs/>
                <w:sz w:val="20"/>
                <w:szCs w:val="20"/>
              </w:rPr>
              <w:t>’</w:t>
            </w:r>
            <w:r w:rsidRPr="000B6724">
              <w:rPr>
                <w:rFonts w:asciiTheme="majorBidi" w:hAnsiTheme="majorBidi" w:cstheme="majorBidi"/>
                <w:b w:val="0"/>
                <w:bCs w:val="0"/>
                <w:iCs/>
                <w:sz w:val="20"/>
                <w:szCs w:val="20"/>
              </w:rPr>
              <w:t xml:space="preserve"> involvement in </w:t>
            </w:r>
            <w:r w:rsidR="009B1BAF" w:rsidRPr="000B6724">
              <w:rPr>
                <w:rFonts w:asciiTheme="majorBidi" w:hAnsiTheme="majorBidi" w:cstheme="majorBidi"/>
                <w:b w:val="0"/>
                <w:bCs w:val="0"/>
                <w:iCs/>
                <w:sz w:val="20"/>
                <w:szCs w:val="20"/>
              </w:rPr>
              <w:t xml:space="preserve">the </w:t>
            </w:r>
            <w:r w:rsidR="009B1BAF">
              <w:rPr>
                <w:rFonts w:asciiTheme="majorBidi" w:hAnsiTheme="majorBidi" w:cstheme="majorBidi"/>
                <w:b w:val="0"/>
                <w:bCs w:val="0"/>
                <w:iCs/>
                <w:sz w:val="20"/>
                <w:szCs w:val="20"/>
              </w:rPr>
              <w:t>SYT</w:t>
            </w:r>
            <w:r w:rsidR="00C22459">
              <w:rPr>
                <w:rFonts w:asciiTheme="majorBidi" w:hAnsiTheme="majorBidi" w:cstheme="majorBidi"/>
                <w:b w:val="0"/>
                <w:bCs w:val="0"/>
                <w:iCs/>
                <w:sz w:val="20"/>
                <w:szCs w:val="20"/>
              </w:rPr>
              <w:t xml:space="preserve"> </w:t>
            </w:r>
            <w:r w:rsidRPr="000B6724">
              <w:rPr>
                <w:rFonts w:asciiTheme="majorBidi" w:hAnsiTheme="majorBidi" w:cstheme="majorBidi"/>
                <w:b w:val="0"/>
                <w:bCs w:val="0"/>
                <w:iCs/>
                <w:sz w:val="20"/>
                <w:szCs w:val="20"/>
              </w:rPr>
              <w:t>programs.</w:t>
            </w:r>
          </w:p>
        </w:tc>
      </w:tr>
      <w:tr w:rsidR="00F07288" w:rsidRPr="00217448" w14:paraId="2A3E657E" w14:textId="77777777" w:rsidTr="004A111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45" w:type="dxa"/>
            <w:tcBorders>
              <w:top w:val="single" w:sz="4" w:space="0" w:color="auto"/>
              <w:left w:val="single" w:sz="4" w:space="0" w:color="auto"/>
              <w:bottom w:val="single" w:sz="4" w:space="0" w:color="auto"/>
              <w:right w:val="single" w:sz="4" w:space="0" w:color="auto"/>
            </w:tcBorders>
            <w:shd w:val="clear" w:color="auto" w:fill="FFFFFF" w:themeFill="background1"/>
          </w:tcPr>
          <w:p w14:paraId="5D4555F4" w14:textId="77777777" w:rsidR="00F07288" w:rsidRPr="00BD5D89" w:rsidRDefault="00F07288" w:rsidP="00F53644">
            <w:pPr>
              <w:spacing w:before="15" w:after="15" w:line="276" w:lineRule="auto"/>
              <w:rPr>
                <w:rFonts w:asciiTheme="majorBidi" w:hAnsiTheme="majorBidi" w:cstheme="majorBidi"/>
                <w:iCs/>
                <w:sz w:val="20"/>
                <w:szCs w:val="20"/>
              </w:rPr>
            </w:pPr>
            <w:r>
              <w:rPr>
                <w:rFonts w:asciiTheme="majorBidi" w:hAnsiTheme="majorBidi" w:cstheme="majorBidi"/>
                <w:iCs/>
                <w:sz w:val="20"/>
                <w:szCs w:val="20"/>
              </w:rPr>
              <w:t>Implementation</w:t>
            </w:r>
          </w:p>
          <w:p w14:paraId="47FF5A77" w14:textId="399BA091" w:rsidR="00F07288" w:rsidRPr="000B6724" w:rsidRDefault="00F07288" w:rsidP="00C22459">
            <w:pPr>
              <w:spacing w:before="15" w:after="15" w:line="276" w:lineRule="auto"/>
              <w:rPr>
                <w:rFonts w:asciiTheme="majorBidi" w:hAnsiTheme="majorBidi" w:cstheme="majorBidi"/>
                <w:b w:val="0"/>
                <w:bCs w:val="0"/>
                <w:iCs/>
                <w:sz w:val="20"/>
                <w:szCs w:val="20"/>
              </w:rPr>
            </w:pPr>
            <w:r w:rsidRPr="000B6724">
              <w:rPr>
                <w:rFonts w:asciiTheme="majorBidi" w:hAnsiTheme="majorBidi" w:cstheme="majorBidi"/>
                <w:b w:val="0"/>
                <w:bCs w:val="0"/>
                <w:iCs/>
                <w:sz w:val="20"/>
                <w:szCs w:val="20"/>
              </w:rPr>
              <w:t>Asks the stakeholders to identify factors th</w:t>
            </w:r>
            <w:r w:rsidR="00D62D6E">
              <w:rPr>
                <w:rFonts w:asciiTheme="majorBidi" w:hAnsiTheme="majorBidi" w:cstheme="majorBidi"/>
                <w:b w:val="0"/>
                <w:bCs w:val="0"/>
                <w:iCs/>
                <w:sz w:val="20"/>
                <w:szCs w:val="20"/>
              </w:rPr>
              <w:t>at</w:t>
            </w:r>
            <w:r w:rsidRPr="000B6724">
              <w:rPr>
                <w:rFonts w:asciiTheme="majorBidi" w:hAnsiTheme="majorBidi" w:cstheme="majorBidi"/>
                <w:b w:val="0"/>
                <w:bCs w:val="0"/>
                <w:iCs/>
                <w:sz w:val="20"/>
                <w:szCs w:val="20"/>
              </w:rPr>
              <w:t xml:space="preserve"> supported or challenged the successful implementation of the </w:t>
            </w:r>
            <w:r w:rsidR="00C22459">
              <w:rPr>
                <w:rFonts w:asciiTheme="majorBidi" w:hAnsiTheme="majorBidi" w:cstheme="majorBidi"/>
                <w:b w:val="0"/>
                <w:bCs w:val="0"/>
                <w:iCs/>
                <w:sz w:val="20"/>
                <w:szCs w:val="20"/>
              </w:rPr>
              <w:t xml:space="preserve">SYT </w:t>
            </w:r>
            <w:r w:rsidRPr="000B6724">
              <w:rPr>
                <w:rFonts w:asciiTheme="majorBidi" w:hAnsiTheme="majorBidi" w:cstheme="majorBidi"/>
                <w:b w:val="0"/>
                <w:bCs w:val="0"/>
                <w:iCs/>
                <w:sz w:val="20"/>
                <w:szCs w:val="20"/>
              </w:rPr>
              <w:t>programs.</w:t>
            </w:r>
          </w:p>
        </w:tc>
      </w:tr>
      <w:tr w:rsidR="00F07288" w:rsidRPr="00217448" w14:paraId="196477DE" w14:textId="77777777" w:rsidTr="004A1116">
        <w:trPr>
          <w:cantSplit/>
        </w:trPr>
        <w:tc>
          <w:tcPr>
            <w:cnfStyle w:val="001000000000" w:firstRow="0" w:lastRow="0" w:firstColumn="1" w:lastColumn="0" w:oddVBand="0" w:evenVBand="0" w:oddHBand="0" w:evenHBand="0" w:firstRowFirstColumn="0" w:firstRowLastColumn="0" w:lastRowFirstColumn="0" w:lastRowLastColumn="0"/>
            <w:tcW w:w="94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66A19A" w14:textId="77777777" w:rsidR="00F07288" w:rsidRPr="00BD5D89" w:rsidRDefault="00F07288" w:rsidP="00F53644">
            <w:pPr>
              <w:spacing w:before="15" w:after="15" w:line="276" w:lineRule="auto"/>
              <w:rPr>
                <w:rFonts w:asciiTheme="majorBidi" w:hAnsiTheme="majorBidi" w:cstheme="majorBidi"/>
                <w:iCs/>
                <w:sz w:val="20"/>
                <w:szCs w:val="20"/>
              </w:rPr>
            </w:pPr>
            <w:r>
              <w:rPr>
                <w:rFonts w:asciiTheme="majorBidi" w:hAnsiTheme="majorBidi" w:cstheme="majorBidi"/>
                <w:iCs/>
                <w:sz w:val="20"/>
                <w:szCs w:val="20"/>
              </w:rPr>
              <w:t>Impact and Utility</w:t>
            </w:r>
          </w:p>
          <w:p w14:paraId="695267C9" w14:textId="3EB48DE3" w:rsidR="00F07288" w:rsidRPr="000B6724" w:rsidRDefault="00F07288" w:rsidP="00C22459">
            <w:pPr>
              <w:spacing w:before="15" w:after="15" w:line="276" w:lineRule="auto"/>
              <w:ind w:right="-85"/>
              <w:rPr>
                <w:rFonts w:asciiTheme="majorBidi" w:hAnsiTheme="majorBidi" w:cstheme="majorBidi"/>
                <w:b w:val="0"/>
                <w:bCs w:val="0"/>
                <w:iCs/>
                <w:sz w:val="20"/>
                <w:szCs w:val="20"/>
              </w:rPr>
            </w:pPr>
            <w:r w:rsidRPr="000B6724">
              <w:rPr>
                <w:rFonts w:asciiTheme="majorBidi" w:hAnsiTheme="majorBidi" w:cstheme="majorBidi"/>
                <w:b w:val="0"/>
                <w:bCs w:val="0"/>
                <w:iCs/>
                <w:sz w:val="20"/>
                <w:szCs w:val="20"/>
              </w:rPr>
              <w:t xml:space="preserve">Asks the stakeholders how well the </w:t>
            </w:r>
            <w:r w:rsidR="00C22459">
              <w:rPr>
                <w:rFonts w:asciiTheme="majorBidi" w:hAnsiTheme="majorBidi" w:cstheme="majorBidi"/>
                <w:b w:val="0"/>
                <w:bCs w:val="0"/>
                <w:iCs/>
                <w:sz w:val="20"/>
                <w:szCs w:val="20"/>
              </w:rPr>
              <w:t xml:space="preserve"> SYT</w:t>
            </w:r>
            <w:r w:rsidRPr="000B6724">
              <w:rPr>
                <w:rFonts w:asciiTheme="majorBidi" w:hAnsiTheme="majorBidi" w:cstheme="majorBidi"/>
                <w:b w:val="0"/>
                <w:bCs w:val="0"/>
                <w:iCs/>
                <w:sz w:val="20"/>
                <w:szCs w:val="20"/>
              </w:rPr>
              <w:t xml:space="preserve"> program was integrated into the existing substance abuse treatment system for youth and their families</w:t>
            </w:r>
            <w:r w:rsidR="00D62D6E">
              <w:rPr>
                <w:rFonts w:asciiTheme="majorBidi" w:hAnsiTheme="majorBidi" w:cstheme="majorBidi"/>
                <w:b w:val="0"/>
                <w:bCs w:val="0"/>
                <w:iCs/>
                <w:sz w:val="20"/>
                <w:szCs w:val="20"/>
              </w:rPr>
              <w:t>;</w:t>
            </w:r>
            <w:r w:rsidRPr="000B6724">
              <w:rPr>
                <w:rFonts w:asciiTheme="majorBidi" w:hAnsiTheme="majorBidi" w:cstheme="majorBidi"/>
                <w:b w:val="0"/>
                <w:bCs w:val="0"/>
                <w:iCs/>
                <w:sz w:val="20"/>
                <w:szCs w:val="20"/>
              </w:rPr>
              <w:t xml:space="preserve"> how successfully it has been implemented</w:t>
            </w:r>
            <w:r w:rsidR="00D62D6E">
              <w:rPr>
                <w:rFonts w:asciiTheme="majorBidi" w:hAnsiTheme="majorBidi" w:cstheme="majorBidi"/>
                <w:b w:val="0"/>
                <w:bCs w:val="0"/>
                <w:iCs/>
                <w:sz w:val="20"/>
                <w:szCs w:val="20"/>
              </w:rPr>
              <w:t>;</w:t>
            </w:r>
            <w:r w:rsidRPr="000B6724">
              <w:rPr>
                <w:rFonts w:asciiTheme="majorBidi" w:hAnsiTheme="majorBidi" w:cstheme="majorBidi"/>
                <w:b w:val="0"/>
                <w:bCs w:val="0"/>
                <w:iCs/>
                <w:sz w:val="20"/>
                <w:szCs w:val="20"/>
              </w:rPr>
              <w:t xml:space="preserve"> and its impact on health disparities, access to and use of EBPs, client-level outcomes, and family</w:t>
            </w:r>
            <w:r w:rsidR="00D62D6E">
              <w:rPr>
                <w:rFonts w:asciiTheme="majorBidi" w:hAnsiTheme="majorBidi" w:cstheme="majorBidi"/>
                <w:b w:val="0"/>
                <w:bCs w:val="0"/>
                <w:iCs/>
                <w:sz w:val="20"/>
                <w:szCs w:val="20"/>
              </w:rPr>
              <w:t xml:space="preserve"> or </w:t>
            </w:r>
            <w:r w:rsidRPr="000B6724">
              <w:rPr>
                <w:rFonts w:asciiTheme="majorBidi" w:hAnsiTheme="majorBidi" w:cstheme="majorBidi"/>
                <w:b w:val="0"/>
                <w:bCs w:val="0"/>
                <w:iCs/>
                <w:sz w:val="20"/>
                <w:szCs w:val="20"/>
              </w:rPr>
              <w:t xml:space="preserve">caregiver involvement. </w:t>
            </w:r>
          </w:p>
        </w:tc>
      </w:tr>
      <w:tr w:rsidR="00F07288" w:rsidRPr="00217448" w14:paraId="4A3765DC" w14:textId="77777777" w:rsidTr="004A111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45" w:type="dxa"/>
            <w:tcBorders>
              <w:top w:val="single" w:sz="4" w:space="0" w:color="auto"/>
              <w:left w:val="single" w:sz="4" w:space="0" w:color="auto"/>
              <w:bottom w:val="single" w:sz="4" w:space="0" w:color="auto"/>
              <w:right w:val="single" w:sz="4" w:space="0" w:color="auto"/>
            </w:tcBorders>
            <w:shd w:val="clear" w:color="auto" w:fill="auto"/>
          </w:tcPr>
          <w:p w14:paraId="411FFA08" w14:textId="3AE43C88" w:rsidR="00F07288" w:rsidRDefault="00F07288" w:rsidP="00F53644">
            <w:pPr>
              <w:spacing w:before="15" w:after="15" w:line="276" w:lineRule="auto"/>
              <w:rPr>
                <w:rFonts w:asciiTheme="majorBidi" w:hAnsiTheme="majorBidi" w:cstheme="majorBidi"/>
                <w:b w:val="0"/>
                <w:iCs/>
                <w:sz w:val="20"/>
                <w:szCs w:val="20"/>
              </w:rPr>
            </w:pPr>
            <w:r>
              <w:rPr>
                <w:rFonts w:asciiTheme="majorBidi" w:hAnsiTheme="majorBidi" w:cstheme="majorBidi"/>
                <w:iCs/>
                <w:sz w:val="20"/>
                <w:szCs w:val="20"/>
              </w:rPr>
              <w:t>Facilitators, Challenges, Outcomes and Lessons Learned</w:t>
            </w:r>
          </w:p>
          <w:p w14:paraId="02C7E8B7" w14:textId="6202BBB6" w:rsidR="00F07288" w:rsidRPr="000B6724" w:rsidRDefault="00F07288" w:rsidP="00C22459">
            <w:pPr>
              <w:spacing w:before="15" w:after="15" w:line="276" w:lineRule="auto"/>
              <w:rPr>
                <w:rFonts w:asciiTheme="majorBidi" w:hAnsiTheme="majorBidi" w:cstheme="majorBidi"/>
                <w:b w:val="0"/>
                <w:bCs w:val="0"/>
                <w:iCs/>
                <w:sz w:val="20"/>
                <w:szCs w:val="20"/>
              </w:rPr>
            </w:pPr>
            <w:r w:rsidRPr="000B6724">
              <w:rPr>
                <w:rFonts w:asciiTheme="majorBidi" w:hAnsiTheme="majorBidi" w:cstheme="majorBidi"/>
                <w:b w:val="0"/>
                <w:bCs w:val="0"/>
                <w:iCs/>
                <w:sz w:val="20"/>
                <w:szCs w:val="20"/>
              </w:rPr>
              <w:t>Asks the stakeholders to identify facilitators and challenges regarding program infrastructure development at the state</w:t>
            </w:r>
            <w:r w:rsidR="00D62D6E">
              <w:rPr>
                <w:rFonts w:asciiTheme="majorBidi" w:hAnsiTheme="majorBidi" w:cstheme="majorBidi"/>
                <w:b w:val="0"/>
                <w:bCs w:val="0"/>
                <w:iCs/>
                <w:sz w:val="20"/>
                <w:szCs w:val="20"/>
              </w:rPr>
              <w:t xml:space="preserve">-, </w:t>
            </w:r>
            <w:r w:rsidR="005A69BD">
              <w:rPr>
                <w:rFonts w:asciiTheme="majorBidi" w:hAnsiTheme="majorBidi" w:cstheme="majorBidi"/>
                <w:b w:val="0"/>
                <w:bCs w:val="0"/>
                <w:iCs/>
                <w:sz w:val="20"/>
                <w:szCs w:val="20"/>
              </w:rPr>
              <w:t>territory</w:t>
            </w:r>
            <w:r w:rsidR="00D62D6E">
              <w:rPr>
                <w:rFonts w:asciiTheme="majorBidi" w:hAnsiTheme="majorBidi" w:cstheme="majorBidi"/>
                <w:b w:val="0"/>
                <w:bCs w:val="0"/>
                <w:iCs/>
                <w:sz w:val="20"/>
                <w:szCs w:val="20"/>
              </w:rPr>
              <w:t xml:space="preserve">-, or </w:t>
            </w:r>
            <w:r w:rsidR="005A69BD">
              <w:rPr>
                <w:rFonts w:asciiTheme="majorBidi" w:hAnsiTheme="majorBidi" w:cstheme="majorBidi"/>
                <w:b w:val="0"/>
                <w:bCs w:val="0"/>
                <w:iCs/>
                <w:sz w:val="20"/>
                <w:szCs w:val="20"/>
              </w:rPr>
              <w:t>tribe</w:t>
            </w:r>
            <w:r w:rsidRPr="000B6724">
              <w:rPr>
                <w:rFonts w:asciiTheme="majorBidi" w:hAnsiTheme="majorBidi" w:cstheme="majorBidi"/>
                <w:b w:val="0"/>
                <w:bCs w:val="0"/>
                <w:iCs/>
                <w:sz w:val="20"/>
                <w:szCs w:val="20"/>
              </w:rPr>
              <w:t xml:space="preserve">-level and implementation or service delivery at the provider sites. Also asks for input on outcomes and impact added by the </w:t>
            </w:r>
            <w:r w:rsidR="00C22459">
              <w:rPr>
                <w:rFonts w:asciiTheme="majorBidi" w:hAnsiTheme="majorBidi" w:cstheme="majorBidi"/>
                <w:b w:val="0"/>
                <w:bCs w:val="0"/>
                <w:iCs/>
                <w:sz w:val="20"/>
                <w:szCs w:val="20"/>
              </w:rPr>
              <w:t xml:space="preserve">SYT </w:t>
            </w:r>
            <w:r w:rsidRPr="000B6724">
              <w:rPr>
                <w:rFonts w:asciiTheme="majorBidi" w:hAnsiTheme="majorBidi" w:cstheme="majorBidi"/>
                <w:b w:val="0"/>
                <w:bCs w:val="0"/>
                <w:iCs/>
                <w:sz w:val="20"/>
                <w:szCs w:val="20"/>
              </w:rPr>
              <w:t>grant at the stakeholder’s organization and the state</w:t>
            </w:r>
            <w:r w:rsidR="00D62D6E">
              <w:rPr>
                <w:rFonts w:asciiTheme="majorBidi" w:hAnsiTheme="majorBidi" w:cstheme="majorBidi"/>
                <w:b w:val="0"/>
                <w:bCs w:val="0"/>
                <w:iCs/>
                <w:sz w:val="20"/>
                <w:szCs w:val="20"/>
              </w:rPr>
              <w:t xml:space="preserve">, </w:t>
            </w:r>
            <w:r w:rsidRPr="000B6724">
              <w:rPr>
                <w:rFonts w:asciiTheme="majorBidi" w:hAnsiTheme="majorBidi" w:cstheme="majorBidi"/>
                <w:b w:val="0"/>
                <w:bCs w:val="0"/>
                <w:iCs/>
                <w:sz w:val="20"/>
                <w:szCs w:val="20"/>
              </w:rPr>
              <w:t>territory</w:t>
            </w:r>
            <w:r w:rsidR="00D62D6E">
              <w:rPr>
                <w:rFonts w:asciiTheme="majorBidi" w:hAnsiTheme="majorBidi" w:cstheme="majorBidi"/>
                <w:b w:val="0"/>
                <w:bCs w:val="0"/>
                <w:iCs/>
                <w:sz w:val="20"/>
                <w:szCs w:val="20"/>
              </w:rPr>
              <w:t xml:space="preserve">, or </w:t>
            </w:r>
            <w:r w:rsidRPr="000B6724">
              <w:rPr>
                <w:rFonts w:asciiTheme="majorBidi" w:hAnsiTheme="majorBidi" w:cstheme="majorBidi"/>
                <w:b w:val="0"/>
                <w:bCs w:val="0"/>
                <w:iCs/>
                <w:sz w:val="20"/>
                <w:szCs w:val="20"/>
              </w:rPr>
              <w:t xml:space="preserve">tribe. </w:t>
            </w:r>
          </w:p>
        </w:tc>
      </w:tr>
      <w:tr w:rsidR="00F07288" w:rsidRPr="00217448" w14:paraId="66CF4CBC" w14:textId="77777777" w:rsidTr="004A1116">
        <w:trPr>
          <w:cantSplit/>
        </w:trPr>
        <w:tc>
          <w:tcPr>
            <w:cnfStyle w:val="001000000000" w:firstRow="0" w:lastRow="0" w:firstColumn="1" w:lastColumn="0" w:oddVBand="0" w:evenVBand="0" w:oddHBand="0" w:evenHBand="0" w:firstRowFirstColumn="0" w:firstRowLastColumn="0" w:lastRowFirstColumn="0" w:lastRowLastColumn="0"/>
            <w:tcW w:w="94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3AE196" w14:textId="77777777" w:rsidR="00F07288" w:rsidRPr="00BD5D89" w:rsidRDefault="00F07288" w:rsidP="00F53644">
            <w:pPr>
              <w:keepNext/>
              <w:spacing w:before="15" w:after="15" w:line="276" w:lineRule="auto"/>
            </w:pPr>
            <w:r>
              <w:rPr>
                <w:rFonts w:asciiTheme="majorBidi" w:hAnsiTheme="majorBidi" w:cstheme="majorBidi"/>
                <w:iCs/>
                <w:sz w:val="20"/>
                <w:szCs w:val="20"/>
              </w:rPr>
              <w:t xml:space="preserve">Sustainability </w:t>
            </w:r>
          </w:p>
          <w:p w14:paraId="35ED2C75" w14:textId="79C3A59D" w:rsidR="00F07288" w:rsidRPr="000B6724" w:rsidRDefault="00F07288" w:rsidP="00C22459">
            <w:pPr>
              <w:keepNext/>
              <w:spacing w:before="15" w:after="15" w:line="276" w:lineRule="auto"/>
              <w:rPr>
                <w:rFonts w:asciiTheme="majorBidi" w:hAnsiTheme="majorBidi" w:cstheme="majorBidi"/>
                <w:b w:val="0"/>
                <w:bCs w:val="0"/>
                <w:iCs/>
                <w:sz w:val="20"/>
                <w:szCs w:val="20"/>
              </w:rPr>
            </w:pPr>
            <w:r w:rsidRPr="000B6724">
              <w:rPr>
                <w:rFonts w:asciiTheme="majorBidi" w:hAnsiTheme="majorBidi" w:cstheme="majorBidi"/>
                <w:b w:val="0"/>
                <w:bCs w:val="0"/>
                <w:iCs/>
                <w:sz w:val="20"/>
                <w:szCs w:val="20"/>
              </w:rPr>
              <w:t xml:space="preserve">Asks the stakeholders about their involvement in </w:t>
            </w:r>
            <w:r w:rsidR="000B4083" w:rsidRPr="000B6724">
              <w:rPr>
                <w:rFonts w:asciiTheme="majorBidi" w:hAnsiTheme="majorBidi" w:cstheme="majorBidi"/>
                <w:b w:val="0"/>
                <w:bCs w:val="0"/>
                <w:iCs/>
                <w:sz w:val="20"/>
                <w:szCs w:val="20"/>
              </w:rPr>
              <w:t xml:space="preserve">any </w:t>
            </w:r>
            <w:r w:rsidR="000B4083">
              <w:rPr>
                <w:rFonts w:asciiTheme="majorBidi" w:hAnsiTheme="majorBidi" w:cstheme="majorBidi"/>
                <w:b w:val="0"/>
                <w:bCs w:val="0"/>
                <w:iCs/>
                <w:sz w:val="20"/>
                <w:szCs w:val="20"/>
              </w:rPr>
              <w:t>SYT</w:t>
            </w:r>
            <w:r w:rsidRPr="000B6724">
              <w:rPr>
                <w:rFonts w:asciiTheme="majorBidi" w:hAnsiTheme="majorBidi" w:cstheme="majorBidi"/>
                <w:b w:val="0"/>
                <w:bCs w:val="0"/>
                <w:iCs/>
                <w:sz w:val="20"/>
                <w:szCs w:val="20"/>
              </w:rPr>
              <w:t xml:space="preserve"> sustainability planning </w:t>
            </w:r>
            <w:r w:rsidR="00A43BD3">
              <w:rPr>
                <w:rFonts w:asciiTheme="majorBidi" w:hAnsiTheme="majorBidi" w:cstheme="majorBidi"/>
                <w:b w:val="0"/>
                <w:bCs w:val="0"/>
                <w:iCs/>
                <w:sz w:val="20"/>
                <w:szCs w:val="20"/>
              </w:rPr>
              <w:t>and</w:t>
            </w:r>
            <w:r w:rsidRPr="000B6724">
              <w:rPr>
                <w:rFonts w:asciiTheme="majorBidi" w:hAnsiTheme="majorBidi" w:cstheme="majorBidi"/>
                <w:b w:val="0"/>
                <w:bCs w:val="0"/>
                <w:iCs/>
                <w:sz w:val="20"/>
                <w:szCs w:val="20"/>
              </w:rPr>
              <w:t xml:space="preserve"> what they think the effect would be if the program w</w:t>
            </w:r>
            <w:r w:rsidR="00A43BD3">
              <w:rPr>
                <w:rFonts w:asciiTheme="majorBidi" w:hAnsiTheme="majorBidi" w:cstheme="majorBidi"/>
                <w:b w:val="0"/>
                <w:bCs w:val="0"/>
                <w:iCs/>
                <w:sz w:val="20"/>
                <w:szCs w:val="20"/>
              </w:rPr>
              <w:t>ere</w:t>
            </w:r>
            <w:r w:rsidRPr="000B6724">
              <w:rPr>
                <w:rFonts w:asciiTheme="majorBidi" w:hAnsiTheme="majorBidi" w:cstheme="majorBidi"/>
                <w:b w:val="0"/>
                <w:bCs w:val="0"/>
                <w:iCs/>
                <w:sz w:val="20"/>
                <w:szCs w:val="20"/>
              </w:rPr>
              <w:t xml:space="preserve"> not sustained. </w:t>
            </w:r>
          </w:p>
        </w:tc>
      </w:tr>
      <w:tr w:rsidR="00DC00B7" w:rsidRPr="00217448" w14:paraId="02DE00BA" w14:textId="77777777" w:rsidTr="004A111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44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D698B0" w14:textId="77777777" w:rsidR="00DC00B7" w:rsidRPr="00DC00B7" w:rsidRDefault="00DC00B7" w:rsidP="00DC00B7">
            <w:pPr>
              <w:keepNext/>
              <w:spacing w:before="15" w:after="15" w:line="276" w:lineRule="auto"/>
              <w:rPr>
                <w:iCs/>
                <w:sz w:val="20"/>
                <w:szCs w:val="20"/>
              </w:rPr>
            </w:pPr>
            <w:r w:rsidRPr="00DC00B7">
              <w:rPr>
                <w:iCs/>
                <w:sz w:val="20"/>
                <w:szCs w:val="20"/>
              </w:rPr>
              <w:t>End of Interview</w:t>
            </w:r>
          </w:p>
          <w:p w14:paraId="5C74AB57" w14:textId="702FF05A" w:rsidR="00DC00B7" w:rsidRPr="005664C7" w:rsidRDefault="00DC00B7" w:rsidP="00DC00B7">
            <w:pPr>
              <w:keepNext/>
              <w:spacing w:before="15" w:after="15" w:line="276" w:lineRule="auto"/>
              <w:rPr>
                <w:rFonts w:asciiTheme="majorBidi" w:hAnsiTheme="majorBidi" w:cstheme="majorBidi"/>
                <w:b w:val="0"/>
                <w:iCs/>
                <w:sz w:val="20"/>
                <w:szCs w:val="20"/>
              </w:rPr>
            </w:pPr>
            <w:r w:rsidRPr="00DC00B7">
              <w:rPr>
                <w:b w:val="0"/>
                <w:bCs w:val="0"/>
                <w:iCs/>
                <w:sz w:val="20"/>
                <w:szCs w:val="20"/>
              </w:rPr>
              <w:t xml:space="preserve">Asks </w:t>
            </w:r>
            <w:r>
              <w:rPr>
                <w:b w:val="0"/>
                <w:bCs w:val="0"/>
                <w:iCs/>
                <w:sz w:val="20"/>
                <w:szCs w:val="20"/>
              </w:rPr>
              <w:t xml:space="preserve">stakeholders </w:t>
            </w:r>
            <w:r w:rsidRPr="00DC00B7">
              <w:rPr>
                <w:b w:val="0"/>
                <w:bCs w:val="0"/>
                <w:iCs/>
                <w:sz w:val="20"/>
                <w:szCs w:val="20"/>
              </w:rPr>
              <w:t>to share any additional issues to discuss.</w:t>
            </w:r>
          </w:p>
        </w:tc>
      </w:tr>
    </w:tbl>
    <w:p w14:paraId="4D42ADC9" w14:textId="77777777" w:rsidR="00B372ED" w:rsidRPr="00B372ED" w:rsidRDefault="00B372ED" w:rsidP="00B974B1">
      <w:pPr>
        <w:pStyle w:val="Heading4"/>
        <w:spacing w:before="240"/>
      </w:pPr>
      <w:r w:rsidRPr="00B372ED">
        <w:t>Provider Survey</w:t>
      </w:r>
    </w:p>
    <w:p w14:paraId="1211DA1B" w14:textId="1C073A8A" w:rsidR="00F34F5F" w:rsidRDefault="00B372ED" w:rsidP="00B974B1">
      <w:pPr>
        <w:pStyle w:val="BodyText"/>
      </w:pPr>
      <w:r w:rsidRPr="007671FB">
        <w:t xml:space="preserve">Substance abuse service provider organizations (e.g., </w:t>
      </w:r>
      <w:r>
        <w:t xml:space="preserve">treatment facilities implementing </w:t>
      </w:r>
      <w:r w:rsidR="005514C5">
        <w:t>EBPs</w:t>
      </w:r>
      <w:r>
        <w:t>) participating</w:t>
      </w:r>
      <w:r w:rsidR="005A69BD">
        <w:t xml:space="preserve"> as pilot sites</w:t>
      </w:r>
      <w:r>
        <w:t xml:space="preserve"> in </w:t>
      </w:r>
      <w:r w:rsidR="00113111">
        <w:t xml:space="preserve">the </w:t>
      </w:r>
      <w:r>
        <w:t xml:space="preserve">SYT-ED or SYT-I grant </w:t>
      </w:r>
      <w:r w:rsidRPr="007671FB">
        <w:t xml:space="preserve">are eligible for the </w:t>
      </w:r>
      <w:r>
        <w:t>SYT</w:t>
      </w:r>
      <w:r w:rsidRPr="007671FB">
        <w:t xml:space="preserve"> </w:t>
      </w:r>
      <w:r w:rsidR="009B66F3" w:rsidRPr="00FD26E2">
        <w:rPr>
          <w:i/>
          <w:iCs/>
          <w:sz w:val="23"/>
          <w:szCs w:val="23"/>
        </w:rPr>
        <w:t>Provider Survey</w:t>
      </w:r>
      <w:r w:rsidRPr="007671FB">
        <w:t xml:space="preserve">. The </w:t>
      </w:r>
      <w:r w:rsidR="009B66F3" w:rsidRPr="00FD26E2">
        <w:rPr>
          <w:i/>
          <w:iCs/>
          <w:sz w:val="23"/>
          <w:szCs w:val="23"/>
        </w:rPr>
        <w:t>Provider Survey</w:t>
      </w:r>
      <w:r w:rsidRPr="007671FB">
        <w:t xml:space="preserve"> aims to collect data to help identify program activities and services that are being implemented as part of the SYT</w:t>
      </w:r>
      <w:r w:rsidR="008025D7">
        <w:t>-ED/SYT-I</w:t>
      </w:r>
      <w:r w:rsidRPr="007671FB">
        <w:t xml:space="preserve"> grant program</w:t>
      </w:r>
      <w:r w:rsidR="008025D7">
        <w:t>s</w:t>
      </w:r>
      <w:r w:rsidRPr="007671FB">
        <w:t xml:space="preserve"> and the effect these activities</w:t>
      </w:r>
      <w:r w:rsidR="000A3C2F">
        <w:t xml:space="preserve"> or </w:t>
      </w:r>
      <w:r w:rsidRPr="007671FB">
        <w:t>services may have on client outcomes and treatment systems</w:t>
      </w:r>
      <w:r>
        <w:t>.</w:t>
      </w:r>
    </w:p>
    <w:p w14:paraId="51E8E85E" w14:textId="09D26635" w:rsidR="00B372ED" w:rsidRDefault="00B372ED" w:rsidP="007E4693">
      <w:pPr>
        <w:pStyle w:val="BodyText"/>
      </w:pPr>
      <w:r>
        <w:t xml:space="preserve">The </w:t>
      </w:r>
      <w:r w:rsidR="009B66F3" w:rsidRPr="00FD26E2">
        <w:rPr>
          <w:i/>
          <w:iCs/>
          <w:sz w:val="23"/>
          <w:szCs w:val="23"/>
        </w:rPr>
        <w:t>Provider Survey</w:t>
      </w:r>
      <w:r>
        <w:t xml:space="preserve"> will collect data on linkages with the grantee and within the system for providing services and a safety net to adolescents, transition age youth, and their families. Topics around grantee dissemination and </w:t>
      </w:r>
      <w:r w:rsidR="007E4693">
        <w:t xml:space="preserve">outreach efforts as well as EBP, </w:t>
      </w:r>
      <w:r>
        <w:t>other training activities</w:t>
      </w:r>
      <w:r w:rsidR="007E4693">
        <w:t xml:space="preserve"> and the </w:t>
      </w:r>
      <w:r w:rsidR="00363164">
        <w:t xml:space="preserve">economic </w:t>
      </w:r>
      <w:r w:rsidR="007E4693">
        <w:t>cost of services</w:t>
      </w:r>
      <w:r>
        <w:t xml:space="preserve"> will also be explored. </w:t>
      </w:r>
    </w:p>
    <w:p w14:paraId="4F98AB33" w14:textId="69A16905" w:rsidR="00B372ED" w:rsidRDefault="00B372ED" w:rsidP="001F7E7D">
      <w:pPr>
        <w:pStyle w:val="BodyText"/>
      </w:pPr>
      <w:r w:rsidRPr="009B18F8">
        <w:t xml:space="preserve">The </w:t>
      </w:r>
      <w:r w:rsidR="009B66F3" w:rsidRPr="00FD26E2">
        <w:rPr>
          <w:i/>
          <w:iCs/>
          <w:sz w:val="23"/>
          <w:szCs w:val="23"/>
        </w:rPr>
        <w:t>Provider Survey</w:t>
      </w:r>
      <w:r w:rsidRPr="009B18F8">
        <w:t xml:space="preserve"> was developed to specifically address the unique provider organization experiences associated with participation in a </w:t>
      </w:r>
      <w:r>
        <w:t xml:space="preserve">SYT-ED and SYT-I grant. The survey format </w:t>
      </w:r>
      <w:r w:rsidR="00FC45A4">
        <w:t xml:space="preserve">and questions are based on </w:t>
      </w:r>
      <w:r w:rsidR="00AA53F6">
        <w:t xml:space="preserve">a successful </w:t>
      </w:r>
      <w:r>
        <w:t xml:space="preserve">provider survey </w:t>
      </w:r>
      <w:r w:rsidR="00AA53F6">
        <w:t xml:space="preserve">used for the </w:t>
      </w:r>
      <w:r w:rsidR="008025D7">
        <w:t xml:space="preserve">SAMHSA </w:t>
      </w:r>
      <w:r>
        <w:t>Access to Recovery</w:t>
      </w:r>
      <w:r w:rsidR="00EE63D0">
        <w:t xml:space="preserve"> evaluation</w:t>
      </w:r>
      <w:r w:rsidR="00AA53F6">
        <w:t xml:space="preserve"> effort (OMB </w:t>
      </w:r>
      <w:r w:rsidR="00180CBF" w:rsidRPr="00180CBF">
        <w:t>0930-0299</w:t>
      </w:r>
      <w:r w:rsidR="00AA53F6">
        <w:t xml:space="preserve">). </w:t>
      </w:r>
      <w:r w:rsidR="00954E6D">
        <w:t xml:space="preserve">The </w:t>
      </w:r>
      <w:r w:rsidR="00AA53F6">
        <w:t>s</w:t>
      </w:r>
      <w:r w:rsidRPr="009B18F8">
        <w:t>urvey questions</w:t>
      </w:r>
      <w:r w:rsidR="00954E6D">
        <w:t xml:space="preserve"> included in the </w:t>
      </w:r>
      <w:r w:rsidR="009B66F3" w:rsidRPr="00FD26E2">
        <w:rPr>
          <w:i/>
          <w:iCs/>
          <w:sz w:val="23"/>
          <w:szCs w:val="23"/>
        </w:rPr>
        <w:t>Provider Survey</w:t>
      </w:r>
      <w:r w:rsidR="00954E6D">
        <w:t xml:space="preserve"> link to the </w:t>
      </w:r>
      <w:r w:rsidRPr="009B18F8">
        <w:t>evaluation’s questions</w:t>
      </w:r>
      <w:r w:rsidRPr="00BA25CE">
        <w:t xml:space="preserve"> and</w:t>
      </w:r>
      <w:r w:rsidR="001F7E7D">
        <w:t xml:space="preserve"> are</w:t>
      </w:r>
      <w:r w:rsidRPr="00BA25CE">
        <w:t xml:space="preserve"> developed by experts on the SYT cross-site evaluation team.</w:t>
      </w:r>
      <w:r w:rsidR="00207E4C">
        <w:t xml:space="preserve"> </w:t>
      </w:r>
    </w:p>
    <w:p w14:paraId="5F6F2B01" w14:textId="576D5C5D" w:rsidR="00562DF1" w:rsidRPr="00ED4619" w:rsidRDefault="009B1BAF" w:rsidP="00363164">
      <w:pPr>
        <w:pStyle w:val="BodyText"/>
      </w:pPr>
      <w:r>
        <w:t>Provider</w:t>
      </w:r>
      <w:r w:rsidR="00A60B8E">
        <w:t>s</w:t>
      </w:r>
      <w:r>
        <w:t xml:space="preserve"> will be asked to complete the </w:t>
      </w:r>
      <w:r w:rsidR="009B66F3" w:rsidRPr="00FD26E2">
        <w:rPr>
          <w:i/>
          <w:iCs/>
          <w:sz w:val="23"/>
          <w:szCs w:val="23"/>
        </w:rPr>
        <w:t>Provider Survey</w:t>
      </w:r>
      <w:r>
        <w:rPr>
          <w:i/>
          <w:iCs/>
        </w:rPr>
        <w:t xml:space="preserve"> </w:t>
      </w:r>
      <w:r>
        <w:t xml:space="preserve">once per year during the course of the grant program. </w:t>
      </w:r>
      <w:r w:rsidR="00B974B1">
        <w:rPr>
          <w:b/>
          <w:bCs/>
          <w:i/>
        </w:rPr>
        <w:t>Exhibit</w:t>
      </w:r>
      <w:r w:rsidR="00B372ED" w:rsidRPr="00C47473">
        <w:rPr>
          <w:b/>
          <w:bCs/>
          <w:i/>
        </w:rPr>
        <w:t xml:space="preserve"> </w:t>
      </w:r>
      <w:r w:rsidR="000B6724" w:rsidRPr="00C47473">
        <w:rPr>
          <w:b/>
          <w:bCs/>
          <w:i/>
        </w:rPr>
        <w:t>5</w:t>
      </w:r>
      <w:r w:rsidR="00B372ED" w:rsidRPr="00E67004">
        <w:t xml:space="preserve"> </w:t>
      </w:r>
      <w:r w:rsidR="00B372ED">
        <w:t>p</w:t>
      </w:r>
      <w:r w:rsidR="00B372ED" w:rsidRPr="00E67004">
        <w:t>rovides a brief description of each section</w:t>
      </w:r>
      <w:r w:rsidR="00562DF1">
        <w:t xml:space="preserve"> and the </w:t>
      </w:r>
      <w:r w:rsidR="009B66F3" w:rsidRPr="00FD26E2">
        <w:rPr>
          <w:i/>
          <w:iCs/>
          <w:sz w:val="23"/>
          <w:szCs w:val="23"/>
        </w:rPr>
        <w:t>Provider Survey</w:t>
      </w:r>
      <w:r w:rsidR="00562DF1">
        <w:rPr>
          <w:rFonts w:cs="Arial"/>
          <w:bCs/>
          <w:i/>
          <w:iCs/>
          <w:szCs w:val="28"/>
        </w:rPr>
        <w:t xml:space="preserve"> </w:t>
      </w:r>
      <w:r w:rsidR="00562DF1">
        <w:rPr>
          <w:iCs/>
        </w:rPr>
        <w:t xml:space="preserve">can be found </w:t>
      </w:r>
      <w:r w:rsidR="00562DF1" w:rsidRPr="00A60B8E">
        <w:rPr>
          <w:iCs/>
        </w:rPr>
        <w:t xml:space="preserve">in Attachment </w:t>
      </w:r>
      <w:r w:rsidR="00A60B8E" w:rsidRPr="00A60B8E">
        <w:rPr>
          <w:iCs/>
        </w:rPr>
        <w:t>5</w:t>
      </w:r>
      <w:r w:rsidR="00562DF1" w:rsidRPr="00A60B8E">
        <w:rPr>
          <w:iCs/>
        </w:rPr>
        <w:t>.</w:t>
      </w:r>
      <w:r w:rsidR="00562DF1">
        <w:t xml:space="preserve"> </w:t>
      </w:r>
    </w:p>
    <w:p w14:paraId="4B648DF3" w14:textId="77777777" w:rsidR="00B974B1" w:rsidRDefault="00B974B1">
      <w:pPr>
        <w:spacing w:after="160" w:line="259" w:lineRule="auto"/>
        <w:rPr>
          <w:b/>
        </w:rPr>
      </w:pPr>
      <w:r>
        <w:br w:type="page"/>
      </w:r>
    </w:p>
    <w:p w14:paraId="00D6AB81" w14:textId="6A4DF2B2" w:rsidR="00B372ED" w:rsidRPr="00954E6D" w:rsidRDefault="00B974B1" w:rsidP="00B974B1">
      <w:pPr>
        <w:pStyle w:val="Exhibittitle"/>
      </w:pPr>
      <w:r>
        <w:lastRenderedPageBreak/>
        <w:t>Exhibit</w:t>
      </w:r>
      <w:r w:rsidR="00B372ED" w:rsidRPr="00954E6D">
        <w:t xml:space="preserve"> </w:t>
      </w:r>
      <w:r w:rsidR="000B6724">
        <w:t xml:space="preserve">5. </w:t>
      </w:r>
      <w:r>
        <w:tab/>
      </w:r>
      <w:r w:rsidR="000B6724">
        <w:t>Provider Survey</w:t>
      </w:r>
    </w:p>
    <w:tbl>
      <w:tblPr>
        <w:tblStyle w:val="LightShading"/>
        <w:tblW w:w="9355" w:type="dxa"/>
        <w:tblLook w:val="04A0" w:firstRow="1" w:lastRow="0" w:firstColumn="1" w:lastColumn="0" w:noHBand="0" w:noVBand="1"/>
      </w:tblPr>
      <w:tblGrid>
        <w:gridCol w:w="9355"/>
      </w:tblGrid>
      <w:tr w:rsidR="00B372ED" w:rsidRPr="00217448" w14:paraId="741EDAAB" w14:textId="77777777" w:rsidTr="00B974B1">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355" w:type="dxa"/>
            <w:tcBorders>
              <w:top w:val="single" w:sz="4" w:space="0" w:color="auto"/>
              <w:left w:val="single" w:sz="4" w:space="0" w:color="auto"/>
              <w:bottom w:val="nil"/>
              <w:right w:val="single" w:sz="4" w:space="0" w:color="auto"/>
            </w:tcBorders>
            <w:shd w:val="clear" w:color="auto" w:fill="F2F2F2" w:themeFill="background1" w:themeFillShade="F2"/>
          </w:tcPr>
          <w:p w14:paraId="467E3666" w14:textId="77777777" w:rsidR="00B372ED" w:rsidRPr="00BD5D89" w:rsidRDefault="00B372ED" w:rsidP="00B974B1">
            <w:pPr>
              <w:keepNext/>
              <w:keepLines/>
              <w:spacing w:before="15" w:after="15" w:line="276" w:lineRule="auto"/>
              <w:rPr>
                <w:rFonts w:asciiTheme="majorBidi" w:hAnsiTheme="majorBidi" w:cstheme="majorBidi"/>
                <w:iCs/>
                <w:sz w:val="20"/>
                <w:szCs w:val="20"/>
              </w:rPr>
            </w:pPr>
            <w:r>
              <w:rPr>
                <w:rFonts w:asciiTheme="majorBidi" w:hAnsiTheme="majorBidi" w:cstheme="majorBidi"/>
                <w:iCs/>
                <w:sz w:val="20"/>
                <w:szCs w:val="20"/>
              </w:rPr>
              <w:t>Organizational Background</w:t>
            </w:r>
          </w:p>
          <w:p w14:paraId="72F9CC48" w14:textId="72CFD0FD" w:rsidR="00B372ED" w:rsidRPr="000B6724" w:rsidRDefault="00C856D3" w:rsidP="008025D7">
            <w:pPr>
              <w:keepNext/>
              <w:keepLines/>
              <w:spacing w:before="15" w:after="15" w:line="276" w:lineRule="auto"/>
              <w:rPr>
                <w:rFonts w:asciiTheme="majorBidi" w:hAnsiTheme="majorBidi" w:cstheme="majorBidi"/>
                <w:b w:val="0"/>
                <w:bCs w:val="0"/>
                <w:iCs/>
                <w:sz w:val="20"/>
                <w:szCs w:val="20"/>
              </w:rPr>
            </w:pPr>
            <w:r w:rsidRPr="000B6724">
              <w:rPr>
                <w:rFonts w:asciiTheme="majorBidi" w:hAnsiTheme="majorBidi" w:cstheme="majorBidi"/>
                <w:b w:val="0"/>
                <w:bCs w:val="0"/>
                <w:iCs/>
                <w:sz w:val="20"/>
                <w:szCs w:val="20"/>
              </w:rPr>
              <w:t>Includes questions on organizational background.</w:t>
            </w:r>
          </w:p>
        </w:tc>
      </w:tr>
      <w:tr w:rsidR="00B372ED" w:rsidRPr="00217448" w14:paraId="2CA7CAA3" w14:textId="77777777" w:rsidTr="00B974B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355" w:type="dxa"/>
            <w:tcBorders>
              <w:top w:val="single" w:sz="4" w:space="0" w:color="auto"/>
              <w:left w:val="single" w:sz="4" w:space="0" w:color="auto"/>
              <w:bottom w:val="nil"/>
              <w:right w:val="single" w:sz="4" w:space="0" w:color="auto"/>
            </w:tcBorders>
            <w:shd w:val="clear" w:color="auto" w:fill="FFFFFF" w:themeFill="background1"/>
          </w:tcPr>
          <w:p w14:paraId="6A6B6827" w14:textId="77777777" w:rsidR="00B372ED" w:rsidRPr="00BD5D89" w:rsidRDefault="00B372ED" w:rsidP="00B974B1">
            <w:pPr>
              <w:spacing w:before="15" w:after="15" w:line="276" w:lineRule="auto"/>
              <w:rPr>
                <w:rFonts w:asciiTheme="majorBidi" w:hAnsiTheme="majorBidi" w:cstheme="majorBidi"/>
                <w:iCs/>
                <w:sz w:val="20"/>
                <w:szCs w:val="20"/>
              </w:rPr>
            </w:pPr>
            <w:r>
              <w:rPr>
                <w:rFonts w:asciiTheme="majorBidi" w:hAnsiTheme="majorBidi" w:cstheme="majorBidi"/>
                <w:iCs/>
                <w:sz w:val="20"/>
                <w:szCs w:val="20"/>
              </w:rPr>
              <w:t>Client Population and Services Provided</w:t>
            </w:r>
          </w:p>
          <w:p w14:paraId="35878FE3" w14:textId="0700E4FE" w:rsidR="00B372ED" w:rsidRPr="000B6724" w:rsidRDefault="00C856D3" w:rsidP="00180CBF">
            <w:pPr>
              <w:spacing w:before="15" w:after="15" w:line="276" w:lineRule="auto"/>
              <w:rPr>
                <w:rFonts w:asciiTheme="majorBidi" w:hAnsiTheme="majorBidi" w:cstheme="majorBidi"/>
                <w:b w:val="0"/>
                <w:bCs w:val="0"/>
                <w:iCs/>
                <w:sz w:val="20"/>
                <w:szCs w:val="20"/>
              </w:rPr>
            </w:pPr>
            <w:r w:rsidRPr="000B6724">
              <w:rPr>
                <w:rFonts w:asciiTheme="majorBidi" w:hAnsiTheme="majorBidi" w:cstheme="majorBidi"/>
                <w:b w:val="0"/>
                <w:bCs w:val="0"/>
                <w:iCs/>
                <w:sz w:val="20"/>
                <w:szCs w:val="20"/>
              </w:rPr>
              <w:t>Gathers aggregated</w:t>
            </w:r>
            <w:r w:rsidR="00180CBF">
              <w:rPr>
                <w:rFonts w:asciiTheme="majorBidi" w:hAnsiTheme="majorBidi" w:cstheme="majorBidi"/>
                <w:b w:val="0"/>
                <w:bCs w:val="0"/>
                <w:iCs/>
                <w:sz w:val="20"/>
                <w:szCs w:val="20"/>
              </w:rPr>
              <w:t xml:space="preserve"> </w:t>
            </w:r>
            <w:r w:rsidRPr="000B6724">
              <w:rPr>
                <w:rFonts w:asciiTheme="majorBidi" w:hAnsiTheme="majorBidi" w:cstheme="majorBidi"/>
                <w:b w:val="0"/>
                <w:bCs w:val="0"/>
                <w:iCs/>
                <w:sz w:val="20"/>
                <w:szCs w:val="20"/>
              </w:rPr>
              <w:t>client information includ</w:t>
            </w:r>
            <w:r w:rsidR="001F634B">
              <w:rPr>
                <w:rFonts w:asciiTheme="majorBidi" w:hAnsiTheme="majorBidi" w:cstheme="majorBidi"/>
                <w:b w:val="0"/>
                <w:bCs w:val="0"/>
                <w:iCs/>
                <w:sz w:val="20"/>
                <w:szCs w:val="20"/>
              </w:rPr>
              <w:t>ing</w:t>
            </w:r>
            <w:r w:rsidRPr="000B6724">
              <w:rPr>
                <w:rFonts w:asciiTheme="majorBidi" w:hAnsiTheme="majorBidi" w:cstheme="majorBidi"/>
                <w:b w:val="0"/>
                <w:bCs w:val="0"/>
                <w:iCs/>
                <w:sz w:val="20"/>
                <w:szCs w:val="20"/>
              </w:rPr>
              <w:t xml:space="preserve"> the types of clients served and the services offered. </w:t>
            </w:r>
          </w:p>
        </w:tc>
      </w:tr>
      <w:tr w:rsidR="00B372ED" w:rsidRPr="00217448" w14:paraId="06CABB4D" w14:textId="77777777" w:rsidTr="00B974B1">
        <w:trPr>
          <w:cantSplit/>
        </w:trPr>
        <w:tc>
          <w:tcPr>
            <w:cnfStyle w:val="001000000000" w:firstRow="0" w:lastRow="0" w:firstColumn="1" w:lastColumn="0" w:oddVBand="0" w:evenVBand="0" w:oddHBand="0" w:evenHBand="0" w:firstRowFirstColumn="0" w:firstRowLastColumn="0" w:lastRowFirstColumn="0" w:lastRowLastColumn="0"/>
            <w:tcW w:w="9355" w:type="dxa"/>
            <w:tcBorders>
              <w:top w:val="single" w:sz="4" w:space="0" w:color="auto"/>
              <w:left w:val="single" w:sz="4" w:space="0" w:color="auto"/>
              <w:bottom w:val="nil"/>
              <w:right w:val="single" w:sz="4" w:space="0" w:color="auto"/>
            </w:tcBorders>
            <w:shd w:val="clear" w:color="auto" w:fill="F2F2F2" w:themeFill="background1" w:themeFillShade="F2"/>
          </w:tcPr>
          <w:p w14:paraId="031211A8" w14:textId="45F1EB1D" w:rsidR="00B372ED" w:rsidRDefault="00B372ED" w:rsidP="00B974B1">
            <w:pPr>
              <w:spacing w:before="15" w:after="15" w:line="276" w:lineRule="auto"/>
              <w:rPr>
                <w:rFonts w:asciiTheme="majorBidi" w:hAnsiTheme="majorBidi" w:cstheme="majorBidi"/>
                <w:b w:val="0"/>
                <w:bCs w:val="0"/>
                <w:iCs/>
                <w:sz w:val="20"/>
                <w:szCs w:val="20"/>
              </w:rPr>
            </w:pPr>
            <w:r>
              <w:rPr>
                <w:rFonts w:asciiTheme="majorBidi" w:hAnsiTheme="majorBidi" w:cstheme="majorBidi"/>
                <w:iCs/>
                <w:sz w:val="20"/>
                <w:szCs w:val="20"/>
              </w:rPr>
              <w:t>Project</w:t>
            </w:r>
            <w:r w:rsidR="00363164">
              <w:rPr>
                <w:rFonts w:asciiTheme="majorBidi" w:hAnsiTheme="majorBidi" w:cstheme="majorBidi"/>
                <w:iCs/>
                <w:sz w:val="20"/>
                <w:szCs w:val="20"/>
              </w:rPr>
              <w:t>/Program</w:t>
            </w:r>
            <w:r>
              <w:rPr>
                <w:rFonts w:asciiTheme="majorBidi" w:hAnsiTheme="majorBidi" w:cstheme="majorBidi"/>
                <w:iCs/>
                <w:sz w:val="20"/>
                <w:szCs w:val="20"/>
              </w:rPr>
              <w:t xml:space="preserve"> Implementation</w:t>
            </w:r>
            <w:r w:rsidR="00363164">
              <w:rPr>
                <w:rFonts w:asciiTheme="majorBidi" w:hAnsiTheme="majorBidi" w:cstheme="majorBidi"/>
                <w:iCs/>
                <w:sz w:val="20"/>
                <w:szCs w:val="20"/>
              </w:rPr>
              <w:t xml:space="preserve"> Activities</w:t>
            </w:r>
          </w:p>
          <w:p w14:paraId="673C13A6" w14:textId="7C3F7DFC" w:rsidR="00B372ED" w:rsidRPr="000B6724" w:rsidRDefault="00C856D3" w:rsidP="00B974B1">
            <w:pPr>
              <w:spacing w:before="15" w:after="15" w:line="276" w:lineRule="auto"/>
              <w:rPr>
                <w:rFonts w:asciiTheme="majorBidi" w:hAnsiTheme="majorBidi" w:cstheme="majorBidi"/>
                <w:b w:val="0"/>
                <w:bCs w:val="0"/>
                <w:iCs/>
                <w:sz w:val="20"/>
                <w:szCs w:val="20"/>
              </w:rPr>
            </w:pPr>
            <w:r w:rsidRPr="000B6724">
              <w:rPr>
                <w:rFonts w:asciiTheme="majorBidi" w:hAnsiTheme="majorBidi" w:cstheme="majorBidi"/>
                <w:b w:val="0"/>
                <w:bCs w:val="0"/>
                <w:iCs/>
                <w:sz w:val="20"/>
                <w:szCs w:val="20"/>
              </w:rPr>
              <w:t>Includes questions on the activities providers engaged</w:t>
            </w:r>
            <w:r w:rsidR="001F634B">
              <w:rPr>
                <w:rFonts w:asciiTheme="majorBidi" w:hAnsiTheme="majorBidi" w:cstheme="majorBidi"/>
                <w:b w:val="0"/>
                <w:bCs w:val="0"/>
                <w:iCs/>
                <w:sz w:val="20"/>
                <w:szCs w:val="20"/>
              </w:rPr>
              <w:t xml:space="preserve"> in</w:t>
            </w:r>
            <w:r w:rsidRPr="000B6724">
              <w:rPr>
                <w:rFonts w:asciiTheme="majorBidi" w:hAnsiTheme="majorBidi" w:cstheme="majorBidi"/>
                <w:b w:val="0"/>
                <w:bCs w:val="0"/>
                <w:iCs/>
                <w:sz w:val="20"/>
                <w:szCs w:val="20"/>
              </w:rPr>
              <w:t xml:space="preserve"> to implement the providers</w:t>
            </w:r>
            <w:r w:rsidR="001F634B">
              <w:rPr>
                <w:rFonts w:asciiTheme="majorBidi" w:hAnsiTheme="majorBidi" w:cstheme="majorBidi"/>
                <w:b w:val="0"/>
                <w:bCs w:val="0"/>
                <w:iCs/>
                <w:sz w:val="20"/>
                <w:szCs w:val="20"/>
              </w:rPr>
              <w:t>’</w:t>
            </w:r>
            <w:r w:rsidRPr="000B6724">
              <w:rPr>
                <w:rFonts w:asciiTheme="majorBidi" w:hAnsiTheme="majorBidi" w:cstheme="majorBidi"/>
                <w:b w:val="0"/>
                <w:bCs w:val="0"/>
                <w:iCs/>
                <w:sz w:val="20"/>
                <w:szCs w:val="20"/>
              </w:rPr>
              <w:t xml:space="preserve"> SYT pro</w:t>
            </w:r>
            <w:r w:rsidR="002F1569">
              <w:rPr>
                <w:rFonts w:asciiTheme="majorBidi" w:hAnsiTheme="majorBidi" w:cstheme="majorBidi"/>
                <w:b w:val="0"/>
                <w:bCs w:val="0"/>
                <w:iCs/>
                <w:sz w:val="20"/>
                <w:szCs w:val="20"/>
              </w:rPr>
              <w:t>grams</w:t>
            </w:r>
            <w:r w:rsidRPr="000B6724">
              <w:rPr>
                <w:rFonts w:asciiTheme="majorBidi" w:hAnsiTheme="majorBidi" w:cstheme="majorBidi"/>
                <w:b w:val="0"/>
                <w:bCs w:val="0"/>
                <w:iCs/>
                <w:sz w:val="20"/>
                <w:szCs w:val="20"/>
              </w:rPr>
              <w:t>.</w:t>
            </w:r>
          </w:p>
        </w:tc>
      </w:tr>
      <w:tr w:rsidR="00B372ED" w:rsidRPr="00217448" w14:paraId="41046563" w14:textId="77777777" w:rsidTr="006412D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355" w:type="dxa"/>
            <w:tcBorders>
              <w:top w:val="single" w:sz="4" w:space="0" w:color="auto"/>
              <w:left w:val="single" w:sz="4" w:space="0" w:color="auto"/>
              <w:bottom w:val="nil"/>
              <w:right w:val="single" w:sz="4" w:space="0" w:color="auto"/>
            </w:tcBorders>
            <w:shd w:val="clear" w:color="auto" w:fill="auto"/>
          </w:tcPr>
          <w:p w14:paraId="6E215197" w14:textId="77777777" w:rsidR="00B372ED" w:rsidRDefault="00B372ED" w:rsidP="00B974B1">
            <w:pPr>
              <w:spacing w:before="15" w:after="15" w:line="276" w:lineRule="auto"/>
              <w:rPr>
                <w:rFonts w:asciiTheme="majorBidi" w:hAnsiTheme="majorBidi" w:cstheme="majorBidi"/>
                <w:b w:val="0"/>
                <w:iCs/>
                <w:sz w:val="20"/>
                <w:szCs w:val="20"/>
              </w:rPr>
            </w:pPr>
            <w:r>
              <w:rPr>
                <w:rFonts w:asciiTheme="majorBidi" w:hAnsiTheme="majorBidi" w:cstheme="majorBidi"/>
                <w:iCs/>
                <w:sz w:val="20"/>
                <w:szCs w:val="20"/>
              </w:rPr>
              <w:t>Sources of Funding and Outside Partnerships</w:t>
            </w:r>
          </w:p>
          <w:p w14:paraId="0F440F1C" w14:textId="00A2CE7C" w:rsidR="00B372ED" w:rsidRPr="000B6724" w:rsidRDefault="00C856D3" w:rsidP="00B974B1">
            <w:pPr>
              <w:spacing w:before="15" w:after="15" w:line="276" w:lineRule="auto"/>
              <w:rPr>
                <w:rFonts w:asciiTheme="majorBidi" w:hAnsiTheme="majorBidi" w:cstheme="majorBidi"/>
                <w:b w:val="0"/>
                <w:bCs w:val="0"/>
                <w:iCs/>
                <w:sz w:val="20"/>
                <w:szCs w:val="20"/>
              </w:rPr>
            </w:pPr>
            <w:r w:rsidRPr="000B6724">
              <w:rPr>
                <w:rFonts w:asciiTheme="majorBidi" w:hAnsiTheme="majorBidi" w:cstheme="majorBidi"/>
                <w:b w:val="0"/>
                <w:bCs w:val="0"/>
                <w:iCs/>
                <w:sz w:val="20"/>
                <w:szCs w:val="20"/>
              </w:rPr>
              <w:t>Asks providers about the different sources of funding used to provide services and</w:t>
            </w:r>
            <w:r w:rsidR="001F634B">
              <w:rPr>
                <w:rFonts w:asciiTheme="majorBidi" w:hAnsiTheme="majorBidi" w:cstheme="majorBidi"/>
                <w:b w:val="0"/>
                <w:bCs w:val="0"/>
                <w:iCs/>
                <w:sz w:val="20"/>
                <w:szCs w:val="20"/>
              </w:rPr>
              <w:t xml:space="preserve"> the</w:t>
            </w:r>
            <w:r w:rsidRPr="000B6724">
              <w:rPr>
                <w:rFonts w:asciiTheme="majorBidi" w:hAnsiTheme="majorBidi" w:cstheme="majorBidi"/>
                <w:b w:val="0"/>
                <w:bCs w:val="0"/>
                <w:iCs/>
                <w:sz w:val="20"/>
                <w:szCs w:val="20"/>
              </w:rPr>
              <w:t xml:space="preserve"> partnerships with other stakeholders in their community.</w:t>
            </w:r>
          </w:p>
        </w:tc>
      </w:tr>
      <w:tr w:rsidR="00363164" w:rsidRPr="00217448" w14:paraId="4A921B34" w14:textId="77777777" w:rsidTr="00461F1D">
        <w:trPr>
          <w:cantSplit/>
          <w:trHeight w:val="171"/>
        </w:trPr>
        <w:tc>
          <w:tcPr>
            <w:cnfStyle w:val="001000000000" w:firstRow="0" w:lastRow="0" w:firstColumn="1" w:lastColumn="0" w:oddVBand="0" w:evenVBand="0" w:oddHBand="0" w:evenHBand="0" w:firstRowFirstColumn="0" w:firstRowLastColumn="0" w:lastRowFirstColumn="0" w:lastRowLastColumn="0"/>
            <w:tcW w:w="9355" w:type="dxa"/>
            <w:tcBorders>
              <w:top w:val="single" w:sz="4" w:space="0" w:color="auto"/>
              <w:left w:val="single" w:sz="4" w:space="0" w:color="auto"/>
              <w:bottom w:val="nil"/>
              <w:right w:val="single" w:sz="4" w:space="0" w:color="auto"/>
            </w:tcBorders>
            <w:shd w:val="clear" w:color="auto" w:fill="auto"/>
          </w:tcPr>
          <w:p w14:paraId="54A7F5EB" w14:textId="4B8E3725" w:rsidR="00363164" w:rsidRPr="005664C7" w:rsidRDefault="00363164" w:rsidP="00B974B1">
            <w:pPr>
              <w:spacing w:before="15" w:after="15" w:line="276" w:lineRule="auto"/>
              <w:rPr>
                <w:rFonts w:asciiTheme="majorBidi" w:hAnsiTheme="majorBidi" w:cstheme="majorBidi"/>
                <w:b w:val="0"/>
                <w:iCs/>
                <w:sz w:val="20"/>
                <w:szCs w:val="20"/>
              </w:rPr>
            </w:pPr>
            <w:r>
              <w:rPr>
                <w:sz w:val="20"/>
                <w:szCs w:val="20"/>
              </w:rPr>
              <w:t>Resources Used and Costs</w:t>
            </w:r>
          </w:p>
        </w:tc>
      </w:tr>
      <w:tr w:rsidR="006412D2" w:rsidRPr="00217448" w14:paraId="1EBBF977" w14:textId="77777777" w:rsidTr="00363164">
        <w:trPr>
          <w:cnfStyle w:val="000000100000" w:firstRow="0" w:lastRow="0" w:firstColumn="0" w:lastColumn="0" w:oddVBand="0" w:evenVBand="0" w:oddHBand="1" w:evenHBand="0" w:firstRowFirstColumn="0" w:firstRowLastColumn="0" w:lastRowFirstColumn="0" w:lastRowLastColumn="0"/>
          <w:cantSplit/>
          <w:trHeight w:val="171"/>
        </w:trPr>
        <w:tc>
          <w:tcPr>
            <w:cnfStyle w:val="001000000000" w:firstRow="0" w:lastRow="0" w:firstColumn="1" w:lastColumn="0" w:oddVBand="0" w:evenVBand="0" w:oddHBand="0" w:evenHBand="0" w:firstRowFirstColumn="0" w:firstRowLastColumn="0" w:lastRowFirstColumn="0" w:lastRowLastColumn="0"/>
            <w:tcW w:w="9355" w:type="dxa"/>
            <w:tcBorders>
              <w:top w:val="nil"/>
              <w:left w:val="single" w:sz="4" w:space="0" w:color="auto"/>
              <w:bottom w:val="single" w:sz="4" w:space="0" w:color="auto"/>
              <w:right w:val="single" w:sz="4" w:space="0" w:color="auto"/>
            </w:tcBorders>
            <w:shd w:val="clear" w:color="auto" w:fill="auto"/>
          </w:tcPr>
          <w:p w14:paraId="60E3D053" w14:textId="016EDA4B" w:rsidR="006412D2" w:rsidRPr="00A962DA" w:rsidRDefault="006412D2" w:rsidP="00363164">
            <w:pPr>
              <w:spacing w:before="15" w:after="15" w:line="276" w:lineRule="auto"/>
              <w:rPr>
                <w:rFonts w:asciiTheme="majorBidi" w:hAnsiTheme="majorBidi" w:cstheme="majorBidi"/>
                <w:b w:val="0"/>
                <w:bCs w:val="0"/>
                <w:iCs/>
                <w:sz w:val="20"/>
                <w:szCs w:val="20"/>
              </w:rPr>
            </w:pPr>
            <w:r w:rsidRPr="000B6724">
              <w:rPr>
                <w:rFonts w:asciiTheme="majorBidi" w:hAnsiTheme="majorBidi" w:cstheme="majorBidi"/>
                <w:b w:val="0"/>
                <w:bCs w:val="0"/>
                <w:iCs/>
                <w:sz w:val="20"/>
                <w:szCs w:val="20"/>
              </w:rPr>
              <w:t xml:space="preserve">Asks providers about the </w:t>
            </w:r>
            <w:r>
              <w:rPr>
                <w:rFonts w:asciiTheme="majorBidi" w:hAnsiTheme="majorBidi" w:cstheme="majorBidi"/>
                <w:b w:val="0"/>
                <w:bCs w:val="0"/>
                <w:iCs/>
                <w:sz w:val="20"/>
                <w:szCs w:val="20"/>
              </w:rPr>
              <w:t xml:space="preserve">labor, building </w:t>
            </w:r>
            <w:r w:rsidR="00363164">
              <w:rPr>
                <w:rFonts w:asciiTheme="majorBidi" w:hAnsiTheme="majorBidi" w:cstheme="majorBidi"/>
                <w:b w:val="0"/>
                <w:bCs w:val="0"/>
                <w:iCs/>
                <w:sz w:val="20"/>
                <w:szCs w:val="20"/>
              </w:rPr>
              <w:t xml:space="preserve">and facilities, contract services, supplies, materials </w:t>
            </w:r>
            <w:r>
              <w:rPr>
                <w:rFonts w:asciiTheme="majorBidi" w:hAnsiTheme="majorBidi" w:cstheme="majorBidi"/>
                <w:b w:val="0"/>
                <w:bCs w:val="0"/>
                <w:iCs/>
                <w:sz w:val="20"/>
                <w:szCs w:val="20"/>
              </w:rPr>
              <w:t>and any other resource</w:t>
            </w:r>
            <w:r w:rsidR="00363164">
              <w:rPr>
                <w:rFonts w:asciiTheme="majorBidi" w:hAnsiTheme="majorBidi" w:cstheme="majorBidi"/>
                <w:b w:val="0"/>
                <w:bCs w:val="0"/>
                <w:iCs/>
                <w:sz w:val="20"/>
                <w:szCs w:val="20"/>
              </w:rPr>
              <w:t xml:space="preserve"> used</w:t>
            </w:r>
            <w:r>
              <w:rPr>
                <w:rFonts w:asciiTheme="majorBidi" w:hAnsiTheme="majorBidi" w:cstheme="majorBidi"/>
                <w:b w:val="0"/>
                <w:bCs w:val="0"/>
                <w:iCs/>
                <w:sz w:val="20"/>
                <w:szCs w:val="20"/>
              </w:rPr>
              <w:t xml:space="preserve"> to implement their SYT program</w:t>
            </w:r>
            <w:r w:rsidRPr="000B6724">
              <w:rPr>
                <w:rFonts w:asciiTheme="majorBidi" w:hAnsiTheme="majorBidi" w:cstheme="majorBidi"/>
                <w:b w:val="0"/>
                <w:bCs w:val="0"/>
                <w:iCs/>
                <w:sz w:val="20"/>
                <w:szCs w:val="20"/>
              </w:rPr>
              <w:t>.</w:t>
            </w:r>
          </w:p>
        </w:tc>
      </w:tr>
      <w:tr w:rsidR="00B372ED" w:rsidRPr="00217448" w14:paraId="64B41547" w14:textId="77777777" w:rsidTr="00363164">
        <w:trPr>
          <w:cantSplit/>
        </w:trPr>
        <w:tc>
          <w:tcPr>
            <w:cnfStyle w:val="001000000000" w:firstRow="0" w:lastRow="0" w:firstColumn="1" w:lastColumn="0" w:oddVBand="0" w:evenVBand="0" w:oddHBand="0" w:evenHBand="0" w:firstRowFirstColumn="0" w:firstRowLastColumn="0" w:lastRowFirstColumn="0" w:lastRowLastColumn="0"/>
            <w:tcW w:w="935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77F68E" w14:textId="77777777" w:rsidR="00B372ED" w:rsidRPr="00BD5D89" w:rsidRDefault="00B372ED" w:rsidP="00B974B1">
            <w:pPr>
              <w:keepNext/>
              <w:spacing w:before="15" w:after="15" w:line="276" w:lineRule="auto"/>
            </w:pPr>
            <w:r>
              <w:rPr>
                <w:rFonts w:asciiTheme="majorBidi" w:hAnsiTheme="majorBidi" w:cstheme="majorBidi"/>
                <w:iCs/>
                <w:sz w:val="20"/>
                <w:szCs w:val="20"/>
              </w:rPr>
              <w:t>Wrap Up</w:t>
            </w:r>
          </w:p>
          <w:p w14:paraId="7C3A53F7" w14:textId="00D81623" w:rsidR="00B372ED" w:rsidRPr="000B6724" w:rsidRDefault="00C856D3" w:rsidP="00B974B1">
            <w:pPr>
              <w:keepNext/>
              <w:spacing w:before="15" w:after="15" w:line="276" w:lineRule="auto"/>
              <w:rPr>
                <w:rFonts w:asciiTheme="majorBidi" w:hAnsiTheme="majorBidi" w:cstheme="majorBidi"/>
                <w:b w:val="0"/>
                <w:bCs w:val="0"/>
                <w:iCs/>
                <w:sz w:val="20"/>
                <w:szCs w:val="20"/>
              </w:rPr>
            </w:pPr>
            <w:r w:rsidRPr="000B6724">
              <w:rPr>
                <w:rFonts w:asciiTheme="majorBidi" w:hAnsiTheme="majorBidi" w:cstheme="majorBidi"/>
                <w:b w:val="0"/>
                <w:bCs w:val="0"/>
                <w:iCs/>
                <w:sz w:val="20"/>
                <w:szCs w:val="20"/>
              </w:rPr>
              <w:t xml:space="preserve">Asks the provider to rate their satisfaction with the SYT program and </w:t>
            </w:r>
            <w:r w:rsidR="001F634B">
              <w:rPr>
                <w:rFonts w:asciiTheme="majorBidi" w:hAnsiTheme="majorBidi" w:cstheme="majorBidi"/>
                <w:b w:val="0"/>
                <w:bCs w:val="0"/>
                <w:iCs/>
                <w:sz w:val="20"/>
                <w:szCs w:val="20"/>
              </w:rPr>
              <w:t xml:space="preserve">to </w:t>
            </w:r>
            <w:r w:rsidRPr="000B6724">
              <w:rPr>
                <w:rFonts w:asciiTheme="majorBidi" w:hAnsiTheme="majorBidi" w:cstheme="majorBidi"/>
                <w:b w:val="0"/>
                <w:bCs w:val="0"/>
                <w:iCs/>
                <w:sz w:val="20"/>
                <w:szCs w:val="20"/>
              </w:rPr>
              <w:t>provide any suggestions.</w:t>
            </w:r>
          </w:p>
        </w:tc>
      </w:tr>
    </w:tbl>
    <w:p w14:paraId="69E4BF44" w14:textId="0B3C4916" w:rsidR="002C1027" w:rsidRDefault="003E49DF" w:rsidP="002C1027">
      <w:pPr>
        <w:pStyle w:val="Heading4"/>
        <w:spacing w:before="240"/>
      </w:pPr>
      <w:bookmarkStart w:id="7" w:name="_Toc88277952"/>
      <w:bookmarkStart w:id="8" w:name="_Toc131564341"/>
      <w:r>
        <w:t>Focus Group Guide</w:t>
      </w:r>
    </w:p>
    <w:p w14:paraId="417E2940" w14:textId="093D935E" w:rsidR="002C1027" w:rsidRPr="005039D5" w:rsidRDefault="008025D7" w:rsidP="005039D5">
      <w:pPr>
        <w:pStyle w:val="Heading2"/>
        <w:ind w:left="0" w:firstLine="0"/>
        <w:rPr>
          <w:b w:val="0"/>
          <w:bCs w:val="0"/>
        </w:rPr>
      </w:pPr>
      <w:r>
        <w:rPr>
          <w:rFonts w:cs="Times New Roman"/>
          <w:b w:val="0"/>
          <w:bCs w:val="0"/>
          <w:iCs w:val="0"/>
          <w:szCs w:val="24"/>
        </w:rPr>
        <w:t>Clinicians and other direct service staff (referred to as staff members) from the s</w:t>
      </w:r>
      <w:r w:rsidR="002C1027" w:rsidRPr="002C1027">
        <w:rPr>
          <w:rFonts w:cs="Times New Roman"/>
          <w:b w:val="0"/>
          <w:bCs w:val="0"/>
          <w:iCs w:val="0"/>
          <w:szCs w:val="24"/>
        </w:rPr>
        <w:t>ubstance abuse service provider organizations (e.g., treatment f</w:t>
      </w:r>
      <w:r w:rsidR="00E77BBD">
        <w:rPr>
          <w:rFonts w:cs="Times New Roman"/>
          <w:b w:val="0"/>
          <w:bCs w:val="0"/>
          <w:iCs w:val="0"/>
          <w:szCs w:val="24"/>
        </w:rPr>
        <w:t xml:space="preserve">acilities implementing </w:t>
      </w:r>
      <w:r w:rsidR="005514C5">
        <w:rPr>
          <w:rFonts w:cs="Times New Roman"/>
          <w:b w:val="0"/>
          <w:bCs w:val="0"/>
          <w:iCs w:val="0"/>
          <w:szCs w:val="24"/>
        </w:rPr>
        <w:t>EBPs</w:t>
      </w:r>
      <w:r w:rsidR="002C1027" w:rsidRPr="002C1027">
        <w:rPr>
          <w:rFonts w:cs="Times New Roman"/>
          <w:b w:val="0"/>
          <w:bCs w:val="0"/>
          <w:iCs w:val="0"/>
          <w:szCs w:val="24"/>
        </w:rPr>
        <w:t>) participating in the SY</w:t>
      </w:r>
      <w:r w:rsidR="002C1027">
        <w:rPr>
          <w:rFonts w:cs="Times New Roman"/>
          <w:b w:val="0"/>
          <w:bCs w:val="0"/>
          <w:iCs w:val="0"/>
          <w:szCs w:val="24"/>
        </w:rPr>
        <w:t>T-ED or SYT-I grant</w:t>
      </w:r>
      <w:r>
        <w:rPr>
          <w:rFonts w:cs="Times New Roman"/>
          <w:b w:val="0"/>
          <w:bCs w:val="0"/>
          <w:iCs w:val="0"/>
          <w:szCs w:val="24"/>
        </w:rPr>
        <w:t>s</w:t>
      </w:r>
      <w:r w:rsidR="002C1027">
        <w:rPr>
          <w:rFonts w:cs="Times New Roman"/>
          <w:b w:val="0"/>
          <w:bCs w:val="0"/>
          <w:iCs w:val="0"/>
          <w:szCs w:val="24"/>
        </w:rPr>
        <w:t xml:space="preserve"> will be asked to participate in focus groups c</w:t>
      </w:r>
      <w:r w:rsidR="005514C5">
        <w:rPr>
          <w:rFonts w:cs="Times New Roman"/>
          <w:b w:val="0"/>
          <w:bCs w:val="0"/>
          <w:iCs w:val="0"/>
          <w:szCs w:val="24"/>
        </w:rPr>
        <w:t xml:space="preserve">onducted in </w:t>
      </w:r>
      <w:r>
        <w:rPr>
          <w:rFonts w:cs="Times New Roman"/>
          <w:b w:val="0"/>
          <w:bCs w:val="0"/>
          <w:iCs w:val="0"/>
          <w:szCs w:val="24"/>
        </w:rPr>
        <w:t>person and via tele</w:t>
      </w:r>
      <w:r w:rsidR="002C1027">
        <w:rPr>
          <w:rFonts w:cs="Times New Roman"/>
          <w:b w:val="0"/>
          <w:bCs w:val="0"/>
          <w:iCs w:val="0"/>
          <w:szCs w:val="24"/>
        </w:rPr>
        <w:t>conference</w:t>
      </w:r>
      <w:r>
        <w:rPr>
          <w:rFonts w:cs="Times New Roman"/>
          <w:b w:val="0"/>
          <w:bCs w:val="0"/>
          <w:iCs w:val="0"/>
          <w:szCs w:val="24"/>
        </w:rPr>
        <w:t xml:space="preserve"> and webinar technology</w:t>
      </w:r>
      <w:r w:rsidR="002C1027">
        <w:rPr>
          <w:rFonts w:cs="Times New Roman"/>
          <w:b w:val="0"/>
          <w:bCs w:val="0"/>
          <w:iCs w:val="0"/>
          <w:szCs w:val="24"/>
        </w:rPr>
        <w:t>. Focus groups will target 4 to 8 clinicians</w:t>
      </w:r>
      <w:r>
        <w:rPr>
          <w:rFonts w:cs="Times New Roman"/>
          <w:b w:val="0"/>
          <w:bCs w:val="0"/>
          <w:iCs w:val="0"/>
          <w:szCs w:val="24"/>
        </w:rPr>
        <w:t>/staff members</w:t>
      </w:r>
      <w:r w:rsidR="002C1027">
        <w:rPr>
          <w:rFonts w:cs="Times New Roman"/>
          <w:b w:val="0"/>
          <w:bCs w:val="0"/>
          <w:iCs w:val="0"/>
          <w:szCs w:val="24"/>
        </w:rPr>
        <w:t xml:space="preserve"> at each provider site (two for each SYT-ED grant and four for each SYT-I grant)</w:t>
      </w:r>
      <w:r>
        <w:rPr>
          <w:rFonts w:cs="Times New Roman"/>
          <w:b w:val="0"/>
          <w:bCs w:val="0"/>
          <w:iCs w:val="0"/>
          <w:szCs w:val="24"/>
        </w:rPr>
        <w:t>. The focus groups aim</w:t>
      </w:r>
      <w:r w:rsidR="002C1027">
        <w:rPr>
          <w:rFonts w:cs="Times New Roman"/>
          <w:b w:val="0"/>
          <w:bCs w:val="0"/>
          <w:iCs w:val="0"/>
          <w:szCs w:val="24"/>
        </w:rPr>
        <w:t xml:space="preserve"> to help better understand the facilitators, barriers and challenges to providing SYT funded services to the intended target population.</w:t>
      </w:r>
      <w:r w:rsidR="006B6F71">
        <w:rPr>
          <w:rFonts w:cs="Times New Roman"/>
          <w:b w:val="0"/>
          <w:bCs w:val="0"/>
          <w:iCs w:val="0"/>
          <w:szCs w:val="24"/>
        </w:rPr>
        <w:t xml:space="preserve"> Clinicians</w:t>
      </w:r>
      <w:r>
        <w:rPr>
          <w:rFonts w:cs="Times New Roman"/>
          <w:b w:val="0"/>
          <w:bCs w:val="0"/>
          <w:iCs w:val="0"/>
          <w:szCs w:val="24"/>
        </w:rPr>
        <w:t>/staff members</w:t>
      </w:r>
      <w:r w:rsidR="006B6F71">
        <w:rPr>
          <w:rFonts w:cs="Times New Roman"/>
          <w:b w:val="0"/>
          <w:bCs w:val="0"/>
          <w:iCs w:val="0"/>
          <w:szCs w:val="24"/>
        </w:rPr>
        <w:t xml:space="preserve"> will be asked</w:t>
      </w:r>
      <w:r w:rsidR="00E77BBD">
        <w:rPr>
          <w:rFonts w:cs="Times New Roman"/>
          <w:b w:val="0"/>
          <w:bCs w:val="0"/>
          <w:iCs w:val="0"/>
          <w:szCs w:val="24"/>
        </w:rPr>
        <w:t xml:space="preserve"> about </w:t>
      </w:r>
      <w:r>
        <w:rPr>
          <w:rFonts w:cs="Times New Roman"/>
          <w:b w:val="0"/>
          <w:bCs w:val="0"/>
          <w:iCs w:val="0"/>
          <w:szCs w:val="24"/>
        </w:rPr>
        <w:t>EBP</w:t>
      </w:r>
      <w:r w:rsidR="00BB1864">
        <w:rPr>
          <w:rFonts w:cs="Times New Roman"/>
          <w:b w:val="0"/>
          <w:bCs w:val="0"/>
          <w:iCs w:val="0"/>
          <w:szCs w:val="24"/>
        </w:rPr>
        <w:t xml:space="preserve"> implementation practices. </w:t>
      </w:r>
      <w:r w:rsidR="002C1027">
        <w:rPr>
          <w:rFonts w:cs="Times New Roman"/>
          <w:b w:val="0"/>
          <w:bCs w:val="0"/>
          <w:iCs w:val="0"/>
          <w:szCs w:val="24"/>
        </w:rPr>
        <w:t xml:space="preserve">The focus groups will provide valuable contextual information through which the evaluation team can better understand and interpret the </w:t>
      </w:r>
      <w:r w:rsidR="009B66F3" w:rsidRPr="009B66F3">
        <w:rPr>
          <w:b w:val="0"/>
          <w:i/>
          <w:iCs w:val="0"/>
          <w:sz w:val="23"/>
          <w:szCs w:val="23"/>
        </w:rPr>
        <w:t>Provider S</w:t>
      </w:r>
      <w:r w:rsidR="009B66F3" w:rsidRPr="009B66F3">
        <w:rPr>
          <w:b w:val="0"/>
          <w:i/>
          <w:sz w:val="23"/>
          <w:szCs w:val="23"/>
        </w:rPr>
        <w:t>urvey</w:t>
      </w:r>
      <w:r w:rsidR="005039D5" w:rsidRPr="009B66F3">
        <w:rPr>
          <w:rFonts w:cs="Times New Roman"/>
          <w:b w:val="0"/>
          <w:bCs w:val="0"/>
          <w:iCs w:val="0"/>
          <w:szCs w:val="24"/>
        </w:rPr>
        <w:t xml:space="preserve"> </w:t>
      </w:r>
      <w:r w:rsidR="005039D5">
        <w:rPr>
          <w:rFonts w:cs="Times New Roman"/>
          <w:b w:val="0"/>
          <w:bCs w:val="0"/>
          <w:iCs w:val="0"/>
          <w:szCs w:val="24"/>
        </w:rPr>
        <w:t xml:space="preserve">data. Focus groups </w:t>
      </w:r>
      <w:r>
        <w:rPr>
          <w:rFonts w:cs="Times New Roman"/>
          <w:b w:val="0"/>
          <w:bCs w:val="0"/>
          <w:iCs w:val="0"/>
          <w:szCs w:val="24"/>
        </w:rPr>
        <w:t xml:space="preserve">also </w:t>
      </w:r>
      <w:r w:rsidR="005039D5">
        <w:rPr>
          <w:rFonts w:cs="Times New Roman"/>
          <w:b w:val="0"/>
          <w:bCs w:val="0"/>
          <w:iCs w:val="0"/>
          <w:szCs w:val="24"/>
        </w:rPr>
        <w:t>will provide valuabl</w:t>
      </w:r>
      <w:r>
        <w:rPr>
          <w:rFonts w:cs="Times New Roman"/>
          <w:b w:val="0"/>
          <w:bCs w:val="0"/>
          <w:iCs w:val="0"/>
          <w:szCs w:val="24"/>
        </w:rPr>
        <w:t>e information on the clinicians’/staff members’</w:t>
      </w:r>
      <w:r w:rsidR="005039D5">
        <w:rPr>
          <w:rFonts w:cs="Times New Roman"/>
          <w:b w:val="0"/>
          <w:bCs w:val="0"/>
          <w:iCs w:val="0"/>
          <w:szCs w:val="24"/>
        </w:rPr>
        <w:t xml:space="preserve"> perspective</w:t>
      </w:r>
      <w:r>
        <w:rPr>
          <w:rFonts w:cs="Times New Roman"/>
          <w:b w:val="0"/>
          <w:bCs w:val="0"/>
          <w:iCs w:val="0"/>
          <w:szCs w:val="24"/>
        </w:rPr>
        <w:t>s</w:t>
      </w:r>
      <w:r w:rsidR="005039D5">
        <w:rPr>
          <w:rFonts w:cs="Times New Roman"/>
          <w:b w:val="0"/>
          <w:bCs w:val="0"/>
          <w:iCs w:val="0"/>
          <w:szCs w:val="24"/>
        </w:rPr>
        <w:t xml:space="preserve">. </w:t>
      </w:r>
      <w:r w:rsidR="005039D5">
        <w:rPr>
          <w:b w:val="0"/>
          <w:bCs w:val="0"/>
          <w:i/>
        </w:rPr>
        <w:t>Exhibit</w:t>
      </w:r>
      <w:r w:rsidR="005039D5" w:rsidRPr="00C47473">
        <w:rPr>
          <w:b w:val="0"/>
          <w:bCs w:val="0"/>
          <w:i/>
        </w:rPr>
        <w:t xml:space="preserve"> </w:t>
      </w:r>
      <w:r w:rsidR="005039D5">
        <w:rPr>
          <w:b w:val="0"/>
          <w:bCs w:val="0"/>
          <w:i/>
        </w:rPr>
        <w:t xml:space="preserve">6 </w:t>
      </w:r>
      <w:r w:rsidR="005039D5" w:rsidRPr="005039D5">
        <w:rPr>
          <w:b w:val="0"/>
          <w:bCs w:val="0"/>
        </w:rPr>
        <w:t xml:space="preserve">provides a brief description of each section and the </w:t>
      </w:r>
      <w:r w:rsidR="003E49DF" w:rsidRPr="003E49DF">
        <w:rPr>
          <w:b w:val="0"/>
          <w:bCs w:val="0"/>
          <w:i/>
          <w:iCs w:val="0"/>
        </w:rPr>
        <w:t>Focus G</w:t>
      </w:r>
      <w:r w:rsidR="00245E6F" w:rsidRPr="003E49DF">
        <w:rPr>
          <w:b w:val="0"/>
          <w:bCs w:val="0"/>
          <w:i/>
          <w:iCs w:val="0"/>
        </w:rPr>
        <w:t>roup</w:t>
      </w:r>
      <w:r w:rsidR="003E49DF" w:rsidRPr="003E49DF">
        <w:rPr>
          <w:b w:val="0"/>
          <w:bCs w:val="0"/>
          <w:i/>
          <w:iCs w:val="0"/>
        </w:rPr>
        <w:t xml:space="preserve"> G</w:t>
      </w:r>
      <w:r w:rsidR="005039D5" w:rsidRPr="003E49DF">
        <w:rPr>
          <w:b w:val="0"/>
          <w:bCs w:val="0"/>
          <w:i/>
          <w:iCs w:val="0"/>
        </w:rPr>
        <w:t>uide</w:t>
      </w:r>
      <w:r w:rsidR="005039D5" w:rsidRPr="008025D7">
        <w:rPr>
          <w:b w:val="0"/>
          <w:bCs w:val="0"/>
          <w:iCs w:val="0"/>
        </w:rPr>
        <w:t xml:space="preserve"> </w:t>
      </w:r>
      <w:r w:rsidR="005039D5" w:rsidRPr="005039D5">
        <w:rPr>
          <w:b w:val="0"/>
          <w:bCs w:val="0"/>
          <w:iCs w:val="0"/>
        </w:rPr>
        <w:t xml:space="preserve">can be found in Attachment </w:t>
      </w:r>
      <w:r w:rsidR="005039D5">
        <w:rPr>
          <w:b w:val="0"/>
          <w:bCs w:val="0"/>
          <w:iCs w:val="0"/>
        </w:rPr>
        <w:t>6</w:t>
      </w:r>
      <w:r w:rsidR="005039D5" w:rsidRPr="005039D5">
        <w:rPr>
          <w:b w:val="0"/>
          <w:bCs w:val="0"/>
          <w:iCs w:val="0"/>
        </w:rPr>
        <w:t>.</w:t>
      </w:r>
    </w:p>
    <w:p w14:paraId="2BAB7FEA" w14:textId="1A9E25CB" w:rsidR="002C1027" w:rsidRPr="00954E6D" w:rsidRDefault="002C1027" w:rsidP="002C1027">
      <w:pPr>
        <w:pStyle w:val="Exhibittitle"/>
      </w:pPr>
      <w:r>
        <w:t>Exhibit</w:t>
      </w:r>
      <w:r w:rsidRPr="00954E6D">
        <w:t xml:space="preserve"> </w:t>
      </w:r>
      <w:r w:rsidR="005514C5">
        <w:t xml:space="preserve">6. </w:t>
      </w:r>
      <w:r w:rsidR="005514C5">
        <w:tab/>
        <w:t>Focus Group G</w:t>
      </w:r>
      <w:r w:rsidR="003E49DF">
        <w:t>uide</w:t>
      </w:r>
    </w:p>
    <w:tbl>
      <w:tblPr>
        <w:tblStyle w:val="LightShading"/>
        <w:tblW w:w="9355" w:type="dxa"/>
        <w:tblLook w:val="04A0" w:firstRow="1" w:lastRow="0" w:firstColumn="1" w:lastColumn="0" w:noHBand="0" w:noVBand="1"/>
      </w:tblPr>
      <w:tblGrid>
        <w:gridCol w:w="9355"/>
      </w:tblGrid>
      <w:tr w:rsidR="002C1027" w:rsidRPr="00217448" w14:paraId="22072030" w14:textId="77777777" w:rsidTr="006B6F71">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355" w:type="dxa"/>
            <w:tcBorders>
              <w:top w:val="single" w:sz="4" w:space="0" w:color="auto"/>
              <w:left w:val="single" w:sz="4" w:space="0" w:color="auto"/>
              <w:bottom w:val="nil"/>
              <w:right w:val="single" w:sz="4" w:space="0" w:color="auto"/>
            </w:tcBorders>
            <w:shd w:val="clear" w:color="auto" w:fill="F2F2F2" w:themeFill="background1" w:themeFillShade="F2"/>
          </w:tcPr>
          <w:p w14:paraId="2DDEE7C0" w14:textId="5B6D69EB" w:rsidR="002C1027" w:rsidRDefault="00BB1864" w:rsidP="006B6F71">
            <w:pPr>
              <w:keepNext/>
              <w:keepLines/>
              <w:spacing w:before="15" w:after="15" w:line="276" w:lineRule="auto"/>
              <w:rPr>
                <w:rFonts w:asciiTheme="majorBidi" w:hAnsiTheme="majorBidi" w:cstheme="majorBidi"/>
                <w:bCs w:val="0"/>
                <w:iCs/>
                <w:sz w:val="20"/>
                <w:szCs w:val="20"/>
              </w:rPr>
            </w:pPr>
            <w:r>
              <w:rPr>
                <w:rFonts w:asciiTheme="majorBidi" w:hAnsiTheme="majorBidi" w:cstheme="majorBidi"/>
                <w:bCs w:val="0"/>
                <w:iCs/>
                <w:sz w:val="20"/>
                <w:szCs w:val="20"/>
              </w:rPr>
              <w:t>Impact</w:t>
            </w:r>
          </w:p>
          <w:p w14:paraId="3ED239FB" w14:textId="71279DB6" w:rsidR="00BB1864" w:rsidRPr="00BB1864" w:rsidRDefault="00BB1864" w:rsidP="008025D7">
            <w:pPr>
              <w:keepNext/>
              <w:keepLines/>
              <w:spacing w:before="15" w:after="15" w:line="276" w:lineRule="auto"/>
              <w:rPr>
                <w:rFonts w:asciiTheme="majorBidi" w:hAnsiTheme="majorBidi" w:cstheme="majorBidi"/>
                <w:b w:val="0"/>
                <w:bCs w:val="0"/>
                <w:iCs/>
                <w:sz w:val="20"/>
                <w:szCs w:val="20"/>
              </w:rPr>
            </w:pPr>
            <w:r>
              <w:rPr>
                <w:rFonts w:asciiTheme="majorBidi" w:hAnsiTheme="majorBidi" w:cstheme="majorBidi"/>
                <w:b w:val="0"/>
                <w:bCs w:val="0"/>
                <w:iCs/>
                <w:sz w:val="20"/>
                <w:szCs w:val="20"/>
              </w:rPr>
              <w:t xml:space="preserve">Includes a question on the impact of implementing </w:t>
            </w:r>
            <w:r w:rsidR="008025D7">
              <w:rPr>
                <w:rFonts w:asciiTheme="majorBidi" w:hAnsiTheme="majorBidi" w:cstheme="majorBidi"/>
                <w:b w:val="0"/>
                <w:bCs w:val="0"/>
                <w:iCs/>
                <w:sz w:val="20"/>
                <w:szCs w:val="20"/>
              </w:rPr>
              <w:t>EBPs</w:t>
            </w:r>
            <w:r>
              <w:rPr>
                <w:rFonts w:asciiTheme="majorBidi" w:hAnsiTheme="majorBidi" w:cstheme="majorBidi"/>
                <w:b w:val="0"/>
                <w:bCs w:val="0"/>
                <w:iCs/>
                <w:sz w:val="20"/>
                <w:szCs w:val="20"/>
              </w:rPr>
              <w:t xml:space="preserve"> in the provider’s community.</w:t>
            </w:r>
          </w:p>
        </w:tc>
      </w:tr>
      <w:tr w:rsidR="002C1027" w:rsidRPr="00217448" w14:paraId="228E47AF" w14:textId="77777777" w:rsidTr="006B6F7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355" w:type="dxa"/>
            <w:tcBorders>
              <w:top w:val="single" w:sz="4" w:space="0" w:color="auto"/>
              <w:left w:val="single" w:sz="4" w:space="0" w:color="auto"/>
              <w:bottom w:val="nil"/>
              <w:right w:val="single" w:sz="4" w:space="0" w:color="auto"/>
            </w:tcBorders>
            <w:shd w:val="clear" w:color="auto" w:fill="FFFFFF" w:themeFill="background1"/>
          </w:tcPr>
          <w:p w14:paraId="0F854CEB" w14:textId="657F8C6F" w:rsidR="002C1027" w:rsidRDefault="00BB1864" w:rsidP="006B6F71">
            <w:pPr>
              <w:spacing w:before="15" w:after="15" w:line="276" w:lineRule="auto"/>
              <w:rPr>
                <w:rFonts w:asciiTheme="majorBidi" w:hAnsiTheme="majorBidi" w:cstheme="majorBidi"/>
                <w:bCs w:val="0"/>
                <w:iCs/>
                <w:sz w:val="20"/>
                <w:szCs w:val="20"/>
              </w:rPr>
            </w:pPr>
            <w:r>
              <w:rPr>
                <w:rFonts w:asciiTheme="majorBidi" w:hAnsiTheme="majorBidi" w:cstheme="majorBidi"/>
                <w:bCs w:val="0"/>
                <w:iCs/>
                <w:sz w:val="20"/>
                <w:szCs w:val="20"/>
              </w:rPr>
              <w:t>Implementation Effectiveness</w:t>
            </w:r>
          </w:p>
          <w:p w14:paraId="3FFB30DC" w14:textId="12B8A60B" w:rsidR="00BB1864" w:rsidRPr="00BB1864" w:rsidRDefault="00BB1864" w:rsidP="008025D7">
            <w:pPr>
              <w:spacing w:before="15" w:after="15" w:line="276" w:lineRule="auto"/>
              <w:rPr>
                <w:rFonts w:asciiTheme="majorBidi" w:hAnsiTheme="majorBidi" w:cstheme="majorBidi"/>
                <w:b w:val="0"/>
                <w:bCs w:val="0"/>
                <w:iCs/>
                <w:sz w:val="20"/>
                <w:szCs w:val="20"/>
              </w:rPr>
            </w:pPr>
            <w:r>
              <w:rPr>
                <w:rFonts w:asciiTheme="majorBidi" w:hAnsiTheme="majorBidi" w:cstheme="majorBidi"/>
                <w:b w:val="0"/>
                <w:bCs w:val="0"/>
                <w:iCs/>
                <w:sz w:val="20"/>
                <w:szCs w:val="20"/>
              </w:rPr>
              <w:t>Ask</w:t>
            </w:r>
            <w:r w:rsidR="00C355E6">
              <w:rPr>
                <w:rFonts w:asciiTheme="majorBidi" w:hAnsiTheme="majorBidi" w:cstheme="majorBidi"/>
                <w:b w:val="0"/>
                <w:bCs w:val="0"/>
                <w:iCs/>
                <w:sz w:val="20"/>
                <w:szCs w:val="20"/>
              </w:rPr>
              <w:t>s</w:t>
            </w:r>
            <w:r>
              <w:rPr>
                <w:rFonts w:asciiTheme="majorBidi" w:hAnsiTheme="majorBidi" w:cstheme="majorBidi"/>
                <w:b w:val="0"/>
                <w:bCs w:val="0"/>
                <w:iCs/>
                <w:sz w:val="20"/>
                <w:szCs w:val="20"/>
              </w:rPr>
              <w:t xml:space="preserve"> clinicians</w:t>
            </w:r>
            <w:r w:rsidR="008025D7">
              <w:rPr>
                <w:rFonts w:asciiTheme="majorBidi" w:hAnsiTheme="majorBidi" w:cstheme="majorBidi"/>
                <w:b w:val="0"/>
                <w:bCs w:val="0"/>
                <w:iCs/>
                <w:sz w:val="20"/>
                <w:szCs w:val="20"/>
              </w:rPr>
              <w:t>/staff members</w:t>
            </w:r>
            <w:r>
              <w:rPr>
                <w:rFonts w:asciiTheme="majorBidi" w:hAnsiTheme="majorBidi" w:cstheme="majorBidi"/>
                <w:b w:val="0"/>
                <w:bCs w:val="0"/>
                <w:iCs/>
                <w:sz w:val="20"/>
                <w:szCs w:val="20"/>
              </w:rPr>
              <w:t xml:space="preserve"> about the effectiveness of </w:t>
            </w:r>
            <w:r w:rsidR="008025D7">
              <w:rPr>
                <w:rFonts w:asciiTheme="majorBidi" w:hAnsiTheme="majorBidi" w:cstheme="majorBidi"/>
                <w:b w:val="0"/>
                <w:bCs w:val="0"/>
                <w:iCs/>
                <w:sz w:val="20"/>
                <w:szCs w:val="20"/>
              </w:rPr>
              <w:t>EBPs</w:t>
            </w:r>
            <w:r>
              <w:rPr>
                <w:rFonts w:asciiTheme="majorBidi" w:hAnsiTheme="majorBidi" w:cstheme="majorBidi"/>
                <w:b w:val="0"/>
                <w:bCs w:val="0"/>
                <w:iCs/>
                <w:sz w:val="20"/>
                <w:szCs w:val="20"/>
              </w:rPr>
              <w:t xml:space="preserve"> on clients, families and staff.</w:t>
            </w:r>
          </w:p>
        </w:tc>
      </w:tr>
      <w:tr w:rsidR="002C1027" w:rsidRPr="00217448" w14:paraId="029A9C6E" w14:textId="77777777" w:rsidTr="006B6F71">
        <w:trPr>
          <w:cantSplit/>
        </w:trPr>
        <w:tc>
          <w:tcPr>
            <w:cnfStyle w:val="001000000000" w:firstRow="0" w:lastRow="0" w:firstColumn="1" w:lastColumn="0" w:oddVBand="0" w:evenVBand="0" w:oddHBand="0" w:evenHBand="0" w:firstRowFirstColumn="0" w:firstRowLastColumn="0" w:lastRowFirstColumn="0" w:lastRowLastColumn="0"/>
            <w:tcW w:w="9355" w:type="dxa"/>
            <w:tcBorders>
              <w:top w:val="single" w:sz="4" w:space="0" w:color="auto"/>
              <w:left w:val="single" w:sz="4" w:space="0" w:color="auto"/>
              <w:bottom w:val="nil"/>
              <w:right w:val="single" w:sz="4" w:space="0" w:color="auto"/>
            </w:tcBorders>
            <w:shd w:val="clear" w:color="auto" w:fill="F2F2F2" w:themeFill="background1" w:themeFillShade="F2"/>
          </w:tcPr>
          <w:p w14:paraId="64135024" w14:textId="53F66818" w:rsidR="002C1027" w:rsidRDefault="00BB1864" w:rsidP="006B6F71">
            <w:pPr>
              <w:spacing w:before="15" w:after="15" w:line="276" w:lineRule="auto"/>
              <w:rPr>
                <w:rFonts w:asciiTheme="majorBidi" w:hAnsiTheme="majorBidi" w:cstheme="majorBidi"/>
                <w:bCs w:val="0"/>
                <w:iCs/>
                <w:sz w:val="20"/>
                <w:szCs w:val="20"/>
              </w:rPr>
            </w:pPr>
            <w:r>
              <w:rPr>
                <w:rFonts w:asciiTheme="majorBidi" w:hAnsiTheme="majorBidi" w:cstheme="majorBidi"/>
                <w:bCs w:val="0"/>
                <w:iCs/>
                <w:sz w:val="20"/>
                <w:szCs w:val="20"/>
              </w:rPr>
              <w:t>Leadership Engagement</w:t>
            </w:r>
          </w:p>
          <w:p w14:paraId="654AD357" w14:textId="7D3A2031" w:rsidR="00BB1864" w:rsidRPr="00BB1864" w:rsidRDefault="00BB1864" w:rsidP="005514C5">
            <w:pPr>
              <w:spacing w:before="15" w:after="15" w:line="276" w:lineRule="auto"/>
              <w:rPr>
                <w:rFonts w:asciiTheme="majorBidi" w:hAnsiTheme="majorBidi" w:cstheme="majorBidi"/>
                <w:b w:val="0"/>
                <w:bCs w:val="0"/>
                <w:iCs/>
                <w:sz w:val="20"/>
                <w:szCs w:val="20"/>
              </w:rPr>
            </w:pPr>
            <w:r>
              <w:rPr>
                <w:rFonts w:asciiTheme="majorBidi" w:hAnsiTheme="majorBidi" w:cstheme="majorBidi"/>
                <w:b w:val="0"/>
                <w:bCs w:val="0"/>
                <w:iCs/>
                <w:sz w:val="20"/>
                <w:szCs w:val="20"/>
              </w:rPr>
              <w:t xml:space="preserve">Includes questions around </w:t>
            </w:r>
            <w:r w:rsidR="008025D7">
              <w:rPr>
                <w:rFonts w:asciiTheme="majorBidi" w:hAnsiTheme="majorBidi" w:cstheme="majorBidi"/>
                <w:b w:val="0"/>
                <w:bCs w:val="0"/>
                <w:iCs/>
                <w:sz w:val="20"/>
                <w:szCs w:val="20"/>
              </w:rPr>
              <w:t>the commitment of the provider organization’s leade</w:t>
            </w:r>
            <w:r>
              <w:rPr>
                <w:rFonts w:asciiTheme="majorBidi" w:hAnsiTheme="majorBidi" w:cstheme="majorBidi"/>
                <w:b w:val="0"/>
                <w:bCs w:val="0"/>
                <w:iCs/>
                <w:sz w:val="20"/>
                <w:szCs w:val="20"/>
              </w:rPr>
              <w:t>rs</w:t>
            </w:r>
            <w:r w:rsidR="008025D7">
              <w:rPr>
                <w:rFonts w:asciiTheme="majorBidi" w:hAnsiTheme="majorBidi" w:cstheme="majorBidi"/>
                <w:b w:val="0"/>
                <w:bCs w:val="0"/>
                <w:iCs/>
                <w:sz w:val="20"/>
                <w:szCs w:val="20"/>
              </w:rPr>
              <w:t>hip</w:t>
            </w:r>
            <w:r>
              <w:rPr>
                <w:rFonts w:asciiTheme="majorBidi" w:hAnsiTheme="majorBidi" w:cstheme="majorBidi"/>
                <w:b w:val="0"/>
                <w:bCs w:val="0"/>
                <w:iCs/>
                <w:sz w:val="20"/>
                <w:szCs w:val="20"/>
              </w:rPr>
              <w:t xml:space="preserve"> to the successful implementation of </w:t>
            </w:r>
            <w:r w:rsidR="005514C5">
              <w:rPr>
                <w:rFonts w:asciiTheme="majorBidi" w:hAnsiTheme="majorBidi" w:cstheme="majorBidi"/>
                <w:b w:val="0"/>
                <w:bCs w:val="0"/>
                <w:iCs/>
                <w:sz w:val="20"/>
                <w:szCs w:val="20"/>
              </w:rPr>
              <w:t>EBPs</w:t>
            </w:r>
            <w:r>
              <w:rPr>
                <w:rFonts w:asciiTheme="majorBidi" w:hAnsiTheme="majorBidi" w:cstheme="majorBidi"/>
                <w:b w:val="0"/>
                <w:bCs w:val="0"/>
                <w:iCs/>
                <w:sz w:val="20"/>
                <w:szCs w:val="20"/>
              </w:rPr>
              <w:t>.</w:t>
            </w:r>
          </w:p>
        </w:tc>
      </w:tr>
      <w:tr w:rsidR="002C1027" w:rsidRPr="00217448" w14:paraId="2ADC477D" w14:textId="77777777" w:rsidTr="006B6F7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355" w:type="dxa"/>
            <w:tcBorders>
              <w:top w:val="single" w:sz="4" w:space="0" w:color="auto"/>
              <w:left w:val="single" w:sz="4" w:space="0" w:color="auto"/>
              <w:bottom w:val="nil"/>
              <w:right w:val="single" w:sz="4" w:space="0" w:color="auto"/>
            </w:tcBorders>
            <w:shd w:val="clear" w:color="auto" w:fill="auto"/>
          </w:tcPr>
          <w:p w14:paraId="2F043397" w14:textId="4F3BFDA6" w:rsidR="002C1027" w:rsidRDefault="00BB1864" w:rsidP="006B6F71">
            <w:pPr>
              <w:spacing w:before="15" w:after="15" w:line="276" w:lineRule="auto"/>
              <w:rPr>
                <w:rFonts w:asciiTheme="majorBidi" w:hAnsiTheme="majorBidi" w:cstheme="majorBidi"/>
                <w:bCs w:val="0"/>
                <w:iCs/>
                <w:sz w:val="20"/>
                <w:szCs w:val="20"/>
              </w:rPr>
            </w:pPr>
            <w:r>
              <w:rPr>
                <w:rFonts w:asciiTheme="majorBidi" w:hAnsiTheme="majorBidi" w:cstheme="majorBidi"/>
                <w:bCs w:val="0"/>
                <w:iCs/>
                <w:sz w:val="20"/>
                <w:szCs w:val="20"/>
              </w:rPr>
              <w:t>Implementation Climate</w:t>
            </w:r>
          </w:p>
          <w:p w14:paraId="6072B024" w14:textId="0ADF1BCC" w:rsidR="00BB1864" w:rsidRPr="00BB1864" w:rsidRDefault="00E77BBD" w:rsidP="008025D7">
            <w:pPr>
              <w:spacing w:before="15" w:after="15" w:line="276" w:lineRule="auto"/>
              <w:rPr>
                <w:rFonts w:asciiTheme="majorBidi" w:hAnsiTheme="majorBidi" w:cstheme="majorBidi"/>
                <w:b w:val="0"/>
                <w:bCs w:val="0"/>
                <w:iCs/>
                <w:sz w:val="20"/>
                <w:szCs w:val="20"/>
              </w:rPr>
            </w:pPr>
            <w:r>
              <w:rPr>
                <w:rFonts w:asciiTheme="majorBidi" w:hAnsiTheme="majorBidi" w:cstheme="majorBidi"/>
                <w:b w:val="0"/>
                <w:bCs w:val="0"/>
                <w:iCs/>
                <w:sz w:val="20"/>
                <w:szCs w:val="20"/>
              </w:rPr>
              <w:t xml:space="preserve">Targets the expectations of </w:t>
            </w:r>
            <w:r w:rsidR="000823D6">
              <w:rPr>
                <w:rFonts w:asciiTheme="majorBidi" w:hAnsiTheme="majorBidi" w:cstheme="majorBidi"/>
                <w:b w:val="0"/>
                <w:bCs w:val="0"/>
                <w:iCs/>
                <w:sz w:val="20"/>
                <w:szCs w:val="20"/>
              </w:rPr>
              <w:t>provider</w:t>
            </w:r>
            <w:r w:rsidR="008025D7">
              <w:rPr>
                <w:rFonts w:asciiTheme="majorBidi" w:hAnsiTheme="majorBidi" w:cstheme="majorBidi"/>
                <w:b w:val="0"/>
                <w:bCs w:val="0"/>
                <w:iCs/>
                <w:sz w:val="20"/>
                <w:szCs w:val="20"/>
              </w:rPr>
              <w:t xml:space="preserve"> organization</w:t>
            </w:r>
            <w:r w:rsidR="000823D6">
              <w:rPr>
                <w:rFonts w:asciiTheme="majorBidi" w:hAnsiTheme="majorBidi" w:cstheme="majorBidi"/>
                <w:b w:val="0"/>
                <w:bCs w:val="0"/>
                <w:iCs/>
                <w:sz w:val="20"/>
                <w:szCs w:val="20"/>
              </w:rPr>
              <w:t xml:space="preserve"> </w:t>
            </w:r>
            <w:r>
              <w:rPr>
                <w:rFonts w:asciiTheme="majorBidi" w:hAnsiTheme="majorBidi" w:cstheme="majorBidi"/>
                <w:b w:val="0"/>
                <w:bCs w:val="0"/>
                <w:iCs/>
                <w:sz w:val="20"/>
                <w:szCs w:val="20"/>
              </w:rPr>
              <w:t>leadership, and asks whether those expectations were met.</w:t>
            </w:r>
          </w:p>
        </w:tc>
      </w:tr>
      <w:tr w:rsidR="00E77BBD" w:rsidRPr="00217448" w14:paraId="6548D1B7" w14:textId="77777777" w:rsidTr="006B6F71">
        <w:trPr>
          <w:cantSplit/>
          <w:trHeight w:val="171"/>
        </w:trPr>
        <w:tc>
          <w:tcPr>
            <w:cnfStyle w:val="001000000000" w:firstRow="0" w:lastRow="0" w:firstColumn="1" w:lastColumn="0" w:oddVBand="0" w:evenVBand="0" w:oddHBand="0" w:evenHBand="0" w:firstRowFirstColumn="0" w:firstRowLastColumn="0" w:lastRowFirstColumn="0" w:lastRowLastColumn="0"/>
            <w:tcW w:w="9355" w:type="dxa"/>
            <w:tcBorders>
              <w:top w:val="single" w:sz="4" w:space="0" w:color="auto"/>
              <w:left w:val="single" w:sz="4" w:space="0" w:color="auto"/>
              <w:bottom w:val="nil"/>
              <w:right w:val="single" w:sz="4" w:space="0" w:color="auto"/>
            </w:tcBorders>
            <w:shd w:val="clear" w:color="auto" w:fill="auto"/>
          </w:tcPr>
          <w:p w14:paraId="5FAF5B27" w14:textId="3CBA7884" w:rsidR="00E77BBD" w:rsidRPr="00BB1864" w:rsidRDefault="00E77BBD" w:rsidP="00E77BBD">
            <w:pPr>
              <w:spacing w:before="15" w:after="15" w:line="276" w:lineRule="auto"/>
              <w:rPr>
                <w:rFonts w:asciiTheme="majorBidi" w:hAnsiTheme="majorBidi" w:cstheme="majorBidi"/>
                <w:iCs/>
                <w:sz w:val="20"/>
                <w:szCs w:val="20"/>
              </w:rPr>
            </w:pPr>
            <w:r w:rsidRPr="001C3CF7">
              <w:rPr>
                <w:rFonts w:asciiTheme="majorBidi" w:hAnsiTheme="majorBidi" w:cstheme="majorBidi"/>
                <w:bCs w:val="0"/>
                <w:iCs/>
                <w:sz w:val="20"/>
                <w:szCs w:val="20"/>
              </w:rPr>
              <w:t>Provider Collaborative</w:t>
            </w:r>
          </w:p>
        </w:tc>
      </w:tr>
      <w:tr w:rsidR="00E77BBD" w:rsidRPr="00217448" w14:paraId="2C46CF10" w14:textId="77777777" w:rsidTr="006B6F71">
        <w:trPr>
          <w:cnfStyle w:val="000000100000" w:firstRow="0" w:lastRow="0" w:firstColumn="0" w:lastColumn="0" w:oddVBand="0" w:evenVBand="0" w:oddHBand="1" w:evenHBand="0" w:firstRowFirstColumn="0" w:firstRowLastColumn="0" w:lastRowFirstColumn="0" w:lastRowLastColumn="0"/>
          <w:cantSplit/>
          <w:trHeight w:val="171"/>
        </w:trPr>
        <w:tc>
          <w:tcPr>
            <w:cnfStyle w:val="001000000000" w:firstRow="0" w:lastRow="0" w:firstColumn="1" w:lastColumn="0" w:oddVBand="0" w:evenVBand="0" w:oddHBand="0" w:evenHBand="0" w:firstRowFirstColumn="0" w:firstRowLastColumn="0" w:lastRowFirstColumn="0" w:lastRowLastColumn="0"/>
            <w:tcW w:w="9355" w:type="dxa"/>
            <w:tcBorders>
              <w:top w:val="nil"/>
              <w:left w:val="single" w:sz="4" w:space="0" w:color="auto"/>
              <w:bottom w:val="single" w:sz="4" w:space="0" w:color="auto"/>
              <w:right w:val="single" w:sz="4" w:space="0" w:color="auto"/>
            </w:tcBorders>
            <w:shd w:val="clear" w:color="auto" w:fill="auto"/>
          </w:tcPr>
          <w:p w14:paraId="35A23E8F" w14:textId="71BE3825" w:rsidR="00E77BBD" w:rsidRPr="00A962DA" w:rsidRDefault="00E77BBD" w:rsidP="008025D7">
            <w:pPr>
              <w:spacing w:before="15" w:after="15" w:line="276" w:lineRule="auto"/>
              <w:rPr>
                <w:rFonts w:asciiTheme="majorBidi" w:hAnsiTheme="majorBidi" w:cstheme="majorBidi"/>
                <w:b w:val="0"/>
                <w:bCs w:val="0"/>
                <w:iCs/>
                <w:sz w:val="20"/>
                <w:szCs w:val="20"/>
              </w:rPr>
            </w:pPr>
            <w:r w:rsidRPr="001C3CF7">
              <w:rPr>
                <w:rFonts w:asciiTheme="majorBidi" w:hAnsiTheme="majorBidi" w:cstheme="majorBidi"/>
                <w:b w:val="0"/>
                <w:bCs w:val="0"/>
                <w:iCs/>
                <w:sz w:val="20"/>
                <w:szCs w:val="20"/>
              </w:rPr>
              <w:t xml:space="preserve">Asks about the role of other community providers in the implementation of </w:t>
            </w:r>
            <w:r w:rsidR="008025D7">
              <w:rPr>
                <w:rFonts w:asciiTheme="majorBidi" w:hAnsiTheme="majorBidi" w:cstheme="majorBidi"/>
                <w:b w:val="0"/>
                <w:bCs w:val="0"/>
                <w:iCs/>
                <w:sz w:val="20"/>
                <w:szCs w:val="20"/>
              </w:rPr>
              <w:t>EBPs</w:t>
            </w:r>
            <w:r w:rsidRPr="001C3CF7">
              <w:rPr>
                <w:rFonts w:asciiTheme="majorBidi" w:hAnsiTheme="majorBidi" w:cstheme="majorBidi"/>
                <w:b w:val="0"/>
                <w:bCs w:val="0"/>
                <w:iCs/>
                <w:sz w:val="20"/>
                <w:szCs w:val="20"/>
              </w:rPr>
              <w:t xml:space="preserve"> by the grantee provider</w:t>
            </w:r>
            <w:r w:rsidR="008025D7">
              <w:rPr>
                <w:rFonts w:asciiTheme="majorBidi" w:hAnsiTheme="majorBidi" w:cstheme="majorBidi"/>
                <w:b w:val="0"/>
                <w:bCs w:val="0"/>
                <w:iCs/>
                <w:sz w:val="20"/>
                <w:szCs w:val="20"/>
              </w:rPr>
              <w:t xml:space="preserve"> organization</w:t>
            </w:r>
            <w:r w:rsidRPr="001C3CF7">
              <w:rPr>
                <w:rFonts w:asciiTheme="majorBidi" w:hAnsiTheme="majorBidi" w:cstheme="majorBidi"/>
                <w:b w:val="0"/>
                <w:bCs w:val="0"/>
                <w:iCs/>
                <w:sz w:val="20"/>
                <w:szCs w:val="20"/>
              </w:rPr>
              <w:t xml:space="preserve">.  </w:t>
            </w:r>
          </w:p>
        </w:tc>
      </w:tr>
    </w:tbl>
    <w:p w14:paraId="5CDF780C" w14:textId="45FB85F1" w:rsidR="00CA6E26" w:rsidRDefault="00B974B1" w:rsidP="00B974B1">
      <w:pPr>
        <w:pStyle w:val="Heading2"/>
        <w:rPr>
          <w:u w:val="single"/>
        </w:rPr>
      </w:pPr>
      <w:r>
        <w:lastRenderedPageBreak/>
        <w:t>3.</w:t>
      </w:r>
      <w:r>
        <w:tab/>
      </w:r>
      <w:r w:rsidR="00CA6E26" w:rsidRPr="00B974B1">
        <w:rPr>
          <w:u w:val="single"/>
        </w:rPr>
        <w:t>Use of Information Technology</w:t>
      </w:r>
      <w:bookmarkEnd w:id="7"/>
      <w:bookmarkEnd w:id="8"/>
    </w:p>
    <w:p w14:paraId="0F3CAC7B" w14:textId="4B2EC864" w:rsidR="00B372ED" w:rsidRPr="00B372ED" w:rsidRDefault="00832E37" w:rsidP="00B974B1">
      <w:pPr>
        <w:pStyle w:val="Heading4"/>
      </w:pPr>
      <w:r>
        <w:t>Implementation, Sustainability, and Stakeholder Interview Guides</w:t>
      </w:r>
    </w:p>
    <w:p w14:paraId="6E90F514" w14:textId="527F04B4" w:rsidR="00033B70" w:rsidRPr="00040AC3" w:rsidRDefault="00B372ED" w:rsidP="005039D5">
      <w:pPr>
        <w:pStyle w:val="BodyText"/>
      </w:pPr>
      <w:r w:rsidRPr="007A1B18">
        <w:t xml:space="preserve">The </w:t>
      </w:r>
      <w:r w:rsidRPr="00B372ED">
        <w:rPr>
          <w:iCs/>
        </w:rPr>
        <w:t>grantee, provider</w:t>
      </w:r>
      <w:r w:rsidR="001F634B">
        <w:rPr>
          <w:iCs/>
        </w:rPr>
        <w:t>,</w:t>
      </w:r>
      <w:r w:rsidRPr="00B372ED">
        <w:rPr>
          <w:iCs/>
        </w:rPr>
        <w:t xml:space="preserve"> and stakeholder interviews </w:t>
      </w:r>
      <w:r>
        <w:t xml:space="preserve">are designed as </w:t>
      </w:r>
      <w:r w:rsidR="005039D5">
        <w:t>both in-person and</w:t>
      </w:r>
      <w:r>
        <w:t xml:space="preserve"> telephone</w:t>
      </w:r>
      <w:r w:rsidR="001A5A61">
        <w:t>-</w:t>
      </w:r>
      <w:r>
        <w:t xml:space="preserve">based </w:t>
      </w:r>
      <w:r w:rsidRPr="007A1B18">
        <w:t>interview</w:t>
      </w:r>
      <w:r w:rsidR="005039D5">
        <w:t>s and the same procedures will be followed for both interview methods</w:t>
      </w:r>
      <w:r w:rsidRPr="007A1B18">
        <w:t xml:space="preserve">. </w:t>
      </w:r>
      <w:r w:rsidR="005039D5">
        <w:t xml:space="preserve">In both settings, </w:t>
      </w:r>
      <w:r w:rsidR="0069058E">
        <w:t>i</w:t>
      </w:r>
      <w:r w:rsidRPr="007A1B18">
        <w:t>nterviewer</w:t>
      </w:r>
      <w:r w:rsidR="001A5A61">
        <w:t>s will ask respondents questions, and</w:t>
      </w:r>
      <w:r w:rsidRPr="007A1B18">
        <w:t xml:space="preserve"> </w:t>
      </w:r>
      <w:r>
        <w:t>note taker</w:t>
      </w:r>
      <w:r w:rsidR="001A5A61">
        <w:t>s</w:t>
      </w:r>
      <w:r>
        <w:t xml:space="preserve"> </w:t>
      </w:r>
      <w:r w:rsidR="001A5A61">
        <w:t xml:space="preserve">will </w:t>
      </w:r>
      <w:r>
        <w:t>record responses into a word document</w:t>
      </w:r>
      <w:r w:rsidRPr="007A1B18">
        <w:t xml:space="preserve">. </w:t>
      </w:r>
      <w:r w:rsidR="005039D5">
        <w:t xml:space="preserve">Five grantees will complete the </w:t>
      </w:r>
      <w:r w:rsidR="0069058E">
        <w:t xml:space="preserve">initial interviews (both grantee and provider) in </w:t>
      </w:r>
      <w:r w:rsidR="005039D5">
        <w:t xml:space="preserve">person while the remaining interviews will </w:t>
      </w:r>
      <w:r w:rsidR="00810E90">
        <w:t xml:space="preserve">be </w:t>
      </w:r>
      <w:r w:rsidR="005039D5">
        <w:t xml:space="preserve">conducted </w:t>
      </w:r>
      <w:r w:rsidR="0069058E">
        <w:t>via telephone</w:t>
      </w:r>
      <w:r w:rsidR="005039D5">
        <w:t xml:space="preserve"> to reduce overall costs. </w:t>
      </w:r>
      <w:r w:rsidR="009322AF">
        <w:t>Qualitative interviews</w:t>
      </w:r>
      <w:r w:rsidR="0069058E">
        <w:t xml:space="preserve"> </w:t>
      </w:r>
      <w:r w:rsidR="009322AF">
        <w:t>are still necessary to captur</w:t>
      </w:r>
      <w:r w:rsidR="001A5A61">
        <w:t>e</w:t>
      </w:r>
      <w:r w:rsidR="009322AF">
        <w:t xml:space="preserve"> the often nuanced and sometime</w:t>
      </w:r>
      <w:r w:rsidR="001A5A61">
        <w:t>s</w:t>
      </w:r>
      <w:r w:rsidR="009322AF">
        <w:t xml:space="preserve"> complex nature of program implementation and sustainability.</w:t>
      </w:r>
      <w:r w:rsidR="001A5A61">
        <w:t xml:space="preserve"> </w:t>
      </w:r>
      <w:r w:rsidRPr="007A1B18">
        <w:t xml:space="preserve">The completed </w:t>
      </w:r>
      <w:r w:rsidRPr="00B372ED">
        <w:rPr>
          <w:iCs/>
        </w:rPr>
        <w:t>interviews</w:t>
      </w:r>
      <w:r w:rsidRPr="007A1B18">
        <w:t xml:space="preserve"> will be reviewed by the interviewer for accuracy.</w:t>
      </w:r>
      <w:r w:rsidR="00033B70">
        <w:t xml:space="preserve"> Interviews will also be </w:t>
      </w:r>
      <w:r w:rsidR="005514C5">
        <w:t>audio</w:t>
      </w:r>
      <w:r w:rsidR="00033B70">
        <w:t xml:space="preserve"> recorded</w:t>
      </w:r>
      <w:r w:rsidR="00FC45A4">
        <w:t xml:space="preserve"> with the </w:t>
      </w:r>
      <w:r w:rsidR="00F85F88">
        <w:t>respondent’s</w:t>
      </w:r>
      <w:r w:rsidR="00FC45A4">
        <w:t xml:space="preserve"> permission</w:t>
      </w:r>
      <w:r w:rsidR="00033B70">
        <w:t>. All recordings will be stored on RTI</w:t>
      </w:r>
      <w:r w:rsidR="00C95F8B">
        <w:t xml:space="preserve"> International</w:t>
      </w:r>
      <w:r w:rsidR="00033B70">
        <w:t xml:space="preserve">’s secure servers and destroyed once de-identified transcriptions are completed. </w:t>
      </w:r>
    </w:p>
    <w:p w14:paraId="78E10A7E" w14:textId="439C2BF3" w:rsidR="00B372ED" w:rsidRPr="00B372ED" w:rsidRDefault="00B372ED" w:rsidP="00B974B1">
      <w:pPr>
        <w:pStyle w:val="Heading4"/>
      </w:pPr>
      <w:r w:rsidRPr="00B372ED">
        <w:t xml:space="preserve">Provider </w:t>
      </w:r>
      <w:r w:rsidR="001F634B">
        <w:t>S</w:t>
      </w:r>
      <w:r w:rsidRPr="00B372ED">
        <w:t>urvey</w:t>
      </w:r>
    </w:p>
    <w:p w14:paraId="1082E890" w14:textId="113A6FE8" w:rsidR="005039D5" w:rsidRDefault="00B372ED" w:rsidP="005039D5">
      <w:pPr>
        <w:pStyle w:val="BodyText"/>
        <w:rPr>
          <w:bCs/>
        </w:rPr>
      </w:pPr>
      <w:r w:rsidRPr="009A200C">
        <w:t xml:space="preserve">The </w:t>
      </w:r>
      <w:r w:rsidR="009B66F3" w:rsidRPr="00FD26E2">
        <w:rPr>
          <w:i/>
          <w:iCs/>
          <w:sz w:val="23"/>
          <w:szCs w:val="23"/>
        </w:rPr>
        <w:t>Provider Survey</w:t>
      </w:r>
      <w:r w:rsidRPr="009A200C">
        <w:t xml:space="preserve"> </w:t>
      </w:r>
      <w:r w:rsidR="001A5A61">
        <w:t xml:space="preserve">will </w:t>
      </w:r>
      <w:r w:rsidR="0069058E">
        <w:t xml:space="preserve">primarily </w:t>
      </w:r>
      <w:r w:rsidRPr="009A200C">
        <w:t xml:space="preserve">be administered through a </w:t>
      </w:r>
      <w:r>
        <w:t>w</w:t>
      </w:r>
      <w:r w:rsidRPr="009A200C">
        <w:t>eb instrument</w:t>
      </w:r>
      <w:r w:rsidR="0069058E">
        <w:t xml:space="preserve"> to an identified key informant at the provider organization (e.g., program director, clinical supervisor)</w:t>
      </w:r>
      <w:r w:rsidRPr="009A200C">
        <w:t xml:space="preserve">. Using a </w:t>
      </w:r>
      <w:r>
        <w:t>w</w:t>
      </w:r>
      <w:r w:rsidRPr="009A200C">
        <w:t xml:space="preserve">eb instrument allows for automated skip procedures and automated fill-ins based on prior responses to certain questions, which will significantly reduce the burden among subsets of respondents. This method also uses automated data entry and greatly reduces the possibility of data entry error. </w:t>
      </w:r>
      <w:r w:rsidR="0069058E">
        <w:t>Key informants</w:t>
      </w:r>
      <w:r w:rsidRPr="009A200C">
        <w:t xml:space="preserve"> </w:t>
      </w:r>
      <w:r w:rsidR="001A5A61">
        <w:t xml:space="preserve">who are </w:t>
      </w:r>
      <w:r w:rsidRPr="009A200C">
        <w:t xml:space="preserve">unable to complete the </w:t>
      </w:r>
      <w:r>
        <w:t>w</w:t>
      </w:r>
      <w:r w:rsidRPr="009A200C">
        <w:t xml:space="preserve">eb instrument will </w:t>
      </w:r>
      <w:r w:rsidR="009322AF">
        <w:t xml:space="preserve">have an option to receive </w:t>
      </w:r>
      <w:r w:rsidRPr="009A200C">
        <w:t>a paper version through the mail</w:t>
      </w:r>
      <w:r w:rsidR="009322AF">
        <w:t xml:space="preserve">; however, experience with web surveys suggest that </w:t>
      </w:r>
      <w:r w:rsidR="0069058E">
        <w:t>respondents</w:t>
      </w:r>
      <w:r w:rsidR="009322AF">
        <w:t xml:space="preserve"> will fin</w:t>
      </w:r>
      <w:r w:rsidR="001A5A61">
        <w:t>d</w:t>
      </w:r>
      <w:r w:rsidR="009322AF">
        <w:t xml:space="preserve"> the web instrument to be the less</w:t>
      </w:r>
      <w:r w:rsidR="001A5A61">
        <w:t>-</w:t>
      </w:r>
      <w:r w:rsidR="009322AF">
        <w:t xml:space="preserve">burdensome method of completing the survey. </w:t>
      </w:r>
      <w:r w:rsidRPr="00B372ED">
        <w:rPr>
          <w:bCs/>
        </w:rPr>
        <w:t xml:space="preserve">The </w:t>
      </w:r>
      <w:r w:rsidR="009B66F3" w:rsidRPr="00FD26E2">
        <w:rPr>
          <w:i/>
          <w:iCs/>
          <w:sz w:val="23"/>
          <w:szCs w:val="23"/>
        </w:rPr>
        <w:t>Provider Survey</w:t>
      </w:r>
      <w:r w:rsidRPr="00B372ED">
        <w:rPr>
          <w:bCs/>
        </w:rPr>
        <w:t xml:space="preserve"> web instrument will comply with the requirements of Section 508 of the Rehabilitation Act. </w:t>
      </w:r>
    </w:p>
    <w:p w14:paraId="381F8D74" w14:textId="401CACEB" w:rsidR="005039D5" w:rsidRDefault="005039D5" w:rsidP="005039D5">
      <w:pPr>
        <w:pStyle w:val="BodyText"/>
        <w:rPr>
          <w:bCs/>
        </w:rPr>
      </w:pPr>
      <w:r>
        <w:rPr>
          <w:bCs/>
          <w:i/>
          <w:iCs/>
        </w:rPr>
        <w:t xml:space="preserve">Focus Group </w:t>
      </w:r>
      <w:r w:rsidR="005514C5">
        <w:rPr>
          <w:bCs/>
          <w:i/>
          <w:iCs/>
        </w:rPr>
        <w:t>Guide</w:t>
      </w:r>
    </w:p>
    <w:p w14:paraId="7D565AD0" w14:textId="7481DC77" w:rsidR="005039D5" w:rsidRPr="009A53D8" w:rsidRDefault="005039D5" w:rsidP="005039D5">
      <w:pPr>
        <w:pStyle w:val="BodyText"/>
      </w:pPr>
      <w:r>
        <w:rPr>
          <w:bCs/>
        </w:rPr>
        <w:t xml:space="preserve">Like the </w:t>
      </w:r>
      <w:r w:rsidR="005514C5">
        <w:rPr>
          <w:bCs/>
        </w:rPr>
        <w:t>interviews</w:t>
      </w:r>
      <w:r>
        <w:rPr>
          <w:bCs/>
        </w:rPr>
        <w:t>, focus groups will be conducted in</w:t>
      </w:r>
      <w:r w:rsidR="00810E90">
        <w:rPr>
          <w:bCs/>
        </w:rPr>
        <w:t>-</w:t>
      </w:r>
      <w:r>
        <w:rPr>
          <w:bCs/>
        </w:rPr>
        <w:t>person with providers</w:t>
      </w:r>
      <w:r w:rsidR="00F26433">
        <w:rPr>
          <w:bCs/>
        </w:rPr>
        <w:t xml:space="preserve"> supporting</w:t>
      </w:r>
      <w:r w:rsidR="00810E90">
        <w:rPr>
          <w:bCs/>
        </w:rPr>
        <w:t xml:space="preserve"> grantees from </w:t>
      </w:r>
      <w:r w:rsidR="00F26433">
        <w:rPr>
          <w:bCs/>
        </w:rPr>
        <w:t xml:space="preserve">five </w:t>
      </w:r>
      <w:r w:rsidR="00810E90">
        <w:rPr>
          <w:bCs/>
        </w:rPr>
        <w:t>visited sites</w:t>
      </w:r>
      <w:r w:rsidR="00F26433">
        <w:rPr>
          <w:bCs/>
        </w:rPr>
        <w:t xml:space="preserve">, while the remaining focus groups will be done </w:t>
      </w:r>
      <w:r>
        <w:rPr>
          <w:bCs/>
        </w:rPr>
        <w:t>virtually</w:t>
      </w:r>
      <w:r w:rsidR="0069058E">
        <w:rPr>
          <w:bCs/>
        </w:rPr>
        <w:t xml:space="preserve"> </w:t>
      </w:r>
      <w:r>
        <w:rPr>
          <w:bCs/>
        </w:rPr>
        <w:t>with provider</w:t>
      </w:r>
      <w:r w:rsidR="0069058E">
        <w:rPr>
          <w:bCs/>
        </w:rPr>
        <w:t>s</w:t>
      </w:r>
      <w:r w:rsidR="00F26433">
        <w:rPr>
          <w:bCs/>
        </w:rPr>
        <w:t xml:space="preserve"> supporting </w:t>
      </w:r>
      <w:r>
        <w:rPr>
          <w:bCs/>
        </w:rPr>
        <w:t>non-visited grantees.</w:t>
      </w:r>
      <w:r w:rsidR="002B5E81">
        <w:rPr>
          <w:bCs/>
        </w:rPr>
        <w:t xml:space="preserve"> Virtual focus gro</w:t>
      </w:r>
      <w:r w:rsidR="0069058E">
        <w:rPr>
          <w:bCs/>
        </w:rPr>
        <w:t>ups will be conducted with tele</w:t>
      </w:r>
      <w:r w:rsidR="002B5E81">
        <w:rPr>
          <w:bCs/>
        </w:rPr>
        <w:t>conferencing and webinar technology hosted by the evaluation team.</w:t>
      </w:r>
      <w:r>
        <w:rPr>
          <w:bCs/>
        </w:rPr>
        <w:t xml:space="preserve"> This approach will balance the need to collect detailed quantitative data on implementation with the need to limit burden and cost to the evaluation team as a whole. </w:t>
      </w:r>
      <w:r w:rsidR="002B5E81">
        <w:t>In both settings, focus group leaders will ask respondents questions, and a</w:t>
      </w:r>
      <w:r w:rsidR="002B5E81" w:rsidRPr="007A1B18">
        <w:t xml:space="preserve"> </w:t>
      </w:r>
      <w:r w:rsidR="002B5E81">
        <w:t>note taker will record responses into a word document</w:t>
      </w:r>
      <w:r w:rsidR="002B5E81" w:rsidRPr="007A1B18">
        <w:t>.</w:t>
      </w:r>
      <w:r w:rsidR="002B5E81">
        <w:t xml:space="preserve"> </w:t>
      </w:r>
      <w:r w:rsidR="002B5E81" w:rsidRPr="007A1B18">
        <w:t xml:space="preserve">The completed </w:t>
      </w:r>
      <w:r w:rsidR="0069058E">
        <w:rPr>
          <w:iCs/>
        </w:rPr>
        <w:t>focus group notes</w:t>
      </w:r>
      <w:r w:rsidR="002B5E81" w:rsidRPr="007A1B18">
        <w:t xml:space="preserve"> will be reviewed by the </w:t>
      </w:r>
      <w:r w:rsidR="0069058E">
        <w:t>focus group leader</w:t>
      </w:r>
      <w:r w:rsidR="002B5E81" w:rsidRPr="007A1B18">
        <w:t xml:space="preserve"> for accuracy.</w:t>
      </w:r>
      <w:r w:rsidR="002B5E81">
        <w:t xml:space="preserve"> </w:t>
      </w:r>
      <w:r w:rsidR="0069058E">
        <w:t>Focus groups also</w:t>
      </w:r>
      <w:r w:rsidR="002B5E81">
        <w:t xml:space="preserve"> will be </w:t>
      </w:r>
      <w:r w:rsidR="005514C5">
        <w:t>audio</w:t>
      </w:r>
      <w:r w:rsidR="0069058E">
        <w:t xml:space="preserve"> recorded with the respondent</w:t>
      </w:r>
      <w:r w:rsidR="002B5E81">
        <w:t>s</w:t>
      </w:r>
      <w:r w:rsidR="0069058E">
        <w:t>’</w:t>
      </w:r>
      <w:r w:rsidR="002B5E81">
        <w:t xml:space="preserve"> permission. All recordings will be stored on RTI International’s secure servers and destroyed once de-identified transcriptions are completed. </w:t>
      </w:r>
    </w:p>
    <w:p w14:paraId="3B532529" w14:textId="60C158DC" w:rsidR="00CA6E26" w:rsidRDefault="00033B70" w:rsidP="00B974B1">
      <w:pPr>
        <w:pStyle w:val="BodyText"/>
      </w:pPr>
      <w:r>
        <w:t>Data will be stored electronically and will be accessible by evaluation team members who will be made aware of what data are available. This reduces the possibility of any unnecessary</w:t>
      </w:r>
      <w:r w:rsidRPr="00795318">
        <w:t xml:space="preserve"> </w:t>
      </w:r>
      <w:r>
        <w:t>contact with participants to collect redundant information.</w:t>
      </w:r>
      <w:r w:rsidR="00207E4C">
        <w:t xml:space="preserve"> </w:t>
      </w:r>
    </w:p>
    <w:p w14:paraId="7FC56FA8" w14:textId="5D4E59C6" w:rsidR="00CA6E26" w:rsidRDefault="00B974B1" w:rsidP="00B974B1">
      <w:pPr>
        <w:pStyle w:val="Heading2"/>
      </w:pPr>
      <w:bookmarkStart w:id="9" w:name="_Toc88277953"/>
      <w:bookmarkStart w:id="10" w:name="_Toc131564342"/>
      <w:r>
        <w:lastRenderedPageBreak/>
        <w:t>4.</w:t>
      </w:r>
      <w:r>
        <w:tab/>
      </w:r>
      <w:r w:rsidR="00CA6E26" w:rsidRPr="00B974B1">
        <w:rPr>
          <w:u w:val="single"/>
        </w:rPr>
        <w:t>Effort to Identify Duplication</w:t>
      </w:r>
      <w:bookmarkEnd w:id="9"/>
      <w:bookmarkEnd w:id="10"/>
      <w:r w:rsidR="00CA6E26">
        <w:t xml:space="preserve"> </w:t>
      </w:r>
    </w:p>
    <w:p w14:paraId="0654A9AC" w14:textId="570E587F" w:rsidR="00CA6E26" w:rsidRDefault="00F07288" w:rsidP="00EA73B6">
      <w:pPr>
        <w:pStyle w:val="BodyText"/>
      </w:pPr>
      <w:r>
        <w:t xml:space="preserve">Data collected through the </w:t>
      </w:r>
      <w:r w:rsidR="00832E37">
        <w:rPr>
          <w:i/>
          <w:iCs/>
          <w:sz w:val="23"/>
          <w:szCs w:val="23"/>
        </w:rPr>
        <w:t xml:space="preserve">Implementation, Sustainability, </w:t>
      </w:r>
      <w:r w:rsidR="00832E37" w:rsidRPr="00A95FA1">
        <w:rPr>
          <w:iCs/>
          <w:sz w:val="23"/>
          <w:szCs w:val="23"/>
        </w:rPr>
        <w:t>and</w:t>
      </w:r>
      <w:r w:rsidR="00832E37">
        <w:rPr>
          <w:i/>
          <w:iCs/>
          <w:sz w:val="23"/>
          <w:szCs w:val="23"/>
        </w:rPr>
        <w:t xml:space="preserve"> Stakeholder Interview Guides</w:t>
      </w:r>
      <w:r w:rsidR="00EA73B6" w:rsidRPr="00FD26E2">
        <w:rPr>
          <w:i/>
          <w:sz w:val="23"/>
          <w:szCs w:val="23"/>
        </w:rPr>
        <w:t xml:space="preserve">, </w:t>
      </w:r>
      <w:r w:rsidR="00FD26E2" w:rsidRPr="00FD26E2">
        <w:rPr>
          <w:i/>
          <w:iCs/>
          <w:sz w:val="23"/>
          <w:szCs w:val="23"/>
        </w:rPr>
        <w:t>Provider S</w:t>
      </w:r>
      <w:r w:rsidR="005514C5" w:rsidRPr="00FD26E2">
        <w:rPr>
          <w:i/>
          <w:iCs/>
          <w:sz w:val="23"/>
          <w:szCs w:val="23"/>
        </w:rPr>
        <w:t>urvey</w:t>
      </w:r>
      <w:r w:rsidR="003E49DF">
        <w:rPr>
          <w:i/>
          <w:iCs/>
          <w:sz w:val="23"/>
          <w:szCs w:val="23"/>
        </w:rPr>
        <w:t>,</w:t>
      </w:r>
      <w:r w:rsidR="00EA73B6" w:rsidRPr="00FD26E2">
        <w:rPr>
          <w:i/>
          <w:iCs/>
          <w:sz w:val="23"/>
          <w:szCs w:val="23"/>
        </w:rPr>
        <w:t xml:space="preserve"> </w:t>
      </w:r>
      <w:r w:rsidR="00EA73B6" w:rsidRPr="003E49DF">
        <w:rPr>
          <w:sz w:val="23"/>
          <w:szCs w:val="23"/>
        </w:rPr>
        <w:t>and</w:t>
      </w:r>
      <w:r w:rsidR="00EA73B6" w:rsidRPr="00FD26E2">
        <w:rPr>
          <w:i/>
          <w:sz w:val="23"/>
          <w:szCs w:val="23"/>
        </w:rPr>
        <w:t xml:space="preserve"> </w:t>
      </w:r>
      <w:r w:rsidR="00FD26E2" w:rsidRPr="00FD26E2">
        <w:rPr>
          <w:i/>
          <w:iCs/>
          <w:sz w:val="23"/>
          <w:szCs w:val="23"/>
        </w:rPr>
        <w:t>Focus G</w:t>
      </w:r>
      <w:r w:rsidR="005514C5" w:rsidRPr="00FD26E2">
        <w:rPr>
          <w:i/>
          <w:iCs/>
          <w:sz w:val="23"/>
          <w:szCs w:val="23"/>
        </w:rPr>
        <w:t>roup</w:t>
      </w:r>
      <w:r w:rsidR="00FD26E2" w:rsidRPr="00FD26E2">
        <w:rPr>
          <w:i/>
          <w:iCs/>
          <w:sz w:val="23"/>
          <w:szCs w:val="23"/>
        </w:rPr>
        <w:t xml:space="preserve"> G</w:t>
      </w:r>
      <w:r w:rsidR="003E49DF">
        <w:rPr>
          <w:i/>
          <w:iCs/>
          <w:sz w:val="23"/>
          <w:szCs w:val="23"/>
        </w:rPr>
        <w:t xml:space="preserve">uide </w:t>
      </w:r>
      <w:r>
        <w:t>are specific and unique to each grantee program. As such, the data collection tools do not duplicate any other data collection effort.</w:t>
      </w:r>
      <w:r w:rsidR="00207E4C">
        <w:t xml:space="preserve"> </w:t>
      </w:r>
      <w:r w:rsidRPr="008C607D">
        <w:t xml:space="preserve">Data collected in this evaluation </w:t>
      </w:r>
      <w:r w:rsidR="00913E02">
        <w:t xml:space="preserve">are </w:t>
      </w:r>
      <w:r>
        <w:t xml:space="preserve">not available from other sources and </w:t>
      </w:r>
      <w:r w:rsidRPr="008C607D">
        <w:t>will be unique because of the scale and breadth of the initiative’s implementation: nationwide, across a spectrum</w:t>
      </w:r>
      <w:r>
        <w:t xml:space="preserve"> of programs</w:t>
      </w:r>
      <w:r w:rsidRPr="008C607D">
        <w:t>, and across a broad cross-section of populations.</w:t>
      </w:r>
    </w:p>
    <w:p w14:paraId="66A0E81E" w14:textId="2F8F6542" w:rsidR="00DA0B2A" w:rsidRDefault="00DA0B2A" w:rsidP="00DA0B2A">
      <w:pPr>
        <w:pStyle w:val="BodyText"/>
      </w:pPr>
      <w:r>
        <w:t xml:space="preserve">Currently, SAMHSA monitors client-level outcomes Government Performance and Results Act </w:t>
      </w:r>
      <w:r w:rsidRPr="001670A5">
        <w:t xml:space="preserve">(GPRA) </w:t>
      </w:r>
      <w:r>
        <w:t xml:space="preserve">(OMB No. 0930-0208) for all grantees and monitors SYT grantees through bi-annual reports (OMB 0930-0344). These data will be sufficient to monitor grantee programs but not sufficient for understanding the context in which each grantee operates. </w:t>
      </w:r>
    </w:p>
    <w:p w14:paraId="302486D0" w14:textId="199DF48F" w:rsidR="00DA0B2A" w:rsidRDefault="00DA0B2A" w:rsidP="00EA73B6">
      <w:pPr>
        <w:pStyle w:val="BodyText"/>
      </w:pPr>
      <w:r>
        <w:t>The SYT bi-annual report</w:t>
      </w:r>
      <w:r w:rsidR="009D2AAA">
        <w:t xml:space="preserve"> template</w:t>
      </w:r>
      <w:r>
        <w:t xml:space="preserve"> </w:t>
      </w:r>
      <w:r w:rsidR="009D2AAA">
        <w:t>was</w:t>
      </w:r>
      <w:r>
        <w:t xml:space="preserve"> reviewed by the evaluation team, integrated into the data collection plan and the </w:t>
      </w:r>
      <w:r w:rsidRPr="0045414F">
        <w:rPr>
          <w:i/>
          <w:iCs/>
        </w:rPr>
        <w:t>Implementation Interview Guide</w:t>
      </w:r>
      <w:r>
        <w:t xml:space="preserve"> was designed to enhance and expand upon the systematic program data collected by the bi-annual reports. For example, the </w:t>
      </w:r>
      <w:r w:rsidRPr="00DA0B2A">
        <w:t>SYT Infrastructure and Development</w:t>
      </w:r>
      <w:r>
        <w:t xml:space="preserve"> section in the Implementation Interview Guide asks open ended questions to better understand the contextual issues around the infrastructure and development activities identified in the bi-annual reports. With the interview data, the bi-annual report data will be more useful to the evaluation and SAMHSA. </w:t>
      </w:r>
      <w:r w:rsidR="00EE1535">
        <w:t xml:space="preserve">Moreover, the </w:t>
      </w:r>
      <w:r w:rsidR="00EE1535">
        <w:rPr>
          <w:i/>
          <w:iCs/>
          <w:sz w:val="23"/>
          <w:szCs w:val="23"/>
        </w:rPr>
        <w:t xml:space="preserve">Sustainability </w:t>
      </w:r>
      <w:r w:rsidR="00EE1535" w:rsidRPr="00A95FA1">
        <w:rPr>
          <w:iCs/>
          <w:sz w:val="23"/>
          <w:szCs w:val="23"/>
        </w:rPr>
        <w:t>and</w:t>
      </w:r>
      <w:r w:rsidR="00EE1535">
        <w:rPr>
          <w:i/>
          <w:iCs/>
          <w:sz w:val="23"/>
          <w:szCs w:val="23"/>
        </w:rPr>
        <w:t xml:space="preserve"> Stakeholder Interview Guides</w:t>
      </w:r>
      <w:r w:rsidR="00EE1535" w:rsidRPr="00FD26E2">
        <w:rPr>
          <w:i/>
          <w:sz w:val="23"/>
          <w:szCs w:val="23"/>
        </w:rPr>
        <w:t xml:space="preserve">, </w:t>
      </w:r>
      <w:r w:rsidR="00EE1535" w:rsidRPr="00FD26E2">
        <w:rPr>
          <w:i/>
          <w:iCs/>
          <w:sz w:val="23"/>
          <w:szCs w:val="23"/>
        </w:rPr>
        <w:t>Provider Survey</w:t>
      </w:r>
      <w:r w:rsidR="00EE1535">
        <w:rPr>
          <w:i/>
          <w:iCs/>
          <w:sz w:val="23"/>
          <w:szCs w:val="23"/>
        </w:rPr>
        <w:t>,</w:t>
      </w:r>
      <w:r w:rsidR="00EE1535" w:rsidRPr="00FD26E2">
        <w:rPr>
          <w:i/>
          <w:iCs/>
          <w:sz w:val="23"/>
          <w:szCs w:val="23"/>
        </w:rPr>
        <w:t xml:space="preserve"> </w:t>
      </w:r>
      <w:r w:rsidR="00EE1535" w:rsidRPr="003E49DF">
        <w:rPr>
          <w:sz w:val="23"/>
          <w:szCs w:val="23"/>
        </w:rPr>
        <w:t>and</w:t>
      </w:r>
      <w:r w:rsidR="00EE1535" w:rsidRPr="00FD26E2">
        <w:rPr>
          <w:i/>
          <w:sz w:val="23"/>
          <w:szCs w:val="23"/>
        </w:rPr>
        <w:t xml:space="preserve"> </w:t>
      </w:r>
      <w:r w:rsidR="00EE1535" w:rsidRPr="00FD26E2">
        <w:rPr>
          <w:i/>
          <w:iCs/>
          <w:sz w:val="23"/>
          <w:szCs w:val="23"/>
        </w:rPr>
        <w:t>Focus Group G</w:t>
      </w:r>
      <w:r w:rsidR="00EE1535">
        <w:rPr>
          <w:i/>
          <w:iCs/>
          <w:sz w:val="23"/>
          <w:szCs w:val="23"/>
        </w:rPr>
        <w:t>uide</w:t>
      </w:r>
      <w:r w:rsidR="00EE1535">
        <w:rPr>
          <w:sz w:val="23"/>
          <w:szCs w:val="23"/>
        </w:rPr>
        <w:t xml:space="preserve"> collect data not covered in the bi-annual reports and include different respondents (e.g., stakeholders, providers).</w:t>
      </w:r>
    </w:p>
    <w:p w14:paraId="78FDD9F0" w14:textId="4A292E06" w:rsidR="00CA6E26" w:rsidRPr="00522A2B" w:rsidRDefault="00CA6E26" w:rsidP="00B974B1">
      <w:pPr>
        <w:pStyle w:val="Heading2"/>
      </w:pPr>
      <w:bookmarkStart w:id="11" w:name="_Toc88277954"/>
      <w:bookmarkStart w:id="12" w:name="_Toc131564343"/>
      <w:r w:rsidRPr="00522A2B">
        <w:t>5.</w:t>
      </w:r>
      <w:r w:rsidRPr="00522A2B">
        <w:tab/>
      </w:r>
      <w:r w:rsidRPr="00B974B1">
        <w:rPr>
          <w:u w:val="single"/>
        </w:rPr>
        <w:t>Involvement of Small Entities</w:t>
      </w:r>
      <w:bookmarkEnd w:id="11"/>
      <w:bookmarkEnd w:id="12"/>
    </w:p>
    <w:p w14:paraId="0DE0836D" w14:textId="0827A2A5" w:rsidR="00B372ED" w:rsidRPr="007A1B18" w:rsidRDefault="00CA6E26" w:rsidP="00EA73B6">
      <w:pPr>
        <w:pStyle w:val="BodyText"/>
      </w:pPr>
      <w:r>
        <w:t xml:space="preserve">There will not be a significant impact on small entities. </w:t>
      </w:r>
      <w:r w:rsidR="00B372ED" w:rsidRPr="007A1B18">
        <w:t xml:space="preserve">Grantees in the </w:t>
      </w:r>
      <w:r w:rsidR="009B1BAF" w:rsidRPr="007A1B18">
        <w:t xml:space="preserve">SAMHSA </w:t>
      </w:r>
      <w:r w:rsidR="009B1BAF">
        <w:t>SYT</w:t>
      </w:r>
      <w:r w:rsidR="00B372ED">
        <w:t xml:space="preserve"> program</w:t>
      </w:r>
      <w:r w:rsidR="00C95F8B">
        <w:t>s</w:t>
      </w:r>
      <w:r w:rsidR="00B372ED" w:rsidRPr="007A1B18">
        <w:t xml:space="preserve"> include state agencies, local services providers, and tribal organizations and some may be small entities; however, the </w:t>
      </w:r>
      <w:r w:rsidR="00FC45A4">
        <w:rPr>
          <w:iCs/>
        </w:rPr>
        <w:t>interviews</w:t>
      </w:r>
      <w:r w:rsidR="00EA73B6">
        <w:rPr>
          <w:iCs/>
        </w:rPr>
        <w:t xml:space="preserve">, </w:t>
      </w:r>
      <w:r w:rsidR="00B372ED">
        <w:rPr>
          <w:iCs/>
        </w:rPr>
        <w:t>p</w:t>
      </w:r>
      <w:r w:rsidR="00B372ED" w:rsidRPr="00D94172">
        <w:rPr>
          <w:iCs/>
        </w:rPr>
        <w:t>rovider</w:t>
      </w:r>
      <w:r w:rsidR="00B372ED">
        <w:rPr>
          <w:iCs/>
        </w:rPr>
        <w:t xml:space="preserve"> s</w:t>
      </w:r>
      <w:r w:rsidR="00B372ED" w:rsidRPr="00D94172">
        <w:rPr>
          <w:iCs/>
        </w:rPr>
        <w:t>urvey</w:t>
      </w:r>
      <w:r w:rsidR="00EA73B6">
        <w:rPr>
          <w:iCs/>
        </w:rPr>
        <w:t xml:space="preserve"> and focus groups</w:t>
      </w:r>
      <w:r w:rsidR="00B372ED" w:rsidRPr="00D94172">
        <w:rPr>
          <w:iCs/>
        </w:rPr>
        <w:t xml:space="preserve"> </w:t>
      </w:r>
      <w:r w:rsidR="00B372ED" w:rsidRPr="007A1B18">
        <w:t>are designed to include only the most pertinent information needed to be able to effectively carry out the evaluation.</w:t>
      </w:r>
      <w:r w:rsidR="00B372ED" w:rsidRPr="007A1B18" w:rsidDel="00B001F0">
        <w:t xml:space="preserve"> </w:t>
      </w:r>
    </w:p>
    <w:p w14:paraId="283A5BB4" w14:textId="77777777" w:rsidR="00CA6E26" w:rsidRDefault="00CA6E26" w:rsidP="00B974B1">
      <w:pPr>
        <w:pStyle w:val="Heading2"/>
      </w:pPr>
      <w:bookmarkStart w:id="13" w:name="_Toc88277955"/>
      <w:bookmarkStart w:id="14" w:name="_Toc131564344"/>
      <w:r w:rsidRPr="00522A2B">
        <w:t>6.</w:t>
      </w:r>
      <w:r w:rsidRPr="00522A2B">
        <w:tab/>
      </w:r>
      <w:r w:rsidRPr="00B974B1">
        <w:rPr>
          <w:u w:val="single"/>
        </w:rPr>
        <w:t>Consequences If Information Collected Less Frequently</w:t>
      </w:r>
      <w:bookmarkEnd w:id="13"/>
      <w:bookmarkEnd w:id="14"/>
    </w:p>
    <w:p w14:paraId="01A24F0D" w14:textId="2F0BDDC9" w:rsidR="00D01B33" w:rsidRDefault="00F07288" w:rsidP="00D01B33">
      <w:pPr>
        <w:pStyle w:val="BodyText"/>
      </w:pPr>
      <w:r>
        <w:t xml:space="preserve">The </w:t>
      </w:r>
      <w:r w:rsidR="00832E37">
        <w:rPr>
          <w:i/>
          <w:iCs/>
        </w:rPr>
        <w:t xml:space="preserve">Implementation, Sustainability, </w:t>
      </w:r>
      <w:r w:rsidR="00832E37" w:rsidRPr="00A95FA1">
        <w:rPr>
          <w:iCs/>
        </w:rPr>
        <w:t>and</w:t>
      </w:r>
      <w:r w:rsidR="00832E37">
        <w:rPr>
          <w:i/>
          <w:iCs/>
        </w:rPr>
        <w:t xml:space="preserve"> Stakeholder Interview Guides</w:t>
      </w:r>
      <w:r w:rsidR="00B74B21">
        <w:rPr>
          <w:i/>
          <w:iCs/>
        </w:rPr>
        <w:t xml:space="preserve"> </w:t>
      </w:r>
      <w:r>
        <w:t xml:space="preserve">will be conducted with grantee project directors, key management staff, </w:t>
      </w:r>
      <w:r w:rsidR="004B3F79">
        <w:t>provider</w:t>
      </w:r>
      <w:r>
        <w:t xml:space="preserve"> staff</w:t>
      </w:r>
      <w:r w:rsidR="00C95F8B">
        <w:t>,</w:t>
      </w:r>
      <w:r>
        <w:t xml:space="preserve"> and key stakeholders once </w:t>
      </w:r>
      <w:r w:rsidR="009B1BAF">
        <w:t>per year to more fully understand how grantee programs develop and any ongoing challenges</w:t>
      </w:r>
      <w:r w:rsidR="00196817">
        <w:t>. The data collection will be aligned with the grant program length such that each cohort will complete annual interviews starting with the implementation interview and finishing with the sustainability interview in the final year of the each grant program.</w:t>
      </w:r>
      <w:r w:rsidR="00D01B33">
        <w:t xml:space="preserve"> SYT-ED and SYT-P grantees and </w:t>
      </w:r>
      <w:r w:rsidR="004B3F79">
        <w:t xml:space="preserve">SYT-ED </w:t>
      </w:r>
      <w:r w:rsidR="00D01B33">
        <w:t>providers will complete the implementation interview and sustainability once during the course of the grant</w:t>
      </w:r>
      <w:r w:rsidR="00F26433">
        <w:t>,</w:t>
      </w:r>
      <w:r w:rsidR="00D01B33">
        <w:t xml:space="preserve"> while SYT-I grantees and providers will complete the implementation interview twice (once per year) and the sustainability interview once. </w:t>
      </w:r>
      <w:r w:rsidR="00EA73B6">
        <w:t>The five sites selected for site visits will only be visited once and any subsequent interviews will be conduct</w:t>
      </w:r>
      <w:r w:rsidR="004B3F79">
        <w:t>ed via telephone</w:t>
      </w:r>
      <w:r w:rsidR="00EA73B6">
        <w:t>.</w:t>
      </w:r>
      <w:r w:rsidR="00196817">
        <w:t xml:space="preserve"> </w:t>
      </w:r>
      <w:r w:rsidR="009B1BAF">
        <w:t xml:space="preserve"> </w:t>
      </w:r>
    </w:p>
    <w:p w14:paraId="4DB553C9" w14:textId="75483BA3" w:rsidR="00F07288" w:rsidRDefault="00F07288" w:rsidP="00D01B33">
      <w:pPr>
        <w:pStyle w:val="BodyText"/>
      </w:pPr>
      <w:r>
        <w:t xml:space="preserve">The </w:t>
      </w:r>
      <w:r w:rsidR="009B66F3" w:rsidRPr="00FD26E2">
        <w:rPr>
          <w:i/>
          <w:iCs/>
          <w:sz w:val="23"/>
          <w:szCs w:val="23"/>
        </w:rPr>
        <w:t>Provider Survey</w:t>
      </w:r>
      <w:r>
        <w:rPr>
          <w:i/>
        </w:rPr>
        <w:t xml:space="preserve"> </w:t>
      </w:r>
      <w:r>
        <w:t>will be conducted once with SYT-ED providers and once every year with SYT-I providers.</w:t>
      </w:r>
      <w:r w:rsidR="00207E4C">
        <w:t xml:space="preserve"> </w:t>
      </w:r>
      <w:r>
        <w:t xml:space="preserve">The information collected by the </w:t>
      </w:r>
      <w:r w:rsidR="00832E37">
        <w:rPr>
          <w:i/>
          <w:iCs/>
        </w:rPr>
        <w:t xml:space="preserve">Implementation, Sustainability, </w:t>
      </w:r>
      <w:r w:rsidR="00832E37" w:rsidRPr="00A95FA1">
        <w:rPr>
          <w:iCs/>
        </w:rPr>
        <w:t>and</w:t>
      </w:r>
      <w:r w:rsidR="00832E37">
        <w:rPr>
          <w:i/>
          <w:iCs/>
        </w:rPr>
        <w:t xml:space="preserve"> Stakeholder Interview Guides</w:t>
      </w:r>
      <w:r w:rsidR="00FD26E2">
        <w:rPr>
          <w:i/>
          <w:iCs/>
        </w:rPr>
        <w:t xml:space="preserve"> </w:t>
      </w:r>
      <w:r>
        <w:t xml:space="preserve">and survey is necessary for a comprehensive cross-site evaluation; without </w:t>
      </w:r>
      <w:r w:rsidR="004B3F79">
        <w:t>these</w:t>
      </w:r>
      <w:r>
        <w:t xml:space="preserve"> data, </w:t>
      </w:r>
      <w:r w:rsidR="00B74B21">
        <w:t xml:space="preserve">SAMHSA and the evaluation team </w:t>
      </w:r>
      <w:r>
        <w:t xml:space="preserve">would not be able to assess </w:t>
      </w:r>
      <w:r w:rsidR="004B3F79">
        <w:t xml:space="preserve">specific </w:t>
      </w:r>
      <w:r w:rsidR="004B3F79">
        <w:lastRenderedPageBreak/>
        <w:t>outcomes of the SYT-ED</w:t>
      </w:r>
      <w:r>
        <w:t xml:space="preserve"> and SYT-I programs. </w:t>
      </w:r>
      <w:r w:rsidR="00B74B21">
        <w:t xml:space="preserve">For the SYT-I providers, repeating data collection annually will provide a unique look at how programs develop and evolve. The </w:t>
      </w:r>
      <w:r w:rsidR="009B66F3" w:rsidRPr="00FD26E2">
        <w:rPr>
          <w:i/>
          <w:iCs/>
          <w:sz w:val="23"/>
          <w:szCs w:val="23"/>
        </w:rPr>
        <w:t>Provider Survey</w:t>
      </w:r>
      <w:r w:rsidR="00C95F8B">
        <w:t xml:space="preserve"> </w:t>
      </w:r>
      <w:r w:rsidR="00B74B21">
        <w:t>will account for the repeated data collection efforts</w:t>
      </w:r>
      <w:r w:rsidR="004B3F79">
        <w:t>,</w:t>
      </w:r>
      <w:r w:rsidR="00B74B21">
        <w:t xml:space="preserve"> and select questions w</w:t>
      </w:r>
      <w:r w:rsidR="00FC45A4">
        <w:t>h</w:t>
      </w:r>
      <w:r w:rsidR="00B74B21">
        <w:t>ere no change is expected will not be repeated to help ensure only relevant information is collected.</w:t>
      </w:r>
    </w:p>
    <w:p w14:paraId="7E4105EC" w14:textId="727F59C1" w:rsidR="00EA73B6" w:rsidRPr="00D2272D" w:rsidRDefault="00EA73B6" w:rsidP="00D01B33">
      <w:pPr>
        <w:pStyle w:val="BodyText"/>
        <w:rPr>
          <w:u w:val="single"/>
        </w:rPr>
      </w:pPr>
      <w:r>
        <w:t xml:space="preserve">The </w:t>
      </w:r>
      <w:r w:rsidR="00245E6F">
        <w:rPr>
          <w:iCs/>
        </w:rPr>
        <w:t>focus group</w:t>
      </w:r>
      <w:r w:rsidRPr="004B3F79">
        <w:rPr>
          <w:iCs/>
        </w:rPr>
        <w:t>s</w:t>
      </w:r>
      <w:r>
        <w:t xml:space="preserve"> </w:t>
      </w:r>
      <w:r w:rsidR="00101CEC">
        <w:t xml:space="preserve">will be conducted once with </w:t>
      </w:r>
      <w:r w:rsidR="004B3F79">
        <w:t>each SYT-ED and SYT-I pilot site provider</w:t>
      </w:r>
      <w:r w:rsidR="00101CEC">
        <w:t xml:space="preserve"> during the evaluation study. Data collected in the focus groups will provide the clinicians</w:t>
      </w:r>
      <w:r w:rsidR="004B3F79">
        <w:t>’/staff members’</w:t>
      </w:r>
      <w:r w:rsidR="00101CEC">
        <w:t xml:space="preserve"> perspective</w:t>
      </w:r>
      <w:r w:rsidR="004B3F79">
        <w:t>s</w:t>
      </w:r>
      <w:r w:rsidR="00101CEC">
        <w:t xml:space="preserve"> on the program which is not directly captured by the </w:t>
      </w:r>
      <w:r w:rsidR="00832E37">
        <w:rPr>
          <w:i/>
          <w:iCs/>
        </w:rPr>
        <w:t xml:space="preserve">Implementation, Sustainability, </w:t>
      </w:r>
      <w:r w:rsidR="00832E37" w:rsidRPr="00A95FA1">
        <w:rPr>
          <w:iCs/>
        </w:rPr>
        <w:t>and</w:t>
      </w:r>
      <w:r w:rsidR="00832E37">
        <w:rPr>
          <w:i/>
          <w:iCs/>
        </w:rPr>
        <w:t xml:space="preserve"> Stakeholder Interview Guides</w:t>
      </w:r>
      <w:r w:rsidR="00FD26E2">
        <w:rPr>
          <w:i/>
          <w:iCs/>
        </w:rPr>
        <w:t xml:space="preserve"> </w:t>
      </w:r>
      <w:r w:rsidR="00101CEC" w:rsidRPr="004B3F79">
        <w:t xml:space="preserve">or the </w:t>
      </w:r>
      <w:r w:rsidR="00FD26E2" w:rsidRPr="00FD26E2">
        <w:rPr>
          <w:i/>
          <w:iCs/>
        </w:rPr>
        <w:t>Provider S</w:t>
      </w:r>
      <w:r w:rsidR="005514C5" w:rsidRPr="00FD26E2">
        <w:rPr>
          <w:i/>
          <w:iCs/>
        </w:rPr>
        <w:t>urvey</w:t>
      </w:r>
      <w:r w:rsidR="00101CEC">
        <w:t>.</w:t>
      </w:r>
      <w:r w:rsidR="00C355E6">
        <w:t xml:space="preserve"> </w:t>
      </w:r>
      <w:r w:rsidR="004B3F79">
        <w:t>These</w:t>
      </w:r>
      <w:r w:rsidR="00C355E6">
        <w:t xml:space="preserve"> data will </w:t>
      </w:r>
      <w:r w:rsidR="00D2272D">
        <w:t xml:space="preserve">help </w:t>
      </w:r>
      <w:r w:rsidR="00C355E6">
        <w:t>answer evaluation questions around implem</w:t>
      </w:r>
      <w:r w:rsidR="00D2272D">
        <w:t xml:space="preserve">enting </w:t>
      </w:r>
      <w:r w:rsidR="004B3F79">
        <w:t>EBPs</w:t>
      </w:r>
      <w:r w:rsidR="00D2272D">
        <w:t xml:space="preserve">. </w:t>
      </w:r>
      <w:r w:rsidR="00246512">
        <w:t>Clinicians</w:t>
      </w:r>
      <w:r w:rsidR="004B3F79">
        <w:t>/staff members</w:t>
      </w:r>
      <w:r w:rsidR="00D2272D">
        <w:t xml:space="preserve"> are uniquely qualified to answer implementation question</w:t>
      </w:r>
      <w:r w:rsidR="00246512">
        <w:t>s</w:t>
      </w:r>
      <w:r w:rsidR="00D2272D">
        <w:t xml:space="preserve"> on a client, staff and community level. The collected information will provide context to data aggregated from the </w:t>
      </w:r>
      <w:r w:rsidR="00832E37">
        <w:rPr>
          <w:i/>
          <w:iCs/>
        </w:rPr>
        <w:t xml:space="preserve">Implementation, Sustainability, </w:t>
      </w:r>
      <w:r w:rsidR="00832E37" w:rsidRPr="00A95FA1">
        <w:rPr>
          <w:iCs/>
        </w:rPr>
        <w:t>and</w:t>
      </w:r>
      <w:r w:rsidR="00832E37">
        <w:rPr>
          <w:i/>
          <w:iCs/>
        </w:rPr>
        <w:t xml:space="preserve"> Stakeholder Interview Guides</w:t>
      </w:r>
      <w:r w:rsidR="00D2272D" w:rsidRPr="004B3F79">
        <w:t xml:space="preserve"> and </w:t>
      </w:r>
      <w:r w:rsidR="009B66F3" w:rsidRPr="00FD26E2">
        <w:rPr>
          <w:i/>
          <w:iCs/>
          <w:sz w:val="23"/>
          <w:szCs w:val="23"/>
        </w:rPr>
        <w:t>Provider Survey</w:t>
      </w:r>
      <w:r w:rsidR="00D2272D">
        <w:rPr>
          <w:i/>
        </w:rPr>
        <w:t>.</w:t>
      </w:r>
    </w:p>
    <w:p w14:paraId="1123CC8A" w14:textId="6BDF5689" w:rsidR="00CA6E26" w:rsidRPr="00522A2B" w:rsidRDefault="00CA6E26" w:rsidP="00B974B1">
      <w:pPr>
        <w:pStyle w:val="Heading2"/>
      </w:pPr>
      <w:bookmarkStart w:id="15" w:name="_Toc88277956"/>
      <w:bookmarkStart w:id="16" w:name="_Toc131564347"/>
      <w:r w:rsidRPr="00522A2B">
        <w:t>7.</w:t>
      </w:r>
      <w:r w:rsidRPr="00522A2B">
        <w:tab/>
      </w:r>
      <w:r w:rsidRPr="00B974B1">
        <w:rPr>
          <w:u w:val="single"/>
        </w:rPr>
        <w:t>Consistency with the Guidelines in 5 CFR 1320.5</w:t>
      </w:r>
      <w:bookmarkEnd w:id="15"/>
      <w:bookmarkEnd w:id="16"/>
      <w:r w:rsidRPr="00B974B1">
        <w:rPr>
          <w:u w:val="single"/>
        </w:rPr>
        <w:t>(d</w:t>
      </w:r>
      <w:r w:rsidR="009B1BAF" w:rsidRPr="00B974B1">
        <w:rPr>
          <w:u w:val="single"/>
        </w:rPr>
        <w:t>) (</w:t>
      </w:r>
      <w:r w:rsidRPr="00B974B1">
        <w:rPr>
          <w:u w:val="single"/>
        </w:rPr>
        <w:t>2)</w:t>
      </w:r>
    </w:p>
    <w:p w14:paraId="00B5231C" w14:textId="7207BA48" w:rsidR="00CA6E26" w:rsidRDefault="00CA6E26" w:rsidP="00B974B1">
      <w:pPr>
        <w:pStyle w:val="BodyText"/>
      </w:pPr>
      <w:r w:rsidRPr="008C607D">
        <w:t>This information collection fully complies with the guidelines in 5 CFR 1320.5(d)</w:t>
      </w:r>
      <w:r w:rsidR="009B1BAF">
        <w:t xml:space="preserve"> </w:t>
      </w:r>
      <w:r w:rsidRPr="008C607D">
        <w:t>(2).</w:t>
      </w:r>
    </w:p>
    <w:p w14:paraId="5514C37B" w14:textId="77777777" w:rsidR="00CA6E26" w:rsidRPr="00522A2B" w:rsidRDefault="00CA6E26" w:rsidP="00B974B1">
      <w:pPr>
        <w:pStyle w:val="Heading2"/>
      </w:pPr>
      <w:r w:rsidRPr="00522A2B">
        <w:t>8.</w:t>
      </w:r>
      <w:r w:rsidRPr="00522A2B">
        <w:tab/>
      </w:r>
      <w:r w:rsidRPr="00B974B1">
        <w:rPr>
          <w:u w:val="single"/>
        </w:rPr>
        <w:t>Consultation Outside the Agency</w:t>
      </w:r>
    </w:p>
    <w:p w14:paraId="3AF8EC41" w14:textId="18E39394" w:rsidR="00CA6E26" w:rsidRPr="008C607D" w:rsidRDefault="00CA6E26" w:rsidP="00B974B1">
      <w:pPr>
        <w:pStyle w:val="BodyText"/>
      </w:pPr>
      <w:r w:rsidRPr="008C607D">
        <w:t xml:space="preserve">The notice </w:t>
      </w:r>
      <w:r>
        <w:t>required by</w:t>
      </w:r>
      <w:r w:rsidRPr="008C607D">
        <w:t xml:space="preserve"> 5 </w:t>
      </w:r>
      <w:smartTag w:uri="urn:schemas-microsoft-com:office:smarttags" w:element="stockticker">
        <w:r w:rsidRPr="008C607D">
          <w:t>CFR</w:t>
        </w:r>
        <w:r w:rsidR="00C95F8B">
          <w:t xml:space="preserve"> </w:t>
        </w:r>
      </w:smartTag>
      <w:r w:rsidRPr="008C607D">
        <w:t>1320.8</w:t>
      </w:r>
      <w:r>
        <w:t>(</w:t>
      </w:r>
      <w:r w:rsidRPr="008C607D">
        <w:t xml:space="preserve">d) was published in the </w:t>
      </w:r>
      <w:r w:rsidRPr="008C607D">
        <w:rPr>
          <w:i/>
        </w:rPr>
        <w:t>Federal Register</w:t>
      </w:r>
      <w:r w:rsidRPr="008C607D">
        <w:t xml:space="preserve"> on</w:t>
      </w:r>
      <w:r w:rsidR="00890346">
        <w:t xml:space="preserve"> </w:t>
      </w:r>
      <w:r w:rsidR="001B627B">
        <w:t>April 20, 2016</w:t>
      </w:r>
      <w:r w:rsidR="00890346">
        <w:t xml:space="preserve"> (81 FR </w:t>
      </w:r>
      <w:r w:rsidR="001B627B">
        <w:t>23320)</w:t>
      </w:r>
      <w:r w:rsidR="00890346">
        <w:t>.   No comments were received.</w:t>
      </w:r>
      <w:r w:rsidRPr="008C607D">
        <w:t xml:space="preserve"> </w:t>
      </w:r>
    </w:p>
    <w:p w14:paraId="735F06D6" w14:textId="1AA34404" w:rsidR="00CA6E26" w:rsidRDefault="00454546" w:rsidP="00101CEC">
      <w:pPr>
        <w:pStyle w:val="BodyText"/>
      </w:pPr>
      <w:r>
        <w:t>Subject</w:t>
      </w:r>
      <w:r w:rsidR="00C95F8B">
        <w:t>-</w:t>
      </w:r>
      <w:r>
        <w:t xml:space="preserve">matter experts on the RTI </w:t>
      </w:r>
      <w:r w:rsidR="004B3F79">
        <w:t xml:space="preserve">evaluation </w:t>
      </w:r>
      <w:r>
        <w:t xml:space="preserve">team have </w:t>
      </w:r>
      <w:r w:rsidR="00CA6E26" w:rsidRPr="008C607D">
        <w:t>provided feedback on all aspects of the evaluation and their comments</w:t>
      </w:r>
      <w:r w:rsidR="00CA6E26">
        <w:t xml:space="preserve"> and suggestions</w:t>
      </w:r>
      <w:r w:rsidR="00CA6E26" w:rsidRPr="008C607D">
        <w:t xml:space="preserve"> were incorporated into </w:t>
      </w:r>
      <w:r w:rsidR="00CA6E26">
        <w:t>the development</w:t>
      </w:r>
      <w:r w:rsidR="00CA6E26" w:rsidRPr="008C607D">
        <w:t xml:space="preserve"> of the</w:t>
      </w:r>
      <w:r>
        <w:t xml:space="preserve"> </w:t>
      </w:r>
      <w:r w:rsidR="00832E37">
        <w:rPr>
          <w:i/>
          <w:iCs/>
        </w:rPr>
        <w:t xml:space="preserve">Implementation, Sustainability, </w:t>
      </w:r>
      <w:r w:rsidR="00832E37" w:rsidRPr="004C2114">
        <w:rPr>
          <w:iCs/>
        </w:rPr>
        <w:t>and</w:t>
      </w:r>
      <w:r w:rsidR="00832E37">
        <w:rPr>
          <w:i/>
          <w:iCs/>
        </w:rPr>
        <w:t xml:space="preserve"> Stakeholder Interview Guides</w:t>
      </w:r>
      <w:r w:rsidR="00101CEC" w:rsidRPr="005514C5">
        <w:rPr>
          <w:sz w:val="23"/>
          <w:szCs w:val="23"/>
        </w:rPr>
        <w:t xml:space="preserve">, </w:t>
      </w:r>
      <w:r w:rsidR="009B66F3" w:rsidRPr="00FD26E2">
        <w:rPr>
          <w:i/>
          <w:iCs/>
          <w:sz w:val="23"/>
          <w:szCs w:val="23"/>
        </w:rPr>
        <w:t>Provider Survey</w:t>
      </w:r>
      <w:r w:rsidR="006F53B0">
        <w:rPr>
          <w:i/>
          <w:iCs/>
          <w:sz w:val="23"/>
          <w:szCs w:val="23"/>
        </w:rPr>
        <w:t>,</w:t>
      </w:r>
      <w:r w:rsidR="00101CEC" w:rsidRPr="005514C5">
        <w:rPr>
          <w:iCs/>
          <w:sz w:val="23"/>
          <w:szCs w:val="23"/>
        </w:rPr>
        <w:t xml:space="preserve"> </w:t>
      </w:r>
      <w:r w:rsidR="00101CEC" w:rsidRPr="005514C5">
        <w:rPr>
          <w:sz w:val="23"/>
          <w:szCs w:val="23"/>
        </w:rPr>
        <w:t xml:space="preserve">and </w:t>
      </w:r>
      <w:r w:rsidR="00F67EC5" w:rsidRPr="00F67EC5">
        <w:rPr>
          <w:i/>
          <w:iCs/>
          <w:sz w:val="23"/>
          <w:szCs w:val="23"/>
        </w:rPr>
        <w:t>Focus G</w:t>
      </w:r>
      <w:r w:rsidR="00245E6F" w:rsidRPr="00F67EC5">
        <w:rPr>
          <w:i/>
          <w:iCs/>
          <w:sz w:val="23"/>
          <w:szCs w:val="23"/>
        </w:rPr>
        <w:t>roup</w:t>
      </w:r>
      <w:r w:rsidR="00F67EC5" w:rsidRPr="00F67EC5">
        <w:rPr>
          <w:i/>
          <w:iCs/>
          <w:sz w:val="23"/>
          <w:szCs w:val="23"/>
        </w:rPr>
        <w:t xml:space="preserve"> G</w:t>
      </w:r>
      <w:r w:rsidR="003E49DF">
        <w:rPr>
          <w:i/>
          <w:iCs/>
          <w:sz w:val="23"/>
          <w:szCs w:val="23"/>
        </w:rPr>
        <w:t>uide</w:t>
      </w:r>
      <w:r w:rsidR="00CA6E26" w:rsidRPr="008C607D">
        <w:t>.</w:t>
      </w:r>
      <w:r w:rsidR="00CA6E26">
        <w:t xml:space="preserve"> </w:t>
      </w:r>
      <w:r w:rsidR="00CA6E26" w:rsidRPr="008C607D">
        <w:t xml:space="preserve">The list of experts is provided in </w:t>
      </w:r>
      <w:r w:rsidR="00CA6E26" w:rsidRPr="00C47473">
        <w:rPr>
          <w:b/>
          <w:bCs/>
          <w:i/>
        </w:rPr>
        <w:t xml:space="preserve">Exhibit </w:t>
      </w:r>
      <w:r w:rsidR="00101CEC">
        <w:rPr>
          <w:b/>
          <w:bCs/>
          <w:i/>
        </w:rPr>
        <w:t>7</w:t>
      </w:r>
      <w:r w:rsidR="00CA6E26">
        <w:t>.</w:t>
      </w:r>
    </w:p>
    <w:p w14:paraId="620339F4" w14:textId="7A9F0443" w:rsidR="00CA6E26" w:rsidRDefault="00CA6E26" w:rsidP="00101CEC">
      <w:pPr>
        <w:pStyle w:val="Exhibittitle"/>
      </w:pPr>
      <w:r w:rsidRPr="003C2595">
        <w:t xml:space="preserve">Exhibit </w:t>
      </w:r>
      <w:r w:rsidR="00101CEC">
        <w:t>7</w:t>
      </w:r>
      <w:r w:rsidR="00454546">
        <w:t xml:space="preserve">. </w:t>
      </w:r>
      <w:r w:rsidR="00B974B1">
        <w:tab/>
      </w:r>
      <w:r w:rsidR="00454546">
        <w:t xml:space="preserve">RTI </w:t>
      </w:r>
      <w:r w:rsidR="002045A1">
        <w:t>Team Experts</w:t>
      </w:r>
    </w:p>
    <w:tbl>
      <w:tblPr>
        <w:tblStyle w:val="LightShading"/>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2160"/>
        <w:gridCol w:w="3870"/>
      </w:tblGrid>
      <w:tr w:rsidR="002045A1" w:rsidRPr="002045A1" w14:paraId="2380596B" w14:textId="6F9DE3A3" w:rsidTr="007925A7">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25" w:type="dxa"/>
            <w:tcBorders>
              <w:top w:val="none" w:sz="0" w:space="0" w:color="auto"/>
              <w:left w:val="none" w:sz="0" w:space="0" w:color="auto"/>
              <w:bottom w:val="single" w:sz="4" w:space="0" w:color="auto"/>
              <w:right w:val="none" w:sz="0" w:space="0" w:color="auto"/>
            </w:tcBorders>
            <w:shd w:val="clear" w:color="auto" w:fill="F2F2F2" w:themeFill="background1" w:themeFillShade="F2"/>
            <w:vAlign w:val="bottom"/>
          </w:tcPr>
          <w:p w14:paraId="4995FAD4" w14:textId="1CC83F8C" w:rsidR="002045A1" w:rsidRPr="002045A1" w:rsidRDefault="002045A1" w:rsidP="00560487">
            <w:pPr>
              <w:pStyle w:val="Tabletext"/>
              <w:spacing w:before="20" w:after="20"/>
              <w:jc w:val="center"/>
            </w:pPr>
            <w:r w:rsidRPr="002045A1">
              <w:t>Expert</w:t>
            </w:r>
          </w:p>
        </w:tc>
        <w:tc>
          <w:tcPr>
            <w:tcW w:w="2160" w:type="dxa"/>
            <w:tcBorders>
              <w:top w:val="none" w:sz="0" w:space="0" w:color="auto"/>
              <w:left w:val="none" w:sz="0" w:space="0" w:color="auto"/>
              <w:bottom w:val="single" w:sz="4" w:space="0" w:color="auto"/>
              <w:right w:val="none" w:sz="0" w:space="0" w:color="auto"/>
            </w:tcBorders>
            <w:shd w:val="clear" w:color="auto" w:fill="F2F2F2" w:themeFill="background1" w:themeFillShade="F2"/>
            <w:vAlign w:val="bottom"/>
          </w:tcPr>
          <w:p w14:paraId="77078D39" w14:textId="493AA929" w:rsidR="002045A1" w:rsidRPr="002045A1" w:rsidRDefault="002045A1" w:rsidP="00560487">
            <w:pPr>
              <w:pStyle w:val="Tabletext"/>
              <w:spacing w:before="20" w:after="20"/>
              <w:jc w:val="center"/>
              <w:cnfStyle w:val="100000000000" w:firstRow="1" w:lastRow="0" w:firstColumn="0" w:lastColumn="0" w:oddVBand="0" w:evenVBand="0" w:oddHBand="0" w:evenHBand="0" w:firstRowFirstColumn="0" w:firstRowLastColumn="0" w:lastRowFirstColumn="0" w:lastRowLastColumn="0"/>
            </w:pPr>
            <w:r w:rsidRPr="002045A1">
              <w:t>Affiliation</w:t>
            </w:r>
          </w:p>
        </w:tc>
        <w:tc>
          <w:tcPr>
            <w:tcW w:w="3870" w:type="dxa"/>
            <w:tcBorders>
              <w:top w:val="none" w:sz="0" w:space="0" w:color="auto"/>
              <w:left w:val="none" w:sz="0" w:space="0" w:color="auto"/>
              <w:bottom w:val="single" w:sz="4" w:space="0" w:color="auto"/>
              <w:right w:val="none" w:sz="0" w:space="0" w:color="auto"/>
            </w:tcBorders>
            <w:shd w:val="clear" w:color="auto" w:fill="F2F2F2" w:themeFill="background1" w:themeFillShade="F2"/>
            <w:vAlign w:val="bottom"/>
          </w:tcPr>
          <w:p w14:paraId="1732D19D" w14:textId="6A7878C9" w:rsidR="002045A1" w:rsidRPr="002045A1" w:rsidRDefault="002045A1" w:rsidP="00560487">
            <w:pPr>
              <w:pStyle w:val="Tabletext"/>
              <w:spacing w:before="20" w:after="20"/>
              <w:jc w:val="center"/>
              <w:cnfStyle w:val="100000000000" w:firstRow="1" w:lastRow="0" w:firstColumn="0" w:lastColumn="0" w:oddVBand="0" w:evenVBand="0" w:oddHBand="0" w:evenHBand="0" w:firstRowFirstColumn="0" w:firstRowLastColumn="0" w:lastRowFirstColumn="0" w:lastRowLastColumn="0"/>
            </w:pPr>
            <w:r w:rsidRPr="002045A1">
              <w:t>Contact Information</w:t>
            </w:r>
          </w:p>
        </w:tc>
      </w:tr>
      <w:tr w:rsidR="004B3F79" w:rsidRPr="002045A1" w14:paraId="75B36CA5" w14:textId="77777777" w:rsidTr="007925A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25" w:type="dxa"/>
            <w:tcBorders>
              <w:left w:val="single" w:sz="4" w:space="0" w:color="auto"/>
              <w:right w:val="single" w:sz="4" w:space="0" w:color="auto"/>
            </w:tcBorders>
            <w:shd w:val="clear" w:color="auto" w:fill="F2F2F2" w:themeFill="background1" w:themeFillShade="F2"/>
          </w:tcPr>
          <w:p w14:paraId="0FEC998D" w14:textId="51E6A578" w:rsidR="004B3F79" w:rsidRPr="002045A1" w:rsidRDefault="004B3F79" w:rsidP="004B3F79">
            <w:pPr>
              <w:pStyle w:val="Tabletext"/>
              <w:spacing w:before="20" w:after="20"/>
            </w:pPr>
            <w:r>
              <w:t>Arnie Aldridge</w:t>
            </w:r>
            <w:r w:rsidRPr="002045A1">
              <w:t>, PhD</w:t>
            </w:r>
          </w:p>
          <w:p w14:paraId="7FFE17DE" w14:textId="225C0658" w:rsidR="004B3F79" w:rsidRDefault="004B3F79" w:rsidP="004B3F79">
            <w:pPr>
              <w:pStyle w:val="Tabletext"/>
              <w:spacing w:before="20" w:after="20"/>
            </w:pPr>
            <w:r>
              <w:t xml:space="preserve">Research Economist/Quantitative </w:t>
            </w:r>
            <w:r w:rsidR="007925A7">
              <w:t>Researcher</w:t>
            </w:r>
          </w:p>
          <w:p w14:paraId="46981D20" w14:textId="4A55B48A" w:rsidR="004B3F79" w:rsidRPr="002045A1" w:rsidRDefault="004B3F79" w:rsidP="004B3F79">
            <w:pPr>
              <w:pStyle w:val="Tabletext"/>
              <w:spacing w:before="20" w:after="20"/>
            </w:pPr>
          </w:p>
        </w:tc>
        <w:tc>
          <w:tcPr>
            <w:tcW w:w="2160" w:type="dxa"/>
            <w:tcBorders>
              <w:left w:val="single" w:sz="4" w:space="0" w:color="auto"/>
              <w:right w:val="single" w:sz="4" w:space="0" w:color="auto"/>
            </w:tcBorders>
            <w:shd w:val="clear" w:color="auto" w:fill="F2F2F2" w:themeFill="background1" w:themeFillShade="F2"/>
          </w:tcPr>
          <w:p w14:paraId="54A22552" w14:textId="11E010DF" w:rsidR="004B3F79" w:rsidRPr="002045A1" w:rsidRDefault="004B3F79" w:rsidP="004B3F79">
            <w:pPr>
              <w:pStyle w:val="Tabletext"/>
              <w:spacing w:before="20" w:after="20"/>
              <w:cnfStyle w:val="000000100000" w:firstRow="0" w:lastRow="0" w:firstColumn="0" w:lastColumn="0" w:oddVBand="0" w:evenVBand="0" w:oddHBand="1" w:evenHBand="0" w:firstRowFirstColumn="0" w:firstRowLastColumn="0" w:lastRowFirstColumn="0" w:lastRowLastColumn="0"/>
            </w:pPr>
            <w:r w:rsidRPr="002045A1">
              <w:t>RTI International</w:t>
            </w:r>
          </w:p>
        </w:tc>
        <w:tc>
          <w:tcPr>
            <w:tcW w:w="3870" w:type="dxa"/>
            <w:tcBorders>
              <w:left w:val="single" w:sz="4" w:space="0" w:color="auto"/>
              <w:right w:val="single" w:sz="4" w:space="0" w:color="auto"/>
            </w:tcBorders>
            <w:shd w:val="clear" w:color="auto" w:fill="F2F2F2" w:themeFill="background1" w:themeFillShade="F2"/>
          </w:tcPr>
          <w:p w14:paraId="4932364C" w14:textId="77777777" w:rsidR="004B3F79" w:rsidRPr="002045A1" w:rsidRDefault="004B3F79" w:rsidP="004B3F79">
            <w:pPr>
              <w:pStyle w:val="Tabletext"/>
              <w:spacing w:before="20" w:after="20"/>
              <w:cnfStyle w:val="000000100000" w:firstRow="0" w:lastRow="0" w:firstColumn="0" w:lastColumn="0" w:oddVBand="0" w:evenVBand="0" w:oddHBand="1" w:evenHBand="0" w:firstRowFirstColumn="0" w:firstRowLastColumn="0" w:lastRowFirstColumn="0" w:lastRowLastColumn="0"/>
            </w:pPr>
            <w:r w:rsidRPr="002045A1">
              <w:t>3040 East Cornwallis Road</w:t>
            </w:r>
          </w:p>
          <w:p w14:paraId="2659E1F8" w14:textId="77777777" w:rsidR="004B3F79" w:rsidRPr="002045A1" w:rsidRDefault="004B3F79" w:rsidP="004B3F79">
            <w:pPr>
              <w:pStyle w:val="Tabletext"/>
              <w:spacing w:before="20" w:after="20"/>
              <w:cnfStyle w:val="000000100000" w:firstRow="0" w:lastRow="0" w:firstColumn="0" w:lastColumn="0" w:oddVBand="0" w:evenVBand="0" w:oddHBand="1" w:evenHBand="0" w:firstRowFirstColumn="0" w:firstRowLastColumn="0" w:lastRowFirstColumn="0" w:lastRowLastColumn="0"/>
            </w:pPr>
            <w:r w:rsidRPr="002045A1">
              <w:t>Post Office Box 12194</w:t>
            </w:r>
          </w:p>
          <w:p w14:paraId="613EB132" w14:textId="77777777" w:rsidR="004B3F79" w:rsidRPr="002045A1" w:rsidRDefault="004B3F79" w:rsidP="004B3F79">
            <w:pPr>
              <w:pStyle w:val="Tabletext"/>
              <w:spacing w:before="20" w:after="20"/>
              <w:cnfStyle w:val="000000100000" w:firstRow="0" w:lastRow="0" w:firstColumn="0" w:lastColumn="0" w:oddVBand="0" w:evenVBand="0" w:oddHBand="1" w:evenHBand="0" w:firstRowFirstColumn="0" w:firstRowLastColumn="0" w:lastRowFirstColumn="0" w:lastRowLastColumn="0"/>
            </w:pPr>
            <w:r w:rsidRPr="002045A1">
              <w:t>Research Triangle Park, NC 27709-2194</w:t>
            </w:r>
          </w:p>
          <w:p w14:paraId="6B7EACAE" w14:textId="528F48E4" w:rsidR="004B3F79" w:rsidRPr="002045A1" w:rsidRDefault="00B40BA9" w:rsidP="004B3F79">
            <w:pPr>
              <w:pStyle w:val="Tabletext"/>
              <w:spacing w:before="20" w:after="20"/>
              <w:cnfStyle w:val="000000100000" w:firstRow="0" w:lastRow="0" w:firstColumn="0" w:lastColumn="0" w:oddVBand="0" w:evenVBand="0" w:oddHBand="1" w:evenHBand="0" w:firstRowFirstColumn="0" w:firstRowLastColumn="0" w:lastRowFirstColumn="0" w:lastRowLastColumn="0"/>
            </w:pPr>
            <w:hyperlink r:id="rId9" w:history="1">
              <w:r w:rsidR="004B3F79" w:rsidRPr="006375AF">
                <w:rPr>
                  <w:rStyle w:val="Hyperlink"/>
                </w:rPr>
                <w:t>aaldrige@rti.org</w:t>
              </w:r>
            </w:hyperlink>
          </w:p>
        </w:tc>
      </w:tr>
      <w:tr w:rsidR="004B3F79" w:rsidRPr="002045A1" w14:paraId="4F1B17E1" w14:textId="77777777" w:rsidTr="007925A7">
        <w:trPr>
          <w:cantSplit/>
        </w:trPr>
        <w:tc>
          <w:tcPr>
            <w:cnfStyle w:val="001000000000" w:firstRow="0" w:lastRow="0" w:firstColumn="1" w:lastColumn="0" w:oddVBand="0" w:evenVBand="0" w:oddHBand="0" w:evenHBand="0" w:firstRowFirstColumn="0" w:firstRowLastColumn="0" w:lastRowFirstColumn="0" w:lastRowLastColumn="0"/>
            <w:tcW w:w="3325" w:type="dxa"/>
            <w:shd w:val="clear" w:color="auto" w:fill="F2F2F2" w:themeFill="background1" w:themeFillShade="F2"/>
          </w:tcPr>
          <w:p w14:paraId="5FF195DA" w14:textId="2FFA3A33" w:rsidR="004B3F79" w:rsidRPr="002045A1" w:rsidRDefault="004B3F79" w:rsidP="009B66F3">
            <w:pPr>
              <w:pStyle w:val="Tabletext"/>
              <w:spacing w:before="20" w:after="20"/>
            </w:pPr>
            <w:r w:rsidRPr="002045A1">
              <w:t xml:space="preserve">Olivia Silber Ashley, </w:t>
            </w:r>
            <w:r>
              <w:t>DrPH</w:t>
            </w:r>
          </w:p>
          <w:p w14:paraId="0F2A9C1A" w14:textId="77777777" w:rsidR="004B3F79" w:rsidRDefault="004B3F79" w:rsidP="009B66F3">
            <w:pPr>
              <w:pStyle w:val="Tabletext"/>
              <w:spacing w:before="20" w:after="20"/>
            </w:pPr>
            <w:r w:rsidRPr="002045A1">
              <w:t>Director of Risk Behavior and Family Research Program</w:t>
            </w:r>
          </w:p>
          <w:p w14:paraId="520EBFA9" w14:textId="54FBFF74" w:rsidR="004B3F79" w:rsidRPr="002045A1" w:rsidRDefault="004B3F79" w:rsidP="009B66F3">
            <w:pPr>
              <w:pStyle w:val="Tabletext"/>
              <w:spacing w:before="20" w:after="20"/>
            </w:pPr>
          </w:p>
        </w:tc>
        <w:tc>
          <w:tcPr>
            <w:tcW w:w="2160" w:type="dxa"/>
            <w:shd w:val="clear" w:color="auto" w:fill="F2F2F2" w:themeFill="background1" w:themeFillShade="F2"/>
          </w:tcPr>
          <w:p w14:paraId="1ADB8CB7" w14:textId="77777777" w:rsidR="004B3F79" w:rsidRPr="002045A1" w:rsidRDefault="004B3F79" w:rsidP="009B66F3">
            <w:pPr>
              <w:pStyle w:val="Tabletext"/>
              <w:spacing w:before="20" w:after="20"/>
              <w:cnfStyle w:val="000000000000" w:firstRow="0" w:lastRow="0" w:firstColumn="0" w:lastColumn="0" w:oddVBand="0" w:evenVBand="0" w:oddHBand="0" w:evenHBand="0" w:firstRowFirstColumn="0" w:firstRowLastColumn="0" w:lastRowFirstColumn="0" w:lastRowLastColumn="0"/>
            </w:pPr>
            <w:r w:rsidRPr="002045A1">
              <w:t>RTI International</w:t>
            </w:r>
          </w:p>
        </w:tc>
        <w:tc>
          <w:tcPr>
            <w:tcW w:w="3870" w:type="dxa"/>
            <w:shd w:val="clear" w:color="auto" w:fill="F2F2F2" w:themeFill="background1" w:themeFillShade="F2"/>
          </w:tcPr>
          <w:p w14:paraId="73B2058B" w14:textId="77777777" w:rsidR="004B3F79" w:rsidRPr="002045A1" w:rsidRDefault="004B3F79" w:rsidP="009B66F3">
            <w:pPr>
              <w:pStyle w:val="Tabletext"/>
              <w:spacing w:before="20" w:after="20"/>
              <w:cnfStyle w:val="000000000000" w:firstRow="0" w:lastRow="0" w:firstColumn="0" w:lastColumn="0" w:oddVBand="0" w:evenVBand="0" w:oddHBand="0" w:evenHBand="0" w:firstRowFirstColumn="0" w:firstRowLastColumn="0" w:lastRowFirstColumn="0" w:lastRowLastColumn="0"/>
            </w:pPr>
            <w:r w:rsidRPr="002045A1">
              <w:t>3040 East Cornwallis Road</w:t>
            </w:r>
          </w:p>
          <w:p w14:paraId="0F8BA720" w14:textId="77777777" w:rsidR="004B3F79" w:rsidRPr="002045A1" w:rsidRDefault="004B3F79" w:rsidP="009B66F3">
            <w:pPr>
              <w:pStyle w:val="Tabletext"/>
              <w:spacing w:before="20" w:after="20"/>
              <w:cnfStyle w:val="000000000000" w:firstRow="0" w:lastRow="0" w:firstColumn="0" w:lastColumn="0" w:oddVBand="0" w:evenVBand="0" w:oddHBand="0" w:evenHBand="0" w:firstRowFirstColumn="0" w:firstRowLastColumn="0" w:lastRowFirstColumn="0" w:lastRowLastColumn="0"/>
            </w:pPr>
            <w:r w:rsidRPr="002045A1">
              <w:t>Post Office Box 12194</w:t>
            </w:r>
          </w:p>
          <w:p w14:paraId="7B973363" w14:textId="77777777" w:rsidR="004B3F79" w:rsidRPr="002045A1" w:rsidRDefault="004B3F79" w:rsidP="009B66F3">
            <w:pPr>
              <w:pStyle w:val="Tabletext"/>
              <w:spacing w:before="20" w:after="20"/>
              <w:cnfStyle w:val="000000000000" w:firstRow="0" w:lastRow="0" w:firstColumn="0" w:lastColumn="0" w:oddVBand="0" w:evenVBand="0" w:oddHBand="0" w:evenHBand="0" w:firstRowFirstColumn="0" w:firstRowLastColumn="0" w:lastRowFirstColumn="0" w:lastRowLastColumn="0"/>
            </w:pPr>
            <w:r w:rsidRPr="002045A1">
              <w:t>Research Triangle Park, NC 27709-2194</w:t>
            </w:r>
          </w:p>
          <w:p w14:paraId="729B6914" w14:textId="77777777" w:rsidR="004B3F79" w:rsidRPr="002045A1" w:rsidRDefault="00B40BA9" w:rsidP="009B66F3">
            <w:pPr>
              <w:pStyle w:val="Tabletext"/>
              <w:spacing w:before="20" w:after="20"/>
              <w:cnfStyle w:val="000000000000" w:firstRow="0" w:lastRow="0" w:firstColumn="0" w:lastColumn="0" w:oddVBand="0" w:evenVBand="0" w:oddHBand="0" w:evenHBand="0" w:firstRowFirstColumn="0" w:firstRowLastColumn="0" w:lastRowFirstColumn="0" w:lastRowLastColumn="0"/>
            </w:pPr>
            <w:hyperlink r:id="rId10" w:history="1">
              <w:r w:rsidR="004B3F79" w:rsidRPr="00560487">
                <w:rPr>
                  <w:rStyle w:val="Hyperlink"/>
                </w:rPr>
                <w:t>osilber@rti.org</w:t>
              </w:r>
            </w:hyperlink>
          </w:p>
        </w:tc>
      </w:tr>
      <w:tr w:rsidR="004B3F79" w:rsidRPr="002045A1" w14:paraId="6D7DD393" w14:textId="77777777" w:rsidTr="00BB73F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25" w:type="dxa"/>
            <w:tcBorders>
              <w:left w:val="none" w:sz="0" w:space="0" w:color="auto"/>
              <w:bottom w:val="single" w:sz="4" w:space="0" w:color="auto"/>
              <w:right w:val="none" w:sz="0" w:space="0" w:color="auto"/>
            </w:tcBorders>
            <w:shd w:val="clear" w:color="auto" w:fill="FFFFFF" w:themeFill="background1"/>
          </w:tcPr>
          <w:p w14:paraId="1F4D1933" w14:textId="77777777" w:rsidR="004B3F79" w:rsidRPr="002045A1" w:rsidRDefault="004B3F79" w:rsidP="009B66F3">
            <w:pPr>
              <w:pStyle w:val="Tabletext"/>
              <w:spacing w:before="20" w:after="20"/>
            </w:pPr>
            <w:r w:rsidRPr="002045A1">
              <w:t xml:space="preserve">Laura J. Dunlap, PhD </w:t>
            </w:r>
          </w:p>
          <w:p w14:paraId="6BCC8B7F" w14:textId="782233F2" w:rsidR="004B3F79" w:rsidRPr="002045A1" w:rsidRDefault="004B3F79" w:rsidP="009B66F3">
            <w:pPr>
              <w:pStyle w:val="Tabletext"/>
              <w:spacing w:before="20" w:after="20"/>
            </w:pPr>
            <w:r w:rsidRPr="002045A1">
              <w:t>Director of Behavioral Health Economics Program</w:t>
            </w:r>
          </w:p>
        </w:tc>
        <w:tc>
          <w:tcPr>
            <w:tcW w:w="2160" w:type="dxa"/>
            <w:tcBorders>
              <w:left w:val="none" w:sz="0" w:space="0" w:color="auto"/>
              <w:bottom w:val="single" w:sz="4" w:space="0" w:color="auto"/>
              <w:right w:val="none" w:sz="0" w:space="0" w:color="auto"/>
            </w:tcBorders>
            <w:shd w:val="clear" w:color="auto" w:fill="FFFFFF" w:themeFill="background1"/>
          </w:tcPr>
          <w:p w14:paraId="21107C67" w14:textId="77777777" w:rsidR="004B3F79" w:rsidRPr="002045A1" w:rsidRDefault="004B3F79" w:rsidP="009B66F3">
            <w:pPr>
              <w:pStyle w:val="Tabletext"/>
              <w:spacing w:before="20" w:after="20"/>
              <w:cnfStyle w:val="000000100000" w:firstRow="0" w:lastRow="0" w:firstColumn="0" w:lastColumn="0" w:oddVBand="0" w:evenVBand="0" w:oddHBand="1" w:evenHBand="0" w:firstRowFirstColumn="0" w:firstRowLastColumn="0" w:lastRowFirstColumn="0" w:lastRowLastColumn="0"/>
            </w:pPr>
            <w:r w:rsidRPr="002045A1">
              <w:t>RTI International</w:t>
            </w:r>
          </w:p>
        </w:tc>
        <w:tc>
          <w:tcPr>
            <w:tcW w:w="3870" w:type="dxa"/>
            <w:tcBorders>
              <w:left w:val="none" w:sz="0" w:space="0" w:color="auto"/>
              <w:bottom w:val="single" w:sz="4" w:space="0" w:color="auto"/>
              <w:right w:val="none" w:sz="0" w:space="0" w:color="auto"/>
            </w:tcBorders>
            <w:shd w:val="clear" w:color="auto" w:fill="FFFFFF" w:themeFill="background1"/>
          </w:tcPr>
          <w:p w14:paraId="1081393D" w14:textId="77777777" w:rsidR="004B3F79" w:rsidRPr="002045A1" w:rsidRDefault="004B3F79" w:rsidP="009B66F3">
            <w:pPr>
              <w:pStyle w:val="Tabletext"/>
              <w:spacing w:before="20" w:after="20"/>
              <w:cnfStyle w:val="000000100000" w:firstRow="0" w:lastRow="0" w:firstColumn="0" w:lastColumn="0" w:oddVBand="0" w:evenVBand="0" w:oddHBand="1" w:evenHBand="0" w:firstRowFirstColumn="0" w:firstRowLastColumn="0" w:lastRowFirstColumn="0" w:lastRowLastColumn="0"/>
            </w:pPr>
            <w:r w:rsidRPr="002045A1">
              <w:t>3040 East Cornwallis Road</w:t>
            </w:r>
          </w:p>
          <w:p w14:paraId="487D8704" w14:textId="77777777" w:rsidR="004B3F79" w:rsidRPr="002045A1" w:rsidRDefault="004B3F79" w:rsidP="009B66F3">
            <w:pPr>
              <w:pStyle w:val="Tabletext"/>
              <w:spacing w:before="20" w:after="20"/>
              <w:cnfStyle w:val="000000100000" w:firstRow="0" w:lastRow="0" w:firstColumn="0" w:lastColumn="0" w:oddVBand="0" w:evenVBand="0" w:oddHBand="1" w:evenHBand="0" w:firstRowFirstColumn="0" w:firstRowLastColumn="0" w:lastRowFirstColumn="0" w:lastRowLastColumn="0"/>
            </w:pPr>
            <w:r w:rsidRPr="002045A1">
              <w:t>Post Office Box 12194</w:t>
            </w:r>
          </w:p>
          <w:p w14:paraId="12B18497" w14:textId="77777777" w:rsidR="004B3F79" w:rsidRPr="002045A1" w:rsidRDefault="004B3F79" w:rsidP="009B66F3">
            <w:pPr>
              <w:pStyle w:val="Tabletext"/>
              <w:spacing w:before="20" w:after="20"/>
              <w:cnfStyle w:val="000000100000" w:firstRow="0" w:lastRow="0" w:firstColumn="0" w:lastColumn="0" w:oddVBand="0" w:evenVBand="0" w:oddHBand="1" w:evenHBand="0" w:firstRowFirstColumn="0" w:firstRowLastColumn="0" w:lastRowFirstColumn="0" w:lastRowLastColumn="0"/>
            </w:pPr>
            <w:r w:rsidRPr="002045A1">
              <w:t>Research Triangle Park, NC 27709-2194</w:t>
            </w:r>
          </w:p>
          <w:p w14:paraId="3F384A0E" w14:textId="77777777" w:rsidR="004B3F79" w:rsidRPr="002045A1" w:rsidRDefault="00B40BA9" w:rsidP="009B66F3">
            <w:pPr>
              <w:pStyle w:val="Tabletext"/>
              <w:spacing w:before="20" w:after="20"/>
              <w:cnfStyle w:val="000000100000" w:firstRow="0" w:lastRow="0" w:firstColumn="0" w:lastColumn="0" w:oddVBand="0" w:evenVBand="0" w:oddHBand="1" w:evenHBand="0" w:firstRowFirstColumn="0" w:firstRowLastColumn="0" w:lastRowFirstColumn="0" w:lastRowLastColumn="0"/>
            </w:pPr>
            <w:hyperlink r:id="rId11" w:history="1">
              <w:r w:rsidR="004B3F79" w:rsidRPr="00560487">
                <w:rPr>
                  <w:rStyle w:val="Hyperlink"/>
                </w:rPr>
                <w:t>ljd@rti.org</w:t>
              </w:r>
            </w:hyperlink>
          </w:p>
        </w:tc>
      </w:tr>
      <w:tr w:rsidR="004A1116" w:rsidRPr="002045A1" w14:paraId="3BFF1E69" w14:textId="77777777" w:rsidTr="00BB73F4">
        <w:trPr>
          <w:cantSplit/>
        </w:trPr>
        <w:tc>
          <w:tcPr>
            <w:cnfStyle w:val="001000000000" w:firstRow="0" w:lastRow="0" w:firstColumn="1" w:lastColumn="0" w:oddVBand="0" w:evenVBand="0" w:oddHBand="0" w:evenHBand="0" w:firstRowFirstColumn="0" w:firstRowLastColumn="0" w:lastRowFirstColumn="0" w:lastRowLastColumn="0"/>
            <w:tcW w:w="3325" w:type="dxa"/>
            <w:tcBorders>
              <w:left w:val="nil"/>
              <w:bottom w:val="nil"/>
              <w:right w:val="nil"/>
            </w:tcBorders>
            <w:shd w:val="clear" w:color="auto" w:fill="FFFFFF" w:themeFill="background1"/>
          </w:tcPr>
          <w:p w14:paraId="5D43BD4B" w14:textId="77777777" w:rsidR="004A1116" w:rsidRPr="002045A1" w:rsidRDefault="004A1116" w:rsidP="009B66F3">
            <w:pPr>
              <w:pStyle w:val="Tabletext"/>
              <w:spacing w:before="20" w:after="20"/>
            </w:pPr>
          </w:p>
        </w:tc>
        <w:tc>
          <w:tcPr>
            <w:tcW w:w="2160" w:type="dxa"/>
            <w:tcBorders>
              <w:left w:val="nil"/>
              <w:bottom w:val="nil"/>
              <w:right w:val="nil"/>
            </w:tcBorders>
            <w:shd w:val="clear" w:color="auto" w:fill="FFFFFF" w:themeFill="background1"/>
          </w:tcPr>
          <w:p w14:paraId="0AC1D478" w14:textId="77777777" w:rsidR="004A1116" w:rsidRPr="002045A1" w:rsidRDefault="004A1116" w:rsidP="009B66F3">
            <w:pPr>
              <w:pStyle w:val="Tabletext"/>
              <w:spacing w:before="20" w:after="20"/>
              <w:cnfStyle w:val="000000000000" w:firstRow="0" w:lastRow="0" w:firstColumn="0" w:lastColumn="0" w:oddVBand="0" w:evenVBand="0" w:oddHBand="0" w:evenHBand="0" w:firstRowFirstColumn="0" w:firstRowLastColumn="0" w:lastRowFirstColumn="0" w:lastRowLastColumn="0"/>
            </w:pPr>
          </w:p>
        </w:tc>
        <w:tc>
          <w:tcPr>
            <w:tcW w:w="3870" w:type="dxa"/>
            <w:tcBorders>
              <w:left w:val="nil"/>
              <w:bottom w:val="nil"/>
              <w:right w:val="nil"/>
            </w:tcBorders>
            <w:shd w:val="clear" w:color="auto" w:fill="FFFFFF" w:themeFill="background1"/>
          </w:tcPr>
          <w:p w14:paraId="69889E29" w14:textId="77777777" w:rsidR="004A1116" w:rsidRDefault="004A1116" w:rsidP="004A1116">
            <w:pPr>
              <w:pStyle w:val="Tabletext"/>
              <w:spacing w:before="20" w:after="20"/>
              <w:jc w:val="right"/>
              <w:cnfStyle w:val="000000000000" w:firstRow="0" w:lastRow="0" w:firstColumn="0" w:lastColumn="0" w:oddVBand="0" w:evenVBand="0" w:oddHBand="0" w:evenHBand="0" w:firstRowFirstColumn="0" w:firstRowLastColumn="0" w:lastRowFirstColumn="0" w:lastRowLastColumn="0"/>
            </w:pPr>
            <w:r>
              <w:t>(continued)</w:t>
            </w:r>
          </w:p>
          <w:p w14:paraId="392877EA" w14:textId="77777777" w:rsidR="00BB73F4" w:rsidRDefault="00BB73F4" w:rsidP="004A1116">
            <w:pPr>
              <w:pStyle w:val="Tabletext"/>
              <w:spacing w:before="20" w:after="20"/>
              <w:jc w:val="right"/>
              <w:cnfStyle w:val="000000000000" w:firstRow="0" w:lastRow="0" w:firstColumn="0" w:lastColumn="0" w:oddVBand="0" w:evenVBand="0" w:oddHBand="0" w:evenHBand="0" w:firstRowFirstColumn="0" w:firstRowLastColumn="0" w:lastRowFirstColumn="0" w:lastRowLastColumn="0"/>
            </w:pPr>
          </w:p>
          <w:p w14:paraId="608D30DC" w14:textId="77777777" w:rsidR="00BB73F4" w:rsidRDefault="00BB73F4" w:rsidP="004A1116">
            <w:pPr>
              <w:pStyle w:val="Tabletext"/>
              <w:spacing w:before="20" w:after="20"/>
              <w:jc w:val="right"/>
              <w:cnfStyle w:val="000000000000" w:firstRow="0" w:lastRow="0" w:firstColumn="0" w:lastColumn="0" w:oddVBand="0" w:evenVBand="0" w:oddHBand="0" w:evenHBand="0" w:firstRowFirstColumn="0" w:firstRowLastColumn="0" w:lastRowFirstColumn="0" w:lastRowLastColumn="0"/>
            </w:pPr>
          </w:p>
          <w:p w14:paraId="4900BA7D" w14:textId="51724D36" w:rsidR="00BB73F4" w:rsidRPr="002045A1" w:rsidRDefault="00BB73F4" w:rsidP="004A1116">
            <w:pPr>
              <w:pStyle w:val="Tabletext"/>
              <w:spacing w:before="20" w:after="20"/>
              <w:jc w:val="right"/>
              <w:cnfStyle w:val="000000000000" w:firstRow="0" w:lastRow="0" w:firstColumn="0" w:lastColumn="0" w:oddVBand="0" w:evenVBand="0" w:oddHBand="0" w:evenHBand="0" w:firstRowFirstColumn="0" w:firstRowLastColumn="0" w:lastRowFirstColumn="0" w:lastRowLastColumn="0"/>
            </w:pPr>
          </w:p>
        </w:tc>
      </w:tr>
      <w:tr w:rsidR="00BB73F4" w:rsidRPr="002045A1" w14:paraId="73784F56" w14:textId="77777777" w:rsidTr="00BB73F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25" w:type="dxa"/>
            <w:tcBorders>
              <w:top w:val="nil"/>
              <w:bottom w:val="single" w:sz="4" w:space="0" w:color="auto"/>
            </w:tcBorders>
            <w:shd w:val="clear" w:color="auto" w:fill="auto"/>
          </w:tcPr>
          <w:p w14:paraId="04E7E3B4" w14:textId="412D8EA5" w:rsidR="00BB73F4" w:rsidRPr="00BB73F4" w:rsidRDefault="00BB73F4" w:rsidP="00BB73F4">
            <w:pPr>
              <w:pStyle w:val="Exhibittitle"/>
              <w:rPr>
                <w:b/>
                <w:bCs w:val="0"/>
                <w:sz w:val="20"/>
                <w:szCs w:val="20"/>
              </w:rPr>
            </w:pPr>
            <w:r w:rsidRPr="00BB73F4">
              <w:rPr>
                <w:b/>
                <w:bCs w:val="0"/>
                <w:sz w:val="20"/>
                <w:szCs w:val="20"/>
              </w:rPr>
              <w:lastRenderedPageBreak/>
              <w:t xml:space="preserve">Exhibit 7. </w:t>
            </w:r>
            <w:r w:rsidRPr="00BB73F4">
              <w:rPr>
                <w:b/>
                <w:bCs w:val="0"/>
                <w:sz w:val="20"/>
                <w:szCs w:val="20"/>
              </w:rPr>
              <w:tab/>
              <w:t>RTI Team Experts</w:t>
            </w:r>
          </w:p>
        </w:tc>
        <w:tc>
          <w:tcPr>
            <w:tcW w:w="2160" w:type="dxa"/>
            <w:tcBorders>
              <w:top w:val="nil"/>
              <w:bottom w:val="single" w:sz="4" w:space="0" w:color="auto"/>
            </w:tcBorders>
            <w:shd w:val="clear" w:color="auto" w:fill="auto"/>
          </w:tcPr>
          <w:p w14:paraId="4F172F68" w14:textId="77777777" w:rsidR="00BB73F4" w:rsidRPr="002045A1" w:rsidRDefault="00BB73F4" w:rsidP="004B3F79">
            <w:pPr>
              <w:pStyle w:val="Tabletext"/>
              <w:spacing w:before="20" w:after="20"/>
              <w:cnfStyle w:val="000000100000" w:firstRow="0" w:lastRow="0" w:firstColumn="0" w:lastColumn="0" w:oddVBand="0" w:evenVBand="0" w:oddHBand="1" w:evenHBand="0" w:firstRowFirstColumn="0" w:firstRowLastColumn="0" w:lastRowFirstColumn="0" w:lastRowLastColumn="0"/>
            </w:pPr>
          </w:p>
        </w:tc>
        <w:tc>
          <w:tcPr>
            <w:tcW w:w="3870" w:type="dxa"/>
            <w:tcBorders>
              <w:top w:val="nil"/>
              <w:bottom w:val="single" w:sz="4" w:space="0" w:color="auto"/>
            </w:tcBorders>
            <w:shd w:val="clear" w:color="auto" w:fill="auto"/>
          </w:tcPr>
          <w:p w14:paraId="47827967" w14:textId="77777777" w:rsidR="00BB73F4" w:rsidRPr="002045A1" w:rsidRDefault="00BB73F4" w:rsidP="004B3F79">
            <w:pPr>
              <w:pStyle w:val="Tabletext"/>
              <w:spacing w:before="20" w:after="20"/>
              <w:cnfStyle w:val="000000100000" w:firstRow="0" w:lastRow="0" w:firstColumn="0" w:lastColumn="0" w:oddVBand="0" w:evenVBand="0" w:oddHBand="1" w:evenHBand="0" w:firstRowFirstColumn="0" w:firstRowLastColumn="0" w:lastRowFirstColumn="0" w:lastRowLastColumn="0"/>
            </w:pPr>
          </w:p>
        </w:tc>
      </w:tr>
      <w:tr w:rsidR="004B3F79" w:rsidRPr="002045A1" w14:paraId="07BBA90A" w14:textId="77777777" w:rsidTr="00BB73F4">
        <w:trPr>
          <w:cantSplit/>
        </w:trPr>
        <w:tc>
          <w:tcPr>
            <w:cnfStyle w:val="001000000000" w:firstRow="0" w:lastRow="0" w:firstColumn="1" w:lastColumn="0" w:oddVBand="0" w:evenVBand="0" w:oddHBand="0" w:evenHBand="0" w:firstRowFirstColumn="0" w:firstRowLastColumn="0" w:lastRowFirstColumn="0" w:lastRowLastColumn="0"/>
            <w:tcW w:w="3325" w:type="dxa"/>
            <w:tcBorders>
              <w:top w:val="single" w:sz="4" w:space="0" w:color="auto"/>
              <w:left w:val="single" w:sz="4" w:space="0" w:color="auto"/>
              <w:right w:val="single" w:sz="4" w:space="0" w:color="auto"/>
            </w:tcBorders>
            <w:shd w:val="clear" w:color="auto" w:fill="F2F2F2" w:themeFill="background1" w:themeFillShade="F2"/>
          </w:tcPr>
          <w:p w14:paraId="74F3BAFC" w14:textId="77777777" w:rsidR="004B3F79" w:rsidRDefault="004B3F79" w:rsidP="004B3F79">
            <w:pPr>
              <w:pStyle w:val="Tabletext"/>
              <w:spacing w:before="20" w:after="20"/>
            </w:pPr>
            <w:r>
              <w:t>Bryan Garner, PhD</w:t>
            </w:r>
          </w:p>
          <w:p w14:paraId="0A395359" w14:textId="4559511B" w:rsidR="004B3F79" w:rsidRDefault="004B3F79" w:rsidP="004B3F79">
            <w:pPr>
              <w:pStyle w:val="Tabletext"/>
              <w:spacing w:before="20" w:after="20"/>
            </w:pPr>
            <w:r>
              <w:t>Senior Implementation Research Scientist</w:t>
            </w:r>
          </w:p>
        </w:tc>
        <w:tc>
          <w:tcPr>
            <w:tcW w:w="2160" w:type="dxa"/>
            <w:tcBorders>
              <w:top w:val="single" w:sz="4" w:space="0" w:color="auto"/>
              <w:left w:val="single" w:sz="4" w:space="0" w:color="auto"/>
              <w:right w:val="single" w:sz="4" w:space="0" w:color="auto"/>
            </w:tcBorders>
            <w:shd w:val="clear" w:color="auto" w:fill="F2F2F2" w:themeFill="background1" w:themeFillShade="F2"/>
          </w:tcPr>
          <w:p w14:paraId="543F4231" w14:textId="79B0E0F9" w:rsidR="004B3F79" w:rsidRPr="002045A1" w:rsidRDefault="004B3F79" w:rsidP="004B3F79">
            <w:pPr>
              <w:pStyle w:val="Tabletext"/>
              <w:spacing w:before="20" w:after="20"/>
              <w:cnfStyle w:val="000000000000" w:firstRow="0" w:lastRow="0" w:firstColumn="0" w:lastColumn="0" w:oddVBand="0" w:evenVBand="0" w:oddHBand="0" w:evenHBand="0" w:firstRowFirstColumn="0" w:firstRowLastColumn="0" w:lastRowFirstColumn="0" w:lastRowLastColumn="0"/>
            </w:pPr>
            <w:r w:rsidRPr="002045A1">
              <w:t>RTI International</w:t>
            </w:r>
          </w:p>
        </w:tc>
        <w:tc>
          <w:tcPr>
            <w:tcW w:w="3870" w:type="dxa"/>
            <w:tcBorders>
              <w:top w:val="single" w:sz="4" w:space="0" w:color="auto"/>
              <w:left w:val="single" w:sz="4" w:space="0" w:color="auto"/>
              <w:right w:val="single" w:sz="4" w:space="0" w:color="auto"/>
            </w:tcBorders>
            <w:shd w:val="clear" w:color="auto" w:fill="F2F2F2" w:themeFill="background1" w:themeFillShade="F2"/>
          </w:tcPr>
          <w:p w14:paraId="07445891" w14:textId="77777777" w:rsidR="004B3F79" w:rsidRPr="002045A1" w:rsidRDefault="004B3F79" w:rsidP="004B3F79">
            <w:pPr>
              <w:pStyle w:val="Tabletext"/>
              <w:spacing w:before="20" w:after="20"/>
              <w:cnfStyle w:val="000000000000" w:firstRow="0" w:lastRow="0" w:firstColumn="0" w:lastColumn="0" w:oddVBand="0" w:evenVBand="0" w:oddHBand="0" w:evenHBand="0" w:firstRowFirstColumn="0" w:firstRowLastColumn="0" w:lastRowFirstColumn="0" w:lastRowLastColumn="0"/>
            </w:pPr>
            <w:r w:rsidRPr="002045A1">
              <w:t>3040 East Cornwallis Road</w:t>
            </w:r>
          </w:p>
          <w:p w14:paraId="64067416" w14:textId="77777777" w:rsidR="004B3F79" w:rsidRPr="002045A1" w:rsidRDefault="004B3F79" w:rsidP="004B3F79">
            <w:pPr>
              <w:pStyle w:val="Tabletext"/>
              <w:spacing w:before="20" w:after="20"/>
              <w:cnfStyle w:val="000000000000" w:firstRow="0" w:lastRow="0" w:firstColumn="0" w:lastColumn="0" w:oddVBand="0" w:evenVBand="0" w:oddHBand="0" w:evenHBand="0" w:firstRowFirstColumn="0" w:firstRowLastColumn="0" w:lastRowFirstColumn="0" w:lastRowLastColumn="0"/>
            </w:pPr>
            <w:r w:rsidRPr="002045A1">
              <w:t>Post Office Box 12194</w:t>
            </w:r>
          </w:p>
          <w:p w14:paraId="66A05FC8" w14:textId="77777777" w:rsidR="004B3F79" w:rsidRPr="002045A1" w:rsidRDefault="004B3F79" w:rsidP="004B3F79">
            <w:pPr>
              <w:pStyle w:val="Tabletext"/>
              <w:spacing w:before="20" w:after="20"/>
              <w:cnfStyle w:val="000000000000" w:firstRow="0" w:lastRow="0" w:firstColumn="0" w:lastColumn="0" w:oddVBand="0" w:evenVBand="0" w:oddHBand="0" w:evenHBand="0" w:firstRowFirstColumn="0" w:firstRowLastColumn="0" w:lastRowFirstColumn="0" w:lastRowLastColumn="0"/>
            </w:pPr>
            <w:r w:rsidRPr="002045A1">
              <w:t>Research Triangle Park, NC 27709-2194</w:t>
            </w:r>
          </w:p>
          <w:p w14:paraId="71574678" w14:textId="77777777" w:rsidR="004B3F79" w:rsidRDefault="00B40BA9" w:rsidP="004B3F79">
            <w:pPr>
              <w:pStyle w:val="Tabletext"/>
              <w:spacing w:before="20" w:after="20"/>
              <w:cnfStyle w:val="000000000000" w:firstRow="0" w:lastRow="0" w:firstColumn="0" w:lastColumn="0" w:oddVBand="0" w:evenVBand="0" w:oddHBand="0" w:evenHBand="0" w:firstRowFirstColumn="0" w:firstRowLastColumn="0" w:lastRowFirstColumn="0" w:lastRowLastColumn="0"/>
              <w:rPr>
                <w:rStyle w:val="Hyperlink"/>
              </w:rPr>
            </w:pPr>
            <w:hyperlink r:id="rId12" w:history="1">
              <w:r w:rsidR="004B3F79" w:rsidRPr="006375AF">
                <w:rPr>
                  <w:rStyle w:val="Hyperlink"/>
                </w:rPr>
                <w:t>bgarner@rti.org</w:t>
              </w:r>
            </w:hyperlink>
          </w:p>
          <w:p w14:paraId="19DB28DF" w14:textId="5878A53F" w:rsidR="004A1116" w:rsidRPr="002045A1" w:rsidRDefault="004A1116" w:rsidP="004B3F79">
            <w:pPr>
              <w:pStyle w:val="Tabletext"/>
              <w:spacing w:before="20" w:after="20"/>
              <w:cnfStyle w:val="000000000000" w:firstRow="0" w:lastRow="0" w:firstColumn="0" w:lastColumn="0" w:oddVBand="0" w:evenVBand="0" w:oddHBand="0" w:evenHBand="0" w:firstRowFirstColumn="0" w:firstRowLastColumn="0" w:lastRowFirstColumn="0" w:lastRowLastColumn="0"/>
            </w:pPr>
          </w:p>
        </w:tc>
      </w:tr>
      <w:tr w:rsidR="004B3F79" w:rsidRPr="002045A1" w14:paraId="33FA84E3" w14:textId="77777777" w:rsidTr="00BB73F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25" w:type="dxa"/>
            <w:tcBorders>
              <w:left w:val="single" w:sz="4" w:space="0" w:color="auto"/>
              <w:bottom w:val="single" w:sz="4" w:space="0" w:color="auto"/>
              <w:right w:val="single" w:sz="4" w:space="0" w:color="auto"/>
            </w:tcBorders>
            <w:shd w:val="clear" w:color="auto" w:fill="F2F2F2" w:themeFill="background1" w:themeFillShade="F2"/>
          </w:tcPr>
          <w:p w14:paraId="63BC8C20" w14:textId="4CBE7D4D" w:rsidR="004B3F79" w:rsidRPr="002045A1" w:rsidRDefault="004B3F79" w:rsidP="009B66F3">
            <w:pPr>
              <w:pStyle w:val="Tabletext"/>
              <w:spacing w:before="20" w:after="20"/>
            </w:pPr>
            <w:r w:rsidRPr="002045A1">
              <w:t>Alison Green</w:t>
            </w:r>
            <w:r w:rsidR="002F0EF2">
              <w:t>*</w:t>
            </w:r>
            <w:r w:rsidRPr="002045A1">
              <w:t xml:space="preserve"> </w:t>
            </w:r>
          </w:p>
          <w:p w14:paraId="53588F1A" w14:textId="77777777" w:rsidR="004B3F79" w:rsidRPr="002045A1" w:rsidRDefault="004B3F79" w:rsidP="009B66F3">
            <w:pPr>
              <w:pStyle w:val="Tabletext"/>
              <w:spacing w:before="20" w:after="20"/>
            </w:pPr>
            <w:r w:rsidRPr="002045A1">
              <w:t>Director of Adolescent Research and Services</w:t>
            </w:r>
          </w:p>
        </w:tc>
        <w:tc>
          <w:tcPr>
            <w:tcW w:w="2160" w:type="dxa"/>
            <w:tcBorders>
              <w:left w:val="single" w:sz="4" w:space="0" w:color="auto"/>
              <w:bottom w:val="single" w:sz="4" w:space="0" w:color="auto"/>
              <w:right w:val="single" w:sz="4" w:space="0" w:color="auto"/>
            </w:tcBorders>
            <w:shd w:val="clear" w:color="auto" w:fill="F2F2F2" w:themeFill="background1" w:themeFillShade="F2"/>
          </w:tcPr>
          <w:p w14:paraId="0776AC5E" w14:textId="77777777" w:rsidR="004B3F79" w:rsidRPr="002045A1" w:rsidRDefault="004B3F79" w:rsidP="009B66F3">
            <w:pPr>
              <w:pStyle w:val="Tabletext"/>
              <w:spacing w:before="20" w:after="20"/>
              <w:cnfStyle w:val="000000100000" w:firstRow="0" w:lastRow="0" w:firstColumn="0" w:lastColumn="0" w:oddVBand="0" w:evenVBand="0" w:oddHBand="1" w:evenHBand="0" w:firstRowFirstColumn="0" w:firstRowLastColumn="0" w:lastRowFirstColumn="0" w:lastRowLastColumn="0"/>
            </w:pPr>
            <w:r w:rsidRPr="002045A1">
              <w:t xml:space="preserve">University of Arizona-Southwest </w:t>
            </w:r>
            <w:r>
              <w:t>Institute for Research on Women</w:t>
            </w:r>
          </w:p>
        </w:tc>
        <w:tc>
          <w:tcPr>
            <w:tcW w:w="3870" w:type="dxa"/>
            <w:tcBorders>
              <w:left w:val="single" w:sz="4" w:space="0" w:color="auto"/>
              <w:bottom w:val="single" w:sz="4" w:space="0" w:color="auto"/>
              <w:right w:val="single" w:sz="4" w:space="0" w:color="auto"/>
            </w:tcBorders>
            <w:shd w:val="clear" w:color="auto" w:fill="F2F2F2" w:themeFill="background1" w:themeFillShade="F2"/>
          </w:tcPr>
          <w:p w14:paraId="6EBF5668" w14:textId="77777777" w:rsidR="004B3F79" w:rsidRPr="002045A1" w:rsidRDefault="004B3F79" w:rsidP="009B66F3">
            <w:pPr>
              <w:pStyle w:val="Tabletext"/>
              <w:spacing w:before="20" w:after="20"/>
              <w:cnfStyle w:val="000000100000" w:firstRow="0" w:lastRow="0" w:firstColumn="0" w:lastColumn="0" w:oddVBand="0" w:evenVBand="0" w:oddHBand="1" w:evenHBand="0" w:firstRowFirstColumn="0" w:firstRowLastColumn="0" w:lastRowFirstColumn="0" w:lastRowLastColumn="0"/>
            </w:pPr>
            <w:r w:rsidRPr="002045A1">
              <w:t>181 S. Tucson Blvd., Ste. 101</w:t>
            </w:r>
          </w:p>
          <w:p w14:paraId="3D62BFD4" w14:textId="77777777" w:rsidR="004B3F79" w:rsidRPr="002045A1" w:rsidRDefault="004B3F79" w:rsidP="009B66F3">
            <w:pPr>
              <w:pStyle w:val="Tabletext"/>
              <w:spacing w:before="20" w:after="20"/>
              <w:cnfStyle w:val="000000100000" w:firstRow="0" w:lastRow="0" w:firstColumn="0" w:lastColumn="0" w:oddVBand="0" w:evenVBand="0" w:oddHBand="1" w:evenHBand="0" w:firstRowFirstColumn="0" w:firstRowLastColumn="0" w:lastRowFirstColumn="0" w:lastRowLastColumn="0"/>
            </w:pPr>
            <w:r w:rsidRPr="002045A1">
              <w:t>Tucson, AZ 85716</w:t>
            </w:r>
          </w:p>
          <w:p w14:paraId="1065FF29" w14:textId="77777777" w:rsidR="004B3F79" w:rsidRPr="002045A1" w:rsidRDefault="00B40BA9" w:rsidP="009B66F3">
            <w:pPr>
              <w:pStyle w:val="Tabletext"/>
              <w:spacing w:before="20" w:after="20"/>
              <w:cnfStyle w:val="000000100000" w:firstRow="0" w:lastRow="0" w:firstColumn="0" w:lastColumn="0" w:oddVBand="0" w:evenVBand="0" w:oddHBand="1" w:evenHBand="0" w:firstRowFirstColumn="0" w:firstRowLastColumn="0" w:lastRowFirstColumn="0" w:lastRowLastColumn="0"/>
            </w:pPr>
            <w:hyperlink r:id="rId13" w:history="1">
              <w:r w:rsidR="004B3F79" w:rsidRPr="00560487">
                <w:rPr>
                  <w:rStyle w:val="Hyperlink"/>
                </w:rPr>
                <w:t>greene@email.arizona.edu</w:t>
              </w:r>
            </w:hyperlink>
          </w:p>
        </w:tc>
      </w:tr>
      <w:tr w:rsidR="007925A7" w:rsidRPr="002045A1" w14:paraId="37A2D221" w14:textId="77777777" w:rsidTr="00BB73F4">
        <w:trPr>
          <w:cantSplit/>
        </w:trPr>
        <w:tc>
          <w:tcPr>
            <w:cnfStyle w:val="001000000000" w:firstRow="0" w:lastRow="0" w:firstColumn="1" w:lastColumn="0" w:oddVBand="0" w:evenVBand="0" w:oddHBand="0" w:evenHBand="0" w:firstRowFirstColumn="0" w:firstRowLastColumn="0" w:lastRowFirstColumn="0" w:lastRowLastColumn="0"/>
            <w:tcW w:w="3325" w:type="dxa"/>
            <w:tcBorders>
              <w:left w:val="single" w:sz="4" w:space="0" w:color="auto"/>
              <w:right w:val="single" w:sz="4" w:space="0" w:color="auto"/>
            </w:tcBorders>
            <w:shd w:val="clear" w:color="auto" w:fill="F2F2F2" w:themeFill="background1" w:themeFillShade="F2"/>
          </w:tcPr>
          <w:p w14:paraId="247F59BA" w14:textId="44A1FEC0" w:rsidR="007925A7" w:rsidRDefault="007925A7" w:rsidP="007925A7">
            <w:pPr>
              <w:pStyle w:val="Tabletext"/>
              <w:spacing w:before="20" w:after="20"/>
            </w:pPr>
            <w:r>
              <w:t>Saira Haque, PhD</w:t>
            </w:r>
          </w:p>
          <w:p w14:paraId="2CE9E1EB" w14:textId="760F340E" w:rsidR="007925A7" w:rsidRPr="002045A1" w:rsidRDefault="007925A7" w:rsidP="007925A7">
            <w:pPr>
              <w:pStyle w:val="Tabletext"/>
              <w:spacing w:before="20" w:after="20"/>
            </w:pPr>
            <w:r>
              <w:rPr>
                <w:bCs w:val="0"/>
                <w:szCs w:val="22"/>
              </w:rPr>
              <w:t>Senior Health Informaticist/Qualitative Researcher</w:t>
            </w:r>
          </w:p>
        </w:tc>
        <w:tc>
          <w:tcPr>
            <w:tcW w:w="2160" w:type="dxa"/>
            <w:tcBorders>
              <w:left w:val="single" w:sz="4" w:space="0" w:color="auto"/>
              <w:right w:val="single" w:sz="4" w:space="0" w:color="auto"/>
            </w:tcBorders>
            <w:shd w:val="clear" w:color="auto" w:fill="F2F2F2" w:themeFill="background1" w:themeFillShade="F2"/>
          </w:tcPr>
          <w:p w14:paraId="238CC825" w14:textId="2D4553DD" w:rsidR="007925A7" w:rsidRPr="002045A1" w:rsidRDefault="007925A7" w:rsidP="007925A7">
            <w:pPr>
              <w:pStyle w:val="Tabletext"/>
              <w:spacing w:before="20" w:after="20"/>
              <w:cnfStyle w:val="000000000000" w:firstRow="0" w:lastRow="0" w:firstColumn="0" w:lastColumn="0" w:oddVBand="0" w:evenVBand="0" w:oddHBand="0" w:evenHBand="0" w:firstRowFirstColumn="0" w:firstRowLastColumn="0" w:lastRowFirstColumn="0" w:lastRowLastColumn="0"/>
            </w:pPr>
            <w:r w:rsidRPr="002045A1">
              <w:t>RTI International</w:t>
            </w:r>
          </w:p>
        </w:tc>
        <w:tc>
          <w:tcPr>
            <w:tcW w:w="3870" w:type="dxa"/>
            <w:tcBorders>
              <w:left w:val="single" w:sz="4" w:space="0" w:color="auto"/>
              <w:right w:val="single" w:sz="4" w:space="0" w:color="auto"/>
            </w:tcBorders>
            <w:shd w:val="clear" w:color="auto" w:fill="F2F2F2" w:themeFill="background1" w:themeFillShade="F2"/>
          </w:tcPr>
          <w:p w14:paraId="57AF1010" w14:textId="77777777" w:rsidR="007925A7" w:rsidRPr="002045A1" w:rsidRDefault="007925A7" w:rsidP="007925A7">
            <w:pPr>
              <w:pStyle w:val="Tabletext"/>
              <w:spacing w:before="20" w:after="20"/>
              <w:cnfStyle w:val="000000000000" w:firstRow="0" w:lastRow="0" w:firstColumn="0" w:lastColumn="0" w:oddVBand="0" w:evenVBand="0" w:oddHBand="0" w:evenHBand="0" w:firstRowFirstColumn="0" w:firstRowLastColumn="0" w:lastRowFirstColumn="0" w:lastRowLastColumn="0"/>
            </w:pPr>
            <w:r w:rsidRPr="002045A1">
              <w:t>3040 East Cornwallis Road</w:t>
            </w:r>
          </w:p>
          <w:p w14:paraId="72081A4A" w14:textId="77777777" w:rsidR="007925A7" w:rsidRPr="002045A1" w:rsidRDefault="007925A7" w:rsidP="007925A7">
            <w:pPr>
              <w:pStyle w:val="Tabletext"/>
              <w:spacing w:before="20" w:after="20"/>
              <w:cnfStyle w:val="000000000000" w:firstRow="0" w:lastRow="0" w:firstColumn="0" w:lastColumn="0" w:oddVBand="0" w:evenVBand="0" w:oddHBand="0" w:evenHBand="0" w:firstRowFirstColumn="0" w:firstRowLastColumn="0" w:lastRowFirstColumn="0" w:lastRowLastColumn="0"/>
            </w:pPr>
            <w:r w:rsidRPr="002045A1">
              <w:t>Post Office Box 12194</w:t>
            </w:r>
          </w:p>
          <w:p w14:paraId="3BE578FA" w14:textId="77777777" w:rsidR="007925A7" w:rsidRPr="002045A1" w:rsidRDefault="007925A7" w:rsidP="007925A7">
            <w:pPr>
              <w:pStyle w:val="Tabletext"/>
              <w:spacing w:before="20" w:after="20"/>
              <w:cnfStyle w:val="000000000000" w:firstRow="0" w:lastRow="0" w:firstColumn="0" w:lastColumn="0" w:oddVBand="0" w:evenVBand="0" w:oddHBand="0" w:evenHBand="0" w:firstRowFirstColumn="0" w:firstRowLastColumn="0" w:lastRowFirstColumn="0" w:lastRowLastColumn="0"/>
            </w:pPr>
            <w:r w:rsidRPr="002045A1">
              <w:t>Research Triangle Park, NC 27709-2194</w:t>
            </w:r>
          </w:p>
          <w:p w14:paraId="6AE6E9C3" w14:textId="0D1EEA4D" w:rsidR="007925A7" w:rsidRPr="002045A1" w:rsidRDefault="00B40BA9" w:rsidP="007925A7">
            <w:pPr>
              <w:pStyle w:val="Tabletext"/>
              <w:spacing w:before="20" w:after="20"/>
              <w:cnfStyle w:val="000000000000" w:firstRow="0" w:lastRow="0" w:firstColumn="0" w:lastColumn="0" w:oddVBand="0" w:evenVBand="0" w:oddHBand="0" w:evenHBand="0" w:firstRowFirstColumn="0" w:firstRowLastColumn="0" w:lastRowFirstColumn="0" w:lastRowLastColumn="0"/>
            </w:pPr>
            <w:hyperlink r:id="rId14" w:history="1">
              <w:r w:rsidR="007925A7" w:rsidRPr="006375AF">
                <w:rPr>
                  <w:rStyle w:val="Hyperlink"/>
                </w:rPr>
                <w:t>shaque@rti.org</w:t>
              </w:r>
            </w:hyperlink>
          </w:p>
        </w:tc>
      </w:tr>
      <w:tr w:rsidR="004B3F79" w:rsidRPr="002045A1" w14:paraId="5C6DB181" w14:textId="77777777" w:rsidTr="00BB73F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25" w:type="dxa"/>
            <w:tcBorders>
              <w:left w:val="none" w:sz="0" w:space="0" w:color="auto"/>
              <w:bottom w:val="single" w:sz="4" w:space="0" w:color="auto"/>
              <w:right w:val="none" w:sz="0" w:space="0" w:color="auto"/>
            </w:tcBorders>
            <w:shd w:val="clear" w:color="auto" w:fill="FFFFFF" w:themeFill="background1"/>
          </w:tcPr>
          <w:p w14:paraId="0D9AB4B6" w14:textId="77777777" w:rsidR="004B3F79" w:rsidRPr="002045A1" w:rsidRDefault="004B3F79" w:rsidP="004B3F79">
            <w:pPr>
              <w:pStyle w:val="Tabletext"/>
              <w:spacing w:before="20" w:after="20"/>
            </w:pPr>
            <w:r w:rsidRPr="002045A1">
              <w:t>Danielle Laborde, PhD</w:t>
            </w:r>
          </w:p>
          <w:p w14:paraId="3E533AB8" w14:textId="031355F4" w:rsidR="004B3F79" w:rsidRPr="002045A1" w:rsidRDefault="004B3F79" w:rsidP="004B3F79">
            <w:pPr>
              <w:pStyle w:val="Tabletext"/>
              <w:spacing w:before="20" w:after="20"/>
            </w:pPr>
            <w:r w:rsidRPr="002045A1">
              <w:t>President and Senior Epidemiologist</w:t>
            </w:r>
          </w:p>
        </w:tc>
        <w:tc>
          <w:tcPr>
            <w:tcW w:w="2160" w:type="dxa"/>
            <w:tcBorders>
              <w:left w:val="none" w:sz="0" w:space="0" w:color="auto"/>
              <w:bottom w:val="single" w:sz="4" w:space="0" w:color="auto"/>
              <w:right w:val="none" w:sz="0" w:space="0" w:color="auto"/>
            </w:tcBorders>
            <w:shd w:val="clear" w:color="auto" w:fill="FFFFFF" w:themeFill="background1"/>
          </w:tcPr>
          <w:p w14:paraId="1A0070D3" w14:textId="17D52F16" w:rsidR="004B3F79" w:rsidRPr="002045A1" w:rsidRDefault="004B3F79" w:rsidP="004B3F79">
            <w:pPr>
              <w:pStyle w:val="Tabletext"/>
              <w:spacing w:before="20" w:after="20"/>
              <w:cnfStyle w:val="000000100000" w:firstRow="0" w:lastRow="0" w:firstColumn="0" w:lastColumn="0" w:oddVBand="0" w:evenVBand="0" w:oddHBand="1" w:evenHBand="0" w:firstRowFirstColumn="0" w:firstRowLastColumn="0" w:lastRowFirstColumn="0" w:lastRowLastColumn="0"/>
            </w:pPr>
            <w:r w:rsidRPr="002045A1">
              <w:t>Hermes, LLC</w:t>
            </w:r>
          </w:p>
        </w:tc>
        <w:tc>
          <w:tcPr>
            <w:tcW w:w="3870" w:type="dxa"/>
            <w:tcBorders>
              <w:left w:val="none" w:sz="0" w:space="0" w:color="auto"/>
              <w:bottom w:val="single" w:sz="4" w:space="0" w:color="auto"/>
              <w:right w:val="none" w:sz="0" w:space="0" w:color="auto"/>
            </w:tcBorders>
            <w:shd w:val="clear" w:color="auto" w:fill="FFFFFF" w:themeFill="background1"/>
          </w:tcPr>
          <w:p w14:paraId="2C47E605" w14:textId="77777777" w:rsidR="004B3F79" w:rsidRDefault="004B3F79" w:rsidP="004B3F79">
            <w:pPr>
              <w:pStyle w:val="Tabletext"/>
              <w:spacing w:before="20" w:after="20"/>
              <w:cnfStyle w:val="000000100000" w:firstRow="0" w:lastRow="0" w:firstColumn="0" w:lastColumn="0" w:oddVBand="0" w:evenVBand="0" w:oddHBand="1" w:evenHBand="0" w:firstRowFirstColumn="0" w:firstRowLastColumn="0" w:lastRowFirstColumn="0" w:lastRowLastColumn="0"/>
            </w:pPr>
            <w:r>
              <w:t>6576 Towles Road</w:t>
            </w:r>
          </w:p>
          <w:p w14:paraId="2888C290" w14:textId="5D502329" w:rsidR="004B3F79" w:rsidRDefault="004B3F79" w:rsidP="004B3F79">
            <w:pPr>
              <w:pStyle w:val="Tabletext"/>
              <w:spacing w:before="20" w:after="20"/>
              <w:cnfStyle w:val="000000100000" w:firstRow="0" w:lastRow="0" w:firstColumn="0" w:lastColumn="0" w:oddVBand="0" w:evenVBand="0" w:oddHBand="1" w:evenHBand="0" w:firstRowFirstColumn="0" w:firstRowLastColumn="0" w:lastRowFirstColumn="0" w:lastRowLastColumn="0"/>
            </w:pPr>
            <w:r>
              <w:t>Wilmington, North Carolina 28409</w:t>
            </w:r>
          </w:p>
          <w:p w14:paraId="1DF5092C" w14:textId="404D041B" w:rsidR="004B3F79" w:rsidRPr="002045A1" w:rsidRDefault="00B40BA9" w:rsidP="004B3F79">
            <w:pPr>
              <w:pStyle w:val="Tabletext"/>
              <w:spacing w:before="20" w:after="20"/>
              <w:cnfStyle w:val="000000100000" w:firstRow="0" w:lastRow="0" w:firstColumn="0" w:lastColumn="0" w:oddVBand="0" w:evenVBand="0" w:oddHBand="1" w:evenHBand="0" w:firstRowFirstColumn="0" w:firstRowLastColumn="0" w:lastRowFirstColumn="0" w:lastRowLastColumn="0"/>
            </w:pPr>
            <w:hyperlink r:id="rId15" w:history="1">
              <w:r w:rsidR="004B3F79" w:rsidRPr="009F5844">
                <w:rPr>
                  <w:rStyle w:val="Hyperlink"/>
                </w:rPr>
                <w:t>dlaborde@hermesllc.com</w:t>
              </w:r>
            </w:hyperlink>
          </w:p>
        </w:tc>
      </w:tr>
      <w:tr w:rsidR="004B3F79" w:rsidRPr="002045A1" w14:paraId="4F396517" w14:textId="77777777" w:rsidTr="00BB73F4">
        <w:trPr>
          <w:cantSplit/>
        </w:trPr>
        <w:tc>
          <w:tcPr>
            <w:cnfStyle w:val="001000000000" w:firstRow="0" w:lastRow="0" w:firstColumn="1" w:lastColumn="0" w:oddVBand="0" w:evenVBand="0" w:oddHBand="0" w:evenHBand="0" w:firstRowFirstColumn="0" w:firstRowLastColumn="0" w:lastRowFirstColumn="0" w:lastRowLastColumn="0"/>
            <w:tcW w:w="3325" w:type="dxa"/>
            <w:tcBorders>
              <w:left w:val="single" w:sz="4" w:space="0" w:color="auto"/>
              <w:right w:val="single" w:sz="4" w:space="0" w:color="auto"/>
            </w:tcBorders>
            <w:shd w:val="clear" w:color="auto" w:fill="FFFFFF" w:themeFill="background1"/>
          </w:tcPr>
          <w:p w14:paraId="6EE586F4" w14:textId="77777777" w:rsidR="004B3F79" w:rsidRPr="002045A1" w:rsidRDefault="004B3F79" w:rsidP="004B3F79">
            <w:pPr>
              <w:pStyle w:val="Tabletext"/>
              <w:spacing w:before="20" w:after="20"/>
            </w:pPr>
            <w:r w:rsidRPr="002045A1">
              <w:t>Sally Stevens, PhD</w:t>
            </w:r>
          </w:p>
          <w:p w14:paraId="4B85F840" w14:textId="767731CD" w:rsidR="004B3F79" w:rsidRPr="002045A1" w:rsidRDefault="004B3F79" w:rsidP="004B3F79">
            <w:pPr>
              <w:pStyle w:val="Tabletext"/>
              <w:spacing w:before="20" w:after="20"/>
            </w:pPr>
            <w:r w:rsidRPr="002045A1">
              <w:t>Executive Director; Southwest Institute for Research on Women</w:t>
            </w:r>
          </w:p>
        </w:tc>
        <w:tc>
          <w:tcPr>
            <w:tcW w:w="2160" w:type="dxa"/>
            <w:tcBorders>
              <w:left w:val="single" w:sz="4" w:space="0" w:color="auto"/>
              <w:right w:val="single" w:sz="4" w:space="0" w:color="auto"/>
            </w:tcBorders>
            <w:shd w:val="clear" w:color="auto" w:fill="FFFFFF" w:themeFill="background1"/>
          </w:tcPr>
          <w:p w14:paraId="6D918FD5" w14:textId="55BE8CB8" w:rsidR="004B3F79" w:rsidRPr="002045A1" w:rsidRDefault="004B3F79" w:rsidP="004B3F79">
            <w:pPr>
              <w:pStyle w:val="Tabletext"/>
              <w:spacing w:before="20" w:after="20"/>
              <w:cnfStyle w:val="000000000000" w:firstRow="0" w:lastRow="0" w:firstColumn="0" w:lastColumn="0" w:oddVBand="0" w:evenVBand="0" w:oddHBand="0" w:evenHBand="0" w:firstRowFirstColumn="0" w:firstRowLastColumn="0" w:lastRowFirstColumn="0" w:lastRowLastColumn="0"/>
            </w:pPr>
            <w:r w:rsidRPr="002045A1">
              <w:t>University of Arizona-Southwest Institute for Research on Women</w:t>
            </w:r>
          </w:p>
        </w:tc>
        <w:tc>
          <w:tcPr>
            <w:tcW w:w="3870" w:type="dxa"/>
            <w:tcBorders>
              <w:left w:val="single" w:sz="4" w:space="0" w:color="auto"/>
              <w:right w:val="single" w:sz="4" w:space="0" w:color="auto"/>
            </w:tcBorders>
            <w:shd w:val="clear" w:color="auto" w:fill="FFFFFF" w:themeFill="background1"/>
          </w:tcPr>
          <w:p w14:paraId="0A294371" w14:textId="77777777" w:rsidR="004B3F79" w:rsidRPr="002045A1" w:rsidRDefault="004B3F79" w:rsidP="004B3F79">
            <w:pPr>
              <w:pStyle w:val="Tabletext"/>
              <w:spacing w:before="20" w:after="20"/>
              <w:cnfStyle w:val="000000000000" w:firstRow="0" w:lastRow="0" w:firstColumn="0" w:lastColumn="0" w:oddVBand="0" w:evenVBand="0" w:oddHBand="0" w:evenHBand="0" w:firstRowFirstColumn="0" w:firstRowLastColumn="0" w:lastRowFirstColumn="0" w:lastRowLastColumn="0"/>
            </w:pPr>
            <w:r w:rsidRPr="002045A1">
              <w:t>925 N. Tyndall</w:t>
            </w:r>
          </w:p>
          <w:p w14:paraId="6C0CFC4C" w14:textId="77777777" w:rsidR="004B3F79" w:rsidRPr="002045A1" w:rsidRDefault="004B3F79" w:rsidP="004B3F79">
            <w:pPr>
              <w:pStyle w:val="Tabletext"/>
              <w:spacing w:before="20" w:after="20"/>
              <w:cnfStyle w:val="000000000000" w:firstRow="0" w:lastRow="0" w:firstColumn="0" w:lastColumn="0" w:oddVBand="0" w:evenVBand="0" w:oddHBand="0" w:evenHBand="0" w:firstRowFirstColumn="0" w:firstRowLastColumn="0" w:lastRowFirstColumn="0" w:lastRowLastColumn="0"/>
            </w:pPr>
            <w:r w:rsidRPr="002045A1">
              <w:t>Tucson, AZ 85721-0438</w:t>
            </w:r>
          </w:p>
          <w:p w14:paraId="0447BD64" w14:textId="0518988B" w:rsidR="004B3F79" w:rsidRPr="002045A1" w:rsidRDefault="00B40BA9" w:rsidP="004B3F79">
            <w:pPr>
              <w:pStyle w:val="Tabletext"/>
              <w:spacing w:before="20" w:after="20"/>
              <w:cnfStyle w:val="000000000000" w:firstRow="0" w:lastRow="0" w:firstColumn="0" w:lastColumn="0" w:oddVBand="0" w:evenVBand="0" w:oddHBand="0" w:evenHBand="0" w:firstRowFirstColumn="0" w:firstRowLastColumn="0" w:lastRowFirstColumn="0" w:lastRowLastColumn="0"/>
            </w:pPr>
            <w:hyperlink r:id="rId16" w:history="1">
              <w:r w:rsidR="004B3F79" w:rsidRPr="00560487">
                <w:rPr>
                  <w:rStyle w:val="Hyperlink"/>
                </w:rPr>
                <w:t>sstevens@email.arizona.edu</w:t>
              </w:r>
            </w:hyperlink>
          </w:p>
        </w:tc>
      </w:tr>
    </w:tbl>
    <w:p w14:paraId="757529BD" w14:textId="63D71145" w:rsidR="002045A1" w:rsidRDefault="00560487" w:rsidP="00560487">
      <w:pPr>
        <w:pStyle w:val="BodyText"/>
        <w:spacing w:before="40"/>
        <w:rPr>
          <w:sz w:val="20"/>
          <w:szCs w:val="20"/>
        </w:rPr>
      </w:pPr>
      <w:r w:rsidRPr="00560487">
        <w:rPr>
          <w:sz w:val="20"/>
          <w:szCs w:val="20"/>
          <w:vertAlign w:val="superscript"/>
        </w:rPr>
        <w:t>*</w:t>
      </w:r>
      <w:r w:rsidR="002F0EF2">
        <w:rPr>
          <w:sz w:val="20"/>
          <w:szCs w:val="20"/>
        </w:rPr>
        <w:t xml:space="preserve"> Local evaluator for current SYT-ED</w:t>
      </w:r>
      <w:r w:rsidRPr="00560487">
        <w:rPr>
          <w:sz w:val="20"/>
          <w:szCs w:val="20"/>
        </w:rPr>
        <w:t xml:space="preserve"> grantee</w:t>
      </w:r>
    </w:p>
    <w:p w14:paraId="06BA1E72" w14:textId="77777777" w:rsidR="00CA6E26" w:rsidRDefault="00CA6E26" w:rsidP="00560487">
      <w:pPr>
        <w:pStyle w:val="Heading2"/>
      </w:pPr>
      <w:r w:rsidRPr="00522A2B">
        <w:t>9.</w:t>
      </w:r>
      <w:r w:rsidRPr="00522A2B">
        <w:tab/>
      </w:r>
      <w:r w:rsidRPr="00560487">
        <w:rPr>
          <w:u w:val="single"/>
        </w:rPr>
        <w:t>Payment to Respondents</w:t>
      </w:r>
    </w:p>
    <w:p w14:paraId="729956C4" w14:textId="77777777" w:rsidR="00CA6E26" w:rsidRDefault="00CA6E26" w:rsidP="00560487">
      <w:pPr>
        <w:pStyle w:val="BodyText"/>
      </w:pPr>
      <w:r>
        <w:t>No cash incentives or gifts will be given to respondents.</w:t>
      </w:r>
    </w:p>
    <w:p w14:paraId="1F930FBD" w14:textId="77777777" w:rsidR="00CA6E26" w:rsidRPr="00734630" w:rsidRDefault="00CA6E26" w:rsidP="00560487">
      <w:pPr>
        <w:pStyle w:val="Heading2"/>
      </w:pPr>
      <w:bookmarkStart w:id="17" w:name="_Toc88277959"/>
      <w:bookmarkStart w:id="18" w:name="_Toc131564352"/>
      <w:r w:rsidRPr="00AD3A8F">
        <w:t>10.</w:t>
      </w:r>
      <w:r w:rsidRPr="00AD3A8F">
        <w:tab/>
      </w:r>
      <w:r w:rsidRPr="00560487">
        <w:rPr>
          <w:u w:val="single"/>
        </w:rPr>
        <w:t xml:space="preserve">Assurance of </w:t>
      </w:r>
      <w:bookmarkEnd w:id="17"/>
      <w:bookmarkEnd w:id="18"/>
      <w:r w:rsidRPr="00560487">
        <w:rPr>
          <w:u w:val="single"/>
        </w:rPr>
        <w:t>Confidentiality</w:t>
      </w:r>
      <w:r w:rsidRPr="00734630">
        <w:t xml:space="preserve"> </w:t>
      </w:r>
    </w:p>
    <w:p w14:paraId="2089014F" w14:textId="7ABF6674" w:rsidR="00B372ED" w:rsidRDefault="00B372ED" w:rsidP="006047B8">
      <w:pPr>
        <w:pStyle w:val="BodyText"/>
      </w:pPr>
      <w:r w:rsidRPr="00B17609">
        <w:t xml:space="preserve">Concern for </w:t>
      </w:r>
      <w:r w:rsidR="006047B8">
        <w:t>privacy</w:t>
      </w:r>
      <w:r w:rsidR="00B74B21" w:rsidRPr="00B17609">
        <w:t xml:space="preserve"> </w:t>
      </w:r>
      <w:r w:rsidRPr="00B17609">
        <w:t xml:space="preserve">and protection of respondents’ rights will play a central part in the implementation of all study components. </w:t>
      </w:r>
      <w:r w:rsidR="00B74B21">
        <w:t xml:space="preserve">The evaluation team led by </w:t>
      </w:r>
      <w:r w:rsidRPr="00B17609">
        <w:t xml:space="preserve">RTI </w:t>
      </w:r>
      <w:r w:rsidR="00B74B21">
        <w:t>has extensive experience protecting and maintaining data from collection</w:t>
      </w:r>
      <w:r w:rsidR="006047B8">
        <w:t xml:space="preserve"> through analysis and reporting.</w:t>
      </w:r>
      <w:r w:rsidR="00B74B21">
        <w:t xml:space="preserve"> </w:t>
      </w:r>
      <w:bookmarkStart w:id="19" w:name="_Toc131564353"/>
    </w:p>
    <w:bookmarkEnd w:id="19"/>
    <w:p w14:paraId="07E259DC" w14:textId="053960CA" w:rsidR="00B372ED" w:rsidRDefault="00B372ED" w:rsidP="006047B8">
      <w:pPr>
        <w:pStyle w:val="BodyText"/>
      </w:pPr>
      <w:r w:rsidRPr="00B17609">
        <w:t xml:space="preserve">The </w:t>
      </w:r>
      <w:r w:rsidR="00B74B21">
        <w:t>evaluation</w:t>
      </w:r>
      <w:r w:rsidRPr="00B17609">
        <w:t xml:space="preserve"> team will safeguard project directories and analysis files containing completed </w:t>
      </w:r>
      <w:r w:rsidR="007925A7">
        <w:t xml:space="preserve">interview and </w:t>
      </w:r>
      <w:r w:rsidRPr="00B17609">
        <w:t xml:space="preserve">survey data to ensure that there is no inadvertent disclosure of study data. In addition, all studies involving human subjects are reviewed and approved by </w:t>
      </w:r>
      <w:smartTag w:uri="urn:schemas-microsoft-com:office:smarttags" w:element="stockticker">
        <w:r w:rsidRPr="00B17609">
          <w:t>RTI</w:t>
        </w:r>
      </w:smartTag>
      <w:r w:rsidRPr="00B17609">
        <w:t>’s Institutional Review Board (IRB) (Federal Wide Assurance Number 3331)</w:t>
      </w:r>
      <w:r w:rsidR="00B74B21">
        <w:t>.</w:t>
      </w:r>
      <w:r w:rsidRPr="00B17609">
        <w:t xml:space="preserve"> In keeping with 45 </w:t>
      </w:r>
      <w:smartTag w:uri="urn:schemas-microsoft-com:office:smarttags" w:element="stockticker">
        <w:r w:rsidRPr="00B17609">
          <w:t>CFR</w:t>
        </w:r>
      </w:smartTag>
      <w:r w:rsidRPr="00B17609">
        <w:t xml:space="preserve"> 46, Protection of Human Subjects, the</w:t>
      </w:r>
      <w:r w:rsidR="00207E4C">
        <w:t xml:space="preserve"> </w:t>
      </w:r>
      <w:r w:rsidRPr="00B17609">
        <w:t>procedures for data collection, consent, and data maintenance are formulated</w:t>
      </w:r>
      <w:r>
        <w:t xml:space="preserve"> to protect respondents’ rights. </w:t>
      </w:r>
      <w:r w:rsidRPr="00B17609">
        <w:t xml:space="preserve">Strict procedures will be followed for protecting the </w:t>
      </w:r>
      <w:r w:rsidR="006047B8">
        <w:t>privacy</w:t>
      </w:r>
      <w:r w:rsidRPr="00B17609">
        <w:t xml:space="preserve"> of respondents’ information and for obtaining their informed consent. Any necessary changes to the cross-site evaluation protocol will be reviewed by the </w:t>
      </w:r>
      <w:smartTag w:uri="urn:schemas-microsoft-com:office:smarttags" w:element="stockticker">
        <w:r w:rsidRPr="00B17609">
          <w:t>RTI</w:t>
        </w:r>
      </w:smartTag>
      <w:r w:rsidRPr="00B17609">
        <w:t xml:space="preserve"> IRB.</w:t>
      </w:r>
    </w:p>
    <w:p w14:paraId="584EB7C2" w14:textId="77777777" w:rsidR="00CA6E26" w:rsidRPr="00522A2B" w:rsidRDefault="00CA6E26" w:rsidP="00560487">
      <w:pPr>
        <w:pStyle w:val="Heading2"/>
      </w:pPr>
      <w:bookmarkStart w:id="20" w:name="_Toc88277960"/>
      <w:bookmarkStart w:id="21" w:name="_Toc131564355"/>
      <w:r w:rsidRPr="00522A2B">
        <w:t>11.</w:t>
      </w:r>
      <w:r w:rsidRPr="00522A2B">
        <w:tab/>
      </w:r>
      <w:r w:rsidRPr="00560487">
        <w:rPr>
          <w:u w:val="single"/>
        </w:rPr>
        <w:t xml:space="preserve">Questions of a Sensitive </w:t>
      </w:r>
      <w:bookmarkEnd w:id="20"/>
      <w:r w:rsidRPr="00560487">
        <w:rPr>
          <w:u w:val="single"/>
        </w:rPr>
        <w:t>Nature</w:t>
      </w:r>
      <w:bookmarkEnd w:id="21"/>
    </w:p>
    <w:p w14:paraId="7F8A8092" w14:textId="04750D85" w:rsidR="00F07288" w:rsidRDefault="00F07288" w:rsidP="00101CEC">
      <w:pPr>
        <w:pStyle w:val="BodyText"/>
      </w:pPr>
      <w:r>
        <w:t xml:space="preserve">The information reported by respondents </w:t>
      </w:r>
      <w:r w:rsidR="00B74B21">
        <w:t xml:space="preserve">through </w:t>
      </w:r>
      <w:r w:rsidR="00920A95">
        <w:t>t</w:t>
      </w:r>
      <w:r w:rsidR="00F85F88">
        <w:t>h</w:t>
      </w:r>
      <w:r w:rsidR="00B74B21">
        <w:t>e</w:t>
      </w:r>
      <w:r>
        <w:t xml:space="preserve"> </w:t>
      </w:r>
      <w:r w:rsidR="00832E37">
        <w:rPr>
          <w:i/>
          <w:iCs/>
        </w:rPr>
        <w:t xml:space="preserve">Implementation, Sustainability, </w:t>
      </w:r>
      <w:r w:rsidR="00832E37" w:rsidRPr="00A95FA1">
        <w:rPr>
          <w:iCs/>
        </w:rPr>
        <w:t>and</w:t>
      </w:r>
      <w:r w:rsidR="00832E37">
        <w:rPr>
          <w:i/>
          <w:iCs/>
        </w:rPr>
        <w:t xml:space="preserve"> Stakeholder Interview Guides</w:t>
      </w:r>
      <w:r w:rsidR="00101CEC" w:rsidRPr="007925A7">
        <w:rPr>
          <w:sz w:val="23"/>
          <w:szCs w:val="23"/>
        </w:rPr>
        <w:t xml:space="preserve">, </w:t>
      </w:r>
      <w:r w:rsidR="009B66F3" w:rsidRPr="00FD26E2">
        <w:rPr>
          <w:i/>
          <w:iCs/>
          <w:sz w:val="23"/>
          <w:szCs w:val="23"/>
        </w:rPr>
        <w:t>Provider Survey</w:t>
      </w:r>
      <w:r w:rsidR="006F53B0">
        <w:rPr>
          <w:i/>
          <w:iCs/>
          <w:sz w:val="23"/>
          <w:szCs w:val="23"/>
        </w:rPr>
        <w:t>,</w:t>
      </w:r>
      <w:r w:rsidR="00101CEC" w:rsidRPr="007925A7">
        <w:rPr>
          <w:iCs/>
          <w:sz w:val="23"/>
          <w:szCs w:val="23"/>
        </w:rPr>
        <w:t xml:space="preserve"> </w:t>
      </w:r>
      <w:r w:rsidR="00101CEC" w:rsidRPr="007925A7">
        <w:rPr>
          <w:sz w:val="23"/>
          <w:szCs w:val="23"/>
        </w:rPr>
        <w:t xml:space="preserve">and </w:t>
      </w:r>
      <w:r w:rsidR="00F67EC5" w:rsidRPr="00F67EC5">
        <w:rPr>
          <w:i/>
          <w:iCs/>
          <w:sz w:val="23"/>
          <w:szCs w:val="23"/>
        </w:rPr>
        <w:t>Focus Group G</w:t>
      </w:r>
      <w:r w:rsidR="003E49DF">
        <w:rPr>
          <w:i/>
          <w:iCs/>
          <w:sz w:val="23"/>
          <w:szCs w:val="23"/>
        </w:rPr>
        <w:t>uide</w:t>
      </w:r>
      <w:r w:rsidRPr="007925A7">
        <w:rPr>
          <w:iCs/>
        </w:rPr>
        <w:t xml:space="preserve"> </w:t>
      </w:r>
      <w:r w:rsidRPr="007925A7">
        <w:t xml:space="preserve">is not sensitive personal information as </w:t>
      </w:r>
      <w:r w:rsidR="007925A7">
        <w:t>these</w:t>
      </w:r>
      <w:r w:rsidR="00B74B21" w:rsidRPr="007925A7">
        <w:t xml:space="preserve"> instruments</w:t>
      </w:r>
      <w:r w:rsidRPr="007925A7">
        <w:t xml:space="preserve"> focus only on programmatic details of the grantee’s program or the providers</w:t>
      </w:r>
      <w:r w:rsidR="00920A95" w:rsidRPr="007925A7">
        <w:t>’</w:t>
      </w:r>
      <w:r w:rsidRPr="007925A7">
        <w:t xml:space="preserve"> experience implementin</w:t>
      </w:r>
      <w:r>
        <w:t>g these programs.</w:t>
      </w:r>
      <w:r w:rsidR="00B74B21">
        <w:t xml:space="preserve"> At the start of each interview</w:t>
      </w:r>
      <w:r w:rsidR="007925A7">
        <w:t xml:space="preserve"> and focus group</w:t>
      </w:r>
      <w:r w:rsidR="00B74B21">
        <w:t xml:space="preserve"> and </w:t>
      </w:r>
      <w:r w:rsidR="007925A7">
        <w:t xml:space="preserve">at </w:t>
      </w:r>
      <w:r w:rsidR="00B74B21">
        <w:t xml:space="preserve">the beginning of the web survey, respondents will be </w:t>
      </w:r>
      <w:r w:rsidR="00883D52">
        <w:t xml:space="preserve">provided full information on </w:t>
      </w:r>
      <w:r w:rsidR="00883D52">
        <w:lastRenderedPageBreak/>
        <w:t xml:space="preserve">how their response will be used for the evaluation and </w:t>
      </w:r>
      <w:r w:rsidR="00920A95">
        <w:t xml:space="preserve">told </w:t>
      </w:r>
      <w:r w:rsidR="00883D52">
        <w:t xml:space="preserve">that their participation is voluntary. Further, respondents will be informed how their responses will be kept </w:t>
      </w:r>
      <w:r w:rsidR="00101CEC">
        <w:t>private</w:t>
      </w:r>
      <w:r w:rsidR="00883D52">
        <w:t>.</w:t>
      </w:r>
      <w:r w:rsidR="00207E4C">
        <w:t xml:space="preserve"> </w:t>
      </w:r>
    </w:p>
    <w:p w14:paraId="08C26C10" w14:textId="19946669" w:rsidR="00F07288" w:rsidRPr="00271138" w:rsidRDefault="00883D52" w:rsidP="00C6538F">
      <w:pPr>
        <w:pStyle w:val="BodyText"/>
      </w:pPr>
      <w:r>
        <w:t xml:space="preserve">The </w:t>
      </w:r>
      <w:r w:rsidR="00832E37">
        <w:rPr>
          <w:i/>
          <w:iCs/>
        </w:rPr>
        <w:t xml:space="preserve">Implementation, Sustainability, </w:t>
      </w:r>
      <w:r w:rsidR="00832E37" w:rsidRPr="00A95FA1">
        <w:rPr>
          <w:iCs/>
        </w:rPr>
        <w:t>and</w:t>
      </w:r>
      <w:r w:rsidR="00832E37">
        <w:rPr>
          <w:i/>
          <w:iCs/>
        </w:rPr>
        <w:t xml:space="preserve"> Stakeholder Interview Guides</w:t>
      </w:r>
      <w:r w:rsidR="00101CEC" w:rsidRPr="007925A7">
        <w:rPr>
          <w:sz w:val="23"/>
          <w:szCs w:val="23"/>
        </w:rPr>
        <w:t xml:space="preserve">, </w:t>
      </w:r>
      <w:r w:rsidR="006F53B0" w:rsidRPr="00FD26E2">
        <w:rPr>
          <w:i/>
          <w:iCs/>
          <w:sz w:val="23"/>
          <w:szCs w:val="23"/>
        </w:rPr>
        <w:t>Provider Survey</w:t>
      </w:r>
      <w:r w:rsidR="006F53B0">
        <w:rPr>
          <w:i/>
          <w:iCs/>
          <w:sz w:val="23"/>
          <w:szCs w:val="23"/>
        </w:rPr>
        <w:t>,</w:t>
      </w:r>
      <w:r w:rsidR="00101CEC" w:rsidRPr="007925A7">
        <w:rPr>
          <w:iCs/>
          <w:sz w:val="23"/>
          <w:szCs w:val="23"/>
        </w:rPr>
        <w:t xml:space="preserve"> </w:t>
      </w:r>
      <w:r w:rsidR="00101CEC" w:rsidRPr="007925A7">
        <w:rPr>
          <w:sz w:val="23"/>
          <w:szCs w:val="23"/>
        </w:rPr>
        <w:t xml:space="preserve">and </w:t>
      </w:r>
      <w:r w:rsidR="00F67EC5" w:rsidRPr="00F67EC5">
        <w:rPr>
          <w:i/>
          <w:iCs/>
          <w:sz w:val="23"/>
          <w:szCs w:val="23"/>
        </w:rPr>
        <w:t>Focus Group G</w:t>
      </w:r>
      <w:r w:rsidR="003E49DF">
        <w:rPr>
          <w:i/>
          <w:iCs/>
          <w:sz w:val="23"/>
          <w:szCs w:val="23"/>
        </w:rPr>
        <w:t>uide</w:t>
      </w:r>
      <w:r w:rsidR="00101CEC">
        <w:t xml:space="preserve"> </w:t>
      </w:r>
      <w:r w:rsidR="00F07288">
        <w:t xml:space="preserve">have </w:t>
      </w:r>
      <w:r w:rsidR="007925A7">
        <w:t xml:space="preserve">been </w:t>
      </w:r>
      <w:r w:rsidR="00101CEC">
        <w:t xml:space="preserve">deemed non-human subjects research by the </w:t>
      </w:r>
      <w:r w:rsidR="007925A7">
        <w:t>RTI’s</w:t>
      </w:r>
      <w:r w:rsidR="00F07288">
        <w:t xml:space="preserve"> IRB (</w:t>
      </w:r>
      <w:r w:rsidR="00F07288" w:rsidRPr="00787E61">
        <w:t>FWA #</w:t>
      </w:r>
      <w:r w:rsidR="00F07288">
        <w:t>3331)</w:t>
      </w:r>
      <w:r w:rsidR="00101CEC">
        <w:t xml:space="preserve"> as the data collected is de-identified and does not ask questions about the respondent’s history or behaviors. </w:t>
      </w:r>
    </w:p>
    <w:p w14:paraId="50B21DED" w14:textId="18D62E61" w:rsidR="00CA6E26" w:rsidRPr="0038438D" w:rsidRDefault="00CA6E26" w:rsidP="00560487">
      <w:pPr>
        <w:pStyle w:val="Heading2"/>
      </w:pPr>
      <w:r w:rsidRPr="0038438D">
        <w:t>12.</w:t>
      </w:r>
      <w:r w:rsidRPr="0038438D">
        <w:tab/>
      </w:r>
      <w:r w:rsidRPr="00560487">
        <w:rPr>
          <w:u w:val="single"/>
        </w:rPr>
        <w:t xml:space="preserve">Estimates of </w:t>
      </w:r>
      <w:r w:rsidR="00F6634F" w:rsidRPr="00560487">
        <w:rPr>
          <w:u w:val="single"/>
        </w:rPr>
        <w:t xml:space="preserve">Total </w:t>
      </w:r>
      <w:r w:rsidRPr="00560487">
        <w:rPr>
          <w:u w:val="single"/>
        </w:rPr>
        <w:t>Hour Burden</w:t>
      </w:r>
    </w:p>
    <w:p w14:paraId="4881852F" w14:textId="7EFFF266" w:rsidR="007E4693" w:rsidRPr="007925A7" w:rsidRDefault="00F6634F" w:rsidP="00A266EA">
      <w:pPr>
        <w:pStyle w:val="BodyText"/>
      </w:pPr>
      <w:r w:rsidRPr="00C47473">
        <w:rPr>
          <w:b/>
          <w:bCs/>
          <w:i/>
        </w:rPr>
        <w:t xml:space="preserve">Exhibit </w:t>
      </w:r>
      <w:r w:rsidR="00C6538F">
        <w:rPr>
          <w:b/>
          <w:bCs/>
          <w:i/>
        </w:rPr>
        <w:t>8</w:t>
      </w:r>
      <w:r>
        <w:t xml:space="preserve"> shows the </w:t>
      </w:r>
      <w:r w:rsidR="00111FA3">
        <w:t xml:space="preserve">estimated annualized </w:t>
      </w:r>
      <w:r>
        <w:t xml:space="preserve">total hour burden for the </w:t>
      </w:r>
      <w:r w:rsidR="00832E37">
        <w:rPr>
          <w:i/>
          <w:iCs/>
        </w:rPr>
        <w:t xml:space="preserve">Implementation, Sustainability, </w:t>
      </w:r>
      <w:r w:rsidR="00832E37" w:rsidRPr="00A95FA1">
        <w:rPr>
          <w:iCs/>
        </w:rPr>
        <w:t>and</w:t>
      </w:r>
      <w:r w:rsidR="00832E37">
        <w:rPr>
          <w:i/>
          <w:iCs/>
        </w:rPr>
        <w:t xml:space="preserve"> Stakeholder Interview Guides</w:t>
      </w:r>
      <w:r w:rsidR="00C6538F" w:rsidRPr="007925A7">
        <w:rPr>
          <w:sz w:val="23"/>
          <w:szCs w:val="23"/>
        </w:rPr>
        <w:t xml:space="preserve">, </w:t>
      </w:r>
      <w:r w:rsidR="006F53B0" w:rsidRPr="00FD26E2">
        <w:rPr>
          <w:i/>
          <w:iCs/>
          <w:sz w:val="23"/>
          <w:szCs w:val="23"/>
        </w:rPr>
        <w:t>Provider Survey</w:t>
      </w:r>
      <w:r w:rsidR="006F53B0">
        <w:rPr>
          <w:i/>
          <w:iCs/>
          <w:sz w:val="23"/>
          <w:szCs w:val="23"/>
        </w:rPr>
        <w:t>,</w:t>
      </w:r>
      <w:r w:rsidR="00C6538F" w:rsidRPr="007925A7">
        <w:rPr>
          <w:iCs/>
          <w:sz w:val="23"/>
          <w:szCs w:val="23"/>
        </w:rPr>
        <w:t xml:space="preserve"> </w:t>
      </w:r>
      <w:r w:rsidR="00C6538F" w:rsidRPr="007925A7">
        <w:rPr>
          <w:sz w:val="23"/>
          <w:szCs w:val="23"/>
        </w:rPr>
        <w:t xml:space="preserve">and </w:t>
      </w:r>
      <w:r w:rsidR="00F67EC5" w:rsidRPr="00F67EC5">
        <w:rPr>
          <w:i/>
          <w:iCs/>
          <w:sz w:val="23"/>
          <w:szCs w:val="23"/>
        </w:rPr>
        <w:t>Focus Group G</w:t>
      </w:r>
      <w:r w:rsidR="003E49DF">
        <w:rPr>
          <w:i/>
          <w:iCs/>
          <w:sz w:val="23"/>
          <w:szCs w:val="23"/>
        </w:rPr>
        <w:t>uide</w:t>
      </w:r>
      <w:r w:rsidR="00C6538F" w:rsidRPr="007925A7">
        <w:t xml:space="preserve"> </w:t>
      </w:r>
      <w:r w:rsidR="007E4693">
        <w:t>summed across the SYT-ED, SYT-I, and SYT-P grantee cohorts</w:t>
      </w:r>
      <w:r>
        <w:t>.</w:t>
      </w:r>
      <w:r w:rsidR="007E4693">
        <w:t xml:space="preserve"> </w:t>
      </w:r>
      <w:r w:rsidR="00981F17" w:rsidRPr="007925A7">
        <w:t xml:space="preserve">The </w:t>
      </w:r>
      <w:r w:rsidR="006F53B0" w:rsidRPr="00FD26E2">
        <w:rPr>
          <w:i/>
          <w:iCs/>
          <w:sz w:val="23"/>
          <w:szCs w:val="23"/>
        </w:rPr>
        <w:t>Provider Survey</w:t>
      </w:r>
      <w:r w:rsidR="00981F17" w:rsidRPr="007925A7">
        <w:t xml:space="preserve"> is estimated to take 1 hour for respondents to complete including time to review the survey’s introduction and information on respondent rights and all directions. The </w:t>
      </w:r>
      <w:r w:rsidR="00832E37">
        <w:rPr>
          <w:i/>
          <w:iCs/>
        </w:rPr>
        <w:t xml:space="preserve">Implementation, Sustainability, </w:t>
      </w:r>
      <w:r w:rsidR="00832E37" w:rsidRPr="00A95FA1">
        <w:rPr>
          <w:iCs/>
        </w:rPr>
        <w:t>and</w:t>
      </w:r>
      <w:r w:rsidR="00832E37">
        <w:rPr>
          <w:i/>
          <w:iCs/>
        </w:rPr>
        <w:t xml:space="preserve"> Stakeholder Interview Guides</w:t>
      </w:r>
      <w:r w:rsidR="00981F17" w:rsidRPr="007925A7">
        <w:t xml:space="preserve"> are expected to take no more than 1 hour and grantee</w:t>
      </w:r>
      <w:r w:rsidR="007925A7">
        <w:t>,</w:t>
      </w:r>
      <w:r w:rsidR="00981F17" w:rsidRPr="007925A7">
        <w:t xml:space="preserve"> provider</w:t>
      </w:r>
      <w:r w:rsidR="007925A7">
        <w:t>,</w:t>
      </w:r>
      <w:r w:rsidR="00981F17" w:rsidRPr="007925A7">
        <w:t xml:space="preserve"> and stakeholder organization representatives will participate in the interviews.</w:t>
      </w:r>
      <w:r w:rsidR="00C6538F" w:rsidRPr="007925A7">
        <w:t xml:space="preserve"> As described above, five sites will </w:t>
      </w:r>
      <w:r w:rsidR="006C131B" w:rsidRPr="007925A7">
        <w:t>complete some</w:t>
      </w:r>
      <w:r w:rsidR="00905FCA" w:rsidRPr="007925A7">
        <w:t xml:space="preserve"> </w:t>
      </w:r>
      <w:r w:rsidR="00832E37">
        <w:rPr>
          <w:i/>
          <w:iCs/>
        </w:rPr>
        <w:t xml:space="preserve">Implementation, Sustainability, </w:t>
      </w:r>
      <w:r w:rsidR="00832E37" w:rsidRPr="00A95FA1">
        <w:rPr>
          <w:iCs/>
        </w:rPr>
        <w:t>and</w:t>
      </w:r>
      <w:r w:rsidR="00832E37">
        <w:rPr>
          <w:i/>
          <w:iCs/>
        </w:rPr>
        <w:t xml:space="preserve"> Stakeholder Interview Guides</w:t>
      </w:r>
      <w:r w:rsidR="00C6538F" w:rsidRPr="007925A7">
        <w:rPr>
          <w:sz w:val="23"/>
          <w:szCs w:val="23"/>
        </w:rPr>
        <w:t xml:space="preserve"> and </w:t>
      </w:r>
      <w:r w:rsidR="00F67EC5" w:rsidRPr="00F67EC5">
        <w:rPr>
          <w:i/>
          <w:iCs/>
          <w:sz w:val="23"/>
          <w:szCs w:val="23"/>
        </w:rPr>
        <w:t>Focus Group G</w:t>
      </w:r>
      <w:r w:rsidR="003E49DF">
        <w:rPr>
          <w:i/>
          <w:iCs/>
          <w:sz w:val="23"/>
          <w:szCs w:val="23"/>
        </w:rPr>
        <w:t>uide</w:t>
      </w:r>
      <w:r w:rsidR="00C6538F" w:rsidRPr="007925A7">
        <w:t xml:space="preserve"> </w:t>
      </w:r>
      <w:r w:rsidR="005514C5">
        <w:t xml:space="preserve">in </w:t>
      </w:r>
      <w:r w:rsidR="00D061E2" w:rsidRPr="007925A7">
        <w:t>person</w:t>
      </w:r>
      <w:r w:rsidR="00905FCA" w:rsidRPr="007925A7">
        <w:t xml:space="preserve"> while the remaining interviews and focus groups will be done over the phone. Burden is expected to be the same for interview</w:t>
      </w:r>
      <w:r w:rsidR="005514C5">
        <w:t xml:space="preserve">s and focus groups conducted in </w:t>
      </w:r>
      <w:r w:rsidR="00905FCA" w:rsidRPr="007925A7">
        <w:t xml:space="preserve">person or done </w:t>
      </w:r>
      <w:r w:rsidR="007925A7">
        <w:t>via telephone</w:t>
      </w:r>
      <w:r w:rsidR="00905FCA" w:rsidRPr="007925A7">
        <w:t>.</w:t>
      </w:r>
      <w:r w:rsidR="00C6538F" w:rsidRPr="007925A7">
        <w:t xml:space="preserve"> </w:t>
      </w:r>
      <w:r w:rsidR="00EB7FAD">
        <w:t>Estimated annualized t</w:t>
      </w:r>
      <w:r w:rsidR="00400B29" w:rsidRPr="007925A7">
        <w:t xml:space="preserve">otal burden is estimated at </w:t>
      </w:r>
      <w:r w:rsidR="00EB7FAD">
        <w:t>767</w:t>
      </w:r>
      <w:r w:rsidR="00400B29" w:rsidRPr="007925A7">
        <w:t xml:space="preserve"> hours with a</w:t>
      </w:r>
      <w:r w:rsidR="00EB7FAD">
        <w:t>n estimated annual</w:t>
      </w:r>
      <w:r w:rsidR="00400B29" w:rsidRPr="007925A7">
        <w:t xml:space="preserve"> </w:t>
      </w:r>
      <w:r w:rsidR="00EB7FAD">
        <w:t xml:space="preserve">total </w:t>
      </w:r>
      <w:r w:rsidR="00400B29" w:rsidRPr="007925A7">
        <w:t xml:space="preserve">cost of </w:t>
      </w:r>
      <w:r w:rsidR="00601884" w:rsidRPr="007925A7">
        <w:t>$</w:t>
      </w:r>
      <w:r w:rsidR="00EB7FAD">
        <w:t>35,136.27</w:t>
      </w:r>
      <w:r w:rsidR="00400B29" w:rsidRPr="007925A7">
        <w:t xml:space="preserve">. </w:t>
      </w:r>
      <w:r w:rsidR="007E4693" w:rsidRPr="007925A7">
        <w:t>Burden hours are</w:t>
      </w:r>
      <w:r w:rsidR="00A266EA">
        <w:t xml:space="preserve"> also</w:t>
      </w:r>
      <w:r w:rsidR="007E4693" w:rsidRPr="007925A7">
        <w:t xml:space="preserve"> calculated for each </w:t>
      </w:r>
      <w:r w:rsidR="00A266EA">
        <w:t xml:space="preserve">instrument </w:t>
      </w:r>
      <w:r w:rsidR="007E4693" w:rsidRPr="007925A7">
        <w:t>below</w:t>
      </w:r>
      <w:r w:rsidR="006A0D67">
        <w:t xml:space="preserve"> in Exhibit 9</w:t>
      </w:r>
      <w:r w:rsidR="007E4693" w:rsidRPr="007925A7">
        <w:t>.</w:t>
      </w:r>
    </w:p>
    <w:p w14:paraId="585C6AA4" w14:textId="7AA83A77" w:rsidR="00E4203B" w:rsidRDefault="00E4203B" w:rsidP="0020528C">
      <w:pPr>
        <w:pStyle w:val="Exhibittitle"/>
      </w:pPr>
      <w:r w:rsidRPr="004E2554">
        <w:t xml:space="preserve">Exhibit </w:t>
      </w:r>
      <w:r w:rsidR="001447DF">
        <w:t>8</w:t>
      </w:r>
      <w:r w:rsidRPr="004E2554">
        <w:t xml:space="preserve">. </w:t>
      </w:r>
      <w:r>
        <w:tab/>
      </w:r>
      <w:r w:rsidR="003854C7">
        <w:t>Estimated Annualized</w:t>
      </w:r>
      <w:r w:rsidR="0020528C">
        <w:t xml:space="preserve"> Total</w:t>
      </w:r>
      <w:r w:rsidRPr="004E2554">
        <w:t xml:space="preserve"> Burden </w:t>
      </w:r>
      <w:r w:rsidR="0020528C">
        <w:t>by Cohort</w:t>
      </w:r>
    </w:p>
    <w:tbl>
      <w:tblPr>
        <w:tblW w:w="9607" w:type="dxa"/>
        <w:tblLayout w:type="fixed"/>
        <w:tblLook w:val="04A0" w:firstRow="1" w:lastRow="0" w:firstColumn="1" w:lastColumn="0" w:noHBand="0" w:noVBand="1"/>
      </w:tblPr>
      <w:tblGrid>
        <w:gridCol w:w="1327"/>
        <w:gridCol w:w="1350"/>
        <w:gridCol w:w="1350"/>
        <w:gridCol w:w="1170"/>
        <w:gridCol w:w="1170"/>
        <w:gridCol w:w="900"/>
        <w:gridCol w:w="1080"/>
        <w:gridCol w:w="1260"/>
      </w:tblGrid>
      <w:tr w:rsidR="008C463A" w:rsidRPr="00E4203B" w14:paraId="34F59A4A" w14:textId="77777777" w:rsidTr="0045414F">
        <w:trPr>
          <w:trHeight w:val="741"/>
        </w:trPr>
        <w:tc>
          <w:tcPr>
            <w:tcW w:w="1327" w:type="dxa"/>
            <w:tcBorders>
              <w:top w:val="double" w:sz="6" w:space="0" w:color="auto"/>
              <w:left w:val="double" w:sz="6" w:space="0" w:color="auto"/>
              <w:bottom w:val="single" w:sz="8" w:space="0" w:color="auto"/>
              <w:right w:val="single" w:sz="8" w:space="0" w:color="auto"/>
            </w:tcBorders>
            <w:shd w:val="clear" w:color="auto" w:fill="auto"/>
            <w:vAlign w:val="center"/>
            <w:hideMark/>
          </w:tcPr>
          <w:p w14:paraId="08D803C2" w14:textId="01824DD0" w:rsidR="008C463A" w:rsidRPr="00E4203B" w:rsidRDefault="003854C7" w:rsidP="003854C7">
            <w:pPr>
              <w:rPr>
                <w:b/>
                <w:bCs/>
                <w:color w:val="000000"/>
                <w:sz w:val="20"/>
                <w:szCs w:val="20"/>
              </w:rPr>
            </w:pPr>
            <w:r>
              <w:rPr>
                <w:b/>
                <w:bCs/>
                <w:color w:val="000000"/>
                <w:sz w:val="20"/>
                <w:szCs w:val="20"/>
              </w:rPr>
              <w:t>Grantee Cohort</w:t>
            </w:r>
          </w:p>
        </w:tc>
        <w:tc>
          <w:tcPr>
            <w:tcW w:w="1350" w:type="dxa"/>
            <w:tcBorders>
              <w:top w:val="double" w:sz="6" w:space="0" w:color="auto"/>
              <w:left w:val="nil"/>
              <w:bottom w:val="single" w:sz="8" w:space="0" w:color="auto"/>
              <w:right w:val="single" w:sz="8" w:space="0" w:color="auto"/>
            </w:tcBorders>
            <w:shd w:val="clear" w:color="auto" w:fill="auto"/>
            <w:vAlign w:val="center"/>
            <w:hideMark/>
          </w:tcPr>
          <w:p w14:paraId="6214E4F8" w14:textId="77777777" w:rsidR="008C463A" w:rsidRPr="00E4203B" w:rsidRDefault="008C463A" w:rsidP="00A95FA1">
            <w:pPr>
              <w:jc w:val="center"/>
              <w:rPr>
                <w:b/>
                <w:bCs/>
                <w:color w:val="000000"/>
                <w:sz w:val="20"/>
                <w:szCs w:val="20"/>
              </w:rPr>
            </w:pPr>
            <w:r w:rsidRPr="00E4203B">
              <w:rPr>
                <w:b/>
                <w:bCs/>
                <w:color w:val="000000"/>
                <w:sz w:val="20"/>
                <w:szCs w:val="20"/>
              </w:rPr>
              <w:t>Number of Respondents</w:t>
            </w:r>
          </w:p>
        </w:tc>
        <w:tc>
          <w:tcPr>
            <w:tcW w:w="1350" w:type="dxa"/>
            <w:tcBorders>
              <w:top w:val="double" w:sz="6" w:space="0" w:color="auto"/>
              <w:left w:val="nil"/>
              <w:bottom w:val="single" w:sz="8" w:space="0" w:color="auto"/>
              <w:right w:val="single" w:sz="8" w:space="0" w:color="auto"/>
            </w:tcBorders>
            <w:shd w:val="clear" w:color="auto" w:fill="auto"/>
            <w:vAlign w:val="center"/>
            <w:hideMark/>
          </w:tcPr>
          <w:p w14:paraId="56A0E079" w14:textId="77777777" w:rsidR="008C463A" w:rsidRPr="00E4203B" w:rsidRDefault="008C463A" w:rsidP="00A95FA1">
            <w:pPr>
              <w:jc w:val="center"/>
              <w:rPr>
                <w:b/>
                <w:bCs/>
                <w:color w:val="000000"/>
                <w:sz w:val="20"/>
                <w:szCs w:val="20"/>
              </w:rPr>
            </w:pPr>
            <w:r w:rsidRPr="00E4203B">
              <w:rPr>
                <w:b/>
                <w:bCs/>
                <w:color w:val="000000"/>
                <w:sz w:val="20"/>
                <w:szCs w:val="20"/>
              </w:rPr>
              <w:t>Responses per Respondent</w:t>
            </w:r>
          </w:p>
        </w:tc>
        <w:tc>
          <w:tcPr>
            <w:tcW w:w="1170" w:type="dxa"/>
            <w:tcBorders>
              <w:top w:val="double" w:sz="6" w:space="0" w:color="auto"/>
              <w:left w:val="nil"/>
              <w:bottom w:val="single" w:sz="8" w:space="0" w:color="auto"/>
              <w:right w:val="single" w:sz="8" w:space="0" w:color="auto"/>
            </w:tcBorders>
            <w:shd w:val="clear" w:color="auto" w:fill="auto"/>
            <w:vAlign w:val="center"/>
            <w:hideMark/>
          </w:tcPr>
          <w:p w14:paraId="74D06EC0" w14:textId="77777777" w:rsidR="008C463A" w:rsidRPr="00E4203B" w:rsidRDefault="008C463A" w:rsidP="00A95FA1">
            <w:pPr>
              <w:jc w:val="center"/>
              <w:rPr>
                <w:b/>
                <w:bCs/>
                <w:color w:val="000000"/>
                <w:sz w:val="20"/>
                <w:szCs w:val="20"/>
              </w:rPr>
            </w:pPr>
            <w:r w:rsidRPr="00E4203B">
              <w:rPr>
                <w:b/>
                <w:bCs/>
                <w:color w:val="000000"/>
                <w:sz w:val="20"/>
                <w:szCs w:val="20"/>
              </w:rPr>
              <w:t>Total Number of Responses</w:t>
            </w:r>
          </w:p>
        </w:tc>
        <w:tc>
          <w:tcPr>
            <w:tcW w:w="1170" w:type="dxa"/>
            <w:tcBorders>
              <w:top w:val="double" w:sz="6" w:space="0" w:color="auto"/>
              <w:left w:val="nil"/>
              <w:bottom w:val="single" w:sz="8" w:space="0" w:color="auto"/>
              <w:right w:val="single" w:sz="8" w:space="0" w:color="auto"/>
            </w:tcBorders>
            <w:shd w:val="clear" w:color="auto" w:fill="auto"/>
            <w:vAlign w:val="center"/>
            <w:hideMark/>
          </w:tcPr>
          <w:p w14:paraId="7B35B20F" w14:textId="22AF56BF" w:rsidR="008C463A" w:rsidRPr="00E4203B" w:rsidRDefault="008C463A" w:rsidP="00A95FA1">
            <w:pPr>
              <w:jc w:val="center"/>
              <w:rPr>
                <w:b/>
                <w:bCs/>
                <w:color w:val="000000"/>
                <w:sz w:val="20"/>
                <w:szCs w:val="20"/>
              </w:rPr>
            </w:pPr>
            <w:r w:rsidRPr="00E4203B">
              <w:rPr>
                <w:b/>
                <w:bCs/>
                <w:color w:val="000000"/>
                <w:sz w:val="20"/>
                <w:szCs w:val="20"/>
              </w:rPr>
              <w:t>Hours per Response</w:t>
            </w:r>
            <w:r w:rsidR="002E7091">
              <w:rPr>
                <w:b/>
                <w:bCs/>
                <w:color w:val="000000"/>
                <w:sz w:val="20"/>
                <w:szCs w:val="20"/>
                <w:vertAlign w:val="superscript"/>
              </w:rPr>
              <w:t>a</w:t>
            </w:r>
          </w:p>
        </w:tc>
        <w:tc>
          <w:tcPr>
            <w:tcW w:w="900" w:type="dxa"/>
            <w:tcBorders>
              <w:top w:val="double" w:sz="6" w:space="0" w:color="auto"/>
              <w:left w:val="nil"/>
              <w:bottom w:val="single" w:sz="8" w:space="0" w:color="auto"/>
              <w:right w:val="single" w:sz="8" w:space="0" w:color="auto"/>
            </w:tcBorders>
            <w:shd w:val="clear" w:color="auto" w:fill="auto"/>
            <w:vAlign w:val="center"/>
            <w:hideMark/>
          </w:tcPr>
          <w:p w14:paraId="55FCE275" w14:textId="77777777" w:rsidR="008C463A" w:rsidRPr="00E4203B" w:rsidRDefault="008C463A" w:rsidP="00A95FA1">
            <w:pPr>
              <w:jc w:val="center"/>
              <w:rPr>
                <w:b/>
                <w:bCs/>
                <w:color w:val="000000"/>
                <w:sz w:val="20"/>
                <w:szCs w:val="20"/>
              </w:rPr>
            </w:pPr>
            <w:r w:rsidRPr="00E4203B">
              <w:rPr>
                <w:b/>
                <w:bCs/>
                <w:color w:val="000000"/>
                <w:sz w:val="20"/>
                <w:szCs w:val="20"/>
              </w:rPr>
              <w:t>Total Burden Hours</w:t>
            </w:r>
          </w:p>
        </w:tc>
        <w:tc>
          <w:tcPr>
            <w:tcW w:w="1080" w:type="dxa"/>
            <w:tcBorders>
              <w:top w:val="double" w:sz="6" w:space="0" w:color="auto"/>
              <w:left w:val="nil"/>
              <w:bottom w:val="single" w:sz="8" w:space="0" w:color="auto"/>
              <w:right w:val="single" w:sz="8" w:space="0" w:color="auto"/>
            </w:tcBorders>
            <w:shd w:val="clear" w:color="auto" w:fill="auto"/>
            <w:vAlign w:val="center"/>
            <w:hideMark/>
          </w:tcPr>
          <w:p w14:paraId="618889D4" w14:textId="741DA49A" w:rsidR="008C463A" w:rsidRPr="00E4203B" w:rsidRDefault="008C463A" w:rsidP="002E7091">
            <w:pPr>
              <w:jc w:val="center"/>
              <w:rPr>
                <w:b/>
                <w:bCs/>
                <w:color w:val="000000"/>
                <w:sz w:val="20"/>
                <w:szCs w:val="20"/>
                <w:vertAlign w:val="superscript"/>
              </w:rPr>
            </w:pPr>
            <w:r w:rsidRPr="00E4203B">
              <w:rPr>
                <w:b/>
                <w:bCs/>
                <w:color w:val="000000"/>
                <w:sz w:val="20"/>
                <w:szCs w:val="20"/>
              </w:rPr>
              <w:t>Average Hourly Wage</w:t>
            </w:r>
            <w:r w:rsidR="002E7091">
              <w:rPr>
                <w:b/>
                <w:bCs/>
                <w:color w:val="000000"/>
                <w:sz w:val="20"/>
                <w:szCs w:val="20"/>
                <w:vertAlign w:val="superscript"/>
              </w:rPr>
              <w:t>b</w:t>
            </w:r>
          </w:p>
        </w:tc>
        <w:tc>
          <w:tcPr>
            <w:tcW w:w="1260" w:type="dxa"/>
            <w:tcBorders>
              <w:top w:val="double" w:sz="6" w:space="0" w:color="auto"/>
              <w:left w:val="nil"/>
              <w:bottom w:val="single" w:sz="8" w:space="0" w:color="auto"/>
              <w:right w:val="double" w:sz="6" w:space="0" w:color="auto"/>
            </w:tcBorders>
            <w:shd w:val="clear" w:color="auto" w:fill="auto"/>
            <w:vAlign w:val="center"/>
            <w:hideMark/>
          </w:tcPr>
          <w:p w14:paraId="4E1C765D" w14:textId="39A540F7" w:rsidR="008C463A" w:rsidRPr="00E4203B" w:rsidRDefault="008C463A" w:rsidP="002E7091">
            <w:pPr>
              <w:jc w:val="center"/>
              <w:rPr>
                <w:b/>
                <w:bCs/>
                <w:color w:val="000000"/>
                <w:sz w:val="20"/>
                <w:szCs w:val="20"/>
                <w:vertAlign w:val="superscript"/>
              </w:rPr>
            </w:pPr>
            <w:r w:rsidRPr="00E4203B">
              <w:rPr>
                <w:b/>
                <w:bCs/>
                <w:color w:val="000000"/>
                <w:sz w:val="20"/>
                <w:szCs w:val="20"/>
              </w:rPr>
              <w:t>Total Respondent Cost</w:t>
            </w:r>
            <w:r w:rsidR="002E7091">
              <w:rPr>
                <w:b/>
                <w:bCs/>
                <w:color w:val="000000"/>
                <w:sz w:val="20"/>
                <w:szCs w:val="20"/>
                <w:vertAlign w:val="superscript"/>
              </w:rPr>
              <w:t>c</w:t>
            </w:r>
          </w:p>
        </w:tc>
      </w:tr>
      <w:tr w:rsidR="001D7016" w:rsidRPr="00E4203B" w14:paraId="02A9C0EC" w14:textId="77777777" w:rsidTr="00CE40E6">
        <w:trPr>
          <w:trHeight w:val="1678"/>
        </w:trPr>
        <w:tc>
          <w:tcPr>
            <w:tcW w:w="1327" w:type="dxa"/>
            <w:tcBorders>
              <w:top w:val="nil"/>
              <w:left w:val="double" w:sz="6" w:space="0" w:color="auto"/>
              <w:bottom w:val="single" w:sz="8" w:space="0" w:color="auto"/>
              <w:right w:val="single" w:sz="8" w:space="0" w:color="auto"/>
            </w:tcBorders>
            <w:shd w:val="clear" w:color="auto" w:fill="auto"/>
            <w:vAlign w:val="center"/>
            <w:hideMark/>
          </w:tcPr>
          <w:p w14:paraId="4D2CCDD1" w14:textId="77777777" w:rsidR="001D7016" w:rsidRPr="00E4203B" w:rsidRDefault="001D7016" w:rsidP="00A95FA1">
            <w:pPr>
              <w:rPr>
                <w:color w:val="000000"/>
                <w:sz w:val="20"/>
                <w:szCs w:val="20"/>
              </w:rPr>
            </w:pPr>
            <w:r w:rsidRPr="00E4203B">
              <w:rPr>
                <w:color w:val="000000"/>
                <w:sz w:val="20"/>
                <w:szCs w:val="20"/>
              </w:rPr>
              <w:t>SYT-ED grantees</w:t>
            </w:r>
            <w:r>
              <w:rPr>
                <w:sz w:val="20"/>
                <w:szCs w:val="20"/>
                <w:vertAlign w:val="superscript"/>
              </w:rPr>
              <w:t xml:space="preserve"> </w:t>
            </w:r>
          </w:p>
        </w:tc>
        <w:tc>
          <w:tcPr>
            <w:tcW w:w="1350" w:type="dxa"/>
            <w:tcBorders>
              <w:top w:val="nil"/>
              <w:left w:val="nil"/>
              <w:bottom w:val="single" w:sz="8" w:space="0" w:color="auto"/>
              <w:right w:val="single" w:sz="8" w:space="0" w:color="auto"/>
            </w:tcBorders>
            <w:shd w:val="clear" w:color="auto" w:fill="auto"/>
            <w:vAlign w:val="center"/>
            <w:hideMark/>
          </w:tcPr>
          <w:p w14:paraId="4AE0A8F6" w14:textId="0E59C4D9" w:rsidR="001D7016" w:rsidRPr="00E4203B" w:rsidRDefault="001D7016" w:rsidP="00A95FA1">
            <w:pPr>
              <w:jc w:val="center"/>
              <w:rPr>
                <w:color w:val="000000"/>
                <w:sz w:val="20"/>
                <w:szCs w:val="20"/>
              </w:rPr>
            </w:pPr>
            <w:r>
              <w:rPr>
                <w:color w:val="000000"/>
                <w:sz w:val="20"/>
                <w:szCs w:val="20"/>
              </w:rPr>
              <w:t>286</w:t>
            </w:r>
          </w:p>
        </w:tc>
        <w:tc>
          <w:tcPr>
            <w:tcW w:w="1350" w:type="dxa"/>
            <w:tcBorders>
              <w:top w:val="nil"/>
              <w:left w:val="nil"/>
              <w:bottom w:val="single" w:sz="8" w:space="0" w:color="auto"/>
              <w:right w:val="single" w:sz="8" w:space="0" w:color="auto"/>
            </w:tcBorders>
            <w:shd w:val="clear" w:color="auto" w:fill="auto"/>
            <w:vAlign w:val="center"/>
            <w:hideMark/>
          </w:tcPr>
          <w:p w14:paraId="27BEBDA2" w14:textId="2005C474" w:rsidR="001D7016" w:rsidRPr="00E4203B" w:rsidRDefault="001D7016" w:rsidP="00A95FA1">
            <w:pPr>
              <w:jc w:val="center"/>
              <w:rPr>
                <w:color w:val="000000"/>
                <w:sz w:val="20"/>
                <w:szCs w:val="20"/>
              </w:rPr>
            </w:pPr>
            <w:r>
              <w:rPr>
                <w:color w:val="000000"/>
                <w:sz w:val="20"/>
                <w:szCs w:val="20"/>
              </w:rPr>
              <w:t>1</w:t>
            </w:r>
          </w:p>
        </w:tc>
        <w:tc>
          <w:tcPr>
            <w:tcW w:w="1170" w:type="dxa"/>
            <w:tcBorders>
              <w:top w:val="nil"/>
              <w:left w:val="nil"/>
              <w:bottom w:val="single" w:sz="8" w:space="0" w:color="auto"/>
              <w:right w:val="single" w:sz="8" w:space="0" w:color="auto"/>
            </w:tcBorders>
            <w:shd w:val="clear" w:color="auto" w:fill="auto"/>
            <w:vAlign w:val="center"/>
            <w:hideMark/>
          </w:tcPr>
          <w:p w14:paraId="5B7DC8A4" w14:textId="50E492EA" w:rsidR="001D7016" w:rsidRPr="00E4203B" w:rsidRDefault="001D7016" w:rsidP="00A95FA1">
            <w:pPr>
              <w:jc w:val="center"/>
              <w:rPr>
                <w:color w:val="000000"/>
                <w:sz w:val="20"/>
                <w:szCs w:val="20"/>
              </w:rPr>
            </w:pPr>
            <w:r>
              <w:rPr>
                <w:color w:val="000000"/>
                <w:sz w:val="20"/>
                <w:szCs w:val="20"/>
              </w:rPr>
              <w:t>286</w:t>
            </w:r>
          </w:p>
        </w:tc>
        <w:tc>
          <w:tcPr>
            <w:tcW w:w="1170" w:type="dxa"/>
            <w:tcBorders>
              <w:top w:val="single" w:sz="8" w:space="0" w:color="auto"/>
              <w:left w:val="nil"/>
              <w:bottom w:val="single" w:sz="4" w:space="0" w:color="auto"/>
              <w:right w:val="single" w:sz="8" w:space="0" w:color="auto"/>
            </w:tcBorders>
            <w:shd w:val="clear" w:color="auto" w:fill="auto"/>
            <w:vAlign w:val="center"/>
            <w:hideMark/>
          </w:tcPr>
          <w:p w14:paraId="03871ECA" w14:textId="49FC55B8" w:rsidR="001D7016" w:rsidRPr="00E4203B" w:rsidRDefault="001D7016" w:rsidP="00A95FA1">
            <w:pPr>
              <w:jc w:val="center"/>
              <w:rPr>
                <w:color w:val="000000"/>
                <w:sz w:val="20"/>
                <w:szCs w:val="20"/>
              </w:rPr>
            </w:pPr>
            <w:r>
              <w:rPr>
                <w:color w:val="000000"/>
                <w:sz w:val="20"/>
                <w:szCs w:val="20"/>
              </w:rPr>
              <w:t>1</w:t>
            </w:r>
          </w:p>
        </w:tc>
        <w:tc>
          <w:tcPr>
            <w:tcW w:w="900" w:type="dxa"/>
            <w:tcBorders>
              <w:top w:val="nil"/>
              <w:left w:val="nil"/>
              <w:bottom w:val="single" w:sz="8" w:space="0" w:color="auto"/>
              <w:right w:val="single" w:sz="8" w:space="0" w:color="auto"/>
            </w:tcBorders>
            <w:shd w:val="clear" w:color="auto" w:fill="auto"/>
            <w:vAlign w:val="center"/>
            <w:hideMark/>
          </w:tcPr>
          <w:p w14:paraId="71B4CB60" w14:textId="45D50336" w:rsidR="001D7016" w:rsidRPr="00E4203B" w:rsidRDefault="001D7016" w:rsidP="00A95FA1">
            <w:pPr>
              <w:jc w:val="center"/>
              <w:rPr>
                <w:color w:val="000000"/>
                <w:sz w:val="20"/>
                <w:szCs w:val="20"/>
              </w:rPr>
            </w:pPr>
            <w:r>
              <w:rPr>
                <w:color w:val="000000"/>
                <w:sz w:val="20"/>
                <w:szCs w:val="20"/>
              </w:rPr>
              <w:t>286</w:t>
            </w:r>
          </w:p>
        </w:tc>
        <w:tc>
          <w:tcPr>
            <w:tcW w:w="1080" w:type="dxa"/>
            <w:vMerge w:val="restart"/>
            <w:tcBorders>
              <w:top w:val="nil"/>
              <w:left w:val="single" w:sz="8" w:space="0" w:color="auto"/>
              <w:right w:val="single" w:sz="8" w:space="0" w:color="auto"/>
            </w:tcBorders>
            <w:shd w:val="clear" w:color="auto" w:fill="auto"/>
            <w:vAlign w:val="center"/>
            <w:hideMark/>
          </w:tcPr>
          <w:p w14:paraId="3FEB1138" w14:textId="129C5A83" w:rsidR="001D7016" w:rsidRPr="00E4203B" w:rsidRDefault="001D7016" w:rsidP="003854C7">
            <w:pPr>
              <w:jc w:val="center"/>
              <w:rPr>
                <w:color w:val="000000"/>
                <w:sz w:val="20"/>
                <w:szCs w:val="20"/>
              </w:rPr>
            </w:pPr>
            <w:r>
              <w:rPr>
                <w:color w:val="000000"/>
                <w:sz w:val="20"/>
                <w:szCs w:val="20"/>
              </w:rPr>
              <w:t>$45.81</w:t>
            </w:r>
          </w:p>
        </w:tc>
        <w:tc>
          <w:tcPr>
            <w:tcW w:w="1260" w:type="dxa"/>
            <w:tcBorders>
              <w:top w:val="nil"/>
              <w:left w:val="nil"/>
              <w:bottom w:val="single" w:sz="8" w:space="0" w:color="auto"/>
              <w:right w:val="double" w:sz="6" w:space="0" w:color="auto"/>
            </w:tcBorders>
            <w:shd w:val="clear" w:color="auto" w:fill="auto"/>
            <w:vAlign w:val="center"/>
            <w:hideMark/>
          </w:tcPr>
          <w:p w14:paraId="38006830" w14:textId="78F868AF" w:rsidR="001D7016" w:rsidRPr="00E4203B" w:rsidRDefault="001D7016" w:rsidP="003854C7">
            <w:pPr>
              <w:jc w:val="center"/>
              <w:rPr>
                <w:color w:val="000000"/>
                <w:sz w:val="20"/>
                <w:szCs w:val="20"/>
              </w:rPr>
            </w:pPr>
            <w:r>
              <w:rPr>
                <w:color w:val="000000"/>
                <w:sz w:val="20"/>
                <w:szCs w:val="20"/>
              </w:rPr>
              <w:t xml:space="preserve">$13,101.66 </w:t>
            </w:r>
          </w:p>
        </w:tc>
      </w:tr>
      <w:tr w:rsidR="001D7016" w:rsidRPr="00E4203B" w14:paraId="108B5371" w14:textId="77777777" w:rsidTr="00CE40E6">
        <w:trPr>
          <w:trHeight w:val="293"/>
        </w:trPr>
        <w:tc>
          <w:tcPr>
            <w:tcW w:w="1327" w:type="dxa"/>
            <w:tcBorders>
              <w:top w:val="nil"/>
              <w:left w:val="double" w:sz="6" w:space="0" w:color="auto"/>
              <w:bottom w:val="single" w:sz="8" w:space="0" w:color="auto"/>
              <w:right w:val="single" w:sz="8" w:space="0" w:color="auto"/>
            </w:tcBorders>
            <w:shd w:val="clear" w:color="auto" w:fill="auto"/>
            <w:vAlign w:val="center"/>
            <w:hideMark/>
          </w:tcPr>
          <w:p w14:paraId="455ADC26" w14:textId="77777777" w:rsidR="001D7016" w:rsidRPr="00E4203B" w:rsidRDefault="001D7016" w:rsidP="00A95FA1">
            <w:pPr>
              <w:rPr>
                <w:color w:val="000000"/>
                <w:sz w:val="20"/>
                <w:szCs w:val="20"/>
              </w:rPr>
            </w:pPr>
            <w:r w:rsidRPr="00E4203B">
              <w:rPr>
                <w:color w:val="000000"/>
                <w:sz w:val="20"/>
                <w:szCs w:val="20"/>
              </w:rPr>
              <w:t>SYT-I grantees</w:t>
            </w:r>
          </w:p>
        </w:tc>
        <w:tc>
          <w:tcPr>
            <w:tcW w:w="1350" w:type="dxa"/>
            <w:tcBorders>
              <w:top w:val="nil"/>
              <w:left w:val="nil"/>
              <w:bottom w:val="single" w:sz="8" w:space="0" w:color="auto"/>
              <w:right w:val="single" w:sz="8" w:space="0" w:color="auto"/>
            </w:tcBorders>
            <w:shd w:val="clear" w:color="auto" w:fill="auto"/>
            <w:vAlign w:val="center"/>
            <w:hideMark/>
          </w:tcPr>
          <w:p w14:paraId="49BC8369" w14:textId="2ABFF653" w:rsidR="001D7016" w:rsidRPr="00A64822" w:rsidRDefault="001D7016" w:rsidP="00A95FA1">
            <w:pPr>
              <w:jc w:val="center"/>
              <w:rPr>
                <w:color w:val="000000"/>
                <w:sz w:val="20"/>
                <w:szCs w:val="20"/>
              </w:rPr>
            </w:pPr>
            <w:r>
              <w:rPr>
                <w:sz w:val="20"/>
                <w:szCs w:val="20"/>
              </w:rPr>
              <w:t>377</w:t>
            </w:r>
          </w:p>
        </w:tc>
        <w:tc>
          <w:tcPr>
            <w:tcW w:w="1350" w:type="dxa"/>
            <w:tcBorders>
              <w:top w:val="nil"/>
              <w:left w:val="nil"/>
              <w:bottom w:val="single" w:sz="8" w:space="0" w:color="auto"/>
              <w:right w:val="single" w:sz="8" w:space="0" w:color="auto"/>
            </w:tcBorders>
            <w:shd w:val="clear" w:color="auto" w:fill="auto"/>
            <w:vAlign w:val="center"/>
            <w:hideMark/>
          </w:tcPr>
          <w:p w14:paraId="600A294F" w14:textId="07A2AC0B" w:rsidR="001D7016" w:rsidRPr="00E4203B" w:rsidRDefault="001D7016" w:rsidP="00A95FA1">
            <w:pPr>
              <w:jc w:val="center"/>
              <w:rPr>
                <w:color w:val="000000"/>
                <w:sz w:val="20"/>
                <w:szCs w:val="20"/>
              </w:rPr>
            </w:pPr>
            <w:r>
              <w:rPr>
                <w:color w:val="000000"/>
                <w:sz w:val="20"/>
                <w:szCs w:val="20"/>
              </w:rPr>
              <w:t>1</w:t>
            </w:r>
          </w:p>
        </w:tc>
        <w:tc>
          <w:tcPr>
            <w:tcW w:w="1170" w:type="dxa"/>
            <w:tcBorders>
              <w:top w:val="nil"/>
              <w:left w:val="nil"/>
              <w:bottom w:val="single" w:sz="8" w:space="0" w:color="auto"/>
              <w:right w:val="single" w:sz="8" w:space="0" w:color="auto"/>
            </w:tcBorders>
            <w:shd w:val="clear" w:color="auto" w:fill="auto"/>
            <w:vAlign w:val="center"/>
            <w:hideMark/>
          </w:tcPr>
          <w:p w14:paraId="00DFB78F" w14:textId="7D9C24FA" w:rsidR="001D7016" w:rsidRPr="00A64822" w:rsidRDefault="001D7016" w:rsidP="00A95FA1">
            <w:pPr>
              <w:jc w:val="center"/>
              <w:rPr>
                <w:color w:val="000000"/>
                <w:sz w:val="20"/>
                <w:szCs w:val="20"/>
              </w:rPr>
            </w:pPr>
            <w:r>
              <w:rPr>
                <w:sz w:val="20"/>
                <w:szCs w:val="20"/>
              </w:rPr>
              <w:t>377</w:t>
            </w:r>
          </w:p>
        </w:tc>
        <w:tc>
          <w:tcPr>
            <w:tcW w:w="1170" w:type="dxa"/>
            <w:tcBorders>
              <w:top w:val="single" w:sz="4" w:space="0" w:color="auto"/>
              <w:left w:val="nil"/>
              <w:bottom w:val="single" w:sz="4" w:space="0" w:color="auto"/>
              <w:right w:val="single" w:sz="8" w:space="0" w:color="auto"/>
            </w:tcBorders>
            <w:shd w:val="clear" w:color="auto" w:fill="auto"/>
            <w:vAlign w:val="center"/>
            <w:hideMark/>
          </w:tcPr>
          <w:p w14:paraId="2191A618" w14:textId="3C2AD7A6" w:rsidR="001D7016" w:rsidRPr="00E4203B" w:rsidRDefault="001D7016" w:rsidP="00A95FA1">
            <w:pPr>
              <w:jc w:val="center"/>
              <w:rPr>
                <w:color w:val="000000"/>
                <w:sz w:val="20"/>
                <w:szCs w:val="20"/>
              </w:rPr>
            </w:pPr>
            <w:r>
              <w:rPr>
                <w:color w:val="000000"/>
                <w:sz w:val="20"/>
                <w:szCs w:val="20"/>
              </w:rPr>
              <w:t>1</w:t>
            </w:r>
          </w:p>
        </w:tc>
        <w:tc>
          <w:tcPr>
            <w:tcW w:w="900" w:type="dxa"/>
            <w:tcBorders>
              <w:top w:val="nil"/>
              <w:left w:val="nil"/>
              <w:bottom w:val="single" w:sz="8" w:space="0" w:color="auto"/>
              <w:right w:val="single" w:sz="8" w:space="0" w:color="auto"/>
            </w:tcBorders>
            <w:shd w:val="clear" w:color="auto" w:fill="auto"/>
            <w:vAlign w:val="center"/>
            <w:hideMark/>
          </w:tcPr>
          <w:p w14:paraId="6B9DA296" w14:textId="581CE57C" w:rsidR="001D7016" w:rsidRPr="00A64822" w:rsidRDefault="001D7016" w:rsidP="00A95FA1">
            <w:pPr>
              <w:jc w:val="center"/>
              <w:rPr>
                <w:color w:val="000000"/>
                <w:sz w:val="20"/>
                <w:szCs w:val="20"/>
              </w:rPr>
            </w:pPr>
            <w:r>
              <w:rPr>
                <w:sz w:val="20"/>
                <w:szCs w:val="20"/>
              </w:rPr>
              <w:t>377</w:t>
            </w:r>
          </w:p>
        </w:tc>
        <w:tc>
          <w:tcPr>
            <w:tcW w:w="1080" w:type="dxa"/>
            <w:vMerge/>
            <w:tcBorders>
              <w:left w:val="single" w:sz="8" w:space="0" w:color="auto"/>
              <w:right w:val="single" w:sz="8" w:space="0" w:color="auto"/>
            </w:tcBorders>
            <w:shd w:val="clear" w:color="auto" w:fill="auto"/>
            <w:vAlign w:val="center"/>
            <w:hideMark/>
          </w:tcPr>
          <w:p w14:paraId="19733EDB" w14:textId="77777777" w:rsidR="001D7016" w:rsidRPr="00E4203B" w:rsidRDefault="001D7016" w:rsidP="00A95FA1">
            <w:pPr>
              <w:rPr>
                <w:color w:val="000000"/>
                <w:sz w:val="20"/>
                <w:szCs w:val="20"/>
              </w:rPr>
            </w:pPr>
          </w:p>
        </w:tc>
        <w:tc>
          <w:tcPr>
            <w:tcW w:w="1260" w:type="dxa"/>
            <w:tcBorders>
              <w:top w:val="nil"/>
              <w:left w:val="nil"/>
              <w:bottom w:val="single" w:sz="8" w:space="0" w:color="auto"/>
              <w:right w:val="double" w:sz="6" w:space="0" w:color="auto"/>
            </w:tcBorders>
            <w:shd w:val="clear" w:color="auto" w:fill="auto"/>
            <w:vAlign w:val="center"/>
            <w:hideMark/>
          </w:tcPr>
          <w:p w14:paraId="753F1812" w14:textId="3FE64151" w:rsidR="001D7016" w:rsidRPr="00E4203B" w:rsidRDefault="001D7016" w:rsidP="003854C7">
            <w:pPr>
              <w:jc w:val="center"/>
              <w:rPr>
                <w:color w:val="000000"/>
                <w:sz w:val="20"/>
                <w:szCs w:val="20"/>
              </w:rPr>
            </w:pPr>
            <w:r>
              <w:rPr>
                <w:color w:val="000000"/>
                <w:sz w:val="20"/>
                <w:szCs w:val="20"/>
              </w:rPr>
              <w:t>$17,270.37</w:t>
            </w:r>
          </w:p>
        </w:tc>
      </w:tr>
      <w:tr w:rsidR="001D7016" w:rsidRPr="00E4203B" w14:paraId="6C36DB98" w14:textId="77777777" w:rsidTr="001D7016">
        <w:trPr>
          <w:trHeight w:val="293"/>
        </w:trPr>
        <w:tc>
          <w:tcPr>
            <w:tcW w:w="1327" w:type="dxa"/>
            <w:tcBorders>
              <w:top w:val="nil"/>
              <w:left w:val="double" w:sz="6" w:space="0" w:color="auto"/>
              <w:bottom w:val="double" w:sz="6" w:space="0" w:color="auto"/>
              <w:right w:val="single" w:sz="8" w:space="0" w:color="auto"/>
            </w:tcBorders>
            <w:shd w:val="clear" w:color="auto" w:fill="auto"/>
            <w:vAlign w:val="center"/>
            <w:hideMark/>
          </w:tcPr>
          <w:p w14:paraId="4C0CD4EA" w14:textId="77777777" w:rsidR="001D7016" w:rsidRPr="00E4203B" w:rsidRDefault="001D7016" w:rsidP="001576E0">
            <w:pPr>
              <w:rPr>
                <w:color w:val="000000"/>
                <w:sz w:val="20"/>
                <w:szCs w:val="20"/>
              </w:rPr>
            </w:pPr>
            <w:r w:rsidRPr="00E4203B">
              <w:rPr>
                <w:color w:val="000000"/>
                <w:sz w:val="20"/>
                <w:szCs w:val="20"/>
              </w:rPr>
              <w:t>SYT-P grantees</w:t>
            </w:r>
          </w:p>
        </w:tc>
        <w:tc>
          <w:tcPr>
            <w:tcW w:w="1350" w:type="dxa"/>
            <w:tcBorders>
              <w:top w:val="nil"/>
              <w:left w:val="nil"/>
              <w:bottom w:val="double" w:sz="6" w:space="0" w:color="auto"/>
              <w:right w:val="single" w:sz="8" w:space="0" w:color="auto"/>
            </w:tcBorders>
            <w:shd w:val="clear" w:color="auto" w:fill="auto"/>
            <w:vAlign w:val="center"/>
            <w:hideMark/>
          </w:tcPr>
          <w:p w14:paraId="2350FE0F" w14:textId="77777777" w:rsidR="001D7016" w:rsidRPr="00E4203B" w:rsidRDefault="001D7016" w:rsidP="001576E0">
            <w:pPr>
              <w:jc w:val="center"/>
              <w:rPr>
                <w:color w:val="000000"/>
                <w:sz w:val="20"/>
                <w:szCs w:val="20"/>
              </w:rPr>
            </w:pPr>
            <w:r>
              <w:rPr>
                <w:color w:val="000000"/>
                <w:sz w:val="20"/>
                <w:szCs w:val="20"/>
              </w:rPr>
              <w:t>104</w:t>
            </w:r>
          </w:p>
        </w:tc>
        <w:tc>
          <w:tcPr>
            <w:tcW w:w="1350" w:type="dxa"/>
            <w:tcBorders>
              <w:top w:val="nil"/>
              <w:left w:val="nil"/>
              <w:bottom w:val="double" w:sz="6" w:space="0" w:color="auto"/>
              <w:right w:val="single" w:sz="8" w:space="0" w:color="auto"/>
            </w:tcBorders>
            <w:shd w:val="clear" w:color="auto" w:fill="auto"/>
            <w:vAlign w:val="center"/>
            <w:hideMark/>
          </w:tcPr>
          <w:p w14:paraId="752F523F" w14:textId="77777777" w:rsidR="001D7016" w:rsidRPr="00E4203B" w:rsidRDefault="001D7016" w:rsidP="001576E0">
            <w:pPr>
              <w:jc w:val="center"/>
              <w:rPr>
                <w:color w:val="000000"/>
                <w:sz w:val="20"/>
                <w:szCs w:val="20"/>
              </w:rPr>
            </w:pPr>
            <w:r>
              <w:rPr>
                <w:color w:val="000000"/>
                <w:sz w:val="20"/>
                <w:szCs w:val="20"/>
              </w:rPr>
              <w:t>1</w:t>
            </w:r>
          </w:p>
        </w:tc>
        <w:tc>
          <w:tcPr>
            <w:tcW w:w="1170" w:type="dxa"/>
            <w:tcBorders>
              <w:top w:val="nil"/>
              <w:left w:val="nil"/>
              <w:bottom w:val="double" w:sz="6" w:space="0" w:color="auto"/>
              <w:right w:val="single" w:sz="8" w:space="0" w:color="auto"/>
            </w:tcBorders>
            <w:shd w:val="clear" w:color="auto" w:fill="auto"/>
            <w:vAlign w:val="center"/>
            <w:hideMark/>
          </w:tcPr>
          <w:p w14:paraId="3373420F" w14:textId="77777777" w:rsidR="001D7016" w:rsidRPr="00E4203B" w:rsidRDefault="001D7016" w:rsidP="001576E0">
            <w:pPr>
              <w:jc w:val="center"/>
              <w:rPr>
                <w:color w:val="000000"/>
                <w:sz w:val="20"/>
                <w:szCs w:val="20"/>
              </w:rPr>
            </w:pPr>
            <w:r>
              <w:rPr>
                <w:color w:val="000000"/>
                <w:sz w:val="20"/>
                <w:szCs w:val="20"/>
              </w:rPr>
              <w:t>104</w:t>
            </w:r>
          </w:p>
        </w:tc>
        <w:tc>
          <w:tcPr>
            <w:tcW w:w="1170" w:type="dxa"/>
            <w:tcBorders>
              <w:top w:val="single" w:sz="4" w:space="0" w:color="auto"/>
              <w:left w:val="nil"/>
              <w:bottom w:val="double" w:sz="6" w:space="0" w:color="auto"/>
              <w:right w:val="single" w:sz="8" w:space="0" w:color="auto"/>
            </w:tcBorders>
            <w:shd w:val="clear" w:color="auto" w:fill="auto"/>
            <w:vAlign w:val="center"/>
            <w:hideMark/>
          </w:tcPr>
          <w:p w14:paraId="67BA06FF" w14:textId="77777777" w:rsidR="001D7016" w:rsidRPr="00E4203B" w:rsidRDefault="001D7016" w:rsidP="001576E0">
            <w:pPr>
              <w:jc w:val="center"/>
              <w:rPr>
                <w:color w:val="000000"/>
                <w:sz w:val="20"/>
                <w:szCs w:val="20"/>
              </w:rPr>
            </w:pPr>
            <w:r>
              <w:rPr>
                <w:color w:val="000000"/>
                <w:sz w:val="20"/>
                <w:szCs w:val="20"/>
              </w:rPr>
              <w:t>1</w:t>
            </w:r>
          </w:p>
        </w:tc>
        <w:tc>
          <w:tcPr>
            <w:tcW w:w="900" w:type="dxa"/>
            <w:tcBorders>
              <w:top w:val="nil"/>
              <w:left w:val="nil"/>
              <w:bottom w:val="double" w:sz="6" w:space="0" w:color="auto"/>
              <w:right w:val="single" w:sz="8" w:space="0" w:color="auto"/>
            </w:tcBorders>
            <w:shd w:val="clear" w:color="auto" w:fill="auto"/>
            <w:vAlign w:val="center"/>
            <w:hideMark/>
          </w:tcPr>
          <w:p w14:paraId="66AB64C3" w14:textId="77777777" w:rsidR="001D7016" w:rsidRPr="00E4203B" w:rsidRDefault="001D7016" w:rsidP="001576E0">
            <w:pPr>
              <w:jc w:val="center"/>
              <w:rPr>
                <w:color w:val="000000"/>
                <w:sz w:val="20"/>
                <w:szCs w:val="20"/>
              </w:rPr>
            </w:pPr>
            <w:r>
              <w:rPr>
                <w:color w:val="000000"/>
                <w:sz w:val="20"/>
                <w:szCs w:val="20"/>
              </w:rPr>
              <w:t>104</w:t>
            </w:r>
          </w:p>
        </w:tc>
        <w:tc>
          <w:tcPr>
            <w:tcW w:w="1080" w:type="dxa"/>
            <w:vMerge/>
            <w:tcBorders>
              <w:left w:val="single" w:sz="8" w:space="0" w:color="auto"/>
              <w:bottom w:val="double" w:sz="6" w:space="0" w:color="auto"/>
              <w:right w:val="single" w:sz="8" w:space="0" w:color="auto"/>
            </w:tcBorders>
            <w:shd w:val="clear" w:color="auto" w:fill="auto"/>
            <w:vAlign w:val="center"/>
            <w:hideMark/>
          </w:tcPr>
          <w:p w14:paraId="58457DE8" w14:textId="77777777" w:rsidR="001D7016" w:rsidRPr="00E4203B" w:rsidRDefault="001D7016" w:rsidP="001576E0">
            <w:pPr>
              <w:rPr>
                <w:color w:val="000000"/>
                <w:sz w:val="20"/>
                <w:szCs w:val="20"/>
              </w:rPr>
            </w:pPr>
          </w:p>
        </w:tc>
        <w:tc>
          <w:tcPr>
            <w:tcW w:w="1260" w:type="dxa"/>
            <w:tcBorders>
              <w:top w:val="nil"/>
              <w:left w:val="nil"/>
              <w:bottom w:val="double" w:sz="6" w:space="0" w:color="auto"/>
              <w:right w:val="double" w:sz="6" w:space="0" w:color="auto"/>
            </w:tcBorders>
            <w:shd w:val="clear" w:color="auto" w:fill="auto"/>
            <w:vAlign w:val="center"/>
            <w:hideMark/>
          </w:tcPr>
          <w:p w14:paraId="7CFC0ACA" w14:textId="52146DA6" w:rsidR="001D7016" w:rsidRPr="00E4203B" w:rsidRDefault="001D7016" w:rsidP="003854C7">
            <w:pPr>
              <w:jc w:val="center"/>
              <w:rPr>
                <w:color w:val="000000"/>
                <w:sz w:val="20"/>
                <w:szCs w:val="20"/>
              </w:rPr>
            </w:pPr>
            <w:r>
              <w:rPr>
                <w:color w:val="000000"/>
                <w:sz w:val="20"/>
                <w:szCs w:val="20"/>
              </w:rPr>
              <w:t>$4,764.24</w:t>
            </w:r>
          </w:p>
        </w:tc>
      </w:tr>
      <w:tr w:rsidR="001576E0" w:rsidRPr="00E4203B" w14:paraId="226D3F93" w14:textId="77777777" w:rsidTr="001D7016">
        <w:trPr>
          <w:trHeight w:val="293"/>
        </w:trPr>
        <w:tc>
          <w:tcPr>
            <w:tcW w:w="1327" w:type="dxa"/>
            <w:tcBorders>
              <w:top w:val="double" w:sz="6" w:space="0" w:color="auto"/>
              <w:left w:val="double" w:sz="6" w:space="0" w:color="auto"/>
              <w:bottom w:val="double" w:sz="6" w:space="0" w:color="auto"/>
              <w:right w:val="single" w:sz="8" w:space="0" w:color="auto"/>
            </w:tcBorders>
            <w:shd w:val="clear" w:color="auto" w:fill="auto"/>
            <w:vAlign w:val="center"/>
            <w:hideMark/>
          </w:tcPr>
          <w:p w14:paraId="0F934BEF" w14:textId="77777777" w:rsidR="001576E0" w:rsidRPr="00E4203B" w:rsidRDefault="001576E0" w:rsidP="001576E0">
            <w:pPr>
              <w:rPr>
                <w:b/>
                <w:bCs/>
                <w:color w:val="000000"/>
                <w:sz w:val="20"/>
                <w:szCs w:val="20"/>
              </w:rPr>
            </w:pPr>
            <w:r w:rsidRPr="00E4203B">
              <w:rPr>
                <w:b/>
                <w:bCs/>
                <w:color w:val="000000"/>
                <w:sz w:val="20"/>
                <w:szCs w:val="20"/>
              </w:rPr>
              <w:t>TOTAL</w:t>
            </w:r>
          </w:p>
        </w:tc>
        <w:tc>
          <w:tcPr>
            <w:tcW w:w="1350" w:type="dxa"/>
            <w:tcBorders>
              <w:top w:val="double" w:sz="6" w:space="0" w:color="auto"/>
              <w:left w:val="nil"/>
              <w:bottom w:val="double" w:sz="6" w:space="0" w:color="auto"/>
              <w:right w:val="single" w:sz="8" w:space="0" w:color="auto"/>
            </w:tcBorders>
            <w:shd w:val="clear" w:color="auto" w:fill="auto"/>
            <w:vAlign w:val="center"/>
            <w:hideMark/>
          </w:tcPr>
          <w:p w14:paraId="20D4D117" w14:textId="0864AD51" w:rsidR="001576E0" w:rsidRPr="00E4203B" w:rsidRDefault="003854C7" w:rsidP="001576E0">
            <w:pPr>
              <w:jc w:val="center"/>
              <w:rPr>
                <w:b/>
                <w:bCs/>
                <w:color w:val="000000"/>
                <w:sz w:val="20"/>
                <w:szCs w:val="20"/>
              </w:rPr>
            </w:pPr>
            <w:r>
              <w:rPr>
                <w:b/>
                <w:bCs/>
                <w:color w:val="000000"/>
                <w:sz w:val="20"/>
                <w:szCs w:val="20"/>
              </w:rPr>
              <w:t>767</w:t>
            </w:r>
          </w:p>
        </w:tc>
        <w:tc>
          <w:tcPr>
            <w:tcW w:w="1350" w:type="dxa"/>
            <w:tcBorders>
              <w:top w:val="double" w:sz="6" w:space="0" w:color="auto"/>
              <w:left w:val="nil"/>
              <w:bottom w:val="double" w:sz="6" w:space="0" w:color="auto"/>
              <w:right w:val="single" w:sz="8" w:space="0" w:color="auto"/>
            </w:tcBorders>
            <w:shd w:val="clear" w:color="auto" w:fill="auto"/>
            <w:vAlign w:val="center"/>
            <w:hideMark/>
          </w:tcPr>
          <w:p w14:paraId="1F661ADA" w14:textId="77777777" w:rsidR="001576E0" w:rsidRPr="00E4203B" w:rsidRDefault="001576E0" w:rsidP="001576E0">
            <w:pPr>
              <w:jc w:val="center"/>
              <w:rPr>
                <w:b/>
                <w:bCs/>
                <w:color w:val="000000"/>
                <w:sz w:val="20"/>
                <w:szCs w:val="20"/>
              </w:rPr>
            </w:pPr>
            <w:r>
              <w:rPr>
                <w:b/>
                <w:bCs/>
                <w:color w:val="000000"/>
                <w:sz w:val="20"/>
                <w:szCs w:val="20"/>
              </w:rPr>
              <w:t>--</w:t>
            </w:r>
          </w:p>
        </w:tc>
        <w:tc>
          <w:tcPr>
            <w:tcW w:w="1170" w:type="dxa"/>
            <w:tcBorders>
              <w:top w:val="double" w:sz="6" w:space="0" w:color="auto"/>
              <w:left w:val="nil"/>
              <w:bottom w:val="double" w:sz="6" w:space="0" w:color="auto"/>
              <w:right w:val="single" w:sz="8" w:space="0" w:color="auto"/>
            </w:tcBorders>
            <w:shd w:val="clear" w:color="auto" w:fill="auto"/>
            <w:vAlign w:val="center"/>
            <w:hideMark/>
          </w:tcPr>
          <w:p w14:paraId="2B20D937" w14:textId="23A68119" w:rsidR="001576E0" w:rsidRPr="00E4203B" w:rsidRDefault="003854C7" w:rsidP="001576E0">
            <w:pPr>
              <w:jc w:val="center"/>
              <w:rPr>
                <w:b/>
                <w:bCs/>
                <w:color w:val="000000"/>
                <w:sz w:val="20"/>
                <w:szCs w:val="20"/>
              </w:rPr>
            </w:pPr>
            <w:r>
              <w:rPr>
                <w:b/>
                <w:bCs/>
                <w:color w:val="000000"/>
                <w:sz w:val="20"/>
                <w:szCs w:val="20"/>
              </w:rPr>
              <w:t>767</w:t>
            </w:r>
          </w:p>
        </w:tc>
        <w:tc>
          <w:tcPr>
            <w:tcW w:w="1170" w:type="dxa"/>
            <w:tcBorders>
              <w:top w:val="double" w:sz="6" w:space="0" w:color="auto"/>
              <w:left w:val="nil"/>
              <w:bottom w:val="double" w:sz="4" w:space="0" w:color="auto"/>
              <w:right w:val="single" w:sz="8" w:space="0" w:color="auto"/>
            </w:tcBorders>
            <w:shd w:val="clear" w:color="auto" w:fill="auto"/>
            <w:vAlign w:val="center"/>
            <w:hideMark/>
          </w:tcPr>
          <w:p w14:paraId="2639D96A" w14:textId="52DDA591" w:rsidR="001576E0" w:rsidRPr="00E4203B" w:rsidRDefault="001D7016" w:rsidP="001576E0">
            <w:pPr>
              <w:jc w:val="center"/>
              <w:rPr>
                <w:color w:val="000000"/>
                <w:sz w:val="20"/>
                <w:szCs w:val="20"/>
              </w:rPr>
            </w:pPr>
            <w:r>
              <w:rPr>
                <w:b/>
                <w:bCs/>
                <w:color w:val="000000"/>
                <w:sz w:val="20"/>
                <w:szCs w:val="20"/>
              </w:rPr>
              <w:t>--</w:t>
            </w:r>
            <w:r w:rsidR="001576E0">
              <w:rPr>
                <w:color w:val="000000"/>
                <w:sz w:val="20"/>
                <w:szCs w:val="20"/>
              </w:rPr>
              <w:t> </w:t>
            </w:r>
          </w:p>
        </w:tc>
        <w:tc>
          <w:tcPr>
            <w:tcW w:w="900" w:type="dxa"/>
            <w:tcBorders>
              <w:top w:val="double" w:sz="6" w:space="0" w:color="auto"/>
              <w:left w:val="nil"/>
              <w:bottom w:val="double" w:sz="6" w:space="0" w:color="auto"/>
              <w:right w:val="single" w:sz="8" w:space="0" w:color="auto"/>
            </w:tcBorders>
            <w:shd w:val="clear" w:color="auto" w:fill="auto"/>
            <w:vAlign w:val="center"/>
            <w:hideMark/>
          </w:tcPr>
          <w:p w14:paraId="14568776" w14:textId="0BF447A2" w:rsidR="001576E0" w:rsidRPr="00E4203B" w:rsidRDefault="003854C7" w:rsidP="001576E0">
            <w:pPr>
              <w:jc w:val="center"/>
              <w:rPr>
                <w:b/>
                <w:bCs/>
                <w:color w:val="000000"/>
                <w:sz w:val="20"/>
                <w:szCs w:val="20"/>
              </w:rPr>
            </w:pPr>
            <w:r>
              <w:rPr>
                <w:b/>
                <w:bCs/>
                <w:color w:val="000000"/>
                <w:sz w:val="20"/>
                <w:szCs w:val="20"/>
              </w:rPr>
              <w:t>767</w:t>
            </w:r>
          </w:p>
        </w:tc>
        <w:tc>
          <w:tcPr>
            <w:tcW w:w="1080" w:type="dxa"/>
            <w:tcBorders>
              <w:top w:val="double" w:sz="6" w:space="0" w:color="auto"/>
              <w:left w:val="single" w:sz="8" w:space="0" w:color="auto"/>
              <w:bottom w:val="double" w:sz="6" w:space="0" w:color="000000"/>
              <w:right w:val="single" w:sz="8" w:space="0" w:color="auto"/>
            </w:tcBorders>
            <w:shd w:val="clear" w:color="auto" w:fill="auto"/>
            <w:vAlign w:val="center"/>
            <w:hideMark/>
          </w:tcPr>
          <w:p w14:paraId="56976613" w14:textId="204D5C60" w:rsidR="001576E0" w:rsidRPr="00E4203B" w:rsidRDefault="001D7016" w:rsidP="001D7016">
            <w:pPr>
              <w:jc w:val="center"/>
              <w:rPr>
                <w:color w:val="000000"/>
                <w:sz w:val="20"/>
                <w:szCs w:val="20"/>
              </w:rPr>
            </w:pPr>
            <w:r>
              <w:rPr>
                <w:b/>
                <w:bCs/>
                <w:color w:val="000000"/>
                <w:sz w:val="20"/>
                <w:szCs w:val="20"/>
              </w:rPr>
              <w:t>--</w:t>
            </w:r>
          </w:p>
        </w:tc>
        <w:tc>
          <w:tcPr>
            <w:tcW w:w="1260" w:type="dxa"/>
            <w:tcBorders>
              <w:top w:val="double" w:sz="6" w:space="0" w:color="auto"/>
              <w:left w:val="nil"/>
              <w:bottom w:val="double" w:sz="6" w:space="0" w:color="auto"/>
              <w:right w:val="double" w:sz="6" w:space="0" w:color="auto"/>
            </w:tcBorders>
            <w:shd w:val="clear" w:color="auto" w:fill="auto"/>
            <w:vAlign w:val="center"/>
            <w:hideMark/>
          </w:tcPr>
          <w:p w14:paraId="0933C730" w14:textId="6D3B6936" w:rsidR="001576E0" w:rsidRPr="00E4203B" w:rsidRDefault="001576E0" w:rsidP="003854C7">
            <w:pPr>
              <w:jc w:val="center"/>
              <w:rPr>
                <w:b/>
                <w:bCs/>
                <w:color w:val="000000"/>
                <w:sz w:val="20"/>
                <w:szCs w:val="20"/>
              </w:rPr>
            </w:pPr>
            <w:r>
              <w:rPr>
                <w:b/>
                <w:bCs/>
                <w:color w:val="000000"/>
                <w:sz w:val="20"/>
                <w:szCs w:val="20"/>
              </w:rPr>
              <w:t>$</w:t>
            </w:r>
            <w:r w:rsidR="003854C7">
              <w:rPr>
                <w:b/>
                <w:bCs/>
                <w:color w:val="000000"/>
                <w:sz w:val="20"/>
                <w:szCs w:val="20"/>
              </w:rPr>
              <w:t>35,136.27</w:t>
            </w:r>
            <w:r>
              <w:rPr>
                <w:b/>
                <w:bCs/>
                <w:color w:val="000000"/>
                <w:sz w:val="20"/>
                <w:szCs w:val="20"/>
              </w:rPr>
              <w:t xml:space="preserve"> </w:t>
            </w:r>
          </w:p>
        </w:tc>
      </w:tr>
    </w:tbl>
    <w:p w14:paraId="34503B6B" w14:textId="400D8DAA" w:rsidR="002E7091" w:rsidRPr="002E7091" w:rsidRDefault="002E7091" w:rsidP="005011CD">
      <w:pPr>
        <w:rPr>
          <w:sz w:val="20"/>
          <w:szCs w:val="20"/>
        </w:rPr>
      </w:pPr>
      <w:r>
        <w:rPr>
          <w:sz w:val="20"/>
          <w:szCs w:val="20"/>
          <w:vertAlign w:val="superscript"/>
        </w:rPr>
        <w:t xml:space="preserve">a </w:t>
      </w:r>
      <w:r>
        <w:rPr>
          <w:sz w:val="20"/>
          <w:szCs w:val="20"/>
        </w:rPr>
        <w:t xml:space="preserve">Hours per response is an average annualized estimate. </w:t>
      </w:r>
    </w:p>
    <w:p w14:paraId="540C627A" w14:textId="435A07B1" w:rsidR="005011CD" w:rsidRPr="005011CD" w:rsidRDefault="002E7091" w:rsidP="005011CD">
      <w:pPr>
        <w:rPr>
          <w:sz w:val="20"/>
          <w:szCs w:val="20"/>
        </w:rPr>
      </w:pPr>
      <w:r>
        <w:rPr>
          <w:sz w:val="20"/>
          <w:szCs w:val="20"/>
          <w:vertAlign w:val="superscript"/>
        </w:rPr>
        <w:t xml:space="preserve">b </w:t>
      </w:r>
      <w:r w:rsidR="003854C7">
        <w:rPr>
          <w:sz w:val="20"/>
          <w:szCs w:val="20"/>
        </w:rPr>
        <w:t>Average hourly wage is calculated using w</w:t>
      </w:r>
      <w:r w:rsidR="005011CD">
        <w:rPr>
          <w:sz w:val="20"/>
          <w:szCs w:val="20"/>
        </w:rPr>
        <w:t xml:space="preserve">ages from the Bureau of Labor Statics and </w:t>
      </w:r>
      <w:r w:rsidR="00EB7FAD">
        <w:rPr>
          <w:sz w:val="20"/>
          <w:szCs w:val="20"/>
        </w:rPr>
        <w:t xml:space="preserve">taking a weighted average of the national average wage for </w:t>
      </w:r>
      <w:r w:rsidR="00EB7FAD" w:rsidRPr="005011CD">
        <w:rPr>
          <w:sz w:val="20"/>
          <w:szCs w:val="20"/>
        </w:rPr>
        <w:t>Social and Community Manager</w:t>
      </w:r>
      <w:r w:rsidR="00EB7FAD">
        <w:rPr>
          <w:sz w:val="20"/>
          <w:szCs w:val="20"/>
        </w:rPr>
        <w:t xml:space="preserve"> and </w:t>
      </w:r>
      <w:r w:rsidR="00EB7FAD" w:rsidRPr="005011CD">
        <w:rPr>
          <w:sz w:val="20"/>
          <w:szCs w:val="20"/>
        </w:rPr>
        <w:t>Medical and Health Services Manager</w:t>
      </w:r>
      <w:r w:rsidR="005011CD">
        <w:rPr>
          <w:sz w:val="20"/>
          <w:szCs w:val="20"/>
        </w:rPr>
        <w:t xml:space="preserve">. </w:t>
      </w:r>
    </w:p>
    <w:p w14:paraId="58B1AF5A" w14:textId="277A971E" w:rsidR="005011CD" w:rsidRDefault="002E7091" w:rsidP="005011CD">
      <w:pPr>
        <w:rPr>
          <w:sz w:val="20"/>
          <w:szCs w:val="20"/>
        </w:rPr>
      </w:pPr>
      <w:r>
        <w:rPr>
          <w:sz w:val="20"/>
          <w:szCs w:val="20"/>
          <w:vertAlign w:val="superscript"/>
        </w:rPr>
        <w:t xml:space="preserve">c </w:t>
      </w:r>
      <w:r w:rsidR="005011CD" w:rsidRPr="0038438D">
        <w:rPr>
          <w:sz w:val="20"/>
          <w:szCs w:val="20"/>
        </w:rPr>
        <w:t xml:space="preserve">Total respondent cost is calculated as hourly wage × hours per response × total number of responses. </w:t>
      </w:r>
    </w:p>
    <w:p w14:paraId="4DA33B9E" w14:textId="57EDFC5B" w:rsidR="001D7016" w:rsidRDefault="001D7016">
      <w:pPr>
        <w:spacing w:after="160" w:line="259" w:lineRule="auto"/>
      </w:pPr>
      <w:r>
        <w:br w:type="page"/>
      </w:r>
    </w:p>
    <w:p w14:paraId="2CAEA135" w14:textId="563789D7" w:rsidR="00E4203B" w:rsidRPr="00A95FA1" w:rsidRDefault="00E4203B" w:rsidP="001447DF">
      <w:pPr>
        <w:pStyle w:val="BodyText"/>
        <w:rPr>
          <w:b/>
        </w:rPr>
      </w:pPr>
      <w:r w:rsidRPr="00A95FA1">
        <w:rPr>
          <w:b/>
          <w:bCs/>
        </w:rPr>
        <w:lastRenderedPageBreak/>
        <w:t xml:space="preserve">Exhibit </w:t>
      </w:r>
      <w:r w:rsidR="008E2545" w:rsidRPr="00A95FA1">
        <w:rPr>
          <w:b/>
          <w:bCs/>
        </w:rPr>
        <w:t>9</w:t>
      </w:r>
      <w:r w:rsidRPr="00A95FA1">
        <w:rPr>
          <w:b/>
          <w:bCs/>
        </w:rPr>
        <w:t>.</w:t>
      </w:r>
      <w:r w:rsidRPr="00A95FA1">
        <w:rPr>
          <w:b/>
        </w:rPr>
        <w:t xml:space="preserve"> </w:t>
      </w:r>
      <w:r w:rsidR="002E7091">
        <w:rPr>
          <w:b/>
        </w:rPr>
        <w:t>Estimated Annualized</w:t>
      </w:r>
      <w:r w:rsidR="004B36BA" w:rsidRPr="00A95FA1">
        <w:rPr>
          <w:b/>
        </w:rPr>
        <w:t xml:space="preserve"> </w:t>
      </w:r>
      <w:r w:rsidRPr="00A95FA1">
        <w:rPr>
          <w:b/>
        </w:rPr>
        <w:t>Total Burden</w:t>
      </w:r>
      <w:r w:rsidR="006A0D67" w:rsidRPr="00A95FA1">
        <w:rPr>
          <w:b/>
        </w:rPr>
        <w:t xml:space="preserve"> by </w:t>
      </w:r>
      <w:r w:rsidR="009D2AAA" w:rsidRPr="00A95FA1">
        <w:rPr>
          <w:b/>
        </w:rPr>
        <w:t xml:space="preserve">Data Collection </w:t>
      </w:r>
      <w:r w:rsidR="006A0D67" w:rsidRPr="00A95FA1">
        <w:rPr>
          <w:b/>
        </w:rPr>
        <w:t>Instrument</w:t>
      </w:r>
      <w:r w:rsidR="009D2AAA" w:rsidRPr="00A95FA1">
        <w:rPr>
          <w:b/>
        </w:rPr>
        <w:t>/Activity</w:t>
      </w:r>
    </w:p>
    <w:tbl>
      <w:tblPr>
        <w:tblW w:w="9607" w:type="dxa"/>
        <w:tblLayout w:type="fixed"/>
        <w:tblLook w:val="04A0" w:firstRow="1" w:lastRow="0" w:firstColumn="1" w:lastColumn="0" w:noHBand="0" w:noVBand="1"/>
      </w:tblPr>
      <w:tblGrid>
        <w:gridCol w:w="1507"/>
        <w:gridCol w:w="1350"/>
        <w:gridCol w:w="1260"/>
        <w:gridCol w:w="1170"/>
        <w:gridCol w:w="1170"/>
        <w:gridCol w:w="900"/>
        <w:gridCol w:w="990"/>
        <w:gridCol w:w="1260"/>
      </w:tblGrid>
      <w:tr w:rsidR="00E4203B" w:rsidRPr="00E4203B" w14:paraId="28C09C48" w14:textId="77777777" w:rsidTr="00EB7FAD">
        <w:trPr>
          <w:trHeight w:val="836"/>
        </w:trPr>
        <w:tc>
          <w:tcPr>
            <w:tcW w:w="1507" w:type="dxa"/>
            <w:tcBorders>
              <w:top w:val="double" w:sz="6" w:space="0" w:color="auto"/>
              <w:left w:val="double" w:sz="6" w:space="0" w:color="auto"/>
              <w:bottom w:val="single" w:sz="8" w:space="0" w:color="auto"/>
              <w:right w:val="single" w:sz="8" w:space="0" w:color="auto"/>
            </w:tcBorders>
            <w:shd w:val="clear" w:color="auto" w:fill="auto"/>
            <w:vAlign w:val="center"/>
            <w:hideMark/>
          </w:tcPr>
          <w:p w14:paraId="599781C3" w14:textId="77777777" w:rsidR="009D2AAA" w:rsidRDefault="00E4203B" w:rsidP="00E4203B">
            <w:pPr>
              <w:jc w:val="center"/>
              <w:rPr>
                <w:rFonts w:asciiTheme="majorBidi" w:hAnsiTheme="majorBidi" w:cstheme="majorBidi"/>
                <w:b/>
                <w:bCs/>
                <w:color w:val="000000"/>
                <w:sz w:val="20"/>
                <w:szCs w:val="20"/>
              </w:rPr>
            </w:pPr>
            <w:r w:rsidRPr="00E4203B">
              <w:rPr>
                <w:rFonts w:asciiTheme="majorBidi" w:hAnsiTheme="majorBidi" w:cstheme="majorBidi"/>
                <w:b/>
                <w:bCs/>
                <w:color w:val="000000"/>
                <w:sz w:val="20"/>
                <w:szCs w:val="20"/>
              </w:rPr>
              <w:t>Instrument/</w:t>
            </w:r>
          </w:p>
          <w:p w14:paraId="3FE9A878" w14:textId="245A04F6" w:rsidR="00E4203B" w:rsidRPr="00E4203B" w:rsidRDefault="00E4203B" w:rsidP="00E4203B">
            <w:pPr>
              <w:jc w:val="center"/>
              <w:rPr>
                <w:rFonts w:asciiTheme="majorBidi" w:hAnsiTheme="majorBidi" w:cstheme="majorBidi"/>
                <w:b/>
                <w:bCs/>
                <w:color w:val="000000"/>
                <w:sz w:val="20"/>
                <w:szCs w:val="20"/>
              </w:rPr>
            </w:pPr>
            <w:r w:rsidRPr="00E4203B">
              <w:rPr>
                <w:rFonts w:asciiTheme="majorBidi" w:hAnsiTheme="majorBidi" w:cstheme="majorBidi"/>
                <w:b/>
                <w:bCs/>
                <w:color w:val="000000"/>
                <w:sz w:val="20"/>
                <w:szCs w:val="20"/>
              </w:rPr>
              <w:t>Activity</w:t>
            </w:r>
          </w:p>
        </w:tc>
        <w:tc>
          <w:tcPr>
            <w:tcW w:w="1350" w:type="dxa"/>
            <w:tcBorders>
              <w:top w:val="double" w:sz="6" w:space="0" w:color="auto"/>
              <w:left w:val="nil"/>
              <w:bottom w:val="single" w:sz="8" w:space="0" w:color="auto"/>
              <w:right w:val="single" w:sz="8" w:space="0" w:color="auto"/>
            </w:tcBorders>
            <w:shd w:val="clear" w:color="auto" w:fill="auto"/>
            <w:vAlign w:val="center"/>
            <w:hideMark/>
          </w:tcPr>
          <w:p w14:paraId="01F0E7A1" w14:textId="77777777" w:rsidR="00E4203B" w:rsidRPr="00E4203B" w:rsidRDefault="00E4203B" w:rsidP="00E4203B">
            <w:pPr>
              <w:jc w:val="center"/>
              <w:rPr>
                <w:rFonts w:asciiTheme="majorBidi" w:hAnsiTheme="majorBidi" w:cstheme="majorBidi"/>
                <w:b/>
                <w:bCs/>
                <w:color w:val="000000"/>
                <w:sz w:val="20"/>
                <w:szCs w:val="20"/>
              </w:rPr>
            </w:pPr>
            <w:r w:rsidRPr="00E4203B">
              <w:rPr>
                <w:rFonts w:asciiTheme="majorBidi" w:hAnsiTheme="majorBidi" w:cstheme="majorBidi"/>
                <w:b/>
                <w:bCs/>
                <w:color w:val="000000"/>
                <w:sz w:val="20"/>
                <w:szCs w:val="20"/>
              </w:rPr>
              <w:t>Number of Respondents</w:t>
            </w:r>
          </w:p>
        </w:tc>
        <w:tc>
          <w:tcPr>
            <w:tcW w:w="1260" w:type="dxa"/>
            <w:tcBorders>
              <w:top w:val="double" w:sz="6" w:space="0" w:color="auto"/>
              <w:left w:val="nil"/>
              <w:bottom w:val="single" w:sz="8" w:space="0" w:color="auto"/>
              <w:right w:val="single" w:sz="8" w:space="0" w:color="auto"/>
            </w:tcBorders>
            <w:shd w:val="clear" w:color="auto" w:fill="auto"/>
            <w:vAlign w:val="center"/>
            <w:hideMark/>
          </w:tcPr>
          <w:p w14:paraId="11F2AB69" w14:textId="77777777" w:rsidR="00E4203B" w:rsidRPr="00E4203B" w:rsidRDefault="00E4203B" w:rsidP="00E4203B">
            <w:pPr>
              <w:jc w:val="center"/>
              <w:rPr>
                <w:rFonts w:asciiTheme="majorBidi" w:hAnsiTheme="majorBidi" w:cstheme="majorBidi"/>
                <w:b/>
                <w:bCs/>
                <w:color w:val="000000"/>
                <w:sz w:val="20"/>
                <w:szCs w:val="20"/>
              </w:rPr>
            </w:pPr>
            <w:r w:rsidRPr="00E4203B">
              <w:rPr>
                <w:rFonts w:asciiTheme="majorBidi" w:hAnsiTheme="majorBidi" w:cstheme="majorBidi"/>
                <w:b/>
                <w:bCs/>
                <w:color w:val="000000"/>
                <w:sz w:val="20"/>
                <w:szCs w:val="20"/>
              </w:rPr>
              <w:t>Responses per Respondent</w:t>
            </w:r>
          </w:p>
        </w:tc>
        <w:tc>
          <w:tcPr>
            <w:tcW w:w="1170" w:type="dxa"/>
            <w:tcBorders>
              <w:top w:val="double" w:sz="6" w:space="0" w:color="auto"/>
              <w:left w:val="nil"/>
              <w:bottom w:val="single" w:sz="8" w:space="0" w:color="auto"/>
              <w:right w:val="single" w:sz="8" w:space="0" w:color="auto"/>
            </w:tcBorders>
            <w:shd w:val="clear" w:color="auto" w:fill="auto"/>
            <w:vAlign w:val="center"/>
            <w:hideMark/>
          </w:tcPr>
          <w:p w14:paraId="25A69D29" w14:textId="77777777" w:rsidR="00E4203B" w:rsidRPr="00E4203B" w:rsidRDefault="00E4203B" w:rsidP="00E4203B">
            <w:pPr>
              <w:jc w:val="center"/>
              <w:rPr>
                <w:rFonts w:asciiTheme="majorBidi" w:hAnsiTheme="majorBidi" w:cstheme="majorBidi"/>
                <w:b/>
                <w:bCs/>
                <w:color w:val="000000"/>
                <w:sz w:val="20"/>
                <w:szCs w:val="20"/>
              </w:rPr>
            </w:pPr>
            <w:r w:rsidRPr="00E4203B">
              <w:rPr>
                <w:rFonts w:asciiTheme="majorBidi" w:hAnsiTheme="majorBidi" w:cstheme="majorBidi"/>
                <w:b/>
                <w:bCs/>
                <w:color w:val="000000"/>
                <w:sz w:val="20"/>
                <w:szCs w:val="20"/>
              </w:rPr>
              <w:t>Total Number of Responses</w:t>
            </w:r>
          </w:p>
        </w:tc>
        <w:tc>
          <w:tcPr>
            <w:tcW w:w="1170" w:type="dxa"/>
            <w:tcBorders>
              <w:top w:val="double" w:sz="6" w:space="0" w:color="auto"/>
              <w:left w:val="nil"/>
              <w:bottom w:val="single" w:sz="8" w:space="0" w:color="auto"/>
              <w:right w:val="single" w:sz="8" w:space="0" w:color="auto"/>
            </w:tcBorders>
            <w:shd w:val="clear" w:color="auto" w:fill="auto"/>
            <w:vAlign w:val="center"/>
            <w:hideMark/>
          </w:tcPr>
          <w:p w14:paraId="03E7F95A" w14:textId="128A2F38" w:rsidR="00E4203B" w:rsidRPr="00EB7FAD" w:rsidRDefault="00E4203B" w:rsidP="00E4203B">
            <w:pPr>
              <w:jc w:val="center"/>
              <w:rPr>
                <w:rFonts w:asciiTheme="majorBidi" w:hAnsiTheme="majorBidi" w:cstheme="majorBidi"/>
                <w:b/>
                <w:bCs/>
                <w:color w:val="000000"/>
                <w:sz w:val="20"/>
                <w:szCs w:val="20"/>
                <w:vertAlign w:val="superscript"/>
              </w:rPr>
            </w:pPr>
            <w:r w:rsidRPr="00E4203B">
              <w:rPr>
                <w:rFonts w:asciiTheme="majorBidi" w:hAnsiTheme="majorBidi" w:cstheme="majorBidi"/>
                <w:b/>
                <w:bCs/>
                <w:color w:val="000000"/>
                <w:sz w:val="20"/>
                <w:szCs w:val="20"/>
              </w:rPr>
              <w:t>Hours per Response</w:t>
            </w:r>
            <w:r w:rsidR="00EB7FAD">
              <w:rPr>
                <w:rFonts w:asciiTheme="majorBidi" w:hAnsiTheme="majorBidi" w:cstheme="majorBidi"/>
                <w:b/>
                <w:bCs/>
                <w:color w:val="000000"/>
                <w:sz w:val="20"/>
                <w:szCs w:val="20"/>
                <w:vertAlign w:val="superscript"/>
              </w:rPr>
              <w:t>a</w:t>
            </w:r>
          </w:p>
        </w:tc>
        <w:tc>
          <w:tcPr>
            <w:tcW w:w="900" w:type="dxa"/>
            <w:tcBorders>
              <w:top w:val="double" w:sz="6" w:space="0" w:color="auto"/>
              <w:left w:val="nil"/>
              <w:bottom w:val="single" w:sz="8" w:space="0" w:color="auto"/>
              <w:right w:val="single" w:sz="8" w:space="0" w:color="auto"/>
            </w:tcBorders>
            <w:shd w:val="clear" w:color="auto" w:fill="auto"/>
            <w:vAlign w:val="center"/>
            <w:hideMark/>
          </w:tcPr>
          <w:p w14:paraId="7555A1CC" w14:textId="77777777" w:rsidR="00E4203B" w:rsidRPr="00E4203B" w:rsidRDefault="00E4203B" w:rsidP="00E4203B">
            <w:pPr>
              <w:jc w:val="center"/>
              <w:rPr>
                <w:rFonts w:asciiTheme="majorBidi" w:hAnsiTheme="majorBidi" w:cstheme="majorBidi"/>
                <w:b/>
                <w:bCs/>
                <w:color w:val="000000"/>
                <w:sz w:val="20"/>
                <w:szCs w:val="20"/>
              </w:rPr>
            </w:pPr>
            <w:r w:rsidRPr="00E4203B">
              <w:rPr>
                <w:rFonts w:asciiTheme="majorBidi" w:hAnsiTheme="majorBidi" w:cstheme="majorBidi"/>
                <w:b/>
                <w:bCs/>
                <w:color w:val="000000"/>
                <w:sz w:val="20"/>
                <w:szCs w:val="20"/>
              </w:rPr>
              <w:t>Total Burden Hours</w:t>
            </w:r>
          </w:p>
        </w:tc>
        <w:tc>
          <w:tcPr>
            <w:tcW w:w="990" w:type="dxa"/>
            <w:tcBorders>
              <w:top w:val="double" w:sz="6" w:space="0" w:color="auto"/>
              <w:left w:val="nil"/>
              <w:bottom w:val="single" w:sz="8" w:space="0" w:color="auto"/>
              <w:right w:val="single" w:sz="8" w:space="0" w:color="auto"/>
            </w:tcBorders>
            <w:shd w:val="clear" w:color="auto" w:fill="auto"/>
            <w:vAlign w:val="center"/>
            <w:hideMark/>
          </w:tcPr>
          <w:p w14:paraId="712D0079" w14:textId="6FE5E285" w:rsidR="00E4203B" w:rsidRPr="00EB7FAD" w:rsidRDefault="00E4203B" w:rsidP="00E4203B">
            <w:pPr>
              <w:jc w:val="center"/>
              <w:rPr>
                <w:rFonts w:asciiTheme="majorBidi" w:hAnsiTheme="majorBidi" w:cstheme="majorBidi"/>
                <w:b/>
                <w:bCs/>
                <w:color w:val="000000"/>
                <w:sz w:val="20"/>
                <w:szCs w:val="20"/>
                <w:vertAlign w:val="superscript"/>
              </w:rPr>
            </w:pPr>
            <w:r w:rsidRPr="00E4203B">
              <w:rPr>
                <w:rFonts w:asciiTheme="majorBidi" w:hAnsiTheme="majorBidi" w:cstheme="majorBidi"/>
                <w:b/>
                <w:bCs/>
                <w:color w:val="000000"/>
                <w:sz w:val="20"/>
                <w:szCs w:val="20"/>
              </w:rPr>
              <w:t>Average Hourly Wage</w:t>
            </w:r>
            <w:r w:rsidR="00EB7FAD">
              <w:rPr>
                <w:rFonts w:asciiTheme="majorBidi" w:hAnsiTheme="majorBidi" w:cstheme="majorBidi"/>
                <w:b/>
                <w:bCs/>
                <w:color w:val="000000"/>
                <w:sz w:val="20"/>
                <w:szCs w:val="20"/>
                <w:vertAlign w:val="superscript"/>
              </w:rPr>
              <w:t>b</w:t>
            </w:r>
          </w:p>
        </w:tc>
        <w:tc>
          <w:tcPr>
            <w:tcW w:w="1260" w:type="dxa"/>
            <w:tcBorders>
              <w:top w:val="double" w:sz="6" w:space="0" w:color="auto"/>
              <w:left w:val="nil"/>
              <w:bottom w:val="single" w:sz="8" w:space="0" w:color="auto"/>
              <w:right w:val="double" w:sz="6" w:space="0" w:color="auto"/>
            </w:tcBorders>
            <w:shd w:val="clear" w:color="auto" w:fill="auto"/>
            <w:vAlign w:val="center"/>
            <w:hideMark/>
          </w:tcPr>
          <w:p w14:paraId="66781B6A" w14:textId="0A2E2ECB" w:rsidR="00E4203B" w:rsidRPr="00E4203B" w:rsidRDefault="00E4203B" w:rsidP="00EB7FAD">
            <w:pPr>
              <w:jc w:val="center"/>
              <w:rPr>
                <w:rFonts w:asciiTheme="majorBidi" w:hAnsiTheme="majorBidi" w:cstheme="majorBidi"/>
                <w:b/>
                <w:bCs/>
                <w:color w:val="000000"/>
                <w:sz w:val="20"/>
                <w:szCs w:val="20"/>
                <w:vertAlign w:val="superscript"/>
              </w:rPr>
            </w:pPr>
            <w:r w:rsidRPr="00E4203B">
              <w:rPr>
                <w:rFonts w:asciiTheme="majorBidi" w:hAnsiTheme="majorBidi" w:cstheme="majorBidi"/>
                <w:b/>
                <w:bCs/>
                <w:color w:val="000000"/>
                <w:sz w:val="20"/>
                <w:szCs w:val="20"/>
              </w:rPr>
              <w:t>Total Respondent Cost</w:t>
            </w:r>
            <w:r w:rsidR="00EB7FAD">
              <w:rPr>
                <w:rFonts w:asciiTheme="majorBidi" w:hAnsiTheme="majorBidi" w:cstheme="majorBidi"/>
                <w:b/>
                <w:bCs/>
                <w:color w:val="000000"/>
                <w:sz w:val="20"/>
                <w:szCs w:val="20"/>
                <w:vertAlign w:val="superscript"/>
              </w:rPr>
              <w:t>c</w:t>
            </w:r>
          </w:p>
        </w:tc>
      </w:tr>
      <w:tr w:rsidR="001D7016" w:rsidRPr="00F31760" w14:paraId="649941FF" w14:textId="77777777" w:rsidTr="001D7016">
        <w:trPr>
          <w:trHeight w:val="488"/>
        </w:trPr>
        <w:tc>
          <w:tcPr>
            <w:tcW w:w="1507" w:type="dxa"/>
            <w:tcBorders>
              <w:top w:val="nil"/>
              <w:left w:val="double" w:sz="6" w:space="0" w:color="auto"/>
              <w:bottom w:val="single" w:sz="8" w:space="0" w:color="auto"/>
              <w:right w:val="single" w:sz="8" w:space="0" w:color="auto"/>
            </w:tcBorders>
            <w:shd w:val="clear" w:color="auto" w:fill="auto"/>
            <w:vAlign w:val="center"/>
            <w:hideMark/>
          </w:tcPr>
          <w:p w14:paraId="1C7BF02F" w14:textId="77777777" w:rsidR="001D7016" w:rsidRPr="00F31760" w:rsidRDefault="001D7016" w:rsidP="00F31760">
            <w:pPr>
              <w:jc w:val="center"/>
              <w:rPr>
                <w:rFonts w:asciiTheme="majorBidi" w:hAnsiTheme="majorBidi" w:cstheme="majorBidi"/>
                <w:color w:val="000000"/>
                <w:sz w:val="20"/>
                <w:szCs w:val="20"/>
              </w:rPr>
            </w:pPr>
            <w:r w:rsidRPr="00F31760">
              <w:rPr>
                <w:rFonts w:asciiTheme="majorBidi" w:hAnsiTheme="majorBidi" w:cstheme="majorBidi"/>
                <w:color w:val="000000"/>
                <w:sz w:val="20"/>
                <w:szCs w:val="20"/>
              </w:rPr>
              <w:t>Sustainability Interviews</w:t>
            </w:r>
          </w:p>
        </w:tc>
        <w:tc>
          <w:tcPr>
            <w:tcW w:w="1350" w:type="dxa"/>
            <w:tcBorders>
              <w:top w:val="nil"/>
              <w:left w:val="nil"/>
              <w:bottom w:val="single" w:sz="8" w:space="0" w:color="auto"/>
              <w:right w:val="single" w:sz="8" w:space="0" w:color="auto"/>
            </w:tcBorders>
            <w:shd w:val="clear" w:color="auto" w:fill="auto"/>
            <w:noWrap/>
            <w:vAlign w:val="bottom"/>
            <w:hideMark/>
          </w:tcPr>
          <w:p w14:paraId="59B9FFA2" w14:textId="17AFC73B" w:rsidR="001D7016" w:rsidRPr="006A0D67" w:rsidRDefault="001D7016" w:rsidP="00F31760">
            <w:pPr>
              <w:jc w:val="center"/>
              <w:rPr>
                <w:rFonts w:asciiTheme="majorBidi" w:hAnsiTheme="majorBidi" w:cstheme="majorBidi"/>
                <w:color w:val="000000"/>
                <w:sz w:val="20"/>
                <w:szCs w:val="20"/>
              </w:rPr>
            </w:pPr>
            <w:r>
              <w:rPr>
                <w:rFonts w:asciiTheme="majorBidi" w:hAnsiTheme="majorBidi" w:cstheme="majorBidi"/>
                <w:color w:val="000000"/>
                <w:sz w:val="20"/>
                <w:szCs w:val="20"/>
              </w:rPr>
              <w:t>98</w:t>
            </w:r>
          </w:p>
        </w:tc>
        <w:tc>
          <w:tcPr>
            <w:tcW w:w="1260" w:type="dxa"/>
            <w:tcBorders>
              <w:top w:val="nil"/>
              <w:left w:val="nil"/>
              <w:bottom w:val="single" w:sz="8" w:space="0" w:color="auto"/>
              <w:right w:val="single" w:sz="8" w:space="0" w:color="auto"/>
            </w:tcBorders>
            <w:shd w:val="clear" w:color="auto" w:fill="auto"/>
            <w:noWrap/>
            <w:vAlign w:val="bottom"/>
            <w:hideMark/>
          </w:tcPr>
          <w:p w14:paraId="4F90CB68" w14:textId="64BD0BF4" w:rsidR="001D7016" w:rsidRPr="006A0D67" w:rsidRDefault="001D7016" w:rsidP="00F31760">
            <w:pPr>
              <w:jc w:val="center"/>
              <w:rPr>
                <w:rFonts w:asciiTheme="majorBidi" w:hAnsiTheme="majorBidi" w:cstheme="majorBidi"/>
                <w:color w:val="000000"/>
                <w:sz w:val="20"/>
                <w:szCs w:val="20"/>
              </w:rPr>
            </w:pPr>
            <w:r w:rsidRPr="006A0D67">
              <w:rPr>
                <w:rFonts w:asciiTheme="majorBidi" w:hAnsiTheme="majorBidi" w:cstheme="majorBidi"/>
                <w:color w:val="000000"/>
                <w:sz w:val="20"/>
                <w:szCs w:val="20"/>
              </w:rPr>
              <w:t>1</w:t>
            </w:r>
          </w:p>
        </w:tc>
        <w:tc>
          <w:tcPr>
            <w:tcW w:w="1170" w:type="dxa"/>
            <w:tcBorders>
              <w:top w:val="nil"/>
              <w:left w:val="nil"/>
              <w:bottom w:val="single" w:sz="8" w:space="0" w:color="auto"/>
              <w:right w:val="single" w:sz="8" w:space="0" w:color="auto"/>
            </w:tcBorders>
            <w:shd w:val="clear" w:color="auto" w:fill="auto"/>
            <w:noWrap/>
            <w:vAlign w:val="bottom"/>
            <w:hideMark/>
          </w:tcPr>
          <w:p w14:paraId="00D841A8" w14:textId="70843F47" w:rsidR="001D7016" w:rsidRPr="006A0D67" w:rsidRDefault="001D7016" w:rsidP="00F31760">
            <w:pPr>
              <w:jc w:val="center"/>
              <w:rPr>
                <w:rFonts w:asciiTheme="majorBidi" w:hAnsiTheme="majorBidi" w:cstheme="majorBidi"/>
                <w:color w:val="000000"/>
                <w:sz w:val="20"/>
                <w:szCs w:val="20"/>
              </w:rPr>
            </w:pPr>
            <w:r>
              <w:rPr>
                <w:rFonts w:asciiTheme="majorBidi" w:hAnsiTheme="majorBidi" w:cstheme="majorBidi"/>
                <w:color w:val="000000"/>
                <w:sz w:val="20"/>
                <w:szCs w:val="20"/>
              </w:rPr>
              <w:t>98</w:t>
            </w:r>
          </w:p>
        </w:tc>
        <w:tc>
          <w:tcPr>
            <w:tcW w:w="1170" w:type="dxa"/>
            <w:tcBorders>
              <w:top w:val="nil"/>
              <w:left w:val="nil"/>
              <w:bottom w:val="single" w:sz="8" w:space="0" w:color="auto"/>
              <w:right w:val="single" w:sz="8" w:space="0" w:color="auto"/>
            </w:tcBorders>
            <w:shd w:val="clear" w:color="auto" w:fill="auto"/>
            <w:noWrap/>
            <w:vAlign w:val="bottom"/>
            <w:hideMark/>
          </w:tcPr>
          <w:p w14:paraId="035B7A97" w14:textId="31D53662" w:rsidR="001D7016" w:rsidRPr="006A0D67" w:rsidRDefault="001D7016" w:rsidP="00F31760">
            <w:pPr>
              <w:jc w:val="center"/>
              <w:rPr>
                <w:rFonts w:asciiTheme="majorBidi" w:hAnsiTheme="majorBidi" w:cstheme="majorBidi"/>
                <w:color w:val="000000"/>
                <w:sz w:val="20"/>
                <w:szCs w:val="20"/>
              </w:rPr>
            </w:pPr>
            <w:r w:rsidRPr="006A0D67">
              <w:rPr>
                <w:rFonts w:asciiTheme="majorBidi" w:hAnsiTheme="majorBidi" w:cstheme="majorBidi"/>
                <w:color w:val="000000"/>
                <w:sz w:val="20"/>
                <w:szCs w:val="20"/>
              </w:rPr>
              <w:t>1</w:t>
            </w:r>
          </w:p>
        </w:tc>
        <w:tc>
          <w:tcPr>
            <w:tcW w:w="900" w:type="dxa"/>
            <w:tcBorders>
              <w:top w:val="nil"/>
              <w:left w:val="nil"/>
              <w:bottom w:val="single" w:sz="8" w:space="0" w:color="auto"/>
              <w:right w:val="single" w:sz="8" w:space="0" w:color="auto"/>
            </w:tcBorders>
            <w:shd w:val="clear" w:color="auto" w:fill="auto"/>
            <w:noWrap/>
            <w:vAlign w:val="bottom"/>
            <w:hideMark/>
          </w:tcPr>
          <w:p w14:paraId="677A9AF1" w14:textId="2AFA7432" w:rsidR="001D7016" w:rsidRPr="006A0D67" w:rsidRDefault="001D7016" w:rsidP="00F31760">
            <w:pPr>
              <w:jc w:val="center"/>
              <w:rPr>
                <w:rFonts w:asciiTheme="majorBidi" w:hAnsiTheme="majorBidi" w:cstheme="majorBidi"/>
                <w:color w:val="000000"/>
                <w:sz w:val="20"/>
                <w:szCs w:val="20"/>
              </w:rPr>
            </w:pPr>
            <w:r>
              <w:rPr>
                <w:rFonts w:asciiTheme="majorBidi" w:hAnsiTheme="majorBidi" w:cstheme="majorBidi"/>
                <w:color w:val="000000"/>
                <w:sz w:val="20"/>
                <w:szCs w:val="20"/>
              </w:rPr>
              <w:t>98</w:t>
            </w:r>
          </w:p>
        </w:tc>
        <w:tc>
          <w:tcPr>
            <w:tcW w:w="990" w:type="dxa"/>
            <w:vMerge w:val="restart"/>
            <w:tcBorders>
              <w:top w:val="nil"/>
              <w:left w:val="nil"/>
              <w:right w:val="single" w:sz="8" w:space="0" w:color="auto"/>
            </w:tcBorders>
            <w:shd w:val="clear" w:color="auto" w:fill="auto"/>
            <w:vAlign w:val="center"/>
            <w:hideMark/>
          </w:tcPr>
          <w:p w14:paraId="6596FBB4" w14:textId="07F6584D" w:rsidR="001D7016" w:rsidRPr="006A0D67" w:rsidRDefault="001D7016" w:rsidP="001D7016">
            <w:pPr>
              <w:jc w:val="center"/>
              <w:rPr>
                <w:rFonts w:asciiTheme="majorBidi" w:hAnsiTheme="majorBidi" w:cstheme="majorBidi"/>
                <w:color w:val="000000"/>
                <w:sz w:val="20"/>
                <w:szCs w:val="20"/>
              </w:rPr>
            </w:pPr>
            <w:r>
              <w:rPr>
                <w:rFonts w:asciiTheme="majorBidi" w:hAnsiTheme="majorBidi" w:cstheme="majorBidi"/>
                <w:color w:val="000000"/>
                <w:sz w:val="20"/>
                <w:szCs w:val="20"/>
              </w:rPr>
              <w:t>$45.81</w:t>
            </w:r>
          </w:p>
        </w:tc>
        <w:tc>
          <w:tcPr>
            <w:tcW w:w="1260" w:type="dxa"/>
            <w:tcBorders>
              <w:top w:val="nil"/>
              <w:left w:val="nil"/>
              <w:bottom w:val="single" w:sz="8" w:space="0" w:color="auto"/>
              <w:right w:val="double" w:sz="6" w:space="0" w:color="auto"/>
            </w:tcBorders>
            <w:shd w:val="clear" w:color="auto" w:fill="auto"/>
            <w:noWrap/>
            <w:vAlign w:val="center"/>
            <w:hideMark/>
          </w:tcPr>
          <w:p w14:paraId="6C431569" w14:textId="1078C04B" w:rsidR="001D7016" w:rsidRPr="006A0D67" w:rsidRDefault="001D7016" w:rsidP="002E7091">
            <w:pPr>
              <w:jc w:val="center"/>
              <w:rPr>
                <w:rFonts w:asciiTheme="majorBidi" w:hAnsiTheme="majorBidi" w:cstheme="majorBidi"/>
                <w:color w:val="000000"/>
                <w:sz w:val="20"/>
                <w:szCs w:val="20"/>
              </w:rPr>
            </w:pPr>
            <w:r w:rsidRPr="006A0D67">
              <w:rPr>
                <w:rFonts w:asciiTheme="majorBidi" w:hAnsiTheme="majorBidi" w:cstheme="majorBidi"/>
                <w:color w:val="000000"/>
                <w:sz w:val="20"/>
                <w:szCs w:val="20"/>
              </w:rPr>
              <w:t>$</w:t>
            </w:r>
            <w:r>
              <w:rPr>
                <w:rFonts w:asciiTheme="majorBidi" w:hAnsiTheme="majorBidi" w:cstheme="majorBidi"/>
                <w:color w:val="000000"/>
                <w:sz w:val="20"/>
                <w:szCs w:val="20"/>
              </w:rPr>
              <w:t>4,489.38</w:t>
            </w:r>
          </w:p>
        </w:tc>
      </w:tr>
      <w:tr w:rsidR="001D7016" w:rsidRPr="00F31760" w14:paraId="1FE4D6FD" w14:textId="77777777" w:rsidTr="00EE0DC9">
        <w:trPr>
          <w:trHeight w:val="488"/>
        </w:trPr>
        <w:tc>
          <w:tcPr>
            <w:tcW w:w="1507" w:type="dxa"/>
            <w:tcBorders>
              <w:top w:val="nil"/>
              <w:left w:val="double" w:sz="6" w:space="0" w:color="auto"/>
              <w:bottom w:val="single" w:sz="8" w:space="0" w:color="auto"/>
              <w:right w:val="single" w:sz="8" w:space="0" w:color="auto"/>
            </w:tcBorders>
            <w:shd w:val="clear" w:color="auto" w:fill="auto"/>
            <w:vAlign w:val="center"/>
            <w:hideMark/>
          </w:tcPr>
          <w:p w14:paraId="6685C05B" w14:textId="77777777" w:rsidR="001D7016" w:rsidRPr="00F31760" w:rsidRDefault="001D7016" w:rsidP="002E7091">
            <w:pPr>
              <w:jc w:val="center"/>
              <w:rPr>
                <w:rFonts w:asciiTheme="majorBidi" w:hAnsiTheme="majorBidi" w:cstheme="majorBidi"/>
                <w:color w:val="000000"/>
                <w:sz w:val="20"/>
                <w:szCs w:val="20"/>
              </w:rPr>
            </w:pPr>
            <w:r w:rsidRPr="00F31760">
              <w:rPr>
                <w:rFonts w:asciiTheme="majorBidi" w:hAnsiTheme="majorBidi" w:cstheme="majorBidi"/>
                <w:color w:val="000000"/>
                <w:sz w:val="20"/>
                <w:szCs w:val="20"/>
              </w:rPr>
              <w:t>Implementation Interviews</w:t>
            </w:r>
          </w:p>
        </w:tc>
        <w:tc>
          <w:tcPr>
            <w:tcW w:w="1350" w:type="dxa"/>
            <w:tcBorders>
              <w:top w:val="nil"/>
              <w:left w:val="nil"/>
              <w:bottom w:val="single" w:sz="8" w:space="0" w:color="auto"/>
              <w:right w:val="single" w:sz="8" w:space="0" w:color="auto"/>
            </w:tcBorders>
            <w:shd w:val="clear" w:color="auto" w:fill="auto"/>
            <w:noWrap/>
            <w:vAlign w:val="bottom"/>
            <w:hideMark/>
          </w:tcPr>
          <w:p w14:paraId="34315267" w14:textId="7D3EF3DF" w:rsidR="001D7016" w:rsidRPr="006A0D67" w:rsidRDefault="001D7016" w:rsidP="002E7091">
            <w:pPr>
              <w:jc w:val="center"/>
              <w:rPr>
                <w:rFonts w:asciiTheme="majorBidi" w:hAnsiTheme="majorBidi" w:cstheme="majorBidi"/>
                <w:color w:val="000000"/>
                <w:sz w:val="20"/>
                <w:szCs w:val="20"/>
              </w:rPr>
            </w:pPr>
            <w:r>
              <w:rPr>
                <w:rFonts w:asciiTheme="majorBidi" w:hAnsiTheme="majorBidi" w:cstheme="majorBidi"/>
                <w:color w:val="000000"/>
                <w:sz w:val="20"/>
                <w:szCs w:val="20"/>
              </w:rPr>
              <w:t>124</w:t>
            </w:r>
          </w:p>
        </w:tc>
        <w:tc>
          <w:tcPr>
            <w:tcW w:w="1260" w:type="dxa"/>
            <w:tcBorders>
              <w:top w:val="nil"/>
              <w:left w:val="nil"/>
              <w:bottom w:val="single" w:sz="8" w:space="0" w:color="auto"/>
              <w:right w:val="single" w:sz="8" w:space="0" w:color="auto"/>
            </w:tcBorders>
            <w:shd w:val="clear" w:color="auto" w:fill="auto"/>
            <w:noWrap/>
            <w:vAlign w:val="bottom"/>
            <w:hideMark/>
          </w:tcPr>
          <w:p w14:paraId="6333101C" w14:textId="7C7F5019" w:rsidR="001D7016" w:rsidRPr="006A0D67" w:rsidRDefault="001D7016" w:rsidP="002E7091">
            <w:pPr>
              <w:jc w:val="center"/>
              <w:rPr>
                <w:rFonts w:asciiTheme="majorBidi" w:hAnsiTheme="majorBidi" w:cstheme="majorBidi"/>
                <w:color w:val="000000"/>
                <w:sz w:val="20"/>
                <w:szCs w:val="20"/>
              </w:rPr>
            </w:pPr>
            <w:r>
              <w:rPr>
                <w:rFonts w:asciiTheme="majorBidi" w:hAnsiTheme="majorBidi" w:cstheme="majorBidi"/>
                <w:color w:val="000000"/>
                <w:sz w:val="20"/>
                <w:szCs w:val="20"/>
              </w:rPr>
              <w:t>1</w:t>
            </w:r>
          </w:p>
        </w:tc>
        <w:tc>
          <w:tcPr>
            <w:tcW w:w="1170" w:type="dxa"/>
            <w:tcBorders>
              <w:top w:val="nil"/>
              <w:left w:val="nil"/>
              <w:bottom w:val="single" w:sz="8" w:space="0" w:color="auto"/>
              <w:right w:val="single" w:sz="8" w:space="0" w:color="auto"/>
            </w:tcBorders>
            <w:shd w:val="clear" w:color="auto" w:fill="auto"/>
            <w:noWrap/>
            <w:vAlign w:val="bottom"/>
            <w:hideMark/>
          </w:tcPr>
          <w:p w14:paraId="38FDE215" w14:textId="6C48E4F0" w:rsidR="001D7016" w:rsidRPr="006A0D67" w:rsidRDefault="001D7016" w:rsidP="002E7091">
            <w:pPr>
              <w:jc w:val="center"/>
              <w:rPr>
                <w:rFonts w:asciiTheme="majorBidi" w:hAnsiTheme="majorBidi" w:cstheme="majorBidi"/>
                <w:color w:val="000000"/>
                <w:sz w:val="20"/>
                <w:szCs w:val="20"/>
              </w:rPr>
            </w:pPr>
            <w:r>
              <w:rPr>
                <w:rFonts w:asciiTheme="majorBidi" w:hAnsiTheme="majorBidi" w:cstheme="majorBidi"/>
                <w:color w:val="000000"/>
                <w:sz w:val="20"/>
                <w:szCs w:val="20"/>
              </w:rPr>
              <w:t>124</w:t>
            </w:r>
          </w:p>
        </w:tc>
        <w:tc>
          <w:tcPr>
            <w:tcW w:w="1170" w:type="dxa"/>
            <w:tcBorders>
              <w:top w:val="nil"/>
              <w:left w:val="nil"/>
              <w:bottom w:val="single" w:sz="8" w:space="0" w:color="auto"/>
              <w:right w:val="single" w:sz="8" w:space="0" w:color="auto"/>
            </w:tcBorders>
            <w:shd w:val="clear" w:color="auto" w:fill="auto"/>
            <w:noWrap/>
            <w:vAlign w:val="bottom"/>
            <w:hideMark/>
          </w:tcPr>
          <w:p w14:paraId="7ED70648" w14:textId="1E0EDB15" w:rsidR="001D7016" w:rsidRPr="006A0D67" w:rsidRDefault="001D7016" w:rsidP="002E7091">
            <w:pPr>
              <w:jc w:val="center"/>
              <w:rPr>
                <w:rFonts w:asciiTheme="majorBidi" w:hAnsiTheme="majorBidi" w:cstheme="majorBidi"/>
                <w:color w:val="000000"/>
                <w:sz w:val="20"/>
                <w:szCs w:val="20"/>
              </w:rPr>
            </w:pPr>
            <w:r w:rsidRPr="006A0D67">
              <w:rPr>
                <w:rFonts w:asciiTheme="majorBidi" w:hAnsiTheme="majorBidi" w:cstheme="majorBidi"/>
                <w:color w:val="000000"/>
                <w:sz w:val="20"/>
                <w:szCs w:val="20"/>
              </w:rPr>
              <w:t>1</w:t>
            </w:r>
          </w:p>
        </w:tc>
        <w:tc>
          <w:tcPr>
            <w:tcW w:w="900" w:type="dxa"/>
            <w:tcBorders>
              <w:top w:val="nil"/>
              <w:left w:val="nil"/>
              <w:bottom w:val="single" w:sz="8" w:space="0" w:color="auto"/>
              <w:right w:val="single" w:sz="8" w:space="0" w:color="auto"/>
            </w:tcBorders>
            <w:shd w:val="clear" w:color="auto" w:fill="auto"/>
            <w:noWrap/>
            <w:vAlign w:val="bottom"/>
            <w:hideMark/>
          </w:tcPr>
          <w:p w14:paraId="1A190360" w14:textId="23D37D33" w:rsidR="001D7016" w:rsidRPr="006A0D67" w:rsidRDefault="001D7016" w:rsidP="002E7091">
            <w:pPr>
              <w:jc w:val="center"/>
              <w:rPr>
                <w:rFonts w:asciiTheme="majorBidi" w:hAnsiTheme="majorBidi" w:cstheme="majorBidi"/>
                <w:color w:val="000000"/>
                <w:sz w:val="20"/>
                <w:szCs w:val="20"/>
              </w:rPr>
            </w:pPr>
            <w:r>
              <w:rPr>
                <w:rFonts w:asciiTheme="majorBidi" w:hAnsiTheme="majorBidi" w:cstheme="majorBidi"/>
                <w:color w:val="000000"/>
                <w:sz w:val="20"/>
                <w:szCs w:val="20"/>
              </w:rPr>
              <w:t>124</w:t>
            </w:r>
          </w:p>
        </w:tc>
        <w:tc>
          <w:tcPr>
            <w:tcW w:w="990" w:type="dxa"/>
            <w:vMerge/>
            <w:tcBorders>
              <w:left w:val="nil"/>
              <w:right w:val="single" w:sz="8" w:space="0" w:color="auto"/>
            </w:tcBorders>
            <w:shd w:val="clear" w:color="auto" w:fill="auto"/>
            <w:vAlign w:val="bottom"/>
          </w:tcPr>
          <w:p w14:paraId="4CA3403B" w14:textId="3A5AC098" w:rsidR="001D7016" w:rsidRPr="006A0D67" w:rsidRDefault="001D7016" w:rsidP="002E7091">
            <w:pPr>
              <w:jc w:val="center"/>
              <w:rPr>
                <w:rFonts w:asciiTheme="majorBidi" w:hAnsiTheme="majorBidi" w:cstheme="majorBidi"/>
                <w:color w:val="000000"/>
                <w:sz w:val="20"/>
                <w:szCs w:val="20"/>
              </w:rPr>
            </w:pPr>
          </w:p>
        </w:tc>
        <w:tc>
          <w:tcPr>
            <w:tcW w:w="1260" w:type="dxa"/>
            <w:tcBorders>
              <w:top w:val="nil"/>
              <w:left w:val="nil"/>
              <w:bottom w:val="single" w:sz="8" w:space="0" w:color="auto"/>
              <w:right w:val="double" w:sz="6" w:space="0" w:color="auto"/>
            </w:tcBorders>
            <w:shd w:val="clear" w:color="auto" w:fill="auto"/>
            <w:noWrap/>
            <w:vAlign w:val="center"/>
            <w:hideMark/>
          </w:tcPr>
          <w:p w14:paraId="2DE406C7" w14:textId="56346D6E" w:rsidR="001D7016" w:rsidRPr="006A0D67" w:rsidRDefault="001D7016" w:rsidP="002E7091">
            <w:pPr>
              <w:jc w:val="center"/>
              <w:rPr>
                <w:rFonts w:asciiTheme="majorBidi" w:hAnsiTheme="majorBidi" w:cstheme="majorBidi"/>
                <w:color w:val="000000"/>
                <w:sz w:val="20"/>
                <w:szCs w:val="20"/>
              </w:rPr>
            </w:pPr>
            <w:r w:rsidRPr="006A0D67">
              <w:rPr>
                <w:rFonts w:asciiTheme="majorBidi" w:hAnsiTheme="majorBidi" w:cstheme="majorBidi"/>
                <w:color w:val="000000"/>
                <w:sz w:val="20"/>
                <w:szCs w:val="20"/>
              </w:rPr>
              <w:t>$</w:t>
            </w:r>
            <w:r>
              <w:rPr>
                <w:rFonts w:asciiTheme="majorBidi" w:hAnsiTheme="majorBidi" w:cstheme="majorBidi"/>
                <w:color w:val="000000"/>
                <w:sz w:val="20"/>
                <w:szCs w:val="20"/>
              </w:rPr>
              <w:t>5,680.44</w:t>
            </w:r>
          </w:p>
        </w:tc>
      </w:tr>
      <w:tr w:rsidR="001D7016" w:rsidRPr="00F31760" w14:paraId="3990C512" w14:textId="77777777" w:rsidTr="00EE0DC9">
        <w:trPr>
          <w:trHeight w:val="292"/>
        </w:trPr>
        <w:tc>
          <w:tcPr>
            <w:tcW w:w="1507" w:type="dxa"/>
            <w:tcBorders>
              <w:top w:val="nil"/>
              <w:left w:val="double" w:sz="6" w:space="0" w:color="auto"/>
              <w:bottom w:val="single" w:sz="8" w:space="0" w:color="auto"/>
              <w:right w:val="single" w:sz="8" w:space="0" w:color="auto"/>
            </w:tcBorders>
            <w:shd w:val="clear" w:color="auto" w:fill="auto"/>
            <w:vAlign w:val="center"/>
            <w:hideMark/>
          </w:tcPr>
          <w:p w14:paraId="29186175" w14:textId="70827C24" w:rsidR="001D7016" w:rsidRPr="00F31760" w:rsidRDefault="001D7016" w:rsidP="002E7091">
            <w:pPr>
              <w:jc w:val="center"/>
              <w:rPr>
                <w:rFonts w:asciiTheme="majorBidi" w:hAnsiTheme="majorBidi" w:cstheme="majorBidi"/>
                <w:color w:val="000000"/>
                <w:sz w:val="20"/>
                <w:szCs w:val="20"/>
              </w:rPr>
            </w:pPr>
            <w:r w:rsidRPr="00F31760">
              <w:rPr>
                <w:rFonts w:asciiTheme="majorBidi" w:hAnsiTheme="majorBidi" w:cstheme="majorBidi"/>
                <w:color w:val="000000"/>
                <w:sz w:val="20"/>
                <w:szCs w:val="20"/>
              </w:rPr>
              <w:t>Stakeholder Interviews</w:t>
            </w:r>
          </w:p>
        </w:tc>
        <w:tc>
          <w:tcPr>
            <w:tcW w:w="1350" w:type="dxa"/>
            <w:tcBorders>
              <w:top w:val="nil"/>
              <w:left w:val="nil"/>
              <w:bottom w:val="single" w:sz="8" w:space="0" w:color="auto"/>
              <w:right w:val="single" w:sz="8" w:space="0" w:color="auto"/>
            </w:tcBorders>
            <w:shd w:val="clear" w:color="auto" w:fill="auto"/>
            <w:noWrap/>
            <w:vAlign w:val="bottom"/>
            <w:hideMark/>
          </w:tcPr>
          <w:p w14:paraId="275F8C2A" w14:textId="5C41E19B" w:rsidR="001D7016" w:rsidRPr="006A0D67" w:rsidRDefault="001D7016" w:rsidP="002E7091">
            <w:pPr>
              <w:jc w:val="center"/>
              <w:rPr>
                <w:rFonts w:asciiTheme="majorBidi" w:hAnsiTheme="majorBidi" w:cstheme="majorBidi"/>
                <w:color w:val="000000"/>
                <w:sz w:val="20"/>
                <w:szCs w:val="20"/>
              </w:rPr>
            </w:pPr>
            <w:r>
              <w:rPr>
                <w:rFonts w:asciiTheme="majorBidi" w:hAnsiTheme="majorBidi" w:cstheme="majorBidi"/>
                <w:color w:val="000000"/>
                <w:sz w:val="20"/>
                <w:szCs w:val="20"/>
              </w:rPr>
              <w:t>183</w:t>
            </w:r>
          </w:p>
        </w:tc>
        <w:tc>
          <w:tcPr>
            <w:tcW w:w="1260" w:type="dxa"/>
            <w:tcBorders>
              <w:top w:val="nil"/>
              <w:left w:val="nil"/>
              <w:bottom w:val="single" w:sz="8" w:space="0" w:color="auto"/>
              <w:right w:val="single" w:sz="8" w:space="0" w:color="auto"/>
            </w:tcBorders>
            <w:shd w:val="clear" w:color="auto" w:fill="auto"/>
            <w:noWrap/>
            <w:vAlign w:val="bottom"/>
            <w:hideMark/>
          </w:tcPr>
          <w:p w14:paraId="1790E5C0" w14:textId="2425ECA2" w:rsidR="001D7016" w:rsidRPr="006A0D67" w:rsidRDefault="001D7016" w:rsidP="002E7091">
            <w:pPr>
              <w:jc w:val="center"/>
              <w:rPr>
                <w:rFonts w:asciiTheme="majorBidi" w:hAnsiTheme="majorBidi" w:cstheme="majorBidi"/>
                <w:color w:val="000000"/>
                <w:sz w:val="20"/>
                <w:szCs w:val="20"/>
              </w:rPr>
            </w:pPr>
            <w:r w:rsidRPr="006A0D67">
              <w:rPr>
                <w:rFonts w:asciiTheme="majorBidi" w:hAnsiTheme="majorBidi" w:cstheme="majorBidi"/>
                <w:color w:val="000000"/>
                <w:sz w:val="20"/>
                <w:szCs w:val="20"/>
              </w:rPr>
              <w:t>1</w:t>
            </w:r>
          </w:p>
        </w:tc>
        <w:tc>
          <w:tcPr>
            <w:tcW w:w="1170" w:type="dxa"/>
            <w:tcBorders>
              <w:top w:val="nil"/>
              <w:left w:val="nil"/>
              <w:bottom w:val="single" w:sz="8" w:space="0" w:color="auto"/>
              <w:right w:val="single" w:sz="8" w:space="0" w:color="auto"/>
            </w:tcBorders>
            <w:shd w:val="clear" w:color="auto" w:fill="auto"/>
            <w:noWrap/>
            <w:vAlign w:val="bottom"/>
            <w:hideMark/>
          </w:tcPr>
          <w:p w14:paraId="2CCABCF6" w14:textId="3135B7A0" w:rsidR="001D7016" w:rsidRPr="006A0D67" w:rsidRDefault="001D7016" w:rsidP="002E7091">
            <w:pPr>
              <w:jc w:val="center"/>
              <w:rPr>
                <w:rFonts w:asciiTheme="majorBidi" w:hAnsiTheme="majorBidi" w:cstheme="majorBidi"/>
                <w:color w:val="000000"/>
                <w:sz w:val="20"/>
                <w:szCs w:val="20"/>
              </w:rPr>
            </w:pPr>
            <w:r>
              <w:rPr>
                <w:rFonts w:asciiTheme="majorBidi" w:hAnsiTheme="majorBidi" w:cstheme="majorBidi"/>
                <w:color w:val="000000"/>
                <w:sz w:val="20"/>
                <w:szCs w:val="20"/>
              </w:rPr>
              <w:t>183</w:t>
            </w:r>
          </w:p>
        </w:tc>
        <w:tc>
          <w:tcPr>
            <w:tcW w:w="1170" w:type="dxa"/>
            <w:tcBorders>
              <w:top w:val="nil"/>
              <w:left w:val="nil"/>
              <w:bottom w:val="single" w:sz="8" w:space="0" w:color="auto"/>
              <w:right w:val="single" w:sz="8" w:space="0" w:color="auto"/>
            </w:tcBorders>
            <w:shd w:val="clear" w:color="auto" w:fill="auto"/>
            <w:noWrap/>
            <w:vAlign w:val="bottom"/>
            <w:hideMark/>
          </w:tcPr>
          <w:p w14:paraId="78BFE468" w14:textId="6BABEEE8" w:rsidR="001D7016" w:rsidRPr="006A0D67" w:rsidRDefault="001D7016" w:rsidP="002E7091">
            <w:pPr>
              <w:jc w:val="center"/>
              <w:rPr>
                <w:rFonts w:asciiTheme="majorBidi" w:hAnsiTheme="majorBidi" w:cstheme="majorBidi"/>
                <w:color w:val="000000"/>
                <w:sz w:val="20"/>
                <w:szCs w:val="20"/>
              </w:rPr>
            </w:pPr>
            <w:r w:rsidRPr="006A0D67">
              <w:rPr>
                <w:rFonts w:asciiTheme="majorBidi" w:hAnsiTheme="majorBidi" w:cstheme="majorBidi"/>
                <w:color w:val="000000"/>
                <w:sz w:val="20"/>
                <w:szCs w:val="20"/>
              </w:rPr>
              <w:t>1</w:t>
            </w:r>
          </w:p>
        </w:tc>
        <w:tc>
          <w:tcPr>
            <w:tcW w:w="900" w:type="dxa"/>
            <w:tcBorders>
              <w:top w:val="nil"/>
              <w:left w:val="nil"/>
              <w:bottom w:val="single" w:sz="8" w:space="0" w:color="auto"/>
              <w:right w:val="single" w:sz="8" w:space="0" w:color="auto"/>
            </w:tcBorders>
            <w:shd w:val="clear" w:color="auto" w:fill="auto"/>
            <w:noWrap/>
            <w:vAlign w:val="bottom"/>
            <w:hideMark/>
          </w:tcPr>
          <w:p w14:paraId="74AA6F13" w14:textId="0088F600" w:rsidR="001D7016" w:rsidRPr="006A0D67" w:rsidRDefault="001D7016" w:rsidP="002E7091">
            <w:pPr>
              <w:jc w:val="center"/>
              <w:rPr>
                <w:rFonts w:asciiTheme="majorBidi" w:hAnsiTheme="majorBidi" w:cstheme="majorBidi"/>
                <w:color w:val="000000"/>
                <w:sz w:val="20"/>
                <w:szCs w:val="20"/>
              </w:rPr>
            </w:pPr>
            <w:r>
              <w:rPr>
                <w:rFonts w:asciiTheme="majorBidi" w:hAnsiTheme="majorBidi" w:cstheme="majorBidi"/>
                <w:color w:val="000000"/>
                <w:sz w:val="20"/>
                <w:szCs w:val="20"/>
              </w:rPr>
              <w:t>183</w:t>
            </w:r>
          </w:p>
        </w:tc>
        <w:tc>
          <w:tcPr>
            <w:tcW w:w="990" w:type="dxa"/>
            <w:vMerge/>
            <w:tcBorders>
              <w:left w:val="nil"/>
              <w:right w:val="single" w:sz="8" w:space="0" w:color="auto"/>
            </w:tcBorders>
            <w:shd w:val="clear" w:color="auto" w:fill="auto"/>
            <w:vAlign w:val="bottom"/>
          </w:tcPr>
          <w:p w14:paraId="49743180" w14:textId="469B59CA" w:rsidR="001D7016" w:rsidRPr="006A0D67" w:rsidRDefault="001D7016" w:rsidP="002E7091">
            <w:pPr>
              <w:jc w:val="center"/>
              <w:rPr>
                <w:rFonts w:asciiTheme="majorBidi" w:hAnsiTheme="majorBidi" w:cstheme="majorBidi"/>
                <w:color w:val="000000"/>
                <w:sz w:val="20"/>
                <w:szCs w:val="20"/>
              </w:rPr>
            </w:pPr>
          </w:p>
        </w:tc>
        <w:tc>
          <w:tcPr>
            <w:tcW w:w="1260" w:type="dxa"/>
            <w:tcBorders>
              <w:top w:val="nil"/>
              <w:left w:val="nil"/>
              <w:bottom w:val="single" w:sz="8" w:space="0" w:color="auto"/>
              <w:right w:val="double" w:sz="6" w:space="0" w:color="auto"/>
            </w:tcBorders>
            <w:shd w:val="clear" w:color="auto" w:fill="auto"/>
            <w:noWrap/>
            <w:vAlign w:val="center"/>
            <w:hideMark/>
          </w:tcPr>
          <w:p w14:paraId="099BD03F" w14:textId="4A7B831C" w:rsidR="001D7016" w:rsidRPr="006A0D67" w:rsidRDefault="001D7016" w:rsidP="002E7091">
            <w:pPr>
              <w:jc w:val="center"/>
              <w:rPr>
                <w:rFonts w:asciiTheme="majorBidi" w:hAnsiTheme="majorBidi" w:cstheme="majorBidi"/>
                <w:color w:val="000000"/>
                <w:sz w:val="20"/>
                <w:szCs w:val="20"/>
              </w:rPr>
            </w:pPr>
            <w:r>
              <w:rPr>
                <w:rFonts w:asciiTheme="majorBidi" w:hAnsiTheme="majorBidi" w:cstheme="majorBidi"/>
                <w:color w:val="000000"/>
                <w:sz w:val="20"/>
                <w:szCs w:val="20"/>
              </w:rPr>
              <w:t>$8,383.23</w:t>
            </w:r>
          </w:p>
        </w:tc>
      </w:tr>
      <w:tr w:rsidR="001D7016" w:rsidRPr="00F31760" w14:paraId="599DD02B" w14:textId="77777777" w:rsidTr="00EE0DC9">
        <w:trPr>
          <w:trHeight w:val="292"/>
        </w:trPr>
        <w:tc>
          <w:tcPr>
            <w:tcW w:w="1507" w:type="dxa"/>
            <w:tcBorders>
              <w:top w:val="nil"/>
              <w:left w:val="double" w:sz="6" w:space="0" w:color="auto"/>
              <w:bottom w:val="single" w:sz="8" w:space="0" w:color="auto"/>
              <w:right w:val="single" w:sz="8" w:space="0" w:color="auto"/>
            </w:tcBorders>
            <w:shd w:val="clear" w:color="auto" w:fill="auto"/>
            <w:vAlign w:val="center"/>
            <w:hideMark/>
          </w:tcPr>
          <w:p w14:paraId="1B721C18" w14:textId="77777777" w:rsidR="001D7016" w:rsidRPr="00F31760" w:rsidRDefault="001D7016" w:rsidP="002E7091">
            <w:pPr>
              <w:jc w:val="center"/>
              <w:rPr>
                <w:rFonts w:asciiTheme="majorBidi" w:hAnsiTheme="majorBidi" w:cstheme="majorBidi"/>
                <w:color w:val="000000"/>
                <w:sz w:val="20"/>
                <w:szCs w:val="20"/>
              </w:rPr>
            </w:pPr>
            <w:r w:rsidRPr="00F31760">
              <w:rPr>
                <w:rFonts w:asciiTheme="majorBidi" w:hAnsiTheme="majorBidi" w:cstheme="majorBidi"/>
                <w:color w:val="000000"/>
                <w:sz w:val="20"/>
                <w:szCs w:val="20"/>
              </w:rPr>
              <w:t>Provider Survey</w:t>
            </w:r>
          </w:p>
        </w:tc>
        <w:tc>
          <w:tcPr>
            <w:tcW w:w="1350" w:type="dxa"/>
            <w:tcBorders>
              <w:top w:val="nil"/>
              <w:left w:val="nil"/>
              <w:bottom w:val="single" w:sz="8" w:space="0" w:color="auto"/>
              <w:right w:val="single" w:sz="8" w:space="0" w:color="auto"/>
            </w:tcBorders>
            <w:shd w:val="clear" w:color="auto" w:fill="auto"/>
            <w:noWrap/>
            <w:vAlign w:val="bottom"/>
            <w:hideMark/>
          </w:tcPr>
          <w:p w14:paraId="03AC7D4B" w14:textId="48D358BD" w:rsidR="001D7016" w:rsidRPr="006A0D67" w:rsidRDefault="001D7016" w:rsidP="002E7091">
            <w:pPr>
              <w:jc w:val="center"/>
              <w:rPr>
                <w:rFonts w:asciiTheme="majorBidi" w:hAnsiTheme="majorBidi" w:cstheme="majorBidi"/>
                <w:color w:val="000000"/>
                <w:sz w:val="20"/>
                <w:szCs w:val="20"/>
              </w:rPr>
            </w:pPr>
            <w:r>
              <w:rPr>
                <w:rFonts w:asciiTheme="majorBidi" w:hAnsiTheme="majorBidi" w:cstheme="majorBidi"/>
                <w:color w:val="000000"/>
                <w:sz w:val="20"/>
                <w:szCs w:val="20"/>
              </w:rPr>
              <w:t>74</w:t>
            </w:r>
          </w:p>
        </w:tc>
        <w:tc>
          <w:tcPr>
            <w:tcW w:w="1260" w:type="dxa"/>
            <w:tcBorders>
              <w:top w:val="nil"/>
              <w:left w:val="nil"/>
              <w:bottom w:val="single" w:sz="8" w:space="0" w:color="auto"/>
              <w:right w:val="single" w:sz="8" w:space="0" w:color="auto"/>
            </w:tcBorders>
            <w:shd w:val="clear" w:color="auto" w:fill="auto"/>
            <w:noWrap/>
            <w:vAlign w:val="bottom"/>
            <w:hideMark/>
          </w:tcPr>
          <w:p w14:paraId="0B4F5F0C" w14:textId="045AEB7A" w:rsidR="001D7016" w:rsidRPr="006A0D67" w:rsidRDefault="001D7016" w:rsidP="002E7091">
            <w:pPr>
              <w:jc w:val="center"/>
              <w:rPr>
                <w:rFonts w:asciiTheme="majorBidi" w:hAnsiTheme="majorBidi" w:cstheme="majorBidi"/>
                <w:color w:val="000000"/>
                <w:sz w:val="20"/>
                <w:szCs w:val="20"/>
              </w:rPr>
            </w:pPr>
            <w:r>
              <w:rPr>
                <w:rFonts w:asciiTheme="majorBidi" w:hAnsiTheme="majorBidi" w:cstheme="majorBidi"/>
                <w:color w:val="000000"/>
                <w:sz w:val="20"/>
                <w:szCs w:val="20"/>
              </w:rPr>
              <w:t>1</w:t>
            </w:r>
          </w:p>
        </w:tc>
        <w:tc>
          <w:tcPr>
            <w:tcW w:w="1170" w:type="dxa"/>
            <w:tcBorders>
              <w:top w:val="nil"/>
              <w:left w:val="nil"/>
              <w:bottom w:val="single" w:sz="8" w:space="0" w:color="auto"/>
              <w:right w:val="single" w:sz="8" w:space="0" w:color="auto"/>
            </w:tcBorders>
            <w:shd w:val="clear" w:color="auto" w:fill="auto"/>
            <w:noWrap/>
            <w:vAlign w:val="bottom"/>
            <w:hideMark/>
          </w:tcPr>
          <w:p w14:paraId="7EFDF6B1" w14:textId="4379C7E9" w:rsidR="001D7016" w:rsidRPr="006A0D67" w:rsidRDefault="001D7016" w:rsidP="002E7091">
            <w:pPr>
              <w:jc w:val="center"/>
              <w:rPr>
                <w:rFonts w:asciiTheme="majorBidi" w:hAnsiTheme="majorBidi" w:cstheme="majorBidi"/>
                <w:color w:val="000000"/>
                <w:sz w:val="20"/>
                <w:szCs w:val="20"/>
              </w:rPr>
            </w:pPr>
            <w:r>
              <w:rPr>
                <w:rFonts w:asciiTheme="majorBidi" w:hAnsiTheme="majorBidi" w:cstheme="majorBidi"/>
                <w:color w:val="000000"/>
                <w:sz w:val="20"/>
                <w:szCs w:val="20"/>
              </w:rPr>
              <w:t>74</w:t>
            </w:r>
          </w:p>
        </w:tc>
        <w:tc>
          <w:tcPr>
            <w:tcW w:w="1170" w:type="dxa"/>
            <w:tcBorders>
              <w:top w:val="nil"/>
              <w:left w:val="nil"/>
              <w:bottom w:val="single" w:sz="8" w:space="0" w:color="auto"/>
              <w:right w:val="single" w:sz="8" w:space="0" w:color="auto"/>
            </w:tcBorders>
            <w:shd w:val="clear" w:color="auto" w:fill="auto"/>
            <w:noWrap/>
            <w:vAlign w:val="bottom"/>
            <w:hideMark/>
          </w:tcPr>
          <w:p w14:paraId="6FEDF25D" w14:textId="3C9CC16C" w:rsidR="001D7016" w:rsidRPr="006A0D67" w:rsidRDefault="001D7016" w:rsidP="002E7091">
            <w:pPr>
              <w:jc w:val="center"/>
              <w:rPr>
                <w:rFonts w:asciiTheme="majorBidi" w:hAnsiTheme="majorBidi" w:cstheme="majorBidi"/>
                <w:color w:val="000000"/>
                <w:sz w:val="20"/>
                <w:szCs w:val="20"/>
              </w:rPr>
            </w:pPr>
            <w:r w:rsidRPr="006A0D67">
              <w:rPr>
                <w:rFonts w:asciiTheme="majorBidi" w:hAnsiTheme="majorBidi" w:cstheme="majorBidi"/>
                <w:color w:val="000000"/>
                <w:sz w:val="20"/>
                <w:szCs w:val="20"/>
              </w:rPr>
              <w:t>1</w:t>
            </w:r>
          </w:p>
        </w:tc>
        <w:tc>
          <w:tcPr>
            <w:tcW w:w="900" w:type="dxa"/>
            <w:tcBorders>
              <w:top w:val="nil"/>
              <w:left w:val="nil"/>
              <w:bottom w:val="single" w:sz="8" w:space="0" w:color="auto"/>
              <w:right w:val="single" w:sz="8" w:space="0" w:color="auto"/>
            </w:tcBorders>
            <w:shd w:val="clear" w:color="auto" w:fill="auto"/>
            <w:noWrap/>
            <w:vAlign w:val="bottom"/>
            <w:hideMark/>
          </w:tcPr>
          <w:p w14:paraId="1677C29D" w14:textId="65A5F948" w:rsidR="001D7016" w:rsidRPr="006A0D67" w:rsidRDefault="001D7016" w:rsidP="002E7091">
            <w:pPr>
              <w:jc w:val="center"/>
              <w:rPr>
                <w:rFonts w:asciiTheme="majorBidi" w:hAnsiTheme="majorBidi" w:cstheme="majorBidi"/>
                <w:color w:val="000000"/>
                <w:sz w:val="20"/>
                <w:szCs w:val="20"/>
              </w:rPr>
            </w:pPr>
            <w:r>
              <w:rPr>
                <w:rFonts w:asciiTheme="majorBidi" w:hAnsiTheme="majorBidi" w:cstheme="majorBidi"/>
                <w:color w:val="000000"/>
                <w:sz w:val="20"/>
                <w:szCs w:val="20"/>
              </w:rPr>
              <w:t>74</w:t>
            </w:r>
          </w:p>
        </w:tc>
        <w:tc>
          <w:tcPr>
            <w:tcW w:w="990" w:type="dxa"/>
            <w:vMerge/>
            <w:tcBorders>
              <w:left w:val="nil"/>
              <w:right w:val="single" w:sz="8" w:space="0" w:color="auto"/>
            </w:tcBorders>
            <w:shd w:val="clear" w:color="auto" w:fill="auto"/>
            <w:vAlign w:val="bottom"/>
          </w:tcPr>
          <w:p w14:paraId="0B71B903" w14:textId="50D07AAA" w:rsidR="001D7016" w:rsidRPr="006A0D67" w:rsidRDefault="001D7016" w:rsidP="002E7091">
            <w:pPr>
              <w:jc w:val="center"/>
              <w:rPr>
                <w:rFonts w:asciiTheme="majorBidi" w:hAnsiTheme="majorBidi" w:cstheme="majorBidi"/>
                <w:color w:val="000000"/>
                <w:sz w:val="20"/>
                <w:szCs w:val="20"/>
              </w:rPr>
            </w:pPr>
          </w:p>
        </w:tc>
        <w:tc>
          <w:tcPr>
            <w:tcW w:w="1260" w:type="dxa"/>
            <w:tcBorders>
              <w:top w:val="nil"/>
              <w:left w:val="nil"/>
              <w:bottom w:val="single" w:sz="8" w:space="0" w:color="auto"/>
              <w:right w:val="double" w:sz="6" w:space="0" w:color="auto"/>
            </w:tcBorders>
            <w:shd w:val="clear" w:color="auto" w:fill="auto"/>
            <w:noWrap/>
            <w:vAlign w:val="center"/>
            <w:hideMark/>
          </w:tcPr>
          <w:p w14:paraId="24D34F81" w14:textId="113B6840" w:rsidR="001D7016" w:rsidRPr="006A0D67" w:rsidRDefault="001D7016" w:rsidP="002E7091">
            <w:pPr>
              <w:jc w:val="center"/>
              <w:rPr>
                <w:rFonts w:asciiTheme="majorBidi" w:hAnsiTheme="majorBidi" w:cstheme="majorBidi"/>
                <w:color w:val="000000"/>
                <w:sz w:val="20"/>
                <w:szCs w:val="20"/>
              </w:rPr>
            </w:pPr>
            <w:r>
              <w:rPr>
                <w:rFonts w:asciiTheme="majorBidi" w:hAnsiTheme="majorBidi" w:cstheme="majorBidi"/>
                <w:color w:val="000000"/>
                <w:sz w:val="20"/>
                <w:szCs w:val="20"/>
              </w:rPr>
              <w:t>$3,389.94</w:t>
            </w:r>
          </w:p>
        </w:tc>
      </w:tr>
      <w:tr w:rsidR="001D7016" w:rsidRPr="00F31760" w14:paraId="70C1EB67" w14:textId="77777777" w:rsidTr="00EE0DC9">
        <w:trPr>
          <w:trHeight w:val="292"/>
        </w:trPr>
        <w:tc>
          <w:tcPr>
            <w:tcW w:w="1507" w:type="dxa"/>
            <w:tcBorders>
              <w:top w:val="nil"/>
              <w:left w:val="double" w:sz="6" w:space="0" w:color="auto"/>
              <w:bottom w:val="double" w:sz="6" w:space="0" w:color="auto"/>
              <w:right w:val="single" w:sz="8" w:space="0" w:color="auto"/>
            </w:tcBorders>
            <w:shd w:val="clear" w:color="auto" w:fill="auto"/>
            <w:vAlign w:val="center"/>
          </w:tcPr>
          <w:p w14:paraId="64EE0641" w14:textId="089302FA" w:rsidR="001D7016" w:rsidRPr="00F31760" w:rsidRDefault="001D7016" w:rsidP="002E7091">
            <w:pPr>
              <w:jc w:val="center"/>
              <w:rPr>
                <w:rFonts w:asciiTheme="majorBidi" w:hAnsiTheme="majorBidi" w:cstheme="majorBidi"/>
                <w:b/>
                <w:bCs/>
                <w:color w:val="000000"/>
                <w:sz w:val="20"/>
                <w:szCs w:val="20"/>
              </w:rPr>
            </w:pPr>
            <w:r w:rsidRPr="00F31760">
              <w:rPr>
                <w:rFonts w:asciiTheme="majorBidi" w:hAnsiTheme="majorBidi" w:cstheme="majorBidi"/>
                <w:sz w:val="20"/>
                <w:szCs w:val="20"/>
              </w:rPr>
              <w:t>Focus groups</w:t>
            </w:r>
          </w:p>
        </w:tc>
        <w:tc>
          <w:tcPr>
            <w:tcW w:w="1350" w:type="dxa"/>
            <w:tcBorders>
              <w:top w:val="nil"/>
              <w:left w:val="nil"/>
              <w:bottom w:val="double" w:sz="6" w:space="0" w:color="auto"/>
              <w:right w:val="single" w:sz="8" w:space="0" w:color="auto"/>
            </w:tcBorders>
            <w:shd w:val="clear" w:color="auto" w:fill="auto"/>
            <w:noWrap/>
            <w:vAlign w:val="bottom"/>
          </w:tcPr>
          <w:p w14:paraId="1A72E3F3" w14:textId="71BC08BB" w:rsidR="001D7016" w:rsidRPr="006A0D67" w:rsidRDefault="001D7016" w:rsidP="002E7091">
            <w:pPr>
              <w:jc w:val="center"/>
              <w:rPr>
                <w:rFonts w:asciiTheme="majorBidi" w:hAnsiTheme="majorBidi" w:cstheme="majorBidi"/>
                <w:b/>
                <w:bCs/>
                <w:color w:val="000000"/>
                <w:sz w:val="20"/>
                <w:szCs w:val="20"/>
              </w:rPr>
            </w:pPr>
            <w:r>
              <w:rPr>
                <w:rFonts w:asciiTheme="majorBidi" w:hAnsiTheme="majorBidi" w:cstheme="majorBidi"/>
                <w:color w:val="000000"/>
                <w:sz w:val="20"/>
                <w:szCs w:val="20"/>
              </w:rPr>
              <w:t>288</w:t>
            </w:r>
          </w:p>
        </w:tc>
        <w:tc>
          <w:tcPr>
            <w:tcW w:w="1260" w:type="dxa"/>
            <w:tcBorders>
              <w:top w:val="nil"/>
              <w:left w:val="nil"/>
              <w:bottom w:val="double" w:sz="6" w:space="0" w:color="auto"/>
              <w:right w:val="single" w:sz="8" w:space="0" w:color="auto"/>
            </w:tcBorders>
            <w:shd w:val="clear" w:color="auto" w:fill="auto"/>
            <w:noWrap/>
            <w:vAlign w:val="bottom"/>
          </w:tcPr>
          <w:p w14:paraId="449FB02D" w14:textId="7E49C382" w:rsidR="001D7016" w:rsidRPr="006A0D67" w:rsidRDefault="001D7016" w:rsidP="002E7091">
            <w:pPr>
              <w:jc w:val="center"/>
              <w:rPr>
                <w:rFonts w:asciiTheme="majorBidi" w:hAnsiTheme="majorBidi" w:cstheme="majorBidi"/>
                <w:b/>
                <w:bCs/>
                <w:color w:val="000000"/>
                <w:sz w:val="20"/>
                <w:szCs w:val="20"/>
              </w:rPr>
            </w:pPr>
            <w:r w:rsidRPr="006A0D67">
              <w:rPr>
                <w:rFonts w:asciiTheme="majorBidi" w:hAnsiTheme="majorBidi" w:cstheme="majorBidi"/>
                <w:color w:val="000000"/>
                <w:sz w:val="20"/>
                <w:szCs w:val="20"/>
              </w:rPr>
              <w:t>1</w:t>
            </w:r>
          </w:p>
        </w:tc>
        <w:tc>
          <w:tcPr>
            <w:tcW w:w="1170" w:type="dxa"/>
            <w:tcBorders>
              <w:top w:val="nil"/>
              <w:left w:val="nil"/>
              <w:bottom w:val="double" w:sz="6" w:space="0" w:color="auto"/>
              <w:right w:val="single" w:sz="8" w:space="0" w:color="auto"/>
            </w:tcBorders>
            <w:shd w:val="clear" w:color="auto" w:fill="auto"/>
            <w:noWrap/>
            <w:vAlign w:val="bottom"/>
          </w:tcPr>
          <w:p w14:paraId="3D369274" w14:textId="6E9E13C4" w:rsidR="001D7016" w:rsidRPr="006A0D67" w:rsidRDefault="001D7016" w:rsidP="002E7091">
            <w:pPr>
              <w:jc w:val="center"/>
              <w:rPr>
                <w:rFonts w:asciiTheme="majorBidi" w:hAnsiTheme="majorBidi" w:cstheme="majorBidi"/>
                <w:b/>
                <w:bCs/>
                <w:color w:val="000000"/>
                <w:sz w:val="20"/>
                <w:szCs w:val="20"/>
              </w:rPr>
            </w:pPr>
            <w:r>
              <w:rPr>
                <w:rFonts w:asciiTheme="majorBidi" w:hAnsiTheme="majorBidi" w:cstheme="majorBidi"/>
                <w:color w:val="000000"/>
                <w:sz w:val="20"/>
                <w:szCs w:val="20"/>
              </w:rPr>
              <w:t>288</w:t>
            </w:r>
          </w:p>
        </w:tc>
        <w:tc>
          <w:tcPr>
            <w:tcW w:w="1170" w:type="dxa"/>
            <w:tcBorders>
              <w:top w:val="nil"/>
              <w:left w:val="nil"/>
              <w:bottom w:val="double" w:sz="6" w:space="0" w:color="auto"/>
              <w:right w:val="single" w:sz="8" w:space="0" w:color="auto"/>
            </w:tcBorders>
            <w:shd w:val="clear" w:color="auto" w:fill="auto"/>
            <w:noWrap/>
            <w:vAlign w:val="bottom"/>
          </w:tcPr>
          <w:p w14:paraId="719D3964" w14:textId="0162CA8B" w:rsidR="001D7016" w:rsidRPr="006A0D67" w:rsidRDefault="001D7016" w:rsidP="002E7091">
            <w:pPr>
              <w:jc w:val="center"/>
              <w:rPr>
                <w:rFonts w:asciiTheme="majorBidi" w:hAnsiTheme="majorBidi" w:cstheme="majorBidi"/>
                <w:b/>
                <w:bCs/>
                <w:color w:val="000000"/>
                <w:sz w:val="20"/>
                <w:szCs w:val="20"/>
              </w:rPr>
            </w:pPr>
            <w:r>
              <w:rPr>
                <w:rFonts w:asciiTheme="majorBidi" w:hAnsiTheme="majorBidi" w:cstheme="majorBidi"/>
                <w:color w:val="000000"/>
                <w:sz w:val="20"/>
                <w:szCs w:val="20"/>
              </w:rPr>
              <w:t>1</w:t>
            </w:r>
          </w:p>
        </w:tc>
        <w:tc>
          <w:tcPr>
            <w:tcW w:w="900" w:type="dxa"/>
            <w:tcBorders>
              <w:top w:val="nil"/>
              <w:left w:val="nil"/>
              <w:bottom w:val="double" w:sz="6" w:space="0" w:color="auto"/>
              <w:right w:val="single" w:sz="8" w:space="0" w:color="auto"/>
            </w:tcBorders>
            <w:shd w:val="clear" w:color="auto" w:fill="auto"/>
            <w:noWrap/>
            <w:vAlign w:val="bottom"/>
          </w:tcPr>
          <w:p w14:paraId="37AF9595" w14:textId="194F54AA" w:rsidR="001D7016" w:rsidRPr="006A0D67" w:rsidRDefault="001D7016" w:rsidP="002E7091">
            <w:pPr>
              <w:jc w:val="center"/>
              <w:rPr>
                <w:rFonts w:asciiTheme="majorBidi" w:hAnsiTheme="majorBidi" w:cstheme="majorBidi"/>
                <w:b/>
                <w:bCs/>
                <w:color w:val="000000"/>
                <w:sz w:val="20"/>
                <w:szCs w:val="20"/>
              </w:rPr>
            </w:pPr>
            <w:r>
              <w:rPr>
                <w:rFonts w:asciiTheme="majorBidi" w:hAnsiTheme="majorBidi" w:cstheme="majorBidi"/>
                <w:color w:val="000000"/>
                <w:sz w:val="20"/>
                <w:szCs w:val="20"/>
              </w:rPr>
              <w:t>288</w:t>
            </w:r>
          </w:p>
        </w:tc>
        <w:tc>
          <w:tcPr>
            <w:tcW w:w="990" w:type="dxa"/>
            <w:vMerge/>
            <w:tcBorders>
              <w:left w:val="nil"/>
              <w:bottom w:val="double" w:sz="6" w:space="0" w:color="auto"/>
              <w:right w:val="single" w:sz="8" w:space="0" w:color="auto"/>
            </w:tcBorders>
            <w:shd w:val="clear" w:color="auto" w:fill="auto"/>
            <w:noWrap/>
            <w:vAlign w:val="bottom"/>
          </w:tcPr>
          <w:p w14:paraId="660A5077" w14:textId="68FEB541" w:rsidR="001D7016" w:rsidRPr="006A0D67" w:rsidRDefault="001D7016" w:rsidP="002E7091">
            <w:pPr>
              <w:jc w:val="center"/>
              <w:rPr>
                <w:rFonts w:asciiTheme="majorBidi" w:hAnsiTheme="majorBidi" w:cstheme="majorBidi"/>
                <w:b/>
                <w:bCs/>
                <w:color w:val="000000"/>
                <w:sz w:val="20"/>
                <w:szCs w:val="20"/>
              </w:rPr>
            </w:pPr>
          </w:p>
        </w:tc>
        <w:tc>
          <w:tcPr>
            <w:tcW w:w="1260" w:type="dxa"/>
            <w:tcBorders>
              <w:top w:val="nil"/>
              <w:left w:val="nil"/>
              <w:bottom w:val="double" w:sz="6" w:space="0" w:color="auto"/>
              <w:right w:val="double" w:sz="6" w:space="0" w:color="auto"/>
            </w:tcBorders>
            <w:shd w:val="clear" w:color="auto" w:fill="auto"/>
            <w:noWrap/>
            <w:vAlign w:val="center"/>
          </w:tcPr>
          <w:p w14:paraId="34BDCF2E" w14:textId="1BA8DA8F" w:rsidR="001D7016" w:rsidRPr="006A0D67" w:rsidRDefault="001D7016" w:rsidP="002E7091">
            <w:pPr>
              <w:jc w:val="center"/>
              <w:rPr>
                <w:rFonts w:asciiTheme="majorBidi" w:hAnsiTheme="majorBidi" w:cstheme="majorBidi"/>
                <w:b/>
                <w:bCs/>
                <w:color w:val="000000"/>
                <w:sz w:val="20"/>
                <w:szCs w:val="20"/>
              </w:rPr>
            </w:pPr>
            <w:r>
              <w:rPr>
                <w:rFonts w:asciiTheme="majorBidi" w:hAnsiTheme="majorBidi" w:cstheme="majorBidi"/>
                <w:color w:val="000000"/>
                <w:sz w:val="20"/>
                <w:szCs w:val="20"/>
              </w:rPr>
              <w:t>$13,193.28</w:t>
            </w:r>
          </w:p>
        </w:tc>
      </w:tr>
      <w:tr w:rsidR="002E7091" w:rsidRPr="00A95FA1" w14:paraId="7EB5F860" w14:textId="77777777" w:rsidTr="00EB7FAD">
        <w:trPr>
          <w:trHeight w:val="292"/>
        </w:trPr>
        <w:tc>
          <w:tcPr>
            <w:tcW w:w="1507" w:type="dxa"/>
            <w:tcBorders>
              <w:top w:val="nil"/>
              <w:left w:val="double" w:sz="6" w:space="0" w:color="auto"/>
              <w:bottom w:val="double" w:sz="6" w:space="0" w:color="auto"/>
              <w:right w:val="single" w:sz="8" w:space="0" w:color="auto"/>
            </w:tcBorders>
            <w:shd w:val="clear" w:color="auto" w:fill="auto"/>
            <w:vAlign w:val="center"/>
            <w:hideMark/>
          </w:tcPr>
          <w:p w14:paraId="01E5289F" w14:textId="18EC4997" w:rsidR="002E7091" w:rsidRPr="00A95FA1" w:rsidRDefault="002E7091" w:rsidP="002E7091">
            <w:pPr>
              <w:jc w:val="center"/>
              <w:rPr>
                <w:rFonts w:asciiTheme="majorBidi" w:hAnsiTheme="majorBidi" w:cstheme="majorBidi"/>
                <w:b/>
                <w:bCs/>
                <w:color w:val="000000"/>
                <w:sz w:val="20"/>
                <w:szCs w:val="20"/>
              </w:rPr>
            </w:pPr>
            <w:r w:rsidRPr="00A95FA1">
              <w:rPr>
                <w:rFonts w:asciiTheme="majorBidi" w:hAnsiTheme="majorBidi" w:cstheme="majorBidi"/>
                <w:b/>
                <w:bCs/>
                <w:sz w:val="20"/>
                <w:szCs w:val="20"/>
              </w:rPr>
              <w:t>TOTAL</w:t>
            </w:r>
          </w:p>
        </w:tc>
        <w:tc>
          <w:tcPr>
            <w:tcW w:w="1350" w:type="dxa"/>
            <w:tcBorders>
              <w:top w:val="nil"/>
              <w:left w:val="nil"/>
              <w:bottom w:val="double" w:sz="6" w:space="0" w:color="auto"/>
              <w:right w:val="single" w:sz="8" w:space="0" w:color="auto"/>
            </w:tcBorders>
            <w:shd w:val="clear" w:color="auto" w:fill="auto"/>
            <w:noWrap/>
            <w:vAlign w:val="bottom"/>
            <w:hideMark/>
          </w:tcPr>
          <w:p w14:paraId="4F541083" w14:textId="26CF01CF" w:rsidR="002E7091" w:rsidRPr="00A95FA1" w:rsidRDefault="002E7091" w:rsidP="002E7091">
            <w:pPr>
              <w:jc w:val="center"/>
              <w:rPr>
                <w:rFonts w:asciiTheme="majorBidi" w:hAnsiTheme="majorBidi" w:cstheme="majorBidi"/>
                <w:b/>
                <w:bCs/>
                <w:color w:val="000000"/>
                <w:sz w:val="20"/>
                <w:szCs w:val="20"/>
              </w:rPr>
            </w:pPr>
            <w:r>
              <w:rPr>
                <w:rFonts w:asciiTheme="majorBidi" w:hAnsiTheme="majorBidi" w:cstheme="majorBidi"/>
                <w:b/>
                <w:color w:val="000000"/>
                <w:sz w:val="20"/>
                <w:szCs w:val="20"/>
              </w:rPr>
              <w:t>767</w:t>
            </w:r>
          </w:p>
        </w:tc>
        <w:tc>
          <w:tcPr>
            <w:tcW w:w="1260" w:type="dxa"/>
            <w:tcBorders>
              <w:top w:val="nil"/>
              <w:left w:val="nil"/>
              <w:bottom w:val="double" w:sz="6" w:space="0" w:color="auto"/>
              <w:right w:val="single" w:sz="8" w:space="0" w:color="auto"/>
            </w:tcBorders>
            <w:shd w:val="clear" w:color="auto" w:fill="auto"/>
            <w:noWrap/>
            <w:vAlign w:val="bottom"/>
            <w:hideMark/>
          </w:tcPr>
          <w:p w14:paraId="670A46A2" w14:textId="611A3075" w:rsidR="002E7091" w:rsidRPr="00A95FA1" w:rsidRDefault="002E7091" w:rsidP="002E7091">
            <w:pPr>
              <w:jc w:val="center"/>
              <w:rPr>
                <w:rFonts w:asciiTheme="majorBidi" w:hAnsiTheme="majorBidi" w:cstheme="majorBidi"/>
                <w:b/>
                <w:bCs/>
                <w:color w:val="000000"/>
                <w:sz w:val="20"/>
                <w:szCs w:val="20"/>
              </w:rPr>
            </w:pPr>
            <w:r w:rsidRPr="00A95FA1">
              <w:rPr>
                <w:rFonts w:asciiTheme="majorBidi" w:hAnsiTheme="majorBidi" w:cstheme="majorBidi"/>
                <w:b/>
                <w:color w:val="000000"/>
                <w:sz w:val="20"/>
                <w:szCs w:val="20"/>
              </w:rPr>
              <w:t>--</w:t>
            </w:r>
          </w:p>
        </w:tc>
        <w:tc>
          <w:tcPr>
            <w:tcW w:w="1170" w:type="dxa"/>
            <w:tcBorders>
              <w:top w:val="nil"/>
              <w:left w:val="nil"/>
              <w:bottom w:val="double" w:sz="6" w:space="0" w:color="auto"/>
              <w:right w:val="single" w:sz="8" w:space="0" w:color="auto"/>
            </w:tcBorders>
            <w:shd w:val="clear" w:color="auto" w:fill="auto"/>
            <w:noWrap/>
            <w:vAlign w:val="bottom"/>
            <w:hideMark/>
          </w:tcPr>
          <w:p w14:paraId="1044ABEA" w14:textId="7F03D26C" w:rsidR="002E7091" w:rsidRPr="00A95FA1" w:rsidRDefault="002E7091" w:rsidP="002E7091">
            <w:pPr>
              <w:jc w:val="center"/>
              <w:rPr>
                <w:rFonts w:asciiTheme="majorBidi" w:hAnsiTheme="majorBidi" w:cstheme="majorBidi"/>
                <w:b/>
                <w:bCs/>
                <w:color w:val="000000"/>
                <w:sz w:val="20"/>
                <w:szCs w:val="20"/>
              </w:rPr>
            </w:pPr>
            <w:r>
              <w:rPr>
                <w:rFonts w:asciiTheme="majorBidi" w:hAnsiTheme="majorBidi" w:cstheme="majorBidi"/>
                <w:b/>
                <w:color w:val="000000"/>
                <w:sz w:val="20"/>
                <w:szCs w:val="20"/>
              </w:rPr>
              <w:t>767</w:t>
            </w:r>
          </w:p>
        </w:tc>
        <w:tc>
          <w:tcPr>
            <w:tcW w:w="1170" w:type="dxa"/>
            <w:tcBorders>
              <w:top w:val="nil"/>
              <w:left w:val="nil"/>
              <w:bottom w:val="double" w:sz="6" w:space="0" w:color="auto"/>
              <w:right w:val="single" w:sz="8" w:space="0" w:color="auto"/>
            </w:tcBorders>
            <w:shd w:val="clear" w:color="auto" w:fill="auto"/>
            <w:noWrap/>
            <w:vAlign w:val="bottom"/>
            <w:hideMark/>
          </w:tcPr>
          <w:p w14:paraId="3583FB89" w14:textId="111BE039" w:rsidR="002E7091" w:rsidRPr="00A95FA1" w:rsidRDefault="002E7091" w:rsidP="002E7091">
            <w:pPr>
              <w:jc w:val="center"/>
              <w:rPr>
                <w:rFonts w:asciiTheme="majorBidi" w:hAnsiTheme="majorBidi" w:cstheme="majorBidi"/>
                <w:b/>
                <w:bCs/>
                <w:color w:val="000000"/>
                <w:sz w:val="20"/>
                <w:szCs w:val="20"/>
              </w:rPr>
            </w:pPr>
            <w:r w:rsidRPr="00A95FA1">
              <w:rPr>
                <w:rFonts w:asciiTheme="majorBidi" w:hAnsiTheme="majorBidi" w:cstheme="majorBidi"/>
                <w:b/>
                <w:color w:val="000000"/>
                <w:sz w:val="20"/>
                <w:szCs w:val="20"/>
              </w:rPr>
              <w:t>--</w:t>
            </w:r>
          </w:p>
        </w:tc>
        <w:tc>
          <w:tcPr>
            <w:tcW w:w="900" w:type="dxa"/>
            <w:tcBorders>
              <w:top w:val="nil"/>
              <w:left w:val="nil"/>
              <w:bottom w:val="double" w:sz="6" w:space="0" w:color="auto"/>
              <w:right w:val="single" w:sz="8" w:space="0" w:color="auto"/>
            </w:tcBorders>
            <w:shd w:val="clear" w:color="auto" w:fill="auto"/>
            <w:noWrap/>
            <w:vAlign w:val="bottom"/>
            <w:hideMark/>
          </w:tcPr>
          <w:p w14:paraId="23559435" w14:textId="41D4BB1A" w:rsidR="002E7091" w:rsidRPr="00A95FA1" w:rsidRDefault="002E7091" w:rsidP="002E7091">
            <w:pPr>
              <w:jc w:val="center"/>
              <w:rPr>
                <w:rFonts w:asciiTheme="majorBidi" w:hAnsiTheme="majorBidi" w:cstheme="majorBidi"/>
                <w:b/>
                <w:bCs/>
                <w:color w:val="000000"/>
                <w:sz w:val="20"/>
                <w:szCs w:val="20"/>
              </w:rPr>
            </w:pPr>
            <w:r>
              <w:rPr>
                <w:rFonts w:asciiTheme="majorBidi" w:hAnsiTheme="majorBidi" w:cstheme="majorBidi"/>
                <w:b/>
                <w:color w:val="000000"/>
                <w:sz w:val="20"/>
                <w:szCs w:val="20"/>
              </w:rPr>
              <w:t>767</w:t>
            </w:r>
          </w:p>
        </w:tc>
        <w:tc>
          <w:tcPr>
            <w:tcW w:w="990" w:type="dxa"/>
            <w:tcBorders>
              <w:top w:val="nil"/>
              <w:left w:val="nil"/>
              <w:bottom w:val="double" w:sz="6" w:space="0" w:color="auto"/>
              <w:right w:val="single" w:sz="8" w:space="0" w:color="auto"/>
            </w:tcBorders>
            <w:shd w:val="clear" w:color="auto" w:fill="auto"/>
            <w:noWrap/>
            <w:vAlign w:val="bottom"/>
            <w:hideMark/>
          </w:tcPr>
          <w:p w14:paraId="25237C23" w14:textId="51B75C2F" w:rsidR="002E7091" w:rsidRPr="00A95FA1" w:rsidRDefault="002E7091" w:rsidP="002E7091">
            <w:pPr>
              <w:jc w:val="center"/>
              <w:rPr>
                <w:rFonts w:asciiTheme="majorBidi" w:hAnsiTheme="majorBidi" w:cstheme="majorBidi"/>
                <w:b/>
                <w:bCs/>
                <w:color w:val="000000"/>
                <w:sz w:val="20"/>
                <w:szCs w:val="20"/>
              </w:rPr>
            </w:pPr>
            <w:r w:rsidRPr="00A95FA1">
              <w:rPr>
                <w:rFonts w:asciiTheme="majorBidi" w:hAnsiTheme="majorBidi" w:cstheme="majorBidi"/>
                <w:b/>
                <w:color w:val="000000"/>
                <w:sz w:val="20"/>
                <w:szCs w:val="20"/>
              </w:rPr>
              <w:t>--</w:t>
            </w:r>
          </w:p>
        </w:tc>
        <w:tc>
          <w:tcPr>
            <w:tcW w:w="1260" w:type="dxa"/>
            <w:tcBorders>
              <w:top w:val="nil"/>
              <w:left w:val="nil"/>
              <w:bottom w:val="double" w:sz="6" w:space="0" w:color="auto"/>
              <w:right w:val="double" w:sz="6" w:space="0" w:color="auto"/>
            </w:tcBorders>
            <w:shd w:val="clear" w:color="auto" w:fill="auto"/>
            <w:noWrap/>
            <w:vAlign w:val="center"/>
            <w:hideMark/>
          </w:tcPr>
          <w:p w14:paraId="5D5E1E1C" w14:textId="3DA51369" w:rsidR="002E7091" w:rsidRPr="00A95FA1" w:rsidRDefault="002E7091" w:rsidP="002E7091">
            <w:pPr>
              <w:jc w:val="center"/>
              <w:rPr>
                <w:rFonts w:asciiTheme="majorBidi" w:hAnsiTheme="majorBidi" w:cstheme="majorBidi"/>
                <w:b/>
                <w:bCs/>
                <w:color w:val="000000"/>
                <w:sz w:val="20"/>
                <w:szCs w:val="20"/>
              </w:rPr>
            </w:pPr>
            <w:r w:rsidRPr="00A95FA1">
              <w:rPr>
                <w:rFonts w:asciiTheme="majorBidi" w:hAnsiTheme="majorBidi" w:cstheme="majorBidi"/>
                <w:b/>
                <w:color w:val="000000"/>
                <w:sz w:val="20"/>
                <w:szCs w:val="20"/>
              </w:rPr>
              <w:t>$</w:t>
            </w:r>
            <w:r>
              <w:rPr>
                <w:rFonts w:asciiTheme="majorBidi" w:hAnsiTheme="majorBidi" w:cstheme="majorBidi"/>
                <w:b/>
                <w:color w:val="000000"/>
                <w:sz w:val="20"/>
                <w:szCs w:val="20"/>
              </w:rPr>
              <w:t>35,136.27</w:t>
            </w:r>
          </w:p>
        </w:tc>
      </w:tr>
    </w:tbl>
    <w:p w14:paraId="135320D8" w14:textId="77777777" w:rsidR="00EB7FAD" w:rsidRPr="002E7091" w:rsidRDefault="00EB7FAD" w:rsidP="00EB7FAD">
      <w:pPr>
        <w:rPr>
          <w:sz w:val="20"/>
          <w:szCs w:val="20"/>
        </w:rPr>
      </w:pPr>
      <w:r>
        <w:rPr>
          <w:sz w:val="20"/>
          <w:szCs w:val="20"/>
          <w:vertAlign w:val="superscript"/>
        </w:rPr>
        <w:t xml:space="preserve">a </w:t>
      </w:r>
      <w:r>
        <w:rPr>
          <w:sz w:val="20"/>
          <w:szCs w:val="20"/>
        </w:rPr>
        <w:t xml:space="preserve">Hours per response is an average annualized estimate. </w:t>
      </w:r>
    </w:p>
    <w:p w14:paraId="771FABA6" w14:textId="59D019D5" w:rsidR="00EB7FAD" w:rsidRPr="005011CD" w:rsidRDefault="00EB7FAD" w:rsidP="00EB7FAD">
      <w:pPr>
        <w:rPr>
          <w:sz w:val="20"/>
          <w:szCs w:val="20"/>
        </w:rPr>
      </w:pPr>
      <w:r>
        <w:rPr>
          <w:sz w:val="20"/>
          <w:szCs w:val="20"/>
          <w:vertAlign w:val="superscript"/>
        </w:rPr>
        <w:t xml:space="preserve">b </w:t>
      </w:r>
      <w:r>
        <w:rPr>
          <w:sz w:val="20"/>
          <w:szCs w:val="20"/>
        </w:rPr>
        <w:t xml:space="preserve">Average hourly wage is calculated using wages from the Bureau of Labor Statics and taking a weighted average of the national average wage for </w:t>
      </w:r>
      <w:r w:rsidRPr="005011CD">
        <w:rPr>
          <w:sz w:val="20"/>
          <w:szCs w:val="20"/>
        </w:rPr>
        <w:t>Social and Community Manager</w:t>
      </w:r>
      <w:r>
        <w:rPr>
          <w:sz w:val="20"/>
          <w:szCs w:val="20"/>
        </w:rPr>
        <w:t xml:space="preserve"> and </w:t>
      </w:r>
      <w:r w:rsidRPr="005011CD">
        <w:rPr>
          <w:sz w:val="20"/>
          <w:szCs w:val="20"/>
        </w:rPr>
        <w:t>Medical and Health Services Manager</w:t>
      </w:r>
      <w:r>
        <w:rPr>
          <w:sz w:val="20"/>
          <w:szCs w:val="20"/>
        </w:rPr>
        <w:t xml:space="preserve">. </w:t>
      </w:r>
    </w:p>
    <w:p w14:paraId="1508ED74" w14:textId="77777777" w:rsidR="00EB7FAD" w:rsidRDefault="00EB7FAD" w:rsidP="00EB7FAD">
      <w:pPr>
        <w:rPr>
          <w:sz w:val="20"/>
          <w:szCs w:val="20"/>
        </w:rPr>
      </w:pPr>
      <w:r>
        <w:rPr>
          <w:sz w:val="20"/>
          <w:szCs w:val="20"/>
          <w:vertAlign w:val="superscript"/>
        </w:rPr>
        <w:t xml:space="preserve">c </w:t>
      </w:r>
      <w:r w:rsidRPr="0038438D">
        <w:rPr>
          <w:sz w:val="20"/>
          <w:szCs w:val="20"/>
        </w:rPr>
        <w:t xml:space="preserve">Total respondent cost is calculated as hourly wage × hours per response × total number of responses. </w:t>
      </w:r>
    </w:p>
    <w:p w14:paraId="6B28FBAF" w14:textId="77777777" w:rsidR="00CA6E26" w:rsidRPr="0038438D" w:rsidRDefault="00CA6E26" w:rsidP="00560487">
      <w:pPr>
        <w:pStyle w:val="Heading2"/>
      </w:pPr>
      <w:r w:rsidRPr="0038438D">
        <w:t>13.</w:t>
      </w:r>
      <w:r w:rsidRPr="0038438D">
        <w:tab/>
      </w:r>
      <w:r w:rsidRPr="00560487">
        <w:rPr>
          <w:u w:val="single"/>
        </w:rPr>
        <w:t>Estimates of Annualized Cost Burden to Respondents</w:t>
      </w:r>
    </w:p>
    <w:p w14:paraId="7317B1A7" w14:textId="77777777" w:rsidR="00CA6E26" w:rsidRPr="0038438D" w:rsidRDefault="00CA6E26" w:rsidP="00560487">
      <w:pPr>
        <w:pStyle w:val="BodyText"/>
      </w:pPr>
      <w:r w:rsidRPr="0038438D">
        <w:t xml:space="preserve">There are no respondent costs for capital or start-up or for operation or maintenance. </w:t>
      </w:r>
    </w:p>
    <w:p w14:paraId="0793BEE7" w14:textId="77777777" w:rsidR="00CA6E26" w:rsidRPr="0038438D" w:rsidRDefault="00CA6E26" w:rsidP="00560487">
      <w:pPr>
        <w:pStyle w:val="Heading2"/>
      </w:pPr>
      <w:r w:rsidRPr="0038438D">
        <w:t>14.</w:t>
      </w:r>
      <w:r w:rsidRPr="0038438D">
        <w:tab/>
      </w:r>
      <w:r w:rsidRPr="00560487">
        <w:rPr>
          <w:u w:val="single"/>
        </w:rPr>
        <w:t>Estimates of Annualized Cost to the Government</w:t>
      </w:r>
    </w:p>
    <w:p w14:paraId="49AF8E54" w14:textId="111E9C93" w:rsidR="00CA6E26" w:rsidRPr="001E3054" w:rsidRDefault="00CA6E26" w:rsidP="00A64822">
      <w:pPr>
        <w:pStyle w:val="BodyText"/>
      </w:pPr>
      <w:r w:rsidRPr="001E3054">
        <w:t>The total estimated cost to the government for the data collection is $</w:t>
      </w:r>
      <w:r w:rsidR="008225B5" w:rsidRPr="001E3054">
        <w:t>46,225.92</w:t>
      </w:r>
      <w:r w:rsidRPr="001E3054">
        <w:t>.</w:t>
      </w:r>
      <w:r w:rsidR="00207E4C" w:rsidRPr="001E3054">
        <w:t xml:space="preserve"> </w:t>
      </w:r>
      <w:r w:rsidRPr="001E3054">
        <w:t>This includes approximately</w:t>
      </w:r>
      <w:r w:rsidR="008225B5" w:rsidRPr="001E3054">
        <w:t xml:space="preserve"> costs</w:t>
      </w:r>
      <w:r w:rsidRPr="001E3054">
        <w:t xml:space="preserve"> for programming, contractor labor for conducting interviews</w:t>
      </w:r>
      <w:r w:rsidR="00A64822" w:rsidRPr="001E3054">
        <w:t>, focus groups,</w:t>
      </w:r>
      <w:r w:rsidRPr="001E3054">
        <w:t xml:space="preserve"> and </w:t>
      </w:r>
      <w:r w:rsidR="00F85F88" w:rsidRPr="001E3054">
        <w:t xml:space="preserve">the </w:t>
      </w:r>
      <w:r w:rsidR="006F53B0" w:rsidRPr="001E3054">
        <w:rPr>
          <w:i/>
          <w:iCs/>
          <w:sz w:val="23"/>
          <w:szCs w:val="23"/>
        </w:rPr>
        <w:t>Provider Survey</w:t>
      </w:r>
      <w:r w:rsidR="00F85F88" w:rsidRPr="001E3054">
        <w:t xml:space="preserve"> </w:t>
      </w:r>
      <w:r w:rsidRPr="001E3054">
        <w:t>and analyzing and reporting data, travel for site visits</w:t>
      </w:r>
      <w:r w:rsidR="0013717D" w:rsidRPr="001E3054">
        <w:t>,</w:t>
      </w:r>
      <w:r w:rsidRPr="001E3054">
        <w:t xml:space="preserve"> and housing and maintaining data.</w:t>
      </w:r>
    </w:p>
    <w:p w14:paraId="23625A32" w14:textId="0B415188" w:rsidR="00ED0429" w:rsidRDefault="00ED0429" w:rsidP="00560487">
      <w:pPr>
        <w:pStyle w:val="BodyText"/>
      </w:pPr>
      <w:r w:rsidRPr="001E3054">
        <w:t>Approximately $</w:t>
      </w:r>
      <w:r w:rsidR="008225B5" w:rsidRPr="001E3054">
        <w:t>2,468</w:t>
      </w:r>
      <w:r w:rsidRPr="001E3054">
        <w:t xml:space="preserve"> per year represents SAMHSA costs to manage</w:t>
      </w:r>
      <w:r w:rsidR="0013717D" w:rsidRPr="001E3054">
        <w:t xml:space="preserve"> and </w:t>
      </w:r>
      <w:r w:rsidRPr="001E3054">
        <w:t xml:space="preserve">administer the survey for </w:t>
      </w:r>
      <w:r w:rsidR="008225B5" w:rsidRPr="001E3054">
        <w:t>2</w:t>
      </w:r>
      <w:r w:rsidRPr="001E3054">
        <w:t>% of one employee (GS-</w:t>
      </w:r>
      <w:r w:rsidR="008225B5" w:rsidRPr="001E3054">
        <w:t>13</w:t>
      </w:r>
      <w:r w:rsidRPr="001E3054">
        <w:t>, $</w:t>
      </w:r>
      <w:r w:rsidR="008225B5" w:rsidRPr="001E3054">
        <w:t>123,406</w:t>
      </w:r>
      <w:r w:rsidRPr="001E3054">
        <w:t>)</w:t>
      </w:r>
    </w:p>
    <w:p w14:paraId="009620C4" w14:textId="77777777" w:rsidR="00ED0429" w:rsidRPr="00EC16A2" w:rsidRDefault="00ED0429" w:rsidP="00560487">
      <w:pPr>
        <w:pStyle w:val="Heading2"/>
      </w:pPr>
      <w:bookmarkStart w:id="22" w:name="_Toc131564361"/>
      <w:r>
        <w:t>1</w:t>
      </w:r>
      <w:r w:rsidRPr="00EC16A2">
        <w:t>5.</w:t>
      </w:r>
      <w:r w:rsidRPr="00EC16A2">
        <w:tab/>
      </w:r>
      <w:r w:rsidRPr="00560487">
        <w:rPr>
          <w:u w:val="single"/>
        </w:rPr>
        <w:t>Changes in Burden</w:t>
      </w:r>
      <w:bookmarkEnd w:id="22"/>
    </w:p>
    <w:p w14:paraId="6127EB13" w14:textId="676AB7B3" w:rsidR="00ED0429" w:rsidRPr="008C607D" w:rsidRDefault="00ED0429" w:rsidP="00560487">
      <w:pPr>
        <w:pStyle w:val="BodyText"/>
      </w:pPr>
      <w:r w:rsidRPr="008C607D">
        <w:t xml:space="preserve">This is a new </w:t>
      </w:r>
      <w:r w:rsidR="00240ADC">
        <w:t xml:space="preserve">data </w:t>
      </w:r>
      <w:r w:rsidRPr="008C607D">
        <w:t>collection.</w:t>
      </w:r>
    </w:p>
    <w:p w14:paraId="3CAFB877" w14:textId="77777777" w:rsidR="00ED0429" w:rsidRPr="00EC16A2" w:rsidRDefault="00ED0429" w:rsidP="00560487">
      <w:pPr>
        <w:pStyle w:val="Heading2"/>
      </w:pPr>
      <w:r w:rsidRPr="00EC16A2">
        <w:t>16.</w:t>
      </w:r>
      <w:r w:rsidRPr="00EC16A2">
        <w:tab/>
      </w:r>
      <w:r w:rsidRPr="00560487">
        <w:rPr>
          <w:u w:val="single"/>
        </w:rPr>
        <w:t>Time Schedule, Publications, and Analysis Plan</w:t>
      </w:r>
      <w:r w:rsidRPr="00EC16A2">
        <w:t xml:space="preserve"> </w:t>
      </w:r>
    </w:p>
    <w:p w14:paraId="4ED2B50D" w14:textId="20B8F507" w:rsidR="00277B9B" w:rsidRDefault="00ED0429" w:rsidP="00277B9B">
      <w:pPr>
        <w:pStyle w:val="Heading3"/>
      </w:pPr>
      <w:r w:rsidRPr="00DE312D">
        <w:t>Time Schedule</w:t>
      </w:r>
      <w:r w:rsidR="00207E4C">
        <w:t xml:space="preserve"> </w:t>
      </w:r>
    </w:p>
    <w:p w14:paraId="2A1E84CF" w14:textId="791030B7" w:rsidR="00ED0429" w:rsidRDefault="00ED0429" w:rsidP="001447DF">
      <w:pPr>
        <w:pStyle w:val="BodyText"/>
      </w:pPr>
      <w:r w:rsidRPr="00C47473">
        <w:rPr>
          <w:b/>
          <w:bCs/>
          <w:i/>
        </w:rPr>
        <w:t xml:space="preserve">Exhibit </w:t>
      </w:r>
      <w:r w:rsidR="00BE204C">
        <w:rPr>
          <w:b/>
          <w:bCs/>
          <w:i/>
        </w:rPr>
        <w:t>10</w:t>
      </w:r>
      <w:r w:rsidR="00BE204C" w:rsidRPr="008C607D">
        <w:t xml:space="preserve"> </w:t>
      </w:r>
      <w:r w:rsidRPr="008C607D">
        <w:t>outlines the key time points for the study and for the collection of information. The requested period also allows for training and start-up activities associated with the preparation for data collection.</w:t>
      </w:r>
      <w:r w:rsidR="00F4008F">
        <w:t xml:space="preserve"> </w:t>
      </w:r>
      <w:r w:rsidR="00643FD7">
        <w:t xml:space="preserve">All data </w:t>
      </w:r>
      <w:r w:rsidR="00C86469">
        <w:t>collection activities will be contingent on OMB approval.</w:t>
      </w:r>
      <w:r w:rsidR="00136306">
        <w:t xml:space="preserve"> </w:t>
      </w:r>
    </w:p>
    <w:p w14:paraId="7B3D74EB" w14:textId="77777777" w:rsidR="00BB73F4" w:rsidRDefault="00BB73F4" w:rsidP="001447DF">
      <w:pPr>
        <w:pStyle w:val="BodyText"/>
      </w:pPr>
    </w:p>
    <w:p w14:paraId="7FBB6370" w14:textId="77777777" w:rsidR="00BB73F4" w:rsidRDefault="00BB73F4" w:rsidP="001447DF">
      <w:pPr>
        <w:pStyle w:val="BodyText"/>
      </w:pPr>
    </w:p>
    <w:p w14:paraId="12179D18" w14:textId="7D29E692" w:rsidR="00ED0429" w:rsidRPr="00147DB1" w:rsidRDefault="00ED0429" w:rsidP="001447DF">
      <w:pPr>
        <w:pStyle w:val="Exhibittitle"/>
      </w:pPr>
      <w:bookmarkStart w:id="23" w:name="_Toc46162795"/>
      <w:bookmarkStart w:id="24" w:name="_Toc54502997"/>
      <w:bookmarkStart w:id="25" w:name="_Toc93987697"/>
      <w:bookmarkStart w:id="26" w:name="_Toc131566258"/>
      <w:r w:rsidRPr="00147DB1">
        <w:lastRenderedPageBreak/>
        <w:t xml:space="preserve">Exhibit </w:t>
      </w:r>
      <w:r w:rsidR="00BE204C">
        <w:t>10</w:t>
      </w:r>
      <w:r w:rsidRPr="00147DB1">
        <w:t xml:space="preserve">. </w:t>
      </w:r>
      <w:r w:rsidR="00560487">
        <w:tab/>
      </w:r>
      <w:r w:rsidRPr="00147DB1">
        <w:t xml:space="preserve">Time Schedule for </w:t>
      </w:r>
      <w:bookmarkEnd w:id="23"/>
      <w:bookmarkEnd w:id="24"/>
      <w:bookmarkEnd w:id="25"/>
      <w:bookmarkEnd w:id="26"/>
      <w:r w:rsidRPr="00147DB1">
        <w:t xml:space="preserve">Data Collection </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1E0" w:firstRow="1" w:lastRow="1" w:firstColumn="1" w:lastColumn="1" w:noHBand="0" w:noVBand="0"/>
      </w:tblPr>
      <w:tblGrid>
        <w:gridCol w:w="5040"/>
        <w:gridCol w:w="4200"/>
      </w:tblGrid>
      <w:tr w:rsidR="00ED0429" w:rsidRPr="008C607D" w14:paraId="6459E919" w14:textId="77777777" w:rsidTr="00315454">
        <w:tc>
          <w:tcPr>
            <w:tcW w:w="5040" w:type="dxa"/>
            <w:shd w:val="clear" w:color="auto" w:fill="F2F2F2" w:themeFill="background1" w:themeFillShade="F2"/>
            <w:vAlign w:val="bottom"/>
          </w:tcPr>
          <w:p w14:paraId="2EF253D9" w14:textId="77777777" w:rsidR="00ED0429" w:rsidRPr="00147DB1" w:rsidRDefault="00ED0429" w:rsidP="00315454">
            <w:pPr>
              <w:jc w:val="center"/>
              <w:rPr>
                <w:b/>
                <w:bCs/>
              </w:rPr>
            </w:pPr>
            <w:r w:rsidRPr="00147DB1">
              <w:rPr>
                <w:b/>
                <w:bCs/>
              </w:rPr>
              <w:t>Activity</w:t>
            </w:r>
          </w:p>
        </w:tc>
        <w:tc>
          <w:tcPr>
            <w:tcW w:w="4200" w:type="dxa"/>
            <w:shd w:val="clear" w:color="auto" w:fill="F2F2F2" w:themeFill="background1" w:themeFillShade="F2"/>
            <w:vAlign w:val="bottom"/>
          </w:tcPr>
          <w:p w14:paraId="2187732A" w14:textId="77777777" w:rsidR="00ED0429" w:rsidRPr="00147DB1" w:rsidRDefault="00ED0429" w:rsidP="00315454">
            <w:pPr>
              <w:jc w:val="center"/>
              <w:rPr>
                <w:b/>
                <w:bCs/>
              </w:rPr>
            </w:pPr>
            <w:r w:rsidRPr="00147DB1">
              <w:rPr>
                <w:b/>
                <w:bCs/>
              </w:rPr>
              <w:t>Time Schedule</w:t>
            </w:r>
          </w:p>
        </w:tc>
      </w:tr>
      <w:tr w:rsidR="00ED0429" w:rsidRPr="00326E8B" w14:paraId="4D10D7FA" w14:textId="77777777" w:rsidTr="00315454">
        <w:tc>
          <w:tcPr>
            <w:tcW w:w="5040" w:type="dxa"/>
          </w:tcPr>
          <w:p w14:paraId="685051ED" w14:textId="659268DB" w:rsidR="00ED0429" w:rsidRPr="004A751B" w:rsidRDefault="00643FD7" w:rsidP="00643FD7">
            <w:pPr>
              <w:spacing w:before="20" w:after="20"/>
            </w:pPr>
            <w:r>
              <w:t>Receive OMB approval</w:t>
            </w:r>
          </w:p>
        </w:tc>
        <w:tc>
          <w:tcPr>
            <w:tcW w:w="4200" w:type="dxa"/>
          </w:tcPr>
          <w:p w14:paraId="6C63D5E0" w14:textId="765BBBA9" w:rsidR="00ED0429" w:rsidRPr="004A751B" w:rsidRDefault="001945A0" w:rsidP="00454546">
            <w:pPr>
              <w:spacing w:before="20" w:after="20"/>
            </w:pPr>
            <w:r>
              <w:t xml:space="preserve">Summer </w:t>
            </w:r>
            <w:r w:rsidR="00643FD7">
              <w:t>2016</w:t>
            </w:r>
          </w:p>
        </w:tc>
      </w:tr>
      <w:tr w:rsidR="00ED0429" w:rsidRPr="00326E8B" w14:paraId="622E6082" w14:textId="77777777" w:rsidTr="00315454">
        <w:tc>
          <w:tcPr>
            <w:tcW w:w="5040" w:type="dxa"/>
            <w:shd w:val="clear" w:color="auto" w:fill="F2F2F2" w:themeFill="background1" w:themeFillShade="F2"/>
          </w:tcPr>
          <w:p w14:paraId="16D5B988" w14:textId="47A18D58" w:rsidR="00ED0429" w:rsidRDefault="00643FD7" w:rsidP="00601884">
            <w:pPr>
              <w:spacing w:before="20" w:after="20"/>
            </w:pPr>
            <w:r>
              <w:t xml:space="preserve">Conduct </w:t>
            </w:r>
            <w:r w:rsidR="0013717D">
              <w:t>I</w:t>
            </w:r>
            <w:r>
              <w:t xml:space="preserve">nterviews </w:t>
            </w:r>
            <w:r w:rsidR="00601884">
              <w:t>and Focus Groups</w:t>
            </w:r>
          </w:p>
          <w:p w14:paraId="2B9B4A11" w14:textId="77777777" w:rsidR="001945A0" w:rsidRDefault="001945A0" w:rsidP="001945A0">
            <w:pPr>
              <w:spacing w:before="20" w:after="20"/>
              <w:jc w:val="right"/>
            </w:pPr>
            <w:r>
              <w:t>SYT-ED providers</w:t>
            </w:r>
          </w:p>
          <w:p w14:paraId="7F753E6C" w14:textId="77777777" w:rsidR="001945A0" w:rsidRDefault="001945A0" w:rsidP="001945A0">
            <w:pPr>
              <w:spacing w:before="20" w:after="20"/>
              <w:jc w:val="right"/>
            </w:pPr>
            <w:r>
              <w:t>SYT-I providers</w:t>
            </w:r>
          </w:p>
          <w:p w14:paraId="1A3A775A" w14:textId="2ADC1A29" w:rsidR="001945A0" w:rsidRPr="004A751B" w:rsidRDefault="001945A0" w:rsidP="001945A0">
            <w:pPr>
              <w:spacing w:before="20" w:after="20"/>
            </w:pPr>
            <w:r>
              <w:t xml:space="preserve">                                                     SYT-P Providers</w:t>
            </w:r>
          </w:p>
        </w:tc>
        <w:tc>
          <w:tcPr>
            <w:tcW w:w="4200" w:type="dxa"/>
            <w:shd w:val="clear" w:color="auto" w:fill="F2F2F2" w:themeFill="background1" w:themeFillShade="F2"/>
          </w:tcPr>
          <w:p w14:paraId="209542C0" w14:textId="7BC1D7C8" w:rsidR="00ED0429" w:rsidRDefault="00ED0429" w:rsidP="001945A0">
            <w:pPr>
              <w:spacing w:before="20" w:after="20"/>
            </w:pPr>
          </w:p>
          <w:p w14:paraId="192E813D" w14:textId="7AA70A6B" w:rsidR="001945A0" w:rsidRDefault="001945A0" w:rsidP="001945A0">
            <w:pPr>
              <w:spacing w:before="20" w:after="20"/>
            </w:pPr>
            <w:r>
              <w:t>2016</w:t>
            </w:r>
            <w:r w:rsidR="002354D6">
              <w:t xml:space="preserve"> through </w:t>
            </w:r>
            <w:r w:rsidR="00FF4979">
              <w:t xml:space="preserve">late </w:t>
            </w:r>
            <w:r w:rsidR="002354D6">
              <w:t>2017</w:t>
            </w:r>
          </w:p>
          <w:p w14:paraId="2820D18F" w14:textId="34D6B6D1" w:rsidR="001945A0" w:rsidRDefault="001945A0" w:rsidP="001945A0">
            <w:pPr>
              <w:spacing w:before="20" w:after="20"/>
            </w:pPr>
            <w:r>
              <w:t>2016 through mid-201</w:t>
            </w:r>
            <w:r w:rsidR="00210734">
              <w:t>9</w:t>
            </w:r>
          </w:p>
          <w:p w14:paraId="50016FE4" w14:textId="0E1430F8" w:rsidR="001945A0" w:rsidRPr="004A751B" w:rsidRDefault="001945A0" w:rsidP="001945A0">
            <w:pPr>
              <w:spacing w:before="20" w:after="20"/>
            </w:pPr>
            <w:r>
              <w:t>2016 through mid-2018</w:t>
            </w:r>
          </w:p>
        </w:tc>
      </w:tr>
      <w:tr w:rsidR="00ED0429" w:rsidRPr="008C607D" w14:paraId="40B081DE" w14:textId="77777777" w:rsidTr="00315454">
        <w:tc>
          <w:tcPr>
            <w:tcW w:w="5040" w:type="dxa"/>
          </w:tcPr>
          <w:p w14:paraId="011A74B3" w14:textId="3347986C" w:rsidR="00ED0429" w:rsidRDefault="00643FD7" w:rsidP="00454546">
            <w:pPr>
              <w:spacing w:before="20" w:after="20"/>
            </w:pPr>
            <w:r>
              <w:t xml:space="preserve">Conduct Provider </w:t>
            </w:r>
            <w:r w:rsidR="0013717D">
              <w:t>S</w:t>
            </w:r>
            <w:r>
              <w:t>urvey</w:t>
            </w:r>
          </w:p>
          <w:p w14:paraId="7299BFA3" w14:textId="04892004" w:rsidR="00643FD7" w:rsidRDefault="00643FD7" w:rsidP="00643FD7">
            <w:pPr>
              <w:spacing w:before="20" w:after="20"/>
              <w:jc w:val="right"/>
            </w:pPr>
            <w:r>
              <w:t>SYT-ED providers</w:t>
            </w:r>
          </w:p>
          <w:p w14:paraId="4F90EC1F" w14:textId="77777777" w:rsidR="00643FD7" w:rsidRDefault="00643FD7" w:rsidP="00643FD7">
            <w:pPr>
              <w:spacing w:before="20" w:after="20"/>
              <w:jc w:val="right"/>
            </w:pPr>
            <w:r>
              <w:t>SYT-I providers</w:t>
            </w:r>
          </w:p>
          <w:p w14:paraId="28393D89" w14:textId="05BF3CAE" w:rsidR="001945A0" w:rsidRPr="004A751B" w:rsidRDefault="001945A0" w:rsidP="00643FD7">
            <w:pPr>
              <w:spacing w:before="20" w:after="20"/>
              <w:jc w:val="right"/>
            </w:pPr>
            <w:r>
              <w:t>SYT-P Providers</w:t>
            </w:r>
          </w:p>
        </w:tc>
        <w:tc>
          <w:tcPr>
            <w:tcW w:w="4200" w:type="dxa"/>
          </w:tcPr>
          <w:p w14:paraId="2D5605B4" w14:textId="77777777" w:rsidR="00643FD7" w:rsidRDefault="00643FD7" w:rsidP="00454546">
            <w:pPr>
              <w:spacing w:before="20" w:after="20"/>
            </w:pPr>
          </w:p>
          <w:p w14:paraId="3933CF84" w14:textId="7547A274" w:rsidR="00643FD7" w:rsidRDefault="00643FD7" w:rsidP="00454546">
            <w:pPr>
              <w:spacing w:before="20" w:after="20"/>
            </w:pPr>
            <w:r>
              <w:t>2016</w:t>
            </w:r>
            <w:r w:rsidR="002354D6">
              <w:t xml:space="preserve"> through </w:t>
            </w:r>
            <w:r w:rsidR="00FF4979">
              <w:t xml:space="preserve">late </w:t>
            </w:r>
            <w:r w:rsidR="002354D6">
              <w:t>2017</w:t>
            </w:r>
          </w:p>
          <w:p w14:paraId="14878367" w14:textId="4FF2DF42" w:rsidR="001945A0" w:rsidRDefault="00643FD7" w:rsidP="004C2D52">
            <w:pPr>
              <w:spacing w:before="20" w:after="20"/>
            </w:pPr>
            <w:r>
              <w:t xml:space="preserve">2016 </w:t>
            </w:r>
            <w:r w:rsidR="004C2D52">
              <w:t>through</w:t>
            </w:r>
            <w:r>
              <w:t xml:space="preserve"> </w:t>
            </w:r>
            <w:r w:rsidR="00807BF5">
              <w:t>mid-201</w:t>
            </w:r>
            <w:r w:rsidR="00210734">
              <w:t>9</w:t>
            </w:r>
          </w:p>
          <w:p w14:paraId="36FA703C" w14:textId="35263BED" w:rsidR="00643FD7" w:rsidRPr="004A751B" w:rsidRDefault="001945A0" w:rsidP="001945A0">
            <w:pPr>
              <w:spacing w:before="20" w:after="20"/>
            </w:pPr>
            <w:r>
              <w:t>2016 through mid-2018</w:t>
            </w:r>
            <w:r w:rsidR="00807BF5">
              <w:t xml:space="preserve"> </w:t>
            </w:r>
          </w:p>
        </w:tc>
      </w:tr>
      <w:tr w:rsidR="00ED0429" w:rsidRPr="008C607D" w14:paraId="74FC1A2B" w14:textId="77777777" w:rsidTr="00315454">
        <w:tc>
          <w:tcPr>
            <w:tcW w:w="5040" w:type="dxa"/>
            <w:shd w:val="clear" w:color="auto" w:fill="F2F2F2" w:themeFill="background1" w:themeFillShade="F2"/>
          </w:tcPr>
          <w:p w14:paraId="4E72F3D8" w14:textId="2CF79A10" w:rsidR="00ED0429" w:rsidRPr="004A751B" w:rsidRDefault="00C86469" w:rsidP="00601884">
            <w:pPr>
              <w:spacing w:before="20" w:after="20"/>
            </w:pPr>
            <w:r>
              <w:t xml:space="preserve">Prepare </w:t>
            </w:r>
            <w:r w:rsidR="0013717D">
              <w:t>I</w:t>
            </w:r>
            <w:r w:rsidR="004C2D52">
              <w:t>nterview</w:t>
            </w:r>
            <w:r w:rsidR="00601884">
              <w:t>,</w:t>
            </w:r>
            <w:r w:rsidR="004C2D52">
              <w:t xml:space="preserve"> Provider </w:t>
            </w:r>
            <w:r w:rsidR="0013717D">
              <w:t>S</w:t>
            </w:r>
            <w:r w:rsidR="004C2D52">
              <w:t xml:space="preserve">urvey </w:t>
            </w:r>
            <w:r w:rsidR="00601884">
              <w:t xml:space="preserve">and Focus Group </w:t>
            </w:r>
            <w:r w:rsidR="004C2D52">
              <w:t>data</w:t>
            </w:r>
            <w:r>
              <w:t>sets and conduct initial analysis</w:t>
            </w:r>
          </w:p>
        </w:tc>
        <w:tc>
          <w:tcPr>
            <w:tcW w:w="4200" w:type="dxa"/>
            <w:shd w:val="clear" w:color="auto" w:fill="F2F2F2" w:themeFill="background1" w:themeFillShade="F2"/>
          </w:tcPr>
          <w:p w14:paraId="2B018946" w14:textId="52E12DA2" w:rsidR="00ED0429" w:rsidRPr="004A751B" w:rsidRDefault="004C2D52" w:rsidP="00210734">
            <w:pPr>
              <w:spacing w:before="20" w:after="20"/>
            </w:pPr>
            <w:r>
              <w:t xml:space="preserve">Late 2017 through </w:t>
            </w:r>
            <w:r w:rsidR="00210734">
              <w:t xml:space="preserve"> mid-</w:t>
            </w:r>
            <w:r>
              <w:t>201</w:t>
            </w:r>
            <w:r w:rsidR="00210734">
              <w:t>9</w:t>
            </w:r>
          </w:p>
        </w:tc>
      </w:tr>
      <w:tr w:rsidR="00ED0429" w:rsidRPr="008C607D" w14:paraId="41BBAB03" w14:textId="77777777" w:rsidTr="00315454">
        <w:tc>
          <w:tcPr>
            <w:tcW w:w="5040" w:type="dxa"/>
          </w:tcPr>
          <w:p w14:paraId="0684D85D" w14:textId="1F282B45" w:rsidR="00ED0429" w:rsidRPr="004A751B" w:rsidRDefault="00C86469" w:rsidP="00C86469">
            <w:pPr>
              <w:spacing w:before="20" w:after="20"/>
            </w:pPr>
            <w:r>
              <w:t>Finalize analysis and p</w:t>
            </w:r>
            <w:r w:rsidR="004C2D52">
              <w:t xml:space="preserve">repare preliminary reports </w:t>
            </w:r>
          </w:p>
        </w:tc>
        <w:tc>
          <w:tcPr>
            <w:tcW w:w="4200" w:type="dxa"/>
          </w:tcPr>
          <w:p w14:paraId="316D1B43" w14:textId="22491A38" w:rsidR="00ED0429" w:rsidRPr="004A751B" w:rsidRDefault="004C2D52" w:rsidP="00C86469">
            <w:pPr>
              <w:spacing w:before="20" w:after="20"/>
            </w:pPr>
            <w:r>
              <w:t>Mid</w:t>
            </w:r>
            <w:r w:rsidR="00631B75">
              <w:t>-</w:t>
            </w:r>
            <w:r>
              <w:t>2018 through</w:t>
            </w:r>
            <w:r w:rsidR="00AE1FFF">
              <w:t xml:space="preserve"> </w:t>
            </w:r>
            <w:r>
              <w:t>20</w:t>
            </w:r>
            <w:r w:rsidR="00C86469">
              <w:t>19</w:t>
            </w:r>
          </w:p>
        </w:tc>
      </w:tr>
      <w:tr w:rsidR="00643FD7" w:rsidRPr="008C607D" w14:paraId="0A642A51" w14:textId="77777777" w:rsidTr="00315454">
        <w:tc>
          <w:tcPr>
            <w:tcW w:w="5040" w:type="dxa"/>
            <w:shd w:val="clear" w:color="auto" w:fill="F2F2F2" w:themeFill="background1" w:themeFillShade="F2"/>
          </w:tcPr>
          <w:p w14:paraId="0A471ED4" w14:textId="077149BF" w:rsidR="00643FD7" w:rsidRPr="004A751B" w:rsidRDefault="004C2D52" w:rsidP="00454546">
            <w:pPr>
              <w:spacing w:before="20" w:after="20"/>
            </w:pPr>
            <w:r>
              <w:t>Prepare final evaluation reports and distribute key findings</w:t>
            </w:r>
          </w:p>
        </w:tc>
        <w:tc>
          <w:tcPr>
            <w:tcW w:w="4200" w:type="dxa"/>
            <w:shd w:val="clear" w:color="auto" w:fill="F2F2F2" w:themeFill="background1" w:themeFillShade="F2"/>
          </w:tcPr>
          <w:p w14:paraId="65766742" w14:textId="289D7DA8" w:rsidR="00643FD7" w:rsidRPr="004A751B" w:rsidRDefault="004C2D52" w:rsidP="00C86469">
            <w:pPr>
              <w:spacing w:before="20" w:after="20"/>
            </w:pPr>
            <w:r>
              <w:t xml:space="preserve">2019 </w:t>
            </w:r>
          </w:p>
        </w:tc>
      </w:tr>
    </w:tbl>
    <w:p w14:paraId="4D366DE8" w14:textId="77777777" w:rsidR="003E6D66" w:rsidRDefault="003E6D66" w:rsidP="003E6D66">
      <w:pPr>
        <w:pStyle w:val="Heading3"/>
      </w:pPr>
      <w:bookmarkStart w:id="27" w:name="_Toc88277969"/>
      <w:bookmarkStart w:id="28" w:name="_Toc131564366"/>
    </w:p>
    <w:p w14:paraId="48A155D8" w14:textId="77777777" w:rsidR="003E6D66" w:rsidRDefault="003E6D66" w:rsidP="003E6D66">
      <w:pPr>
        <w:pStyle w:val="Heading3"/>
      </w:pPr>
      <w:r w:rsidRPr="00F34F5F">
        <w:t>Evaluation Methodology</w:t>
      </w:r>
    </w:p>
    <w:p w14:paraId="70672033" w14:textId="7883E2CB" w:rsidR="003E6D66" w:rsidRDefault="003E6D66" w:rsidP="001447DF">
      <w:pPr>
        <w:pStyle w:val="BodyText"/>
      </w:pPr>
      <w:r w:rsidRPr="00900DA6">
        <w:t xml:space="preserve">The evaluation of the SYT-ED, </w:t>
      </w:r>
      <w:r>
        <w:t>SYT-I</w:t>
      </w:r>
      <w:r w:rsidR="005B748B">
        <w:t>, and SYT-P</w:t>
      </w:r>
      <w:r w:rsidRPr="00900DA6">
        <w:t xml:space="preserve"> programs will use quantitative and qualitative data from multiple sources. The evaluation approach leverages existing quantitative data collected as a result of local evaluations and assessments conducted by the grantees including GPRA, GAIN, and other assessment tools that track the performance of their program and program clients. The evaluation also will use additional quantitative data concerning program performance (e.g., type and amount of services provided via web survey for the SYT</w:t>
      </w:r>
      <w:r>
        <w:noBreakHyphen/>
      </w:r>
      <w:r w:rsidRPr="00900DA6">
        <w:t>ED</w:t>
      </w:r>
      <w:r>
        <w:t xml:space="preserve"> and SYT-I</w:t>
      </w:r>
      <w:r w:rsidRPr="00900DA6">
        <w:t xml:space="preserve"> grantees) collected for </w:t>
      </w:r>
      <w:r w:rsidRPr="005543E4">
        <w:t xml:space="preserve">the purpose of this evaluation. In addition, existing (e.g., grantee reports to SAMHSA) and newly collected qualitative data—primarily the </w:t>
      </w:r>
      <w:r w:rsidR="00832E37">
        <w:rPr>
          <w:i/>
          <w:iCs/>
        </w:rPr>
        <w:t xml:space="preserve">Implementation, Sustainability, </w:t>
      </w:r>
      <w:r w:rsidR="00832E37" w:rsidRPr="00A95FA1">
        <w:rPr>
          <w:iCs/>
        </w:rPr>
        <w:t>and</w:t>
      </w:r>
      <w:r w:rsidR="00832E37">
        <w:rPr>
          <w:i/>
          <w:iCs/>
        </w:rPr>
        <w:t xml:space="preserve"> Stakeholder Interview Guides</w:t>
      </w:r>
      <w:r w:rsidR="001447DF" w:rsidRPr="005543E4">
        <w:rPr>
          <w:iCs/>
        </w:rPr>
        <w:t>,</w:t>
      </w:r>
      <w:r w:rsidRPr="005543E4">
        <w:t xml:space="preserve"> </w:t>
      </w:r>
      <w:r w:rsidR="006F53B0" w:rsidRPr="00FD26E2">
        <w:rPr>
          <w:i/>
          <w:iCs/>
          <w:sz w:val="23"/>
          <w:szCs w:val="23"/>
        </w:rPr>
        <w:t>Provider Survey</w:t>
      </w:r>
      <w:r w:rsidR="00F67EC5">
        <w:rPr>
          <w:i/>
          <w:iCs/>
          <w:sz w:val="23"/>
          <w:szCs w:val="23"/>
        </w:rPr>
        <w:t>,</w:t>
      </w:r>
      <w:r w:rsidR="001447DF" w:rsidRPr="005543E4">
        <w:rPr>
          <w:iCs/>
        </w:rPr>
        <w:t xml:space="preserve"> </w:t>
      </w:r>
      <w:r w:rsidR="001447DF" w:rsidRPr="005543E4">
        <w:t xml:space="preserve">and </w:t>
      </w:r>
      <w:r w:rsidR="00F67EC5" w:rsidRPr="00F67EC5">
        <w:rPr>
          <w:i/>
          <w:iCs/>
          <w:sz w:val="23"/>
          <w:szCs w:val="23"/>
        </w:rPr>
        <w:t>Focus Group G</w:t>
      </w:r>
      <w:r w:rsidR="003E49DF">
        <w:rPr>
          <w:i/>
          <w:iCs/>
          <w:sz w:val="23"/>
          <w:szCs w:val="23"/>
        </w:rPr>
        <w:t>uide</w:t>
      </w:r>
      <w:r w:rsidR="00F67EC5" w:rsidRPr="005543E4">
        <w:rPr>
          <w:iCs/>
        </w:rPr>
        <w:t xml:space="preserve"> </w:t>
      </w:r>
      <w:r w:rsidR="005543E4" w:rsidRPr="005543E4">
        <w:rPr>
          <w:iCs/>
        </w:rPr>
        <w:t xml:space="preserve">—will </w:t>
      </w:r>
      <w:r w:rsidR="005543E4" w:rsidRPr="005543E4">
        <w:t>be used</w:t>
      </w:r>
      <w:r w:rsidRPr="005543E4">
        <w:t xml:space="preserve">. These data will assess the process by which </w:t>
      </w:r>
      <w:r w:rsidR="00D01B33" w:rsidRPr="005543E4">
        <w:t>the SYT</w:t>
      </w:r>
      <w:r w:rsidR="005B748B" w:rsidRPr="005543E4">
        <w:t xml:space="preserve"> </w:t>
      </w:r>
      <w:r w:rsidRPr="005543E4">
        <w:t>programs are implemented and the</w:t>
      </w:r>
      <w:r w:rsidRPr="00900DA6">
        <w:t xml:space="preserve"> outcomes of these programs. Leveraging existing data and supplementing data gaps with primary data collection allow us to obtain comprehensive data to accomplish the goals and objectives of the proposed evaluation of </w:t>
      </w:r>
      <w:r w:rsidR="00D01B33" w:rsidRPr="00900DA6">
        <w:t xml:space="preserve">the </w:t>
      </w:r>
      <w:r w:rsidR="00D01B33">
        <w:t>SYT</w:t>
      </w:r>
      <w:r w:rsidR="005B748B">
        <w:t xml:space="preserve"> </w:t>
      </w:r>
      <w:r w:rsidRPr="00900DA6">
        <w:t>programs.</w:t>
      </w:r>
      <w:r>
        <w:t xml:space="preserve"> </w:t>
      </w:r>
    </w:p>
    <w:p w14:paraId="3F4B3179" w14:textId="77777777" w:rsidR="003E6D66" w:rsidRPr="00A82E48" w:rsidRDefault="003E6D66" w:rsidP="003E6D66">
      <w:pPr>
        <w:pStyle w:val="Heading3"/>
      </w:pPr>
      <w:r w:rsidRPr="00A82E48">
        <w:t xml:space="preserve">Evaluation </w:t>
      </w:r>
      <w:r>
        <w:t xml:space="preserve">Design and </w:t>
      </w:r>
      <w:r w:rsidRPr="00A82E48">
        <w:t>Analysis Plans</w:t>
      </w:r>
    </w:p>
    <w:p w14:paraId="42B5CCFE" w14:textId="4DAA2854" w:rsidR="003E6D66" w:rsidRDefault="003E6D66" w:rsidP="001945A0">
      <w:pPr>
        <w:pStyle w:val="BodyText"/>
      </w:pPr>
      <w:r>
        <w:t xml:space="preserve">The fundamental study design is pre-post, comparing baseline outcomes with follow-up outcomes (typically 6 months later). The presumption is that program treatment and services will cause outcomes to improve by the time they are measured at later interviews. When data support additional longitudinal models (e.g., multiple GAIN assessments after baseline, 3-month GPRA among adolescent and transitional aged youth programs), the post-baseline interviews will be treated as program outcomes and will be used to estimate changes in outcome trajectories. The rigor of the pre-post design depends on the validity of the assumption that interim treatment explains all changes in </w:t>
      </w:r>
      <w:r w:rsidR="009E5143">
        <w:t xml:space="preserve">client </w:t>
      </w:r>
      <w:r>
        <w:t xml:space="preserve">outcomes from baseline to follow-up. This is a strong assumption that ignores many confounders and processes (such as regression to the mean) that are viable </w:t>
      </w:r>
      <w:r>
        <w:lastRenderedPageBreak/>
        <w:t xml:space="preserve">alternative rationales for any changes over time implying that pre-post estimates will be biased. For this reason, we also plan to identify quasi-experimental comparison groups to reduce bias from these sources. Quasi-experimental comparison groups will be analyzed with propensity score methods using an intent-to-treat assumption. </w:t>
      </w:r>
    </w:p>
    <w:p w14:paraId="5386048A" w14:textId="12FC76B3" w:rsidR="003E6D66" w:rsidRDefault="003E6D66" w:rsidP="001447DF">
      <w:pPr>
        <w:pStyle w:val="BodyText"/>
      </w:pPr>
      <w:r>
        <w:t xml:space="preserve">Many of the components we will examine </w:t>
      </w:r>
      <w:r w:rsidRPr="005543E4">
        <w:t xml:space="preserve">within statistical models are based on qualitative data, particularly from data gathered by the </w:t>
      </w:r>
      <w:r w:rsidR="00832E37">
        <w:rPr>
          <w:i/>
          <w:iCs/>
        </w:rPr>
        <w:t xml:space="preserve">Implementation, Sustainability, </w:t>
      </w:r>
      <w:r w:rsidR="00832E37" w:rsidRPr="006654C6">
        <w:rPr>
          <w:iCs/>
        </w:rPr>
        <w:t>and</w:t>
      </w:r>
      <w:r w:rsidR="00832E37">
        <w:rPr>
          <w:i/>
          <w:iCs/>
        </w:rPr>
        <w:t xml:space="preserve"> Stakeholder Interview Guides</w:t>
      </w:r>
      <w:r w:rsidR="001447DF" w:rsidRPr="005543E4">
        <w:rPr>
          <w:iCs/>
        </w:rPr>
        <w:t>,</w:t>
      </w:r>
      <w:r w:rsidR="001447DF" w:rsidRPr="005543E4">
        <w:t xml:space="preserve"> </w:t>
      </w:r>
      <w:r w:rsidR="006F53B0" w:rsidRPr="00FD26E2">
        <w:rPr>
          <w:i/>
          <w:iCs/>
          <w:sz w:val="23"/>
          <w:szCs w:val="23"/>
        </w:rPr>
        <w:t>Provider Survey</w:t>
      </w:r>
      <w:r w:rsidR="00F67EC5">
        <w:rPr>
          <w:i/>
          <w:iCs/>
          <w:sz w:val="23"/>
          <w:szCs w:val="23"/>
        </w:rPr>
        <w:t>,</w:t>
      </w:r>
      <w:r w:rsidR="001447DF" w:rsidRPr="005543E4">
        <w:rPr>
          <w:iCs/>
        </w:rPr>
        <w:t xml:space="preserve"> </w:t>
      </w:r>
      <w:r w:rsidR="001447DF" w:rsidRPr="005543E4">
        <w:t xml:space="preserve">and </w:t>
      </w:r>
      <w:r w:rsidR="00F67EC5" w:rsidRPr="00F67EC5">
        <w:rPr>
          <w:i/>
          <w:iCs/>
          <w:sz w:val="23"/>
          <w:szCs w:val="23"/>
        </w:rPr>
        <w:t>Focus Group G</w:t>
      </w:r>
      <w:r w:rsidR="003E49DF">
        <w:rPr>
          <w:i/>
          <w:iCs/>
          <w:sz w:val="23"/>
          <w:szCs w:val="23"/>
        </w:rPr>
        <w:t>uide</w:t>
      </w:r>
      <w:r w:rsidRPr="005543E4">
        <w:t xml:space="preserve">. For example, consistent challenges to implementation may emerge from key informant interviews that we will wish to analyze within a statistical model of client outcomes (moderation). </w:t>
      </w:r>
      <w:r w:rsidR="00633A9C" w:rsidRPr="005543E4">
        <w:t xml:space="preserve">Example table shells for </w:t>
      </w:r>
      <w:r w:rsidR="006F53B0" w:rsidRPr="00FD26E2">
        <w:rPr>
          <w:i/>
          <w:iCs/>
          <w:sz w:val="23"/>
          <w:szCs w:val="23"/>
        </w:rPr>
        <w:t>Provider Survey</w:t>
      </w:r>
      <w:r w:rsidR="00633A9C" w:rsidRPr="005543E4">
        <w:t xml:space="preserve"> data which present descriptive characteristics which may be incorporated into statistical models can be found in Attachment </w:t>
      </w:r>
      <w:r w:rsidR="001447DF" w:rsidRPr="005543E4">
        <w:t>9</w:t>
      </w:r>
      <w:r w:rsidR="00633A9C" w:rsidRPr="005543E4">
        <w:t xml:space="preserve">.  For the </w:t>
      </w:r>
      <w:r w:rsidR="005514C5">
        <w:rPr>
          <w:iCs/>
        </w:rPr>
        <w:t>i</w:t>
      </w:r>
      <w:r w:rsidR="00633A9C" w:rsidRPr="005543E4">
        <w:rPr>
          <w:iCs/>
        </w:rPr>
        <w:t>nterviews</w:t>
      </w:r>
      <w:r w:rsidR="001447DF" w:rsidRPr="005543E4">
        <w:rPr>
          <w:iCs/>
        </w:rPr>
        <w:t xml:space="preserve"> </w:t>
      </w:r>
      <w:r w:rsidR="001447DF" w:rsidRPr="005543E4">
        <w:t xml:space="preserve">and </w:t>
      </w:r>
      <w:r w:rsidR="00245E6F">
        <w:rPr>
          <w:iCs/>
        </w:rPr>
        <w:t>focus group</w:t>
      </w:r>
      <w:r w:rsidR="001447DF" w:rsidRPr="005543E4">
        <w:rPr>
          <w:iCs/>
        </w:rPr>
        <w:t>s</w:t>
      </w:r>
      <w:r w:rsidR="00633A9C" w:rsidRPr="005543E4">
        <w:t xml:space="preserve">, </w:t>
      </w:r>
      <w:r w:rsidR="008248C9" w:rsidRPr="005543E4">
        <w:t>f</w:t>
      </w:r>
      <w:r w:rsidRPr="005543E4">
        <w:t>ormal qualitative analyses will also aid in producing taxonomies of program models; lessons learned; project narrativ</w:t>
      </w:r>
      <w:r w:rsidR="005543E4" w:rsidRPr="005543E4">
        <w:t>es; challenges and facilitators,</w:t>
      </w:r>
      <w:r w:rsidRPr="005543E4">
        <w:t xml:space="preserve"> and innovations, EBPs, and adaptations. Our fundamental appr</w:t>
      </w:r>
      <w:r>
        <w:t>oach will be inductive. However, because the projects may exhibit a complex set of similarities and differences, we propose the use of Boolean-based Comparative Qualitative Analysis (CQA) to rigorously distill complex data. CQA supports the development of hypotheses around the causal chain of project implementation through long-term client outcomes.</w:t>
      </w:r>
    </w:p>
    <w:p w14:paraId="323F8566" w14:textId="77FE905E" w:rsidR="00ED0429" w:rsidRPr="001B1E03" w:rsidRDefault="00ED0429" w:rsidP="00560487">
      <w:pPr>
        <w:pStyle w:val="Heading2"/>
      </w:pPr>
      <w:r w:rsidRPr="001B1E03">
        <w:t>17.</w:t>
      </w:r>
      <w:r w:rsidRPr="001B1E03">
        <w:tab/>
      </w:r>
      <w:r w:rsidRPr="00560487">
        <w:rPr>
          <w:u w:val="single"/>
        </w:rPr>
        <w:t>Display of Expiration Date</w:t>
      </w:r>
      <w:bookmarkEnd w:id="27"/>
      <w:bookmarkEnd w:id="28"/>
    </w:p>
    <w:p w14:paraId="337021CA" w14:textId="77777777" w:rsidR="00ED0429" w:rsidRDefault="00ED0429" w:rsidP="00560487">
      <w:pPr>
        <w:pStyle w:val="BodyText"/>
      </w:pPr>
      <w:r w:rsidRPr="008C607D">
        <w:t>OMB approval expiration dates will be displayed</w:t>
      </w:r>
      <w:r>
        <w:t>.</w:t>
      </w:r>
      <w:r w:rsidRPr="008C607D">
        <w:t xml:space="preserve"> </w:t>
      </w:r>
    </w:p>
    <w:p w14:paraId="29F47190" w14:textId="77777777" w:rsidR="00ED0429" w:rsidRPr="001B1E03" w:rsidRDefault="00ED0429" w:rsidP="00560487">
      <w:pPr>
        <w:pStyle w:val="Heading2"/>
      </w:pPr>
      <w:bookmarkStart w:id="29" w:name="_Toc88277970"/>
      <w:bookmarkStart w:id="30" w:name="_Toc131564367"/>
      <w:r w:rsidRPr="001B1E03">
        <w:t>18.</w:t>
      </w:r>
      <w:r w:rsidRPr="001B1E03">
        <w:tab/>
      </w:r>
      <w:r w:rsidRPr="00560487">
        <w:rPr>
          <w:u w:val="single"/>
        </w:rPr>
        <w:t xml:space="preserve">Exceptions to Certification for </w:t>
      </w:r>
      <w:bookmarkEnd w:id="29"/>
      <w:r w:rsidRPr="00560487">
        <w:rPr>
          <w:u w:val="single"/>
        </w:rPr>
        <w:t>Statement</w:t>
      </w:r>
      <w:bookmarkEnd w:id="30"/>
    </w:p>
    <w:p w14:paraId="480EF230" w14:textId="77777777" w:rsidR="00ED0429" w:rsidRPr="008C607D" w:rsidRDefault="00ED0429" w:rsidP="00560487">
      <w:pPr>
        <w:pStyle w:val="BodyText"/>
      </w:pPr>
      <w:r w:rsidRPr="00F02056">
        <w:t>There are no exceptions to the certification statement. The certifications are included in this submission.</w:t>
      </w:r>
      <w:r w:rsidRPr="008C607D">
        <w:t xml:space="preserve"> </w:t>
      </w:r>
    </w:p>
    <w:p w14:paraId="15A6B39F" w14:textId="08BC5140" w:rsidR="00ED0429" w:rsidRDefault="00ED0429">
      <w:pPr>
        <w:spacing w:after="160" w:line="259" w:lineRule="auto"/>
        <w:rPr>
          <w:u w:val="single"/>
        </w:rPr>
      </w:pPr>
      <w:r>
        <w:rPr>
          <w:u w:val="single"/>
        </w:rPr>
        <w:br w:type="page"/>
      </w:r>
    </w:p>
    <w:p w14:paraId="6F780274" w14:textId="77777777" w:rsidR="00ED0429" w:rsidRDefault="00ED0429" w:rsidP="00277B9B">
      <w:pPr>
        <w:pStyle w:val="Heading2"/>
        <w:jc w:val="center"/>
      </w:pPr>
      <w:r w:rsidRPr="00D93CBB">
        <w:lastRenderedPageBreak/>
        <w:t>REFERENCES</w:t>
      </w:r>
    </w:p>
    <w:p w14:paraId="76B225C7" w14:textId="77777777" w:rsidR="00CF78A8" w:rsidRDefault="00CF78A8" w:rsidP="00CF78A8"/>
    <w:p w14:paraId="2B602DEB" w14:textId="0F0896D9" w:rsidR="00CF78A8" w:rsidRDefault="00CF78A8" w:rsidP="00CF78A8">
      <w:pPr>
        <w:tabs>
          <w:tab w:val="left" w:pos="90"/>
        </w:tabs>
        <w:ind w:left="900" w:hanging="900"/>
      </w:pPr>
      <w:r w:rsidRPr="00CF78A8">
        <w:t xml:space="preserve">Arseneault L, Walsh E, Trzesniewski K, Newcombe R, et al. (2006). Bullying victimization uniquely contributes to adjustment problems in young children: A nationally representative cohort study. </w:t>
      </w:r>
      <w:r w:rsidRPr="00F6007F">
        <w:rPr>
          <w:i/>
        </w:rPr>
        <w:t>Pediatrics</w:t>
      </w:r>
      <w:r w:rsidR="00F6007F">
        <w:t xml:space="preserve">, </w:t>
      </w:r>
      <w:r w:rsidRPr="00F6007F">
        <w:rPr>
          <w:i/>
        </w:rPr>
        <w:t>118</w:t>
      </w:r>
      <w:r w:rsidR="00F6007F">
        <w:t xml:space="preserve">(1), </w:t>
      </w:r>
      <w:r w:rsidRPr="00CF78A8">
        <w:t>130-138.</w:t>
      </w:r>
    </w:p>
    <w:p w14:paraId="7793360F" w14:textId="77777777" w:rsidR="00F6007F" w:rsidRDefault="00F6007F" w:rsidP="00CF78A8">
      <w:pPr>
        <w:tabs>
          <w:tab w:val="left" w:pos="90"/>
        </w:tabs>
        <w:ind w:left="900" w:hanging="900"/>
      </w:pPr>
    </w:p>
    <w:p w14:paraId="33180F13" w14:textId="214F3AE5" w:rsidR="00F6007F" w:rsidRPr="00F6007F" w:rsidRDefault="00F6007F" w:rsidP="00CF78A8">
      <w:pPr>
        <w:tabs>
          <w:tab w:val="left" w:pos="90"/>
        </w:tabs>
        <w:ind w:left="900" w:hanging="900"/>
      </w:pPr>
      <w:r>
        <w:t xml:space="preserve">Brook, DW, Brook, JS, Zhang, C, Cohen, P, &amp; Whiteman, M. (2002). Drug use and the risk of major depressive disorder, alcohol dependence, and substance use disorders. </w:t>
      </w:r>
      <w:r>
        <w:rPr>
          <w:i/>
        </w:rPr>
        <w:t>Archives of General Psychiatry, 59</w:t>
      </w:r>
      <w:r>
        <w:t>(11), 1039-1044.</w:t>
      </w:r>
    </w:p>
    <w:p w14:paraId="658DD99A" w14:textId="77777777" w:rsidR="00F6007F" w:rsidRDefault="00F6007F" w:rsidP="00CF78A8">
      <w:pPr>
        <w:tabs>
          <w:tab w:val="left" w:pos="90"/>
        </w:tabs>
        <w:ind w:left="900" w:hanging="900"/>
      </w:pPr>
    </w:p>
    <w:p w14:paraId="0802B008" w14:textId="77777777" w:rsidR="00151CCC" w:rsidRDefault="00220B76" w:rsidP="00151CCC">
      <w:pPr>
        <w:tabs>
          <w:tab w:val="left" w:pos="90"/>
        </w:tabs>
        <w:ind w:left="900" w:hanging="900"/>
      </w:pPr>
      <w:r>
        <w:t xml:space="preserve">Bryant, AL, Schulenberg, JE, O’Malley, PM, Bachman, JG, &amp; Johnston, LD. (2003). How academic achievement, attitudes, and behaviors relate to the course of substance use during adolescence: a 6-year, multiwave national longitudinal study. </w:t>
      </w:r>
      <w:r>
        <w:rPr>
          <w:i/>
        </w:rPr>
        <w:t>Journal of Research on Adolescence, 13</w:t>
      </w:r>
      <w:r>
        <w:t>(3), 361-397.</w:t>
      </w:r>
    </w:p>
    <w:p w14:paraId="176367BD" w14:textId="77777777" w:rsidR="00151CCC" w:rsidRDefault="00151CCC">
      <w:pPr>
        <w:tabs>
          <w:tab w:val="left" w:pos="90"/>
        </w:tabs>
        <w:ind w:left="900" w:hanging="900"/>
      </w:pPr>
    </w:p>
    <w:p w14:paraId="46D3DF2D" w14:textId="5B8F81EB" w:rsidR="00151CCC" w:rsidRDefault="00151CCC">
      <w:pPr>
        <w:tabs>
          <w:tab w:val="left" w:pos="90"/>
        </w:tabs>
        <w:ind w:left="900" w:hanging="900"/>
      </w:pPr>
      <w:r>
        <w:rPr>
          <w:lang w:val="en"/>
        </w:rPr>
        <w:t xml:space="preserve">Center for Behavioral Health Statistics and Quality. (2015). </w:t>
      </w:r>
      <w:r>
        <w:rPr>
          <w:rStyle w:val="italic1"/>
          <w:lang w:val="en"/>
        </w:rPr>
        <w:t>Behavioral health trends in the United States: Results from the 2014 National Survey on Drug Use and Health</w:t>
      </w:r>
      <w:r>
        <w:rPr>
          <w:lang w:val="en"/>
        </w:rPr>
        <w:t xml:space="preserve"> (HHS Publication No. SMA 15-4927, NSDUH Series H-50). Retrieved 02/08/2016 from </w:t>
      </w:r>
      <w:hyperlink r:id="rId17" w:history="1">
        <w:r>
          <w:rPr>
            <w:rStyle w:val="Hyperlink"/>
            <w:lang w:val="en"/>
          </w:rPr>
          <w:t>http://www.samhsa.gov/data/</w:t>
        </w:r>
      </w:hyperlink>
    </w:p>
    <w:p w14:paraId="0DE1E867" w14:textId="77777777" w:rsidR="00F6007F" w:rsidRDefault="00F6007F" w:rsidP="00CF78A8">
      <w:pPr>
        <w:tabs>
          <w:tab w:val="left" w:pos="90"/>
        </w:tabs>
        <w:ind w:left="900" w:hanging="900"/>
      </w:pPr>
    </w:p>
    <w:p w14:paraId="2E94191C" w14:textId="3B9B66C7" w:rsidR="00F6007F" w:rsidRPr="00F6007F" w:rsidRDefault="00F6007F" w:rsidP="00CF78A8">
      <w:pPr>
        <w:tabs>
          <w:tab w:val="left" w:pos="90"/>
        </w:tabs>
        <w:ind w:left="900" w:hanging="900"/>
      </w:pPr>
      <w:r>
        <w:t xml:space="preserve">Cox, RG, Zhang, L, Johnston, WD, &amp; Bender, DR. (2007). Academic performance and substance use: findings from a state survey of public high school students. </w:t>
      </w:r>
      <w:r>
        <w:rPr>
          <w:i/>
        </w:rPr>
        <w:t>Journal of School Health, 77</w:t>
      </w:r>
      <w:r>
        <w:t>(3), 109-115.</w:t>
      </w:r>
    </w:p>
    <w:p w14:paraId="23CE5622" w14:textId="77777777" w:rsidR="00CF78A8" w:rsidRPr="00CF78A8" w:rsidRDefault="00CF78A8" w:rsidP="00CF78A8"/>
    <w:p w14:paraId="33902923" w14:textId="7D8FC7BD" w:rsidR="00220B76" w:rsidRDefault="00220B76" w:rsidP="00CF78A8">
      <w:pPr>
        <w:pStyle w:val="biblio"/>
      </w:pPr>
      <w:r>
        <w:t xml:space="preserve">DuRant, RH, Smith, JA, Kreiter, SR, &amp; Krowchuk, DP. (1999). The relationship between early age of onset of initial substance use and engaging in multiple health risk behaviors among young adolescents. </w:t>
      </w:r>
      <w:r>
        <w:rPr>
          <w:i/>
        </w:rPr>
        <w:t>Archives of Pediatric Adolescent Medicine, 153</w:t>
      </w:r>
      <w:r>
        <w:t>(3), 286-291.</w:t>
      </w:r>
    </w:p>
    <w:p w14:paraId="2E9D69C5" w14:textId="77777777" w:rsidR="00F6007F" w:rsidRDefault="00F6007F" w:rsidP="00CF78A8">
      <w:pPr>
        <w:pStyle w:val="biblio"/>
      </w:pPr>
    </w:p>
    <w:p w14:paraId="6B135750" w14:textId="60098708" w:rsidR="00F6007F" w:rsidRPr="00220B76" w:rsidRDefault="00F6007F" w:rsidP="00F6007F">
      <w:pPr>
        <w:pStyle w:val="biblio"/>
      </w:pPr>
      <w:r>
        <w:t xml:space="preserve">Mason, AW &amp; Windle, M. (2002) Reciprocal relations between adolescent substance use and delinquency: a longitudinal latent variable analysis. </w:t>
      </w:r>
      <w:r>
        <w:rPr>
          <w:i/>
        </w:rPr>
        <w:t>Journal of Abnormal Psychology, 111</w:t>
      </w:r>
      <w:r>
        <w:t>(1), 63-76.</w:t>
      </w:r>
    </w:p>
    <w:p w14:paraId="688E1831" w14:textId="77777777" w:rsidR="00F6007F" w:rsidRDefault="00F6007F" w:rsidP="00CF78A8">
      <w:pPr>
        <w:pStyle w:val="biblio"/>
      </w:pPr>
    </w:p>
    <w:p w14:paraId="62BE018D" w14:textId="60110222" w:rsidR="00BC06CD" w:rsidRDefault="00CF78A8" w:rsidP="00151CCC">
      <w:pPr>
        <w:pStyle w:val="biblio"/>
      </w:pPr>
      <w:r>
        <w:t>Substance Abuse and Mental Health Services Administration, Center for Behavioral Health Statistics and Quality. (June 10, 2014</w:t>
      </w:r>
      <w:r w:rsidR="00BC06CD">
        <w:t>a</w:t>
      </w:r>
      <w:r>
        <w:t>). The CBHSQ Report: A Day in the Life of Young Adults: Substance Use Facts Update. Rockville, MD.</w:t>
      </w:r>
    </w:p>
    <w:p w14:paraId="30362610" w14:textId="77777777" w:rsidR="00BC06CD" w:rsidRDefault="00BC06CD">
      <w:pPr>
        <w:pStyle w:val="biblio"/>
        <w:rPr>
          <w:rStyle w:val="end1"/>
          <w:rFonts w:ascii="Times New Roman" w:hAnsi="Times New Roman" w:cs="Times New Roman"/>
          <w:sz w:val="22"/>
          <w:szCs w:val="22"/>
          <w:lang w:val="en"/>
        </w:rPr>
      </w:pPr>
    </w:p>
    <w:p w14:paraId="7CA344CE" w14:textId="078BC24C" w:rsidR="00F71DDB" w:rsidRPr="00151CCC" w:rsidRDefault="00F71DDB">
      <w:pPr>
        <w:pStyle w:val="biblio"/>
        <w:rPr>
          <w:szCs w:val="24"/>
        </w:rPr>
      </w:pPr>
      <w:r w:rsidRPr="009D4032">
        <w:rPr>
          <w:rStyle w:val="end1"/>
          <w:rFonts w:ascii="Times New Roman" w:hAnsi="Times New Roman" w:cs="Times New Roman"/>
          <w:sz w:val="24"/>
          <w:szCs w:val="24"/>
          <w:lang w:val="en"/>
        </w:rPr>
        <w:t>Substance Abuse and Mental Health Services Administration, Center for Behavioral Health Statistics and Quality. (September 4, 2014</w:t>
      </w:r>
      <w:r w:rsidR="00BC06CD">
        <w:rPr>
          <w:rStyle w:val="end1"/>
          <w:rFonts w:ascii="Times New Roman" w:hAnsi="Times New Roman" w:cs="Times New Roman"/>
          <w:sz w:val="24"/>
          <w:szCs w:val="24"/>
          <w:lang w:val="en"/>
        </w:rPr>
        <w:t>b</w:t>
      </w:r>
      <w:r w:rsidRPr="009D4032">
        <w:rPr>
          <w:rStyle w:val="end1"/>
          <w:rFonts w:ascii="Times New Roman" w:hAnsi="Times New Roman" w:cs="Times New Roman"/>
          <w:sz w:val="24"/>
          <w:szCs w:val="24"/>
          <w:lang w:val="en"/>
        </w:rPr>
        <w:t xml:space="preserve">). </w:t>
      </w:r>
      <w:r w:rsidRPr="009D4032">
        <w:rPr>
          <w:rStyle w:val="Emphasis"/>
          <w:color w:val="000000"/>
          <w:szCs w:val="24"/>
          <w:lang w:val="en"/>
        </w:rPr>
        <w:t>The NSDUH Report: Substance Use and Mental Health Estimates from the 2013 National Survey on Drug Use and Health: Overview of Findings</w:t>
      </w:r>
      <w:r w:rsidRPr="009D4032">
        <w:rPr>
          <w:rStyle w:val="end1"/>
          <w:rFonts w:ascii="Times New Roman" w:hAnsi="Times New Roman" w:cs="Times New Roman"/>
          <w:sz w:val="24"/>
          <w:szCs w:val="24"/>
          <w:lang w:val="en"/>
        </w:rPr>
        <w:t>. Rockville, MD.</w:t>
      </w:r>
    </w:p>
    <w:p w14:paraId="6A030A5C" w14:textId="0C10C6B6" w:rsidR="00ED3519" w:rsidRPr="009D4032" w:rsidRDefault="00ED3519">
      <w:pPr>
        <w:spacing w:after="160" w:line="259" w:lineRule="auto"/>
        <w:rPr>
          <w:sz w:val="22"/>
          <w:szCs w:val="22"/>
        </w:rPr>
      </w:pPr>
      <w:r w:rsidRPr="009D4032">
        <w:rPr>
          <w:sz w:val="22"/>
          <w:szCs w:val="22"/>
        </w:rPr>
        <w:br w:type="page"/>
      </w:r>
    </w:p>
    <w:p w14:paraId="6E743D47" w14:textId="77777777" w:rsidR="00ED3519" w:rsidRDefault="00ED3519" w:rsidP="00ED3519">
      <w:pPr>
        <w:jc w:val="center"/>
        <w:rPr>
          <w:rFonts w:asciiTheme="majorBidi" w:hAnsiTheme="majorBidi" w:cstheme="majorBidi"/>
        </w:rPr>
      </w:pPr>
      <w:r>
        <w:rPr>
          <w:rFonts w:asciiTheme="majorBidi" w:hAnsiTheme="majorBidi" w:cstheme="majorBidi"/>
        </w:rPr>
        <w:lastRenderedPageBreak/>
        <w:t>ATTACHMENTS</w:t>
      </w:r>
    </w:p>
    <w:p w14:paraId="7C5FCA4B" w14:textId="77777777" w:rsidR="00ED3519" w:rsidRDefault="00ED3519" w:rsidP="00ED3519">
      <w:pPr>
        <w:jc w:val="center"/>
        <w:rPr>
          <w:rFonts w:asciiTheme="majorBidi" w:hAnsiTheme="majorBidi" w:cstheme="majorBidi"/>
        </w:rPr>
      </w:pPr>
    </w:p>
    <w:p w14:paraId="01E0A90B" w14:textId="77777777" w:rsidR="00ED3519" w:rsidRDefault="00ED3519" w:rsidP="00ED3519">
      <w:pPr>
        <w:jc w:val="center"/>
        <w:rPr>
          <w:rFonts w:asciiTheme="majorBidi" w:hAnsiTheme="majorBidi" w:cstheme="majorBidi"/>
        </w:rPr>
      </w:pPr>
    </w:p>
    <w:p w14:paraId="22C1BFF9" w14:textId="77777777" w:rsidR="00ED3519" w:rsidRDefault="00ED3519" w:rsidP="00C20E90">
      <w:pPr>
        <w:rPr>
          <w:rFonts w:asciiTheme="majorBidi" w:hAnsiTheme="majorBidi" w:cstheme="majorBidi"/>
        </w:rPr>
      </w:pPr>
      <w:r>
        <w:rPr>
          <w:rFonts w:asciiTheme="majorBidi" w:hAnsiTheme="majorBidi" w:cstheme="majorBidi"/>
        </w:rPr>
        <w:t>Attachment 1 – Evaluation Questions</w:t>
      </w:r>
    </w:p>
    <w:p w14:paraId="7DEE770B" w14:textId="77777777" w:rsidR="00ED3519" w:rsidRDefault="00ED3519" w:rsidP="00C20E90">
      <w:pPr>
        <w:rPr>
          <w:rFonts w:asciiTheme="majorBidi" w:hAnsiTheme="majorBidi" w:cstheme="majorBidi"/>
        </w:rPr>
      </w:pPr>
    </w:p>
    <w:p w14:paraId="4059CBB2" w14:textId="4B7F6640" w:rsidR="00ED3519" w:rsidRDefault="00ED3519" w:rsidP="00C20E90">
      <w:pPr>
        <w:rPr>
          <w:rFonts w:asciiTheme="majorBidi" w:hAnsiTheme="majorBidi" w:cstheme="majorBidi"/>
        </w:rPr>
      </w:pPr>
      <w:r>
        <w:rPr>
          <w:rFonts w:asciiTheme="majorBidi" w:hAnsiTheme="majorBidi" w:cstheme="majorBidi"/>
        </w:rPr>
        <w:t>Attachment 2 – Implementation Interview Guides</w:t>
      </w:r>
    </w:p>
    <w:p w14:paraId="4FE83851" w14:textId="77777777" w:rsidR="00ED3519" w:rsidRDefault="00ED3519" w:rsidP="00C20E90">
      <w:pPr>
        <w:rPr>
          <w:rFonts w:asciiTheme="majorBidi" w:hAnsiTheme="majorBidi" w:cstheme="majorBidi"/>
        </w:rPr>
      </w:pPr>
    </w:p>
    <w:p w14:paraId="1AC54E4D" w14:textId="71827EC9" w:rsidR="00ED3519" w:rsidRDefault="00ED3519" w:rsidP="00C20E90">
      <w:pPr>
        <w:rPr>
          <w:rFonts w:asciiTheme="majorBidi" w:hAnsiTheme="majorBidi" w:cstheme="majorBidi"/>
        </w:rPr>
      </w:pPr>
      <w:r>
        <w:rPr>
          <w:rFonts w:asciiTheme="majorBidi" w:hAnsiTheme="majorBidi" w:cstheme="majorBidi"/>
        </w:rPr>
        <w:t>Attachment 3 – Sustainability Interview Guides</w:t>
      </w:r>
    </w:p>
    <w:p w14:paraId="1E598F68" w14:textId="77777777" w:rsidR="00ED3519" w:rsidRDefault="00ED3519" w:rsidP="00C20E90">
      <w:pPr>
        <w:rPr>
          <w:rFonts w:asciiTheme="majorBidi" w:hAnsiTheme="majorBidi" w:cstheme="majorBidi"/>
        </w:rPr>
      </w:pPr>
    </w:p>
    <w:p w14:paraId="6CDF3B6E" w14:textId="3646E78C" w:rsidR="00ED3519" w:rsidRDefault="00ED3519" w:rsidP="00C20E90">
      <w:pPr>
        <w:rPr>
          <w:rFonts w:asciiTheme="majorBidi" w:hAnsiTheme="majorBidi" w:cstheme="majorBidi"/>
        </w:rPr>
      </w:pPr>
      <w:r>
        <w:rPr>
          <w:rFonts w:asciiTheme="majorBidi" w:hAnsiTheme="majorBidi" w:cstheme="majorBidi"/>
        </w:rPr>
        <w:t>Attachment 4 – Stakeholder Interview Guides</w:t>
      </w:r>
    </w:p>
    <w:p w14:paraId="4AF7E312" w14:textId="77777777" w:rsidR="00ED3519" w:rsidRDefault="00ED3519" w:rsidP="00C20E90">
      <w:pPr>
        <w:rPr>
          <w:rFonts w:asciiTheme="majorBidi" w:hAnsiTheme="majorBidi" w:cstheme="majorBidi"/>
        </w:rPr>
      </w:pPr>
    </w:p>
    <w:p w14:paraId="22CF09F9" w14:textId="77777777" w:rsidR="00ED3519" w:rsidRDefault="00ED3519" w:rsidP="00C20E90">
      <w:pPr>
        <w:rPr>
          <w:rFonts w:asciiTheme="majorBidi" w:hAnsiTheme="majorBidi" w:cstheme="majorBidi"/>
        </w:rPr>
      </w:pPr>
      <w:r>
        <w:rPr>
          <w:rFonts w:asciiTheme="majorBidi" w:hAnsiTheme="majorBidi" w:cstheme="majorBidi"/>
        </w:rPr>
        <w:t>Attachment 5 – Provider Survey</w:t>
      </w:r>
    </w:p>
    <w:p w14:paraId="5536D1EF" w14:textId="77777777" w:rsidR="00601884" w:rsidRDefault="00601884" w:rsidP="00C20E90">
      <w:pPr>
        <w:rPr>
          <w:rFonts w:asciiTheme="majorBidi" w:hAnsiTheme="majorBidi" w:cstheme="majorBidi"/>
        </w:rPr>
      </w:pPr>
    </w:p>
    <w:p w14:paraId="33209724" w14:textId="06CFA2E9" w:rsidR="00601884" w:rsidRDefault="00601884" w:rsidP="00C20E90">
      <w:pPr>
        <w:rPr>
          <w:rFonts w:asciiTheme="majorBidi" w:hAnsiTheme="majorBidi" w:cstheme="majorBidi"/>
        </w:rPr>
      </w:pPr>
      <w:r>
        <w:rPr>
          <w:rFonts w:asciiTheme="majorBidi" w:hAnsiTheme="majorBidi" w:cstheme="majorBidi"/>
        </w:rPr>
        <w:t>Attachment 6 – Focus Group Guide</w:t>
      </w:r>
    </w:p>
    <w:p w14:paraId="7BBE6687" w14:textId="77777777" w:rsidR="00ED3519" w:rsidRDefault="00ED3519" w:rsidP="00C20E90">
      <w:pPr>
        <w:rPr>
          <w:rFonts w:asciiTheme="majorBidi" w:hAnsiTheme="majorBidi" w:cstheme="majorBidi"/>
        </w:rPr>
      </w:pPr>
    </w:p>
    <w:p w14:paraId="52703769" w14:textId="0D249DF0" w:rsidR="00ED3519" w:rsidRDefault="00ED3519" w:rsidP="00C20E90">
      <w:pPr>
        <w:rPr>
          <w:rFonts w:asciiTheme="majorBidi" w:hAnsiTheme="majorBidi" w:cstheme="majorBidi"/>
        </w:rPr>
      </w:pPr>
      <w:r>
        <w:rPr>
          <w:rFonts w:asciiTheme="majorBidi" w:hAnsiTheme="majorBidi" w:cstheme="majorBidi"/>
        </w:rPr>
        <w:t xml:space="preserve">Attachment </w:t>
      </w:r>
      <w:r w:rsidR="00601884">
        <w:rPr>
          <w:rFonts w:asciiTheme="majorBidi" w:hAnsiTheme="majorBidi" w:cstheme="majorBidi"/>
        </w:rPr>
        <w:t>7</w:t>
      </w:r>
      <w:r>
        <w:rPr>
          <w:rFonts w:asciiTheme="majorBidi" w:hAnsiTheme="majorBidi" w:cstheme="majorBidi"/>
        </w:rPr>
        <w:t xml:space="preserve"> – Interview Guide Supporting documents</w:t>
      </w:r>
    </w:p>
    <w:p w14:paraId="360AA66A" w14:textId="77777777" w:rsidR="00ED3519" w:rsidRDefault="00ED3519" w:rsidP="00C20E90">
      <w:pPr>
        <w:rPr>
          <w:rFonts w:asciiTheme="majorBidi" w:hAnsiTheme="majorBidi" w:cstheme="majorBidi"/>
        </w:rPr>
      </w:pPr>
    </w:p>
    <w:p w14:paraId="519F003B" w14:textId="344D74B0" w:rsidR="00ED3519" w:rsidRDefault="00ED3519" w:rsidP="00C20E90">
      <w:pPr>
        <w:rPr>
          <w:rFonts w:asciiTheme="majorBidi" w:hAnsiTheme="majorBidi" w:cstheme="majorBidi"/>
        </w:rPr>
      </w:pPr>
      <w:r>
        <w:rPr>
          <w:rFonts w:asciiTheme="majorBidi" w:hAnsiTheme="majorBidi" w:cstheme="majorBidi"/>
        </w:rPr>
        <w:t xml:space="preserve">Attachment </w:t>
      </w:r>
      <w:r w:rsidR="00601884">
        <w:rPr>
          <w:rFonts w:asciiTheme="majorBidi" w:hAnsiTheme="majorBidi" w:cstheme="majorBidi"/>
        </w:rPr>
        <w:t>8</w:t>
      </w:r>
      <w:r>
        <w:rPr>
          <w:rFonts w:asciiTheme="majorBidi" w:hAnsiTheme="majorBidi" w:cstheme="majorBidi"/>
        </w:rPr>
        <w:t xml:space="preserve"> – Provider Survey Supporting documents</w:t>
      </w:r>
    </w:p>
    <w:p w14:paraId="5BD8BB76" w14:textId="77777777" w:rsidR="00ED3519" w:rsidRDefault="00ED3519" w:rsidP="00C20E90">
      <w:pPr>
        <w:rPr>
          <w:rFonts w:asciiTheme="majorBidi" w:hAnsiTheme="majorBidi" w:cstheme="majorBidi"/>
        </w:rPr>
      </w:pPr>
    </w:p>
    <w:p w14:paraId="249C8A84" w14:textId="12329C8F" w:rsidR="00ED3519" w:rsidRPr="003C639D" w:rsidRDefault="00ED3519" w:rsidP="00C20E90">
      <w:pPr>
        <w:rPr>
          <w:rFonts w:asciiTheme="majorBidi" w:hAnsiTheme="majorBidi" w:cstheme="majorBidi"/>
        </w:rPr>
      </w:pPr>
      <w:r>
        <w:rPr>
          <w:rFonts w:asciiTheme="majorBidi" w:hAnsiTheme="majorBidi" w:cstheme="majorBidi"/>
        </w:rPr>
        <w:t xml:space="preserve">Attachment </w:t>
      </w:r>
      <w:r w:rsidR="00601884">
        <w:rPr>
          <w:rFonts w:asciiTheme="majorBidi" w:hAnsiTheme="majorBidi" w:cstheme="majorBidi"/>
        </w:rPr>
        <w:t>9</w:t>
      </w:r>
      <w:r>
        <w:rPr>
          <w:rFonts w:asciiTheme="majorBidi" w:hAnsiTheme="majorBidi" w:cstheme="majorBidi"/>
        </w:rPr>
        <w:t xml:space="preserve"> – Provider Survey table shells</w:t>
      </w:r>
    </w:p>
    <w:p w14:paraId="7AA3DDA0" w14:textId="77777777" w:rsidR="00ED0429" w:rsidRDefault="00ED0429" w:rsidP="00ED0429"/>
    <w:sectPr w:rsidR="00ED0429">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D98F24" w14:textId="77777777" w:rsidR="003854C7" w:rsidRDefault="003854C7" w:rsidP="00ED0429">
      <w:r>
        <w:separator/>
      </w:r>
    </w:p>
  </w:endnote>
  <w:endnote w:type="continuationSeparator" w:id="0">
    <w:p w14:paraId="2908F541" w14:textId="77777777" w:rsidR="003854C7" w:rsidRDefault="003854C7" w:rsidP="00ED0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2144843"/>
      <w:docPartObj>
        <w:docPartGallery w:val="Page Numbers (Bottom of Page)"/>
        <w:docPartUnique/>
      </w:docPartObj>
    </w:sdtPr>
    <w:sdtEndPr>
      <w:rPr>
        <w:noProof/>
      </w:rPr>
    </w:sdtEndPr>
    <w:sdtContent>
      <w:p w14:paraId="59BBDFF5" w14:textId="343B1B00" w:rsidR="003854C7" w:rsidRDefault="003854C7" w:rsidP="00B974B1">
        <w:pPr>
          <w:pStyle w:val="Footer"/>
          <w:jc w:val="right"/>
        </w:pPr>
        <w:r>
          <w:fldChar w:fldCharType="begin"/>
        </w:r>
        <w:r>
          <w:instrText xml:space="preserve"> PAGE   \* MERGEFORMAT </w:instrText>
        </w:r>
        <w:r>
          <w:fldChar w:fldCharType="separate"/>
        </w:r>
        <w:r w:rsidR="00B40BA9">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93886A" w14:textId="77777777" w:rsidR="003854C7" w:rsidRDefault="003854C7" w:rsidP="00ED0429">
      <w:r>
        <w:separator/>
      </w:r>
    </w:p>
  </w:footnote>
  <w:footnote w:type="continuationSeparator" w:id="0">
    <w:p w14:paraId="1C77411F" w14:textId="77777777" w:rsidR="003854C7" w:rsidRDefault="003854C7" w:rsidP="00ED04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C1452EE"/>
    <w:lvl w:ilvl="0">
      <w:start w:val="1"/>
      <w:numFmt w:val="decimal"/>
      <w:lvlText w:val="%1."/>
      <w:lvlJc w:val="left"/>
      <w:pPr>
        <w:tabs>
          <w:tab w:val="num" w:pos="1800"/>
        </w:tabs>
        <w:ind w:left="1800" w:hanging="360"/>
      </w:pPr>
    </w:lvl>
  </w:abstractNum>
  <w:abstractNum w:abstractNumId="1">
    <w:nsid w:val="FFFFFF7D"/>
    <w:multiLevelType w:val="singleLevel"/>
    <w:tmpl w:val="08DADCCA"/>
    <w:lvl w:ilvl="0">
      <w:start w:val="1"/>
      <w:numFmt w:val="decimal"/>
      <w:lvlText w:val="%1."/>
      <w:lvlJc w:val="left"/>
      <w:pPr>
        <w:tabs>
          <w:tab w:val="num" w:pos="1440"/>
        </w:tabs>
        <w:ind w:left="1440" w:hanging="360"/>
      </w:pPr>
    </w:lvl>
  </w:abstractNum>
  <w:abstractNum w:abstractNumId="2">
    <w:nsid w:val="FFFFFF7E"/>
    <w:multiLevelType w:val="singleLevel"/>
    <w:tmpl w:val="A6F23C96"/>
    <w:lvl w:ilvl="0">
      <w:start w:val="1"/>
      <w:numFmt w:val="decimal"/>
      <w:lvlText w:val="%1."/>
      <w:lvlJc w:val="left"/>
      <w:pPr>
        <w:tabs>
          <w:tab w:val="num" w:pos="1080"/>
        </w:tabs>
        <w:ind w:left="1080" w:hanging="360"/>
      </w:pPr>
    </w:lvl>
  </w:abstractNum>
  <w:abstractNum w:abstractNumId="3">
    <w:nsid w:val="FFFFFF7F"/>
    <w:multiLevelType w:val="singleLevel"/>
    <w:tmpl w:val="CD2C9BDA"/>
    <w:lvl w:ilvl="0">
      <w:start w:val="1"/>
      <w:numFmt w:val="decimal"/>
      <w:lvlText w:val="%1."/>
      <w:lvlJc w:val="left"/>
      <w:pPr>
        <w:tabs>
          <w:tab w:val="num" w:pos="720"/>
        </w:tabs>
        <w:ind w:left="720" w:hanging="360"/>
      </w:pPr>
    </w:lvl>
  </w:abstractNum>
  <w:abstractNum w:abstractNumId="4">
    <w:nsid w:val="FFFFFF80"/>
    <w:multiLevelType w:val="singleLevel"/>
    <w:tmpl w:val="7C4C05C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BB6969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DD4ED0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D1C5C0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6C867EC"/>
    <w:lvl w:ilvl="0">
      <w:start w:val="1"/>
      <w:numFmt w:val="decimal"/>
      <w:pStyle w:val="ListNumber"/>
      <w:lvlText w:val="%1."/>
      <w:lvlJc w:val="left"/>
      <w:pPr>
        <w:tabs>
          <w:tab w:val="num" w:pos="360"/>
        </w:tabs>
        <w:ind w:left="360" w:hanging="360"/>
      </w:pPr>
    </w:lvl>
  </w:abstractNum>
  <w:abstractNum w:abstractNumId="9">
    <w:nsid w:val="FFFFFF89"/>
    <w:multiLevelType w:val="singleLevel"/>
    <w:tmpl w:val="8B5CD4F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0B52913"/>
    <w:multiLevelType w:val="hybridMultilevel"/>
    <w:tmpl w:val="552274EA"/>
    <w:lvl w:ilvl="0" w:tplc="B524B256">
      <w:start w:val="3"/>
      <w:numFmt w:val="decimal"/>
      <w:lvlText w:val="%1."/>
      <w:lvlJc w:val="left"/>
      <w:pPr>
        <w:tabs>
          <w:tab w:val="num" w:pos="720"/>
        </w:tabs>
        <w:ind w:left="720" w:hanging="72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E392669"/>
    <w:multiLevelType w:val="hybridMultilevel"/>
    <w:tmpl w:val="74648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88580C"/>
    <w:multiLevelType w:val="hybridMultilevel"/>
    <w:tmpl w:val="0776A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C22"/>
    <w:rsid w:val="00011504"/>
    <w:rsid w:val="00033B70"/>
    <w:rsid w:val="0004335C"/>
    <w:rsid w:val="000500BB"/>
    <w:rsid w:val="00065A04"/>
    <w:rsid w:val="000823D6"/>
    <w:rsid w:val="000A2D27"/>
    <w:rsid w:val="000A3C2F"/>
    <w:rsid w:val="000A48EF"/>
    <w:rsid w:val="000B4083"/>
    <w:rsid w:val="000B6724"/>
    <w:rsid w:val="000E30BE"/>
    <w:rsid w:val="000E42F9"/>
    <w:rsid w:val="000E4469"/>
    <w:rsid w:val="000E6892"/>
    <w:rsid w:val="00101CEC"/>
    <w:rsid w:val="001056F0"/>
    <w:rsid w:val="00111FA3"/>
    <w:rsid w:val="00113111"/>
    <w:rsid w:val="0011497B"/>
    <w:rsid w:val="001334C5"/>
    <w:rsid w:val="00136306"/>
    <w:rsid w:val="0013717D"/>
    <w:rsid w:val="001447DF"/>
    <w:rsid w:val="00151CCC"/>
    <w:rsid w:val="001576E0"/>
    <w:rsid w:val="00160D65"/>
    <w:rsid w:val="00161260"/>
    <w:rsid w:val="001708BE"/>
    <w:rsid w:val="00180CBF"/>
    <w:rsid w:val="001945A0"/>
    <w:rsid w:val="00196817"/>
    <w:rsid w:val="001A1CA3"/>
    <w:rsid w:val="001A5A61"/>
    <w:rsid w:val="001B41FC"/>
    <w:rsid w:val="001B627B"/>
    <w:rsid w:val="001C4F74"/>
    <w:rsid w:val="001D066C"/>
    <w:rsid w:val="001D3BB7"/>
    <w:rsid w:val="001D7016"/>
    <w:rsid w:val="001E3054"/>
    <w:rsid w:val="001F10CE"/>
    <w:rsid w:val="001F634B"/>
    <w:rsid w:val="001F7E7D"/>
    <w:rsid w:val="002045A1"/>
    <w:rsid w:val="0020528C"/>
    <w:rsid w:val="00207E4C"/>
    <w:rsid w:val="00210734"/>
    <w:rsid w:val="00220B76"/>
    <w:rsid w:val="002354D6"/>
    <w:rsid w:val="00237700"/>
    <w:rsid w:val="00240ADC"/>
    <w:rsid w:val="00245E6F"/>
    <w:rsid w:val="00246512"/>
    <w:rsid w:val="00264131"/>
    <w:rsid w:val="002670D9"/>
    <w:rsid w:val="00267342"/>
    <w:rsid w:val="00277B9B"/>
    <w:rsid w:val="002A0978"/>
    <w:rsid w:val="002A7051"/>
    <w:rsid w:val="002B5E81"/>
    <w:rsid w:val="002C1027"/>
    <w:rsid w:val="002E2871"/>
    <w:rsid w:val="002E5878"/>
    <w:rsid w:val="002E7091"/>
    <w:rsid w:val="002F0EF2"/>
    <w:rsid w:val="002F1569"/>
    <w:rsid w:val="00315454"/>
    <w:rsid w:val="00321B0B"/>
    <w:rsid w:val="00326AD6"/>
    <w:rsid w:val="00363164"/>
    <w:rsid w:val="003854C7"/>
    <w:rsid w:val="003B1C2E"/>
    <w:rsid w:val="003E49DF"/>
    <w:rsid w:val="003E6D66"/>
    <w:rsid w:val="00400B29"/>
    <w:rsid w:val="004248E5"/>
    <w:rsid w:val="00427E3F"/>
    <w:rsid w:val="0045414F"/>
    <w:rsid w:val="00454546"/>
    <w:rsid w:val="00461F1D"/>
    <w:rsid w:val="004A1116"/>
    <w:rsid w:val="004B36BA"/>
    <w:rsid w:val="004B3F79"/>
    <w:rsid w:val="004C2114"/>
    <w:rsid w:val="004C2D52"/>
    <w:rsid w:val="004E3F2C"/>
    <w:rsid w:val="004F4862"/>
    <w:rsid w:val="005011CD"/>
    <w:rsid w:val="005039D5"/>
    <w:rsid w:val="00506955"/>
    <w:rsid w:val="005152D5"/>
    <w:rsid w:val="005514C5"/>
    <w:rsid w:val="005543E4"/>
    <w:rsid w:val="00560487"/>
    <w:rsid w:val="00561545"/>
    <w:rsid w:val="00562DF1"/>
    <w:rsid w:val="00563F8C"/>
    <w:rsid w:val="00566794"/>
    <w:rsid w:val="0057776F"/>
    <w:rsid w:val="00594AB9"/>
    <w:rsid w:val="005A69BD"/>
    <w:rsid w:val="005B748B"/>
    <w:rsid w:val="005C483C"/>
    <w:rsid w:val="005E46C0"/>
    <w:rsid w:val="00601884"/>
    <w:rsid w:val="006047B8"/>
    <w:rsid w:val="00611371"/>
    <w:rsid w:val="00622401"/>
    <w:rsid w:val="00631B75"/>
    <w:rsid w:val="00633A9C"/>
    <w:rsid w:val="0063454A"/>
    <w:rsid w:val="006412D2"/>
    <w:rsid w:val="00643FD7"/>
    <w:rsid w:val="006600AB"/>
    <w:rsid w:val="006609D3"/>
    <w:rsid w:val="0066526D"/>
    <w:rsid w:val="006654C6"/>
    <w:rsid w:val="0066749B"/>
    <w:rsid w:val="00676E3F"/>
    <w:rsid w:val="0069058E"/>
    <w:rsid w:val="006A0D67"/>
    <w:rsid w:val="006B6F71"/>
    <w:rsid w:val="006C131B"/>
    <w:rsid w:val="006D08AE"/>
    <w:rsid w:val="006E0D6B"/>
    <w:rsid w:val="006F1765"/>
    <w:rsid w:val="006F53B0"/>
    <w:rsid w:val="0071797D"/>
    <w:rsid w:val="00720818"/>
    <w:rsid w:val="007321EB"/>
    <w:rsid w:val="0074048A"/>
    <w:rsid w:val="00745EB2"/>
    <w:rsid w:val="0074684D"/>
    <w:rsid w:val="007502D8"/>
    <w:rsid w:val="007536AB"/>
    <w:rsid w:val="00760F1B"/>
    <w:rsid w:val="00773E99"/>
    <w:rsid w:val="007925A7"/>
    <w:rsid w:val="007926E6"/>
    <w:rsid w:val="00795B76"/>
    <w:rsid w:val="007A7354"/>
    <w:rsid w:val="007B2346"/>
    <w:rsid w:val="007E4693"/>
    <w:rsid w:val="007F3139"/>
    <w:rsid w:val="007F3553"/>
    <w:rsid w:val="008002F4"/>
    <w:rsid w:val="008025D7"/>
    <w:rsid w:val="00803218"/>
    <w:rsid w:val="008063A8"/>
    <w:rsid w:val="00807BF5"/>
    <w:rsid w:val="00810E90"/>
    <w:rsid w:val="008225B5"/>
    <w:rsid w:val="008248C9"/>
    <w:rsid w:val="00832E37"/>
    <w:rsid w:val="00883D52"/>
    <w:rsid w:val="00890346"/>
    <w:rsid w:val="008A3B78"/>
    <w:rsid w:val="008B2F02"/>
    <w:rsid w:val="008C463A"/>
    <w:rsid w:val="008E15D8"/>
    <w:rsid w:val="008E2545"/>
    <w:rsid w:val="00900DA6"/>
    <w:rsid w:val="00903D77"/>
    <w:rsid w:val="00905FCA"/>
    <w:rsid w:val="00913E02"/>
    <w:rsid w:val="00920A95"/>
    <w:rsid w:val="00930744"/>
    <w:rsid w:val="009322AF"/>
    <w:rsid w:val="0095171E"/>
    <w:rsid w:val="00954E6D"/>
    <w:rsid w:val="0095529A"/>
    <w:rsid w:val="009604D2"/>
    <w:rsid w:val="009647D6"/>
    <w:rsid w:val="00965133"/>
    <w:rsid w:val="00981F17"/>
    <w:rsid w:val="00994F8A"/>
    <w:rsid w:val="009A1D5D"/>
    <w:rsid w:val="009A53D8"/>
    <w:rsid w:val="009B1BAF"/>
    <w:rsid w:val="009B4E09"/>
    <w:rsid w:val="009B635E"/>
    <w:rsid w:val="009B66F3"/>
    <w:rsid w:val="009D2AAA"/>
    <w:rsid w:val="009D4032"/>
    <w:rsid w:val="009E0121"/>
    <w:rsid w:val="009E5143"/>
    <w:rsid w:val="00A266EA"/>
    <w:rsid w:val="00A40F81"/>
    <w:rsid w:val="00A43BD3"/>
    <w:rsid w:val="00A56D57"/>
    <w:rsid w:val="00A60B8E"/>
    <w:rsid w:val="00A64822"/>
    <w:rsid w:val="00A77E8C"/>
    <w:rsid w:val="00A80B24"/>
    <w:rsid w:val="00A82E48"/>
    <w:rsid w:val="00A92679"/>
    <w:rsid w:val="00A9538A"/>
    <w:rsid w:val="00A95FA1"/>
    <w:rsid w:val="00A962DA"/>
    <w:rsid w:val="00AA53F6"/>
    <w:rsid w:val="00AA7524"/>
    <w:rsid w:val="00AB1805"/>
    <w:rsid w:val="00AB5463"/>
    <w:rsid w:val="00AC2B6D"/>
    <w:rsid w:val="00AC63A2"/>
    <w:rsid w:val="00AD26A8"/>
    <w:rsid w:val="00AD283E"/>
    <w:rsid w:val="00AE1FFF"/>
    <w:rsid w:val="00AE7704"/>
    <w:rsid w:val="00B027AB"/>
    <w:rsid w:val="00B03998"/>
    <w:rsid w:val="00B12072"/>
    <w:rsid w:val="00B12DE4"/>
    <w:rsid w:val="00B1448C"/>
    <w:rsid w:val="00B154C4"/>
    <w:rsid w:val="00B23578"/>
    <w:rsid w:val="00B249EF"/>
    <w:rsid w:val="00B372ED"/>
    <w:rsid w:val="00B40BA9"/>
    <w:rsid w:val="00B4151E"/>
    <w:rsid w:val="00B55837"/>
    <w:rsid w:val="00B74B21"/>
    <w:rsid w:val="00B754AD"/>
    <w:rsid w:val="00B75C22"/>
    <w:rsid w:val="00B974B1"/>
    <w:rsid w:val="00BA61B0"/>
    <w:rsid w:val="00BB1864"/>
    <w:rsid w:val="00BB4EFA"/>
    <w:rsid w:val="00BB73F4"/>
    <w:rsid w:val="00BC06CD"/>
    <w:rsid w:val="00BE204C"/>
    <w:rsid w:val="00BE5223"/>
    <w:rsid w:val="00BE5A24"/>
    <w:rsid w:val="00BF0599"/>
    <w:rsid w:val="00C20E90"/>
    <w:rsid w:val="00C22459"/>
    <w:rsid w:val="00C355E6"/>
    <w:rsid w:val="00C47473"/>
    <w:rsid w:val="00C6538F"/>
    <w:rsid w:val="00C66FCC"/>
    <w:rsid w:val="00C739DC"/>
    <w:rsid w:val="00C8060E"/>
    <w:rsid w:val="00C83BAF"/>
    <w:rsid w:val="00C856D3"/>
    <w:rsid w:val="00C86469"/>
    <w:rsid w:val="00C95D63"/>
    <w:rsid w:val="00C95F8B"/>
    <w:rsid w:val="00CA6E26"/>
    <w:rsid w:val="00CA72A8"/>
    <w:rsid w:val="00CB0A7D"/>
    <w:rsid w:val="00CB1C5B"/>
    <w:rsid w:val="00CC4585"/>
    <w:rsid w:val="00CD1499"/>
    <w:rsid w:val="00CE1700"/>
    <w:rsid w:val="00CF78A8"/>
    <w:rsid w:val="00D01214"/>
    <w:rsid w:val="00D01B33"/>
    <w:rsid w:val="00D055C7"/>
    <w:rsid w:val="00D061E2"/>
    <w:rsid w:val="00D162FA"/>
    <w:rsid w:val="00D2031A"/>
    <w:rsid w:val="00D2272D"/>
    <w:rsid w:val="00D22BF9"/>
    <w:rsid w:val="00D23E19"/>
    <w:rsid w:val="00D46C0A"/>
    <w:rsid w:val="00D544BE"/>
    <w:rsid w:val="00D57FE7"/>
    <w:rsid w:val="00D62D6E"/>
    <w:rsid w:val="00D663DB"/>
    <w:rsid w:val="00D703AF"/>
    <w:rsid w:val="00D80EA6"/>
    <w:rsid w:val="00D8599B"/>
    <w:rsid w:val="00DA0505"/>
    <w:rsid w:val="00DA0B2A"/>
    <w:rsid w:val="00DA5B90"/>
    <w:rsid w:val="00DB476A"/>
    <w:rsid w:val="00DC00B7"/>
    <w:rsid w:val="00DE594B"/>
    <w:rsid w:val="00DF03E0"/>
    <w:rsid w:val="00DF6D9E"/>
    <w:rsid w:val="00E02577"/>
    <w:rsid w:val="00E1723C"/>
    <w:rsid w:val="00E4203B"/>
    <w:rsid w:val="00E517BE"/>
    <w:rsid w:val="00E53E86"/>
    <w:rsid w:val="00E559CA"/>
    <w:rsid w:val="00E6245E"/>
    <w:rsid w:val="00E75368"/>
    <w:rsid w:val="00E77BBD"/>
    <w:rsid w:val="00E8510E"/>
    <w:rsid w:val="00E878B7"/>
    <w:rsid w:val="00E919FF"/>
    <w:rsid w:val="00E9212C"/>
    <w:rsid w:val="00EA4D19"/>
    <w:rsid w:val="00EA625D"/>
    <w:rsid w:val="00EA73B6"/>
    <w:rsid w:val="00EB4395"/>
    <w:rsid w:val="00EB7FAD"/>
    <w:rsid w:val="00ED013D"/>
    <w:rsid w:val="00ED0429"/>
    <w:rsid w:val="00ED3519"/>
    <w:rsid w:val="00ED551F"/>
    <w:rsid w:val="00ED745A"/>
    <w:rsid w:val="00EE1535"/>
    <w:rsid w:val="00EE63D0"/>
    <w:rsid w:val="00F07288"/>
    <w:rsid w:val="00F13BE3"/>
    <w:rsid w:val="00F2064A"/>
    <w:rsid w:val="00F26433"/>
    <w:rsid w:val="00F31760"/>
    <w:rsid w:val="00F3483C"/>
    <w:rsid w:val="00F34F5F"/>
    <w:rsid w:val="00F4008F"/>
    <w:rsid w:val="00F40F8D"/>
    <w:rsid w:val="00F44863"/>
    <w:rsid w:val="00F469B3"/>
    <w:rsid w:val="00F50241"/>
    <w:rsid w:val="00F53644"/>
    <w:rsid w:val="00F559EA"/>
    <w:rsid w:val="00F6007F"/>
    <w:rsid w:val="00F617EA"/>
    <w:rsid w:val="00F649B5"/>
    <w:rsid w:val="00F6634F"/>
    <w:rsid w:val="00F669EA"/>
    <w:rsid w:val="00F67EC5"/>
    <w:rsid w:val="00F71DDB"/>
    <w:rsid w:val="00F7297F"/>
    <w:rsid w:val="00F83AA9"/>
    <w:rsid w:val="00F85539"/>
    <w:rsid w:val="00F85F88"/>
    <w:rsid w:val="00F92159"/>
    <w:rsid w:val="00FC45A4"/>
    <w:rsid w:val="00FD20B1"/>
    <w:rsid w:val="00FD26E2"/>
    <w:rsid w:val="00FD2D6E"/>
    <w:rsid w:val="00FD448C"/>
    <w:rsid w:val="00FF4979"/>
    <w:rsid w:val="00FF57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4FACC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E3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27E3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CA6E26"/>
    <w:pPr>
      <w:keepNext/>
      <w:spacing w:before="240" w:after="240"/>
      <w:ind w:left="720" w:hanging="720"/>
      <w:outlineLvl w:val="1"/>
    </w:pPr>
    <w:rPr>
      <w:rFonts w:cs="Arial"/>
      <w:b/>
      <w:bCs/>
      <w:iCs/>
      <w:szCs w:val="28"/>
    </w:rPr>
  </w:style>
  <w:style w:type="paragraph" w:styleId="Heading3">
    <w:name w:val="heading 3"/>
    <w:basedOn w:val="Normal"/>
    <w:next w:val="Normal"/>
    <w:link w:val="Heading3Char"/>
    <w:uiPriority w:val="9"/>
    <w:unhideWhenUsed/>
    <w:qFormat/>
    <w:rsid w:val="00427E3F"/>
    <w:pPr>
      <w:keepNext/>
      <w:keepLines/>
      <w:spacing w:after="240"/>
      <w:outlineLvl w:val="2"/>
    </w:pPr>
    <w:rPr>
      <w:rFonts w:eastAsiaTheme="majorEastAsia" w:cstheme="majorBidi"/>
      <w:u w:val="single"/>
    </w:rPr>
  </w:style>
  <w:style w:type="paragraph" w:styleId="Heading4">
    <w:name w:val="heading 4"/>
    <w:basedOn w:val="Normal"/>
    <w:next w:val="Normal"/>
    <w:link w:val="Heading4Char"/>
    <w:uiPriority w:val="9"/>
    <w:unhideWhenUsed/>
    <w:qFormat/>
    <w:rsid w:val="00427E3F"/>
    <w:pPr>
      <w:keepNext/>
      <w:keepLines/>
      <w:spacing w:after="240"/>
      <w:outlineLvl w:val="3"/>
    </w:pPr>
    <w:rPr>
      <w:rFonts w:eastAsiaTheme="majorEastAsia" w:cstheme="majorBidi"/>
      <w:i/>
      <w:iCs/>
    </w:rPr>
  </w:style>
  <w:style w:type="paragraph" w:styleId="Heading5">
    <w:name w:val="heading 5"/>
    <w:basedOn w:val="Normal"/>
    <w:next w:val="Normal"/>
    <w:link w:val="Heading5Char"/>
    <w:uiPriority w:val="9"/>
    <w:unhideWhenUsed/>
    <w:qFormat/>
    <w:rsid w:val="00427E3F"/>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427E3F"/>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A6E26"/>
    <w:rPr>
      <w:rFonts w:ascii="Times New Roman" w:eastAsia="Times New Roman" w:hAnsi="Times New Roman" w:cs="Arial"/>
      <w:b/>
      <w:bCs/>
      <w:iCs/>
      <w:sz w:val="24"/>
      <w:szCs w:val="28"/>
    </w:rPr>
  </w:style>
  <w:style w:type="paragraph" w:styleId="ListParagraph">
    <w:name w:val="List Paragraph"/>
    <w:basedOn w:val="Normal"/>
    <w:uiPriority w:val="34"/>
    <w:qFormat/>
    <w:rsid w:val="00427E3F"/>
    <w:pPr>
      <w:contextualSpacing/>
    </w:pPr>
    <w:rPr>
      <w:b/>
    </w:rPr>
  </w:style>
  <w:style w:type="character" w:styleId="Hyperlink">
    <w:name w:val="Hyperlink"/>
    <w:basedOn w:val="DefaultParagraphFont"/>
    <w:rsid w:val="00CA6E26"/>
    <w:rPr>
      <w:color w:val="0000FF"/>
      <w:u w:val="single"/>
    </w:rPr>
  </w:style>
  <w:style w:type="paragraph" w:styleId="Header">
    <w:name w:val="header"/>
    <w:basedOn w:val="Normal"/>
    <w:link w:val="HeaderChar"/>
    <w:uiPriority w:val="99"/>
    <w:unhideWhenUsed/>
    <w:rsid w:val="00ED0429"/>
    <w:pPr>
      <w:tabs>
        <w:tab w:val="center" w:pos="4680"/>
        <w:tab w:val="right" w:pos="9360"/>
      </w:tabs>
    </w:pPr>
  </w:style>
  <w:style w:type="character" w:customStyle="1" w:styleId="HeaderChar">
    <w:name w:val="Header Char"/>
    <w:basedOn w:val="DefaultParagraphFont"/>
    <w:link w:val="Header"/>
    <w:uiPriority w:val="99"/>
    <w:rsid w:val="00ED042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D0429"/>
    <w:pPr>
      <w:tabs>
        <w:tab w:val="center" w:pos="4680"/>
        <w:tab w:val="right" w:pos="9360"/>
      </w:tabs>
    </w:pPr>
  </w:style>
  <w:style w:type="character" w:customStyle="1" w:styleId="FooterChar">
    <w:name w:val="Footer Char"/>
    <w:basedOn w:val="DefaultParagraphFont"/>
    <w:link w:val="Footer"/>
    <w:uiPriority w:val="99"/>
    <w:rsid w:val="00ED0429"/>
    <w:rPr>
      <w:rFonts w:ascii="Times New Roman" w:eastAsia="Times New Roman" w:hAnsi="Times New Roman" w:cs="Times New Roman"/>
      <w:sz w:val="24"/>
      <w:szCs w:val="24"/>
    </w:rPr>
  </w:style>
  <w:style w:type="paragraph" w:customStyle="1" w:styleId="Default">
    <w:name w:val="Default"/>
    <w:rsid w:val="00BE5A24"/>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B372ED"/>
    <w:rPr>
      <w:sz w:val="16"/>
      <w:szCs w:val="16"/>
    </w:rPr>
  </w:style>
  <w:style w:type="paragraph" w:styleId="CommentText">
    <w:name w:val="annotation text"/>
    <w:basedOn w:val="Normal"/>
    <w:link w:val="CommentTextChar"/>
    <w:uiPriority w:val="99"/>
    <w:semiHidden/>
    <w:unhideWhenUsed/>
    <w:rsid w:val="00B372ED"/>
    <w:rPr>
      <w:sz w:val="20"/>
      <w:szCs w:val="20"/>
    </w:rPr>
  </w:style>
  <w:style w:type="character" w:customStyle="1" w:styleId="CommentTextChar">
    <w:name w:val="Comment Text Char"/>
    <w:basedOn w:val="DefaultParagraphFont"/>
    <w:link w:val="CommentText"/>
    <w:uiPriority w:val="99"/>
    <w:semiHidden/>
    <w:rsid w:val="00B372E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372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2ED"/>
    <w:rPr>
      <w:rFonts w:ascii="Segoe UI" w:eastAsia="Times New Roman" w:hAnsi="Segoe UI" w:cs="Segoe UI"/>
      <w:sz w:val="18"/>
      <w:szCs w:val="18"/>
    </w:rPr>
  </w:style>
  <w:style w:type="table" w:styleId="LightShading">
    <w:name w:val="Light Shading"/>
    <w:basedOn w:val="TableNormal"/>
    <w:uiPriority w:val="60"/>
    <w:rsid w:val="00B372E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C66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F0599"/>
    <w:rPr>
      <w:b/>
      <w:bCs/>
    </w:rPr>
  </w:style>
  <w:style w:type="character" w:customStyle="1" w:styleId="CommentSubjectChar">
    <w:name w:val="Comment Subject Char"/>
    <w:basedOn w:val="CommentTextChar"/>
    <w:link w:val="CommentSubject"/>
    <w:uiPriority w:val="99"/>
    <w:semiHidden/>
    <w:rsid w:val="00BF0599"/>
    <w:rPr>
      <w:rFonts w:ascii="Times New Roman" w:eastAsia="Times New Roman" w:hAnsi="Times New Roman" w:cs="Times New Roman"/>
      <w:b/>
      <w:bCs/>
      <w:sz w:val="20"/>
      <w:szCs w:val="20"/>
    </w:rPr>
  </w:style>
  <w:style w:type="paragraph" w:styleId="BodyText">
    <w:name w:val="Body Text"/>
    <w:basedOn w:val="Normal"/>
    <w:link w:val="BodyTextChar"/>
    <w:uiPriority w:val="99"/>
    <w:unhideWhenUsed/>
    <w:rsid w:val="00427E3F"/>
    <w:pPr>
      <w:spacing w:after="240"/>
    </w:pPr>
  </w:style>
  <w:style w:type="character" w:customStyle="1" w:styleId="BodyTextChar">
    <w:name w:val="Body Text Char"/>
    <w:basedOn w:val="DefaultParagraphFont"/>
    <w:link w:val="BodyText"/>
    <w:uiPriority w:val="99"/>
    <w:rsid w:val="00427E3F"/>
    <w:rPr>
      <w:rFonts w:ascii="Times New Roman" w:eastAsia="Times New Roman" w:hAnsi="Times New Roman" w:cs="Times New Roman"/>
      <w:sz w:val="24"/>
      <w:szCs w:val="24"/>
    </w:rPr>
  </w:style>
  <w:style w:type="paragraph" w:styleId="ListNumber">
    <w:name w:val="List Number"/>
    <w:basedOn w:val="Normal"/>
    <w:uiPriority w:val="99"/>
    <w:unhideWhenUsed/>
    <w:rsid w:val="00427E3F"/>
    <w:pPr>
      <w:numPr>
        <w:numId w:val="9"/>
      </w:numPr>
    </w:pPr>
    <w:rPr>
      <w:b/>
    </w:rPr>
  </w:style>
  <w:style w:type="character" w:customStyle="1" w:styleId="Heading1Char">
    <w:name w:val="Heading 1 Char"/>
    <w:basedOn w:val="DefaultParagraphFont"/>
    <w:link w:val="Heading1"/>
    <w:uiPriority w:val="9"/>
    <w:rsid w:val="00427E3F"/>
    <w:rPr>
      <w:rFonts w:asciiTheme="majorHAnsi" w:eastAsiaTheme="majorEastAsia" w:hAnsiTheme="majorHAnsi" w:cstheme="majorBidi"/>
      <w:color w:val="2E74B5" w:themeColor="accent1" w:themeShade="BF"/>
      <w:sz w:val="32"/>
      <w:szCs w:val="32"/>
    </w:rPr>
  </w:style>
  <w:style w:type="paragraph" w:styleId="ListBullet">
    <w:name w:val="List Bullet"/>
    <w:basedOn w:val="Normal"/>
    <w:uiPriority w:val="99"/>
    <w:unhideWhenUsed/>
    <w:rsid w:val="00427E3F"/>
    <w:pPr>
      <w:numPr>
        <w:numId w:val="4"/>
      </w:numPr>
      <w:spacing w:after="240"/>
      <w:ind w:left="720"/>
    </w:pPr>
  </w:style>
  <w:style w:type="character" w:customStyle="1" w:styleId="Heading3Char">
    <w:name w:val="Heading 3 Char"/>
    <w:basedOn w:val="DefaultParagraphFont"/>
    <w:link w:val="Heading3"/>
    <w:uiPriority w:val="9"/>
    <w:rsid w:val="00427E3F"/>
    <w:rPr>
      <w:rFonts w:ascii="Times New Roman" w:eastAsiaTheme="majorEastAsia" w:hAnsi="Times New Roman" w:cstheme="majorBidi"/>
      <w:sz w:val="24"/>
      <w:szCs w:val="24"/>
      <w:u w:val="single"/>
    </w:rPr>
  </w:style>
  <w:style w:type="character" w:customStyle="1" w:styleId="Heading4Char">
    <w:name w:val="Heading 4 Char"/>
    <w:basedOn w:val="DefaultParagraphFont"/>
    <w:link w:val="Heading4"/>
    <w:uiPriority w:val="9"/>
    <w:rsid w:val="00427E3F"/>
    <w:rPr>
      <w:rFonts w:ascii="Times New Roman" w:eastAsiaTheme="majorEastAsia" w:hAnsi="Times New Roman" w:cstheme="majorBidi"/>
      <w:i/>
      <w:iCs/>
      <w:sz w:val="24"/>
      <w:szCs w:val="24"/>
    </w:rPr>
  </w:style>
  <w:style w:type="character" w:customStyle="1" w:styleId="Heading5Char">
    <w:name w:val="Heading 5 Char"/>
    <w:basedOn w:val="DefaultParagraphFont"/>
    <w:link w:val="Heading5"/>
    <w:uiPriority w:val="9"/>
    <w:rsid w:val="00427E3F"/>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9"/>
    <w:rsid w:val="00427E3F"/>
    <w:rPr>
      <w:rFonts w:asciiTheme="majorHAnsi" w:eastAsiaTheme="majorEastAsia" w:hAnsiTheme="majorHAnsi" w:cstheme="majorBidi"/>
      <w:color w:val="1F4D78" w:themeColor="accent1" w:themeShade="7F"/>
      <w:sz w:val="24"/>
      <w:szCs w:val="24"/>
    </w:rPr>
  </w:style>
  <w:style w:type="paragraph" w:customStyle="1" w:styleId="Exhibittitle">
    <w:name w:val="Exhibit title"/>
    <w:basedOn w:val="Normal"/>
    <w:qFormat/>
    <w:rsid w:val="00F53644"/>
    <w:pPr>
      <w:keepNext/>
      <w:spacing w:after="120"/>
      <w:ind w:left="1166" w:hanging="1166"/>
    </w:pPr>
    <w:rPr>
      <w:b/>
    </w:rPr>
  </w:style>
  <w:style w:type="paragraph" w:customStyle="1" w:styleId="Tabletext">
    <w:name w:val="Table text"/>
    <w:basedOn w:val="Normal"/>
    <w:qFormat/>
    <w:rsid w:val="002045A1"/>
    <w:rPr>
      <w:color w:val="000000" w:themeColor="text1" w:themeShade="BF"/>
      <w:sz w:val="20"/>
      <w:szCs w:val="20"/>
    </w:rPr>
  </w:style>
  <w:style w:type="paragraph" w:customStyle="1" w:styleId="biblio">
    <w:name w:val="biblio"/>
    <w:basedOn w:val="Normal"/>
    <w:rsid w:val="00CF78A8"/>
    <w:pPr>
      <w:keepLines/>
      <w:spacing w:after="80"/>
      <w:ind w:left="806" w:hanging="806"/>
    </w:pPr>
    <w:rPr>
      <w:noProof/>
      <w:szCs w:val="20"/>
    </w:rPr>
  </w:style>
  <w:style w:type="character" w:customStyle="1" w:styleId="end1">
    <w:name w:val="end1"/>
    <w:basedOn w:val="DefaultParagraphFont"/>
    <w:rsid w:val="00F71DDB"/>
    <w:rPr>
      <w:rFonts w:ascii="Arial" w:hAnsi="Arial" w:cs="Arial" w:hint="default"/>
      <w:b w:val="0"/>
      <w:bCs w:val="0"/>
      <w:i w:val="0"/>
      <w:iCs w:val="0"/>
      <w:color w:val="000000"/>
      <w:sz w:val="17"/>
      <w:szCs w:val="17"/>
    </w:rPr>
  </w:style>
  <w:style w:type="character" w:styleId="Emphasis">
    <w:name w:val="Emphasis"/>
    <w:basedOn w:val="DefaultParagraphFont"/>
    <w:uiPriority w:val="20"/>
    <w:qFormat/>
    <w:rsid w:val="00F71DDB"/>
    <w:rPr>
      <w:i/>
      <w:iCs/>
    </w:rPr>
  </w:style>
  <w:style w:type="character" w:customStyle="1" w:styleId="italic1">
    <w:name w:val="italic1"/>
    <w:basedOn w:val="DefaultParagraphFont"/>
    <w:rsid w:val="00151CCC"/>
    <w:rPr>
      <w:b w:val="0"/>
      <w:bCs w:val="0"/>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E3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27E3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CA6E26"/>
    <w:pPr>
      <w:keepNext/>
      <w:spacing w:before="240" w:after="240"/>
      <w:ind w:left="720" w:hanging="720"/>
      <w:outlineLvl w:val="1"/>
    </w:pPr>
    <w:rPr>
      <w:rFonts w:cs="Arial"/>
      <w:b/>
      <w:bCs/>
      <w:iCs/>
      <w:szCs w:val="28"/>
    </w:rPr>
  </w:style>
  <w:style w:type="paragraph" w:styleId="Heading3">
    <w:name w:val="heading 3"/>
    <w:basedOn w:val="Normal"/>
    <w:next w:val="Normal"/>
    <w:link w:val="Heading3Char"/>
    <w:uiPriority w:val="9"/>
    <w:unhideWhenUsed/>
    <w:qFormat/>
    <w:rsid w:val="00427E3F"/>
    <w:pPr>
      <w:keepNext/>
      <w:keepLines/>
      <w:spacing w:after="240"/>
      <w:outlineLvl w:val="2"/>
    </w:pPr>
    <w:rPr>
      <w:rFonts w:eastAsiaTheme="majorEastAsia" w:cstheme="majorBidi"/>
      <w:u w:val="single"/>
    </w:rPr>
  </w:style>
  <w:style w:type="paragraph" w:styleId="Heading4">
    <w:name w:val="heading 4"/>
    <w:basedOn w:val="Normal"/>
    <w:next w:val="Normal"/>
    <w:link w:val="Heading4Char"/>
    <w:uiPriority w:val="9"/>
    <w:unhideWhenUsed/>
    <w:qFormat/>
    <w:rsid w:val="00427E3F"/>
    <w:pPr>
      <w:keepNext/>
      <w:keepLines/>
      <w:spacing w:after="240"/>
      <w:outlineLvl w:val="3"/>
    </w:pPr>
    <w:rPr>
      <w:rFonts w:eastAsiaTheme="majorEastAsia" w:cstheme="majorBidi"/>
      <w:i/>
      <w:iCs/>
    </w:rPr>
  </w:style>
  <w:style w:type="paragraph" w:styleId="Heading5">
    <w:name w:val="heading 5"/>
    <w:basedOn w:val="Normal"/>
    <w:next w:val="Normal"/>
    <w:link w:val="Heading5Char"/>
    <w:uiPriority w:val="9"/>
    <w:unhideWhenUsed/>
    <w:qFormat/>
    <w:rsid w:val="00427E3F"/>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427E3F"/>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A6E26"/>
    <w:rPr>
      <w:rFonts w:ascii="Times New Roman" w:eastAsia="Times New Roman" w:hAnsi="Times New Roman" w:cs="Arial"/>
      <w:b/>
      <w:bCs/>
      <w:iCs/>
      <w:sz w:val="24"/>
      <w:szCs w:val="28"/>
    </w:rPr>
  </w:style>
  <w:style w:type="paragraph" w:styleId="ListParagraph">
    <w:name w:val="List Paragraph"/>
    <w:basedOn w:val="Normal"/>
    <w:uiPriority w:val="34"/>
    <w:qFormat/>
    <w:rsid w:val="00427E3F"/>
    <w:pPr>
      <w:contextualSpacing/>
    </w:pPr>
    <w:rPr>
      <w:b/>
    </w:rPr>
  </w:style>
  <w:style w:type="character" w:styleId="Hyperlink">
    <w:name w:val="Hyperlink"/>
    <w:basedOn w:val="DefaultParagraphFont"/>
    <w:rsid w:val="00CA6E26"/>
    <w:rPr>
      <w:color w:val="0000FF"/>
      <w:u w:val="single"/>
    </w:rPr>
  </w:style>
  <w:style w:type="paragraph" w:styleId="Header">
    <w:name w:val="header"/>
    <w:basedOn w:val="Normal"/>
    <w:link w:val="HeaderChar"/>
    <w:uiPriority w:val="99"/>
    <w:unhideWhenUsed/>
    <w:rsid w:val="00ED0429"/>
    <w:pPr>
      <w:tabs>
        <w:tab w:val="center" w:pos="4680"/>
        <w:tab w:val="right" w:pos="9360"/>
      </w:tabs>
    </w:pPr>
  </w:style>
  <w:style w:type="character" w:customStyle="1" w:styleId="HeaderChar">
    <w:name w:val="Header Char"/>
    <w:basedOn w:val="DefaultParagraphFont"/>
    <w:link w:val="Header"/>
    <w:uiPriority w:val="99"/>
    <w:rsid w:val="00ED042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D0429"/>
    <w:pPr>
      <w:tabs>
        <w:tab w:val="center" w:pos="4680"/>
        <w:tab w:val="right" w:pos="9360"/>
      </w:tabs>
    </w:pPr>
  </w:style>
  <w:style w:type="character" w:customStyle="1" w:styleId="FooterChar">
    <w:name w:val="Footer Char"/>
    <w:basedOn w:val="DefaultParagraphFont"/>
    <w:link w:val="Footer"/>
    <w:uiPriority w:val="99"/>
    <w:rsid w:val="00ED0429"/>
    <w:rPr>
      <w:rFonts w:ascii="Times New Roman" w:eastAsia="Times New Roman" w:hAnsi="Times New Roman" w:cs="Times New Roman"/>
      <w:sz w:val="24"/>
      <w:szCs w:val="24"/>
    </w:rPr>
  </w:style>
  <w:style w:type="paragraph" w:customStyle="1" w:styleId="Default">
    <w:name w:val="Default"/>
    <w:rsid w:val="00BE5A24"/>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B372ED"/>
    <w:rPr>
      <w:sz w:val="16"/>
      <w:szCs w:val="16"/>
    </w:rPr>
  </w:style>
  <w:style w:type="paragraph" w:styleId="CommentText">
    <w:name w:val="annotation text"/>
    <w:basedOn w:val="Normal"/>
    <w:link w:val="CommentTextChar"/>
    <w:uiPriority w:val="99"/>
    <w:semiHidden/>
    <w:unhideWhenUsed/>
    <w:rsid w:val="00B372ED"/>
    <w:rPr>
      <w:sz w:val="20"/>
      <w:szCs w:val="20"/>
    </w:rPr>
  </w:style>
  <w:style w:type="character" w:customStyle="1" w:styleId="CommentTextChar">
    <w:name w:val="Comment Text Char"/>
    <w:basedOn w:val="DefaultParagraphFont"/>
    <w:link w:val="CommentText"/>
    <w:uiPriority w:val="99"/>
    <w:semiHidden/>
    <w:rsid w:val="00B372E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372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2ED"/>
    <w:rPr>
      <w:rFonts w:ascii="Segoe UI" w:eastAsia="Times New Roman" w:hAnsi="Segoe UI" w:cs="Segoe UI"/>
      <w:sz w:val="18"/>
      <w:szCs w:val="18"/>
    </w:rPr>
  </w:style>
  <w:style w:type="table" w:styleId="LightShading">
    <w:name w:val="Light Shading"/>
    <w:basedOn w:val="TableNormal"/>
    <w:uiPriority w:val="60"/>
    <w:rsid w:val="00B372E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C66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F0599"/>
    <w:rPr>
      <w:b/>
      <w:bCs/>
    </w:rPr>
  </w:style>
  <w:style w:type="character" w:customStyle="1" w:styleId="CommentSubjectChar">
    <w:name w:val="Comment Subject Char"/>
    <w:basedOn w:val="CommentTextChar"/>
    <w:link w:val="CommentSubject"/>
    <w:uiPriority w:val="99"/>
    <w:semiHidden/>
    <w:rsid w:val="00BF0599"/>
    <w:rPr>
      <w:rFonts w:ascii="Times New Roman" w:eastAsia="Times New Roman" w:hAnsi="Times New Roman" w:cs="Times New Roman"/>
      <w:b/>
      <w:bCs/>
      <w:sz w:val="20"/>
      <w:szCs w:val="20"/>
    </w:rPr>
  </w:style>
  <w:style w:type="paragraph" w:styleId="BodyText">
    <w:name w:val="Body Text"/>
    <w:basedOn w:val="Normal"/>
    <w:link w:val="BodyTextChar"/>
    <w:uiPriority w:val="99"/>
    <w:unhideWhenUsed/>
    <w:rsid w:val="00427E3F"/>
    <w:pPr>
      <w:spacing w:after="240"/>
    </w:pPr>
  </w:style>
  <w:style w:type="character" w:customStyle="1" w:styleId="BodyTextChar">
    <w:name w:val="Body Text Char"/>
    <w:basedOn w:val="DefaultParagraphFont"/>
    <w:link w:val="BodyText"/>
    <w:uiPriority w:val="99"/>
    <w:rsid w:val="00427E3F"/>
    <w:rPr>
      <w:rFonts w:ascii="Times New Roman" w:eastAsia="Times New Roman" w:hAnsi="Times New Roman" w:cs="Times New Roman"/>
      <w:sz w:val="24"/>
      <w:szCs w:val="24"/>
    </w:rPr>
  </w:style>
  <w:style w:type="paragraph" w:styleId="ListNumber">
    <w:name w:val="List Number"/>
    <w:basedOn w:val="Normal"/>
    <w:uiPriority w:val="99"/>
    <w:unhideWhenUsed/>
    <w:rsid w:val="00427E3F"/>
    <w:pPr>
      <w:numPr>
        <w:numId w:val="9"/>
      </w:numPr>
    </w:pPr>
    <w:rPr>
      <w:b/>
    </w:rPr>
  </w:style>
  <w:style w:type="character" w:customStyle="1" w:styleId="Heading1Char">
    <w:name w:val="Heading 1 Char"/>
    <w:basedOn w:val="DefaultParagraphFont"/>
    <w:link w:val="Heading1"/>
    <w:uiPriority w:val="9"/>
    <w:rsid w:val="00427E3F"/>
    <w:rPr>
      <w:rFonts w:asciiTheme="majorHAnsi" w:eastAsiaTheme="majorEastAsia" w:hAnsiTheme="majorHAnsi" w:cstheme="majorBidi"/>
      <w:color w:val="2E74B5" w:themeColor="accent1" w:themeShade="BF"/>
      <w:sz w:val="32"/>
      <w:szCs w:val="32"/>
    </w:rPr>
  </w:style>
  <w:style w:type="paragraph" w:styleId="ListBullet">
    <w:name w:val="List Bullet"/>
    <w:basedOn w:val="Normal"/>
    <w:uiPriority w:val="99"/>
    <w:unhideWhenUsed/>
    <w:rsid w:val="00427E3F"/>
    <w:pPr>
      <w:numPr>
        <w:numId w:val="4"/>
      </w:numPr>
      <w:spacing w:after="240"/>
      <w:ind w:left="720"/>
    </w:pPr>
  </w:style>
  <w:style w:type="character" w:customStyle="1" w:styleId="Heading3Char">
    <w:name w:val="Heading 3 Char"/>
    <w:basedOn w:val="DefaultParagraphFont"/>
    <w:link w:val="Heading3"/>
    <w:uiPriority w:val="9"/>
    <w:rsid w:val="00427E3F"/>
    <w:rPr>
      <w:rFonts w:ascii="Times New Roman" w:eastAsiaTheme="majorEastAsia" w:hAnsi="Times New Roman" w:cstheme="majorBidi"/>
      <w:sz w:val="24"/>
      <w:szCs w:val="24"/>
      <w:u w:val="single"/>
    </w:rPr>
  </w:style>
  <w:style w:type="character" w:customStyle="1" w:styleId="Heading4Char">
    <w:name w:val="Heading 4 Char"/>
    <w:basedOn w:val="DefaultParagraphFont"/>
    <w:link w:val="Heading4"/>
    <w:uiPriority w:val="9"/>
    <w:rsid w:val="00427E3F"/>
    <w:rPr>
      <w:rFonts w:ascii="Times New Roman" w:eastAsiaTheme="majorEastAsia" w:hAnsi="Times New Roman" w:cstheme="majorBidi"/>
      <w:i/>
      <w:iCs/>
      <w:sz w:val="24"/>
      <w:szCs w:val="24"/>
    </w:rPr>
  </w:style>
  <w:style w:type="character" w:customStyle="1" w:styleId="Heading5Char">
    <w:name w:val="Heading 5 Char"/>
    <w:basedOn w:val="DefaultParagraphFont"/>
    <w:link w:val="Heading5"/>
    <w:uiPriority w:val="9"/>
    <w:rsid w:val="00427E3F"/>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9"/>
    <w:rsid w:val="00427E3F"/>
    <w:rPr>
      <w:rFonts w:asciiTheme="majorHAnsi" w:eastAsiaTheme="majorEastAsia" w:hAnsiTheme="majorHAnsi" w:cstheme="majorBidi"/>
      <w:color w:val="1F4D78" w:themeColor="accent1" w:themeShade="7F"/>
      <w:sz w:val="24"/>
      <w:szCs w:val="24"/>
    </w:rPr>
  </w:style>
  <w:style w:type="paragraph" w:customStyle="1" w:styleId="Exhibittitle">
    <w:name w:val="Exhibit title"/>
    <w:basedOn w:val="Normal"/>
    <w:qFormat/>
    <w:rsid w:val="00F53644"/>
    <w:pPr>
      <w:keepNext/>
      <w:spacing w:after="120"/>
      <w:ind w:left="1166" w:hanging="1166"/>
    </w:pPr>
    <w:rPr>
      <w:b/>
    </w:rPr>
  </w:style>
  <w:style w:type="paragraph" w:customStyle="1" w:styleId="Tabletext">
    <w:name w:val="Table text"/>
    <w:basedOn w:val="Normal"/>
    <w:qFormat/>
    <w:rsid w:val="002045A1"/>
    <w:rPr>
      <w:color w:val="000000" w:themeColor="text1" w:themeShade="BF"/>
      <w:sz w:val="20"/>
      <w:szCs w:val="20"/>
    </w:rPr>
  </w:style>
  <w:style w:type="paragraph" w:customStyle="1" w:styleId="biblio">
    <w:name w:val="biblio"/>
    <w:basedOn w:val="Normal"/>
    <w:rsid w:val="00CF78A8"/>
    <w:pPr>
      <w:keepLines/>
      <w:spacing w:after="80"/>
      <w:ind w:left="806" w:hanging="806"/>
    </w:pPr>
    <w:rPr>
      <w:noProof/>
      <w:szCs w:val="20"/>
    </w:rPr>
  </w:style>
  <w:style w:type="character" w:customStyle="1" w:styleId="end1">
    <w:name w:val="end1"/>
    <w:basedOn w:val="DefaultParagraphFont"/>
    <w:rsid w:val="00F71DDB"/>
    <w:rPr>
      <w:rFonts w:ascii="Arial" w:hAnsi="Arial" w:cs="Arial" w:hint="default"/>
      <w:b w:val="0"/>
      <w:bCs w:val="0"/>
      <w:i w:val="0"/>
      <w:iCs w:val="0"/>
      <w:color w:val="000000"/>
      <w:sz w:val="17"/>
      <w:szCs w:val="17"/>
    </w:rPr>
  </w:style>
  <w:style w:type="character" w:styleId="Emphasis">
    <w:name w:val="Emphasis"/>
    <w:basedOn w:val="DefaultParagraphFont"/>
    <w:uiPriority w:val="20"/>
    <w:qFormat/>
    <w:rsid w:val="00F71DDB"/>
    <w:rPr>
      <w:i/>
      <w:iCs/>
    </w:rPr>
  </w:style>
  <w:style w:type="character" w:customStyle="1" w:styleId="italic1">
    <w:name w:val="italic1"/>
    <w:basedOn w:val="DefaultParagraphFont"/>
    <w:rsid w:val="00151CCC"/>
    <w:rPr>
      <w:b w:val="0"/>
      <w:bCs w:val="0"/>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744417">
      <w:bodyDiv w:val="1"/>
      <w:marLeft w:val="0"/>
      <w:marRight w:val="0"/>
      <w:marTop w:val="0"/>
      <w:marBottom w:val="0"/>
      <w:divBdr>
        <w:top w:val="none" w:sz="0" w:space="0" w:color="auto"/>
        <w:left w:val="none" w:sz="0" w:space="0" w:color="auto"/>
        <w:bottom w:val="none" w:sz="0" w:space="0" w:color="auto"/>
        <w:right w:val="none" w:sz="0" w:space="0" w:color="auto"/>
      </w:divBdr>
    </w:div>
    <w:div w:id="399405322">
      <w:bodyDiv w:val="1"/>
      <w:marLeft w:val="0"/>
      <w:marRight w:val="0"/>
      <w:marTop w:val="0"/>
      <w:marBottom w:val="0"/>
      <w:divBdr>
        <w:top w:val="none" w:sz="0" w:space="0" w:color="auto"/>
        <w:left w:val="none" w:sz="0" w:space="0" w:color="auto"/>
        <w:bottom w:val="none" w:sz="0" w:space="0" w:color="auto"/>
        <w:right w:val="none" w:sz="0" w:space="0" w:color="auto"/>
      </w:divBdr>
    </w:div>
    <w:div w:id="418059090">
      <w:bodyDiv w:val="1"/>
      <w:marLeft w:val="0"/>
      <w:marRight w:val="0"/>
      <w:marTop w:val="0"/>
      <w:marBottom w:val="0"/>
      <w:divBdr>
        <w:top w:val="none" w:sz="0" w:space="0" w:color="auto"/>
        <w:left w:val="none" w:sz="0" w:space="0" w:color="auto"/>
        <w:bottom w:val="none" w:sz="0" w:space="0" w:color="auto"/>
        <w:right w:val="none" w:sz="0" w:space="0" w:color="auto"/>
      </w:divBdr>
    </w:div>
    <w:div w:id="511385387">
      <w:bodyDiv w:val="1"/>
      <w:marLeft w:val="0"/>
      <w:marRight w:val="0"/>
      <w:marTop w:val="0"/>
      <w:marBottom w:val="0"/>
      <w:divBdr>
        <w:top w:val="none" w:sz="0" w:space="0" w:color="auto"/>
        <w:left w:val="none" w:sz="0" w:space="0" w:color="auto"/>
        <w:bottom w:val="none" w:sz="0" w:space="0" w:color="auto"/>
        <w:right w:val="none" w:sz="0" w:space="0" w:color="auto"/>
      </w:divBdr>
    </w:div>
    <w:div w:id="628626977">
      <w:bodyDiv w:val="1"/>
      <w:marLeft w:val="0"/>
      <w:marRight w:val="0"/>
      <w:marTop w:val="0"/>
      <w:marBottom w:val="0"/>
      <w:divBdr>
        <w:top w:val="none" w:sz="0" w:space="0" w:color="auto"/>
        <w:left w:val="none" w:sz="0" w:space="0" w:color="auto"/>
        <w:bottom w:val="none" w:sz="0" w:space="0" w:color="auto"/>
        <w:right w:val="none" w:sz="0" w:space="0" w:color="auto"/>
      </w:divBdr>
    </w:div>
    <w:div w:id="731393417">
      <w:bodyDiv w:val="1"/>
      <w:marLeft w:val="0"/>
      <w:marRight w:val="0"/>
      <w:marTop w:val="0"/>
      <w:marBottom w:val="0"/>
      <w:divBdr>
        <w:top w:val="none" w:sz="0" w:space="0" w:color="auto"/>
        <w:left w:val="none" w:sz="0" w:space="0" w:color="auto"/>
        <w:bottom w:val="none" w:sz="0" w:space="0" w:color="auto"/>
        <w:right w:val="none" w:sz="0" w:space="0" w:color="auto"/>
      </w:divBdr>
    </w:div>
    <w:div w:id="789133796">
      <w:bodyDiv w:val="1"/>
      <w:marLeft w:val="0"/>
      <w:marRight w:val="0"/>
      <w:marTop w:val="0"/>
      <w:marBottom w:val="0"/>
      <w:divBdr>
        <w:top w:val="none" w:sz="0" w:space="0" w:color="auto"/>
        <w:left w:val="none" w:sz="0" w:space="0" w:color="auto"/>
        <w:bottom w:val="none" w:sz="0" w:space="0" w:color="auto"/>
        <w:right w:val="none" w:sz="0" w:space="0" w:color="auto"/>
      </w:divBdr>
    </w:div>
    <w:div w:id="994837985">
      <w:bodyDiv w:val="1"/>
      <w:marLeft w:val="0"/>
      <w:marRight w:val="0"/>
      <w:marTop w:val="0"/>
      <w:marBottom w:val="0"/>
      <w:divBdr>
        <w:top w:val="none" w:sz="0" w:space="0" w:color="auto"/>
        <w:left w:val="none" w:sz="0" w:space="0" w:color="auto"/>
        <w:bottom w:val="none" w:sz="0" w:space="0" w:color="auto"/>
        <w:right w:val="none" w:sz="0" w:space="0" w:color="auto"/>
      </w:divBdr>
    </w:div>
    <w:div w:id="1509295592">
      <w:bodyDiv w:val="1"/>
      <w:marLeft w:val="0"/>
      <w:marRight w:val="0"/>
      <w:marTop w:val="0"/>
      <w:marBottom w:val="0"/>
      <w:divBdr>
        <w:top w:val="none" w:sz="0" w:space="0" w:color="auto"/>
        <w:left w:val="none" w:sz="0" w:space="0" w:color="auto"/>
        <w:bottom w:val="none" w:sz="0" w:space="0" w:color="auto"/>
        <w:right w:val="none" w:sz="0" w:space="0" w:color="auto"/>
      </w:divBdr>
    </w:div>
    <w:div w:id="1574462978">
      <w:bodyDiv w:val="1"/>
      <w:marLeft w:val="0"/>
      <w:marRight w:val="0"/>
      <w:marTop w:val="0"/>
      <w:marBottom w:val="0"/>
      <w:divBdr>
        <w:top w:val="none" w:sz="0" w:space="0" w:color="auto"/>
        <w:left w:val="none" w:sz="0" w:space="0" w:color="auto"/>
        <w:bottom w:val="none" w:sz="0" w:space="0" w:color="auto"/>
        <w:right w:val="none" w:sz="0" w:space="0" w:color="auto"/>
      </w:divBdr>
    </w:div>
    <w:div w:id="1599096574">
      <w:bodyDiv w:val="1"/>
      <w:marLeft w:val="0"/>
      <w:marRight w:val="0"/>
      <w:marTop w:val="0"/>
      <w:marBottom w:val="0"/>
      <w:divBdr>
        <w:top w:val="none" w:sz="0" w:space="0" w:color="auto"/>
        <w:left w:val="none" w:sz="0" w:space="0" w:color="auto"/>
        <w:bottom w:val="none" w:sz="0" w:space="0" w:color="auto"/>
        <w:right w:val="none" w:sz="0" w:space="0" w:color="auto"/>
      </w:divBdr>
    </w:div>
    <w:div w:id="1830173047">
      <w:bodyDiv w:val="1"/>
      <w:marLeft w:val="0"/>
      <w:marRight w:val="0"/>
      <w:marTop w:val="0"/>
      <w:marBottom w:val="0"/>
      <w:divBdr>
        <w:top w:val="none" w:sz="0" w:space="0" w:color="auto"/>
        <w:left w:val="none" w:sz="0" w:space="0" w:color="auto"/>
        <w:bottom w:val="none" w:sz="0" w:space="0" w:color="auto"/>
        <w:right w:val="none" w:sz="0" w:space="0" w:color="auto"/>
      </w:divBdr>
    </w:div>
    <w:div w:id="202108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reene@email.arizona.ed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bgarner@rti.org" TargetMode="External"/><Relationship Id="rId17" Type="http://schemas.openxmlformats.org/officeDocument/2006/relationships/hyperlink" Target="http://www.samhsa.gov/data/" TargetMode="External"/><Relationship Id="rId2" Type="http://schemas.openxmlformats.org/officeDocument/2006/relationships/numbering" Target="numbering.xml"/><Relationship Id="rId16" Type="http://schemas.openxmlformats.org/officeDocument/2006/relationships/hyperlink" Target="mailto:sstevens@email.arizona.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jd@rti.org" TargetMode="External"/><Relationship Id="rId5" Type="http://schemas.openxmlformats.org/officeDocument/2006/relationships/settings" Target="settings.xml"/><Relationship Id="rId15" Type="http://schemas.openxmlformats.org/officeDocument/2006/relationships/hyperlink" Target="mailto:dlaborde@hermesllc.com" TargetMode="External"/><Relationship Id="rId10" Type="http://schemas.openxmlformats.org/officeDocument/2006/relationships/hyperlink" Target="mailto:osilber@rti.org"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aaldrige@rti.org" TargetMode="External"/><Relationship Id="rId14" Type="http://schemas.openxmlformats.org/officeDocument/2006/relationships/hyperlink" Target="mailto:shaque@rt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76DE0-739B-4DDF-AD35-268847A56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18</Pages>
  <Words>6902</Words>
  <Characters>39342</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46152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Orme, Stephen</dc:creator>
  <cp:keywords/>
  <dc:description/>
  <cp:lastModifiedBy>Windows User</cp:lastModifiedBy>
  <cp:revision>7</cp:revision>
  <cp:lastPrinted>2016-02-10T18:26:00Z</cp:lastPrinted>
  <dcterms:created xsi:type="dcterms:W3CDTF">2016-03-11T17:00:00Z</dcterms:created>
  <dcterms:modified xsi:type="dcterms:W3CDTF">2016-06-23T12:38:00Z</dcterms:modified>
</cp:coreProperties>
</file>