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CB193" w14:textId="45C4514E" w:rsidR="008226ED" w:rsidRDefault="008226ED" w:rsidP="00EA1F22">
      <w:pPr>
        <w:tabs>
          <w:tab w:val="left" w:pos="2340"/>
        </w:tabs>
        <w:spacing w:line="276" w:lineRule="auto"/>
        <w:jc w:val="center"/>
        <w:rPr>
          <w:b/>
          <w:sz w:val="24"/>
        </w:rPr>
      </w:pPr>
    </w:p>
    <w:p w14:paraId="176FF71A" w14:textId="77777777" w:rsidR="007E602C" w:rsidRDefault="007E602C" w:rsidP="00EA1F22">
      <w:pPr>
        <w:tabs>
          <w:tab w:val="left" w:pos="2340"/>
        </w:tabs>
        <w:spacing w:line="276" w:lineRule="auto"/>
        <w:jc w:val="center"/>
        <w:rPr>
          <w:b/>
          <w:sz w:val="24"/>
        </w:rPr>
      </w:pPr>
    </w:p>
    <w:p w14:paraId="2CFA9732" w14:textId="312FA6BF" w:rsidR="00EF4FB8" w:rsidRPr="00424762" w:rsidRDefault="00EF4FB8" w:rsidP="00EA1F22">
      <w:pPr>
        <w:tabs>
          <w:tab w:val="left" w:pos="2340"/>
        </w:tabs>
        <w:spacing w:line="276" w:lineRule="auto"/>
        <w:jc w:val="center"/>
        <w:rPr>
          <w:b/>
          <w:sz w:val="24"/>
        </w:rPr>
      </w:pPr>
      <w:r w:rsidRPr="00424762">
        <w:rPr>
          <w:b/>
          <w:sz w:val="24"/>
        </w:rPr>
        <w:t>Supporting Statement – Part B</w:t>
      </w:r>
    </w:p>
    <w:p w14:paraId="76B02DA3" w14:textId="24871F39" w:rsidR="00A74BAC" w:rsidRPr="00424762" w:rsidRDefault="00EF4FB8" w:rsidP="00EA1F22">
      <w:pPr>
        <w:tabs>
          <w:tab w:val="left" w:pos="2340"/>
        </w:tabs>
        <w:spacing w:line="276" w:lineRule="auto"/>
        <w:jc w:val="center"/>
        <w:rPr>
          <w:b/>
          <w:sz w:val="24"/>
        </w:rPr>
      </w:pPr>
      <w:r w:rsidRPr="00424762">
        <w:rPr>
          <w:b/>
          <w:sz w:val="24"/>
        </w:rPr>
        <w:t xml:space="preserve"> </w:t>
      </w:r>
      <w:r w:rsidR="00A74BAC" w:rsidRPr="00424762">
        <w:rPr>
          <w:b/>
          <w:sz w:val="24"/>
        </w:rPr>
        <w:t>Merit-Based Incentive Payment System (MIPS)</w:t>
      </w:r>
    </w:p>
    <w:p w14:paraId="5FD3C61E" w14:textId="77777777" w:rsidR="00A74BAC" w:rsidRPr="00424762" w:rsidRDefault="00A74BAC" w:rsidP="00EA1F22">
      <w:pPr>
        <w:tabs>
          <w:tab w:val="left" w:pos="2340"/>
        </w:tabs>
        <w:spacing w:line="276" w:lineRule="auto"/>
        <w:jc w:val="center"/>
        <w:rPr>
          <w:b/>
          <w:sz w:val="24"/>
        </w:rPr>
      </w:pPr>
      <w:r w:rsidRPr="00424762">
        <w:rPr>
          <w:b/>
          <w:sz w:val="24"/>
        </w:rPr>
        <w:t>CMS-XXXX, OCN XXXX-XXXX</w:t>
      </w:r>
    </w:p>
    <w:p w14:paraId="1799DCC6" w14:textId="36010073" w:rsidR="00FF0D8A" w:rsidRPr="00424762" w:rsidRDefault="00173F05" w:rsidP="00EA1F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jc w:val="center"/>
        <w:rPr>
          <w:sz w:val="24"/>
        </w:rPr>
      </w:pPr>
      <w:r w:rsidRPr="00424762">
        <w:rPr>
          <w:bCs/>
          <w:sz w:val="24"/>
        </w:rPr>
        <w:t>Collections of Information Employing Statistical Methods</w:t>
      </w:r>
    </w:p>
    <w:p w14:paraId="49FA9277" w14:textId="3E3DA93D" w:rsidR="00DC0FC7" w:rsidRDefault="000A7751" w:rsidP="00B63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commentRangeStart w:id="0"/>
      <w:r>
        <w:rPr>
          <w:b/>
          <w:sz w:val="24"/>
        </w:rPr>
        <w:t>Introduction</w:t>
      </w:r>
      <w:commentRangeEnd w:id="0"/>
      <w:r w:rsidR="00636FEA">
        <w:rPr>
          <w:rStyle w:val="CommentReference"/>
        </w:rPr>
        <w:commentReference w:id="0"/>
      </w:r>
    </w:p>
    <w:p w14:paraId="5E9256B6" w14:textId="77777777" w:rsidR="002E24D9" w:rsidRDefault="002E24D9" w:rsidP="00B63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653ACFBB" w14:textId="1BC828F1" w:rsidR="00D54AD3" w:rsidRDefault="00446FDE"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0A7751" w:rsidRPr="00D54AD3">
        <w:rPr>
          <w:sz w:val="24"/>
        </w:rPr>
        <w:t>The Centers for Medicare &amp; Medicaid</w:t>
      </w:r>
      <w:r w:rsidR="001F357D">
        <w:rPr>
          <w:sz w:val="24"/>
        </w:rPr>
        <w:t xml:space="preserve"> Services</w:t>
      </w:r>
      <w:r w:rsidR="000A7751" w:rsidRPr="00D54AD3">
        <w:rPr>
          <w:sz w:val="24"/>
        </w:rPr>
        <w:t xml:space="preserve"> (CMS) seeks approval to collect</w:t>
      </w:r>
      <w:r w:rsidR="0023598A">
        <w:rPr>
          <w:sz w:val="24"/>
        </w:rPr>
        <w:t>,</w:t>
      </w:r>
      <w:r w:rsidR="000A7751" w:rsidRPr="00D54AD3">
        <w:rPr>
          <w:sz w:val="24"/>
        </w:rPr>
        <w:t xml:space="preserve"> process</w:t>
      </w:r>
      <w:r w:rsidR="0023598A">
        <w:rPr>
          <w:sz w:val="24"/>
        </w:rPr>
        <w:t>, and analyze</w:t>
      </w:r>
      <w:r w:rsidR="000A7751" w:rsidRPr="00D54AD3">
        <w:rPr>
          <w:sz w:val="24"/>
        </w:rPr>
        <w:t xml:space="preserve"> data for the purposes of implementing</w:t>
      </w:r>
      <w:r w:rsidR="009B6292">
        <w:rPr>
          <w:sz w:val="24"/>
        </w:rPr>
        <w:t xml:space="preserve"> the Merit-based Incentive Payment System (MIPS), one of two paths for providers available through </w:t>
      </w:r>
      <w:r w:rsidR="00A22B0E">
        <w:rPr>
          <w:sz w:val="24"/>
        </w:rPr>
        <w:t xml:space="preserve">the </w:t>
      </w:r>
      <w:r w:rsidR="00D54AD3">
        <w:rPr>
          <w:sz w:val="24"/>
        </w:rPr>
        <w:t xml:space="preserve">proposed </w:t>
      </w:r>
      <w:r w:rsidR="000A7751" w:rsidRPr="00D54AD3">
        <w:rPr>
          <w:sz w:val="24"/>
        </w:rPr>
        <w:t>Quality Payment Program authorized by the Medicare Access and CHIP Reauthorization Act of 2015 (MACRA)</w:t>
      </w:r>
      <w:r w:rsidR="009B6292">
        <w:rPr>
          <w:sz w:val="24"/>
        </w:rPr>
        <w:t>.</w:t>
      </w:r>
      <w:r w:rsidR="00741853">
        <w:rPr>
          <w:sz w:val="24"/>
        </w:rPr>
        <w:t xml:space="preserve"> </w:t>
      </w:r>
      <w:r w:rsidR="000A7751" w:rsidRPr="00D54AD3">
        <w:rPr>
          <w:sz w:val="24"/>
        </w:rPr>
        <w:t xml:space="preserve"> The </w:t>
      </w:r>
      <w:r w:rsidR="0057143C">
        <w:rPr>
          <w:sz w:val="24"/>
        </w:rPr>
        <w:t>Quality Payment Program</w:t>
      </w:r>
      <w:r w:rsidR="00D54AD3">
        <w:rPr>
          <w:sz w:val="24"/>
        </w:rPr>
        <w:t xml:space="preserve"> would </w:t>
      </w:r>
      <w:r w:rsidR="000A7751" w:rsidRPr="00D54AD3">
        <w:rPr>
          <w:sz w:val="24"/>
          <w:lang w:val="en"/>
        </w:rPr>
        <w:t>replace a patchwork system of Medicare reporting programs with a flexible system that allows MIPS eligible clinicians to choose from two paths that link quality to payments:</w:t>
      </w:r>
      <w:r w:rsidR="00D54AD3">
        <w:rPr>
          <w:sz w:val="24"/>
          <w:lang w:val="en"/>
        </w:rPr>
        <w:t xml:space="preserve"> </w:t>
      </w:r>
      <w:r w:rsidR="000A7751" w:rsidRPr="00D54AD3">
        <w:rPr>
          <w:sz w:val="24"/>
          <w:lang w:val="en"/>
        </w:rPr>
        <w:t xml:space="preserve"> the Merit-Based Incentive Payment System (MIPS) and Adva</w:t>
      </w:r>
      <w:r w:rsidR="00D54AD3">
        <w:rPr>
          <w:sz w:val="24"/>
          <w:lang w:val="en"/>
        </w:rPr>
        <w:t xml:space="preserve">nced Alternative Payment Models. </w:t>
      </w:r>
      <w:r w:rsidR="00D54AD3" w:rsidRPr="00D54AD3">
        <w:rPr>
          <w:sz w:val="24"/>
          <w:lang w:val="en"/>
        </w:rPr>
        <w:t xml:space="preserve">The MIPS is a new program that combines parts of the Physician Quality Reporting System (PQRS), </w:t>
      </w:r>
      <w:r w:rsidR="00D54AD3" w:rsidRPr="00D54AD3">
        <w:rPr>
          <w:sz w:val="24"/>
          <w:lang w:val="en"/>
        </w:rPr>
        <w:lastRenderedPageBreak/>
        <w:t xml:space="preserve">the Value Modifier (VM or Value-based Payment Modifier), and the Medicare Electronic Health Record (EHR) incentive program into one single program in which </w:t>
      </w:r>
      <w:r w:rsidR="001F357D">
        <w:rPr>
          <w:sz w:val="24"/>
          <w:lang w:val="en"/>
        </w:rPr>
        <w:t xml:space="preserve">MIPS </w:t>
      </w:r>
      <w:r w:rsidR="00A368D3">
        <w:rPr>
          <w:sz w:val="24"/>
          <w:lang w:val="en"/>
        </w:rPr>
        <w:t>eligible clinicians and groups</w:t>
      </w:r>
      <w:r w:rsidR="00D54AD3">
        <w:rPr>
          <w:sz w:val="24"/>
          <w:lang w:val="en"/>
        </w:rPr>
        <w:t xml:space="preserve"> will be measured on four performance categories. The four performance categories </w:t>
      </w:r>
      <w:r w:rsidR="004816F3">
        <w:rPr>
          <w:sz w:val="24"/>
          <w:lang w:val="en"/>
        </w:rPr>
        <w:t>are</w:t>
      </w:r>
      <w:r w:rsidR="00D54AD3">
        <w:rPr>
          <w:sz w:val="24"/>
          <w:lang w:val="en"/>
        </w:rPr>
        <w:t xml:space="preserve"> q</w:t>
      </w:r>
      <w:r w:rsidR="00D54AD3" w:rsidRPr="00D54AD3">
        <w:rPr>
          <w:sz w:val="24"/>
          <w:lang w:val="en"/>
        </w:rPr>
        <w:t>uality</w:t>
      </w:r>
      <w:r w:rsidR="00D54AD3">
        <w:rPr>
          <w:sz w:val="24"/>
          <w:lang w:val="en"/>
        </w:rPr>
        <w:t>, r</w:t>
      </w:r>
      <w:r w:rsidR="00D54AD3" w:rsidRPr="00D54AD3">
        <w:rPr>
          <w:sz w:val="24"/>
          <w:lang w:val="en"/>
        </w:rPr>
        <w:t>esource use</w:t>
      </w:r>
      <w:r w:rsidR="00D54AD3">
        <w:rPr>
          <w:sz w:val="24"/>
          <w:lang w:val="en"/>
        </w:rPr>
        <w:t>, c</w:t>
      </w:r>
      <w:r w:rsidR="00D54AD3" w:rsidRPr="00D54AD3">
        <w:rPr>
          <w:sz w:val="24"/>
          <w:lang w:val="en"/>
        </w:rPr>
        <w:t>linical practice improvement</w:t>
      </w:r>
      <w:r w:rsidR="00D54AD3">
        <w:rPr>
          <w:sz w:val="24"/>
          <w:lang w:val="en"/>
        </w:rPr>
        <w:t xml:space="preserve"> activities (CPIA), and advancing care information (related to m</w:t>
      </w:r>
      <w:r w:rsidR="00D54AD3" w:rsidRPr="00D54AD3">
        <w:rPr>
          <w:sz w:val="24"/>
          <w:lang w:val="en"/>
        </w:rPr>
        <w:t>eaningful use of certified EHR technology</w:t>
      </w:r>
      <w:r w:rsidR="00D54AD3">
        <w:rPr>
          <w:sz w:val="24"/>
          <w:lang w:val="en"/>
        </w:rPr>
        <w:t>)</w:t>
      </w:r>
      <w:r w:rsidR="00DA0A1E">
        <w:rPr>
          <w:sz w:val="24"/>
          <w:lang w:val="en"/>
        </w:rPr>
        <w:t xml:space="preserve">. </w:t>
      </w:r>
      <w:r w:rsidR="00DA0A1E">
        <w:rPr>
          <w:sz w:val="24"/>
        </w:rPr>
        <w:t xml:space="preserve">Under the APM path, </w:t>
      </w:r>
      <w:r w:rsidR="00D33BC1">
        <w:rPr>
          <w:sz w:val="24"/>
        </w:rPr>
        <w:t>clinicians participating in certain kinds of APMs (Advanced APM</w:t>
      </w:r>
      <w:r w:rsidR="0057143C">
        <w:rPr>
          <w:sz w:val="24"/>
        </w:rPr>
        <w:t>s</w:t>
      </w:r>
      <w:r w:rsidR="00D33BC1">
        <w:rPr>
          <w:sz w:val="24"/>
        </w:rPr>
        <w:t xml:space="preserve">) may become qualifying APM participants (QPs) and excluded from MIPS. QPs will </w:t>
      </w:r>
      <w:r w:rsidR="00DA0A1E">
        <w:rPr>
          <w:sz w:val="24"/>
        </w:rPr>
        <w:t>receive lump-sum incentive payment</w:t>
      </w:r>
      <w:r w:rsidR="00D33BC1">
        <w:rPr>
          <w:sz w:val="24"/>
        </w:rPr>
        <w:t xml:space="preserve">s equal </w:t>
      </w:r>
      <w:r w:rsidR="00D33BC1" w:rsidRPr="00D33BC1">
        <w:rPr>
          <w:sz w:val="24"/>
        </w:rPr>
        <w:t>to 5 percent</w:t>
      </w:r>
      <w:r w:rsidR="00D33BC1">
        <w:rPr>
          <w:sz w:val="24"/>
        </w:rPr>
        <w:t xml:space="preserve"> of their prior year’s payments. </w:t>
      </w:r>
    </w:p>
    <w:p w14:paraId="28C981DA" w14:textId="1D56AECB" w:rsidR="00342516" w:rsidRDefault="00446FDE"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commentRangeStart w:id="1"/>
      <w:r w:rsidR="00BC50BC">
        <w:rPr>
          <w:sz w:val="24"/>
        </w:rPr>
        <w:t>The</w:t>
      </w:r>
      <w:commentRangeEnd w:id="1"/>
      <w:r w:rsidR="00636FEA">
        <w:rPr>
          <w:rStyle w:val="CommentReference"/>
        </w:rPr>
        <w:commentReference w:id="1"/>
      </w:r>
      <w:r w:rsidR="00BC50BC">
        <w:rPr>
          <w:sz w:val="24"/>
        </w:rPr>
        <w:t xml:space="preserve"> data collected under this PRA will be used for </w:t>
      </w:r>
      <w:r w:rsidR="00FA7D94">
        <w:rPr>
          <w:sz w:val="24"/>
        </w:rPr>
        <w:t xml:space="preserve">research, </w:t>
      </w:r>
      <w:r w:rsidR="00BC50BC">
        <w:rPr>
          <w:sz w:val="24"/>
        </w:rPr>
        <w:t>evaluation</w:t>
      </w:r>
      <w:r w:rsidR="00FA7D94">
        <w:rPr>
          <w:sz w:val="24"/>
        </w:rPr>
        <w:t xml:space="preserve">, and measure </w:t>
      </w:r>
      <w:r w:rsidR="0007471D">
        <w:rPr>
          <w:sz w:val="24"/>
        </w:rPr>
        <w:t>assessment and refinement a</w:t>
      </w:r>
      <w:r w:rsidR="00FA7D94">
        <w:rPr>
          <w:sz w:val="24"/>
        </w:rPr>
        <w:t>ctivities</w:t>
      </w:r>
      <w:r w:rsidR="00BC50BC">
        <w:rPr>
          <w:sz w:val="24"/>
        </w:rPr>
        <w:t xml:space="preserve">. </w:t>
      </w:r>
      <w:r w:rsidR="0007471D">
        <w:rPr>
          <w:sz w:val="24"/>
        </w:rPr>
        <w:t xml:space="preserve">Specifically, </w:t>
      </w:r>
      <w:r w:rsidR="004816F3">
        <w:rPr>
          <w:sz w:val="24"/>
        </w:rPr>
        <w:t>CMS plans to use the data to produce annual statistical reports that will describe the reporting experience of MIPS eligible clinicians as a whole</w:t>
      </w:r>
      <w:r w:rsidR="00BC50BC">
        <w:rPr>
          <w:sz w:val="24"/>
        </w:rPr>
        <w:t xml:space="preserve"> and </w:t>
      </w:r>
      <w:r w:rsidR="004816F3">
        <w:rPr>
          <w:sz w:val="24"/>
        </w:rPr>
        <w:t>subgroups of MIPS eligible clinicians.</w:t>
      </w:r>
      <w:r w:rsidR="004816F3">
        <w:rPr>
          <w:rStyle w:val="FootnoteReference"/>
          <w:sz w:val="24"/>
        </w:rPr>
        <w:footnoteReference w:id="2"/>
      </w:r>
      <w:r w:rsidR="004816F3">
        <w:rPr>
          <w:sz w:val="24"/>
        </w:rPr>
        <w:t xml:space="preserve"> </w:t>
      </w:r>
      <w:r w:rsidR="00BC50BC">
        <w:rPr>
          <w:sz w:val="24"/>
        </w:rPr>
        <w:t xml:space="preserve">The data will also </w:t>
      </w:r>
      <w:r w:rsidR="001F357D">
        <w:rPr>
          <w:sz w:val="24"/>
        </w:rPr>
        <w:t xml:space="preserve">be utilized to fulfill a MACRA requirement in </w:t>
      </w:r>
      <w:r w:rsidR="001F357D">
        <w:rPr>
          <w:sz w:val="24"/>
        </w:rPr>
        <w:lastRenderedPageBreak/>
        <w:t xml:space="preserve">which GAO must perform a </w:t>
      </w:r>
      <w:r w:rsidR="00BC50BC">
        <w:rPr>
          <w:sz w:val="24"/>
        </w:rPr>
        <w:t>MIPS evaluation to submit to Congress by October 1, 2021</w:t>
      </w:r>
      <w:r w:rsidR="00BC50BC">
        <w:rPr>
          <w:rStyle w:val="FootnoteReference"/>
          <w:sz w:val="24"/>
        </w:rPr>
        <w:footnoteReference w:id="3"/>
      </w:r>
      <w:r w:rsidR="00BC50BC">
        <w:rPr>
          <w:sz w:val="24"/>
        </w:rPr>
        <w:t>.</w:t>
      </w:r>
      <w:r w:rsidR="00A368D3">
        <w:rPr>
          <w:sz w:val="24"/>
        </w:rPr>
        <w:t xml:space="preserve"> </w:t>
      </w:r>
      <w:r w:rsidR="00FA7D94">
        <w:rPr>
          <w:sz w:val="24"/>
        </w:rPr>
        <w:t xml:space="preserve">Further, CMS will </w:t>
      </w:r>
      <w:r w:rsidR="00C83C27">
        <w:rPr>
          <w:sz w:val="24"/>
        </w:rPr>
        <w:t xml:space="preserve">build </w:t>
      </w:r>
      <w:r w:rsidR="00F7023A">
        <w:rPr>
          <w:sz w:val="24"/>
        </w:rPr>
        <w:t xml:space="preserve">on existing PQRS processes </w:t>
      </w:r>
      <w:r w:rsidR="00F7023A" w:rsidRPr="00C83C27">
        <w:rPr>
          <w:sz w:val="24"/>
        </w:rPr>
        <w:t xml:space="preserve">to monitor </w:t>
      </w:r>
      <w:r w:rsidR="00C83C27">
        <w:rPr>
          <w:sz w:val="24"/>
        </w:rPr>
        <w:t xml:space="preserve">and assess </w:t>
      </w:r>
      <w:r w:rsidR="00F7023A" w:rsidRPr="00C83C27">
        <w:rPr>
          <w:sz w:val="24"/>
        </w:rPr>
        <w:t>measures on ongoing basis to ensure their soundness and appropriateness for continued use in the</w:t>
      </w:r>
      <w:r w:rsidR="00C83C27">
        <w:rPr>
          <w:sz w:val="24"/>
        </w:rPr>
        <w:t xml:space="preserve"> MIPS</w:t>
      </w:r>
      <w:r w:rsidR="005B10D5">
        <w:rPr>
          <w:sz w:val="24"/>
        </w:rPr>
        <w:t>.</w:t>
      </w:r>
      <w:r w:rsidR="0007471D">
        <w:rPr>
          <w:sz w:val="24"/>
        </w:rPr>
        <w:t xml:space="preserve"> As required by </w:t>
      </w:r>
      <w:r w:rsidR="005B10D5">
        <w:rPr>
          <w:sz w:val="24"/>
        </w:rPr>
        <w:t xml:space="preserve">the </w:t>
      </w:r>
      <w:r w:rsidR="0007471D">
        <w:rPr>
          <w:sz w:val="24"/>
        </w:rPr>
        <w:t xml:space="preserve">MACRA, the </w:t>
      </w:r>
      <w:r w:rsidR="00C83C27">
        <w:rPr>
          <w:sz w:val="24"/>
        </w:rPr>
        <w:t xml:space="preserve">ongoing </w:t>
      </w:r>
      <w:r w:rsidR="0007471D">
        <w:rPr>
          <w:sz w:val="24"/>
        </w:rPr>
        <w:t xml:space="preserve">measure assessment </w:t>
      </w:r>
      <w:r w:rsidR="00C83C27">
        <w:rPr>
          <w:sz w:val="24"/>
        </w:rPr>
        <w:t xml:space="preserve">and monitoring </w:t>
      </w:r>
      <w:r w:rsidR="0007471D">
        <w:rPr>
          <w:sz w:val="24"/>
        </w:rPr>
        <w:t>process will be used to refine, add, and drop measures as appropriate.</w:t>
      </w:r>
      <w:r w:rsidR="006D1655">
        <w:rPr>
          <w:sz w:val="24"/>
        </w:rPr>
        <w:t xml:space="preserve"> </w:t>
      </w:r>
    </w:p>
    <w:p w14:paraId="1ADE17A6" w14:textId="005DB2C4" w:rsidR="00DA0A1E" w:rsidRDefault="00342516"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6D1655">
        <w:rPr>
          <w:sz w:val="24"/>
        </w:rPr>
        <w:t xml:space="preserve">This Supporting Statement Part B discusses </w:t>
      </w:r>
      <w:r w:rsidR="00716CAE">
        <w:rPr>
          <w:sz w:val="24"/>
        </w:rPr>
        <w:t>nine</w:t>
      </w:r>
      <w:r w:rsidR="00DA0A1E">
        <w:rPr>
          <w:sz w:val="24"/>
        </w:rPr>
        <w:t xml:space="preserve"> Information Collections (ICs) related </w:t>
      </w:r>
      <w:r w:rsidR="004816F3">
        <w:rPr>
          <w:sz w:val="24"/>
        </w:rPr>
        <w:t>the</w:t>
      </w:r>
      <w:r w:rsidR="006D1655">
        <w:rPr>
          <w:sz w:val="24"/>
        </w:rPr>
        <w:t xml:space="preserve"> evaluation and implementation of the</w:t>
      </w:r>
      <w:r w:rsidR="009D733F">
        <w:rPr>
          <w:sz w:val="24"/>
        </w:rPr>
        <w:t xml:space="preserve"> MIPS</w:t>
      </w:r>
      <w:r w:rsidR="00A368D3">
        <w:rPr>
          <w:sz w:val="24"/>
        </w:rPr>
        <w:t>:</w:t>
      </w:r>
      <w:r w:rsidR="00DA0A1E">
        <w:rPr>
          <w:sz w:val="24"/>
        </w:rPr>
        <w:t xml:space="preserve">  </w:t>
      </w:r>
    </w:p>
    <w:p w14:paraId="129F9353" w14:textId="2948DD04" w:rsidR="00446FDE" w:rsidRPr="0023598A" w:rsidRDefault="003863FA" w:rsidP="00B618D0">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 xml:space="preserve">Four </w:t>
      </w:r>
      <w:r w:rsidR="00446FDE" w:rsidRPr="0023598A">
        <w:rPr>
          <w:sz w:val="24"/>
        </w:rPr>
        <w:t xml:space="preserve">ICs related to MIPS quality </w:t>
      </w:r>
      <w:r w:rsidR="0023598A" w:rsidRPr="0023598A">
        <w:rPr>
          <w:sz w:val="24"/>
        </w:rPr>
        <w:t>performance category</w:t>
      </w:r>
      <w:r w:rsidR="00446FDE" w:rsidRPr="0023598A">
        <w:rPr>
          <w:sz w:val="24"/>
        </w:rPr>
        <w:t xml:space="preserve"> submission by </w:t>
      </w:r>
      <w:r w:rsidR="001F357D">
        <w:rPr>
          <w:sz w:val="24"/>
        </w:rPr>
        <w:t xml:space="preserve">MIPS </w:t>
      </w:r>
      <w:r w:rsidR="00446FDE" w:rsidRPr="0023598A">
        <w:rPr>
          <w:sz w:val="24"/>
        </w:rPr>
        <w:t>eligible clinicians:</w:t>
      </w:r>
    </w:p>
    <w:p w14:paraId="1713AB6A" w14:textId="3103D1F0" w:rsidR="00446FDE" w:rsidRDefault="0023598A" w:rsidP="00B618D0">
      <w:pPr>
        <w:pStyle w:val="ListParagraph"/>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Quality measures--</w:t>
      </w:r>
      <w:r w:rsidR="00446FDE">
        <w:rPr>
          <w:sz w:val="24"/>
        </w:rPr>
        <w:t>Claims submission method</w:t>
      </w:r>
    </w:p>
    <w:p w14:paraId="77AA6C8A" w14:textId="362B859A" w:rsidR="00446FDE" w:rsidRDefault="0023598A" w:rsidP="00B618D0">
      <w:pPr>
        <w:pStyle w:val="ListParagraph"/>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Quality measures-- Qualified registry and Qualified Clinical Data Registry (QCDR) submission method</w:t>
      </w:r>
    </w:p>
    <w:p w14:paraId="3D4C1641" w14:textId="017954A6" w:rsidR="0023598A" w:rsidRDefault="0023598A" w:rsidP="00B618D0">
      <w:pPr>
        <w:pStyle w:val="ListParagraph"/>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Quality measures-- EHR submission method</w:t>
      </w:r>
    </w:p>
    <w:p w14:paraId="490667A9" w14:textId="7607239E" w:rsidR="000A7751" w:rsidRDefault="0023598A" w:rsidP="00B618D0">
      <w:pPr>
        <w:pStyle w:val="ListParagraph"/>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 xml:space="preserve">Quality measures—CMS Web Interface submission </w:t>
      </w:r>
      <w:r>
        <w:rPr>
          <w:sz w:val="24"/>
        </w:rPr>
        <w:lastRenderedPageBreak/>
        <w:t>method</w:t>
      </w:r>
    </w:p>
    <w:p w14:paraId="7EE0ED4B" w14:textId="62C92414" w:rsidR="00E5475C" w:rsidRDefault="00E5475C" w:rsidP="00B618D0">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Qualified Registry or QCDR self-nomination</w:t>
      </w:r>
    </w:p>
    <w:p w14:paraId="2A66099B" w14:textId="64C037EA" w:rsidR="0023598A" w:rsidRDefault="0023598A" w:rsidP="00B618D0">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MIPS data validation</w:t>
      </w:r>
    </w:p>
    <w:p w14:paraId="3D2E0731" w14:textId="44B9391D" w:rsidR="0023598A" w:rsidRDefault="0023598A" w:rsidP="00B618D0">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Advancing care information performance category</w:t>
      </w:r>
    </w:p>
    <w:p w14:paraId="10D0F803" w14:textId="6969B13C" w:rsidR="0023598A" w:rsidRDefault="0023598A" w:rsidP="00B618D0">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CPIA performance category</w:t>
      </w:r>
    </w:p>
    <w:p w14:paraId="766A5411" w14:textId="0F9F2632" w:rsidR="0023598A" w:rsidRPr="0023598A" w:rsidRDefault="0023598A" w:rsidP="00B618D0">
      <w:pPr>
        <w:pStyle w:val="ListParagraph"/>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Partial QP election</w:t>
      </w:r>
    </w:p>
    <w:p w14:paraId="17D55CE7" w14:textId="259FAB39" w:rsidR="000A7751" w:rsidRPr="00E5475C" w:rsidRDefault="00E5475C"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E5475C">
        <w:rPr>
          <w:sz w:val="24"/>
        </w:rPr>
        <w:tab/>
      </w:r>
      <w:r w:rsidR="006D1655">
        <w:rPr>
          <w:sz w:val="24"/>
        </w:rPr>
        <w:t xml:space="preserve">This Supporting Statement Part B is organized as follows: each section below discusses the relevant statistical information for all </w:t>
      </w:r>
      <w:r w:rsidR="00716CAE">
        <w:rPr>
          <w:sz w:val="24"/>
        </w:rPr>
        <w:t>nine</w:t>
      </w:r>
      <w:r w:rsidR="006D1655">
        <w:rPr>
          <w:sz w:val="24"/>
        </w:rPr>
        <w:t xml:space="preserve"> ICs. </w:t>
      </w:r>
      <w:r w:rsidRPr="00E5475C">
        <w:rPr>
          <w:sz w:val="24"/>
        </w:rPr>
        <w:t>The four quality performance category submission mechanisms</w:t>
      </w:r>
      <w:r w:rsidR="006D1655">
        <w:rPr>
          <w:sz w:val="24"/>
        </w:rPr>
        <w:t xml:space="preserve"> </w:t>
      </w:r>
      <w:r w:rsidRPr="00E5475C">
        <w:rPr>
          <w:sz w:val="24"/>
        </w:rPr>
        <w:t xml:space="preserve">are generally discussed as a group under the </w:t>
      </w:r>
      <w:r>
        <w:rPr>
          <w:sz w:val="24"/>
        </w:rPr>
        <w:t>quality</w:t>
      </w:r>
      <w:r w:rsidRPr="00E5475C">
        <w:rPr>
          <w:sz w:val="24"/>
        </w:rPr>
        <w:t xml:space="preserve"> </w:t>
      </w:r>
      <w:r>
        <w:rPr>
          <w:sz w:val="24"/>
        </w:rPr>
        <w:t>performance reporting category header,</w:t>
      </w:r>
      <w:r w:rsidRPr="00E5475C">
        <w:rPr>
          <w:sz w:val="24"/>
        </w:rPr>
        <w:t xml:space="preserve"> whereas the remaining </w:t>
      </w:r>
      <w:r w:rsidR="00716CAE">
        <w:rPr>
          <w:sz w:val="24"/>
        </w:rPr>
        <w:t>five</w:t>
      </w:r>
      <w:r w:rsidRPr="00E5475C">
        <w:rPr>
          <w:sz w:val="24"/>
        </w:rPr>
        <w:t xml:space="preserve"> ICs are discussed individually</w:t>
      </w:r>
      <w:r w:rsidR="006D1655">
        <w:rPr>
          <w:sz w:val="24"/>
        </w:rPr>
        <w:t xml:space="preserve"> under separate headers</w:t>
      </w:r>
      <w:r w:rsidRPr="00E5475C">
        <w:rPr>
          <w:sz w:val="24"/>
        </w:rPr>
        <w:t xml:space="preserve">. </w:t>
      </w:r>
    </w:p>
    <w:p w14:paraId="2468A615" w14:textId="05D24419" w:rsidR="00DC0FC7" w:rsidRDefault="00DC0FC7" w:rsidP="00B63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06E305CF" w14:textId="64762B51" w:rsidR="00266B5B" w:rsidRPr="00424762" w:rsidRDefault="00173F05"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1.  Describe (including a numerical estimate) the potential respondent universe and any sam</w:t>
      </w:r>
      <w:r w:rsidRPr="00424762">
        <w:rPr>
          <w:b/>
          <w:sz w:val="24"/>
        </w:rPr>
        <w:softHyphen/>
        <w:t xml:space="preserve">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w:t>
      </w:r>
      <w:r w:rsidRPr="00424762">
        <w:rPr>
          <w:b/>
          <w:sz w:val="24"/>
        </w:rPr>
        <w:lastRenderedPageBreak/>
        <w:t>collection.</w:t>
      </w:r>
    </w:p>
    <w:p w14:paraId="2CB93043" w14:textId="4DAC9075" w:rsidR="00C4093D" w:rsidRDefault="00C4093D"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D4DFD46" w14:textId="250316D8" w:rsidR="00424762" w:rsidRDefault="00424762"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sidRPr="00424762">
        <w:rPr>
          <w:sz w:val="24"/>
          <w:u w:val="single"/>
        </w:rPr>
        <w:t xml:space="preserve">Quality Performance Category </w:t>
      </w:r>
      <w:r w:rsidR="00991388">
        <w:rPr>
          <w:sz w:val="24"/>
          <w:u w:val="single"/>
        </w:rPr>
        <w:t xml:space="preserve">Data Submission </w:t>
      </w:r>
    </w:p>
    <w:p w14:paraId="0290156B" w14:textId="3765A904" w:rsidR="007118F3" w:rsidRPr="00033AF4" w:rsidRDefault="007118F3"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u w:val="single"/>
        </w:rPr>
      </w:pPr>
      <w:r w:rsidRPr="00033AF4">
        <w:rPr>
          <w:i/>
          <w:sz w:val="24"/>
          <w:u w:val="single"/>
        </w:rPr>
        <w:t>Potential respondent universe and response rates</w:t>
      </w:r>
    </w:p>
    <w:p w14:paraId="313A6FFA" w14:textId="081E5367" w:rsidR="002E24D9" w:rsidRPr="007118F3" w:rsidRDefault="002E24D9"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Because historical participation rates for quality </w:t>
      </w:r>
      <w:r w:rsidR="0007471D">
        <w:rPr>
          <w:sz w:val="24"/>
        </w:rPr>
        <w:t>data</w:t>
      </w:r>
      <w:r>
        <w:rPr>
          <w:sz w:val="24"/>
        </w:rPr>
        <w:t xml:space="preserve"> submission under PQRS have never reached 100 percent</w:t>
      </w:r>
      <w:r w:rsidR="004F2B40">
        <w:rPr>
          <w:sz w:val="24"/>
        </w:rPr>
        <w:t xml:space="preserve">, we anticipate </w:t>
      </w:r>
      <w:r>
        <w:rPr>
          <w:sz w:val="24"/>
        </w:rPr>
        <w:t xml:space="preserve">that </w:t>
      </w:r>
      <w:r w:rsidR="004F2B40">
        <w:rPr>
          <w:sz w:val="24"/>
        </w:rPr>
        <w:t xml:space="preserve">MIPS </w:t>
      </w:r>
      <w:r w:rsidR="006D1655">
        <w:rPr>
          <w:sz w:val="24"/>
        </w:rPr>
        <w:t>will not achieve full participation</w:t>
      </w:r>
      <w:r w:rsidR="004F2B40">
        <w:rPr>
          <w:sz w:val="24"/>
        </w:rPr>
        <w:t xml:space="preserve">. </w:t>
      </w:r>
      <w:r w:rsidR="0007471D">
        <w:rPr>
          <w:sz w:val="24"/>
        </w:rPr>
        <w:t xml:space="preserve">Under the 2014 PQRS, </w:t>
      </w:r>
      <w:r w:rsidR="00342516" w:rsidRPr="00424762">
        <w:rPr>
          <w:sz w:val="24"/>
        </w:rPr>
        <w:t>834,358</w:t>
      </w:r>
      <w:r w:rsidR="00342516">
        <w:rPr>
          <w:sz w:val="24"/>
        </w:rPr>
        <w:t xml:space="preserve"> of approximately 1.3 million eligible professionals</w:t>
      </w:r>
      <w:r w:rsidR="00342516" w:rsidRPr="00424762">
        <w:rPr>
          <w:sz w:val="24"/>
        </w:rPr>
        <w:t xml:space="preserve"> </w:t>
      </w:r>
      <w:r w:rsidR="001F357D">
        <w:rPr>
          <w:sz w:val="24"/>
        </w:rPr>
        <w:t xml:space="preserve">(EPs) </w:t>
      </w:r>
      <w:r w:rsidR="00342516" w:rsidRPr="00424762">
        <w:rPr>
          <w:sz w:val="24"/>
        </w:rPr>
        <w:t>(including those who belong</w:t>
      </w:r>
      <w:r w:rsidR="00342516">
        <w:rPr>
          <w:sz w:val="24"/>
        </w:rPr>
        <w:t>ed</w:t>
      </w:r>
      <w:r w:rsidR="00342516" w:rsidRPr="00424762">
        <w:rPr>
          <w:sz w:val="24"/>
        </w:rPr>
        <w:t xml:space="preserve"> to </w:t>
      </w:r>
      <w:r w:rsidR="00342516">
        <w:rPr>
          <w:sz w:val="24"/>
        </w:rPr>
        <w:t>group practice</w:t>
      </w:r>
      <w:r w:rsidR="00342516" w:rsidRPr="00424762">
        <w:rPr>
          <w:sz w:val="24"/>
        </w:rPr>
        <w:t xml:space="preserve">s that participated under the </w:t>
      </w:r>
      <w:r w:rsidR="001F357D">
        <w:rPr>
          <w:sz w:val="24"/>
        </w:rPr>
        <w:t>group practice reporting option (</w:t>
      </w:r>
      <w:r w:rsidR="00342516" w:rsidRPr="00424762">
        <w:rPr>
          <w:sz w:val="24"/>
        </w:rPr>
        <w:t>GPRO</w:t>
      </w:r>
      <w:r w:rsidR="001F357D">
        <w:rPr>
          <w:sz w:val="24"/>
        </w:rPr>
        <w:t>)</w:t>
      </w:r>
      <w:r w:rsidR="00342516" w:rsidRPr="00424762">
        <w:rPr>
          <w:sz w:val="24"/>
        </w:rPr>
        <w:t xml:space="preserve">, </w:t>
      </w:r>
      <w:r w:rsidR="00342516">
        <w:rPr>
          <w:sz w:val="24"/>
        </w:rPr>
        <w:t>EPs</w:t>
      </w:r>
      <w:r w:rsidR="00342516" w:rsidRPr="00424762">
        <w:rPr>
          <w:sz w:val="24"/>
        </w:rPr>
        <w:t xml:space="preserve"> within an </w:t>
      </w:r>
      <w:r w:rsidR="001F357D">
        <w:rPr>
          <w:sz w:val="24"/>
        </w:rPr>
        <w:t>accountable care organization (</w:t>
      </w:r>
      <w:r w:rsidR="00342516" w:rsidRPr="00424762">
        <w:rPr>
          <w:sz w:val="24"/>
        </w:rPr>
        <w:t>ACO</w:t>
      </w:r>
      <w:r w:rsidR="001F357D">
        <w:rPr>
          <w:sz w:val="24"/>
        </w:rPr>
        <w:t>)</w:t>
      </w:r>
      <w:r w:rsidR="00342516" w:rsidRPr="00424762">
        <w:rPr>
          <w:sz w:val="24"/>
        </w:rPr>
        <w:t xml:space="preserve"> participating under the </w:t>
      </w:r>
      <w:r w:rsidR="00342516">
        <w:rPr>
          <w:sz w:val="24"/>
        </w:rPr>
        <w:t>Shared Savings</w:t>
      </w:r>
      <w:r w:rsidR="00342516" w:rsidRPr="00424762">
        <w:rPr>
          <w:sz w:val="24"/>
        </w:rPr>
        <w:t xml:space="preserve"> </w:t>
      </w:r>
      <w:r w:rsidR="001F357D">
        <w:rPr>
          <w:sz w:val="24"/>
        </w:rPr>
        <w:t xml:space="preserve">Program </w:t>
      </w:r>
      <w:r w:rsidR="00342516" w:rsidRPr="00424762">
        <w:rPr>
          <w:sz w:val="24"/>
        </w:rPr>
        <w:t xml:space="preserve">or Pioneer ACO Model, and </w:t>
      </w:r>
      <w:r w:rsidR="00342516">
        <w:rPr>
          <w:sz w:val="24"/>
        </w:rPr>
        <w:t>EPs</w:t>
      </w:r>
      <w:r w:rsidR="00342516" w:rsidRPr="00424762">
        <w:rPr>
          <w:sz w:val="24"/>
        </w:rPr>
        <w:t xml:space="preserve"> participating through the </w:t>
      </w:r>
      <w:r w:rsidR="001F357D">
        <w:rPr>
          <w:sz w:val="24"/>
        </w:rPr>
        <w:t>comprehensive primary care (</w:t>
      </w:r>
      <w:r w:rsidR="00342516" w:rsidRPr="00424762">
        <w:rPr>
          <w:sz w:val="24"/>
        </w:rPr>
        <w:t>CPC</w:t>
      </w:r>
      <w:r w:rsidR="001F357D">
        <w:rPr>
          <w:sz w:val="24"/>
        </w:rPr>
        <w:t>)</w:t>
      </w:r>
      <w:r w:rsidR="00342516" w:rsidRPr="00424762">
        <w:rPr>
          <w:sz w:val="24"/>
        </w:rPr>
        <w:t xml:space="preserve"> initiative) participated</w:t>
      </w:r>
      <w:r w:rsidR="00342516">
        <w:rPr>
          <w:sz w:val="24"/>
        </w:rPr>
        <w:t xml:space="preserve">. The 2014 PQRS participation rate was </w:t>
      </w:r>
      <w:r w:rsidR="007118F3">
        <w:rPr>
          <w:sz w:val="24"/>
        </w:rPr>
        <w:t xml:space="preserve">62.8 </w:t>
      </w:r>
      <w:r w:rsidR="00613B0D">
        <w:rPr>
          <w:sz w:val="24"/>
        </w:rPr>
        <w:t>percent</w:t>
      </w:r>
      <w:r w:rsidR="00342516">
        <w:rPr>
          <w:sz w:val="24"/>
        </w:rPr>
        <w:t>,</w:t>
      </w:r>
      <w:r w:rsidR="007118F3">
        <w:rPr>
          <w:sz w:val="24"/>
        </w:rPr>
        <w:t xml:space="preserve"> quadruple</w:t>
      </w:r>
      <w:r w:rsidR="00613B0D">
        <w:rPr>
          <w:sz w:val="24"/>
        </w:rPr>
        <w:t xml:space="preserve"> the 15 percent </w:t>
      </w:r>
      <w:r w:rsidR="00342516">
        <w:rPr>
          <w:sz w:val="24"/>
        </w:rPr>
        <w:t xml:space="preserve">participation </w:t>
      </w:r>
      <w:r w:rsidR="00613B0D">
        <w:rPr>
          <w:sz w:val="24"/>
        </w:rPr>
        <w:t>rate in the program’s first year (</w:t>
      </w:r>
      <w:r w:rsidR="007118F3" w:rsidRPr="007118F3">
        <w:rPr>
          <w:sz w:val="24"/>
        </w:rPr>
        <w:t>2007</w:t>
      </w:r>
      <w:r w:rsidR="00613B0D">
        <w:rPr>
          <w:sz w:val="24"/>
        </w:rPr>
        <w:t>).</w:t>
      </w:r>
      <w:r w:rsidR="005C67E9">
        <w:rPr>
          <w:rStyle w:val="FootnoteReference"/>
          <w:sz w:val="24"/>
        </w:rPr>
        <w:footnoteReference w:id="4"/>
      </w:r>
      <w:r w:rsidR="00342516">
        <w:rPr>
          <w:sz w:val="24"/>
        </w:rPr>
        <w:t xml:space="preserve"> </w:t>
      </w:r>
    </w:p>
    <w:p w14:paraId="14FD70B5" w14:textId="20A66166" w:rsidR="00715461" w:rsidRDefault="000C07AC"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Given that the majority of MIPS quality performance category measures have been previously used under PQRS, we assume </w:t>
      </w:r>
      <w:r>
        <w:rPr>
          <w:sz w:val="24"/>
        </w:rPr>
        <w:lastRenderedPageBreak/>
        <w:t xml:space="preserve">that clinicians who previously submitted quality measures under PQRS will continue to do so under MIPS, either as voluntary reporters or as MIPS eligible clinicians required to report. </w:t>
      </w:r>
      <w:r w:rsidR="00715461">
        <w:rPr>
          <w:sz w:val="24"/>
        </w:rPr>
        <w:t xml:space="preserve">We assume that some clinicians will voluntarily submit quality performance category data because </w:t>
      </w:r>
      <w:r w:rsidR="00BC2FAF">
        <w:rPr>
          <w:sz w:val="24"/>
        </w:rPr>
        <w:t>MACRA</w:t>
      </w:r>
      <w:r w:rsidR="00715461" w:rsidRPr="00045A6D">
        <w:rPr>
          <w:sz w:val="24"/>
        </w:rPr>
        <w:t xml:space="preserve"> </w:t>
      </w:r>
      <w:r w:rsidR="00715461">
        <w:rPr>
          <w:sz w:val="24"/>
        </w:rPr>
        <w:t>permit</w:t>
      </w:r>
      <w:r w:rsidR="00BC2FAF">
        <w:rPr>
          <w:sz w:val="24"/>
        </w:rPr>
        <w:t>s</w:t>
      </w:r>
      <w:r w:rsidR="00715461">
        <w:rPr>
          <w:sz w:val="24"/>
        </w:rPr>
        <w:t xml:space="preserve"> any </w:t>
      </w:r>
      <w:r w:rsidR="005B10D5">
        <w:rPr>
          <w:sz w:val="24"/>
        </w:rPr>
        <w:t>eligible professional (</w:t>
      </w:r>
      <w:r w:rsidR="001F357D">
        <w:rPr>
          <w:sz w:val="24"/>
        </w:rPr>
        <w:t>EP</w:t>
      </w:r>
      <w:r w:rsidR="005B10D5">
        <w:rPr>
          <w:sz w:val="24"/>
        </w:rPr>
        <w:t>)</w:t>
      </w:r>
      <w:r w:rsidR="00715461" w:rsidRPr="00045A6D">
        <w:rPr>
          <w:sz w:val="24"/>
        </w:rPr>
        <w:t xml:space="preserve"> </w:t>
      </w:r>
      <w:r w:rsidR="00BC2FAF">
        <w:rPr>
          <w:sz w:val="24"/>
        </w:rPr>
        <w:t>under PQRS</w:t>
      </w:r>
      <w:r w:rsidR="00715461" w:rsidRPr="00045A6D">
        <w:rPr>
          <w:sz w:val="24"/>
        </w:rPr>
        <w:t xml:space="preserve"> who is not a MIPS eligible clinician the option to volunteer to</w:t>
      </w:r>
      <w:r w:rsidR="00715461">
        <w:rPr>
          <w:sz w:val="24"/>
        </w:rPr>
        <w:t xml:space="preserve"> </w:t>
      </w:r>
      <w:r w:rsidR="00715461" w:rsidRPr="00045A6D">
        <w:rPr>
          <w:sz w:val="24"/>
        </w:rPr>
        <w:t>report on applicable measures and activities under MIPS.</w:t>
      </w:r>
      <w:r w:rsidR="00715461" w:rsidRPr="00045A6D">
        <w:rPr>
          <w:rStyle w:val="FootnoteReference"/>
          <w:sz w:val="24"/>
        </w:rPr>
        <w:t xml:space="preserve"> </w:t>
      </w:r>
      <w:r w:rsidR="00715461">
        <w:rPr>
          <w:rStyle w:val="FootnoteReference"/>
          <w:sz w:val="24"/>
        </w:rPr>
        <w:footnoteReference w:id="5"/>
      </w:r>
      <w:r w:rsidR="00715461">
        <w:rPr>
          <w:sz w:val="24"/>
        </w:rPr>
        <w:t xml:space="preserve"> Voluntary reporters will be scored and receive </w:t>
      </w:r>
      <w:r w:rsidR="0057143C">
        <w:rPr>
          <w:sz w:val="24"/>
        </w:rPr>
        <w:t>performance feedback</w:t>
      </w:r>
      <w:r w:rsidR="00715461">
        <w:rPr>
          <w:sz w:val="24"/>
        </w:rPr>
        <w:t xml:space="preserve"> under MIPS, but will not be subject to payment adjustments. </w:t>
      </w:r>
    </w:p>
    <w:p w14:paraId="440BAB92" w14:textId="7998F586" w:rsidR="005348A6" w:rsidRDefault="000C07AC"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Because the MIPS program has not yet been implemented, we </w:t>
      </w:r>
      <w:r w:rsidR="00BC2FAF">
        <w:rPr>
          <w:sz w:val="24"/>
        </w:rPr>
        <w:t xml:space="preserve">estimate the potential universe of </w:t>
      </w:r>
      <w:r w:rsidR="001F357D">
        <w:rPr>
          <w:sz w:val="24"/>
        </w:rPr>
        <w:t xml:space="preserve">MIPS eligible </w:t>
      </w:r>
      <w:r w:rsidR="00BC2FAF">
        <w:rPr>
          <w:sz w:val="24"/>
        </w:rPr>
        <w:t xml:space="preserve">clinicians </w:t>
      </w:r>
      <w:r w:rsidR="00D33BC1">
        <w:rPr>
          <w:sz w:val="24"/>
        </w:rPr>
        <w:t xml:space="preserve">required to report </w:t>
      </w:r>
      <w:r w:rsidR="005348A6">
        <w:rPr>
          <w:sz w:val="24"/>
        </w:rPr>
        <w:t>and the potential universe of clinicians who can voluntarily report</w:t>
      </w:r>
      <w:r w:rsidR="00D33BC1">
        <w:rPr>
          <w:sz w:val="24"/>
        </w:rPr>
        <w:t xml:space="preserve"> </w:t>
      </w:r>
      <w:r w:rsidR="00BC2FAF">
        <w:rPr>
          <w:sz w:val="24"/>
        </w:rPr>
        <w:t xml:space="preserve">using 2014 data from the PQRS, </w:t>
      </w:r>
      <w:r w:rsidR="001F357D">
        <w:rPr>
          <w:sz w:val="24"/>
        </w:rPr>
        <w:t>VM</w:t>
      </w:r>
      <w:r w:rsidR="00BC2FAF">
        <w:rPr>
          <w:sz w:val="24"/>
        </w:rPr>
        <w:t xml:space="preserve"> Program and other CMS data</w:t>
      </w:r>
      <w:r w:rsidR="00FB3640">
        <w:rPr>
          <w:sz w:val="24"/>
        </w:rPr>
        <w:t xml:space="preserve">. </w:t>
      </w:r>
      <w:r w:rsidR="005348A6">
        <w:rPr>
          <w:sz w:val="24"/>
        </w:rPr>
        <w:t>The potential universe of MIP</w:t>
      </w:r>
      <w:r w:rsidR="001F357D">
        <w:rPr>
          <w:sz w:val="24"/>
        </w:rPr>
        <w:t>S</w:t>
      </w:r>
      <w:r w:rsidR="005348A6">
        <w:rPr>
          <w:sz w:val="24"/>
        </w:rPr>
        <w:t xml:space="preserve"> eligible clinicians subject to reporting requirements includes</w:t>
      </w:r>
      <w:r w:rsidR="005003EE">
        <w:rPr>
          <w:sz w:val="24"/>
        </w:rPr>
        <w:t xml:space="preserve"> </w:t>
      </w:r>
      <w:r w:rsidR="00FB3640">
        <w:rPr>
          <w:sz w:val="24"/>
        </w:rPr>
        <w:t xml:space="preserve">between </w:t>
      </w:r>
      <w:r w:rsidR="005C67E9">
        <w:rPr>
          <w:sz w:val="24"/>
        </w:rPr>
        <w:t>approximately</w:t>
      </w:r>
      <w:r>
        <w:rPr>
          <w:sz w:val="24"/>
        </w:rPr>
        <w:t xml:space="preserve"> </w:t>
      </w:r>
      <w:r w:rsidR="008345D5" w:rsidRPr="00C96304">
        <w:rPr>
          <w:sz w:val="24"/>
        </w:rPr>
        <w:t>7</w:t>
      </w:r>
      <w:r w:rsidR="00FB3640" w:rsidRPr="00C96304">
        <w:rPr>
          <w:sz w:val="24"/>
        </w:rPr>
        <w:t>16</w:t>
      </w:r>
      <w:r w:rsidR="008345D5" w:rsidRPr="00C96304">
        <w:rPr>
          <w:sz w:val="24"/>
        </w:rPr>
        <w:t>,613</w:t>
      </w:r>
      <w:r w:rsidRPr="00C96304">
        <w:rPr>
          <w:sz w:val="24"/>
        </w:rPr>
        <w:t xml:space="preserve"> and </w:t>
      </w:r>
      <w:r w:rsidR="008345D5" w:rsidRPr="00FB3640">
        <w:rPr>
          <w:sz w:val="24"/>
        </w:rPr>
        <w:t>77</w:t>
      </w:r>
      <w:r w:rsidR="00FB3640" w:rsidRPr="00FB3640">
        <w:rPr>
          <w:sz w:val="24"/>
        </w:rPr>
        <w:t>5,613</w:t>
      </w:r>
      <w:r w:rsidRPr="00FB3640">
        <w:rPr>
          <w:sz w:val="24"/>
        </w:rPr>
        <w:t xml:space="preserve"> </w:t>
      </w:r>
      <w:r w:rsidR="00D33BC1">
        <w:rPr>
          <w:sz w:val="24"/>
        </w:rPr>
        <w:t xml:space="preserve">(among the 1,009,623 </w:t>
      </w:r>
      <w:r w:rsidR="001F357D">
        <w:rPr>
          <w:sz w:val="24"/>
        </w:rPr>
        <w:t xml:space="preserve">MIPS eligible </w:t>
      </w:r>
      <w:r w:rsidR="00D33BC1">
        <w:rPr>
          <w:sz w:val="24"/>
        </w:rPr>
        <w:lastRenderedPageBreak/>
        <w:t xml:space="preserve">clinicians). </w:t>
      </w:r>
    </w:p>
    <w:p w14:paraId="78E9DFFA" w14:textId="3401C1F2" w:rsidR="005348A6" w:rsidRDefault="005348A6" w:rsidP="00B618D0">
      <w:pPr>
        <w:widowControl/>
        <w:spacing w:line="276" w:lineRule="auto"/>
        <w:ind w:firstLine="720"/>
        <w:rPr>
          <w:sz w:val="24"/>
        </w:rPr>
      </w:pPr>
      <w:r>
        <w:rPr>
          <w:sz w:val="24"/>
        </w:rPr>
        <w:t xml:space="preserve"> The potential universe of </w:t>
      </w:r>
      <w:r w:rsidR="005B10D5">
        <w:rPr>
          <w:sz w:val="24"/>
        </w:rPr>
        <w:t>EPs</w:t>
      </w:r>
      <w:r w:rsidR="005B10D5">
        <w:rPr>
          <w:sz w:val="24"/>
        </w:rPr>
        <w:t xml:space="preserve"> </w:t>
      </w:r>
      <w:r>
        <w:rPr>
          <w:sz w:val="24"/>
        </w:rPr>
        <w:t xml:space="preserve">who may voluntarily report to MIPS includes between approximately </w:t>
      </w:r>
      <w:r w:rsidR="00D33BC1">
        <w:rPr>
          <w:sz w:val="24"/>
        </w:rPr>
        <w:t xml:space="preserve">444,263 and 503,605 </w:t>
      </w:r>
      <w:r w:rsidR="005B10D5">
        <w:rPr>
          <w:sz w:val="24"/>
        </w:rPr>
        <w:t>EPs</w:t>
      </w:r>
      <w:r>
        <w:rPr>
          <w:rStyle w:val="FootnoteReference"/>
          <w:sz w:val="24"/>
        </w:rPr>
        <w:footnoteReference w:id="6"/>
      </w:r>
      <w:r>
        <w:rPr>
          <w:sz w:val="24"/>
        </w:rPr>
        <w:t xml:space="preserve">, including </w:t>
      </w:r>
      <w:r w:rsidR="00D33BC1">
        <w:rPr>
          <w:sz w:val="24"/>
        </w:rPr>
        <w:t xml:space="preserve">approximately 187,990 Medicare professionals not in eligible specialties, 225,615 </w:t>
      </w:r>
      <w:r w:rsidR="005B10D5">
        <w:rPr>
          <w:sz w:val="24"/>
        </w:rPr>
        <w:t>EPs in eligible specialties</w:t>
      </w:r>
      <w:r w:rsidR="00D33BC1">
        <w:rPr>
          <w:sz w:val="24"/>
        </w:rPr>
        <w:t xml:space="preserve"> that fall under the proposed low-volume threshold</w:t>
      </w:r>
      <w:r w:rsidR="005B10D5">
        <w:rPr>
          <w:sz w:val="24"/>
        </w:rPr>
        <w:t>,</w:t>
      </w:r>
      <w:r w:rsidR="00D33BC1">
        <w:rPr>
          <w:rStyle w:val="FootnoteReference"/>
          <w:sz w:val="24"/>
        </w:rPr>
        <w:footnoteReference w:id="7"/>
      </w:r>
      <w:r w:rsidR="00D33BC1">
        <w:rPr>
          <w:sz w:val="24"/>
        </w:rPr>
        <w:t xml:space="preserve"> and between approximately 30,658 and 90,000 QPs.</w:t>
      </w:r>
      <w:r w:rsidR="00D33BC1">
        <w:rPr>
          <w:rStyle w:val="FootnoteReference"/>
          <w:sz w:val="24"/>
        </w:rPr>
        <w:footnoteReference w:id="8"/>
      </w:r>
      <w:r>
        <w:rPr>
          <w:sz w:val="24"/>
        </w:rPr>
        <w:t xml:space="preserve"> Clinicians may voluntarily submit MIPS quality data for multiple reasons, including (a) to get feedback on their performance relative to national benchmarks or (b) because some clinicians will not be informed if they are MIPS eligible </w:t>
      </w:r>
      <w:r w:rsidR="00CE41AA">
        <w:rPr>
          <w:sz w:val="24"/>
        </w:rPr>
        <w:t>clinician</w:t>
      </w:r>
      <w:r>
        <w:rPr>
          <w:sz w:val="24"/>
        </w:rPr>
        <w:t>s until after the end of the performance period. Specifically, small groups and solo practitioners will not be informed if they met the low</w:t>
      </w:r>
      <w:r w:rsidR="001F357D">
        <w:rPr>
          <w:sz w:val="24"/>
        </w:rPr>
        <w:t>-</w:t>
      </w:r>
      <w:r>
        <w:rPr>
          <w:sz w:val="24"/>
        </w:rPr>
        <w:t xml:space="preserve">volume threshold for the MIPS </w:t>
      </w:r>
      <w:r>
        <w:rPr>
          <w:sz w:val="24"/>
        </w:rPr>
        <w:lastRenderedPageBreak/>
        <w:t xml:space="preserve">performance period 2017 until early 2018. Similarly, Advanced APM participants will not be informed if they met the performance period 2017 QP threshold to be exempt from MIPS reporting or the partial QP threshold for opting out of MIPS reporting until early 2018. </w:t>
      </w:r>
    </w:p>
    <w:p w14:paraId="1EBED5D7" w14:textId="410B9F5E" w:rsidR="00C51151" w:rsidRDefault="005003EE" w:rsidP="00B618D0">
      <w:pPr>
        <w:widowControl/>
        <w:autoSpaceDE/>
        <w:autoSpaceDN/>
        <w:adjustRightInd/>
        <w:spacing w:line="276" w:lineRule="auto"/>
        <w:ind w:firstLine="720"/>
        <w:rPr>
          <w:sz w:val="24"/>
        </w:rPr>
      </w:pPr>
      <w:r>
        <w:rPr>
          <w:sz w:val="24"/>
        </w:rPr>
        <w:t xml:space="preserve">As discussed above, we assume that the </w:t>
      </w:r>
      <w:r w:rsidRPr="001A7F32">
        <w:rPr>
          <w:sz w:val="24"/>
        </w:rPr>
        <w:t xml:space="preserve">834,358 </w:t>
      </w:r>
      <w:r>
        <w:rPr>
          <w:sz w:val="24"/>
        </w:rPr>
        <w:t xml:space="preserve">of Medicare </w:t>
      </w:r>
      <w:r w:rsidR="001F357D">
        <w:rPr>
          <w:sz w:val="24"/>
        </w:rPr>
        <w:t>EPs</w:t>
      </w:r>
      <w:r>
        <w:rPr>
          <w:sz w:val="24"/>
        </w:rPr>
        <w:t xml:space="preserve"> that submitted PQRS quality data in 2014 will continue to submit quality data under MIPS. </w:t>
      </w:r>
      <w:r w:rsidR="00B73CA7">
        <w:rPr>
          <w:sz w:val="24"/>
        </w:rPr>
        <w:t xml:space="preserve">We estimate that 81 percent of </w:t>
      </w:r>
      <w:r w:rsidR="005B10D5">
        <w:rPr>
          <w:sz w:val="24"/>
        </w:rPr>
        <w:t>EPs</w:t>
      </w:r>
      <w:r w:rsidR="005B10D5">
        <w:rPr>
          <w:sz w:val="24"/>
        </w:rPr>
        <w:t xml:space="preserve"> </w:t>
      </w:r>
      <w:r w:rsidR="00B73CA7">
        <w:rPr>
          <w:sz w:val="24"/>
        </w:rPr>
        <w:t xml:space="preserve">submitting quality data will be MIPS eligible clinicians. The remaining 19 percent of </w:t>
      </w:r>
      <w:r w:rsidR="005B10D5">
        <w:rPr>
          <w:sz w:val="24"/>
        </w:rPr>
        <w:t>EPs</w:t>
      </w:r>
      <w:r w:rsidR="00B73CA7">
        <w:rPr>
          <w:sz w:val="24"/>
        </w:rPr>
        <w:t xml:space="preserve"> will submit quality data voluntarily, including Medicare professionals not in eligible specialties (11 percent), and clinicians </w:t>
      </w:r>
      <w:r w:rsidR="000D31A4">
        <w:rPr>
          <w:sz w:val="24"/>
        </w:rPr>
        <w:t xml:space="preserve">in eligible specialties </w:t>
      </w:r>
      <w:r w:rsidR="00B73CA7">
        <w:rPr>
          <w:sz w:val="24"/>
        </w:rPr>
        <w:t xml:space="preserve">meeting the low-volume threshold (8 percent). </w:t>
      </w:r>
      <w:r>
        <w:rPr>
          <w:sz w:val="24"/>
        </w:rPr>
        <w:t>We assume that the participating MIPS eligible clinicians and voluntary reporters will continue to use the quality data submission mechanism that they used under PQRS.</w:t>
      </w:r>
      <w:r w:rsidR="00342516">
        <w:rPr>
          <w:sz w:val="24"/>
        </w:rPr>
        <w:t xml:space="preserve"> </w:t>
      </w:r>
      <w:r w:rsidR="00613B0D">
        <w:rPr>
          <w:sz w:val="24"/>
        </w:rPr>
        <w:t>Specifically, we assume that</w:t>
      </w:r>
      <w:r w:rsidR="00342516">
        <w:rPr>
          <w:sz w:val="24"/>
        </w:rPr>
        <w:t xml:space="preserve"> the number of clinicians using different quality data submission mechanisms will include: </w:t>
      </w:r>
    </w:p>
    <w:p w14:paraId="37B1A280" w14:textId="4821185B" w:rsidR="00FC3EF1" w:rsidRPr="00C51151" w:rsidRDefault="00FC3EF1" w:rsidP="00B618D0">
      <w:pPr>
        <w:pStyle w:val="ListParagraph"/>
        <w:widowControl/>
        <w:numPr>
          <w:ilvl w:val="0"/>
          <w:numId w:val="6"/>
        </w:numPr>
        <w:autoSpaceDE/>
        <w:autoSpaceDN/>
        <w:adjustRightInd/>
        <w:spacing w:line="276" w:lineRule="auto"/>
        <w:rPr>
          <w:rFonts w:eastAsiaTheme="minorEastAsia"/>
          <w:color w:val="000000"/>
          <w:sz w:val="24"/>
          <w:shd w:val="clear" w:color="auto" w:fill="FFFFFF"/>
        </w:rPr>
      </w:pPr>
      <w:r w:rsidRPr="00C51151">
        <w:rPr>
          <w:sz w:val="24"/>
        </w:rPr>
        <w:t>299,169 clinicians submitting as individuals through the claims mechanism</w:t>
      </w:r>
      <w:r w:rsidR="001F357D">
        <w:rPr>
          <w:sz w:val="24"/>
        </w:rPr>
        <w:t>.</w:t>
      </w:r>
    </w:p>
    <w:p w14:paraId="617F709D" w14:textId="74897865" w:rsidR="00FC3EF1" w:rsidRPr="00A46A1F" w:rsidRDefault="00FC3EF1" w:rsidP="00B618D0">
      <w:pPr>
        <w:pStyle w:val="NoSpacing"/>
        <w:numPr>
          <w:ilvl w:val="0"/>
          <w:numId w:val="1"/>
        </w:numPr>
        <w:spacing w:line="276" w:lineRule="auto"/>
        <w:rPr>
          <w:rFonts w:ascii="Times New Roman" w:eastAsiaTheme="minorEastAsia" w:hAnsi="Times New Roman"/>
          <w:color w:val="000000"/>
          <w:sz w:val="24"/>
          <w:szCs w:val="24"/>
          <w:shd w:val="clear" w:color="auto" w:fill="FFFFFF"/>
        </w:rPr>
      </w:pPr>
      <w:r>
        <w:rPr>
          <w:rFonts w:ascii="Times New Roman" w:hAnsi="Times New Roman"/>
          <w:sz w:val="24"/>
        </w:rPr>
        <w:lastRenderedPageBreak/>
        <w:t>214,590 clinicians submitting as individuals through qualified registry or QCDR mechanisms</w:t>
      </w:r>
      <w:r w:rsidR="001F357D">
        <w:rPr>
          <w:rFonts w:ascii="Times New Roman" w:hAnsi="Times New Roman"/>
          <w:sz w:val="24"/>
        </w:rPr>
        <w:t>.</w:t>
      </w:r>
    </w:p>
    <w:p w14:paraId="79CE1B43" w14:textId="04D92752" w:rsidR="00FC3EF1" w:rsidRPr="00A46A1F" w:rsidRDefault="00FC3EF1" w:rsidP="00B618D0">
      <w:pPr>
        <w:pStyle w:val="NoSpacing"/>
        <w:numPr>
          <w:ilvl w:val="0"/>
          <w:numId w:val="1"/>
        </w:numPr>
        <w:spacing w:line="276" w:lineRule="auto"/>
        <w:rPr>
          <w:rFonts w:ascii="Times New Roman" w:eastAsiaTheme="minorEastAsia" w:hAnsi="Times New Roman"/>
          <w:color w:val="000000"/>
          <w:sz w:val="24"/>
          <w:szCs w:val="24"/>
          <w:shd w:val="clear" w:color="auto" w:fill="FFFFFF"/>
        </w:rPr>
      </w:pPr>
      <w:r>
        <w:rPr>
          <w:rFonts w:ascii="Times New Roman" w:hAnsi="Times New Roman"/>
          <w:sz w:val="24"/>
        </w:rPr>
        <w:t>77,241 clinicians submitting through EHR mechanisms</w:t>
      </w:r>
      <w:r w:rsidR="001F357D">
        <w:rPr>
          <w:rFonts w:ascii="Times New Roman" w:hAnsi="Times New Roman"/>
          <w:sz w:val="24"/>
        </w:rPr>
        <w:t>.</w:t>
      </w:r>
    </w:p>
    <w:p w14:paraId="1DB92B0B" w14:textId="299D3B6A" w:rsidR="00FC3EF1" w:rsidRPr="00A46A1F" w:rsidRDefault="007118F3" w:rsidP="00B618D0">
      <w:pPr>
        <w:pStyle w:val="NoSpacing"/>
        <w:numPr>
          <w:ilvl w:val="0"/>
          <w:numId w:val="1"/>
        </w:numPr>
        <w:spacing w:line="276" w:lineRule="auto"/>
        <w:rPr>
          <w:rFonts w:ascii="Times New Roman" w:eastAsiaTheme="minorEastAsia" w:hAnsi="Times New Roman"/>
          <w:color w:val="000000"/>
          <w:sz w:val="24"/>
          <w:szCs w:val="24"/>
          <w:shd w:val="clear" w:color="auto" w:fill="FFFFFF"/>
        </w:rPr>
      </w:pPr>
      <w:r>
        <w:rPr>
          <w:rFonts w:ascii="Times New Roman" w:hAnsi="Times New Roman"/>
          <w:sz w:val="24"/>
        </w:rPr>
        <w:t>112,467</w:t>
      </w:r>
      <w:r w:rsidR="002624AA">
        <w:rPr>
          <w:rFonts w:ascii="Times New Roman" w:hAnsi="Times New Roman"/>
          <w:sz w:val="24"/>
        </w:rPr>
        <w:t xml:space="preserve"> </w:t>
      </w:r>
      <w:r>
        <w:rPr>
          <w:rFonts w:ascii="Times New Roman" w:hAnsi="Times New Roman"/>
          <w:sz w:val="24"/>
        </w:rPr>
        <w:t>clinicians not in APMs and submitting as 300 groups through the CMS Web Interface</w:t>
      </w:r>
      <w:r w:rsidR="001F357D">
        <w:rPr>
          <w:rFonts w:ascii="Times New Roman" w:hAnsi="Times New Roman"/>
          <w:sz w:val="24"/>
        </w:rPr>
        <w:t>.</w:t>
      </w:r>
      <w:r>
        <w:rPr>
          <w:rFonts w:ascii="Times New Roman" w:hAnsi="Times New Roman"/>
          <w:sz w:val="24"/>
        </w:rPr>
        <w:t xml:space="preserve"> </w:t>
      </w:r>
    </w:p>
    <w:p w14:paraId="24B7B3C9" w14:textId="6FE06A9F" w:rsidR="007118F3" w:rsidRPr="0097002F" w:rsidRDefault="001A7F32" w:rsidP="00B618D0">
      <w:pPr>
        <w:pStyle w:val="NoSpacing"/>
        <w:numPr>
          <w:ilvl w:val="0"/>
          <w:numId w:val="1"/>
        </w:numPr>
        <w:spacing w:line="276" w:lineRule="auto"/>
        <w:rPr>
          <w:rFonts w:ascii="Times New Roman" w:eastAsiaTheme="minorEastAsia" w:hAnsi="Times New Roman"/>
          <w:color w:val="000000"/>
          <w:sz w:val="24"/>
          <w:szCs w:val="24"/>
          <w:shd w:val="clear" w:color="auto" w:fill="FFFFFF"/>
        </w:rPr>
      </w:pPr>
      <w:r>
        <w:rPr>
          <w:rFonts w:ascii="Times New Roman" w:hAnsi="Times New Roman"/>
          <w:sz w:val="24"/>
        </w:rPr>
        <w:t>139,921</w:t>
      </w:r>
      <w:r w:rsidR="007118F3" w:rsidRPr="002624AA">
        <w:rPr>
          <w:rFonts w:ascii="Times New Roman" w:hAnsi="Times New Roman"/>
          <w:sz w:val="24"/>
        </w:rPr>
        <w:t xml:space="preserve"> clinicians participating in </w:t>
      </w:r>
      <w:r>
        <w:rPr>
          <w:rFonts w:ascii="Times New Roman" w:hAnsi="Times New Roman"/>
          <w:sz w:val="24"/>
        </w:rPr>
        <w:t xml:space="preserve">332 </w:t>
      </w:r>
      <w:r w:rsidR="007118F3" w:rsidRPr="002624AA">
        <w:rPr>
          <w:rFonts w:ascii="Times New Roman" w:hAnsi="Times New Roman"/>
          <w:sz w:val="24"/>
        </w:rPr>
        <w:t xml:space="preserve">Shared Savings Program </w:t>
      </w:r>
      <w:r>
        <w:rPr>
          <w:rFonts w:ascii="Times New Roman" w:hAnsi="Times New Roman"/>
          <w:sz w:val="24"/>
        </w:rPr>
        <w:t>ACOs and submitting</w:t>
      </w:r>
      <w:r w:rsidR="007118F3" w:rsidRPr="002624AA">
        <w:rPr>
          <w:rFonts w:ascii="Times New Roman" w:hAnsi="Times New Roman"/>
          <w:sz w:val="24"/>
        </w:rPr>
        <w:t xml:space="preserve"> through the CMS Web Interface</w:t>
      </w:r>
      <w:r w:rsidR="002624AA" w:rsidRPr="002624AA">
        <w:rPr>
          <w:rFonts w:ascii="Times New Roman" w:hAnsi="Times New Roman"/>
          <w:sz w:val="24"/>
        </w:rPr>
        <w:t xml:space="preserve">. </w:t>
      </w:r>
    </w:p>
    <w:p w14:paraId="09B78928" w14:textId="27DCC87A" w:rsidR="001A7F32" w:rsidRDefault="001A7F32" w:rsidP="00B618D0">
      <w:pPr>
        <w:pStyle w:val="NoSpacing"/>
        <w:numPr>
          <w:ilvl w:val="0"/>
          <w:numId w:val="1"/>
        </w:numPr>
        <w:spacing w:line="276" w:lineRule="auto"/>
        <w:rPr>
          <w:rFonts w:ascii="Times New Roman" w:eastAsiaTheme="minorEastAsia" w:hAnsi="Times New Roman"/>
          <w:color w:val="000000"/>
          <w:sz w:val="24"/>
          <w:szCs w:val="24"/>
          <w:shd w:val="clear" w:color="auto" w:fill="FFFFFF"/>
        </w:rPr>
      </w:pPr>
      <w:r>
        <w:rPr>
          <w:rFonts w:ascii="Times New Roman" w:eastAsiaTheme="minorEastAsia" w:hAnsi="Times New Roman"/>
          <w:color w:val="000000"/>
          <w:sz w:val="24"/>
          <w:szCs w:val="24"/>
          <w:shd w:val="clear" w:color="auto" w:fill="FFFFFF"/>
        </w:rPr>
        <w:t xml:space="preserve">20 participants in Next Gen ACO Model submitting through </w:t>
      </w:r>
      <w:r w:rsidR="005003EE">
        <w:rPr>
          <w:rFonts w:ascii="Times New Roman" w:eastAsiaTheme="minorEastAsia" w:hAnsi="Times New Roman"/>
          <w:color w:val="000000"/>
          <w:sz w:val="24"/>
          <w:szCs w:val="24"/>
          <w:shd w:val="clear" w:color="auto" w:fill="FFFFFF"/>
        </w:rPr>
        <w:t xml:space="preserve">the </w:t>
      </w:r>
      <w:r>
        <w:rPr>
          <w:rFonts w:ascii="Times New Roman" w:eastAsiaTheme="minorEastAsia" w:hAnsi="Times New Roman"/>
          <w:color w:val="000000"/>
          <w:sz w:val="24"/>
          <w:szCs w:val="24"/>
          <w:shd w:val="clear" w:color="auto" w:fill="FFFFFF"/>
        </w:rPr>
        <w:t>CMS Web Interface</w:t>
      </w:r>
      <w:r w:rsidR="0097002F">
        <w:rPr>
          <w:rFonts w:ascii="Times New Roman" w:eastAsiaTheme="minorEastAsia" w:hAnsi="Times New Roman"/>
          <w:color w:val="000000"/>
          <w:sz w:val="24"/>
          <w:szCs w:val="24"/>
          <w:shd w:val="clear" w:color="auto" w:fill="FFFFFF"/>
        </w:rPr>
        <w:t>.</w:t>
      </w:r>
      <w:r w:rsidR="005003EE">
        <w:rPr>
          <w:rStyle w:val="FootnoteReference"/>
          <w:rFonts w:ascii="Times New Roman" w:eastAsiaTheme="minorEastAsia" w:hAnsi="Times New Roman"/>
          <w:color w:val="000000"/>
          <w:sz w:val="24"/>
          <w:szCs w:val="24"/>
          <w:shd w:val="clear" w:color="auto" w:fill="FFFFFF"/>
        </w:rPr>
        <w:footnoteReference w:id="9"/>
      </w:r>
      <w:r w:rsidR="0097002F">
        <w:rPr>
          <w:rFonts w:ascii="Times New Roman" w:eastAsiaTheme="minorEastAsia" w:hAnsi="Times New Roman"/>
          <w:color w:val="000000"/>
          <w:sz w:val="24"/>
          <w:szCs w:val="24"/>
          <w:shd w:val="clear" w:color="auto" w:fill="FFFFFF"/>
        </w:rPr>
        <w:t xml:space="preserve"> </w:t>
      </w:r>
    </w:p>
    <w:p w14:paraId="21E88C58" w14:textId="77777777" w:rsidR="005003EE" w:rsidRPr="002624AA" w:rsidRDefault="005003EE" w:rsidP="00B618D0">
      <w:pPr>
        <w:pStyle w:val="NoSpacing"/>
        <w:spacing w:line="276" w:lineRule="auto"/>
        <w:ind w:left="1080"/>
        <w:rPr>
          <w:rFonts w:ascii="Times New Roman" w:eastAsiaTheme="minorEastAsia" w:hAnsi="Times New Roman"/>
          <w:color w:val="000000"/>
          <w:sz w:val="24"/>
          <w:szCs w:val="24"/>
          <w:shd w:val="clear" w:color="auto" w:fill="FFFFFF"/>
        </w:rPr>
      </w:pPr>
    </w:p>
    <w:p w14:paraId="3C467E0C" w14:textId="526F09E0" w:rsidR="00FD30D5" w:rsidRPr="00FD76D5" w:rsidRDefault="00342516"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u w:val="single"/>
        </w:rPr>
      </w:pPr>
      <w:r>
        <w:rPr>
          <w:i/>
          <w:sz w:val="24"/>
          <w:u w:val="single"/>
        </w:rPr>
        <w:t>Sampling for quality data submission</w:t>
      </w:r>
    </w:p>
    <w:p w14:paraId="59E124F5" w14:textId="2B241594" w:rsidR="00117278" w:rsidRPr="00B52757" w:rsidRDefault="002851F3" w:rsidP="00B618D0">
      <w:pPr>
        <w:spacing w:line="276" w:lineRule="auto"/>
        <w:ind w:firstLine="720"/>
        <w:rPr>
          <w:sz w:val="24"/>
        </w:rPr>
      </w:pPr>
      <w:r>
        <w:rPr>
          <w:sz w:val="24"/>
        </w:rPr>
        <w:t xml:space="preserve">Sampling </w:t>
      </w:r>
      <w:r w:rsidR="00DD1C54">
        <w:rPr>
          <w:sz w:val="24"/>
        </w:rPr>
        <w:t xml:space="preserve">will be used </w:t>
      </w:r>
      <w:r>
        <w:rPr>
          <w:sz w:val="24"/>
        </w:rPr>
        <w:t xml:space="preserve">to select patients </w:t>
      </w:r>
      <w:r w:rsidR="009E6989">
        <w:rPr>
          <w:sz w:val="24"/>
        </w:rPr>
        <w:t xml:space="preserve">for </w:t>
      </w:r>
      <w:r w:rsidR="00DD1C54">
        <w:rPr>
          <w:sz w:val="24"/>
        </w:rPr>
        <w:t>the CMS Web Interface</w:t>
      </w:r>
      <w:r w:rsidR="00671353">
        <w:rPr>
          <w:sz w:val="24"/>
        </w:rPr>
        <w:t xml:space="preserve">.  For the other quality measure submission mechanisms, </w:t>
      </w:r>
      <w:r w:rsidR="00DD1C54">
        <w:rPr>
          <w:sz w:val="24"/>
        </w:rPr>
        <w:t>sampling</w:t>
      </w:r>
      <w:r w:rsidR="002624AA">
        <w:rPr>
          <w:sz w:val="24"/>
        </w:rPr>
        <w:t xml:space="preserve"> at the patient level</w:t>
      </w:r>
      <w:r w:rsidR="00DD1C54">
        <w:rPr>
          <w:sz w:val="24"/>
        </w:rPr>
        <w:t xml:space="preserve"> will likely be precluded by the proposed completeness criteria for other quality measure submission </w:t>
      </w:r>
      <w:r w:rsidR="00DD1C54">
        <w:rPr>
          <w:sz w:val="24"/>
        </w:rPr>
        <w:lastRenderedPageBreak/>
        <w:t>mechanisms. I</w:t>
      </w:r>
      <w:r w:rsidR="00117278">
        <w:rPr>
          <w:sz w:val="24"/>
        </w:rPr>
        <w:t xml:space="preserve">ndividual </w:t>
      </w:r>
      <w:r w:rsidR="00117278" w:rsidRPr="00B52757">
        <w:rPr>
          <w:sz w:val="24"/>
        </w:rPr>
        <w:t xml:space="preserve">MIPS </w:t>
      </w:r>
      <w:r w:rsidR="00117278">
        <w:rPr>
          <w:sz w:val="24"/>
        </w:rPr>
        <w:t>eligible clinicians</w:t>
      </w:r>
      <w:r w:rsidR="00117278" w:rsidRPr="00B52757">
        <w:rPr>
          <w:sz w:val="24"/>
        </w:rPr>
        <w:t xml:space="preserve"> or </w:t>
      </w:r>
      <w:r w:rsidR="00117278">
        <w:rPr>
          <w:sz w:val="24"/>
        </w:rPr>
        <w:t>group</w:t>
      </w:r>
      <w:r w:rsidR="00117278" w:rsidRPr="00B52757">
        <w:rPr>
          <w:sz w:val="24"/>
        </w:rPr>
        <w:t xml:space="preserve">s submitting </w:t>
      </w:r>
      <w:r w:rsidR="00117278">
        <w:rPr>
          <w:sz w:val="24"/>
        </w:rPr>
        <w:t xml:space="preserve">data on </w:t>
      </w:r>
      <w:r w:rsidR="00117278" w:rsidRPr="00B52757">
        <w:rPr>
          <w:sz w:val="24"/>
        </w:rPr>
        <w:t xml:space="preserve">quality measures using QCDRs, qualified registries, or </w:t>
      </w:r>
      <w:r w:rsidR="00117278">
        <w:rPr>
          <w:sz w:val="24"/>
        </w:rPr>
        <w:t xml:space="preserve">via EHR will be required to </w:t>
      </w:r>
      <w:r w:rsidR="00117278" w:rsidRPr="00B52757">
        <w:rPr>
          <w:sz w:val="24"/>
        </w:rPr>
        <w:t xml:space="preserve">report on at least 90 percent of the </w:t>
      </w:r>
      <w:r w:rsidR="00117278">
        <w:rPr>
          <w:sz w:val="24"/>
        </w:rPr>
        <w:t>MIPS eligible clinician</w:t>
      </w:r>
      <w:r w:rsidR="00117278" w:rsidRPr="00B52757">
        <w:rPr>
          <w:sz w:val="24"/>
        </w:rPr>
        <w:t xml:space="preserve"> or </w:t>
      </w:r>
      <w:r w:rsidR="00117278">
        <w:rPr>
          <w:sz w:val="24"/>
        </w:rPr>
        <w:t>group</w:t>
      </w:r>
      <w:r w:rsidR="00117278" w:rsidRPr="00B52757">
        <w:rPr>
          <w:sz w:val="24"/>
        </w:rPr>
        <w:t>’s patients that meet the measure’s denominator criteria, regardless of payer</w:t>
      </w:r>
      <w:r w:rsidR="00117278" w:rsidRPr="006107CF">
        <w:rPr>
          <w:sz w:val="24"/>
        </w:rPr>
        <w:t xml:space="preserve"> </w:t>
      </w:r>
      <w:r w:rsidR="00117278">
        <w:rPr>
          <w:sz w:val="24"/>
        </w:rPr>
        <w:t>for the performance period</w:t>
      </w:r>
      <w:r w:rsidR="00117278" w:rsidRPr="00B52757">
        <w:rPr>
          <w:sz w:val="24"/>
        </w:rPr>
        <w:t xml:space="preserve">.  In other words, for these submission mechanisms, we would expect to receive quality data for both Medicare and non-Medicare patients.  Individual MIPS </w:t>
      </w:r>
      <w:r w:rsidR="00117278">
        <w:rPr>
          <w:sz w:val="24"/>
        </w:rPr>
        <w:t>eligible clinician</w:t>
      </w:r>
      <w:r w:rsidR="00117278" w:rsidRPr="00B52757">
        <w:rPr>
          <w:sz w:val="24"/>
        </w:rPr>
        <w:t xml:space="preserve">s submitting </w:t>
      </w:r>
      <w:r w:rsidR="00117278">
        <w:rPr>
          <w:sz w:val="24"/>
        </w:rPr>
        <w:t xml:space="preserve">data on </w:t>
      </w:r>
      <w:r w:rsidR="00117278" w:rsidRPr="00B52757">
        <w:rPr>
          <w:sz w:val="24"/>
        </w:rPr>
        <w:t>quality measures data using Medicare Part B claims, would report on at least 80 percent of the Medicare Part B patients</w:t>
      </w:r>
      <w:r w:rsidR="00117278" w:rsidRPr="006107CF">
        <w:rPr>
          <w:sz w:val="24"/>
        </w:rPr>
        <w:t xml:space="preserve"> </w:t>
      </w:r>
      <w:r w:rsidR="00117278">
        <w:rPr>
          <w:sz w:val="24"/>
        </w:rPr>
        <w:t>seen during the performance period to which the measure applies</w:t>
      </w:r>
      <w:r w:rsidR="00117278" w:rsidRPr="00B52757">
        <w:rPr>
          <w:sz w:val="24"/>
        </w:rPr>
        <w:t>.</w:t>
      </w:r>
    </w:p>
    <w:p w14:paraId="009BF399" w14:textId="262ED9E1" w:rsidR="00A65ED8" w:rsidRPr="006D0A2F" w:rsidRDefault="0079405F" w:rsidP="00B618D0">
      <w:pPr>
        <w:widowControl/>
        <w:spacing w:line="276" w:lineRule="auto"/>
        <w:ind w:firstLine="720"/>
        <w:rPr>
          <w:sz w:val="24"/>
        </w:rPr>
      </w:pPr>
      <w:r>
        <w:rPr>
          <w:sz w:val="24"/>
        </w:rPr>
        <w:t>For groups</w:t>
      </w:r>
      <w:r w:rsidR="006D0A2F">
        <w:rPr>
          <w:sz w:val="24"/>
        </w:rPr>
        <w:t>, Shared Savings Program ACOs, and Next Generation ACOs</w:t>
      </w:r>
      <w:r>
        <w:rPr>
          <w:sz w:val="24"/>
        </w:rPr>
        <w:t xml:space="preserve"> </w:t>
      </w:r>
      <w:r w:rsidR="006D0A2F">
        <w:rPr>
          <w:sz w:val="24"/>
        </w:rPr>
        <w:t xml:space="preserve">(entities) </w:t>
      </w:r>
      <w:r>
        <w:rPr>
          <w:sz w:val="24"/>
        </w:rPr>
        <w:t xml:space="preserve">submitting quality </w:t>
      </w:r>
      <w:r w:rsidR="00DD1C54">
        <w:rPr>
          <w:sz w:val="24"/>
        </w:rPr>
        <w:t xml:space="preserve">measures </w:t>
      </w:r>
      <w:r>
        <w:rPr>
          <w:sz w:val="24"/>
        </w:rPr>
        <w:t xml:space="preserve">through the CMS Web Interface, we plan to use a similar sampling method </w:t>
      </w:r>
      <w:r w:rsidR="001F357D">
        <w:rPr>
          <w:sz w:val="24"/>
        </w:rPr>
        <w:t>to</w:t>
      </w:r>
      <w:r w:rsidR="00CE41AA">
        <w:rPr>
          <w:sz w:val="24"/>
        </w:rPr>
        <w:t xml:space="preserve"> </w:t>
      </w:r>
      <w:r>
        <w:rPr>
          <w:sz w:val="24"/>
        </w:rPr>
        <w:t xml:space="preserve">that employed in </w:t>
      </w:r>
      <w:r w:rsidR="0052182A">
        <w:rPr>
          <w:sz w:val="24"/>
        </w:rPr>
        <w:t xml:space="preserve">the </w:t>
      </w:r>
      <w:r>
        <w:rPr>
          <w:sz w:val="24"/>
        </w:rPr>
        <w:t xml:space="preserve">PQRS GPRO Web Interface and developed for the Physician Group Practice </w:t>
      </w:r>
      <w:r w:rsidR="00A07A5D">
        <w:rPr>
          <w:sz w:val="24"/>
        </w:rPr>
        <w:t xml:space="preserve">(PGP) </w:t>
      </w:r>
      <w:r>
        <w:rPr>
          <w:sz w:val="24"/>
        </w:rPr>
        <w:t xml:space="preserve">Demonstration.  </w:t>
      </w:r>
      <w:r w:rsidR="0008328D">
        <w:rPr>
          <w:sz w:val="24"/>
        </w:rPr>
        <w:t>Entities must report on all patient care measures and modules included in the CMS Web Interface submission mechanism. For each patient care measure and module, t</w:t>
      </w:r>
      <w:r w:rsidR="009958B1">
        <w:rPr>
          <w:sz w:val="24"/>
        </w:rPr>
        <w:t xml:space="preserve">he </w:t>
      </w:r>
      <w:r w:rsidR="006D0A2F">
        <w:rPr>
          <w:sz w:val="24"/>
        </w:rPr>
        <w:t>CMS Web Interface provides a sample of ranked and assigned beneficiaries</w:t>
      </w:r>
      <w:r w:rsidR="0008328D">
        <w:rPr>
          <w:sz w:val="24"/>
        </w:rPr>
        <w:t>. E</w:t>
      </w:r>
      <w:r w:rsidR="006D0A2F">
        <w:rPr>
          <w:sz w:val="24"/>
        </w:rPr>
        <w:t>ntities must p</w:t>
      </w:r>
      <w:r w:rsidR="006D0A2F" w:rsidRPr="006D0A2F">
        <w:rPr>
          <w:sz w:val="24"/>
        </w:rPr>
        <w:t xml:space="preserve">opulate data fields for the first 248 consecutively ranked and assigned beneficiaries in the order in which they appear </w:t>
      </w:r>
      <w:r w:rsidR="006D0A2F" w:rsidRPr="006D0A2F">
        <w:rPr>
          <w:sz w:val="24"/>
        </w:rPr>
        <w:lastRenderedPageBreak/>
        <w:t xml:space="preserve">in </w:t>
      </w:r>
      <w:r w:rsidR="0008328D">
        <w:rPr>
          <w:sz w:val="24"/>
        </w:rPr>
        <w:t>the entities</w:t>
      </w:r>
      <w:r w:rsidR="006D0A2F" w:rsidRPr="006D0A2F">
        <w:rPr>
          <w:sz w:val="24"/>
        </w:rPr>
        <w:t xml:space="preserve"> sample for each module or patient care measure.  If the pool of eligible assigned beneficiaries is less than 248, then </w:t>
      </w:r>
      <w:r w:rsidR="009958B1">
        <w:rPr>
          <w:sz w:val="24"/>
        </w:rPr>
        <w:t>entities</w:t>
      </w:r>
      <w:r w:rsidR="0008328D">
        <w:rPr>
          <w:sz w:val="24"/>
        </w:rPr>
        <w:t xml:space="preserve"> must</w:t>
      </w:r>
      <w:r w:rsidR="009958B1">
        <w:rPr>
          <w:sz w:val="24"/>
        </w:rPr>
        <w:t xml:space="preserve"> </w:t>
      </w:r>
      <w:r w:rsidR="006D0A2F" w:rsidRPr="006D0A2F">
        <w:rPr>
          <w:sz w:val="24"/>
        </w:rPr>
        <w:t>report on 100 percent of assigned beneficiaries.</w:t>
      </w:r>
      <w:r w:rsidR="000D31A4" w:rsidRPr="000D31A4">
        <w:rPr>
          <w:rStyle w:val="FootnoteReference"/>
        </w:rPr>
        <w:t xml:space="preserve"> </w:t>
      </w:r>
      <w:r w:rsidR="000D31A4">
        <w:rPr>
          <w:rStyle w:val="FootnoteReference"/>
        </w:rPr>
        <w:footnoteReference w:id="10"/>
      </w:r>
      <w:r w:rsidR="000D31A4" w:rsidRPr="00E72386">
        <w:t xml:space="preserve"> </w:t>
      </w:r>
    </w:p>
    <w:p w14:paraId="78F03216" w14:textId="174C129C" w:rsidR="003863FA" w:rsidRPr="003863FA" w:rsidRDefault="003863FA"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 xml:space="preserve">QCDR or Qualified Registry Self-nomination </w:t>
      </w:r>
    </w:p>
    <w:p w14:paraId="0132AEB2" w14:textId="306328EC" w:rsidR="00946839" w:rsidRDefault="003863FA"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D31A4">
        <w:rPr>
          <w:sz w:val="24"/>
        </w:rPr>
        <w:tab/>
      </w:r>
      <w:r w:rsidR="000245A7" w:rsidRPr="000D31A4">
        <w:rPr>
          <w:sz w:val="24"/>
        </w:rPr>
        <w:t>We anticipate that the 9</w:t>
      </w:r>
      <w:r w:rsidR="000245A7" w:rsidRPr="003E0885">
        <w:rPr>
          <w:sz w:val="24"/>
        </w:rPr>
        <w:t>8 qualified</w:t>
      </w:r>
      <w:r w:rsidR="000245A7" w:rsidRPr="005B698E">
        <w:rPr>
          <w:sz w:val="24"/>
        </w:rPr>
        <w:t xml:space="preserve"> registries </w:t>
      </w:r>
      <w:r w:rsidR="000245A7" w:rsidRPr="00532B87">
        <w:rPr>
          <w:sz w:val="24"/>
        </w:rPr>
        <w:t xml:space="preserve">and </w:t>
      </w:r>
      <w:r w:rsidR="000245A7">
        <w:rPr>
          <w:sz w:val="24"/>
        </w:rPr>
        <w:t>49</w:t>
      </w:r>
      <w:r w:rsidR="000245A7" w:rsidRPr="005B698E">
        <w:rPr>
          <w:sz w:val="24"/>
        </w:rPr>
        <w:t xml:space="preserve"> QCDRs qualified to </w:t>
      </w:r>
      <w:r w:rsidR="000245A7">
        <w:rPr>
          <w:sz w:val="24"/>
        </w:rPr>
        <w:t>report quality measures data for the 2015</w:t>
      </w:r>
      <w:r w:rsidR="000245A7" w:rsidRPr="005B698E">
        <w:rPr>
          <w:sz w:val="24"/>
        </w:rPr>
        <w:t xml:space="preserve"> PQRS</w:t>
      </w:r>
      <w:r w:rsidR="000245A7">
        <w:rPr>
          <w:sz w:val="24"/>
        </w:rPr>
        <w:t xml:space="preserve"> will self-nominate to submit data on beh</w:t>
      </w:r>
      <w:r w:rsidR="00D62026">
        <w:rPr>
          <w:sz w:val="24"/>
        </w:rPr>
        <w:t>alf of MIPS eligible clinicians</w:t>
      </w:r>
      <w:r w:rsidR="00946839">
        <w:rPr>
          <w:sz w:val="24"/>
        </w:rPr>
        <w:t xml:space="preserve"> and groups</w:t>
      </w:r>
      <w:r w:rsidR="009958B1">
        <w:rPr>
          <w:sz w:val="24"/>
        </w:rPr>
        <w:t>.</w:t>
      </w:r>
      <w:r w:rsidR="000245A7" w:rsidRPr="005B698E">
        <w:rPr>
          <w:sz w:val="24"/>
          <w:vertAlign w:val="superscript"/>
        </w:rPr>
        <w:footnoteReference w:id="11"/>
      </w:r>
      <w:r w:rsidR="000245A7" w:rsidRPr="005B698E">
        <w:rPr>
          <w:sz w:val="24"/>
          <w:vertAlign w:val="superscript"/>
        </w:rPr>
        <w:t xml:space="preserve"> </w:t>
      </w:r>
      <w:r w:rsidR="000245A7" w:rsidRPr="005B698E">
        <w:rPr>
          <w:sz w:val="24"/>
        </w:rPr>
        <w:t xml:space="preserve"> </w:t>
      </w:r>
      <w:r w:rsidR="000245A7">
        <w:rPr>
          <w:sz w:val="24"/>
        </w:rPr>
        <w:t xml:space="preserve"> Under </w:t>
      </w:r>
      <w:r w:rsidR="00946839">
        <w:rPr>
          <w:sz w:val="24"/>
        </w:rPr>
        <w:t xml:space="preserve">the Notice of Proposed Rulemaking, we are proposing to </w:t>
      </w:r>
      <w:r w:rsidR="00F41F2D">
        <w:rPr>
          <w:sz w:val="24"/>
        </w:rPr>
        <w:t xml:space="preserve">expand </w:t>
      </w:r>
      <w:r w:rsidR="00946839">
        <w:rPr>
          <w:sz w:val="24"/>
        </w:rPr>
        <w:t>qualified registrie</w:t>
      </w:r>
      <w:r w:rsidR="00F41F2D">
        <w:rPr>
          <w:sz w:val="24"/>
        </w:rPr>
        <w:t>s</w:t>
      </w:r>
      <w:r w:rsidR="00946839">
        <w:rPr>
          <w:sz w:val="24"/>
        </w:rPr>
        <w:t>’</w:t>
      </w:r>
      <w:r w:rsidR="00F41F2D">
        <w:rPr>
          <w:sz w:val="24"/>
        </w:rPr>
        <w:t xml:space="preserve"> and </w:t>
      </w:r>
      <w:r w:rsidR="00946839">
        <w:rPr>
          <w:sz w:val="24"/>
        </w:rPr>
        <w:t xml:space="preserve">QCDRs’ capabilities by allowing </w:t>
      </w:r>
      <w:r w:rsidR="00F41F2D">
        <w:rPr>
          <w:sz w:val="24"/>
        </w:rPr>
        <w:t>them</w:t>
      </w:r>
      <w:r w:rsidR="00946839">
        <w:rPr>
          <w:sz w:val="24"/>
        </w:rPr>
        <w:t xml:space="preserve"> to submit data on measures, activities, or objectives for any of the following MIPS performance categories:</w:t>
      </w:r>
    </w:p>
    <w:p w14:paraId="10648F2D" w14:textId="27BB2743" w:rsidR="00946839" w:rsidRPr="00F41F2D" w:rsidRDefault="00946839" w:rsidP="00B618D0">
      <w:pPr>
        <w:pStyle w:val="ListParagraph"/>
        <w:widowControl/>
        <w:numPr>
          <w:ilvl w:val="0"/>
          <w:numId w:val="8"/>
        </w:numPr>
        <w:spacing w:line="276" w:lineRule="auto"/>
        <w:rPr>
          <w:sz w:val="24"/>
        </w:rPr>
      </w:pPr>
      <w:r w:rsidRPr="00F41F2D">
        <w:rPr>
          <w:sz w:val="24"/>
        </w:rPr>
        <w:t>Quality;</w:t>
      </w:r>
    </w:p>
    <w:p w14:paraId="7CD560C6" w14:textId="3BA3311A" w:rsidR="00946839" w:rsidRPr="00F41F2D" w:rsidRDefault="00946839" w:rsidP="00B618D0">
      <w:pPr>
        <w:pStyle w:val="ListParagraph"/>
        <w:widowControl/>
        <w:numPr>
          <w:ilvl w:val="0"/>
          <w:numId w:val="8"/>
        </w:numPr>
        <w:spacing w:line="276" w:lineRule="auto"/>
        <w:rPr>
          <w:sz w:val="24"/>
        </w:rPr>
      </w:pPr>
      <w:r w:rsidRPr="00F41F2D">
        <w:rPr>
          <w:sz w:val="24"/>
        </w:rPr>
        <w:t>CPIA; or</w:t>
      </w:r>
    </w:p>
    <w:p w14:paraId="7EF688FB" w14:textId="545DE866" w:rsidR="00946839" w:rsidRDefault="00946839" w:rsidP="00B618D0">
      <w:pPr>
        <w:pStyle w:val="ListParagraph"/>
        <w:widowControl/>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F41F2D">
        <w:rPr>
          <w:sz w:val="24"/>
        </w:rPr>
        <w:t>Advancing care information, if the MIPS eligible clinician or group is using certified</w:t>
      </w:r>
      <w:r>
        <w:rPr>
          <w:sz w:val="24"/>
        </w:rPr>
        <w:t xml:space="preserve"> </w:t>
      </w:r>
      <w:r w:rsidRPr="00F41F2D">
        <w:rPr>
          <w:sz w:val="24"/>
        </w:rPr>
        <w:t>EHR technology.</w:t>
      </w:r>
    </w:p>
    <w:p w14:paraId="787C1F73" w14:textId="77777777" w:rsidR="00B634F7" w:rsidRDefault="00B634F7"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269E70A0" w14:textId="5106446E" w:rsidR="00081D8B" w:rsidRDefault="00424762"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sidRPr="00424762">
        <w:rPr>
          <w:sz w:val="24"/>
          <w:u w:val="single"/>
        </w:rPr>
        <w:t>MIPS Data Validation Survey</w:t>
      </w:r>
    </w:p>
    <w:p w14:paraId="65C1ABF3" w14:textId="007061F3" w:rsidR="00424762" w:rsidRDefault="00A95E3E" w:rsidP="00B618D0">
      <w:pPr>
        <w:pStyle w:val="BodyText"/>
        <w:spacing w:line="276" w:lineRule="auto"/>
        <w:ind w:firstLine="720"/>
        <w:rPr>
          <w:szCs w:val="24"/>
        </w:rPr>
      </w:pPr>
      <w:r w:rsidRPr="00424762">
        <w:rPr>
          <w:szCs w:val="24"/>
        </w:rPr>
        <w:t xml:space="preserve">The </w:t>
      </w:r>
      <w:r w:rsidR="00864A56">
        <w:rPr>
          <w:szCs w:val="24"/>
        </w:rPr>
        <w:t xml:space="preserve">MIPS </w:t>
      </w:r>
      <w:r w:rsidR="006B7586">
        <w:rPr>
          <w:szCs w:val="24"/>
        </w:rPr>
        <w:t>d</w:t>
      </w:r>
      <w:r w:rsidR="00864A56">
        <w:rPr>
          <w:szCs w:val="24"/>
        </w:rPr>
        <w:t xml:space="preserve">ata </w:t>
      </w:r>
      <w:r w:rsidR="006B7586">
        <w:rPr>
          <w:szCs w:val="24"/>
        </w:rPr>
        <w:t>v</w:t>
      </w:r>
      <w:r w:rsidR="00864A56">
        <w:rPr>
          <w:szCs w:val="24"/>
        </w:rPr>
        <w:t xml:space="preserve">alidation </w:t>
      </w:r>
      <w:r w:rsidR="006B7586">
        <w:rPr>
          <w:szCs w:val="24"/>
        </w:rPr>
        <w:t>s</w:t>
      </w:r>
      <w:r w:rsidR="00864A56">
        <w:rPr>
          <w:szCs w:val="24"/>
        </w:rPr>
        <w:t xml:space="preserve">urvey will be </w:t>
      </w:r>
      <w:r w:rsidR="00C67AD3">
        <w:rPr>
          <w:szCs w:val="24"/>
        </w:rPr>
        <w:t xml:space="preserve">designed and administered to </w:t>
      </w:r>
      <w:r w:rsidRPr="00424762">
        <w:rPr>
          <w:szCs w:val="24"/>
        </w:rPr>
        <w:t>identify and address problems with data handling, data accuracy, and incorrect paymen</w:t>
      </w:r>
      <w:r w:rsidR="00864A56">
        <w:rPr>
          <w:szCs w:val="24"/>
        </w:rPr>
        <w:t xml:space="preserve">ts for the </w:t>
      </w:r>
      <w:r w:rsidR="00C67AD3">
        <w:rPr>
          <w:szCs w:val="24"/>
        </w:rPr>
        <w:t xml:space="preserve">MIPS program. The </w:t>
      </w:r>
      <w:r w:rsidR="00EA2485">
        <w:rPr>
          <w:szCs w:val="24"/>
        </w:rPr>
        <w:t>s</w:t>
      </w:r>
      <w:r w:rsidR="00C67AD3">
        <w:rPr>
          <w:szCs w:val="24"/>
        </w:rPr>
        <w:t xml:space="preserve">urvey will build on the PQRS </w:t>
      </w:r>
      <w:r w:rsidR="006B7586">
        <w:rPr>
          <w:szCs w:val="24"/>
        </w:rPr>
        <w:t>d</w:t>
      </w:r>
      <w:r w:rsidR="00C67AD3">
        <w:rPr>
          <w:szCs w:val="24"/>
        </w:rPr>
        <w:t xml:space="preserve">ata </w:t>
      </w:r>
      <w:r w:rsidR="006B7586">
        <w:rPr>
          <w:szCs w:val="24"/>
        </w:rPr>
        <w:t>v</w:t>
      </w:r>
      <w:r w:rsidR="00C67AD3">
        <w:rPr>
          <w:szCs w:val="24"/>
        </w:rPr>
        <w:t xml:space="preserve">alidation </w:t>
      </w:r>
      <w:r w:rsidR="006B7586">
        <w:rPr>
          <w:szCs w:val="24"/>
        </w:rPr>
        <w:t>s</w:t>
      </w:r>
      <w:r w:rsidR="006F1BC4">
        <w:rPr>
          <w:szCs w:val="24"/>
        </w:rPr>
        <w:t>urvey</w:t>
      </w:r>
      <w:r w:rsidR="00C67AD3">
        <w:rPr>
          <w:szCs w:val="24"/>
        </w:rPr>
        <w:t xml:space="preserve">. </w:t>
      </w:r>
      <w:r w:rsidR="007F5EC5">
        <w:t>U</w:t>
      </w:r>
      <w:r w:rsidR="007F5EC5" w:rsidRPr="00D13116">
        <w:t>nder MIPS, the survey’s topics will be expanded beyond validation of quality measures to include CPIA and potentially</w:t>
      </w:r>
      <w:r w:rsidR="001812BE">
        <w:t xml:space="preserve"> the</w:t>
      </w:r>
      <w:r w:rsidR="007F5EC5" w:rsidRPr="00D13116">
        <w:t xml:space="preserve"> </w:t>
      </w:r>
      <w:r w:rsidR="007F5EC5">
        <w:t>advancing care information performance category</w:t>
      </w:r>
      <w:r w:rsidR="007F5EC5" w:rsidRPr="00D13116">
        <w:t xml:space="preserve"> data.</w:t>
      </w:r>
      <w:r w:rsidR="007F5EC5">
        <w:t xml:space="preserve"> </w:t>
      </w:r>
      <w:r w:rsidR="00C67AD3">
        <w:rPr>
          <w:szCs w:val="24"/>
        </w:rPr>
        <w:t xml:space="preserve">Hence we </w:t>
      </w:r>
      <w:r w:rsidR="00C540A3">
        <w:rPr>
          <w:szCs w:val="24"/>
        </w:rPr>
        <w:t>submit data</w:t>
      </w:r>
      <w:r w:rsidR="00C67AD3">
        <w:rPr>
          <w:szCs w:val="24"/>
        </w:rPr>
        <w:t xml:space="preserve"> on the statistical design for the PQRS </w:t>
      </w:r>
      <w:r w:rsidR="006B7586">
        <w:rPr>
          <w:szCs w:val="24"/>
        </w:rPr>
        <w:t>d</w:t>
      </w:r>
      <w:r w:rsidR="00C67AD3">
        <w:rPr>
          <w:szCs w:val="24"/>
        </w:rPr>
        <w:t xml:space="preserve">ata </w:t>
      </w:r>
      <w:r w:rsidR="006B7586">
        <w:rPr>
          <w:szCs w:val="24"/>
        </w:rPr>
        <w:t>v</w:t>
      </w:r>
      <w:r w:rsidR="00C67AD3">
        <w:rPr>
          <w:szCs w:val="24"/>
        </w:rPr>
        <w:t xml:space="preserve">alidation </w:t>
      </w:r>
      <w:r w:rsidR="006B7586">
        <w:rPr>
          <w:szCs w:val="24"/>
        </w:rPr>
        <w:t>s</w:t>
      </w:r>
      <w:r w:rsidR="00C67AD3">
        <w:rPr>
          <w:szCs w:val="24"/>
        </w:rPr>
        <w:t xml:space="preserve">urvey here because the MIPS </w:t>
      </w:r>
      <w:r w:rsidR="007B2362">
        <w:rPr>
          <w:szCs w:val="24"/>
        </w:rPr>
        <w:t>d</w:t>
      </w:r>
      <w:r w:rsidR="00C67AD3">
        <w:rPr>
          <w:szCs w:val="24"/>
        </w:rPr>
        <w:t xml:space="preserve">ata </w:t>
      </w:r>
      <w:r w:rsidR="007B2362">
        <w:rPr>
          <w:szCs w:val="24"/>
        </w:rPr>
        <w:t>v</w:t>
      </w:r>
      <w:r w:rsidR="00C67AD3">
        <w:rPr>
          <w:szCs w:val="24"/>
        </w:rPr>
        <w:t xml:space="preserve">alidation survey will share many of these design elements. </w:t>
      </w:r>
    </w:p>
    <w:p w14:paraId="668E14BC" w14:textId="3FC09BE8" w:rsidR="00424762" w:rsidRDefault="00A95E3E" w:rsidP="00B618D0">
      <w:pPr>
        <w:pStyle w:val="NoSpacing"/>
        <w:spacing w:line="276" w:lineRule="auto"/>
        <w:ind w:firstLine="720"/>
        <w:rPr>
          <w:rFonts w:ascii="Times New Roman" w:hAnsi="Times New Roman"/>
          <w:sz w:val="24"/>
          <w:szCs w:val="24"/>
        </w:rPr>
      </w:pPr>
      <w:r w:rsidRPr="00424762">
        <w:rPr>
          <w:rFonts w:ascii="Times New Roman" w:hAnsi="Times New Roman"/>
          <w:sz w:val="24"/>
          <w:szCs w:val="24"/>
        </w:rPr>
        <w:t xml:space="preserve">Because the data submitted by, or on behalf of, </w:t>
      </w:r>
      <w:r w:rsidR="00C540A3">
        <w:rPr>
          <w:rFonts w:ascii="Times New Roman" w:hAnsi="Times New Roman"/>
          <w:sz w:val="24"/>
          <w:szCs w:val="24"/>
        </w:rPr>
        <w:t>MIPS eligible clinician</w:t>
      </w:r>
      <w:r w:rsidR="00EA2485">
        <w:rPr>
          <w:rFonts w:ascii="Times New Roman" w:hAnsi="Times New Roman"/>
          <w:sz w:val="24"/>
          <w:szCs w:val="24"/>
        </w:rPr>
        <w:t>s</w:t>
      </w:r>
      <w:r w:rsidRPr="00424762">
        <w:rPr>
          <w:rFonts w:ascii="Times New Roman" w:hAnsi="Times New Roman"/>
          <w:sz w:val="24"/>
          <w:szCs w:val="24"/>
        </w:rPr>
        <w:t xml:space="preserve"> to </w:t>
      </w:r>
      <w:r w:rsidR="00EA2485">
        <w:rPr>
          <w:rFonts w:ascii="Times New Roman" w:hAnsi="Times New Roman"/>
          <w:sz w:val="24"/>
          <w:szCs w:val="24"/>
        </w:rPr>
        <w:t xml:space="preserve">the </w:t>
      </w:r>
      <w:r w:rsidR="00C67AD3">
        <w:rPr>
          <w:rFonts w:ascii="Times New Roman" w:hAnsi="Times New Roman"/>
          <w:sz w:val="24"/>
          <w:szCs w:val="24"/>
        </w:rPr>
        <w:t xml:space="preserve">MIPS </w:t>
      </w:r>
      <w:r w:rsidR="00EA2485">
        <w:rPr>
          <w:rFonts w:ascii="Times New Roman" w:hAnsi="Times New Roman"/>
          <w:sz w:val="24"/>
          <w:szCs w:val="24"/>
        </w:rPr>
        <w:t>p</w:t>
      </w:r>
      <w:r w:rsidRPr="00424762">
        <w:rPr>
          <w:rFonts w:ascii="Times New Roman" w:hAnsi="Times New Roman"/>
          <w:sz w:val="24"/>
          <w:szCs w:val="24"/>
        </w:rPr>
        <w:t xml:space="preserve">rogram is used to calculate payment adjustments, it is critical that this data is accurate. Additionally, the </w:t>
      </w:r>
      <w:r w:rsidRPr="00424762">
        <w:rPr>
          <w:rFonts w:ascii="Times New Roman" w:hAnsi="Times New Roman"/>
          <w:sz w:val="24"/>
          <w:szCs w:val="24"/>
        </w:rPr>
        <w:lastRenderedPageBreak/>
        <w:t xml:space="preserve">data </w:t>
      </w:r>
      <w:r w:rsidR="00C67AD3">
        <w:rPr>
          <w:rFonts w:ascii="Times New Roman" w:hAnsi="Times New Roman"/>
          <w:sz w:val="24"/>
          <w:szCs w:val="24"/>
        </w:rPr>
        <w:t xml:space="preserve">will be </w:t>
      </w:r>
      <w:r w:rsidRPr="00424762">
        <w:rPr>
          <w:rFonts w:ascii="Times New Roman" w:hAnsi="Times New Roman"/>
          <w:sz w:val="24"/>
          <w:szCs w:val="24"/>
        </w:rPr>
        <w:t xml:space="preserve">used to generate </w:t>
      </w:r>
      <w:r w:rsidR="00CE41AA">
        <w:rPr>
          <w:rFonts w:ascii="Times New Roman" w:hAnsi="Times New Roman"/>
          <w:sz w:val="24"/>
          <w:szCs w:val="24"/>
        </w:rPr>
        <w:t>performance feedback</w:t>
      </w:r>
      <w:r w:rsidRPr="00424762">
        <w:rPr>
          <w:rFonts w:ascii="Times New Roman" w:hAnsi="Times New Roman"/>
          <w:sz w:val="24"/>
          <w:szCs w:val="24"/>
        </w:rPr>
        <w:t xml:space="preserve"> for </w:t>
      </w:r>
      <w:r w:rsidR="00C540A3">
        <w:rPr>
          <w:rFonts w:ascii="Times New Roman" w:hAnsi="Times New Roman"/>
          <w:sz w:val="24"/>
          <w:szCs w:val="24"/>
        </w:rPr>
        <w:t>MIPS eligible clinician</w:t>
      </w:r>
      <w:r w:rsidR="00EA2485">
        <w:rPr>
          <w:rFonts w:ascii="Times New Roman" w:hAnsi="Times New Roman"/>
          <w:sz w:val="24"/>
          <w:szCs w:val="24"/>
        </w:rPr>
        <w:t>s</w:t>
      </w:r>
      <w:r w:rsidRPr="00424762">
        <w:rPr>
          <w:rFonts w:ascii="Times New Roman" w:hAnsi="Times New Roman"/>
          <w:sz w:val="24"/>
          <w:szCs w:val="24"/>
        </w:rPr>
        <w:t xml:space="preserve"> and, in some cases, </w:t>
      </w:r>
      <w:r w:rsidR="006F1BC4">
        <w:rPr>
          <w:rFonts w:ascii="Times New Roman" w:hAnsi="Times New Roman"/>
          <w:sz w:val="24"/>
          <w:szCs w:val="24"/>
        </w:rPr>
        <w:t xml:space="preserve">will be </w:t>
      </w:r>
      <w:r w:rsidRPr="00424762">
        <w:rPr>
          <w:rFonts w:ascii="Times New Roman" w:hAnsi="Times New Roman"/>
          <w:sz w:val="24"/>
          <w:szCs w:val="24"/>
        </w:rPr>
        <w:t xml:space="preserve">posted publicly on the CMS website, further supporting the need for accurate and complete data. </w:t>
      </w:r>
    </w:p>
    <w:p w14:paraId="4B345036" w14:textId="21B1DE4A" w:rsidR="00424762" w:rsidRDefault="00A95E3E" w:rsidP="00B618D0">
      <w:pPr>
        <w:pStyle w:val="NoSpacing"/>
        <w:spacing w:line="276" w:lineRule="auto"/>
        <w:ind w:firstLine="720"/>
        <w:rPr>
          <w:rFonts w:ascii="Times New Roman" w:hAnsi="Times New Roman"/>
          <w:sz w:val="24"/>
          <w:szCs w:val="24"/>
        </w:rPr>
      </w:pPr>
      <w:r w:rsidRPr="00424762">
        <w:rPr>
          <w:rFonts w:ascii="Times New Roman" w:hAnsi="Times New Roman"/>
          <w:sz w:val="24"/>
          <w:szCs w:val="24"/>
        </w:rPr>
        <w:t xml:space="preserve">The ultimate use of the quality </w:t>
      </w:r>
      <w:r w:rsidR="00937A21">
        <w:rPr>
          <w:rFonts w:ascii="Times New Roman" w:hAnsi="Times New Roman"/>
          <w:sz w:val="24"/>
          <w:szCs w:val="24"/>
        </w:rPr>
        <w:t xml:space="preserve">performance category </w:t>
      </w:r>
      <w:r w:rsidRPr="00424762">
        <w:rPr>
          <w:rFonts w:ascii="Times New Roman" w:hAnsi="Times New Roman"/>
          <w:sz w:val="24"/>
          <w:szCs w:val="24"/>
        </w:rPr>
        <w:t>data is to improve the quality of care for Medicare beneficiaries. This aligns with the CMS mission and helps to make health</w:t>
      </w:r>
      <w:r w:rsidR="00EA2485">
        <w:rPr>
          <w:rFonts w:ascii="Times New Roman" w:hAnsi="Times New Roman"/>
          <w:sz w:val="24"/>
          <w:szCs w:val="24"/>
        </w:rPr>
        <w:t xml:space="preserve"> </w:t>
      </w:r>
      <w:r w:rsidRPr="00424762">
        <w:rPr>
          <w:rFonts w:ascii="Times New Roman" w:hAnsi="Times New Roman"/>
          <w:sz w:val="24"/>
          <w:szCs w:val="24"/>
        </w:rPr>
        <w:t>care more cost-effective and efficient.</w:t>
      </w:r>
      <w:r w:rsidR="006B7586">
        <w:rPr>
          <w:rFonts w:ascii="Times New Roman" w:hAnsi="Times New Roman"/>
          <w:sz w:val="24"/>
          <w:szCs w:val="24"/>
        </w:rPr>
        <w:t xml:space="preserve"> </w:t>
      </w:r>
      <w:r w:rsidRPr="00424762">
        <w:rPr>
          <w:rFonts w:ascii="Times New Roman" w:hAnsi="Times New Roman"/>
          <w:sz w:val="24"/>
          <w:szCs w:val="24"/>
        </w:rPr>
        <w:t>To determine if data quality issues exist and if the payment</w:t>
      </w:r>
      <w:r w:rsidR="00335D62">
        <w:rPr>
          <w:rFonts w:ascii="Times New Roman" w:hAnsi="Times New Roman"/>
          <w:sz w:val="24"/>
          <w:szCs w:val="24"/>
        </w:rPr>
        <w:t xml:space="preserve"> adjustment</w:t>
      </w:r>
      <w:r w:rsidRPr="00424762">
        <w:rPr>
          <w:rFonts w:ascii="Times New Roman" w:hAnsi="Times New Roman"/>
          <w:sz w:val="24"/>
          <w:szCs w:val="24"/>
        </w:rPr>
        <w:t xml:space="preserve">s are correct, additional information is required. Surveys are one tool that will be used to collect this data, and they will be sent to the following </w:t>
      </w:r>
      <w:r w:rsidR="006F1BC4">
        <w:rPr>
          <w:rFonts w:ascii="Times New Roman" w:hAnsi="Times New Roman"/>
          <w:sz w:val="24"/>
          <w:szCs w:val="24"/>
        </w:rPr>
        <w:t xml:space="preserve">submission </w:t>
      </w:r>
      <w:r w:rsidRPr="00424762">
        <w:rPr>
          <w:rFonts w:ascii="Times New Roman" w:hAnsi="Times New Roman"/>
          <w:sz w:val="24"/>
          <w:szCs w:val="24"/>
        </w:rPr>
        <w:t xml:space="preserve">entities: </w:t>
      </w:r>
      <w:r w:rsidR="00E953E7">
        <w:rPr>
          <w:rFonts w:ascii="Times New Roman" w:hAnsi="Times New Roman"/>
          <w:sz w:val="24"/>
          <w:szCs w:val="24"/>
        </w:rPr>
        <w:t>g</w:t>
      </w:r>
      <w:r w:rsidRPr="00424762">
        <w:rPr>
          <w:rFonts w:ascii="Times New Roman" w:hAnsi="Times New Roman"/>
          <w:sz w:val="24"/>
          <w:szCs w:val="24"/>
        </w:rPr>
        <w:t xml:space="preserve">roups using the </w:t>
      </w:r>
      <w:r w:rsidR="00EA2485">
        <w:rPr>
          <w:rFonts w:ascii="Times New Roman" w:hAnsi="Times New Roman"/>
          <w:sz w:val="24"/>
          <w:szCs w:val="24"/>
        </w:rPr>
        <w:t>CMS Web Interface</w:t>
      </w:r>
      <w:r w:rsidRPr="00424762">
        <w:rPr>
          <w:rFonts w:ascii="Times New Roman" w:hAnsi="Times New Roman"/>
          <w:sz w:val="24"/>
          <w:szCs w:val="24"/>
        </w:rPr>
        <w:t xml:space="preserve">, </w:t>
      </w:r>
      <w:r w:rsidR="00EA2485">
        <w:rPr>
          <w:rFonts w:ascii="Times New Roman" w:hAnsi="Times New Roman"/>
          <w:sz w:val="24"/>
          <w:szCs w:val="24"/>
        </w:rPr>
        <w:t>qualified r</w:t>
      </w:r>
      <w:r w:rsidRPr="00424762">
        <w:rPr>
          <w:rFonts w:ascii="Times New Roman" w:hAnsi="Times New Roman"/>
          <w:sz w:val="24"/>
          <w:szCs w:val="24"/>
        </w:rPr>
        <w:t xml:space="preserve">egistries, QCDRs, </w:t>
      </w:r>
      <w:r w:rsidR="00937A21">
        <w:rPr>
          <w:rFonts w:ascii="Times New Roman" w:hAnsi="Times New Roman"/>
          <w:sz w:val="24"/>
          <w:szCs w:val="24"/>
        </w:rPr>
        <w:t xml:space="preserve">health IT </w:t>
      </w:r>
      <w:r w:rsidR="00773EAB">
        <w:rPr>
          <w:rFonts w:ascii="Times New Roman" w:hAnsi="Times New Roman"/>
          <w:sz w:val="24"/>
          <w:szCs w:val="24"/>
        </w:rPr>
        <w:t>vendors</w:t>
      </w:r>
      <w:r w:rsidRPr="00424762">
        <w:rPr>
          <w:rFonts w:ascii="Times New Roman" w:hAnsi="Times New Roman"/>
          <w:sz w:val="24"/>
          <w:szCs w:val="24"/>
        </w:rPr>
        <w:t xml:space="preserve">, and </w:t>
      </w:r>
      <w:r w:rsidR="00C540A3">
        <w:rPr>
          <w:rFonts w:ascii="Times New Roman" w:hAnsi="Times New Roman"/>
          <w:sz w:val="24"/>
          <w:szCs w:val="24"/>
        </w:rPr>
        <w:t>MIPS eligible clinician</w:t>
      </w:r>
      <w:r w:rsidR="00EA2485">
        <w:rPr>
          <w:rFonts w:ascii="Times New Roman" w:hAnsi="Times New Roman"/>
          <w:sz w:val="24"/>
          <w:szCs w:val="24"/>
        </w:rPr>
        <w:t>s</w:t>
      </w:r>
      <w:r w:rsidRPr="00424762">
        <w:rPr>
          <w:rFonts w:ascii="Times New Roman" w:hAnsi="Times New Roman"/>
          <w:sz w:val="24"/>
          <w:szCs w:val="24"/>
        </w:rPr>
        <w:t xml:space="preserve"> submitting via the </w:t>
      </w:r>
      <w:r w:rsidR="00BD37D5">
        <w:rPr>
          <w:rFonts w:ascii="Times New Roman" w:hAnsi="Times New Roman"/>
          <w:sz w:val="24"/>
          <w:szCs w:val="24"/>
        </w:rPr>
        <w:t xml:space="preserve">EHR </w:t>
      </w:r>
      <w:r w:rsidRPr="00424762">
        <w:rPr>
          <w:rFonts w:ascii="Times New Roman" w:hAnsi="Times New Roman"/>
          <w:sz w:val="24"/>
          <w:szCs w:val="24"/>
        </w:rPr>
        <w:t xml:space="preserve">and </w:t>
      </w:r>
      <w:r w:rsidR="00EA2485">
        <w:rPr>
          <w:rFonts w:ascii="Times New Roman" w:hAnsi="Times New Roman"/>
          <w:sz w:val="24"/>
          <w:szCs w:val="24"/>
        </w:rPr>
        <w:t>c</w:t>
      </w:r>
      <w:r w:rsidRPr="00424762">
        <w:rPr>
          <w:rFonts w:ascii="Times New Roman" w:hAnsi="Times New Roman"/>
          <w:sz w:val="24"/>
          <w:szCs w:val="24"/>
        </w:rPr>
        <w:t xml:space="preserve">laims </w:t>
      </w:r>
      <w:r w:rsidR="006F1BC4">
        <w:rPr>
          <w:rFonts w:ascii="Times New Roman" w:hAnsi="Times New Roman"/>
          <w:sz w:val="24"/>
          <w:szCs w:val="24"/>
        </w:rPr>
        <w:t xml:space="preserve">submission </w:t>
      </w:r>
      <w:r w:rsidRPr="00424762">
        <w:rPr>
          <w:rFonts w:ascii="Times New Roman" w:hAnsi="Times New Roman"/>
          <w:sz w:val="24"/>
          <w:szCs w:val="24"/>
        </w:rPr>
        <w:t>options.</w:t>
      </w:r>
    </w:p>
    <w:p w14:paraId="4EE2851E" w14:textId="69C53F90" w:rsidR="00DA3030" w:rsidRDefault="00A95E3E" w:rsidP="00B618D0">
      <w:pPr>
        <w:pStyle w:val="NoSpacing"/>
        <w:spacing w:line="276" w:lineRule="auto"/>
        <w:ind w:firstLine="720"/>
        <w:rPr>
          <w:rFonts w:ascii="Times New Roman" w:hAnsi="Times New Roman"/>
          <w:sz w:val="24"/>
          <w:szCs w:val="24"/>
        </w:rPr>
      </w:pPr>
      <w:r w:rsidRPr="00424762">
        <w:rPr>
          <w:rFonts w:ascii="Times New Roman" w:hAnsi="Times New Roman"/>
          <w:sz w:val="24"/>
          <w:szCs w:val="24"/>
        </w:rPr>
        <w:t xml:space="preserve">The survey is completely automated and was designed with simplicity as a core requirement – it does not require a login and can be accessed via a link provided in a survey invitation email. </w:t>
      </w:r>
      <w:r w:rsidRPr="00424762">
        <w:rPr>
          <w:rFonts w:ascii="Times New Roman" w:hAnsi="Times New Roman"/>
          <w:sz w:val="24"/>
          <w:szCs w:val="24"/>
        </w:rPr>
        <w:lastRenderedPageBreak/>
        <w:t xml:space="preserve">There is no Protected Health Information (PHI) or Personally Identifiable Information (PII) submitted in the survey. In order to minimize the burden on the participant community, the number of questions in a survey will not exceed 30. The majority of the questions in the survey are “point and click,” allowing the participant to complete the survey quickly. There is a </w:t>
      </w:r>
      <w:r w:rsidR="001B52C7">
        <w:rPr>
          <w:rFonts w:ascii="Times New Roman" w:hAnsi="Times New Roman"/>
          <w:sz w:val="24"/>
          <w:szCs w:val="24"/>
        </w:rPr>
        <w:t>f</w:t>
      </w:r>
      <w:r w:rsidRPr="00424762">
        <w:rPr>
          <w:rFonts w:ascii="Times New Roman" w:hAnsi="Times New Roman"/>
          <w:sz w:val="24"/>
          <w:szCs w:val="24"/>
        </w:rPr>
        <w:t>eedback section included in the survey, which allows for free-form text entry and document upload; however, document uploads are not required</w:t>
      </w:r>
      <w:r w:rsidR="00DA3030" w:rsidRPr="00424762">
        <w:rPr>
          <w:rFonts w:ascii="Times New Roman" w:hAnsi="Times New Roman"/>
          <w:sz w:val="24"/>
          <w:szCs w:val="24"/>
        </w:rPr>
        <w:t>.</w:t>
      </w:r>
    </w:p>
    <w:p w14:paraId="3DED6045" w14:textId="13F614B4" w:rsidR="00DA3030" w:rsidRDefault="00A95E3E" w:rsidP="00B618D0">
      <w:pPr>
        <w:spacing w:line="276" w:lineRule="auto"/>
        <w:ind w:firstLine="720"/>
        <w:rPr>
          <w:sz w:val="24"/>
        </w:rPr>
      </w:pPr>
      <w:r w:rsidRPr="00424762">
        <w:rPr>
          <w:sz w:val="24"/>
        </w:rPr>
        <w:t xml:space="preserve">Sampling, as it relates to </w:t>
      </w:r>
      <w:r w:rsidR="00A80A14">
        <w:rPr>
          <w:sz w:val="24"/>
        </w:rPr>
        <w:t xml:space="preserve">the MIPS </w:t>
      </w:r>
      <w:r w:rsidR="006B7586">
        <w:rPr>
          <w:sz w:val="24"/>
        </w:rPr>
        <w:t>d</w:t>
      </w:r>
      <w:r w:rsidR="00A80A14">
        <w:rPr>
          <w:sz w:val="24"/>
        </w:rPr>
        <w:t xml:space="preserve">ata </w:t>
      </w:r>
      <w:r w:rsidR="006B7586">
        <w:rPr>
          <w:sz w:val="24"/>
        </w:rPr>
        <w:t>v</w:t>
      </w:r>
      <w:r w:rsidR="00A80A14">
        <w:rPr>
          <w:sz w:val="24"/>
        </w:rPr>
        <w:t xml:space="preserve">alidation </w:t>
      </w:r>
      <w:r w:rsidR="006B7586">
        <w:rPr>
          <w:sz w:val="24"/>
        </w:rPr>
        <w:t>s</w:t>
      </w:r>
      <w:r w:rsidR="00A80A14">
        <w:rPr>
          <w:sz w:val="24"/>
        </w:rPr>
        <w:t>urvey</w:t>
      </w:r>
      <w:r w:rsidRPr="00424762">
        <w:rPr>
          <w:sz w:val="24"/>
        </w:rPr>
        <w:t xml:space="preserve">, will limit the number of entities that receive the survey and, consequently, the data examined to identify errors and incorrect payments made from the </w:t>
      </w:r>
      <w:r w:rsidR="00193770">
        <w:rPr>
          <w:sz w:val="24"/>
        </w:rPr>
        <w:t xml:space="preserve">MIPS </w:t>
      </w:r>
      <w:r w:rsidRPr="00424762">
        <w:rPr>
          <w:sz w:val="24"/>
        </w:rPr>
        <w:t xml:space="preserve">data. The samples are generated following the analytical process described in </w:t>
      </w:r>
      <w:r w:rsidR="00A80A14">
        <w:rPr>
          <w:sz w:val="24"/>
        </w:rPr>
        <w:t>statistical methodology section below</w:t>
      </w:r>
      <w:r w:rsidRPr="00424762">
        <w:rPr>
          <w:sz w:val="24"/>
        </w:rPr>
        <w:t xml:space="preserve">. </w:t>
      </w:r>
      <w:r w:rsidR="00193770">
        <w:rPr>
          <w:sz w:val="24"/>
        </w:rPr>
        <w:t xml:space="preserve">For </w:t>
      </w:r>
      <w:r w:rsidR="006B7586">
        <w:rPr>
          <w:sz w:val="24"/>
        </w:rPr>
        <w:t xml:space="preserve">the first </w:t>
      </w:r>
      <w:r w:rsidR="00C540A3">
        <w:rPr>
          <w:sz w:val="24"/>
        </w:rPr>
        <w:t xml:space="preserve">MIPS </w:t>
      </w:r>
      <w:r w:rsidR="006B7586">
        <w:rPr>
          <w:sz w:val="24"/>
        </w:rPr>
        <w:t>performance period</w:t>
      </w:r>
      <w:r w:rsidR="00193770">
        <w:rPr>
          <w:sz w:val="24"/>
        </w:rPr>
        <w:t>, we plan to sample as many as 500 entities (</w:t>
      </w:r>
      <w:r w:rsidR="00C540A3">
        <w:rPr>
          <w:sz w:val="24"/>
        </w:rPr>
        <w:t xml:space="preserve">MIPS </w:t>
      </w:r>
      <w:r w:rsidR="001B52C7" w:rsidRPr="00424762">
        <w:rPr>
          <w:sz w:val="24"/>
        </w:rPr>
        <w:t xml:space="preserve">eligible </w:t>
      </w:r>
      <w:r w:rsidR="001B52C7">
        <w:rPr>
          <w:sz w:val="24"/>
        </w:rPr>
        <w:t>clinicians</w:t>
      </w:r>
      <w:r w:rsidR="00193770">
        <w:rPr>
          <w:sz w:val="24"/>
        </w:rPr>
        <w:t xml:space="preserve"> or </w:t>
      </w:r>
      <w:r w:rsidR="001B52C7">
        <w:rPr>
          <w:sz w:val="24"/>
        </w:rPr>
        <w:t>g</w:t>
      </w:r>
      <w:r w:rsidR="00193770">
        <w:rPr>
          <w:sz w:val="24"/>
        </w:rPr>
        <w:t>roups).</w:t>
      </w:r>
    </w:p>
    <w:p w14:paraId="6F458DCB" w14:textId="363007B5" w:rsidR="00901169" w:rsidRDefault="00901169" w:rsidP="00B618D0">
      <w:pPr>
        <w:spacing w:line="276" w:lineRule="auto"/>
        <w:ind w:firstLine="720"/>
        <w:rPr>
          <w:sz w:val="24"/>
        </w:rPr>
      </w:pPr>
    </w:p>
    <w:p w14:paraId="6BA47CF3" w14:textId="52119266" w:rsidR="00901169" w:rsidRPr="004829AE" w:rsidRDefault="004829AE" w:rsidP="00B618D0">
      <w:pPr>
        <w:spacing w:line="276" w:lineRule="auto"/>
        <w:rPr>
          <w:sz w:val="24"/>
          <w:u w:val="single"/>
        </w:rPr>
      </w:pPr>
      <w:r w:rsidRPr="004829AE">
        <w:rPr>
          <w:sz w:val="24"/>
          <w:u w:val="single"/>
        </w:rPr>
        <w:t xml:space="preserve">Data Submission for </w:t>
      </w:r>
      <w:r w:rsidR="00901169" w:rsidRPr="004829AE">
        <w:rPr>
          <w:sz w:val="24"/>
          <w:u w:val="single"/>
        </w:rPr>
        <w:t xml:space="preserve">Advancing </w:t>
      </w:r>
      <w:r w:rsidR="00B70CB6">
        <w:rPr>
          <w:sz w:val="24"/>
          <w:u w:val="single"/>
        </w:rPr>
        <w:t>Care Information</w:t>
      </w:r>
      <w:r w:rsidR="00901169" w:rsidRPr="004829AE">
        <w:rPr>
          <w:sz w:val="24"/>
          <w:u w:val="single"/>
        </w:rPr>
        <w:t xml:space="preserve"> and CPIA Performance Categories</w:t>
      </w:r>
    </w:p>
    <w:p w14:paraId="6A90913A" w14:textId="6A72F5B2" w:rsidR="00D21BBA" w:rsidRDefault="00A80A14" w:rsidP="00B618D0">
      <w:pPr>
        <w:spacing w:line="276" w:lineRule="auto"/>
        <w:ind w:firstLine="720"/>
        <w:rPr>
          <w:sz w:val="24"/>
        </w:rPr>
      </w:pPr>
      <w:r>
        <w:rPr>
          <w:sz w:val="24"/>
          <w:szCs w:val="20"/>
        </w:rPr>
        <w:lastRenderedPageBreak/>
        <w:t>Advancing care information</w:t>
      </w:r>
      <w:r w:rsidRPr="000B1B8C">
        <w:rPr>
          <w:sz w:val="24"/>
          <w:szCs w:val="20"/>
        </w:rPr>
        <w:t xml:space="preserve"> </w:t>
      </w:r>
      <w:r>
        <w:rPr>
          <w:sz w:val="24"/>
          <w:szCs w:val="20"/>
        </w:rPr>
        <w:t>p</w:t>
      </w:r>
      <w:r w:rsidRPr="000B1B8C">
        <w:rPr>
          <w:sz w:val="24"/>
          <w:szCs w:val="20"/>
        </w:rPr>
        <w:t xml:space="preserve">erformance </w:t>
      </w:r>
      <w:r>
        <w:rPr>
          <w:sz w:val="24"/>
          <w:szCs w:val="20"/>
        </w:rPr>
        <w:t>c</w:t>
      </w:r>
      <w:r w:rsidRPr="000B1B8C">
        <w:rPr>
          <w:sz w:val="24"/>
          <w:szCs w:val="20"/>
        </w:rPr>
        <w:t xml:space="preserve">ategory </w:t>
      </w:r>
      <w:r>
        <w:rPr>
          <w:sz w:val="24"/>
          <w:szCs w:val="20"/>
        </w:rPr>
        <w:t>d</w:t>
      </w:r>
      <w:r w:rsidRPr="000B1B8C">
        <w:rPr>
          <w:sz w:val="24"/>
          <w:szCs w:val="20"/>
        </w:rPr>
        <w:t xml:space="preserve">ata will not be submitted separately by </w:t>
      </w:r>
      <w:r w:rsidR="00961D28">
        <w:rPr>
          <w:sz w:val="24"/>
          <w:szCs w:val="20"/>
        </w:rPr>
        <w:t>EPs</w:t>
      </w:r>
      <w:r w:rsidRPr="000B1B8C">
        <w:rPr>
          <w:sz w:val="24"/>
          <w:szCs w:val="20"/>
        </w:rPr>
        <w:t xml:space="preserve"> in most cases as was required under the </w:t>
      </w:r>
      <w:r w:rsidR="00937A21">
        <w:rPr>
          <w:sz w:val="24"/>
          <w:szCs w:val="20"/>
        </w:rPr>
        <w:t xml:space="preserve">Medicare </w:t>
      </w:r>
      <w:r w:rsidRPr="000B1B8C">
        <w:rPr>
          <w:sz w:val="24"/>
          <w:szCs w:val="20"/>
        </w:rPr>
        <w:t>EHR Incentive Program</w:t>
      </w:r>
      <w:r w:rsidRPr="00E14C29">
        <w:rPr>
          <w:sz w:val="24"/>
          <w:szCs w:val="20"/>
        </w:rPr>
        <w:t>.</w:t>
      </w:r>
      <w:r w:rsidRPr="000B1B8C">
        <w:rPr>
          <w:sz w:val="24"/>
          <w:szCs w:val="20"/>
        </w:rPr>
        <w:t xml:space="preserve"> </w:t>
      </w:r>
      <w:r w:rsidRPr="003E249A">
        <w:rPr>
          <w:sz w:val="24"/>
        </w:rPr>
        <w:t xml:space="preserve">MIPS </w:t>
      </w:r>
      <w:r>
        <w:rPr>
          <w:sz w:val="24"/>
        </w:rPr>
        <w:t>eligible clinician</w:t>
      </w:r>
      <w:r w:rsidRPr="000B1B8C">
        <w:rPr>
          <w:sz w:val="24"/>
          <w:szCs w:val="20"/>
        </w:rPr>
        <w:t xml:space="preserve">s and groups will submit </w:t>
      </w:r>
      <w:r>
        <w:rPr>
          <w:sz w:val="24"/>
          <w:szCs w:val="20"/>
        </w:rPr>
        <w:t>advancing care information performance category</w:t>
      </w:r>
      <w:r w:rsidRPr="000B1B8C">
        <w:rPr>
          <w:sz w:val="24"/>
          <w:szCs w:val="20"/>
        </w:rPr>
        <w:t xml:space="preserve"> data using the same </w:t>
      </w:r>
      <w:r>
        <w:rPr>
          <w:sz w:val="24"/>
          <w:szCs w:val="20"/>
        </w:rPr>
        <w:t>data submission mechanism</w:t>
      </w:r>
      <w:r w:rsidR="00B70CB6">
        <w:rPr>
          <w:sz w:val="24"/>
          <w:szCs w:val="20"/>
        </w:rPr>
        <w:t xml:space="preserve"> they have selected for other MIPS performance categories</w:t>
      </w:r>
      <w:r w:rsidR="003F11B2">
        <w:rPr>
          <w:sz w:val="24"/>
          <w:szCs w:val="20"/>
        </w:rPr>
        <w:t xml:space="preserve"> including a</w:t>
      </w:r>
      <w:r w:rsidR="003F11B2" w:rsidRPr="003F11B2">
        <w:rPr>
          <w:sz w:val="24"/>
          <w:szCs w:val="20"/>
        </w:rPr>
        <w:t>ttestation</w:t>
      </w:r>
      <w:r w:rsidR="003F11B2">
        <w:rPr>
          <w:sz w:val="24"/>
          <w:szCs w:val="20"/>
        </w:rPr>
        <w:t xml:space="preserve">, </w:t>
      </w:r>
      <w:r w:rsidR="003F11B2" w:rsidRPr="003F11B2">
        <w:rPr>
          <w:sz w:val="24"/>
          <w:szCs w:val="20"/>
        </w:rPr>
        <w:t>QCDR</w:t>
      </w:r>
      <w:r w:rsidR="003F11B2">
        <w:rPr>
          <w:sz w:val="24"/>
          <w:szCs w:val="20"/>
        </w:rPr>
        <w:t>, q</w:t>
      </w:r>
      <w:r w:rsidR="003F11B2" w:rsidRPr="003F11B2">
        <w:rPr>
          <w:sz w:val="24"/>
          <w:szCs w:val="20"/>
        </w:rPr>
        <w:t>ualified registry</w:t>
      </w:r>
      <w:r w:rsidR="003F11B2">
        <w:rPr>
          <w:sz w:val="24"/>
          <w:szCs w:val="20"/>
        </w:rPr>
        <w:t xml:space="preserve">, </w:t>
      </w:r>
      <w:r w:rsidR="00BD37D5">
        <w:rPr>
          <w:sz w:val="24"/>
          <w:szCs w:val="20"/>
        </w:rPr>
        <w:t>EHR</w:t>
      </w:r>
      <w:r w:rsidR="003F11B2">
        <w:rPr>
          <w:sz w:val="24"/>
          <w:szCs w:val="20"/>
        </w:rPr>
        <w:t xml:space="preserve">, or </w:t>
      </w:r>
      <w:r w:rsidR="003F11B2" w:rsidRPr="003F11B2">
        <w:rPr>
          <w:sz w:val="24"/>
          <w:szCs w:val="20"/>
        </w:rPr>
        <w:t>CMS Web Interface (groups of 25 or more)</w:t>
      </w:r>
      <w:r w:rsidRPr="000B1B8C">
        <w:rPr>
          <w:sz w:val="24"/>
          <w:szCs w:val="20"/>
        </w:rPr>
        <w:t xml:space="preserve">, or </w:t>
      </w:r>
      <w:r w:rsidR="00B70CB6">
        <w:rPr>
          <w:sz w:val="24"/>
          <w:szCs w:val="20"/>
        </w:rPr>
        <w:t>they may choose</w:t>
      </w:r>
      <w:r w:rsidR="001E4D16">
        <w:rPr>
          <w:sz w:val="24"/>
          <w:szCs w:val="20"/>
        </w:rPr>
        <w:t xml:space="preserve"> </w:t>
      </w:r>
      <w:r w:rsidR="00B70CB6">
        <w:rPr>
          <w:sz w:val="24"/>
          <w:szCs w:val="20"/>
        </w:rPr>
        <w:t>another MIPS</w:t>
      </w:r>
      <w:r w:rsidRPr="000B1B8C">
        <w:rPr>
          <w:sz w:val="24"/>
          <w:szCs w:val="20"/>
        </w:rPr>
        <w:t xml:space="preserve"> </w:t>
      </w:r>
      <w:r>
        <w:rPr>
          <w:sz w:val="24"/>
          <w:szCs w:val="20"/>
        </w:rPr>
        <w:t>data submission mechanism</w:t>
      </w:r>
      <w:r w:rsidRPr="000B1B8C">
        <w:rPr>
          <w:sz w:val="24"/>
          <w:szCs w:val="20"/>
        </w:rPr>
        <w:t>.</w:t>
      </w:r>
      <w:r>
        <w:rPr>
          <w:sz w:val="24"/>
          <w:szCs w:val="20"/>
        </w:rPr>
        <w:t xml:space="preserve"> </w:t>
      </w:r>
      <w:r>
        <w:rPr>
          <w:sz w:val="24"/>
        </w:rPr>
        <w:t xml:space="preserve">Based on historical data and 2015 EHR meaningful use attestation, we estimate that approximately 436,500 </w:t>
      </w:r>
      <w:r w:rsidR="00937A21">
        <w:rPr>
          <w:sz w:val="24"/>
        </w:rPr>
        <w:t xml:space="preserve">MIPS eligible </w:t>
      </w:r>
      <w:r>
        <w:rPr>
          <w:sz w:val="24"/>
        </w:rPr>
        <w:t xml:space="preserve">clinicians not participating in APMs will </w:t>
      </w:r>
      <w:r w:rsidR="00C540A3">
        <w:rPr>
          <w:sz w:val="24"/>
        </w:rPr>
        <w:t xml:space="preserve">submit </w:t>
      </w:r>
      <w:r>
        <w:rPr>
          <w:sz w:val="24"/>
        </w:rPr>
        <w:t>advancing care information performance category data to MIPS.</w:t>
      </w:r>
      <w:r w:rsidR="001F357D">
        <w:rPr>
          <w:sz w:val="24"/>
        </w:rPr>
        <w:t xml:space="preserve"> </w:t>
      </w:r>
      <w:r w:rsidR="00D21BBA">
        <w:rPr>
          <w:sz w:val="24"/>
        </w:rPr>
        <w:t xml:space="preserve">As noted in Supporting Statement Part A, we also estimated that Advancing Care Information Data will be submitted by 24,925 billing </w:t>
      </w:r>
      <w:r w:rsidR="005E1547">
        <w:rPr>
          <w:sz w:val="24"/>
        </w:rPr>
        <w:t xml:space="preserve">TINs </w:t>
      </w:r>
      <w:r w:rsidR="00D21BBA">
        <w:rPr>
          <w:sz w:val="24"/>
        </w:rPr>
        <w:t xml:space="preserve">representing 140,341 MIPS eligible clinicians participating in 434 Shared Savings Program ACOs and 55,000 MIPS eligible clinicians participating in other APMs. </w:t>
      </w:r>
    </w:p>
    <w:p w14:paraId="75F8B4A5" w14:textId="4D0B6EA4" w:rsidR="007E3C42" w:rsidRDefault="00A80A14"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szCs w:val="20"/>
        </w:rPr>
        <w:t xml:space="preserve"> </w:t>
      </w:r>
      <w:r w:rsidR="007E3C42" w:rsidRPr="005B698E">
        <w:rPr>
          <w:sz w:val="24"/>
          <w:szCs w:val="20"/>
        </w:rPr>
        <w:t xml:space="preserve">Requirements for </w:t>
      </w:r>
      <w:r w:rsidR="007E3C42">
        <w:rPr>
          <w:sz w:val="24"/>
          <w:szCs w:val="20"/>
        </w:rPr>
        <w:t xml:space="preserve">data submission regarding </w:t>
      </w:r>
      <w:r w:rsidR="00E953E7">
        <w:rPr>
          <w:sz w:val="24"/>
          <w:szCs w:val="20"/>
        </w:rPr>
        <w:t>CPIA</w:t>
      </w:r>
      <w:r w:rsidR="007E3C42" w:rsidRPr="005B698E">
        <w:rPr>
          <w:sz w:val="24"/>
          <w:szCs w:val="20"/>
        </w:rPr>
        <w:t>s are new, and we do not have historical data which is directly relevant.</w:t>
      </w:r>
      <w:r w:rsidR="007E3C42">
        <w:rPr>
          <w:sz w:val="24"/>
          <w:szCs w:val="20"/>
        </w:rPr>
        <w:t xml:space="preserve"> </w:t>
      </w:r>
      <w:r w:rsidRPr="003E249A">
        <w:rPr>
          <w:sz w:val="24"/>
        </w:rPr>
        <w:lastRenderedPageBreak/>
        <w:t xml:space="preserve">MIPS </w:t>
      </w:r>
      <w:r>
        <w:rPr>
          <w:sz w:val="24"/>
        </w:rPr>
        <w:t>eligible clinician</w:t>
      </w:r>
      <w:r w:rsidRPr="000B1B8C">
        <w:rPr>
          <w:sz w:val="24"/>
          <w:szCs w:val="20"/>
        </w:rPr>
        <w:t xml:space="preserve">s and groups </w:t>
      </w:r>
      <w:r w:rsidR="00D84AF3">
        <w:rPr>
          <w:sz w:val="24"/>
          <w:szCs w:val="20"/>
        </w:rPr>
        <w:t>may</w:t>
      </w:r>
      <w:r w:rsidRPr="000B1B8C">
        <w:rPr>
          <w:sz w:val="24"/>
          <w:szCs w:val="20"/>
        </w:rPr>
        <w:t xml:space="preserve"> submit </w:t>
      </w:r>
      <w:r>
        <w:rPr>
          <w:sz w:val="24"/>
          <w:szCs w:val="20"/>
        </w:rPr>
        <w:t>CPIA performance category</w:t>
      </w:r>
      <w:r w:rsidRPr="000B1B8C">
        <w:rPr>
          <w:sz w:val="24"/>
          <w:szCs w:val="20"/>
        </w:rPr>
        <w:t xml:space="preserve"> data using the same </w:t>
      </w:r>
      <w:r>
        <w:rPr>
          <w:sz w:val="24"/>
          <w:szCs w:val="20"/>
        </w:rPr>
        <w:t>data submission mechanism</w:t>
      </w:r>
      <w:r w:rsidR="001E4D16" w:rsidRPr="001E4D16">
        <w:rPr>
          <w:sz w:val="24"/>
          <w:szCs w:val="20"/>
        </w:rPr>
        <w:t xml:space="preserve"> </w:t>
      </w:r>
      <w:r w:rsidR="001E4D16">
        <w:rPr>
          <w:sz w:val="24"/>
          <w:szCs w:val="20"/>
        </w:rPr>
        <w:t>they have selected for other MIPS performance categories</w:t>
      </w:r>
      <w:r w:rsidR="003F11B2" w:rsidRPr="003F11B2">
        <w:rPr>
          <w:sz w:val="24"/>
          <w:szCs w:val="20"/>
        </w:rPr>
        <w:t xml:space="preserve"> </w:t>
      </w:r>
      <w:r w:rsidR="003F11B2">
        <w:rPr>
          <w:sz w:val="24"/>
          <w:szCs w:val="20"/>
        </w:rPr>
        <w:t>including a</w:t>
      </w:r>
      <w:r w:rsidR="003F11B2" w:rsidRPr="003F11B2">
        <w:rPr>
          <w:sz w:val="24"/>
          <w:szCs w:val="20"/>
        </w:rPr>
        <w:t>ttestation</w:t>
      </w:r>
      <w:r w:rsidR="003F11B2">
        <w:rPr>
          <w:sz w:val="24"/>
          <w:szCs w:val="20"/>
        </w:rPr>
        <w:t xml:space="preserve">, </w:t>
      </w:r>
      <w:r w:rsidR="003F11B2" w:rsidRPr="003F11B2">
        <w:rPr>
          <w:sz w:val="24"/>
          <w:szCs w:val="20"/>
        </w:rPr>
        <w:t>QCDR</w:t>
      </w:r>
      <w:r w:rsidR="003F11B2">
        <w:rPr>
          <w:sz w:val="24"/>
          <w:szCs w:val="20"/>
        </w:rPr>
        <w:t>, q</w:t>
      </w:r>
      <w:r w:rsidR="003F11B2" w:rsidRPr="003F11B2">
        <w:rPr>
          <w:sz w:val="24"/>
          <w:szCs w:val="20"/>
        </w:rPr>
        <w:t>ualified registry</w:t>
      </w:r>
      <w:r w:rsidR="003F11B2">
        <w:rPr>
          <w:sz w:val="24"/>
          <w:szCs w:val="20"/>
        </w:rPr>
        <w:t xml:space="preserve">, </w:t>
      </w:r>
      <w:r w:rsidR="00BD37D5">
        <w:rPr>
          <w:sz w:val="24"/>
          <w:szCs w:val="20"/>
        </w:rPr>
        <w:t>EHR</w:t>
      </w:r>
      <w:r w:rsidR="003F11B2">
        <w:rPr>
          <w:sz w:val="24"/>
          <w:szCs w:val="20"/>
        </w:rPr>
        <w:t xml:space="preserve">, or </w:t>
      </w:r>
      <w:r w:rsidR="003F11B2" w:rsidRPr="003F11B2">
        <w:rPr>
          <w:sz w:val="24"/>
          <w:szCs w:val="20"/>
        </w:rPr>
        <w:t>CMS Web Interface (groups of 25 or more)</w:t>
      </w:r>
      <w:r w:rsidRPr="000B1B8C">
        <w:rPr>
          <w:sz w:val="24"/>
          <w:szCs w:val="20"/>
        </w:rPr>
        <w:t>, or</w:t>
      </w:r>
      <w:r w:rsidR="001E4D16" w:rsidRPr="000B1B8C">
        <w:rPr>
          <w:sz w:val="24"/>
          <w:szCs w:val="20"/>
        </w:rPr>
        <w:t xml:space="preserve"> </w:t>
      </w:r>
      <w:r w:rsidR="001E4D16">
        <w:rPr>
          <w:sz w:val="24"/>
          <w:szCs w:val="20"/>
        </w:rPr>
        <w:t>they may choose another MIPS</w:t>
      </w:r>
      <w:r w:rsidR="001E4D16" w:rsidRPr="000B1B8C">
        <w:rPr>
          <w:sz w:val="24"/>
          <w:szCs w:val="20"/>
        </w:rPr>
        <w:t xml:space="preserve"> </w:t>
      </w:r>
      <w:r w:rsidR="001E4D16">
        <w:rPr>
          <w:sz w:val="24"/>
          <w:szCs w:val="20"/>
        </w:rPr>
        <w:t>data submission mechanism</w:t>
      </w:r>
      <w:r w:rsidRPr="000B1B8C">
        <w:rPr>
          <w:sz w:val="24"/>
          <w:szCs w:val="20"/>
        </w:rPr>
        <w:t>.</w:t>
      </w:r>
      <w:r>
        <w:rPr>
          <w:sz w:val="24"/>
          <w:szCs w:val="20"/>
        </w:rPr>
        <w:t xml:space="preserve"> </w:t>
      </w:r>
      <w:r w:rsidR="007E3C42">
        <w:rPr>
          <w:sz w:val="24"/>
          <w:szCs w:val="20"/>
        </w:rPr>
        <w:t xml:space="preserve">We anticipate that the rates of participation in CPIA </w:t>
      </w:r>
      <w:r w:rsidR="004364F5">
        <w:rPr>
          <w:sz w:val="24"/>
          <w:szCs w:val="20"/>
        </w:rPr>
        <w:t>p</w:t>
      </w:r>
      <w:r w:rsidR="007E3C42">
        <w:rPr>
          <w:sz w:val="24"/>
          <w:szCs w:val="20"/>
        </w:rPr>
        <w:t xml:space="preserve">erformance </w:t>
      </w:r>
      <w:r w:rsidR="004364F5">
        <w:rPr>
          <w:sz w:val="24"/>
          <w:szCs w:val="20"/>
        </w:rPr>
        <w:t>c</w:t>
      </w:r>
      <w:r w:rsidR="007E3C42">
        <w:rPr>
          <w:sz w:val="24"/>
          <w:szCs w:val="20"/>
        </w:rPr>
        <w:t xml:space="preserve">ategory </w:t>
      </w:r>
      <w:r w:rsidR="004364F5">
        <w:rPr>
          <w:sz w:val="24"/>
          <w:szCs w:val="20"/>
        </w:rPr>
        <w:t>d</w:t>
      </w:r>
      <w:r w:rsidR="007E3C42">
        <w:rPr>
          <w:sz w:val="24"/>
          <w:szCs w:val="20"/>
        </w:rPr>
        <w:t xml:space="preserve">ata </w:t>
      </w:r>
      <w:r w:rsidR="004364F5">
        <w:rPr>
          <w:sz w:val="24"/>
          <w:szCs w:val="20"/>
        </w:rPr>
        <w:t>s</w:t>
      </w:r>
      <w:r w:rsidR="007E3C42">
        <w:rPr>
          <w:sz w:val="24"/>
          <w:szCs w:val="20"/>
        </w:rPr>
        <w:t xml:space="preserve">ubmission will be comparable to those of </w:t>
      </w:r>
      <w:r w:rsidR="004364F5">
        <w:rPr>
          <w:sz w:val="24"/>
          <w:szCs w:val="20"/>
        </w:rPr>
        <w:t>q</w:t>
      </w:r>
      <w:r w:rsidR="007E3C42">
        <w:rPr>
          <w:sz w:val="24"/>
          <w:szCs w:val="20"/>
        </w:rPr>
        <w:t xml:space="preserve">uality </w:t>
      </w:r>
      <w:r w:rsidR="004364F5">
        <w:rPr>
          <w:sz w:val="24"/>
          <w:szCs w:val="20"/>
        </w:rPr>
        <w:t>p</w:t>
      </w:r>
      <w:r w:rsidR="007E3C42">
        <w:rPr>
          <w:sz w:val="24"/>
          <w:szCs w:val="20"/>
        </w:rPr>
        <w:t xml:space="preserve">erformance </w:t>
      </w:r>
      <w:r w:rsidR="004364F5">
        <w:rPr>
          <w:sz w:val="24"/>
          <w:szCs w:val="20"/>
        </w:rPr>
        <w:t>c</w:t>
      </w:r>
      <w:r w:rsidR="007E3C42">
        <w:rPr>
          <w:sz w:val="24"/>
          <w:szCs w:val="20"/>
        </w:rPr>
        <w:t xml:space="preserve">ategory </w:t>
      </w:r>
      <w:r w:rsidR="004364F5">
        <w:rPr>
          <w:sz w:val="24"/>
          <w:szCs w:val="20"/>
        </w:rPr>
        <w:t>d</w:t>
      </w:r>
      <w:r w:rsidR="007E3C42">
        <w:rPr>
          <w:sz w:val="24"/>
          <w:szCs w:val="20"/>
        </w:rPr>
        <w:t xml:space="preserve">ata </w:t>
      </w:r>
      <w:r w:rsidR="00E953E7">
        <w:rPr>
          <w:sz w:val="24"/>
          <w:szCs w:val="20"/>
        </w:rPr>
        <w:t>s</w:t>
      </w:r>
      <w:r w:rsidR="007E3C42">
        <w:rPr>
          <w:sz w:val="24"/>
          <w:szCs w:val="20"/>
        </w:rPr>
        <w:t xml:space="preserve">ubmission. </w:t>
      </w:r>
      <w:r w:rsidR="007E3C42">
        <w:rPr>
          <w:sz w:val="24"/>
        </w:rPr>
        <w:t xml:space="preserve">For </w:t>
      </w:r>
      <w:r w:rsidR="00E953E7">
        <w:rPr>
          <w:sz w:val="24"/>
        </w:rPr>
        <w:t xml:space="preserve">MIPS </w:t>
      </w:r>
      <w:r w:rsidR="007E3C42">
        <w:rPr>
          <w:sz w:val="24"/>
        </w:rPr>
        <w:t xml:space="preserve">eligible clinicians not part of </w:t>
      </w:r>
      <w:r w:rsidR="001F357D">
        <w:rPr>
          <w:sz w:val="24"/>
        </w:rPr>
        <w:t xml:space="preserve">an </w:t>
      </w:r>
      <w:r w:rsidR="007E3C42">
        <w:rPr>
          <w:sz w:val="24"/>
        </w:rPr>
        <w:t xml:space="preserve">APM, we assume that the number of </w:t>
      </w:r>
      <w:r w:rsidR="00E953E7">
        <w:rPr>
          <w:sz w:val="24"/>
        </w:rPr>
        <w:t xml:space="preserve">MIPS eligible clinicians </w:t>
      </w:r>
      <w:r w:rsidR="00C540A3">
        <w:rPr>
          <w:sz w:val="24"/>
        </w:rPr>
        <w:t>submitting quality performance category data</w:t>
      </w:r>
      <w:r w:rsidR="007E3C42">
        <w:rPr>
          <w:sz w:val="24"/>
        </w:rPr>
        <w:t xml:space="preserve"> as part of a </w:t>
      </w:r>
      <w:r w:rsidR="00571AE8">
        <w:rPr>
          <w:sz w:val="24"/>
        </w:rPr>
        <w:t>group</w:t>
      </w:r>
      <w:r w:rsidR="007E3C42">
        <w:rPr>
          <w:sz w:val="24"/>
        </w:rPr>
        <w:t xml:space="preserve"> will be approximately the same as the number of </w:t>
      </w:r>
      <w:r w:rsidR="00937A21">
        <w:rPr>
          <w:sz w:val="24"/>
        </w:rPr>
        <w:t>EPs</w:t>
      </w:r>
      <w:r w:rsidR="007E3C42">
        <w:rPr>
          <w:sz w:val="24"/>
        </w:rPr>
        <w:t xml:space="preserve"> reporting PQRS data through the GPRO Web Interface in 2014. We estimate that there could be as many as 595,100 MIPS eligible clinicians </w:t>
      </w:r>
      <w:r w:rsidR="00C540A3">
        <w:rPr>
          <w:sz w:val="24"/>
        </w:rPr>
        <w:t>submitting</w:t>
      </w:r>
      <w:r w:rsidR="007E3C42">
        <w:rPr>
          <w:sz w:val="24"/>
        </w:rPr>
        <w:t xml:space="preserve"> CPIA </w:t>
      </w:r>
      <w:r w:rsidR="00C540A3">
        <w:rPr>
          <w:sz w:val="24"/>
        </w:rPr>
        <w:t xml:space="preserve">performance </w:t>
      </w:r>
      <w:r w:rsidR="007E3C42">
        <w:rPr>
          <w:sz w:val="24"/>
        </w:rPr>
        <w:t xml:space="preserve">category data as individuals. We estimate that approximately 112,500 MIPS eligible clinicians comprising 300 </w:t>
      </w:r>
      <w:r w:rsidR="00571AE8">
        <w:rPr>
          <w:sz w:val="24"/>
        </w:rPr>
        <w:t>group</w:t>
      </w:r>
      <w:r w:rsidR="007E3C42">
        <w:rPr>
          <w:sz w:val="24"/>
        </w:rPr>
        <w:t xml:space="preserve">s may </w:t>
      </w:r>
      <w:r w:rsidR="00C540A3">
        <w:rPr>
          <w:sz w:val="24"/>
        </w:rPr>
        <w:t>submit data</w:t>
      </w:r>
      <w:r w:rsidR="007E3C42">
        <w:rPr>
          <w:sz w:val="24"/>
        </w:rPr>
        <w:t xml:space="preserve"> at the group level. </w:t>
      </w:r>
      <w:r w:rsidR="00D21BBA">
        <w:rPr>
          <w:sz w:val="24"/>
        </w:rPr>
        <w:t xml:space="preserve">As noted in Supporting Statement Part A, we also estimated that CPIA data will be submitted by 24,925 billing TINS representing 140,341 MIPS eligible clinicians participating in 434 </w:t>
      </w:r>
      <w:r w:rsidR="00D21BBA">
        <w:rPr>
          <w:sz w:val="24"/>
        </w:rPr>
        <w:lastRenderedPageBreak/>
        <w:t xml:space="preserve">Shared Savings Program ACOs and 55,000 MIPS eligible clinicians participating in other </w:t>
      </w:r>
      <w:r w:rsidR="00F10651">
        <w:rPr>
          <w:sz w:val="24"/>
        </w:rPr>
        <w:t>APMs.</w:t>
      </w:r>
    </w:p>
    <w:p w14:paraId="2E09724C" w14:textId="10F4322D" w:rsidR="004829AE" w:rsidRDefault="004829AE" w:rsidP="00B618D0">
      <w:pPr>
        <w:spacing w:line="276" w:lineRule="auto"/>
        <w:rPr>
          <w:sz w:val="24"/>
        </w:rPr>
      </w:pPr>
    </w:p>
    <w:p w14:paraId="207707B2" w14:textId="1E4DAA69" w:rsidR="004829AE" w:rsidRDefault="004829AE" w:rsidP="00B618D0">
      <w:pPr>
        <w:spacing w:line="276" w:lineRule="auto"/>
        <w:rPr>
          <w:sz w:val="24"/>
          <w:u w:val="single"/>
        </w:rPr>
      </w:pPr>
      <w:r w:rsidRPr="004829AE">
        <w:rPr>
          <w:sz w:val="24"/>
          <w:u w:val="single"/>
        </w:rPr>
        <w:t xml:space="preserve">Data Submission for </w:t>
      </w:r>
      <w:r>
        <w:rPr>
          <w:sz w:val="24"/>
          <w:u w:val="single"/>
        </w:rPr>
        <w:t xml:space="preserve">Partial QP Election for </w:t>
      </w:r>
      <w:r w:rsidR="0086207A">
        <w:rPr>
          <w:sz w:val="24"/>
          <w:u w:val="single"/>
        </w:rPr>
        <w:t xml:space="preserve">Advanced </w:t>
      </w:r>
      <w:r>
        <w:rPr>
          <w:sz w:val="24"/>
          <w:u w:val="single"/>
        </w:rPr>
        <w:t>APM</w:t>
      </w:r>
      <w:r w:rsidR="0086207A">
        <w:rPr>
          <w:sz w:val="24"/>
          <w:u w:val="single"/>
        </w:rPr>
        <w:t xml:space="preserve"> participant</w:t>
      </w:r>
      <w:r>
        <w:rPr>
          <w:sz w:val="24"/>
          <w:u w:val="single"/>
        </w:rPr>
        <w:t xml:space="preserve">s </w:t>
      </w:r>
    </w:p>
    <w:p w14:paraId="5FC2774E" w14:textId="50FEDAEC" w:rsidR="004829AE" w:rsidRDefault="004829AE" w:rsidP="00B618D0">
      <w:pPr>
        <w:spacing w:line="276" w:lineRule="auto"/>
        <w:ind w:firstLine="720"/>
        <w:rPr>
          <w:sz w:val="24"/>
        </w:rPr>
      </w:pPr>
      <w:r>
        <w:rPr>
          <w:sz w:val="24"/>
        </w:rPr>
        <w:t xml:space="preserve">We do not anticipate using sampling for the </w:t>
      </w:r>
      <w:r w:rsidR="004364F5">
        <w:rPr>
          <w:sz w:val="24"/>
        </w:rPr>
        <w:t>d</w:t>
      </w:r>
      <w:r>
        <w:rPr>
          <w:sz w:val="24"/>
        </w:rPr>
        <w:t xml:space="preserve">ata </w:t>
      </w:r>
      <w:r w:rsidR="004364F5">
        <w:rPr>
          <w:sz w:val="24"/>
        </w:rPr>
        <w:t>s</w:t>
      </w:r>
      <w:r>
        <w:rPr>
          <w:sz w:val="24"/>
        </w:rPr>
        <w:t xml:space="preserve">ubmission for Partial QP Elections for APMs. </w:t>
      </w:r>
      <w:r w:rsidR="0086207A">
        <w:rPr>
          <w:sz w:val="24"/>
        </w:rPr>
        <w:t xml:space="preserve">One representative from each APM Entity will </w:t>
      </w:r>
      <w:r w:rsidR="00581B78">
        <w:rPr>
          <w:sz w:val="24"/>
        </w:rPr>
        <w:t xml:space="preserve">make an election </w:t>
      </w:r>
      <w:r w:rsidR="0086207A">
        <w:rPr>
          <w:sz w:val="24"/>
        </w:rPr>
        <w:t>on behalf of all APM</w:t>
      </w:r>
      <w:r w:rsidR="00DC0A4D">
        <w:rPr>
          <w:sz w:val="24"/>
        </w:rPr>
        <w:t xml:space="preserve"> Entity</w:t>
      </w:r>
      <w:r w:rsidR="0086207A">
        <w:rPr>
          <w:sz w:val="24"/>
        </w:rPr>
        <w:t xml:space="preserve"> participants. </w:t>
      </w:r>
    </w:p>
    <w:p w14:paraId="7D83E072" w14:textId="77777777" w:rsidR="00193770" w:rsidRPr="00424762" w:rsidRDefault="00193770" w:rsidP="00B618D0">
      <w:pPr>
        <w:spacing w:line="276" w:lineRule="auto"/>
        <w:rPr>
          <w:sz w:val="24"/>
        </w:rPr>
      </w:pPr>
    </w:p>
    <w:p w14:paraId="489DE074" w14:textId="77777777" w:rsidR="004C41CD" w:rsidRPr="00424762" w:rsidRDefault="00173F05" w:rsidP="00B63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2.  Describe the procedures for the collection of information including:</w:t>
      </w:r>
    </w:p>
    <w:p w14:paraId="6BB8AB9A" w14:textId="77777777" w:rsidR="00FF0D8A" w:rsidRPr="00424762" w:rsidRDefault="00173F05"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Statistical methodology for stratification and sample selection,</w:t>
      </w:r>
    </w:p>
    <w:p w14:paraId="269C12DB" w14:textId="77777777" w:rsidR="00FF0D8A" w:rsidRPr="00424762" w:rsidRDefault="00173F05" w:rsidP="00740F9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Estimation procedure,</w:t>
      </w:r>
    </w:p>
    <w:p w14:paraId="4C8C2237" w14:textId="5593DDD7" w:rsidR="00FF0D8A" w:rsidRPr="00424762" w:rsidRDefault="00173F05" w:rsidP="00EA1F22">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Degree of accuracy needed for the purpose described in the justification,</w:t>
      </w:r>
    </w:p>
    <w:p w14:paraId="37097CD6" w14:textId="77777777" w:rsidR="00FF0D8A" w:rsidRPr="00424762" w:rsidRDefault="00173F05" w:rsidP="00EA1F22">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Unusual problems requiring specialized sampling procedures, and</w:t>
      </w:r>
    </w:p>
    <w:p w14:paraId="0206E3F4" w14:textId="77777777" w:rsidR="00173F05" w:rsidRPr="00424762" w:rsidRDefault="00173F05" w:rsidP="00EA1F22">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Any use of periodic (less frequent than annual) data collection cycles to reduce burden.</w:t>
      </w:r>
    </w:p>
    <w:p w14:paraId="37083A38" w14:textId="0F88D39E" w:rsidR="00BA132D" w:rsidRDefault="00BA132D"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D01F0F1" w14:textId="5ED171D7" w:rsidR="00424762" w:rsidRDefault="00424762"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sidRPr="00424762">
        <w:rPr>
          <w:sz w:val="24"/>
          <w:u w:val="single"/>
        </w:rPr>
        <w:t>Quality Performance Category</w:t>
      </w:r>
    </w:p>
    <w:p w14:paraId="5C0C496E" w14:textId="42B99C1F" w:rsidR="002851F3" w:rsidRDefault="001F357D"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BA132D" w:rsidRPr="00424762">
        <w:rPr>
          <w:sz w:val="24"/>
        </w:rPr>
        <w:t xml:space="preserve">For the quality </w:t>
      </w:r>
      <w:r w:rsidR="00BA132D">
        <w:rPr>
          <w:sz w:val="24"/>
        </w:rPr>
        <w:t>performance category data submission</w:t>
      </w:r>
      <w:r w:rsidR="00BA132D" w:rsidRPr="00424762">
        <w:rPr>
          <w:sz w:val="24"/>
        </w:rPr>
        <w:t xml:space="preserve">, </w:t>
      </w:r>
      <w:r w:rsidR="00BA132D">
        <w:rPr>
          <w:sz w:val="24"/>
        </w:rPr>
        <w:t xml:space="preserve">Table </w:t>
      </w:r>
      <w:r w:rsidR="002851F3">
        <w:rPr>
          <w:sz w:val="24"/>
        </w:rPr>
        <w:t>1</w:t>
      </w:r>
      <w:r w:rsidR="00BA132D">
        <w:rPr>
          <w:sz w:val="24"/>
        </w:rPr>
        <w:t xml:space="preserve"> </w:t>
      </w:r>
      <w:r w:rsidR="00BA132D">
        <w:rPr>
          <w:sz w:val="24"/>
        </w:rPr>
        <w:lastRenderedPageBreak/>
        <w:t xml:space="preserve">provides information </w:t>
      </w:r>
      <w:r>
        <w:rPr>
          <w:sz w:val="24"/>
        </w:rPr>
        <w:t xml:space="preserve">regarding </w:t>
      </w:r>
      <w:r w:rsidR="00BA132D">
        <w:rPr>
          <w:sz w:val="24"/>
        </w:rPr>
        <w:t xml:space="preserve">the </w:t>
      </w:r>
      <w:r w:rsidR="00961D28">
        <w:rPr>
          <w:sz w:val="24"/>
        </w:rPr>
        <w:t xml:space="preserve">proposed </w:t>
      </w:r>
      <w:r w:rsidR="00BA132D">
        <w:rPr>
          <w:sz w:val="24"/>
        </w:rPr>
        <w:t xml:space="preserve">performance period, sampling, and completeness criteria for the </w:t>
      </w:r>
      <w:r w:rsidR="009D733F">
        <w:rPr>
          <w:sz w:val="24"/>
        </w:rPr>
        <w:t xml:space="preserve">four of the five </w:t>
      </w:r>
      <w:r w:rsidR="00BA132D">
        <w:rPr>
          <w:sz w:val="24"/>
        </w:rPr>
        <w:t>data</w:t>
      </w:r>
      <w:r w:rsidR="00BA132D" w:rsidRPr="00424762">
        <w:rPr>
          <w:sz w:val="24"/>
        </w:rPr>
        <w:t xml:space="preserve"> </w:t>
      </w:r>
      <w:r w:rsidR="00BA132D">
        <w:rPr>
          <w:sz w:val="24"/>
        </w:rPr>
        <w:t xml:space="preserve">submission </w:t>
      </w:r>
      <w:r w:rsidR="00BA132D" w:rsidRPr="00424762">
        <w:rPr>
          <w:sz w:val="24"/>
        </w:rPr>
        <w:t xml:space="preserve">mechanisms for </w:t>
      </w:r>
      <w:r w:rsidR="00BA132D">
        <w:rPr>
          <w:sz w:val="24"/>
        </w:rPr>
        <w:t xml:space="preserve">MIPS </w:t>
      </w:r>
      <w:r w:rsidR="00BA132D" w:rsidRPr="00424762">
        <w:rPr>
          <w:sz w:val="24"/>
        </w:rPr>
        <w:t xml:space="preserve">eligible </w:t>
      </w:r>
      <w:r w:rsidR="00BA132D">
        <w:rPr>
          <w:sz w:val="24"/>
        </w:rPr>
        <w:t>clinicians</w:t>
      </w:r>
      <w:r w:rsidR="00BA132D" w:rsidRPr="00424762">
        <w:rPr>
          <w:sz w:val="24"/>
        </w:rPr>
        <w:t xml:space="preserve"> and groups to </w:t>
      </w:r>
      <w:r w:rsidR="00BA132D">
        <w:rPr>
          <w:sz w:val="24"/>
        </w:rPr>
        <w:t xml:space="preserve">submit </w:t>
      </w:r>
      <w:r w:rsidR="00BA132D" w:rsidRPr="00424762">
        <w:rPr>
          <w:sz w:val="24"/>
        </w:rPr>
        <w:t>quality measures data for the 2019 MIPS payment adjustment</w:t>
      </w:r>
      <w:r w:rsidR="009958B1">
        <w:rPr>
          <w:sz w:val="24"/>
        </w:rPr>
        <w:t>.</w:t>
      </w:r>
      <w:r w:rsidR="009958B1" w:rsidRPr="00424762">
        <w:rPr>
          <w:sz w:val="24"/>
        </w:rPr>
        <w:t xml:space="preserve">  </w:t>
      </w:r>
      <w:r w:rsidR="009D733F">
        <w:rPr>
          <w:sz w:val="24"/>
        </w:rPr>
        <w:t>The requirements for the fifth quality data submission mechanism, CAHPS for MIP</w:t>
      </w:r>
      <w:r w:rsidR="00CD71C8">
        <w:rPr>
          <w:sz w:val="24"/>
        </w:rPr>
        <w:t>S</w:t>
      </w:r>
      <w:r w:rsidR="009D733F">
        <w:rPr>
          <w:sz w:val="24"/>
        </w:rPr>
        <w:t xml:space="preserve">, will be discussed in a separate PRA Package. </w:t>
      </w:r>
    </w:p>
    <w:p w14:paraId="1E073BA1" w14:textId="1F50D646" w:rsidR="002851F3" w:rsidRDefault="002851F3" w:rsidP="00B618D0">
      <w:pPr>
        <w:widowControl/>
        <w:autoSpaceDE/>
        <w:autoSpaceDN/>
        <w:adjustRightInd/>
        <w:spacing w:line="276" w:lineRule="auto"/>
        <w:rPr>
          <w:sz w:val="24"/>
        </w:rPr>
      </w:pPr>
    </w:p>
    <w:p w14:paraId="0106E62C" w14:textId="710B4310" w:rsidR="00BA132D" w:rsidRPr="002851F3" w:rsidRDefault="00BA132D" w:rsidP="00EA1F22">
      <w:pPr>
        <w:widowControl/>
        <w:autoSpaceDE/>
        <w:autoSpaceDN/>
        <w:adjustRightInd/>
        <w:rPr>
          <w:b/>
          <w:sz w:val="24"/>
        </w:rPr>
      </w:pPr>
      <w:r w:rsidRPr="002851F3">
        <w:rPr>
          <w:b/>
          <w:sz w:val="24"/>
        </w:rPr>
        <w:t xml:space="preserve">TABLE 1: Summary of Proposed Quality Data Submission Criteria for MIPS via Part B Claims, QCDR, Qualified Registry, </w:t>
      </w:r>
      <w:r w:rsidR="00B618D0">
        <w:rPr>
          <w:b/>
          <w:sz w:val="24"/>
        </w:rPr>
        <w:t>EHR</w:t>
      </w:r>
      <w:r w:rsidR="00961D28">
        <w:rPr>
          <w:b/>
          <w:sz w:val="24"/>
        </w:rPr>
        <w:t xml:space="preserve"> and</w:t>
      </w:r>
      <w:r w:rsidR="00961D28" w:rsidRPr="002851F3">
        <w:rPr>
          <w:b/>
          <w:sz w:val="24"/>
        </w:rPr>
        <w:t xml:space="preserve"> </w:t>
      </w:r>
      <w:r w:rsidRPr="002851F3">
        <w:rPr>
          <w:b/>
          <w:sz w:val="24"/>
        </w:rPr>
        <w:t>CMS Web Interface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530"/>
        <w:gridCol w:w="1440"/>
        <w:gridCol w:w="3228"/>
        <w:gridCol w:w="1861"/>
      </w:tblGrid>
      <w:tr w:rsidR="00BA132D" w:rsidRPr="00B52757" w14:paraId="7BDE654E" w14:textId="77777777" w:rsidTr="00B618D0">
        <w:trPr>
          <w:trHeight w:val="539"/>
          <w:tblHeader/>
        </w:trPr>
        <w:tc>
          <w:tcPr>
            <w:tcW w:w="1435" w:type="dxa"/>
          </w:tcPr>
          <w:p w14:paraId="00B8C84E" w14:textId="77777777" w:rsidR="00BA132D" w:rsidRPr="00B52757" w:rsidRDefault="00BA132D" w:rsidP="00B618D0">
            <w:pPr>
              <w:jc w:val="center"/>
              <w:rPr>
                <w:b/>
                <w:szCs w:val="20"/>
              </w:rPr>
            </w:pPr>
            <w:r w:rsidRPr="00B52757">
              <w:rPr>
                <w:b/>
                <w:szCs w:val="20"/>
              </w:rPr>
              <w:t>Performance Period</w:t>
            </w:r>
          </w:p>
        </w:tc>
        <w:tc>
          <w:tcPr>
            <w:tcW w:w="1530" w:type="dxa"/>
          </w:tcPr>
          <w:p w14:paraId="4BE91328" w14:textId="77777777" w:rsidR="00BA132D" w:rsidRPr="00B52757" w:rsidRDefault="00BA132D" w:rsidP="00B618D0">
            <w:pPr>
              <w:jc w:val="center"/>
              <w:rPr>
                <w:b/>
                <w:szCs w:val="20"/>
              </w:rPr>
            </w:pPr>
            <w:r w:rsidRPr="00B52757">
              <w:rPr>
                <w:b/>
                <w:szCs w:val="20"/>
              </w:rPr>
              <w:t>Measure Type</w:t>
            </w:r>
          </w:p>
        </w:tc>
        <w:tc>
          <w:tcPr>
            <w:tcW w:w="1440" w:type="dxa"/>
          </w:tcPr>
          <w:p w14:paraId="4790BB0F" w14:textId="77777777" w:rsidR="00BA132D" w:rsidRPr="00B52757" w:rsidRDefault="00BA132D" w:rsidP="00B618D0">
            <w:pPr>
              <w:jc w:val="center"/>
              <w:rPr>
                <w:b/>
                <w:szCs w:val="20"/>
              </w:rPr>
            </w:pPr>
            <w:r w:rsidRPr="00B52757">
              <w:rPr>
                <w:b/>
                <w:szCs w:val="20"/>
              </w:rPr>
              <w:t>Submission Mechanism</w:t>
            </w:r>
          </w:p>
        </w:tc>
        <w:tc>
          <w:tcPr>
            <w:tcW w:w="3228" w:type="dxa"/>
          </w:tcPr>
          <w:p w14:paraId="166511A8" w14:textId="79AB2E7C" w:rsidR="00BA132D" w:rsidRPr="00B52757" w:rsidRDefault="00BA132D" w:rsidP="00B618D0">
            <w:pPr>
              <w:jc w:val="center"/>
              <w:rPr>
                <w:b/>
                <w:szCs w:val="20"/>
              </w:rPr>
            </w:pPr>
            <w:r w:rsidRPr="00B52757">
              <w:rPr>
                <w:b/>
                <w:szCs w:val="20"/>
              </w:rPr>
              <w:t>Submission Criteria</w:t>
            </w:r>
            <w:r>
              <w:rPr>
                <w:b/>
                <w:szCs w:val="20"/>
              </w:rPr>
              <w:t>, including Sampling</w:t>
            </w:r>
          </w:p>
        </w:tc>
        <w:tc>
          <w:tcPr>
            <w:tcW w:w="1861" w:type="dxa"/>
          </w:tcPr>
          <w:p w14:paraId="3E632064" w14:textId="77777777" w:rsidR="00BA132D" w:rsidRPr="00B52757" w:rsidRDefault="00BA132D" w:rsidP="00B618D0">
            <w:pPr>
              <w:jc w:val="center"/>
              <w:rPr>
                <w:b/>
                <w:szCs w:val="20"/>
              </w:rPr>
            </w:pPr>
            <w:r w:rsidRPr="00B52757">
              <w:rPr>
                <w:b/>
                <w:szCs w:val="20"/>
              </w:rPr>
              <w:t>Data Completeness</w:t>
            </w:r>
          </w:p>
        </w:tc>
      </w:tr>
      <w:tr w:rsidR="00BA132D" w:rsidRPr="00B52757" w14:paraId="71C66B23" w14:textId="77777777" w:rsidTr="00EA1F22">
        <w:trPr>
          <w:trHeight w:val="3113"/>
        </w:trPr>
        <w:tc>
          <w:tcPr>
            <w:tcW w:w="1435" w:type="dxa"/>
          </w:tcPr>
          <w:p w14:paraId="1DE15E65" w14:textId="77777777" w:rsidR="00BA132D" w:rsidRPr="00B52757" w:rsidRDefault="00BA132D" w:rsidP="00B618D0">
            <w:pPr>
              <w:rPr>
                <w:szCs w:val="20"/>
              </w:rPr>
            </w:pPr>
            <w:r w:rsidRPr="00B52757">
              <w:rPr>
                <w:szCs w:val="20"/>
              </w:rPr>
              <w:t>Jan 1 – Dec 31</w:t>
            </w:r>
          </w:p>
        </w:tc>
        <w:tc>
          <w:tcPr>
            <w:tcW w:w="1530" w:type="dxa"/>
          </w:tcPr>
          <w:p w14:paraId="69EF024F" w14:textId="77777777" w:rsidR="00BA132D" w:rsidRPr="00B52757" w:rsidRDefault="00BA132D" w:rsidP="00B618D0">
            <w:pPr>
              <w:rPr>
                <w:szCs w:val="20"/>
              </w:rPr>
            </w:pPr>
            <w:r w:rsidRPr="00B52757">
              <w:rPr>
                <w:szCs w:val="20"/>
              </w:rPr>
              <w:t xml:space="preserve">Individual </w:t>
            </w:r>
            <w:r>
              <w:rPr>
                <w:szCs w:val="20"/>
              </w:rPr>
              <w:t xml:space="preserve">MIPS </w:t>
            </w:r>
            <w:r w:rsidRPr="00E2340E">
              <w:rPr>
                <w:szCs w:val="20"/>
              </w:rPr>
              <w:t>eligible clinician</w:t>
            </w:r>
            <w:r>
              <w:rPr>
                <w:szCs w:val="20"/>
              </w:rPr>
              <w:t>s</w:t>
            </w:r>
          </w:p>
        </w:tc>
        <w:tc>
          <w:tcPr>
            <w:tcW w:w="1440" w:type="dxa"/>
          </w:tcPr>
          <w:p w14:paraId="113884B1" w14:textId="77777777" w:rsidR="00BA132D" w:rsidRPr="00B52757" w:rsidRDefault="00BA132D" w:rsidP="00B618D0">
            <w:pPr>
              <w:rPr>
                <w:szCs w:val="20"/>
              </w:rPr>
            </w:pPr>
            <w:r w:rsidRPr="00B52757">
              <w:rPr>
                <w:szCs w:val="20"/>
              </w:rPr>
              <w:t>Part B Claims</w:t>
            </w:r>
          </w:p>
        </w:tc>
        <w:tc>
          <w:tcPr>
            <w:tcW w:w="3228" w:type="dxa"/>
          </w:tcPr>
          <w:p w14:paraId="06BC7112" w14:textId="7D64BC2D" w:rsidR="00BA132D" w:rsidRPr="00B52757" w:rsidRDefault="00BA132D" w:rsidP="00B618D0">
            <w:pPr>
              <w:rPr>
                <w:szCs w:val="20"/>
              </w:rPr>
            </w:pPr>
            <w:r>
              <w:rPr>
                <w:szCs w:val="20"/>
              </w:rPr>
              <w:t>R</w:t>
            </w:r>
            <w:r w:rsidRPr="00C40DF8">
              <w:rPr>
                <w:szCs w:val="20"/>
              </w:rPr>
              <w:t>eport at least s</w:t>
            </w:r>
            <w:r>
              <w:rPr>
                <w:szCs w:val="20"/>
              </w:rPr>
              <w:t>ix measures including one cross-</w:t>
            </w:r>
            <w:r w:rsidRPr="00C40DF8">
              <w:rPr>
                <w:szCs w:val="20"/>
              </w:rPr>
              <w:t xml:space="preserve">cutting measure and at least one outcome measure, or if an outcome measure is not available report one other </w:t>
            </w:r>
            <w:r>
              <w:rPr>
                <w:szCs w:val="20"/>
              </w:rPr>
              <w:t>high priority</w:t>
            </w:r>
            <w:r w:rsidRPr="00C40DF8">
              <w:rPr>
                <w:szCs w:val="20"/>
              </w:rPr>
              <w:t xml:space="preserve"> measure; if less than six measures apply </w:t>
            </w:r>
            <w:r>
              <w:rPr>
                <w:szCs w:val="20"/>
              </w:rPr>
              <w:t xml:space="preserve">then </w:t>
            </w:r>
            <w:r w:rsidRPr="00C40DF8">
              <w:rPr>
                <w:szCs w:val="20"/>
              </w:rPr>
              <w:t xml:space="preserve">report on each </w:t>
            </w:r>
            <w:r w:rsidRPr="00A33AFA">
              <w:rPr>
                <w:szCs w:val="20"/>
              </w:rPr>
              <w:t xml:space="preserve">measure that is applicable.  </w:t>
            </w:r>
            <w:r w:rsidRPr="0045159C">
              <w:rPr>
                <w:szCs w:val="20"/>
              </w:rPr>
              <w:t>MIPS</w:t>
            </w:r>
            <w:r w:rsidRPr="00E2340E">
              <w:rPr>
                <w:szCs w:val="20"/>
              </w:rPr>
              <w:t xml:space="preserve"> eligible clinician</w:t>
            </w:r>
            <w:r>
              <w:rPr>
                <w:szCs w:val="20"/>
              </w:rPr>
              <w:t>s</w:t>
            </w:r>
            <w:r w:rsidRPr="0045159C">
              <w:rPr>
                <w:szCs w:val="20"/>
              </w:rPr>
              <w:t xml:space="preserve"> and groups will have to select their measures from either the list of all MIPS Measures in Table A or a set of specialty specific measures in Table E</w:t>
            </w:r>
            <w:r>
              <w:rPr>
                <w:szCs w:val="20"/>
              </w:rPr>
              <w:t>.</w:t>
            </w:r>
          </w:p>
        </w:tc>
        <w:tc>
          <w:tcPr>
            <w:tcW w:w="1861" w:type="dxa"/>
          </w:tcPr>
          <w:p w14:paraId="064A7711" w14:textId="77777777" w:rsidR="00BA132D" w:rsidRPr="00B52757" w:rsidRDefault="00BA132D" w:rsidP="00B618D0">
            <w:pPr>
              <w:rPr>
                <w:szCs w:val="20"/>
              </w:rPr>
            </w:pPr>
            <w:r w:rsidRPr="00B52757">
              <w:rPr>
                <w:szCs w:val="20"/>
              </w:rPr>
              <w:t xml:space="preserve">80 percent of </w:t>
            </w:r>
            <w:r>
              <w:rPr>
                <w:szCs w:val="20"/>
              </w:rPr>
              <w:t xml:space="preserve">MIPS </w:t>
            </w:r>
            <w:r w:rsidRPr="00E2340E">
              <w:rPr>
                <w:szCs w:val="20"/>
              </w:rPr>
              <w:t>eligible clinician</w:t>
            </w:r>
            <w:r>
              <w:rPr>
                <w:szCs w:val="20"/>
              </w:rPr>
              <w:t>’s</w:t>
            </w:r>
            <w:r w:rsidRPr="00B52757">
              <w:rPr>
                <w:szCs w:val="20"/>
              </w:rPr>
              <w:t xml:space="preserve"> </w:t>
            </w:r>
            <w:r>
              <w:rPr>
                <w:szCs w:val="20"/>
              </w:rPr>
              <w:t xml:space="preserve">patients </w:t>
            </w:r>
          </w:p>
        </w:tc>
      </w:tr>
      <w:tr w:rsidR="00BA132D" w:rsidRPr="00B52757" w14:paraId="529DB6BB" w14:textId="77777777" w:rsidTr="00B618D0">
        <w:tc>
          <w:tcPr>
            <w:tcW w:w="1435" w:type="dxa"/>
          </w:tcPr>
          <w:p w14:paraId="6409251C" w14:textId="77777777" w:rsidR="00BA132D" w:rsidRPr="00B52757" w:rsidRDefault="00BA132D" w:rsidP="00B618D0">
            <w:pPr>
              <w:rPr>
                <w:szCs w:val="20"/>
              </w:rPr>
            </w:pPr>
            <w:r w:rsidRPr="00B52757">
              <w:rPr>
                <w:szCs w:val="20"/>
              </w:rPr>
              <w:t>Jan 1 – Dec 31</w:t>
            </w:r>
          </w:p>
        </w:tc>
        <w:tc>
          <w:tcPr>
            <w:tcW w:w="1530" w:type="dxa"/>
          </w:tcPr>
          <w:p w14:paraId="4DE185B4" w14:textId="77777777" w:rsidR="00BA132D" w:rsidRPr="00B52757" w:rsidRDefault="00BA132D" w:rsidP="00B618D0">
            <w:pPr>
              <w:rPr>
                <w:szCs w:val="20"/>
              </w:rPr>
            </w:pPr>
            <w:r w:rsidRPr="00B52757">
              <w:rPr>
                <w:szCs w:val="20"/>
              </w:rPr>
              <w:t>Individual</w:t>
            </w:r>
            <w:r>
              <w:rPr>
                <w:szCs w:val="20"/>
              </w:rPr>
              <w:t xml:space="preserve"> MIPS </w:t>
            </w:r>
            <w:r w:rsidRPr="00E2340E">
              <w:rPr>
                <w:szCs w:val="20"/>
              </w:rPr>
              <w:t>eligible clinician</w:t>
            </w:r>
            <w:r>
              <w:rPr>
                <w:szCs w:val="20"/>
              </w:rPr>
              <w:t>s</w:t>
            </w:r>
            <w:r w:rsidRPr="00B52757">
              <w:rPr>
                <w:szCs w:val="20"/>
              </w:rPr>
              <w:t xml:space="preserve"> or </w:t>
            </w:r>
            <w:r>
              <w:rPr>
                <w:szCs w:val="20"/>
              </w:rPr>
              <w:t>Group</w:t>
            </w:r>
            <w:r w:rsidRPr="00B52757">
              <w:rPr>
                <w:szCs w:val="20"/>
              </w:rPr>
              <w:t>s</w:t>
            </w:r>
          </w:p>
        </w:tc>
        <w:tc>
          <w:tcPr>
            <w:tcW w:w="1440" w:type="dxa"/>
          </w:tcPr>
          <w:p w14:paraId="5FD31EC2" w14:textId="77777777" w:rsidR="00BA132D" w:rsidRPr="00B52757" w:rsidRDefault="00BA132D" w:rsidP="00B618D0">
            <w:pPr>
              <w:rPr>
                <w:szCs w:val="20"/>
              </w:rPr>
            </w:pPr>
            <w:r w:rsidRPr="00B52757">
              <w:rPr>
                <w:szCs w:val="20"/>
              </w:rPr>
              <w:t>QCDR</w:t>
            </w:r>
          </w:p>
          <w:p w14:paraId="414FE68C" w14:textId="77777777" w:rsidR="00BA132D" w:rsidRPr="00B52757" w:rsidRDefault="00BA132D" w:rsidP="00B618D0">
            <w:pPr>
              <w:rPr>
                <w:szCs w:val="20"/>
              </w:rPr>
            </w:pPr>
            <w:r w:rsidRPr="00B52757">
              <w:rPr>
                <w:szCs w:val="20"/>
              </w:rPr>
              <w:t>Qualified Registry</w:t>
            </w:r>
          </w:p>
          <w:p w14:paraId="314C5C2E" w14:textId="414ED71A" w:rsidR="00BA132D" w:rsidRPr="00B52757" w:rsidRDefault="00B618D0" w:rsidP="00B618D0">
            <w:pPr>
              <w:rPr>
                <w:szCs w:val="20"/>
              </w:rPr>
            </w:pPr>
            <w:r>
              <w:rPr>
                <w:szCs w:val="20"/>
              </w:rPr>
              <w:t xml:space="preserve">EHR </w:t>
            </w:r>
          </w:p>
        </w:tc>
        <w:tc>
          <w:tcPr>
            <w:tcW w:w="3228" w:type="dxa"/>
          </w:tcPr>
          <w:p w14:paraId="597929F3" w14:textId="3154C40B" w:rsidR="00BA132D" w:rsidRPr="00A33AFA" w:rsidRDefault="00BA132D" w:rsidP="00740F98">
            <w:pPr>
              <w:rPr>
                <w:szCs w:val="20"/>
              </w:rPr>
            </w:pPr>
            <w:r>
              <w:rPr>
                <w:szCs w:val="20"/>
              </w:rPr>
              <w:t>R</w:t>
            </w:r>
            <w:r w:rsidRPr="00C40DF8">
              <w:rPr>
                <w:szCs w:val="20"/>
              </w:rPr>
              <w:t>eport at least s</w:t>
            </w:r>
            <w:r>
              <w:rPr>
                <w:szCs w:val="20"/>
              </w:rPr>
              <w:t>ix measures including one cross-</w:t>
            </w:r>
            <w:r w:rsidRPr="00C40DF8">
              <w:rPr>
                <w:szCs w:val="20"/>
              </w:rPr>
              <w:t xml:space="preserve">cutting measure and at least one outcome measure, or if an outcome measure is not available report one other </w:t>
            </w:r>
            <w:r>
              <w:rPr>
                <w:szCs w:val="20"/>
              </w:rPr>
              <w:t>high priority</w:t>
            </w:r>
            <w:r w:rsidRPr="00C40DF8">
              <w:rPr>
                <w:szCs w:val="20"/>
              </w:rPr>
              <w:t xml:space="preserve"> measure; if less than six measures apply </w:t>
            </w:r>
            <w:r>
              <w:rPr>
                <w:szCs w:val="20"/>
              </w:rPr>
              <w:t xml:space="preserve">then </w:t>
            </w:r>
            <w:r w:rsidRPr="00C40DF8">
              <w:rPr>
                <w:szCs w:val="20"/>
              </w:rPr>
              <w:t>report on each measure that is applicable</w:t>
            </w:r>
            <w:r>
              <w:rPr>
                <w:szCs w:val="20"/>
              </w:rPr>
              <w:t xml:space="preserve">   </w:t>
            </w:r>
            <w:r w:rsidRPr="00B42566">
              <w:rPr>
                <w:szCs w:val="20"/>
              </w:rPr>
              <w:t>MIPS</w:t>
            </w:r>
            <w:r w:rsidRPr="00E2340E">
              <w:rPr>
                <w:szCs w:val="20"/>
              </w:rPr>
              <w:t xml:space="preserve"> eligible clinician</w:t>
            </w:r>
            <w:r>
              <w:rPr>
                <w:szCs w:val="20"/>
              </w:rPr>
              <w:t>s</w:t>
            </w:r>
            <w:r w:rsidRPr="00B42566">
              <w:rPr>
                <w:szCs w:val="20"/>
              </w:rPr>
              <w:t xml:space="preserve"> and groups will have to select their measures from either the list of all MIPS Measures in Table A or a set of specialty specific measures in Table E</w:t>
            </w:r>
            <w:r>
              <w:rPr>
                <w:szCs w:val="20"/>
              </w:rPr>
              <w:t>.</w:t>
            </w:r>
          </w:p>
          <w:p w14:paraId="184B35EF" w14:textId="77777777" w:rsidR="00BA132D" w:rsidRPr="00B52757" w:rsidRDefault="00BA132D" w:rsidP="00740F98">
            <w:pPr>
              <w:rPr>
                <w:szCs w:val="20"/>
              </w:rPr>
            </w:pPr>
          </w:p>
        </w:tc>
        <w:tc>
          <w:tcPr>
            <w:tcW w:w="1861" w:type="dxa"/>
          </w:tcPr>
          <w:p w14:paraId="1860BF75" w14:textId="77777777" w:rsidR="00BA132D" w:rsidRPr="00B52757" w:rsidRDefault="00BA132D" w:rsidP="00EA1F22">
            <w:pPr>
              <w:rPr>
                <w:szCs w:val="20"/>
              </w:rPr>
            </w:pPr>
            <w:r w:rsidRPr="00B52757">
              <w:rPr>
                <w:szCs w:val="20"/>
              </w:rPr>
              <w:t xml:space="preserve">90 percent of </w:t>
            </w:r>
            <w:r>
              <w:rPr>
                <w:szCs w:val="20"/>
              </w:rPr>
              <w:t xml:space="preserve">MIPS </w:t>
            </w:r>
            <w:r w:rsidRPr="00E2340E">
              <w:rPr>
                <w:szCs w:val="20"/>
              </w:rPr>
              <w:t>eligible clinician</w:t>
            </w:r>
            <w:r>
              <w:rPr>
                <w:szCs w:val="20"/>
              </w:rPr>
              <w:t>’s</w:t>
            </w:r>
            <w:r w:rsidRPr="00B52757">
              <w:rPr>
                <w:szCs w:val="20"/>
              </w:rPr>
              <w:t xml:space="preserve"> or </w:t>
            </w:r>
            <w:r>
              <w:rPr>
                <w:szCs w:val="20"/>
              </w:rPr>
              <w:t>group</w:t>
            </w:r>
            <w:r w:rsidRPr="00B52757">
              <w:rPr>
                <w:szCs w:val="20"/>
              </w:rPr>
              <w:t>s patients</w:t>
            </w:r>
          </w:p>
        </w:tc>
      </w:tr>
      <w:tr w:rsidR="00BA132D" w:rsidRPr="00B52757" w14:paraId="537C6FB8" w14:textId="77777777" w:rsidTr="00B618D0">
        <w:tc>
          <w:tcPr>
            <w:tcW w:w="1435" w:type="dxa"/>
          </w:tcPr>
          <w:p w14:paraId="07780BDD" w14:textId="77777777" w:rsidR="00BA132D" w:rsidRPr="00B52757" w:rsidRDefault="00BA132D" w:rsidP="00B618D0">
            <w:pPr>
              <w:rPr>
                <w:szCs w:val="20"/>
              </w:rPr>
            </w:pPr>
            <w:r w:rsidRPr="00B52757">
              <w:rPr>
                <w:szCs w:val="20"/>
              </w:rPr>
              <w:t>Jan 1 – Dec 31</w:t>
            </w:r>
          </w:p>
        </w:tc>
        <w:tc>
          <w:tcPr>
            <w:tcW w:w="1530" w:type="dxa"/>
          </w:tcPr>
          <w:p w14:paraId="236BCE4A" w14:textId="36FD9677" w:rsidR="00BA132D" w:rsidRPr="00B52757" w:rsidRDefault="00BA132D" w:rsidP="00B618D0">
            <w:pPr>
              <w:rPr>
                <w:szCs w:val="20"/>
              </w:rPr>
            </w:pPr>
            <w:r w:rsidRPr="002851F3">
              <w:rPr>
                <w:szCs w:val="20"/>
              </w:rPr>
              <w:t>Groups of 25 or more eligible clinicians</w:t>
            </w:r>
          </w:p>
        </w:tc>
        <w:tc>
          <w:tcPr>
            <w:tcW w:w="1440" w:type="dxa"/>
          </w:tcPr>
          <w:p w14:paraId="79D5BEC7" w14:textId="77777777" w:rsidR="00BA132D" w:rsidRDefault="00BA132D" w:rsidP="00B618D0">
            <w:pPr>
              <w:rPr>
                <w:szCs w:val="20"/>
              </w:rPr>
            </w:pPr>
            <w:r>
              <w:rPr>
                <w:szCs w:val="20"/>
              </w:rPr>
              <w:t>CMS Web Interface</w:t>
            </w:r>
          </w:p>
        </w:tc>
        <w:tc>
          <w:tcPr>
            <w:tcW w:w="3228" w:type="dxa"/>
          </w:tcPr>
          <w:p w14:paraId="1804C697" w14:textId="77777777" w:rsidR="00BA132D" w:rsidRDefault="00BA132D" w:rsidP="00B618D0">
            <w:pPr>
              <w:rPr>
                <w:szCs w:val="20"/>
              </w:rPr>
            </w:pPr>
            <w:r w:rsidRPr="00B52757">
              <w:rPr>
                <w:szCs w:val="20"/>
              </w:rPr>
              <w:t xml:space="preserve">Report on all measures included in the CMS Web Interface; AND populate data fields for the first 248 consecutively ranked and assigned Medicare beneficiaries in the order in which they appear in the group’s sample for each </w:t>
            </w:r>
            <w:r>
              <w:rPr>
                <w:szCs w:val="20"/>
              </w:rPr>
              <w:t>module/</w:t>
            </w:r>
            <w:r w:rsidRPr="00B52757">
              <w:rPr>
                <w:szCs w:val="20"/>
              </w:rPr>
              <w:t xml:space="preserve">measure.  If the pool of eligible assigned beneficiaries is less than 248, then the group would report on 100 percent of assigned beneficiaries.  </w:t>
            </w:r>
          </w:p>
        </w:tc>
        <w:tc>
          <w:tcPr>
            <w:tcW w:w="1861" w:type="dxa"/>
          </w:tcPr>
          <w:p w14:paraId="0A4350B9" w14:textId="77777777" w:rsidR="00BA132D" w:rsidRPr="00B52757" w:rsidRDefault="00BA132D" w:rsidP="00B618D0">
            <w:pPr>
              <w:rPr>
                <w:szCs w:val="20"/>
              </w:rPr>
            </w:pPr>
            <w:r w:rsidRPr="00B52757">
              <w:rPr>
                <w:szCs w:val="20"/>
              </w:rPr>
              <w:t>Sampling requirements for their Medicare Part B patients</w:t>
            </w:r>
          </w:p>
        </w:tc>
      </w:tr>
    </w:tbl>
    <w:p w14:paraId="14FC421D" w14:textId="07A7E282" w:rsidR="00BA132D" w:rsidRDefault="00BA132D"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7B579A9D" w14:textId="77777777" w:rsidR="004876BA" w:rsidRPr="003863FA" w:rsidRDefault="004876BA"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 xml:space="preserve">QCDR or Qualified Registry Self-nomination </w:t>
      </w:r>
    </w:p>
    <w:p w14:paraId="6AD37E1B" w14:textId="0A91BAE1" w:rsidR="004876BA" w:rsidRDefault="004876BA"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sidRPr="00EA1F22">
        <w:rPr>
          <w:sz w:val="24"/>
        </w:rPr>
        <w:tab/>
      </w:r>
      <w:r w:rsidR="00CD71C8">
        <w:rPr>
          <w:sz w:val="24"/>
        </w:rPr>
        <w:t xml:space="preserve">We do not anticipate using sampling for the web-based submission of the QCDR and qualified registry self-nomination form. One representative from each QCDR or qualified registry will submit the form. </w:t>
      </w:r>
    </w:p>
    <w:p w14:paraId="4EA937D8" w14:textId="77777777" w:rsidR="004876BA" w:rsidRDefault="004876BA"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609A6CB8" w14:textId="77777777" w:rsidR="001213B0" w:rsidRPr="001213B0" w:rsidRDefault="001213B0" w:rsidP="00B618D0">
      <w:pPr>
        <w:pStyle w:val="NoSpacing"/>
        <w:spacing w:line="276" w:lineRule="auto"/>
        <w:rPr>
          <w:rFonts w:ascii="Times New Roman" w:hAnsi="Times New Roman"/>
          <w:sz w:val="24"/>
          <w:u w:val="single"/>
        </w:rPr>
      </w:pPr>
      <w:r w:rsidRPr="001213B0">
        <w:rPr>
          <w:rFonts w:ascii="Times New Roman" w:hAnsi="Times New Roman"/>
          <w:sz w:val="24"/>
          <w:u w:val="single"/>
        </w:rPr>
        <w:t>MIPS Data Validation Survey</w:t>
      </w:r>
    </w:p>
    <w:p w14:paraId="40F99A05" w14:textId="06748563" w:rsidR="00326A9E" w:rsidRDefault="00C67AD3" w:rsidP="00B618D0">
      <w:pPr>
        <w:pStyle w:val="NoSpacing"/>
        <w:spacing w:line="276" w:lineRule="auto"/>
        <w:ind w:firstLine="720"/>
        <w:rPr>
          <w:rFonts w:ascii="Times New Roman" w:hAnsi="Times New Roman"/>
          <w:sz w:val="24"/>
          <w:szCs w:val="24"/>
        </w:rPr>
      </w:pPr>
      <w:r>
        <w:rPr>
          <w:rFonts w:ascii="Times New Roman" w:hAnsi="Times New Roman"/>
          <w:sz w:val="24"/>
          <w:szCs w:val="24"/>
        </w:rPr>
        <w:lastRenderedPageBreak/>
        <w:t xml:space="preserve">The MIPS </w:t>
      </w:r>
      <w:r w:rsidR="00A47B5F">
        <w:rPr>
          <w:rFonts w:ascii="Times New Roman" w:hAnsi="Times New Roman"/>
          <w:sz w:val="24"/>
          <w:szCs w:val="24"/>
        </w:rPr>
        <w:t>d</w:t>
      </w:r>
      <w:r>
        <w:rPr>
          <w:rFonts w:ascii="Times New Roman" w:hAnsi="Times New Roman"/>
          <w:sz w:val="24"/>
          <w:szCs w:val="24"/>
        </w:rPr>
        <w:t xml:space="preserve">ata </w:t>
      </w:r>
      <w:r w:rsidR="00A47B5F">
        <w:rPr>
          <w:rFonts w:ascii="Times New Roman" w:hAnsi="Times New Roman"/>
          <w:sz w:val="24"/>
          <w:szCs w:val="24"/>
        </w:rPr>
        <w:t>v</w:t>
      </w:r>
      <w:r>
        <w:rPr>
          <w:rFonts w:ascii="Times New Roman" w:hAnsi="Times New Roman"/>
          <w:sz w:val="24"/>
          <w:szCs w:val="24"/>
        </w:rPr>
        <w:t xml:space="preserve">alidation </w:t>
      </w:r>
      <w:r w:rsidR="00A47B5F">
        <w:rPr>
          <w:rFonts w:ascii="Times New Roman" w:hAnsi="Times New Roman"/>
          <w:sz w:val="24"/>
          <w:szCs w:val="24"/>
        </w:rPr>
        <w:t>s</w:t>
      </w:r>
      <w:r>
        <w:rPr>
          <w:rFonts w:ascii="Times New Roman" w:hAnsi="Times New Roman"/>
          <w:sz w:val="24"/>
          <w:szCs w:val="24"/>
        </w:rPr>
        <w:t xml:space="preserve">urvey will build on the PQRS </w:t>
      </w:r>
      <w:r w:rsidR="00A47B5F">
        <w:rPr>
          <w:rFonts w:ascii="Times New Roman" w:hAnsi="Times New Roman"/>
          <w:sz w:val="24"/>
          <w:szCs w:val="24"/>
        </w:rPr>
        <w:t>d</w:t>
      </w:r>
      <w:r>
        <w:rPr>
          <w:rFonts w:ascii="Times New Roman" w:hAnsi="Times New Roman"/>
          <w:sz w:val="24"/>
          <w:szCs w:val="24"/>
        </w:rPr>
        <w:t xml:space="preserve">ata </w:t>
      </w:r>
      <w:r w:rsidR="00A47B5F">
        <w:rPr>
          <w:rFonts w:ascii="Times New Roman" w:hAnsi="Times New Roman"/>
          <w:sz w:val="24"/>
          <w:szCs w:val="24"/>
        </w:rPr>
        <w:t>v</w:t>
      </w:r>
      <w:r>
        <w:rPr>
          <w:rFonts w:ascii="Times New Roman" w:hAnsi="Times New Roman"/>
          <w:sz w:val="24"/>
          <w:szCs w:val="24"/>
        </w:rPr>
        <w:t xml:space="preserve">alidation </w:t>
      </w:r>
      <w:r w:rsidR="00A47B5F">
        <w:rPr>
          <w:rFonts w:ascii="Times New Roman" w:hAnsi="Times New Roman"/>
          <w:sz w:val="24"/>
          <w:szCs w:val="24"/>
        </w:rPr>
        <w:t>s</w:t>
      </w:r>
      <w:r>
        <w:rPr>
          <w:rFonts w:ascii="Times New Roman" w:hAnsi="Times New Roman"/>
          <w:sz w:val="24"/>
          <w:szCs w:val="24"/>
        </w:rPr>
        <w:t xml:space="preserve">urvey. Details on the methodology on the PQRS </w:t>
      </w:r>
      <w:r w:rsidR="00A47B5F">
        <w:rPr>
          <w:rFonts w:ascii="Times New Roman" w:hAnsi="Times New Roman"/>
          <w:sz w:val="24"/>
          <w:szCs w:val="24"/>
        </w:rPr>
        <w:t>d</w:t>
      </w:r>
      <w:r>
        <w:rPr>
          <w:rFonts w:ascii="Times New Roman" w:hAnsi="Times New Roman"/>
          <w:sz w:val="24"/>
          <w:szCs w:val="24"/>
        </w:rPr>
        <w:t xml:space="preserve">ata </w:t>
      </w:r>
      <w:r w:rsidR="00A47B5F">
        <w:rPr>
          <w:rFonts w:ascii="Times New Roman" w:hAnsi="Times New Roman"/>
          <w:sz w:val="24"/>
          <w:szCs w:val="24"/>
        </w:rPr>
        <w:t>v</w:t>
      </w:r>
      <w:r>
        <w:rPr>
          <w:rFonts w:ascii="Times New Roman" w:hAnsi="Times New Roman"/>
          <w:sz w:val="24"/>
          <w:szCs w:val="24"/>
        </w:rPr>
        <w:t xml:space="preserve">alidation </w:t>
      </w:r>
      <w:r w:rsidR="00A47B5F">
        <w:rPr>
          <w:rFonts w:ascii="Times New Roman" w:hAnsi="Times New Roman"/>
          <w:sz w:val="24"/>
          <w:szCs w:val="24"/>
        </w:rPr>
        <w:t>s</w:t>
      </w:r>
      <w:r>
        <w:rPr>
          <w:rFonts w:ascii="Times New Roman" w:hAnsi="Times New Roman"/>
          <w:sz w:val="24"/>
          <w:szCs w:val="24"/>
        </w:rPr>
        <w:t xml:space="preserve">urvey are provided </w:t>
      </w:r>
      <w:r w:rsidR="001F357D">
        <w:rPr>
          <w:rFonts w:ascii="Times New Roman" w:hAnsi="Times New Roman"/>
          <w:sz w:val="24"/>
          <w:szCs w:val="24"/>
        </w:rPr>
        <w:t>as follows</w:t>
      </w:r>
      <w:r>
        <w:rPr>
          <w:rFonts w:ascii="Times New Roman" w:hAnsi="Times New Roman"/>
          <w:sz w:val="24"/>
          <w:szCs w:val="24"/>
        </w:rPr>
        <w:t xml:space="preserve">. </w:t>
      </w:r>
      <w:r w:rsidR="00DA3030" w:rsidRPr="001213B0">
        <w:rPr>
          <w:rFonts w:ascii="Times New Roman" w:hAnsi="Times New Roman"/>
          <w:sz w:val="24"/>
          <w:szCs w:val="24"/>
        </w:rPr>
        <w:t xml:space="preserve">The methodology begins with the Measures Analytics Phase. During this phase, the </w:t>
      </w:r>
      <w:r w:rsidR="0007643E">
        <w:rPr>
          <w:rFonts w:ascii="Times New Roman" w:hAnsi="Times New Roman"/>
          <w:sz w:val="24"/>
          <w:szCs w:val="24"/>
        </w:rPr>
        <w:t xml:space="preserve">data validation contractor </w:t>
      </w:r>
      <w:r w:rsidR="00DA3030" w:rsidRPr="001213B0">
        <w:rPr>
          <w:rFonts w:ascii="Times New Roman" w:hAnsi="Times New Roman"/>
          <w:sz w:val="24"/>
          <w:szCs w:val="24"/>
        </w:rPr>
        <w:t xml:space="preserve">conducts detailed literature reviews, environmental scans, and analyses, such as comparison of results against national benchmarks and year-to-year comparisons, to assess the validity of submitted </w:t>
      </w:r>
      <w:r w:rsidR="002F274B" w:rsidRPr="001213B0">
        <w:rPr>
          <w:rFonts w:ascii="Times New Roman" w:hAnsi="Times New Roman"/>
          <w:sz w:val="24"/>
          <w:szCs w:val="24"/>
        </w:rPr>
        <w:t>quality</w:t>
      </w:r>
      <w:r w:rsidR="00DA3030" w:rsidRPr="001213B0">
        <w:rPr>
          <w:rFonts w:ascii="Times New Roman" w:hAnsi="Times New Roman"/>
          <w:sz w:val="24"/>
          <w:szCs w:val="24"/>
        </w:rPr>
        <w:t xml:space="preserve"> results at various levels of granularity. Where feasible, the analyses performed during the Measure Indicator Analysis phase are completed for each of the applicable </w:t>
      </w:r>
      <w:r w:rsidR="006F1BC4">
        <w:rPr>
          <w:rFonts w:ascii="Times New Roman" w:hAnsi="Times New Roman"/>
          <w:sz w:val="24"/>
          <w:szCs w:val="24"/>
        </w:rPr>
        <w:t xml:space="preserve">submission </w:t>
      </w:r>
      <w:r w:rsidR="00DA3030" w:rsidRPr="001213B0">
        <w:rPr>
          <w:rFonts w:ascii="Times New Roman" w:hAnsi="Times New Roman"/>
          <w:sz w:val="24"/>
          <w:szCs w:val="24"/>
        </w:rPr>
        <w:t xml:space="preserve">options. The outcomes of these analyses define the business rules for measure submission and validation that are incorporated into rule sets during the Data Analytics phase. Where feasible, the </w:t>
      </w:r>
      <w:r w:rsidR="0007643E">
        <w:rPr>
          <w:rFonts w:ascii="Times New Roman" w:hAnsi="Times New Roman"/>
          <w:sz w:val="24"/>
          <w:szCs w:val="24"/>
        </w:rPr>
        <w:t xml:space="preserve">contractor </w:t>
      </w:r>
      <w:r w:rsidR="00DA3030" w:rsidRPr="001213B0">
        <w:rPr>
          <w:rFonts w:ascii="Times New Roman" w:hAnsi="Times New Roman"/>
          <w:sz w:val="24"/>
          <w:szCs w:val="24"/>
        </w:rPr>
        <w:t xml:space="preserve">re-uses the rules developed in previous option years by applying required updates or changes. </w:t>
      </w:r>
    </w:p>
    <w:p w14:paraId="1835343A" w14:textId="48A05BAA" w:rsidR="00326A9E" w:rsidRDefault="00DA3030"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During the Data Analytics Phase, the </w:t>
      </w:r>
      <w:r w:rsidR="0007643E">
        <w:rPr>
          <w:rFonts w:ascii="Times New Roman" w:hAnsi="Times New Roman"/>
          <w:sz w:val="24"/>
          <w:szCs w:val="24"/>
        </w:rPr>
        <w:t>data validation contractor</w:t>
      </w:r>
      <w:r w:rsidRPr="001213B0">
        <w:rPr>
          <w:rFonts w:ascii="Times New Roman" w:hAnsi="Times New Roman"/>
          <w:sz w:val="24"/>
          <w:szCs w:val="24"/>
        </w:rPr>
        <w:t xml:space="preserve"> applies the rules to the data, via the Cross Industry Standard Process for Data Mining (CRISP-DM) process to derive the samples for the Electronic Survey (Survey). The CRISP-DM process, </w:t>
      </w:r>
      <w:r w:rsidRPr="001213B0">
        <w:rPr>
          <w:rFonts w:ascii="Times New Roman" w:hAnsi="Times New Roman"/>
          <w:sz w:val="24"/>
          <w:szCs w:val="24"/>
        </w:rPr>
        <w:lastRenderedPageBreak/>
        <w:t xml:space="preserve">which is the most widely adopted data mining life cycle model, uses discrete phases to increase data understanding, and in turn, increase the precision of the analytics that are applied during each subsequent phase. By following the CRISP-DM life cycle model, the </w:t>
      </w:r>
      <w:r w:rsidR="0007643E">
        <w:rPr>
          <w:rFonts w:ascii="Times New Roman" w:hAnsi="Times New Roman"/>
          <w:sz w:val="24"/>
          <w:szCs w:val="24"/>
        </w:rPr>
        <w:t xml:space="preserve">contractor </w:t>
      </w:r>
      <w:r w:rsidRPr="001213B0">
        <w:rPr>
          <w:rFonts w:ascii="Times New Roman" w:hAnsi="Times New Roman"/>
          <w:sz w:val="24"/>
          <w:szCs w:val="24"/>
        </w:rPr>
        <w:t xml:space="preserve">ensures that a robust process is used to look at the data from many angles to detect and </w:t>
      </w:r>
      <w:r w:rsidR="00C540A3">
        <w:rPr>
          <w:rFonts w:ascii="Times New Roman" w:hAnsi="Times New Roman"/>
          <w:sz w:val="24"/>
          <w:szCs w:val="24"/>
        </w:rPr>
        <w:t>submit data</w:t>
      </w:r>
      <w:r w:rsidRPr="001213B0">
        <w:rPr>
          <w:rFonts w:ascii="Times New Roman" w:hAnsi="Times New Roman"/>
          <w:sz w:val="24"/>
          <w:szCs w:val="24"/>
        </w:rPr>
        <w:t xml:space="preserve"> inaccuracies. During this process, the </w:t>
      </w:r>
      <w:r w:rsidR="00171E3D">
        <w:rPr>
          <w:rFonts w:ascii="Times New Roman" w:hAnsi="Times New Roman"/>
          <w:sz w:val="24"/>
          <w:szCs w:val="24"/>
        </w:rPr>
        <w:t xml:space="preserve">groups </w:t>
      </w:r>
      <w:r w:rsidRPr="001213B0">
        <w:rPr>
          <w:rFonts w:ascii="Times New Roman" w:hAnsi="Times New Roman"/>
          <w:sz w:val="24"/>
          <w:szCs w:val="24"/>
        </w:rPr>
        <w:t xml:space="preserve">and </w:t>
      </w:r>
      <w:r w:rsidR="00C540A3">
        <w:rPr>
          <w:rFonts w:ascii="Times New Roman" w:hAnsi="Times New Roman"/>
          <w:sz w:val="24"/>
          <w:szCs w:val="24"/>
        </w:rPr>
        <w:t>MIPS eligible clinician</w:t>
      </w:r>
      <w:r w:rsidR="00171E3D">
        <w:rPr>
          <w:rFonts w:ascii="Times New Roman" w:hAnsi="Times New Roman"/>
          <w:sz w:val="24"/>
          <w:szCs w:val="24"/>
        </w:rPr>
        <w:t xml:space="preserve">s </w:t>
      </w:r>
      <w:r w:rsidRPr="001213B0">
        <w:rPr>
          <w:rFonts w:ascii="Times New Roman" w:hAnsi="Times New Roman"/>
          <w:sz w:val="24"/>
          <w:szCs w:val="24"/>
        </w:rPr>
        <w:t xml:space="preserve">are “scored” based on how many rules they did or did not violate. </w:t>
      </w:r>
    </w:p>
    <w:p w14:paraId="16DC2F9B" w14:textId="04BA7A04" w:rsidR="00DA3030" w:rsidRPr="001213B0" w:rsidRDefault="00DA3030"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The phases in the CRISP-DM process are shown in</w:t>
      </w:r>
      <w:r w:rsidR="00FD30D5">
        <w:rPr>
          <w:rFonts w:ascii="Times New Roman" w:hAnsi="Times New Roman"/>
          <w:sz w:val="24"/>
          <w:szCs w:val="24"/>
        </w:rPr>
        <w:t xml:space="preserve"> Table 1</w:t>
      </w:r>
      <w:r w:rsidRPr="001213B0">
        <w:rPr>
          <w:rFonts w:ascii="Times New Roman" w:hAnsi="Times New Roman"/>
          <w:sz w:val="24"/>
          <w:szCs w:val="24"/>
        </w:rPr>
        <w:t xml:space="preserve"> below.</w:t>
      </w:r>
    </w:p>
    <w:p w14:paraId="58CBAA37" w14:textId="77777777" w:rsidR="00C0100C" w:rsidRDefault="00C0100C" w:rsidP="00B618D0">
      <w:pPr>
        <w:widowControl/>
        <w:autoSpaceDE/>
        <w:autoSpaceDN/>
        <w:adjustRightInd/>
        <w:spacing w:line="276" w:lineRule="auto"/>
        <w:rPr>
          <w:b/>
          <w:bCs/>
          <w:sz w:val="24"/>
        </w:rPr>
      </w:pPr>
      <w:bookmarkStart w:id="2" w:name="_Ref408572166"/>
      <w:r>
        <w:rPr>
          <w:sz w:val="24"/>
        </w:rPr>
        <w:br w:type="page"/>
      </w:r>
    </w:p>
    <w:p w14:paraId="4552F94F" w14:textId="4F17A2C1" w:rsidR="00DA3030" w:rsidRPr="00260BC6" w:rsidRDefault="00DA3030" w:rsidP="00B618D0">
      <w:pPr>
        <w:pStyle w:val="Caption"/>
        <w:spacing w:line="276" w:lineRule="auto"/>
        <w:rPr>
          <w:sz w:val="24"/>
          <w:szCs w:val="24"/>
        </w:rPr>
      </w:pPr>
      <w:r w:rsidRPr="00260BC6">
        <w:rPr>
          <w:sz w:val="24"/>
          <w:szCs w:val="24"/>
        </w:rPr>
        <w:lastRenderedPageBreak/>
        <w:t xml:space="preserve">Table </w:t>
      </w:r>
      <w:r w:rsidR="00BD26BE" w:rsidRPr="00260BC6">
        <w:rPr>
          <w:sz w:val="24"/>
          <w:szCs w:val="24"/>
        </w:rPr>
        <w:t>1</w:t>
      </w:r>
      <w:r w:rsidRPr="00260BC6">
        <w:rPr>
          <w:sz w:val="24"/>
          <w:szCs w:val="24"/>
        </w:rPr>
        <w:t>: CRISP-DM Process</w:t>
      </w:r>
      <w:bookmarkEnd w:id="2"/>
    </w:p>
    <w:tbl>
      <w:tblPr>
        <w:tblStyle w:val="LightList"/>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RISP-DM "/>
        <w:tblDescription w:val="This table details the CRISP-DM phases and description of the analytic process methodology."/>
      </w:tblPr>
      <w:tblGrid>
        <w:gridCol w:w="445"/>
        <w:gridCol w:w="2339"/>
        <w:gridCol w:w="6604"/>
      </w:tblGrid>
      <w:tr w:rsidR="00DA3030" w:rsidRPr="00424762" w14:paraId="115EB4AA" w14:textId="77777777" w:rsidTr="00326A9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 w:type="pct"/>
            <w:shd w:val="clear" w:color="auto" w:fill="365F91" w:themeFill="accent1" w:themeFillShade="BF"/>
          </w:tcPr>
          <w:p w14:paraId="1B332491" w14:textId="77777777" w:rsidR="00DA3030" w:rsidRPr="00424762" w:rsidRDefault="00DA3030" w:rsidP="00B618D0">
            <w:pPr>
              <w:pStyle w:val="TableHeader"/>
              <w:spacing w:line="276" w:lineRule="auto"/>
              <w:rPr>
                <w:rFonts w:ascii="Times New Roman" w:hAnsi="Times New Roman"/>
                <w:sz w:val="24"/>
                <w:szCs w:val="24"/>
              </w:rPr>
            </w:pPr>
            <w:r w:rsidRPr="00424762">
              <w:rPr>
                <w:rFonts w:ascii="Times New Roman" w:hAnsi="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1246" w:type="pct"/>
            <w:tcBorders>
              <w:top w:val="none" w:sz="0" w:space="0" w:color="auto"/>
              <w:left w:val="none" w:sz="0" w:space="0" w:color="auto"/>
              <w:right w:val="none" w:sz="0" w:space="0" w:color="auto"/>
            </w:tcBorders>
            <w:shd w:val="clear" w:color="auto" w:fill="365F91" w:themeFill="accent1" w:themeFillShade="BF"/>
          </w:tcPr>
          <w:p w14:paraId="140E927D" w14:textId="77777777" w:rsidR="00DA3030" w:rsidRPr="00424762" w:rsidRDefault="00DA3030" w:rsidP="00B618D0">
            <w:pPr>
              <w:pStyle w:val="TableHeader"/>
              <w:spacing w:line="276" w:lineRule="auto"/>
              <w:rPr>
                <w:rFonts w:ascii="Times New Roman" w:hAnsi="Times New Roman"/>
                <w:b/>
                <w:sz w:val="24"/>
                <w:szCs w:val="24"/>
              </w:rPr>
            </w:pPr>
            <w:r w:rsidRPr="00424762">
              <w:rPr>
                <w:rFonts w:ascii="Times New Roman" w:hAnsi="Times New Roman"/>
                <w:b/>
                <w:sz w:val="24"/>
                <w:szCs w:val="24"/>
              </w:rPr>
              <w:t>CRISP-DM Phases</w:t>
            </w:r>
          </w:p>
        </w:tc>
        <w:tc>
          <w:tcPr>
            <w:cnfStyle w:val="000100000000" w:firstRow="0" w:lastRow="0" w:firstColumn="0" w:lastColumn="1" w:oddVBand="0" w:evenVBand="0" w:oddHBand="0" w:evenHBand="0" w:firstRowFirstColumn="0" w:firstRowLastColumn="0" w:lastRowFirstColumn="0" w:lastRowLastColumn="0"/>
            <w:tcW w:w="3517" w:type="pct"/>
            <w:shd w:val="clear" w:color="auto" w:fill="365F91" w:themeFill="accent1" w:themeFillShade="BF"/>
          </w:tcPr>
          <w:p w14:paraId="0E1687A6" w14:textId="77777777" w:rsidR="00DA3030" w:rsidRPr="00424762" w:rsidRDefault="00DA3030" w:rsidP="00B618D0">
            <w:pPr>
              <w:pStyle w:val="TableHeader"/>
              <w:spacing w:line="276" w:lineRule="auto"/>
              <w:rPr>
                <w:rFonts w:ascii="Times New Roman" w:hAnsi="Times New Roman"/>
                <w:b/>
                <w:sz w:val="24"/>
                <w:szCs w:val="24"/>
              </w:rPr>
            </w:pPr>
            <w:r w:rsidRPr="00424762">
              <w:rPr>
                <w:rFonts w:ascii="Times New Roman" w:hAnsi="Times New Roman"/>
                <w:b/>
                <w:sz w:val="24"/>
                <w:szCs w:val="24"/>
              </w:rPr>
              <w:t>Description</w:t>
            </w:r>
          </w:p>
        </w:tc>
      </w:tr>
      <w:tr w:rsidR="00DA3030" w:rsidRPr="00424762" w14:paraId="6CEEEFAB" w14:textId="77777777" w:rsidTr="00326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 w:type="pct"/>
            <w:tcBorders>
              <w:top w:val="none" w:sz="0" w:space="0" w:color="auto"/>
              <w:left w:val="none" w:sz="0" w:space="0" w:color="auto"/>
              <w:bottom w:val="none" w:sz="0" w:space="0" w:color="auto"/>
            </w:tcBorders>
          </w:tcPr>
          <w:p w14:paraId="79458A90" w14:textId="77777777" w:rsidR="00DA3030" w:rsidRPr="00424762" w:rsidRDefault="00DA3030" w:rsidP="00B618D0">
            <w:pPr>
              <w:pStyle w:val="TableText"/>
              <w:jc w:val="center"/>
              <w:rPr>
                <w:b w:val="0"/>
                <w:bCs w:val="0"/>
                <w:sz w:val="24"/>
                <w:szCs w:val="24"/>
              </w:rPr>
            </w:pPr>
            <w:r w:rsidRPr="00424762">
              <w:rPr>
                <w:b w:val="0"/>
                <w:sz w:val="24"/>
                <w:szCs w:val="24"/>
              </w:rPr>
              <w:t>1</w:t>
            </w:r>
          </w:p>
        </w:tc>
        <w:tc>
          <w:tcPr>
            <w:cnfStyle w:val="000010000000" w:firstRow="0" w:lastRow="0" w:firstColumn="0" w:lastColumn="0" w:oddVBand="1" w:evenVBand="0" w:oddHBand="0" w:evenHBand="0" w:firstRowFirstColumn="0" w:firstRowLastColumn="0" w:lastRowFirstColumn="0" w:lastRowLastColumn="0"/>
            <w:tcW w:w="1246" w:type="pct"/>
            <w:tcBorders>
              <w:top w:val="none" w:sz="0" w:space="0" w:color="auto"/>
              <w:left w:val="none" w:sz="0" w:space="0" w:color="auto"/>
              <w:bottom w:val="none" w:sz="0" w:space="0" w:color="auto"/>
              <w:right w:val="none" w:sz="0" w:space="0" w:color="auto"/>
            </w:tcBorders>
          </w:tcPr>
          <w:p w14:paraId="7BE1A7FA" w14:textId="77777777" w:rsidR="00DA3030" w:rsidRPr="00424762" w:rsidRDefault="00DA3030" w:rsidP="00B618D0">
            <w:pPr>
              <w:pStyle w:val="TableText"/>
              <w:rPr>
                <w:sz w:val="24"/>
                <w:szCs w:val="24"/>
              </w:rPr>
            </w:pPr>
            <w:r w:rsidRPr="00424762">
              <w:rPr>
                <w:sz w:val="24"/>
                <w:szCs w:val="24"/>
              </w:rPr>
              <w:t>Business Understanding</w:t>
            </w:r>
          </w:p>
        </w:tc>
        <w:tc>
          <w:tcPr>
            <w:cnfStyle w:val="000100000000" w:firstRow="0" w:lastRow="0" w:firstColumn="0" w:lastColumn="1" w:oddVBand="0" w:evenVBand="0" w:oddHBand="0" w:evenHBand="0" w:firstRowFirstColumn="0" w:firstRowLastColumn="0" w:lastRowFirstColumn="0" w:lastRowLastColumn="0"/>
            <w:tcW w:w="3517" w:type="pct"/>
            <w:tcBorders>
              <w:top w:val="none" w:sz="0" w:space="0" w:color="auto"/>
              <w:bottom w:val="none" w:sz="0" w:space="0" w:color="auto"/>
              <w:right w:val="none" w:sz="0" w:space="0" w:color="auto"/>
            </w:tcBorders>
          </w:tcPr>
          <w:p w14:paraId="1AF610CB" w14:textId="77777777" w:rsidR="00DA3030" w:rsidRPr="00424762" w:rsidRDefault="00DA3030" w:rsidP="00B618D0">
            <w:pPr>
              <w:pStyle w:val="TableText"/>
              <w:rPr>
                <w:b w:val="0"/>
                <w:bCs w:val="0"/>
                <w:sz w:val="24"/>
                <w:szCs w:val="24"/>
              </w:rPr>
            </w:pPr>
            <w:r w:rsidRPr="00424762">
              <w:rPr>
                <w:b w:val="0"/>
                <w:sz w:val="24"/>
                <w:szCs w:val="24"/>
              </w:rPr>
              <w:t>This initial phase focuses on understanding the project objectives and requirements from a business perspective, and then converting this knowledge into a data mining problem definition and a preliminary plan designed to achieve the objectives.</w:t>
            </w:r>
          </w:p>
        </w:tc>
      </w:tr>
      <w:tr w:rsidR="00DA3030" w:rsidRPr="00424762" w14:paraId="350A9799" w14:textId="77777777" w:rsidTr="00326A9E">
        <w:trPr>
          <w:cantSplit/>
        </w:trPr>
        <w:tc>
          <w:tcPr>
            <w:cnfStyle w:val="001000000000" w:firstRow="0" w:lastRow="0" w:firstColumn="1" w:lastColumn="0" w:oddVBand="0" w:evenVBand="0" w:oddHBand="0" w:evenHBand="0" w:firstRowFirstColumn="0" w:firstRowLastColumn="0" w:lastRowFirstColumn="0" w:lastRowLastColumn="0"/>
            <w:tcW w:w="237" w:type="pct"/>
          </w:tcPr>
          <w:p w14:paraId="256D6E9B" w14:textId="77777777" w:rsidR="00DA3030" w:rsidRPr="00424762" w:rsidRDefault="00DA3030" w:rsidP="00B618D0">
            <w:pPr>
              <w:pStyle w:val="TableText"/>
              <w:jc w:val="center"/>
              <w:rPr>
                <w:b w:val="0"/>
                <w:bCs w:val="0"/>
                <w:sz w:val="24"/>
                <w:szCs w:val="24"/>
              </w:rPr>
            </w:pPr>
            <w:r w:rsidRPr="00424762">
              <w:rPr>
                <w:b w:val="0"/>
                <w:sz w:val="24"/>
                <w:szCs w:val="24"/>
              </w:rPr>
              <w:t>2</w:t>
            </w:r>
          </w:p>
        </w:tc>
        <w:tc>
          <w:tcPr>
            <w:cnfStyle w:val="000010000000" w:firstRow="0" w:lastRow="0" w:firstColumn="0" w:lastColumn="0" w:oddVBand="1" w:evenVBand="0" w:oddHBand="0" w:evenHBand="0" w:firstRowFirstColumn="0" w:firstRowLastColumn="0" w:lastRowFirstColumn="0" w:lastRowLastColumn="0"/>
            <w:tcW w:w="1246" w:type="pct"/>
            <w:tcBorders>
              <w:left w:val="none" w:sz="0" w:space="0" w:color="auto"/>
              <w:right w:val="none" w:sz="0" w:space="0" w:color="auto"/>
            </w:tcBorders>
          </w:tcPr>
          <w:p w14:paraId="7238F0F8" w14:textId="77777777" w:rsidR="00DA3030" w:rsidRPr="00424762" w:rsidRDefault="00DA3030" w:rsidP="00B618D0">
            <w:pPr>
              <w:pStyle w:val="TableText"/>
              <w:rPr>
                <w:sz w:val="24"/>
                <w:szCs w:val="24"/>
              </w:rPr>
            </w:pPr>
            <w:r w:rsidRPr="00424762">
              <w:rPr>
                <w:sz w:val="24"/>
                <w:szCs w:val="24"/>
              </w:rPr>
              <w:t>Data Understanding</w:t>
            </w:r>
          </w:p>
        </w:tc>
        <w:tc>
          <w:tcPr>
            <w:cnfStyle w:val="000100000000" w:firstRow="0" w:lastRow="0" w:firstColumn="0" w:lastColumn="1" w:oddVBand="0" w:evenVBand="0" w:oddHBand="0" w:evenHBand="0" w:firstRowFirstColumn="0" w:firstRowLastColumn="0" w:lastRowFirstColumn="0" w:lastRowLastColumn="0"/>
            <w:tcW w:w="3517" w:type="pct"/>
          </w:tcPr>
          <w:p w14:paraId="0D8150EF" w14:textId="77777777" w:rsidR="00DA3030" w:rsidRPr="00424762" w:rsidRDefault="00DA3030" w:rsidP="00B618D0">
            <w:pPr>
              <w:pStyle w:val="TableText"/>
              <w:rPr>
                <w:b w:val="0"/>
                <w:bCs w:val="0"/>
                <w:color w:val="auto"/>
                <w:sz w:val="24"/>
                <w:szCs w:val="24"/>
              </w:rPr>
            </w:pPr>
            <w:r w:rsidRPr="00424762">
              <w:rPr>
                <w:b w:val="0"/>
                <w:color w:val="auto"/>
                <w:sz w:val="24"/>
                <w:szCs w:val="24"/>
              </w:rPr>
              <w:t>The data understanding phase starts with an initial data collection and proceeds with activities to get familiar with the data, to identify data quality problems, to discover first insights into the data, or to detect interesting subsets to form hypotheses for hidden information.</w:t>
            </w:r>
          </w:p>
        </w:tc>
      </w:tr>
      <w:tr w:rsidR="00DA3030" w:rsidRPr="00424762" w14:paraId="3B6A40AB" w14:textId="77777777" w:rsidTr="00326A9E">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37" w:type="pct"/>
            <w:tcBorders>
              <w:top w:val="none" w:sz="0" w:space="0" w:color="auto"/>
              <w:left w:val="none" w:sz="0" w:space="0" w:color="auto"/>
              <w:bottom w:val="none" w:sz="0" w:space="0" w:color="auto"/>
            </w:tcBorders>
          </w:tcPr>
          <w:p w14:paraId="726699F4" w14:textId="77777777" w:rsidR="00DA3030" w:rsidRPr="00424762" w:rsidRDefault="00DA3030" w:rsidP="00B618D0">
            <w:pPr>
              <w:pStyle w:val="TableText"/>
              <w:jc w:val="center"/>
              <w:rPr>
                <w:b w:val="0"/>
                <w:bCs w:val="0"/>
                <w:sz w:val="24"/>
                <w:szCs w:val="24"/>
              </w:rPr>
            </w:pPr>
            <w:r w:rsidRPr="00424762">
              <w:rPr>
                <w:b w:val="0"/>
                <w:sz w:val="24"/>
                <w:szCs w:val="24"/>
              </w:rPr>
              <w:t>3</w:t>
            </w:r>
          </w:p>
        </w:tc>
        <w:tc>
          <w:tcPr>
            <w:cnfStyle w:val="000010000000" w:firstRow="0" w:lastRow="0" w:firstColumn="0" w:lastColumn="0" w:oddVBand="1" w:evenVBand="0" w:oddHBand="0" w:evenHBand="0" w:firstRowFirstColumn="0" w:firstRowLastColumn="0" w:lastRowFirstColumn="0" w:lastRowLastColumn="0"/>
            <w:tcW w:w="1246" w:type="pct"/>
            <w:tcBorders>
              <w:top w:val="none" w:sz="0" w:space="0" w:color="auto"/>
              <w:left w:val="none" w:sz="0" w:space="0" w:color="auto"/>
              <w:bottom w:val="none" w:sz="0" w:space="0" w:color="auto"/>
              <w:right w:val="none" w:sz="0" w:space="0" w:color="auto"/>
            </w:tcBorders>
          </w:tcPr>
          <w:p w14:paraId="652D0985" w14:textId="77777777" w:rsidR="00DA3030" w:rsidRPr="00424762" w:rsidRDefault="00DA3030" w:rsidP="00B618D0">
            <w:pPr>
              <w:pStyle w:val="TableText"/>
              <w:rPr>
                <w:sz w:val="24"/>
                <w:szCs w:val="24"/>
              </w:rPr>
            </w:pPr>
            <w:r w:rsidRPr="00424762">
              <w:rPr>
                <w:sz w:val="24"/>
                <w:szCs w:val="24"/>
              </w:rPr>
              <w:t>Data Preparation</w:t>
            </w:r>
          </w:p>
        </w:tc>
        <w:tc>
          <w:tcPr>
            <w:cnfStyle w:val="000100000000" w:firstRow="0" w:lastRow="0" w:firstColumn="0" w:lastColumn="1" w:oddVBand="0" w:evenVBand="0" w:oddHBand="0" w:evenHBand="0" w:firstRowFirstColumn="0" w:firstRowLastColumn="0" w:lastRowFirstColumn="0" w:lastRowLastColumn="0"/>
            <w:tcW w:w="3517" w:type="pct"/>
            <w:tcBorders>
              <w:top w:val="none" w:sz="0" w:space="0" w:color="auto"/>
              <w:bottom w:val="none" w:sz="0" w:space="0" w:color="auto"/>
              <w:right w:val="none" w:sz="0" w:space="0" w:color="auto"/>
            </w:tcBorders>
          </w:tcPr>
          <w:p w14:paraId="0BD3121B" w14:textId="77777777" w:rsidR="00DA3030" w:rsidRPr="00424762" w:rsidRDefault="00DA3030" w:rsidP="00B618D0">
            <w:pPr>
              <w:pStyle w:val="TableText"/>
              <w:rPr>
                <w:b w:val="0"/>
                <w:bCs w:val="0"/>
                <w:color w:val="auto"/>
                <w:sz w:val="24"/>
                <w:szCs w:val="24"/>
              </w:rPr>
            </w:pPr>
            <w:r w:rsidRPr="00424762">
              <w:rPr>
                <w:b w:val="0"/>
                <w:color w:val="auto"/>
                <w:sz w:val="24"/>
                <w:szCs w:val="24"/>
              </w:rPr>
              <w:t>The data preparation phase covers all activities to construct the final dataset (data that will be fed into the modeling tools) from the initial raw data. Data preparation tasks are likely to be performed multiple times, and not in any prescribed order. Tasks include selecting tables, records, and attributes, as well as transforming and cleaning data for modeling tools.</w:t>
            </w:r>
          </w:p>
        </w:tc>
      </w:tr>
      <w:tr w:rsidR="00DA3030" w:rsidRPr="00424762" w14:paraId="10FB829B" w14:textId="77777777" w:rsidTr="00326A9E">
        <w:trPr>
          <w:cantSplit/>
          <w:trHeight w:val="750"/>
        </w:trPr>
        <w:tc>
          <w:tcPr>
            <w:cnfStyle w:val="001000000000" w:firstRow="0" w:lastRow="0" w:firstColumn="1" w:lastColumn="0" w:oddVBand="0" w:evenVBand="0" w:oddHBand="0" w:evenHBand="0" w:firstRowFirstColumn="0" w:firstRowLastColumn="0" w:lastRowFirstColumn="0" w:lastRowLastColumn="0"/>
            <w:tcW w:w="237" w:type="pct"/>
          </w:tcPr>
          <w:p w14:paraId="763FB610" w14:textId="77777777" w:rsidR="00DA3030" w:rsidRPr="00424762" w:rsidRDefault="00DA3030" w:rsidP="00B618D0">
            <w:pPr>
              <w:pStyle w:val="TableText"/>
              <w:jc w:val="center"/>
              <w:rPr>
                <w:b w:val="0"/>
                <w:bCs w:val="0"/>
                <w:sz w:val="24"/>
                <w:szCs w:val="24"/>
              </w:rPr>
            </w:pPr>
            <w:r w:rsidRPr="00424762">
              <w:rPr>
                <w:b w:val="0"/>
                <w:sz w:val="24"/>
                <w:szCs w:val="24"/>
              </w:rPr>
              <w:t>4</w:t>
            </w:r>
          </w:p>
        </w:tc>
        <w:tc>
          <w:tcPr>
            <w:cnfStyle w:val="000010000000" w:firstRow="0" w:lastRow="0" w:firstColumn="0" w:lastColumn="0" w:oddVBand="1" w:evenVBand="0" w:oddHBand="0" w:evenHBand="0" w:firstRowFirstColumn="0" w:firstRowLastColumn="0" w:lastRowFirstColumn="0" w:lastRowLastColumn="0"/>
            <w:tcW w:w="1246" w:type="pct"/>
            <w:tcBorders>
              <w:left w:val="none" w:sz="0" w:space="0" w:color="auto"/>
              <w:right w:val="none" w:sz="0" w:space="0" w:color="auto"/>
            </w:tcBorders>
          </w:tcPr>
          <w:p w14:paraId="05386AC5" w14:textId="77777777" w:rsidR="00DA3030" w:rsidRPr="00424762" w:rsidRDefault="00DA3030" w:rsidP="00B618D0">
            <w:pPr>
              <w:pStyle w:val="TableText"/>
              <w:rPr>
                <w:sz w:val="24"/>
                <w:szCs w:val="24"/>
              </w:rPr>
            </w:pPr>
            <w:r w:rsidRPr="00424762">
              <w:rPr>
                <w:sz w:val="24"/>
                <w:szCs w:val="24"/>
              </w:rPr>
              <w:t>Modeling</w:t>
            </w:r>
          </w:p>
        </w:tc>
        <w:tc>
          <w:tcPr>
            <w:cnfStyle w:val="000100000000" w:firstRow="0" w:lastRow="0" w:firstColumn="0" w:lastColumn="1" w:oddVBand="0" w:evenVBand="0" w:oddHBand="0" w:evenHBand="0" w:firstRowFirstColumn="0" w:firstRowLastColumn="0" w:lastRowFirstColumn="0" w:lastRowLastColumn="0"/>
            <w:tcW w:w="3517" w:type="pct"/>
          </w:tcPr>
          <w:p w14:paraId="6064AADB" w14:textId="77777777" w:rsidR="00DA3030" w:rsidRPr="00424762" w:rsidRDefault="00DA3030" w:rsidP="00B618D0">
            <w:pPr>
              <w:pStyle w:val="TableText"/>
              <w:rPr>
                <w:b w:val="0"/>
                <w:bCs w:val="0"/>
                <w:sz w:val="24"/>
                <w:szCs w:val="24"/>
              </w:rPr>
            </w:pPr>
            <w:r w:rsidRPr="00424762">
              <w:rPr>
                <w:b w:val="0"/>
                <w:sz w:val="24"/>
                <w:szCs w:val="24"/>
              </w:rPr>
              <w:t>In this phase, various modeling techniques are selected and applied, and their parameters are calibrated to optimal values. Typically, there are several techniques for the same data mining problem type. Some techniques have specific requirements based on the form of the data. Therefore, stepping back to the data preparation phase is often needed.</w:t>
            </w:r>
          </w:p>
        </w:tc>
      </w:tr>
      <w:tr w:rsidR="00DA3030" w:rsidRPr="00424762" w14:paraId="6A2ABE65" w14:textId="77777777" w:rsidTr="00326A9E">
        <w:trPr>
          <w:cnfStyle w:val="000000100000" w:firstRow="0" w:lastRow="0" w:firstColumn="0" w:lastColumn="0" w:oddVBand="0" w:evenVBand="0" w:oddHBand="1" w:evenHBand="0" w:firstRowFirstColumn="0" w:firstRowLastColumn="0" w:lastRowFirstColumn="0" w:lastRowLastColumn="0"/>
          <w:cantSplit/>
          <w:trHeight w:val="750"/>
        </w:trPr>
        <w:tc>
          <w:tcPr>
            <w:cnfStyle w:val="001000000000" w:firstRow="0" w:lastRow="0" w:firstColumn="1" w:lastColumn="0" w:oddVBand="0" w:evenVBand="0" w:oddHBand="0" w:evenHBand="0" w:firstRowFirstColumn="0" w:firstRowLastColumn="0" w:lastRowFirstColumn="0" w:lastRowLastColumn="0"/>
            <w:tcW w:w="237" w:type="pct"/>
            <w:tcBorders>
              <w:top w:val="none" w:sz="0" w:space="0" w:color="auto"/>
              <w:left w:val="none" w:sz="0" w:space="0" w:color="auto"/>
              <w:bottom w:val="none" w:sz="0" w:space="0" w:color="auto"/>
            </w:tcBorders>
          </w:tcPr>
          <w:p w14:paraId="1BCE2F21" w14:textId="77777777" w:rsidR="00DA3030" w:rsidRPr="00424762" w:rsidRDefault="00DA3030" w:rsidP="00B618D0">
            <w:pPr>
              <w:pStyle w:val="TableText"/>
              <w:jc w:val="center"/>
              <w:rPr>
                <w:b w:val="0"/>
                <w:bCs w:val="0"/>
                <w:sz w:val="24"/>
                <w:szCs w:val="24"/>
              </w:rPr>
            </w:pPr>
            <w:r w:rsidRPr="00424762">
              <w:rPr>
                <w:b w:val="0"/>
                <w:sz w:val="24"/>
                <w:szCs w:val="24"/>
              </w:rPr>
              <w:t>5</w:t>
            </w:r>
          </w:p>
        </w:tc>
        <w:tc>
          <w:tcPr>
            <w:cnfStyle w:val="000010000000" w:firstRow="0" w:lastRow="0" w:firstColumn="0" w:lastColumn="0" w:oddVBand="1" w:evenVBand="0" w:oddHBand="0" w:evenHBand="0" w:firstRowFirstColumn="0" w:firstRowLastColumn="0" w:lastRowFirstColumn="0" w:lastRowLastColumn="0"/>
            <w:tcW w:w="1246" w:type="pct"/>
            <w:tcBorders>
              <w:top w:val="none" w:sz="0" w:space="0" w:color="auto"/>
              <w:left w:val="none" w:sz="0" w:space="0" w:color="auto"/>
              <w:bottom w:val="none" w:sz="0" w:space="0" w:color="auto"/>
              <w:right w:val="none" w:sz="0" w:space="0" w:color="auto"/>
            </w:tcBorders>
          </w:tcPr>
          <w:p w14:paraId="4FF2CF04" w14:textId="77777777" w:rsidR="00DA3030" w:rsidRPr="00424762" w:rsidRDefault="00DA3030" w:rsidP="00B618D0">
            <w:pPr>
              <w:pStyle w:val="TableText"/>
              <w:rPr>
                <w:sz w:val="24"/>
                <w:szCs w:val="24"/>
              </w:rPr>
            </w:pPr>
            <w:r w:rsidRPr="00424762">
              <w:rPr>
                <w:sz w:val="24"/>
                <w:szCs w:val="24"/>
              </w:rPr>
              <w:t>Evaluation</w:t>
            </w:r>
          </w:p>
        </w:tc>
        <w:tc>
          <w:tcPr>
            <w:cnfStyle w:val="000100000000" w:firstRow="0" w:lastRow="0" w:firstColumn="0" w:lastColumn="1" w:oddVBand="0" w:evenVBand="0" w:oddHBand="0" w:evenHBand="0" w:firstRowFirstColumn="0" w:firstRowLastColumn="0" w:lastRowFirstColumn="0" w:lastRowLastColumn="0"/>
            <w:tcW w:w="3517" w:type="pct"/>
            <w:tcBorders>
              <w:top w:val="none" w:sz="0" w:space="0" w:color="auto"/>
              <w:bottom w:val="none" w:sz="0" w:space="0" w:color="auto"/>
              <w:right w:val="none" w:sz="0" w:space="0" w:color="auto"/>
            </w:tcBorders>
          </w:tcPr>
          <w:p w14:paraId="30FCB7FA" w14:textId="77777777" w:rsidR="00DA3030" w:rsidRPr="00424762" w:rsidRDefault="00DA3030" w:rsidP="00B618D0">
            <w:pPr>
              <w:pStyle w:val="TableText"/>
              <w:rPr>
                <w:b w:val="0"/>
                <w:bCs w:val="0"/>
                <w:sz w:val="24"/>
                <w:szCs w:val="24"/>
              </w:rPr>
            </w:pPr>
            <w:r w:rsidRPr="00424762">
              <w:rPr>
                <w:b w:val="0"/>
                <w:sz w:val="24"/>
                <w:szCs w:val="24"/>
              </w:rPr>
              <w:t>At this stage in the project, models are built that appear to have high quality from a data analysis perspective. Before proceeding to final deployment of the model, it is important to evaluate the model more thoroughly and review the steps executed to construct the model, to be certain it properly achieves the business objectives. A key objective is to determine if there is some important business issue that has not been sufficiently considered. At the end of this phase, a decision on the use of the data mining results should be reached.</w:t>
            </w:r>
          </w:p>
        </w:tc>
      </w:tr>
      <w:tr w:rsidR="00DA3030" w:rsidRPr="00424762" w14:paraId="11A0AA5D" w14:textId="77777777" w:rsidTr="00326A9E">
        <w:trPr>
          <w:cnfStyle w:val="010000000000" w:firstRow="0" w:lastRow="1" w:firstColumn="0" w:lastColumn="0" w:oddVBand="0" w:evenVBand="0" w:oddHBand="0" w:evenHBand="0" w:firstRowFirstColumn="0" w:firstRowLastColumn="0" w:lastRowFirstColumn="0" w:lastRowLastColumn="0"/>
          <w:cantSplit/>
          <w:trHeight w:val="780"/>
        </w:trPr>
        <w:tc>
          <w:tcPr>
            <w:cnfStyle w:val="001000000000" w:firstRow="0" w:lastRow="0" w:firstColumn="1" w:lastColumn="0" w:oddVBand="0" w:evenVBand="0" w:oddHBand="0" w:evenHBand="0" w:firstRowFirstColumn="0" w:firstRowLastColumn="0" w:lastRowFirstColumn="0" w:lastRowLastColumn="0"/>
            <w:tcW w:w="237" w:type="pct"/>
            <w:tcBorders>
              <w:top w:val="none" w:sz="0" w:space="0" w:color="auto"/>
              <w:left w:val="none" w:sz="0" w:space="0" w:color="auto"/>
              <w:bottom w:val="none" w:sz="0" w:space="0" w:color="auto"/>
            </w:tcBorders>
          </w:tcPr>
          <w:p w14:paraId="04D71AF6" w14:textId="77777777" w:rsidR="00DA3030" w:rsidRPr="00424762" w:rsidRDefault="00DA3030" w:rsidP="00B618D0">
            <w:pPr>
              <w:pStyle w:val="TableText"/>
              <w:jc w:val="center"/>
              <w:rPr>
                <w:b w:val="0"/>
                <w:bCs w:val="0"/>
                <w:sz w:val="24"/>
                <w:szCs w:val="24"/>
              </w:rPr>
            </w:pPr>
            <w:r w:rsidRPr="00424762">
              <w:rPr>
                <w:b w:val="0"/>
                <w:sz w:val="24"/>
                <w:szCs w:val="24"/>
              </w:rPr>
              <w:t>6</w:t>
            </w:r>
          </w:p>
        </w:tc>
        <w:tc>
          <w:tcPr>
            <w:cnfStyle w:val="000010000000" w:firstRow="0" w:lastRow="0" w:firstColumn="0" w:lastColumn="0" w:oddVBand="1" w:evenVBand="0" w:oddHBand="0" w:evenHBand="0" w:firstRowFirstColumn="0" w:firstRowLastColumn="0" w:lastRowFirstColumn="0" w:lastRowLastColumn="0"/>
            <w:tcW w:w="1246" w:type="pct"/>
            <w:tcBorders>
              <w:top w:val="none" w:sz="0" w:space="0" w:color="auto"/>
              <w:left w:val="none" w:sz="0" w:space="0" w:color="auto"/>
              <w:bottom w:val="none" w:sz="0" w:space="0" w:color="auto"/>
              <w:right w:val="none" w:sz="0" w:space="0" w:color="auto"/>
            </w:tcBorders>
          </w:tcPr>
          <w:p w14:paraId="4B3202EB" w14:textId="77777777" w:rsidR="00DA3030" w:rsidRPr="00424762" w:rsidRDefault="00DA3030" w:rsidP="00B618D0">
            <w:pPr>
              <w:pStyle w:val="TableText"/>
              <w:rPr>
                <w:b w:val="0"/>
                <w:bCs w:val="0"/>
                <w:sz w:val="24"/>
                <w:szCs w:val="24"/>
              </w:rPr>
            </w:pPr>
            <w:r w:rsidRPr="00424762">
              <w:rPr>
                <w:b w:val="0"/>
                <w:sz w:val="24"/>
                <w:szCs w:val="24"/>
              </w:rPr>
              <w:t>Deployment</w:t>
            </w:r>
          </w:p>
        </w:tc>
        <w:tc>
          <w:tcPr>
            <w:cnfStyle w:val="000100000000" w:firstRow="0" w:lastRow="0" w:firstColumn="0" w:lastColumn="1" w:oddVBand="0" w:evenVBand="0" w:oddHBand="0" w:evenHBand="0" w:firstRowFirstColumn="0" w:firstRowLastColumn="0" w:lastRowFirstColumn="0" w:lastRowLastColumn="0"/>
            <w:tcW w:w="3517" w:type="pct"/>
            <w:tcBorders>
              <w:top w:val="none" w:sz="0" w:space="0" w:color="auto"/>
              <w:bottom w:val="none" w:sz="0" w:space="0" w:color="auto"/>
              <w:right w:val="none" w:sz="0" w:space="0" w:color="auto"/>
            </w:tcBorders>
          </w:tcPr>
          <w:p w14:paraId="58A6CA03" w14:textId="217600F3" w:rsidR="00DA3030" w:rsidRPr="00424762" w:rsidRDefault="00DA3030" w:rsidP="00B618D0">
            <w:pPr>
              <w:pStyle w:val="TableText"/>
              <w:rPr>
                <w:b w:val="0"/>
                <w:bCs w:val="0"/>
                <w:sz w:val="24"/>
                <w:szCs w:val="24"/>
              </w:rPr>
            </w:pPr>
            <w:r w:rsidRPr="00424762">
              <w:rPr>
                <w:b w:val="0"/>
                <w:sz w:val="24"/>
                <w:szCs w:val="24"/>
              </w:rPr>
              <w:t xml:space="preserve">Creating the model is generally not the end of the project. Even if the purpose of the model is to increase knowledge of the data, the knowledge gained must be organized and presented in a way that the customer can use. Depending on the requirements, the deployment phase can be as simple as generating a </w:t>
            </w:r>
            <w:r w:rsidR="00C540A3">
              <w:rPr>
                <w:b w:val="0"/>
                <w:sz w:val="24"/>
                <w:szCs w:val="24"/>
              </w:rPr>
              <w:t>submit data</w:t>
            </w:r>
            <w:r w:rsidRPr="00424762">
              <w:rPr>
                <w:b w:val="0"/>
                <w:sz w:val="24"/>
                <w:szCs w:val="24"/>
              </w:rPr>
              <w:t xml:space="preserve"> or as complex as implementing a repeatable data mining process. In many cases it will be the customer, not the data analyst, who will carry out the deployment steps. However, even if the analyst will not carry out the deployment effort, it is important for the customer to understand up front the actions which will need to be carried out to make use of the created models.</w:t>
            </w:r>
          </w:p>
        </w:tc>
      </w:tr>
    </w:tbl>
    <w:p w14:paraId="50A749B5" w14:textId="2811AC90" w:rsidR="00F36B08" w:rsidRPr="00571AE8" w:rsidRDefault="00DA3030" w:rsidP="00B618D0">
      <w:pPr>
        <w:pStyle w:val="BodyText"/>
        <w:spacing w:line="480" w:lineRule="auto"/>
        <w:ind w:firstLine="360"/>
        <w:rPr>
          <w:b/>
          <w:szCs w:val="24"/>
        </w:rPr>
      </w:pPr>
      <w:r w:rsidRPr="00424762">
        <w:rPr>
          <w:rStyle w:val="MSGENFONTSTYLENAMETEMPLATEROLELEVELMSGENFONTSTYLENAMEBYROLEHEADING1"/>
          <w:b w:val="0"/>
          <w:color w:val="000000"/>
          <w:szCs w:val="24"/>
        </w:rPr>
        <w:t>During the modeling phase,</w:t>
      </w:r>
      <w:r w:rsidRPr="00424762">
        <w:rPr>
          <w:rStyle w:val="MSGENFONTSTYLENAMETEMPLATEROLELEVELMSGENFONTSTYLENAMEBYROLEHEADING1"/>
          <w:color w:val="000000"/>
          <w:szCs w:val="24"/>
        </w:rPr>
        <w:t xml:space="preserve"> </w:t>
      </w:r>
      <w:r w:rsidRPr="00424762">
        <w:rPr>
          <w:szCs w:val="24"/>
        </w:rPr>
        <w:t>the business rules are translated into SAS code and the code is applied to the data mart. At the highest level, the data modeling process is iterative in nature, as shown in</w:t>
      </w:r>
      <w:r w:rsidR="00547C37">
        <w:rPr>
          <w:szCs w:val="24"/>
        </w:rPr>
        <w:t xml:space="preserve"> Figure 1below.</w:t>
      </w:r>
      <w:r w:rsidR="00F36B08" w:rsidRPr="00571AE8">
        <w:rPr>
          <w:b/>
          <w:szCs w:val="24"/>
        </w:rPr>
        <w:fldChar w:fldCharType="begin"/>
      </w:r>
      <w:r w:rsidR="00F36B08" w:rsidRPr="00571AE8">
        <w:rPr>
          <w:b/>
          <w:szCs w:val="24"/>
        </w:rPr>
        <w:instrText xml:space="preserve"> REF _Ref408572354 \h  \* MERGEFORMAT </w:instrText>
      </w:r>
      <w:r w:rsidR="00F36B08" w:rsidRPr="00571AE8">
        <w:rPr>
          <w:b/>
          <w:szCs w:val="24"/>
        </w:rPr>
      </w:r>
      <w:r w:rsidR="00F36B08" w:rsidRPr="00571AE8">
        <w:rPr>
          <w:b/>
          <w:szCs w:val="24"/>
        </w:rPr>
        <w:fldChar w:fldCharType="separate"/>
      </w:r>
    </w:p>
    <w:p w14:paraId="051905F5" w14:textId="549796A4" w:rsidR="00B634F7" w:rsidRDefault="00B634F7">
      <w:pPr>
        <w:widowControl/>
        <w:autoSpaceDE/>
        <w:autoSpaceDN/>
        <w:adjustRightInd/>
        <w:rPr>
          <w:b/>
          <w:noProof/>
          <w:sz w:val="24"/>
        </w:rPr>
      </w:pPr>
    </w:p>
    <w:p w14:paraId="3CC37D9F" w14:textId="7F33E65A" w:rsidR="00F36B08" w:rsidRPr="00424762" w:rsidRDefault="00F36B08" w:rsidP="00B618D0">
      <w:pPr>
        <w:pStyle w:val="BodyText"/>
        <w:ind w:firstLine="360"/>
        <w:rPr>
          <w:szCs w:val="24"/>
        </w:rPr>
      </w:pPr>
      <w:r w:rsidRPr="00571AE8">
        <w:rPr>
          <w:b/>
          <w:noProof/>
          <w:szCs w:val="24"/>
        </w:rPr>
        <w:t>Figure</w:t>
      </w:r>
      <w:r w:rsidRPr="00571AE8">
        <w:rPr>
          <w:b/>
          <w:szCs w:val="24"/>
        </w:rPr>
        <w:t xml:space="preserve"> 1: CRISP-DM</w:t>
      </w:r>
      <w:r w:rsidRPr="00571AE8">
        <w:rPr>
          <w:b/>
          <w:sz w:val="22"/>
          <w:szCs w:val="24"/>
        </w:rPr>
        <w:t xml:space="preserve"> </w:t>
      </w:r>
      <w:r w:rsidRPr="00571AE8">
        <w:rPr>
          <w:b/>
          <w:szCs w:val="24"/>
        </w:rPr>
        <w:t>Process</w:t>
      </w:r>
      <w:r w:rsidRPr="00571AE8">
        <w:rPr>
          <w:b/>
          <w:szCs w:val="24"/>
        </w:rPr>
        <w:fldChar w:fldCharType="end"/>
      </w:r>
    </w:p>
    <w:p w14:paraId="30EE6069" w14:textId="2D8392CD" w:rsidR="00DA3030" w:rsidRPr="00424762" w:rsidRDefault="00DA3030" w:rsidP="00B618D0">
      <w:pPr>
        <w:pStyle w:val="BodyText"/>
        <w:ind w:firstLine="360"/>
        <w:rPr>
          <w:szCs w:val="24"/>
        </w:rPr>
      </w:pPr>
    </w:p>
    <w:p w14:paraId="43F579E1" w14:textId="19754524" w:rsidR="00DA3030" w:rsidRPr="00424762" w:rsidRDefault="00DA3030" w:rsidP="00B618D0">
      <w:pPr>
        <w:pStyle w:val="BodyText"/>
        <w:spacing w:line="480" w:lineRule="auto"/>
        <w:rPr>
          <w:szCs w:val="24"/>
        </w:rPr>
      </w:pPr>
      <w:r w:rsidRPr="00424762">
        <w:rPr>
          <w:noProof/>
          <w:szCs w:val="24"/>
        </w:rPr>
        <w:drawing>
          <wp:inline distT="0" distB="0" distL="0" distR="0" wp14:anchorId="44EFFDAD" wp14:editId="3502804A">
            <wp:extent cx="5524500" cy="4208733"/>
            <wp:effectExtent l="0" t="133350" r="0" b="211455"/>
            <wp:docPr id="21" name="Diagram 21" descr="Diagram with five circles arranged in a larger circle. Each circle contains a step in the Data Modeling Process. Starting at the 12:00 position, here are the steps:&#10;Circle 1: Translate business rules from Measure Indicator Analysis Phase into SAS machine code.&#10;Circle 2: Complete peer review of the SAS code; document results and correct any deficiencies.&#10;Circle 3: Execute the SAS code against the appropriate data mart(s); review results.&#10;Circle 4: Based on results, update code, if necessary, and re-execute. Repeat if required until desired results are achieved.&#10;Circle 5: Score and rank results; derive samples for Survey and PSV." title="Data Modeling Process Flow"/>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F719152" w14:textId="77777777" w:rsidR="002F274B" w:rsidRPr="00424762" w:rsidRDefault="002F274B" w:rsidP="00B618D0">
      <w:pPr>
        <w:pStyle w:val="Caption"/>
        <w:spacing w:line="480" w:lineRule="auto"/>
        <w:rPr>
          <w:sz w:val="22"/>
          <w:szCs w:val="24"/>
        </w:rPr>
      </w:pPr>
      <w:bookmarkStart w:id="3" w:name="_Ref408572354"/>
    </w:p>
    <w:bookmarkEnd w:id="3"/>
    <w:p w14:paraId="6B8D6A97" w14:textId="77777777" w:rsidR="001213B0" w:rsidRPr="001213B0" w:rsidRDefault="001213B0" w:rsidP="00B618D0">
      <w:pPr>
        <w:spacing w:line="480" w:lineRule="auto"/>
        <w:rPr>
          <w:sz w:val="24"/>
        </w:rPr>
      </w:pPr>
    </w:p>
    <w:p w14:paraId="17BBEF5A" w14:textId="412EAB66" w:rsidR="00171E3D" w:rsidRDefault="00DA3030" w:rsidP="00B618D0">
      <w:pPr>
        <w:pStyle w:val="NoSpacing"/>
        <w:spacing w:line="276" w:lineRule="auto"/>
        <w:ind w:firstLine="360"/>
        <w:rPr>
          <w:rFonts w:ascii="Times New Roman" w:hAnsi="Times New Roman"/>
          <w:sz w:val="24"/>
          <w:szCs w:val="24"/>
        </w:rPr>
      </w:pPr>
      <w:r w:rsidRPr="001213B0">
        <w:rPr>
          <w:rFonts w:ascii="Times New Roman" w:hAnsi="Times New Roman"/>
          <w:sz w:val="24"/>
          <w:szCs w:val="24"/>
        </w:rPr>
        <w:t xml:space="preserve">As stated above, when the rules are executed against the data mart, the entities are scored based on how many rules they did or did not violate. The results are then ranked and the samples derived for </w:t>
      </w:r>
      <w:r w:rsidR="00730358">
        <w:rPr>
          <w:rFonts w:ascii="Times New Roman" w:hAnsi="Times New Roman"/>
          <w:sz w:val="24"/>
          <w:szCs w:val="24"/>
        </w:rPr>
        <w:t>s</w:t>
      </w:r>
      <w:r w:rsidRPr="001213B0">
        <w:rPr>
          <w:rFonts w:ascii="Times New Roman" w:hAnsi="Times New Roman"/>
          <w:sz w:val="24"/>
          <w:szCs w:val="24"/>
        </w:rPr>
        <w:t xml:space="preserve">urvey. The intent of this process is two-fold: to identify sources of reporting error and develop recommendations for corrective action(s) and to identify candidates for payment recoupment. </w:t>
      </w:r>
    </w:p>
    <w:p w14:paraId="145DC49F" w14:textId="56379189" w:rsidR="00DA3030" w:rsidRDefault="00DA3030" w:rsidP="00B618D0">
      <w:pPr>
        <w:pStyle w:val="NoSpacing"/>
        <w:spacing w:line="276" w:lineRule="auto"/>
        <w:ind w:firstLine="360"/>
        <w:rPr>
          <w:rFonts w:ascii="Times New Roman" w:hAnsi="Times New Roman"/>
          <w:sz w:val="24"/>
          <w:szCs w:val="24"/>
        </w:rPr>
      </w:pPr>
      <w:r w:rsidRPr="001213B0">
        <w:rPr>
          <w:rFonts w:ascii="Times New Roman" w:hAnsi="Times New Roman"/>
          <w:sz w:val="24"/>
          <w:szCs w:val="24"/>
        </w:rPr>
        <w:lastRenderedPageBreak/>
        <w:t xml:space="preserve">The final step in the data modeling process is to use the experience gained to further refine the rules with the expectation that it will help </w:t>
      </w:r>
      <w:r w:rsidR="0007643E">
        <w:rPr>
          <w:rFonts w:ascii="Times New Roman" w:hAnsi="Times New Roman"/>
          <w:sz w:val="24"/>
          <w:szCs w:val="24"/>
        </w:rPr>
        <w:t>CMS</w:t>
      </w:r>
      <w:r w:rsidR="0007643E" w:rsidRPr="001213B0">
        <w:rPr>
          <w:rFonts w:ascii="Times New Roman" w:hAnsi="Times New Roman"/>
          <w:sz w:val="24"/>
          <w:szCs w:val="24"/>
        </w:rPr>
        <w:t xml:space="preserve"> </w:t>
      </w:r>
      <w:r w:rsidRPr="001213B0">
        <w:rPr>
          <w:rFonts w:ascii="Times New Roman" w:hAnsi="Times New Roman"/>
          <w:sz w:val="24"/>
          <w:szCs w:val="24"/>
        </w:rPr>
        <w:t>better identify reporting error</w:t>
      </w:r>
      <w:r w:rsidR="00547C37">
        <w:rPr>
          <w:rFonts w:ascii="Times New Roman" w:hAnsi="Times New Roman"/>
          <w:sz w:val="24"/>
          <w:szCs w:val="24"/>
        </w:rPr>
        <w:t>s</w:t>
      </w:r>
      <w:r w:rsidRPr="001213B0">
        <w:rPr>
          <w:rFonts w:ascii="Times New Roman" w:hAnsi="Times New Roman"/>
          <w:sz w:val="24"/>
          <w:szCs w:val="24"/>
        </w:rPr>
        <w:t xml:space="preserve"> and incorrect payments in future years.</w:t>
      </w:r>
    </w:p>
    <w:p w14:paraId="51895726" w14:textId="77777777" w:rsidR="00171E3D" w:rsidRDefault="00171E3D" w:rsidP="00B618D0">
      <w:pPr>
        <w:pStyle w:val="NoSpacing"/>
        <w:spacing w:line="276" w:lineRule="auto"/>
        <w:ind w:firstLine="360"/>
        <w:rPr>
          <w:rFonts w:ascii="Times New Roman" w:hAnsi="Times New Roman"/>
          <w:sz w:val="24"/>
          <w:szCs w:val="24"/>
        </w:rPr>
      </w:pPr>
    </w:p>
    <w:p w14:paraId="3436EA76" w14:textId="611B8E49" w:rsidR="0086207A" w:rsidRPr="004829AE" w:rsidRDefault="0086207A" w:rsidP="00B618D0">
      <w:pPr>
        <w:spacing w:line="276" w:lineRule="auto"/>
        <w:rPr>
          <w:sz w:val="24"/>
          <w:u w:val="single"/>
        </w:rPr>
      </w:pPr>
      <w:r w:rsidRPr="004829AE">
        <w:rPr>
          <w:sz w:val="24"/>
          <w:u w:val="single"/>
        </w:rPr>
        <w:t xml:space="preserve">Data Submission for </w:t>
      </w:r>
      <w:r w:rsidRPr="00EC0546">
        <w:rPr>
          <w:sz w:val="24"/>
          <w:u w:val="single"/>
        </w:rPr>
        <w:t xml:space="preserve">Advancing </w:t>
      </w:r>
      <w:r w:rsidR="00547C37" w:rsidRPr="00EC0546">
        <w:rPr>
          <w:sz w:val="24"/>
          <w:u w:val="single"/>
        </w:rPr>
        <w:t>Care Information</w:t>
      </w:r>
      <w:r w:rsidRPr="00EC0546">
        <w:rPr>
          <w:sz w:val="24"/>
          <w:u w:val="single"/>
        </w:rPr>
        <w:t xml:space="preserve"> </w:t>
      </w:r>
      <w:r w:rsidRPr="004829AE">
        <w:rPr>
          <w:sz w:val="24"/>
          <w:u w:val="single"/>
        </w:rPr>
        <w:t>and CPIA Performance Categories</w:t>
      </w:r>
    </w:p>
    <w:p w14:paraId="1BF902D1" w14:textId="447F8462" w:rsidR="0086207A" w:rsidRDefault="0086207A" w:rsidP="00B618D0">
      <w:pPr>
        <w:spacing w:line="276" w:lineRule="auto"/>
        <w:ind w:firstLine="720"/>
        <w:rPr>
          <w:sz w:val="24"/>
        </w:rPr>
      </w:pPr>
      <w:r>
        <w:rPr>
          <w:sz w:val="24"/>
        </w:rPr>
        <w:t xml:space="preserve">We do not anticipate using sampling for the </w:t>
      </w:r>
      <w:r w:rsidR="00EC0546">
        <w:rPr>
          <w:sz w:val="24"/>
        </w:rPr>
        <w:t xml:space="preserve">advancing care </w:t>
      </w:r>
      <w:r w:rsidR="00947308">
        <w:rPr>
          <w:sz w:val="24"/>
        </w:rPr>
        <w:t>information and</w:t>
      </w:r>
      <w:r>
        <w:rPr>
          <w:sz w:val="24"/>
        </w:rPr>
        <w:t xml:space="preserve"> CPIA </w:t>
      </w:r>
      <w:r w:rsidR="00E35A89">
        <w:rPr>
          <w:sz w:val="24"/>
        </w:rPr>
        <w:t>p</w:t>
      </w:r>
      <w:r>
        <w:rPr>
          <w:sz w:val="24"/>
        </w:rPr>
        <w:t xml:space="preserve">erformance </w:t>
      </w:r>
      <w:r w:rsidR="00E35A89">
        <w:rPr>
          <w:sz w:val="24"/>
        </w:rPr>
        <w:t>c</w:t>
      </w:r>
      <w:r>
        <w:rPr>
          <w:sz w:val="24"/>
        </w:rPr>
        <w:t xml:space="preserve">ategories. For MIPS eligible clinicians reporting as groups, one representative from each group will </w:t>
      </w:r>
      <w:r w:rsidR="00C540A3">
        <w:rPr>
          <w:sz w:val="24"/>
        </w:rPr>
        <w:t>submit data</w:t>
      </w:r>
      <w:r>
        <w:rPr>
          <w:sz w:val="24"/>
        </w:rPr>
        <w:t xml:space="preserve"> on behalf of the entire group. </w:t>
      </w:r>
    </w:p>
    <w:p w14:paraId="3AEDDD00" w14:textId="77777777" w:rsidR="0086207A" w:rsidRDefault="0086207A" w:rsidP="00B618D0">
      <w:pPr>
        <w:spacing w:line="276" w:lineRule="auto"/>
        <w:rPr>
          <w:sz w:val="24"/>
        </w:rPr>
      </w:pPr>
    </w:p>
    <w:p w14:paraId="52441101" w14:textId="77777777" w:rsidR="0086207A" w:rsidRDefault="0086207A" w:rsidP="00B618D0">
      <w:pPr>
        <w:spacing w:line="276" w:lineRule="auto"/>
        <w:rPr>
          <w:sz w:val="24"/>
          <w:u w:val="single"/>
        </w:rPr>
      </w:pPr>
      <w:r w:rsidRPr="004829AE">
        <w:rPr>
          <w:sz w:val="24"/>
          <w:u w:val="single"/>
        </w:rPr>
        <w:t xml:space="preserve">Data Submission for </w:t>
      </w:r>
      <w:r>
        <w:rPr>
          <w:sz w:val="24"/>
          <w:u w:val="single"/>
        </w:rPr>
        <w:t xml:space="preserve">Partial QP Election for Advanced APM participants </w:t>
      </w:r>
    </w:p>
    <w:p w14:paraId="66FC518A" w14:textId="6C3020CF" w:rsidR="0086207A" w:rsidRDefault="00F85540" w:rsidP="00B618D0">
      <w:pPr>
        <w:spacing w:line="276" w:lineRule="auto"/>
        <w:rPr>
          <w:sz w:val="24"/>
        </w:rPr>
      </w:pPr>
      <w:r>
        <w:rPr>
          <w:sz w:val="24"/>
        </w:rPr>
        <w:tab/>
      </w:r>
      <w:r w:rsidR="0086207A">
        <w:rPr>
          <w:sz w:val="24"/>
        </w:rPr>
        <w:t xml:space="preserve">We do not anticipate using sampling for the </w:t>
      </w:r>
      <w:r w:rsidR="006B242E">
        <w:rPr>
          <w:sz w:val="24"/>
        </w:rPr>
        <w:t>data submission</w:t>
      </w:r>
      <w:r w:rsidR="0086207A">
        <w:rPr>
          <w:sz w:val="24"/>
        </w:rPr>
        <w:t xml:space="preserve"> for Partial QP Elections for APMs. One representative from each APM Entity will </w:t>
      </w:r>
      <w:r w:rsidR="00C540A3">
        <w:rPr>
          <w:sz w:val="24"/>
        </w:rPr>
        <w:t>submit data</w:t>
      </w:r>
      <w:r w:rsidR="0086207A">
        <w:rPr>
          <w:sz w:val="24"/>
        </w:rPr>
        <w:t xml:space="preserve"> on behalf of all APM participants. </w:t>
      </w:r>
    </w:p>
    <w:p w14:paraId="151E4108" w14:textId="77777777" w:rsidR="00986B23" w:rsidRDefault="00986B23" w:rsidP="00B63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22F2EF13" w14:textId="48C922BD" w:rsidR="00173F05" w:rsidRPr="00424762" w:rsidRDefault="00173F05"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 xml:space="preserve">3.  Describe methods to maximize response rates and to deal with issues of non-response.  The accuracy and reliability of information collected must be shown to be adequate for intended </w:t>
      </w:r>
      <w:r w:rsidRPr="00424762">
        <w:rPr>
          <w:b/>
          <w:sz w:val="24"/>
        </w:rPr>
        <w:lastRenderedPageBreak/>
        <w:t>uses.  For collections based on sampling, a special justification must be provided for any collection that will not yield 'reliable' data that can be generalized to the universe studied.</w:t>
      </w:r>
    </w:p>
    <w:p w14:paraId="5CCA75DB" w14:textId="77777777" w:rsidR="00173F05" w:rsidRDefault="00173F05"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0FA1188" w14:textId="0EE92519" w:rsidR="001213B0" w:rsidRDefault="001213B0" w:rsidP="00B618D0">
      <w:pPr>
        <w:pStyle w:val="NoSpacing"/>
        <w:spacing w:line="276" w:lineRule="auto"/>
        <w:rPr>
          <w:rFonts w:ascii="Times New Roman" w:hAnsi="Times New Roman"/>
          <w:sz w:val="24"/>
          <w:szCs w:val="24"/>
          <w:u w:val="single"/>
        </w:rPr>
      </w:pPr>
      <w:r>
        <w:rPr>
          <w:rFonts w:ascii="Times New Roman" w:hAnsi="Times New Roman"/>
          <w:sz w:val="24"/>
          <w:szCs w:val="24"/>
          <w:u w:val="single"/>
        </w:rPr>
        <w:t xml:space="preserve">Quality Performance Category </w:t>
      </w:r>
      <w:r w:rsidR="0007643E">
        <w:rPr>
          <w:rFonts w:ascii="Times New Roman" w:hAnsi="Times New Roman"/>
          <w:sz w:val="24"/>
          <w:szCs w:val="24"/>
          <w:u w:val="single"/>
        </w:rPr>
        <w:t xml:space="preserve">Data Submission </w:t>
      </w:r>
    </w:p>
    <w:p w14:paraId="5E18371C" w14:textId="6746897F" w:rsidR="00173F05" w:rsidRPr="001213B0" w:rsidRDefault="00173F05"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We believe that in addition to being eligible for </w:t>
      </w:r>
      <w:r w:rsidR="005C6941">
        <w:rPr>
          <w:rFonts w:ascii="Times New Roman" w:hAnsi="Times New Roman"/>
          <w:sz w:val="24"/>
          <w:szCs w:val="24"/>
        </w:rPr>
        <w:t>payment adjustments</w:t>
      </w:r>
      <w:r w:rsidR="005D13C5" w:rsidRPr="001213B0">
        <w:rPr>
          <w:rFonts w:ascii="Times New Roman" w:hAnsi="Times New Roman"/>
          <w:sz w:val="24"/>
          <w:szCs w:val="24"/>
        </w:rPr>
        <w:t xml:space="preserve"> through MIPS, </w:t>
      </w:r>
      <w:r w:rsidRPr="001213B0">
        <w:rPr>
          <w:rFonts w:ascii="Times New Roman" w:hAnsi="Times New Roman"/>
          <w:sz w:val="24"/>
          <w:szCs w:val="24"/>
        </w:rPr>
        <w:t xml:space="preserve">providing </w:t>
      </w:r>
      <w:r w:rsidR="00C540A3">
        <w:rPr>
          <w:rFonts w:ascii="Times New Roman" w:hAnsi="Times New Roman"/>
          <w:sz w:val="24"/>
          <w:szCs w:val="24"/>
        </w:rPr>
        <w:t>MIPS eligible clinician</w:t>
      </w:r>
      <w:r w:rsidR="001B52C7">
        <w:rPr>
          <w:rFonts w:ascii="Times New Roman" w:hAnsi="Times New Roman"/>
          <w:sz w:val="24"/>
          <w:szCs w:val="24"/>
        </w:rPr>
        <w:t>s</w:t>
      </w:r>
      <w:r w:rsidRPr="001213B0">
        <w:rPr>
          <w:rFonts w:ascii="Times New Roman" w:hAnsi="Times New Roman"/>
          <w:sz w:val="24"/>
          <w:szCs w:val="24"/>
        </w:rPr>
        <w:t xml:space="preserve"> and groups with multiple </w:t>
      </w:r>
      <w:r w:rsidR="006F1BC4">
        <w:rPr>
          <w:rFonts w:ascii="Times New Roman" w:hAnsi="Times New Roman"/>
          <w:sz w:val="24"/>
          <w:szCs w:val="24"/>
        </w:rPr>
        <w:t xml:space="preserve">submission </w:t>
      </w:r>
      <w:r w:rsidRPr="001213B0">
        <w:rPr>
          <w:rFonts w:ascii="Times New Roman" w:hAnsi="Times New Roman"/>
          <w:sz w:val="24"/>
          <w:szCs w:val="24"/>
        </w:rPr>
        <w:t xml:space="preserve">options will help to maximize response rates.  </w:t>
      </w:r>
    </w:p>
    <w:p w14:paraId="4705DD53" w14:textId="31ACCD90" w:rsidR="00173F05" w:rsidRDefault="00173F05"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We expect additional experience with </w:t>
      </w:r>
      <w:r w:rsidR="006F1BC4">
        <w:rPr>
          <w:rFonts w:ascii="Times New Roman" w:hAnsi="Times New Roman"/>
          <w:sz w:val="24"/>
          <w:szCs w:val="24"/>
        </w:rPr>
        <w:t xml:space="preserve">submission </w:t>
      </w:r>
      <w:r w:rsidR="00BF5684" w:rsidRPr="001213B0">
        <w:rPr>
          <w:rFonts w:ascii="Times New Roman" w:hAnsi="Times New Roman"/>
          <w:sz w:val="24"/>
          <w:szCs w:val="24"/>
        </w:rPr>
        <w:t xml:space="preserve">under </w:t>
      </w:r>
      <w:r w:rsidR="00EF4FB8" w:rsidRPr="001213B0">
        <w:rPr>
          <w:rFonts w:ascii="Times New Roman" w:hAnsi="Times New Roman"/>
          <w:sz w:val="24"/>
          <w:szCs w:val="24"/>
        </w:rPr>
        <w:t>MIPS</w:t>
      </w:r>
      <w:r w:rsidRPr="001213B0">
        <w:rPr>
          <w:rFonts w:ascii="Times New Roman" w:hAnsi="Times New Roman"/>
          <w:sz w:val="24"/>
          <w:szCs w:val="24"/>
        </w:rPr>
        <w:t xml:space="preserve"> to clarify optimal sample sizes and </w:t>
      </w:r>
      <w:r w:rsidR="006F1BC4">
        <w:rPr>
          <w:rFonts w:ascii="Times New Roman" w:hAnsi="Times New Roman"/>
          <w:sz w:val="24"/>
          <w:szCs w:val="24"/>
        </w:rPr>
        <w:t xml:space="preserve">submission </w:t>
      </w:r>
      <w:r w:rsidRPr="001213B0">
        <w:rPr>
          <w:rFonts w:ascii="Times New Roman" w:hAnsi="Times New Roman"/>
          <w:sz w:val="24"/>
          <w:szCs w:val="24"/>
        </w:rPr>
        <w:t xml:space="preserve">criteria for use in future </w:t>
      </w:r>
      <w:r w:rsidR="001B52C7">
        <w:rPr>
          <w:rFonts w:ascii="Times New Roman" w:hAnsi="Times New Roman"/>
          <w:sz w:val="24"/>
          <w:szCs w:val="24"/>
        </w:rPr>
        <w:t>performance</w:t>
      </w:r>
      <w:r w:rsidRPr="001213B0">
        <w:rPr>
          <w:rFonts w:ascii="Times New Roman" w:hAnsi="Times New Roman"/>
          <w:sz w:val="24"/>
          <w:szCs w:val="24"/>
        </w:rPr>
        <w:t xml:space="preserve">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    </w:t>
      </w:r>
    </w:p>
    <w:p w14:paraId="1CC3AAF0" w14:textId="77777777" w:rsidR="004876BA" w:rsidRDefault="004876BA"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73B2020F" w14:textId="651975A8" w:rsidR="004876BA" w:rsidRPr="003863FA" w:rsidRDefault="004876BA"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 xml:space="preserve">QCDR or Qualified Registry Self-nomination </w:t>
      </w:r>
    </w:p>
    <w:p w14:paraId="076F7EB0" w14:textId="3DD4A5D5" w:rsidR="002066E3" w:rsidRDefault="002066E3"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335D62">
        <w:rPr>
          <w:sz w:val="24"/>
        </w:rPr>
        <w:tab/>
      </w:r>
      <w:r>
        <w:rPr>
          <w:sz w:val="24"/>
        </w:rPr>
        <w:t>We assume that QCDRs and qualified registries that self-nominated for PQRS in the past will self-nominate to submit data on behalf of MIPS eligible clinicians and groups.  We believe our proposal to allow qualified registries and QCDRs to submit data for three MIPS performance categories will result in their continued engagement under</w:t>
      </w:r>
      <w:r w:rsidR="00A278BB">
        <w:rPr>
          <w:sz w:val="24"/>
        </w:rPr>
        <w:t xml:space="preserve"> the</w:t>
      </w:r>
      <w:r>
        <w:rPr>
          <w:sz w:val="24"/>
        </w:rPr>
        <w:t xml:space="preserve"> MIPS. </w:t>
      </w:r>
    </w:p>
    <w:p w14:paraId="412CD073" w14:textId="77777777" w:rsidR="002066E3" w:rsidRDefault="002066E3" w:rsidP="00B618D0">
      <w:pPr>
        <w:pStyle w:val="NoSpacing"/>
        <w:spacing w:line="276" w:lineRule="auto"/>
        <w:rPr>
          <w:rFonts w:ascii="Times New Roman" w:hAnsi="Times New Roman"/>
          <w:sz w:val="24"/>
          <w:szCs w:val="24"/>
          <w:u w:val="single"/>
        </w:rPr>
      </w:pPr>
    </w:p>
    <w:p w14:paraId="1D306F75" w14:textId="66540ABD" w:rsidR="001213B0" w:rsidRDefault="001213B0" w:rsidP="00B618D0">
      <w:pPr>
        <w:pStyle w:val="NoSpacing"/>
        <w:spacing w:line="276" w:lineRule="auto"/>
        <w:rPr>
          <w:rFonts w:ascii="Times New Roman" w:hAnsi="Times New Roman"/>
          <w:sz w:val="24"/>
          <w:szCs w:val="24"/>
          <w:u w:val="single"/>
        </w:rPr>
      </w:pPr>
      <w:r w:rsidRPr="001213B0">
        <w:rPr>
          <w:rFonts w:ascii="Times New Roman" w:hAnsi="Times New Roman"/>
          <w:sz w:val="24"/>
          <w:szCs w:val="24"/>
          <w:u w:val="single"/>
        </w:rPr>
        <w:t>MIPS Data Validation Survey</w:t>
      </w:r>
    </w:p>
    <w:p w14:paraId="745CFC12" w14:textId="484948B6" w:rsidR="00EE3E23" w:rsidRDefault="00EE3E23" w:rsidP="00B618D0">
      <w:pPr>
        <w:pStyle w:val="NoSpacing"/>
        <w:spacing w:line="276" w:lineRule="auto"/>
        <w:ind w:firstLine="720"/>
        <w:rPr>
          <w:rFonts w:ascii="Times New Roman" w:hAnsi="Times New Roman"/>
          <w:sz w:val="24"/>
          <w:szCs w:val="24"/>
        </w:rPr>
      </w:pPr>
      <w:r>
        <w:rPr>
          <w:rFonts w:ascii="Times New Roman" w:hAnsi="Times New Roman"/>
          <w:sz w:val="24"/>
          <w:szCs w:val="24"/>
        </w:rPr>
        <w:t>We anticipate</w:t>
      </w:r>
      <w:r w:rsidR="00A07A5D">
        <w:rPr>
          <w:rFonts w:ascii="Times New Roman" w:hAnsi="Times New Roman"/>
          <w:sz w:val="24"/>
          <w:szCs w:val="24"/>
        </w:rPr>
        <w:t xml:space="preserve"> that the response rate for the MIPS </w:t>
      </w:r>
      <w:r w:rsidR="002C16A6">
        <w:rPr>
          <w:rFonts w:ascii="Times New Roman" w:hAnsi="Times New Roman"/>
          <w:sz w:val="24"/>
          <w:szCs w:val="24"/>
        </w:rPr>
        <w:t>d</w:t>
      </w:r>
      <w:r w:rsidR="00A07A5D">
        <w:rPr>
          <w:rFonts w:ascii="Times New Roman" w:hAnsi="Times New Roman"/>
          <w:sz w:val="24"/>
          <w:szCs w:val="24"/>
        </w:rPr>
        <w:t xml:space="preserve">ata </w:t>
      </w:r>
      <w:r w:rsidR="002C16A6">
        <w:rPr>
          <w:rFonts w:ascii="Times New Roman" w:hAnsi="Times New Roman"/>
          <w:sz w:val="24"/>
          <w:szCs w:val="24"/>
        </w:rPr>
        <w:t>v</w:t>
      </w:r>
      <w:r w:rsidR="00A07A5D">
        <w:rPr>
          <w:rFonts w:ascii="Times New Roman" w:hAnsi="Times New Roman"/>
          <w:sz w:val="24"/>
          <w:szCs w:val="24"/>
        </w:rPr>
        <w:t xml:space="preserve">alidation </w:t>
      </w:r>
      <w:r w:rsidR="002C16A6">
        <w:rPr>
          <w:rFonts w:ascii="Times New Roman" w:hAnsi="Times New Roman"/>
          <w:sz w:val="24"/>
          <w:szCs w:val="24"/>
        </w:rPr>
        <w:t>s</w:t>
      </w:r>
      <w:r w:rsidR="00A07A5D">
        <w:rPr>
          <w:rFonts w:ascii="Times New Roman" w:hAnsi="Times New Roman"/>
          <w:sz w:val="24"/>
          <w:szCs w:val="24"/>
        </w:rPr>
        <w:t>urvey will be similar to the</w:t>
      </w:r>
      <w:r>
        <w:rPr>
          <w:rFonts w:ascii="Times New Roman" w:hAnsi="Times New Roman"/>
          <w:sz w:val="24"/>
          <w:szCs w:val="24"/>
        </w:rPr>
        <w:t xml:space="preserve"> </w:t>
      </w:r>
      <w:r w:rsidR="00014972">
        <w:rPr>
          <w:rFonts w:ascii="Times New Roman" w:hAnsi="Times New Roman"/>
          <w:sz w:val="24"/>
          <w:szCs w:val="24"/>
        </w:rPr>
        <w:t>86 percent</w:t>
      </w:r>
      <w:r w:rsidR="00A07A5D">
        <w:rPr>
          <w:rFonts w:ascii="Times New Roman" w:hAnsi="Times New Roman"/>
          <w:sz w:val="24"/>
          <w:szCs w:val="24"/>
        </w:rPr>
        <w:t xml:space="preserve"> response rate experienced in the most recent year of the PQRS </w:t>
      </w:r>
      <w:r w:rsidR="002C16A6">
        <w:rPr>
          <w:rFonts w:ascii="Times New Roman" w:hAnsi="Times New Roman"/>
          <w:sz w:val="24"/>
          <w:szCs w:val="24"/>
        </w:rPr>
        <w:t>d</w:t>
      </w:r>
      <w:r w:rsidR="00A07A5D">
        <w:rPr>
          <w:rFonts w:ascii="Times New Roman" w:hAnsi="Times New Roman"/>
          <w:sz w:val="24"/>
          <w:szCs w:val="24"/>
        </w:rPr>
        <w:t xml:space="preserve">ata </w:t>
      </w:r>
      <w:r w:rsidR="002C16A6">
        <w:rPr>
          <w:rFonts w:ascii="Times New Roman" w:hAnsi="Times New Roman"/>
          <w:sz w:val="24"/>
          <w:szCs w:val="24"/>
        </w:rPr>
        <w:t>v</w:t>
      </w:r>
      <w:r w:rsidR="00A07A5D">
        <w:rPr>
          <w:rFonts w:ascii="Times New Roman" w:hAnsi="Times New Roman"/>
          <w:sz w:val="24"/>
          <w:szCs w:val="24"/>
        </w:rPr>
        <w:t xml:space="preserve">alidation </w:t>
      </w:r>
      <w:r w:rsidR="002C16A6">
        <w:rPr>
          <w:rFonts w:ascii="Times New Roman" w:hAnsi="Times New Roman"/>
          <w:sz w:val="24"/>
          <w:szCs w:val="24"/>
        </w:rPr>
        <w:t>s</w:t>
      </w:r>
      <w:r w:rsidR="00A07A5D">
        <w:rPr>
          <w:rFonts w:ascii="Times New Roman" w:hAnsi="Times New Roman"/>
          <w:sz w:val="24"/>
          <w:szCs w:val="24"/>
        </w:rPr>
        <w:t xml:space="preserve">urvey. </w:t>
      </w:r>
    </w:p>
    <w:p w14:paraId="1AE74F81" w14:textId="5E224B48" w:rsidR="00326A9E" w:rsidRDefault="00DA3030"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Knowing that timely and appropriate communication encourages participation by the survey participants, </w:t>
      </w:r>
      <w:r w:rsidR="00014972">
        <w:rPr>
          <w:rFonts w:ascii="Times New Roman" w:hAnsi="Times New Roman"/>
          <w:sz w:val="24"/>
          <w:szCs w:val="24"/>
        </w:rPr>
        <w:t>survey respondents will receive</w:t>
      </w:r>
      <w:r w:rsidRPr="001213B0">
        <w:rPr>
          <w:rFonts w:ascii="Times New Roman" w:hAnsi="Times New Roman"/>
          <w:sz w:val="24"/>
          <w:szCs w:val="24"/>
        </w:rPr>
        <w:t xml:space="preserve"> the initial invitation email and frequent reminder notices. In addition, prior to implementing a new survey, the </w:t>
      </w:r>
      <w:r w:rsidR="00014972">
        <w:rPr>
          <w:rFonts w:ascii="Times New Roman" w:hAnsi="Times New Roman"/>
          <w:sz w:val="24"/>
          <w:szCs w:val="24"/>
        </w:rPr>
        <w:t xml:space="preserve">survey contractor will </w:t>
      </w:r>
      <w:r w:rsidRPr="001213B0">
        <w:rPr>
          <w:rFonts w:ascii="Times New Roman" w:hAnsi="Times New Roman"/>
          <w:sz w:val="24"/>
          <w:szCs w:val="24"/>
        </w:rPr>
        <w:t xml:space="preserve">conduct live demonstrations of the survey functionality with the participant community to increase their comfort level with the survey and encourage successful participation. </w:t>
      </w:r>
    </w:p>
    <w:p w14:paraId="4275A183" w14:textId="3E774D6D" w:rsidR="00326A9E" w:rsidRDefault="00DA3030"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Regarding non-response, the </w:t>
      </w:r>
      <w:r w:rsidR="00F85540">
        <w:rPr>
          <w:rFonts w:ascii="Times New Roman" w:hAnsi="Times New Roman"/>
          <w:sz w:val="24"/>
          <w:szCs w:val="24"/>
        </w:rPr>
        <w:t xml:space="preserve">contractor </w:t>
      </w:r>
      <w:r w:rsidR="007F5EC5">
        <w:rPr>
          <w:rFonts w:ascii="Times New Roman" w:hAnsi="Times New Roman"/>
          <w:sz w:val="24"/>
          <w:szCs w:val="24"/>
        </w:rPr>
        <w:t xml:space="preserve">will </w:t>
      </w:r>
      <w:r w:rsidR="007F5EC5" w:rsidRPr="001213B0">
        <w:rPr>
          <w:rFonts w:ascii="Times New Roman" w:hAnsi="Times New Roman"/>
          <w:sz w:val="24"/>
          <w:szCs w:val="24"/>
        </w:rPr>
        <w:t>follow</w:t>
      </w:r>
      <w:r w:rsidR="002C16A6">
        <w:rPr>
          <w:rFonts w:ascii="Times New Roman" w:hAnsi="Times New Roman"/>
          <w:sz w:val="24"/>
          <w:szCs w:val="24"/>
        </w:rPr>
        <w:t>-</w:t>
      </w:r>
      <w:r w:rsidRPr="001213B0">
        <w:rPr>
          <w:rFonts w:ascii="Times New Roman" w:hAnsi="Times New Roman"/>
          <w:sz w:val="24"/>
          <w:szCs w:val="24"/>
        </w:rPr>
        <w:t xml:space="preserve">up with participants regularly to remind them that survey participation is required and to ensure that they are on track to complete the survey within the prescribed timeframes. </w:t>
      </w:r>
    </w:p>
    <w:p w14:paraId="47089696" w14:textId="17F85A10" w:rsidR="00BF5684" w:rsidRPr="001213B0" w:rsidRDefault="00656F15" w:rsidP="00B618D0">
      <w:pPr>
        <w:pStyle w:val="NoSpacing"/>
        <w:spacing w:line="276" w:lineRule="auto"/>
        <w:ind w:firstLine="720"/>
        <w:rPr>
          <w:rFonts w:ascii="Times New Roman" w:hAnsi="Times New Roman"/>
          <w:sz w:val="24"/>
          <w:szCs w:val="24"/>
        </w:rPr>
      </w:pPr>
      <w:r>
        <w:rPr>
          <w:rFonts w:ascii="Times New Roman" w:hAnsi="Times New Roman"/>
          <w:sz w:val="24"/>
          <w:szCs w:val="24"/>
        </w:rPr>
        <w:lastRenderedPageBreak/>
        <w:t xml:space="preserve">Appendices </w:t>
      </w:r>
      <w:r w:rsidR="007830B6">
        <w:rPr>
          <w:rFonts w:ascii="Times New Roman" w:hAnsi="Times New Roman"/>
          <w:sz w:val="24"/>
          <w:szCs w:val="24"/>
        </w:rPr>
        <w:t xml:space="preserve">E </w:t>
      </w:r>
      <w:r>
        <w:rPr>
          <w:rFonts w:ascii="Times New Roman" w:hAnsi="Times New Roman"/>
          <w:sz w:val="24"/>
          <w:szCs w:val="24"/>
        </w:rPr>
        <w:t xml:space="preserve">and </w:t>
      </w:r>
      <w:r w:rsidR="007830B6">
        <w:rPr>
          <w:rFonts w:ascii="Times New Roman" w:hAnsi="Times New Roman"/>
          <w:sz w:val="24"/>
          <w:szCs w:val="24"/>
        </w:rPr>
        <w:t>F</w:t>
      </w:r>
      <w:r w:rsidR="00C31470">
        <w:rPr>
          <w:rFonts w:ascii="Times New Roman" w:hAnsi="Times New Roman"/>
          <w:sz w:val="24"/>
          <w:szCs w:val="24"/>
        </w:rPr>
        <w:t xml:space="preserve"> </w:t>
      </w:r>
      <w:r w:rsidR="00DA3030" w:rsidRPr="001213B0">
        <w:rPr>
          <w:rFonts w:ascii="Times New Roman" w:hAnsi="Times New Roman"/>
          <w:sz w:val="24"/>
          <w:szCs w:val="24"/>
        </w:rPr>
        <w:t xml:space="preserve">contain </w:t>
      </w:r>
      <w:r w:rsidR="00065CCB">
        <w:rPr>
          <w:rFonts w:ascii="Times New Roman" w:hAnsi="Times New Roman"/>
          <w:sz w:val="24"/>
          <w:szCs w:val="24"/>
        </w:rPr>
        <w:t>sample</w:t>
      </w:r>
      <w:r w:rsidR="00065CCB" w:rsidRPr="001213B0">
        <w:rPr>
          <w:rFonts w:ascii="Times New Roman" w:hAnsi="Times New Roman"/>
          <w:sz w:val="24"/>
          <w:szCs w:val="24"/>
        </w:rPr>
        <w:t xml:space="preserve"> </w:t>
      </w:r>
      <w:r w:rsidR="00DA3030" w:rsidRPr="001213B0">
        <w:rPr>
          <w:rFonts w:ascii="Times New Roman" w:hAnsi="Times New Roman"/>
          <w:sz w:val="24"/>
          <w:szCs w:val="24"/>
        </w:rPr>
        <w:t>communications, referenced above</w:t>
      </w:r>
      <w:r w:rsidR="00201C18">
        <w:rPr>
          <w:rFonts w:ascii="Times New Roman" w:hAnsi="Times New Roman"/>
          <w:sz w:val="24"/>
          <w:szCs w:val="24"/>
        </w:rPr>
        <w:t>,</w:t>
      </w:r>
      <w:r w:rsidR="00DA3030" w:rsidRPr="001213B0">
        <w:rPr>
          <w:rFonts w:ascii="Times New Roman" w:hAnsi="Times New Roman"/>
          <w:sz w:val="24"/>
          <w:szCs w:val="24"/>
        </w:rPr>
        <w:t xml:space="preserve"> that </w:t>
      </w:r>
      <w:r w:rsidR="00201C18">
        <w:rPr>
          <w:rFonts w:ascii="Times New Roman" w:hAnsi="Times New Roman"/>
          <w:sz w:val="24"/>
          <w:szCs w:val="24"/>
        </w:rPr>
        <w:t xml:space="preserve">we </w:t>
      </w:r>
      <w:r w:rsidR="00065CCB">
        <w:rPr>
          <w:rFonts w:ascii="Times New Roman" w:hAnsi="Times New Roman"/>
          <w:sz w:val="24"/>
          <w:szCs w:val="24"/>
        </w:rPr>
        <w:t>will plan to</w:t>
      </w:r>
      <w:r w:rsidR="00065CCB" w:rsidRPr="001213B0">
        <w:rPr>
          <w:rFonts w:ascii="Times New Roman" w:hAnsi="Times New Roman"/>
          <w:sz w:val="24"/>
          <w:szCs w:val="24"/>
        </w:rPr>
        <w:t xml:space="preserve"> </w:t>
      </w:r>
      <w:r w:rsidR="00DA3030" w:rsidRPr="001213B0">
        <w:rPr>
          <w:rFonts w:ascii="Times New Roman" w:hAnsi="Times New Roman"/>
          <w:sz w:val="24"/>
          <w:szCs w:val="24"/>
        </w:rPr>
        <w:t>share</w:t>
      </w:r>
      <w:r w:rsidR="00F12178">
        <w:rPr>
          <w:rFonts w:ascii="Times New Roman" w:hAnsi="Times New Roman"/>
          <w:sz w:val="24"/>
          <w:szCs w:val="24"/>
        </w:rPr>
        <w:t xml:space="preserve"> with the </w:t>
      </w:r>
      <w:r w:rsidR="00C540A3">
        <w:rPr>
          <w:rFonts w:ascii="Times New Roman" w:hAnsi="Times New Roman"/>
          <w:sz w:val="24"/>
          <w:szCs w:val="24"/>
        </w:rPr>
        <w:t>MIPS eligible clinician</w:t>
      </w:r>
      <w:r>
        <w:rPr>
          <w:rFonts w:ascii="Times New Roman" w:hAnsi="Times New Roman"/>
          <w:sz w:val="24"/>
          <w:szCs w:val="24"/>
        </w:rPr>
        <w:t xml:space="preserve"> </w:t>
      </w:r>
      <w:r w:rsidR="00F12178">
        <w:rPr>
          <w:rFonts w:ascii="Times New Roman" w:hAnsi="Times New Roman"/>
          <w:sz w:val="24"/>
          <w:szCs w:val="24"/>
        </w:rPr>
        <w:t xml:space="preserve">community as part of the </w:t>
      </w:r>
      <w:r w:rsidR="00065CCB">
        <w:rPr>
          <w:rFonts w:ascii="Times New Roman" w:hAnsi="Times New Roman"/>
          <w:sz w:val="24"/>
          <w:szCs w:val="24"/>
        </w:rPr>
        <w:t xml:space="preserve">MIPS </w:t>
      </w:r>
      <w:r w:rsidR="002C16A6">
        <w:rPr>
          <w:rFonts w:ascii="Times New Roman" w:hAnsi="Times New Roman"/>
          <w:sz w:val="24"/>
          <w:szCs w:val="24"/>
        </w:rPr>
        <w:t>d</w:t>
      </w:r>
      <w:r w:rsidR="00065CCB">
        <w:rPr>
          <w:rFonts w:ascii="Times New Roman" w:hAnsi="Times New Roman"/>
          <w:sz w:val="24"/>
          <w:szCs w:val="24"/>
        </w:rPr>
        <w:t xml:space="preserve">ata </w:t>
      </w:r>
      <w:r w:rsidR="002C16A6">
        <w:rPr>
          <w:rFonts w:ascii="Times New Roman" w:hAnsi="Times New Roman"/>
          <w:sz w:val="24"/>
          <w:szCs w:val="24"/>
        </w:rPr>
        <w:t>v</w:t>
      </w:r>
      <w:r w:rsidR="00065CCB">
        <w:rPr>
          <w:rFonts w:ascii="Times New Roman" w:hAnsi="Times New Roman"/>
          <w:sz w:val="24"/>
          <w:szCs w:val="24"/>
        </w:rPr>
        <w:t xml:space="preserve">alidation </w:t>
      </w:r>
      <w:r w:rsidR="002C16A6">
        <w:rPr>
          <w:rFonts w:ascii="Times New Roman" w:hAnsi="Times New Roman"/>
          <w:sz w:val="24"/>
          <w:szCs w:val="24"/>
        </w:rPr>
        <w:t>s</w:t>
      </w:r>
      <w:r w:rsidR="00065CCB">
        <w:rPr>
          <w:rFonts w:ascii="Times New Roman" w:hAnsi="Times New Roman"/>
          <w:sz w:val="24"/>
          <w:szCs w:val="24"/>
        </w:rPr>
        <w:t>urvey</w:t>
      </w:r>
      <w:r w:rsidR="00F12178">
        <w:rPr>
          <w:rFonts w:ascii="Times New Roman" w:hAnsi="Times New Roman"/>
          <w:sz w:val="24"/>
          <w:szCs w:val="24"/>
        </w:rPr>
        <w:t xml:space="preserve">. </w:t>
      </w:r>
      <w:r w:rsidR="00065CCB">
        <w:rPr>
          <w:rFonts w:ascii="Times New Roman" w:hAnsi="Times New Roman"/>
          <w:sz w:val="24"/>
          <w:szCs w:val="24"/>
        </w:rPr>
        <w:t>These materials are based on the c</w:t>
      </w:r>
      <w:r w:rsidR="00F12178">
        <w:rPr>
          <w:rFonts w:ascii="Times New Roman" w:hAnsi="Times New Roman"/>
          <w:sz w:val="24"/>
          <w:szCs w:val="24"/>
        </w:rPr>
        <w:t xml:space="preserve">ommunication materials for </w:t>
      </w:r>
      <w:r w:rsidR="00201C18">
        <w:rPr>
          <w:rFonts w:ascii="Times New Roman" w:hAnsi="Times New Roman"/>
          <w:sz w:val="24"/>
          <w:szCs w:val="24"/>
        </w:rPr>
        <w:t xml:space="preserve">the </w:t>
      </w:r>
      <w:r w:rsidR="00065CCB">
        <w:rPr>
          <w:rFonts w:ascii="Times New Roman" w:hAnsi="Times New Roman"/>
          <w:sz w:val="24"/>
          <w:szCs w:val="24"/>
        </w:rPr>
        <w:t xml:space="preserve">current PQRS </w:t>
      </w:r>
      <w:r w:rsidR="002C16A6">
        <w:rPr>
          <w:rFonts w:ascii="Times New Roman" w:hAnsi="Times New Roman"/>
          <w:sz w:val="24"/>
          <w:szCs w:val="24"/>
        </w:rPr>
        <w:t>d</w:t>
      </w:r>
      <w:r w:rsidR="00065CCB">
        <w:rPr>
          <w:rFonts w:ascii="Times New Roman" w:hAnsi="Times New Roman"/>
          <w:sz w:val="24"/>
          <w:szCs w:val="24"/>
        </w:rPr>
        <w:t xml:space="preserve">ata </w:t>
      </w:r>
      <w:r w:rsidR="002C16A6">
        <w:rPr>
          <w:rFonts w:ascii="Times New Roman" w:hAnsi="Times New Roman"/>
          <w:sz w:val="24"/>
          <w:szCs w:val="24"/>
        </w:rPr>
        <w:t>v</w:t>
      </w:r>
      <w:r w:rsidR="00065CCB">
        <w:rPr>
          <w:rFonts w:ascii="Times New Roman" w:hAnsi="Times New Roman"/>
          <w:sz w:val="24"/>
          <w:szCs w:val="24"/>
        </w:rPr>
        <w:t xml:space="preserve">alidation </w:t>
      </w:r>
      <w:r w:rsidR="002C16A6">
        <w:rPr>
          <w:rFonts w:ascii="Times New Roman" w:hAnsi="Times New Roman"/>
          <w:sz w:val="24"/>
          <w:szCs w:val="24"/>
        </w:rPr>
        <w:t>s</w:t>
      </w:r>
      <w:r w:rsidR="00065CCB">
        <w:rPr>
          <w:rFonts w:ascii="Times New Roman" w:hAnsi="Times New Roman"/>
          <w:sz w:val="24"/>
          <w:szCs w:val="24"/>
        </w:rPr>
        <w:t xml:space="preserve">urvey. </w:t>
      </w:r>
    </w:p>
    <w:p w14:paraId="0A753C8D" w14:textId="77777777" w:rsidR="00750A28" w:rsidRDefault="00750A28" w:rsidP="00B618D0">
      <w:pPr>
        <w:spacing w:line="276" w:lineRule="auto"/>
        <w:rPr>
          <w:sz w:val="24"/>
          <w:u w:val="single"/>
        </w:rPr>
      </w:pPr>
    </w:p>
    <w:p w14:paraId="439CE9D2" w14:textId="3AB831F0" w:rsidR="00750A28" w:rsidRPr="004829AE" w:rsidRDefault="00750A28" w:rsidP="00B618D0">
      <w:pPr>
        <w:spacing w:line="276" w:lineRule="auto"/>
        <w:rPr>
          <w:sz w:val="24"/>
          <w:u w:val="single"/>
        </w:rPr>
      </w:pPr>
      <w:r w:rsidRPr="004829AE">
        <w:rPr>
          <w:sz w:val="24"/>
          <w:u w:val="single"/>
        </w:rPr>
        <w:t xml:space="preserve">Data Submission for Advancing </w:t>
      </w:r>
      <w:r w:rsidR="00201C18" w:rsidRPr="00F827DC">
        <w:rPr>
          <w:sz w:val="24"/>
          <w:u w:val="single"/>
        </w:rPr>
        <w:t>Care</w:t>
      </w:r>
      <w:r w:rsidR="00201C18">
        <w:rPr>
          <w:sz w:val="24"/>
          <w:u w:val="single"/>
        </w:rPr>
        <w:t xml:space="preserve"> </w:t>
      </w:r>
      <w:r w:rsidR="009A44A4">
        <w:rPr>
          <w:sz w:val="24"/>
          <w:u w:val="single"/>
        </w:rPr>
        <w:t>I</w:t>
      </w:r>
      <w:r w:rsidR="00201C18">
        <w:rPr>
          <w:sz w:val="24"/>
          <w:u w:val="single"/>
        </w:rPr>
        <w:t>nformation</w:t>
      </w:r>
      <w:r w:rsidRPr="004829AE">
        <w:rPr>
          <w:sz w:val="24"/>
          <w:u w:val="single"/>
        </w:rPr>
        <w:t xml:space="preserve"> and CPIA Performance Categories</w:t>
      </w:r>
    </w:p>
    <w:p w14:paraId="68F83335" w14:textId="1815A900" w:rsidR="00750A28" w:rsidRDefault="00750A28"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We believe that in addition to being eligible for </w:t>
      </w:r>
      <w:r w:rsidR="00335D62">
        <w:rPr>
          <w:rFonts w:ascii="Times New Roman" w:hAnsi="Times New Roman"/>
          <w:sz w:val="24"/>
          <w:szCs w:val="24"/>
        </w:rPr>
        <w:t>payment adjustments</w:t>
      </w:r>
      <w:r w:rsidRPr="001213B0">
        <w:rPr>
          <w:rFonts w:ascii="Times New Roman" w:hAnsi="Times New Roman"/>
          <w:sz w:val="24"/>
          <w:szCs w:val="24"/>
        </w:rPr>
        <w:t xml:space="preserve"> through MIPS, providing </w:t>
      </w:r>
      <w:r w:rsidR="00142E46">
        <w:rPr>
          <w:rFonts w:ascii="Times New Roman" w:hAnsi="Times New Roman"/>
          <w:sz w:val="24"/>
          <w:szCs w:val="24"/>
        </w:rPr>
        <w:t xml:space="preserve">MIPS </w:t>
      </w:r>
      <w:r w:rsidRPr="00424762">
        <w:rPr>
          <w:rFonts w:ascii="Times New Roman" w:hAnsi="Times New Roman"/>
          <w:sz w:val="24"/>
          <w:szCs w:val="24"/>
        </w:rPr>
        <w:t xml:space="preserve">eligible </w:t>
      </w:r>
      <w:r>
        <w:rPr>
          <w:rFonts w:ascii="Times New Roman" w:hAnsi="Times New Roman"/>
          <w:sz w:val="24"/>
          <w:szCs w:val="24"/>
        </w:rPr>
        <w:t>clinicians</w:t>
      </w:r>
      <w:r w:rsidRPr="001213B0">
        <w:rPr>
          <w:rFonts w:ascii="Times New Roman" w:hAnsi="Times New Roman"/>
          <w:sz w:val="24"/>
          <w:szCs w:val="24"/>
        </w:rPr>
        <w:t xml:space="preserve"> and groups with multiple </w:t>
      </w:r>
      <w:r>
        <w:rPr>
          <w:rFonts w:ascii="Times New Roman" w:hAnsi="Times New Roman"/>
          <w:sz w:val="24"/>
          <w:szCs w:val="24"/>
        </w:rPr>
        <w:t xml:space="preserve">submission </w:t>
      </w:r>
      <w:r w:rsidRPr="001213B0">
        <w:rPr>
          <w:rFonts w:ascii="Times New Roman" w:hAnsi="Times New Roman"/>
          <w:sz w:val="24"/>
          <w:szCs w:val="24"/>
        </w:rPr>
        <w:t>options will help t</w:t>
      </w:r>
      <w:r>
        <w:rPr>
          <w:rFonts w:ascii="Times New Roman" w:hAnsi="Times New Roman"/>
          <w:sz w:val="24"/>
          <w:szCs w:val="24"/>
        </w:rPr>
        <w:t xml:space="preserve">o maximize response rates in the </w:t>
      </w:r>
      <w:r w:rsidR="004364F5">
        <w:rPr>
          <w:rFonts w:ascii="Times New Roman" w:hAnsi="Times New Roman"/>
          <w:sz w:val="24"/>
          <w:szCs w:val="24"/>
        </w:rPr>
        <w:t>a</w:t>
      </w:r>
      <w:r>
        <w:rPr>
          <w:rFonts w:ascii="Times New Roman" w:hAnsi="Times New Roman"/>
          <w:sz w:val="24"/>
          <w:szCs w:val="24"/>
        </w:rPr>
        <w:t xml:space="preserve">dvancing </w:t>
      </w:r>
      <w:r w:rsidR="009A44A4">
        <w:rPr>
          <w:rFonts w:ascii="Times New Roman" w:hAnsi="Times New Roman"/>
          <w:sz w:val="24"/>
          <w:szCs w:val="24"/>
        </w:rPr>
        <w:t>care information</w:t>
      </w:r>
      <w:r>
        <w:rPr>
          <w:rFonts w:ascii="Times New Roman" w:hAnsi="Times New Roman"/>
          <w:sz w:val="24"/>
          <w:szCs w:val="24"/>
        </w:rPr>
        <w:t xml:space="preserve"> and CPIA </w:t>
      </w:r>
      <w:r w:rsidR="004364F5">
        <w:rPr>
          <w:rFonts w:ascii="Times New Roman" w:hAnsi="Times New Roman"/>
          <w:sz w:val="24"/>
          <w:szCs w:val="24"/>
        </w:rPr>
        <w:t>p</w:t>
      </w:r>
      <w:r>
        <w:rPr>
          <w:rFonts w:ascii="Times New Roman" w:hAnsi="Times New Roman"/>
          <w:sz w:val="24"/>
          <w:szCs w:val="24"/>
        </w:rPr>
        <w:t xml:space="preserve">erformance </w:t>
      </w:r>
      <w:r w:rsidR="004364F5">
        <w:rPr>
          <w:rFonts w:ascii="Times New Roman" w:hAnsi="Times New Roman"/>
          <w:sz w:val="24"/>
          <w:szCs w:val="24"/>
        </w:rPr>
        <w:t>c</w:t>
      </w:r>
      <w:r>
        <w:rPr>
          <w:rFonts w:ascii="Times New Roman" w:hAnsi="Times New Roman"/>
          <w:sz w:val="24"/>
          <w:szCs w:val="24"/>
        </w:rPr>
        <w:t>ategor</w:t>
      </w:r>
      <w:r w:rsidR="00142E46">
        <w:rPr>
          <w:rFonts w:ascii="Times New Roman" w:hAnsi="Times New Roman"/>
          <w:sz w:val="24"/>
          <w:szCs w:val="24"/>
        </w:rPr>
        <w:t>ies</w:t>
      </w:r>
      <w:r>
        <w:rPr>
          <w:rFonts w:ascii="Times New Roman" w:hAnsi="Times New Roman"/>
          <w:sz w:val="24"/>
          <w:szCs w:val="24"/>
        </w:rPr>
        <w:t xml:space="preserve">. Further, we anticipate </w:t>
      </w:r>
      <w:r w:rsidR="009A44A4">
        <w:rPr>
          <w:rFonts w:ascii="Times New Roman" w:hAnsi="Times New Roman"/>
          <w:sz w:val="24"/>
          <w:szCs w:val="24"/>
        </w:rPr>
        <w:t xml:space="preserve">the </w:t>
      </w:r>
      <w:r w:rsidR="004364F5">
        <w:rPr>
          <w:rFonts w:ascii="Times New Roman" w:hAnsi="Times New Roman"/>
          <w:sz w:val="24"/>
          <w:szCs w:val="24"/>
        </w:rPr>
        <w:t>a</w:t>
      </w:r>
      <w:r>
        <w:rPr>
          <w:rFonts w:ascii="Times New Roman" w:hAnsi="Times New Roman"/>
          <w:sz w:val="24"/>
          <w:szCs w:val="24"/>
        </w:rPr>
        <w:t xml:space="preserve">dvancing </w:t>
      </w:r>
      <w:r w:rsidR="009A44A4">
        <w:rPr>
          <w:rFonts w:ascii="Times New Roman" w:hAnsi="Times New Roman"/>
          <w:sz w:val="24"/>
          <w:szCs w:val="24"/>
        </w:rPr>
        <w:t>care information</w:t>
      </w:r>
      <w:r>
        <w:rPr>
          <w:rFonts w:ascii="Times New Roman" w:hAnsi="Times New Roman"/>
          <w:sz w:val="24"/>
          <w:szCs w:val="24"/>
        </w:rPr>
        <w:t xml:space="preserve"> </w:t>
      </w:r>
      <w:r w:rsidR="004364F5">
        <w:rPr>
          <w:rFonts w:ascii="Times New Roman" w:hAnsi="Times New Roman"/>
          <w:sz w:val="24"/>
          <w:szCs w:val="24"/>
        </w:rPr>
        <w:t>p</w:t>
      </w:r>
      <w:r>
        <w:rPr>
          <w:rFonts w:ascii="Times New Roman" w:hAnsi="Times New Roman"/>
          <w:sz w:val="24"/>
          <w:szCs w:val="24"/>
        </w:rPr>
        <w:t xml:space="preserve">erformance </w:t>
      </w:r>
      <w:r w:rsidR="004364F5">
        <w:rPr>
          <w:rFonts w:ascii="Times New Roman" w:hAnsi="Times New Roman"/>
          <w:sz w:val="24"/>
          <w:szCs w:val="24"/>
        </w:rPr>
        <w:t>c</w:t>
      </w:r>
      <w:r>
        <w:rPr>
          <w:rFonts w:ascii="Times New Roman" w:hAnsi="Times New Roman"/>
          <w:sz w:val="24"/>
          <w:szCs w:val="24"/>
        </w:rPr>
        <w:t xml:space="preserve">ategory will have </w:t>
      </w:r>
      <w:r w:rsidR="009A44A4">
        <w:rPr>
          <w:rFonts w:ascii="Times New Roman" w:hAnsi="Times New Roman"/>
          <w:sz w:val="24"/>
          <w:szCs w:val="24"/>
        </w:rPr>
        <w:t xml:space="preserve">a </w:t>
      </w:r>
      <w:r>
        <w:rPr>
          <w:rFonts w:ascii="Times New Roman" w:hAnsi="Times New Roman"/>
          <w:sz w:val="24"/>
          <w:szCs w:val="24"/>
        </w:rPr>
        <w:t xml:space="preserve">higher response rate for MIPS eligible clinicians than its predecessor, the </w:t>
      </w:r>
      <w:r w:rsidR="00142E46">
        <w:rPr>
          <w:rFonts w:ascii="Times New Roman" w:hAnsi="Times New Roman"/>
          <w:sz w:val="24"/>
          <w:szCs w:val="24"/>
        </w:rPr>
        <w:t xml:space="preserve">Medicare </w:t>
      </w:r>
      <w:r>
        <w:rPr>
          <w:rFonts w:ascii="Times New Roman" w:hAnsi="Times New Roman"/>
          <w:sz w:val="24"/>
          <w:szCs w:val="24"/>
        </w:rPr>
        <w:t>EHR Incentive Program, because it allows for group</w:t>
      </w:r>
      <w:r w:rsidR="002C16A6">
        <w:rPr>
          <w:rFonts w:ascii="Times New Roman" w:hAnsi="Times New Roman"/>
          <w:sz w:val="24"/>
          <w:szCs w:val="24"/>
        </w:rPr>
        <w:t>s</w:t>
      </w:r>
      <w:r>
        <w:rPr>
          <w:rFonts w:ascii="Times New Roman" w:hAnsi="Times New Roman"/>
          <w:sz w:val="24"/>
          <w:szCs w:val="24"/>
        </w:rPr>
        <w:t xml:space="preserve"> as well as individual </w:t>
      </w:r>
      <w:r w:rsidR="00142E46">
        <w:rPr>
          <w:rFonts w:ascii="Times New Roman" w:hAnsi="Times New Roman"/>
          <w:sz w:val="24"/>
          <w:szCs w:val="24"/>
        </w:rPr>
        <w:t xml:space="preserve">MIPS </w:t>
      </w:r>
      <w:r>
        <w:rPr>
          <w:rFonts w:ascii="Times New Roman" w:hAnsi="Times New Roman"/>
          <w:sz w:val="24"/>
          <w:szCs w:val="24"/>
        </w:rPr>
        <w:t xml:space="preserve">eligible clinician reporting. </w:t>
      </w:r>
    </w:p>
    <w:p w14:paraId="113C1A10" w14:textId="77777777" w:rsidR="00750A28" w:rsidRDefault="00750A28" w:rsidP="00B618D0">
      <w:pPr>
        <w:spacing w:line="276" w:lineRule="auto"/>
        <w:rPr>
          <w:sz w:val="24"/>
          <w:u w:val="single"/>
        </w:rPr>
      </w:pPr>
    </w:p>
    <w:p w14:paraId="540C3802" w14:textId="492E533D" w:rsidR="00750A28" w:rsidRDefault="00750A28" w:rsidP="00B618D0">
      <w:pPr>
        <w:spacing w:line="276" w:lineRule="auto"/>
        <w:rPr>
          <w:sz w:val="24"/>
          <w:u w:val="single"/>
        </w:rPr>
      </w:pPr>
      <w:r w:rsidRPr="004829AE">
        <w:rPr>
          <w:sz w:val="24"/>
          <w:u w:val="single"/>
        </w:rPr>
        <w:lastRenderedPageBreak/>
        <w:t xml:space="preserve">Data Submission for </w:t>
      </w:r>
      <w:r>
        <w:rPr>
          <w:sz w:val="24"/>
          <w:u w:val="single"/>
        </w:rPr>
        <w:t xml:space="preserve">Partial QP Election for Advanced APM participants </w:t>
      </w:r>
    </w:p>
    <w:p w14:paraId="73CD8049" w14:textId="7CC3EF63" w:rsidR="00750A28" w:rsidRDefault="00750A28" w:rsidP="00B618D0">
      <w:pPr>
        <w:spacing w:line="276" w:lineRule="auto"/>
        <w:rPr>
          <w:sz w:val="24"/>
        </w:rPr>
      </w:pPr>
      <w:r>
        <w:rPr>
          <w:sz w:val="24"/>
        </w:rPr>
        <w:tab/>
      </w:r>
      <w:r w:rsidR="005C6941">
        <w:rPr>
          <w:sz w:val="24"/>
        </w:rPr>
        <w:t>We believe that the opportunity to opt into MIPS reporting and payment adjustme</w:t>
      </w:r>
      <w:r w:rsidR="00A278BB">
        <w:rPr>
          <w:sz w:val="24"/>
        </w:rPr>
        <w:t xml:space="preserve">nts will maximize </w:t>
      </w:r>
      <w:r w:rsidR="005C6941">
        <w:rPr>
          <w:sz w:val="24"/>
        </w:rPr>
        <w:t xml:space="preserve">Advanced APM Entities’ response rates for partial QP elections on behalf </w:t>
      </w:r>
      <w:r w:rsidR="00A278BB">
        <w:rPr>
          <w:sz w:val="24"/>
        </w:rPr>
        <w:t xml:space="preserve">of their model participants. </w:t>
      </w:r>
      <w:r>
        <w:rPr>
          <w:sz w:val="24"/>
        </w:rPr>
        <w:t xml:space="preserve"> </w:t>
      </w:r>
    </w:p>
    <w:p w14:paraId="06AC8090" w14:textId="77777777" w:rsidR="002066E3" w:rsidRDefault="002066E3" w:rsidP="00B618D0">
      <w:pPr>
        <w:spacing w:line="276" w:lineRule="auto"/>
        <w:rPr>
          <w:sz w:val="24"/>
        </w:rPr>
      </w:pPr>
    </w:p>
    <w:p w14:paraId="2F85E5BD" w14:textId="4FD7756A" w:rsidR="00173F05" w:rsidRPr="00424762" w:rsidRDefault="00173F05" w:rsidP="00B63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4.</w:t>
      </w:r>
      <w:r w:rsidRPr="00424762">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24762">
        <w:rPr>
          <w:b/>
          <w:sz w:val="24"/>
        </w:rPr>
        <w:softHyphen/>
        <w:t>ly or in combination with the main collection of information.</w:t>
      </w:r>
    </w:p>
    <w:p w14:paraId="73BF831E" w14:textId="77777777" w:rsidR="00353D44" w:rsidRDefault="00353D44" w:rsidP="00B618D0">
      <w:pPr>
        <w:pStyle w:val="NoSpacing"/>
        <w:spacing w:line="276" w:lineRule="auto"/>
        <w:rPr>
          <w:rFonts w:ascii="Times New Roman" w:hAnsi="Times New Roman"/>
          <w:sz w:val="24"/>
          <w:szCs w:val="24"/>
          <w:u w:val="single"/>
        </w:rPr>
      </w:pPr>
    </w:p>
    <w:p w14:paraId="43EC9F5F" w14:textId="63A85674" w:rsidR="001213B0" w:rsidRPr="001213B0" w:rsidRDefault="001213B0" w:rsidP="00B618D0">
      <w:pPr>
        <w:pStyle w:val="NoSpacing"/>
        <w:spacing w:line="276" w:lineRule="auto"/>
        <w:rPr>
          <w:rFonts w:ascii="Times New Roman" w:hAnsi="Times New Roman"/>
          <w:sz w:val="24"/>
          <w:szCs w:val="24"/>
          <w:u w:val="single"/>
        </w:rPr>
      </w:pPr>
      <w:r w:rsidRPr="001213B0">
        <w:rPr>
          <w:rFonts w:ascii="Times New Roman" w:hAnsi="Times New Roman"/>
          <w:sz w:val="24"/>
          <w:szCs w:val="24"/>
          <w:u w:val="single"/>
        </w:rPr>
        <w:t>Qualit</w:t>
      </w:r>
      <w:r>
        <w:rPr>
          <w:rFonts w:ascii="Times New Roman" w:hAnsi="Times New Roman"/>
          <w:sz w:val="24"/>
          <w:szCs w:val="24"/>
          <w:u w:val="single"/>
        </w:rPr>
        <w:t xml:space="preserve">y Performance Category </w:t>
      </w:r>
    </w:p>
    <w:p w14:paraId="6C7B921D" w14:textId="73AC24F0" w:rsidR="00353D44" w:rsidRDefault="00173F05"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As stated above, we expect that </w:t>
      </w:r>
      <w:r w:rsidR="00353D44">
        <w:rPr>
          <w:rFonts w:ascii="Times New Roman" w:hAnsi="Times New Roman"/>
          <w:sz w:val="24"/>
          <w:szCs w:val="24"/>
        </w:rPr>
        <w:t>the initial experience</w:t>
      </w:r>
      <w:r w:rsidRPr="001213B0">
        <w:rPr>
          <w:rFonts w:ascii="Times New Roman" w:hAnsi="Times New Roman"/>
          <w:sz w:val="24"/>
          <w:szCs w:val="24"/>
        </w:rPr>
        <w:t xml:space="preserve"> with </w:t>
      </w:r>
      <w:r w:rsidR="00EF4FB8" w:rsidRPr="001213B0">
        <w:rPr>
          <w:rFonts w:ascii="Times New Roman" w:hAnsi="Times New Roman"/>
          <w:sz w:val="24"/>
          <w:szCs w:val="24"/>
        </w:rPr>
        <w:t>MIPS</w:t>
      </w:r>
      <w:r w:rsidRPr="001213B0">
        <w:rPr>
          <w:rFonts w:ascii="Times New Roman" w:hAnsi="Times New Roman"/>
          <w:sz w:val="24"/>
          <w:szCs w:val="24"/>
        </w:rPr>
        <w:t xml:space="preserve"> will clarify optimal sample sizes and </w:t>
      </w:r>
      <w:r w:rsidR="006F1BC4">
        <w:rPr>
          <w:rFonts w:ascii="Times New Roman" w:hAnsi="Times New Roman"/>
          <w:sz w:val="24"/>
          <w:szCs w:val="24"/>
        </w:rPr>
        <w:t xml:space="preserve">submission </w:t>
      </w:r>
      <w:r w:rsidRPr="001213B0">
        <w:rPr>
          <w:rFonts w:ascii="Times New Roman" w:hAnsi="Times New Roman"/>
          <w:sz w:val="24"/>
          <w:szCs w:val="24"/>
        </w:rPr>
        <w:t xml:space="preserve">criteria for use in future </w:t>
      </w:r>
      <w:r w:rsidR="0029291B">
        <w:rPr>
          <w:rFonts w:ascii="Times New Roman" w:hAnsi="Times New Roman"/>
          <w:sz w:val="24"/>
          <w:szCs w:val="24"/>
        </w:rPr>
        <w:t>performance</w:t>
      </w:r>
      <w:r w:rsidRPr="001213B0">
        <w:rPr>
          <w:rFonts w:ascii="Times New Roman" w:hAnsi="Times New Roman"/>
          <w:sz w:val="24"/>
          <w:szCs w:val="24"/>
        </w:rPr>
        <w:t xml:space="preserve"> periods.  We will continually evaluate our policies based on our analysis of the </w:t>
      </w:r>
      <w:r w:rsidR="0029291B">
        <w:rPr>
          <w:rFonts w:ascii="Times New Roman" w:hAnsi="Times New Roman"/>
          <w:sz w:val="24"/>
          <w:szCs w:val="24"/>
        </w:rPr>
        <w:t>MIPS</w:t>
      </w:r>
      <w:r w:rsidR="005D13C5" w:rsidRPr="001213B0">
        <w:rPr>
          <w:rFonts w:ascii="Times New Roman" w:hAnsi="Times New Roman"/>
          <w:sz w:val="24"/>
          <w:szCs w:val="24"/>
        </w:rPr>
        <w:t xml:space="preserve"> and other</w:t>
      </w:r>
      <w:r w:rsidRPr="001213B0">
        <w:rPr>
          <w:rFonts w:ascii="Times New Roman" w:hAnsi="Times New Roman"/>
          <w:sz w:val="24"/>
          <w:szCs w:val="24"/>
        </w:rPr>
        <w:t xml:space="preserve"> data.  For </w:t>
      </w:r>
      <w:r w:rsidR="00C83133" w:rsidRPr="001213B0">
        <w:rPr>
          <w:rFonts w:ascii="Times New Roman" w:hAnsi="Times New Roman"/>
          <w:sz w:val="24"/>
          <w:szCs w:val="24"/>
        </w:rPr>
        <w:t xml:space="preserve">group </w:t>
      </w:r>
      <w:r w:rsidR="006F1BC4">
        <w:rPr>
          <w:rFonts w:ascii="Times New Roman" w:hAnsi="Times New Roman"/>
          <w:sz w:val="24"/>
          <w:szCs w:val="24"/>
        </w:rPr>
        <w:t xml:space="preserve">submission </w:t>
      </w:r>
      <w:r w:rsidR="0029291B">
        <w:rPr>
          <w:rFonts w:ascii="Times New Roman" w:hAnsi="Times New Roman"/>
          <w:sz w:val="24"/>
          <w:szCs w:val="24"/>
        </w:rPr>
        <w:t>through the CMS Web Interface</w:t>
      </w:r>
      <w:r w:rsidRPr="001213B0">
        <w:rPr>
          <w:rFonts w:ascii="Times New Roman" w:hAnsi="Times New Roman"/>
          <w:sz w:val="24"/>
          <w:szCs w:val="24"/>
        </w:rPr>
        <w:t xml:space="preserve">, we note that the methodology was derived from commercially available methods used to compute quality measures in the commercial and Medicare </w:t>
      </w:r>
      <w:r w:rsidRPr="001213B0">
        <w:rPr>
          <w:rFonts w:ascii="Times New Roman" w:hAnsi="Times New Roman"/>
          <w:sz w:val="24"/>
          <w:szCs w:val="24"/>
        </w:rPr>
        <w:lastRenderedPageBreak/>
        <w:t>managed care environment</w:t>
      </w:r>
      <w:r w:rsidR="004816F3">
        <w:rPr>
          <w:rFonts w:ascii="Times New Roman" w:hAnsi="Times New Roman"/>
          <w:sz w:val="24"/>
          <w:szCs w:val="24"/>
        </w:rPr>
        <w:t xml:space="preserve"> and was previously used under the </w:t>
      </w:r>
      <w:r w:rsidR="00042488">
        <w:rPr>
          <w:rFonts w:ascii="Times New Roman" w:hAnsi="Times New Roman"/>
          <w:sz w:val="24"/>
          <w:szCs w:val="24"/>
        </w:rPr>
        <w:t xml:space="preserve">PQRS </w:t>
      </w:r>
      <w:r w:rsidR="004816F3">
        <w:rPr>
          <w:rFonts w:ascii="Times New Roman" w:hAnsi="Times New Roman"/>
          <w:sz w:val="24"/>
          <w:szCs w:val="24"/>
        </w:rPr>
        <w:t>GPRO Web Interface</w:t>
      </w:r>
      <w:r w:rsidR="00121A5B">
        <w:rPr>
          <w:rFonts w:ascii="Times New Roman" w:hAnsi="Times New Roman"/>
          <w:sz w:val="24"/>
          <w:szCs w:val="24"/>
        </w:rPr>
        <w:t>.</w:t>
      </w:r>
      <w:r w:rsidRPr="001213B0">
        <w:rPr>
          <w:rFonts w:ascii="Times New Roman" w:hAnsi="Times New Roman"/>
          <w:sz w:val="24"/>
          <w:szCs w:val="24"/>
        </w:rPr>
        <w:t xml:space="preserve"> </w:t>
      </w:r>
    </w:p>
    <w:p w14:paraId="5A2A0211" w14:textId="77777777" w:rsidR="00AA04A4" w:rsidRDefault="00AA04A4"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04082CA4" w14:textId="73608DBA" w:rsidR="004876BA" w:rsidRPr="003863FA" w:rsidRDefault="004876BA"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 xml:space="preserve">QCDR or Qualified Registry Self-nomination </w:t>
      </w:r>
    </w:p>
    <w:p w14:paraId="6F59115B" w14:textId="174ABFCC" w:rsidR="00AA04A4" w:rsidRPr="00B618D0" w:rsidRDefault="00AA04A4" w:rsidP="00B618D0">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Pr>
          <w:sz w:val="24"/>
        </w:rPr>
      </w:pPr>
      <w:r w:rsidRPr="00EA1F22">
        <w:rPr>
          <w:sz w:val="24"/>
        </w:rPr>
        <w:tab/>
        <w:t xml:space="preserve">As noted above, we plan to modify the QCDR and qualified registry self-nomination process so that they can submit data on behalf of MIPS eligible clinicians and groups for three performance categories: quality, CPIA, and </w:t>
      </w:r>
      <w:r w:rsidRPr="00B618D0">
        <w:rPr>
          <w:sz w:val="24"/>
        </w:rPr>
        <w:t>advancing care information performance category data (if the MIPS eligible clinician or group is using certified EHR technology).</w:t>
      </w:r>
    </w:p>
    <w:p w14:paraId="48A53EDC" w14:textId="6A90A983" w:rsidR="004876BA" w:rsidRPr="00EA1F22" w:rsidRDefault="00AA04A4"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EA1F22">
        <w:rPr>
          <w:sz w:val="24"/>
        </w:rPr>
        <w:tab/>
        <w:t>Prior to the implementation of the modified QCDR and qualified registry self-nomination process via</w:t>
      </w:r>
      <w:r w:rsidR="00A278BB" w:rsidRPr="00EA1F22">
        <w:rPr>
          <w:sz w:val="24"/>
        </w:rPr>
        <w:t xml:space="preserve"> </w:t>
      </w:r>
      <w:r w:rsidRPr="00EA1F22">
        <w:rPr>
          <w:sz w:val="24"/>
        </w:rPr>
        <w:t xml:space="preserve">web-based user interface, testing with fewer than 10 respondents will be completed to ensure that the self-nomination process is functioning as designed. </w:t>
      </w:r>
    </w:p>
    <w:p w14:paraId="4F4CE755" w14:textId="77777777" w:rsidR="004876BA" w:rsidRDefault="004876BA" w:rsidP="00B618D0">
      <w:pPr>
        <w:pStyle w:val="NoSpacing"/>
        <w:spacing w:line="276" w:lineRule="auto"/>
        <w:rPr>
          <w:rFonts w:ascii="Times New Roman" w:hAnsi="Times New Roman"/>
          <w:sz w:val="24"/>
          <w:szCs w:val="24"/>
          <w:u w:val="single"/>
        </w:rPr>
      </w:pPr>
    </w:p>
    <w:p w14:paraId="21BB82DF" w14:textId="6ECD268D" w:rsidR="00326A9E" w:rsidRDefault="001213B0" w:rsidP="00B618D0">
      <w:pPr>
        <w:pStyle w:val="NoSpacing"/>
        <w:spacing w:line="276" w:lineRule="auto"/>
        <w:rPr>
          <w:rFonts w:ascii="Times New Roman" w:hAnsi="Times New Roman"/>
          <w:sz w:val="24"/>
          <w:szCs w:val="24"/>
          <w:u w:val="single"/>
        </w:rPr>
      </w:pPr>
      <w:r w:rsidRPr="001213B0">
        <w:rPr>
          <w:rFonts w:ascii="Times New Roman" w:hAnsi="Times New Roman"/>
          <w:sz w:val="24"/>
          <w:szCs w:val="24"/>
          <w:u w:val="single"/>
        </w:rPr>
        <w:t>MIPS Data Validation Survey</w:t>
      </w:r>
    </w:p>
    <w:p w14:paraId="43149A34" w14:textId="06632972" w:rsidR="00DA3030" w:rsidRDefault="00DA3030" w:rsidP="00B618D0">
      <w:pPr>
        <w:pStyle w:val="NoSpacing"/>
        <w:spacing w:line="276" w:lineRule="auto"/>
        <w:ind w:firstLine="720"/>
        <w:rPr>
          <w:rFonts w:ascii="Times New Roman" w:hAnsi="Times New Roman"/>
          <w:sz w:val="24"/>
          <w:szCs w:val="24"/>
        </w:rPr>
      </w:pPr>
      <w:r w:rsidRPr="001213B0">
        <w:rPr>
          <w:rFonts w:ascii="Times New Roman" w:hAnsi="Times New Roman"/>
          <w:sz w:val="24"/>
          <w:szCs w:val="24"/>
        </w:rPr>
        <w:t xml:space="preserve">Prior to the implementation of new surveys, testing </w:t>
      </w:r>
      <w:r w:rsidR="00A578BA">
        <w:rPr>
          <w:rFonts w:ascii="Times New Roman" w:hAnsi="Times New Roman"/>
          <w:sz w:val="24"/>
          <w:szCs w:val="24"/>
        </w:rPr>
        <w:t xml:space="preserve">with fewer than 10 respondents </w:t>
      </w:r>
      <w:r w:rsidR="00750A28">
        <w:rPr>
          <w:rFonts w:ascii="Times New Roman" w:hAnsi="Times New Roman"/>
          <w:sz w:val="24"/>
          <w:szCs w:val="24"/>
        </w:rPr>
        <w:t>will be</w:t>
      </w:r>
      <w:r w:rsidR="00750A28" w:rsidRPr="001213B0">
        <w:rPr>
          <w:rFonts w:ascii="Times New Roman" w:hAnsi="Times New Roman"/>
          <w:sz w:val="24"/>
          <w:szCs w:val="24"/>
        </w:rPr>
        <w:t xml:space="preserve"> </w:t>
      </w:r>
      <w:r w:rsidRPr="001213B0">
        <w:rPr>
          <w:rFonts w:ascii="Times New Roman" w:hAnsi="Times New Roman"/>
          <w:sz w:val="24"/>
          <w:szCs w:val="24"/>
        </w:rPr>
        <w:t>completed to ensure that the survey is functioning as designed.</w:t>
      </w:r>
    </w:p>
    <w:p w14:paraId="78FF6BDE" w14:textId="7390E717" w:rsidR="0082414C" w:rsidRDefault="0082414C" w:rsidP="00B618D0">
      <w:pPr>
        <w:widowControl/>
        <w:autoSpaceDE/>
        <w:autoSpaceDN/>
        <w:adjustRightInd/>
        <w:spacing w:line="276" w:lineRule="auto"/>
        <w:rPr>
          <w:rFonts w:eastAsia="Calibri"/>
          <w:sz w:val="24"/>
          <w:szCs w:val="22"/>
          <w:u w:val="single"/>
        </w:rPr>
      </w:pPr>
    </w:p>
    <w:p w14:paraId="4E268457" w14:textId="398697C1" w:rsidR="004829AE" w:rsidRPr="00656F15" w:rsidRDefault="004829AE" w:rsidP="00B618D0">
      <w:pPr>
        <w:pStyle w:val="NoSpacing"/>
        <w:spacing w:line="276" w:lineRule="auto"/>
        <w:rPr>
          <w:rFonts w:ascii="Times New Roman" w:hAnsi="Times New Roman"/>
          <w:sz w:val="24"/>
          <w:szCs w:val="24"/>
        </w:rPr>
      </w:pPr>
      <w:r w:rsidRPr="00656F15">
        <w:rPr>
          <w:rFonts w:ascii="Times New Roman" w:hAnsi="Times New Roman"/>
          <w:sz w:val="24"/>
          <w:u w:val="single"/>
        </w:rPr>
        <w:t xml:space="preserve">Advancing Care Information and </w:t>
      </w:r>
      <w:r w:rsidR="00EC0546">
        <w:rPr>
          <w:rFonts w:ascii="Times New Roman" w:hAnsi="Times New Roman"/>
          <w:sz w:val="24"/>
          <w:u w:val="single"/>
        </w:rPr>
        <w:t>CPIA</w:t>
      </w:r>
      <w:r w:rsidRPr="00656F15">
        <w:rPr>
          <w:rFonts w:ascii="Times New Roman" w:hAnsi="Times New Roman"/>
          <w:sz w:val="24"/>
          <w:u w:val="single"/>
        </w:rPr>
        <w:t xml:space="preserve"> </w:t>
      </w:r>
      <w:r w:rsidR="00353D44">
        <w:rPr>
          <w:rFonts w:ascii="Times New Roman" w:hAnsi="Times New Roman"/>
          <w:sz w:val="24"/>
          <w:u w:val="single"/>
        </w:rPr>
        <w:t xml:space="preserve">Performance </w:t>
      </w:r>
      <w:r w:rsidR="00571AE8">
        <w:rPr>
          <w:rFonts w:ascii="Times New Roman" w:hAnsi="Times New Roman"/>
          <w:sz w:val="24"/>
          <w:u w:val="single"/>
        </w:rPr>
        <w:t>Categories</w:t>
      </w:r>
    </w:p>
    <w:p w14:paraId="53263482" w14:textId="60793203" w:rsidR="004829AE" w:rsidRDefault="004829AE" w:rsidP="00B618D0">
      <w:pPr>
        <w:pStyle w:val="NoSpacing"/>
        <w:spacing w:line="276" w:lineRule="auto"/>
        <w:rPr>
          <w:rFonts w:ascii="Times New Roman" w:hAnsi="Times New Roman"/>
          <w:sz w:val="24"/>
          <w:szCs w:val="24"/>
        </w:rPr>
      </w:pPr>
      <w:r>
        <w:rPr>
          <w:rFonts w:ascii="Times New Roman" w:hAnsi="Times New Roman"/>
          <w:sz w:val="24"/>
          <w:szCs w:val="24"/>
        </w:rPr>
        <w:tab/>
      </w:r>
      <w:r w:rsidR="00750A28" w:rsidRPr="001213B0">
        <w:rPr>
          <w:rFonts w:ascii="Times New Roman" w:hAnsi="Times New Roman"/>
          <w:sz w:val="24"/>
          <w:szCs w:val="24"/>
        </w:rPr>
        <w:t xml:space="preserve">As stated above, we </w:t>
      </w:r>
      <w:r w:rsidR="00353D44">
        <w:rPr>
          <w:rFonts w:ascii="Times New Roman" w:hAnsi="Times New Roman"/>
          <w:sz w:val="24"/>
          <w:szCs w:val="24"/>
        </w:rPr>
        <w:t>expect that our initial</w:t>
      </w:r>
      <w:r w:rsidR="00750A28" w:rsidRPr="001213B0">
        <w:rPr>
          <w:rFonts w:ascii="Times New Roman" w:hAnsi="Times New Roman"/>
          <w:sz w:val="24"/>
          <w:szCs w:val="24"/>
        </w:rPr>
        <w:t xml:space="preserve"> experience with MIPS will clarify optimal </w:t>
      </w:r>
      <w:r w:rsidR="00142E46">
        <w:rPr>
          <w:rFonts w:ascii="Times New Roman" w:hAnsi="Times New Roman"/>
          <w:sz w:val="24"/>
          <w:szCs w:val="24"/>
        </w:rPr>
        <w:t xml:space="preserve">data </w:t>
      </w:r>
      <w:r w:rsidR="00750A28">
        <w:rPr>
          <w:rFonts w:ascii="Times New Roman" w:hAnsi="Times New Roman"/>
          <w:sz w:val="24"/>
          <w:szCs w:val="24"/>
        </w:rPr>
        <w:t xml:space="preserve">submission </w:t>
      </w:r>
      <w:r w:rsidR="00750A28" w:rsidRPr="001213B0">
        <w:rPr>
          <w:rFonts w:ascii="Times New Roman" w:hAnsi="Times New Roman"/>
          <w:sz w:val="24"/>
          <w:szCs w:val="24"/>
        </w:rPr>
        <w:t xml:space="preserve">criteria for use in future </w:t>
      </w:r>
      <w:r w:rsidR="00750A28">
        <w:rPr>
          <w:rFonts w:ascii="Times New Roman" w:hAnsi="Times New Roman"/>
          <w:sz w:val="24"/>
          <w:szCs w:val="24"/>
        </w:rPr>
        <w:t>performance</w:t>
      </w:r>
      <w:r w:rsidR="00750A28" w:rsidRPr="001213B0">
        <w:rPr>
          <w:rFonts w:ascii="Times New Roman" w:hAnsi="Times New Roman"/>
          <w:sz w:val="24"/>
          <w:szCs w:val="24"/>
        </w:rPr>
        <w:t xml:space="preserve"> periods.  We will continually evaluate our policies based on our analysis of the </w:t>
      </w:r>
      <w:r w:rsidR="00750A28">
        <w:rPr>
          <w:rFonts w:ascii="Times New Roman" w:hAnsi="Times New Roman"/>
          <w:sz w:val="24"/>
          <w:szCs w:val="24"/>
        </w:rPr>
        <w:t>MIPS</w:t>
      </w:r>
      <w:r w:rsidR="00750A28" w:rsidRPr="001213B0">
        <w:rPr>
          <w:rFonts w:ascii="Times New Roman" w:hAnsi="Times New Roman"/>
          <w:sz w:val="24"/>
          <w:szCs w:val="24"/>
        </w:rPr>
        <w:t xml:space="preserve"> and other data.  </w:t>
      </w:r>
    </w:p>
    <w:p w14:paraId="7069AC7A" w14:textId="77777777" w:rsidR="00DC275F" w:rsidRDefault="00DC275F" w:rsidP="00B618D0">
      <w:pPr>
        <w:pStyle w:val="NoSpacing"/>
        <w:spacing w:line="276" w:lineRule="auto"/>
        <w:rPr>
          <w:rFonts w:ascii="Times New Roman" w:hAnsi="Times New Roman"/>
          <w:sz w:val="24"/>
          <w:szCs w:val="24"/>
        </w:rPr>
      </w:pPr>
    </w:p>
    <w:p w14:paraId="0DEF942F" w14:textId="6180B8FC" w:rsidR="00353D44" w:rsidRDefault="00353D44" w:rsidP="00B618D0">
      <w:pPr>
        <w:spacing w:line="276" w:lineRule="auto"/>
        <w:rPr>
          <w:sz w:val="24"/>
          <w:u w:val="single"/>
        </w:rPr>
      </w:pPr>
      <w:r>
        <w:rPr>
          <w:sz w:val="24"/>
          <w:u w:val="single"/>
        </w:rPr>
        <w:t>Partial QP Election for Advanced APM</w:t>
      </w:r>
      <w:r w:rsidR="00171E3D">
        <w:rPr>
          <w:sz w:val="24"/>
          <w:u w:val="single"/>
        </w:rPr>
        <w:t xml:space="preserve"> Entities</w:t>
      </w:r>
    </w:p>
    <w:p w14:paraId="158AC6DA" w14:textId="66F404B4" w:rsidR="00A578BA" w:rsidRDefault="00A578BA" w:rsidP="00B618D0">
      <w:pPr>
        <w:pStyle w:val="NoSpacing"/>
        <w:spacing w:line="276" w:lineRule="auto"/>
        <w:ind w:firstLine="360"/>
        <w:rPr>
          <w:rFonts w:ascii="Times New Roman" w:hAnsi="Times New Roman"/>
          <w:sz w:val="24"/>
          <w:szCs w:val="24"/>
        </w:rPr>
      </w:pPr>
      <w:r w:rsidRPr="001213B0">
        <w:rPr>
          <w:rFonts w:ascii="Times New Roman" w:hAnsi="Times New Roman"/>
          <w:sz w:val="24"/>
          <w:szCs w:val="24"/>
        </w:rPr>
        <w:t xml:space="preserve">Prior to the implementation of </w:t>
      </w:r>
      <w:r>
        <w:rPr>
          <w:rFonts w:ascii="Times New Roman" w:hAnsi="Times New Roman"/>
          <w:sz w:val="24"/>
          <w:szCs w:val="24"/>
        </w:rPr>
        <w:t>the Partial QP election data via</w:t>
      </w:r>
      <w:r w:rsidR="008B2728">
        <w:rPr>
          <w:rFonts w:ascii="Times New Roman" w:hAnsi="Times New Roman"/>
          <w:sz w:val="24"/>
          <w:szCs w:val="24"/>
        </w:rPr>
        <w:t xml:space="preserve"> a web-based use</w:t>
      </w:r>
      <w:r w:rsidR="00F10651">
        <w:rPr>
          <w:rFonts w:ascii="Times New Roman" w:hAnsi="Times New Roman"/>
          <w:sz w:val="24"/>
          <w:szCs w:val="24"/>
        </w:rPr>
        <w:t>r</w:t>
      </w:r>
      <w:r w:rsidR="008B2728">
        <w:rPr>
          <w:rFonts w:ascii="Times New Roman" w:hAnsi="Times New Roman"/>
          <w:sz w:val="24"/>
          <w:szCs w:val="24"/>
        </w:rPr>
        <w:t xml:space="preserve"> </w:t>
      </w:r>
      <w:r w:rsidR="00F10651">
        <w:rPr>
          <w:rFonts w:ascii="Times New Roman" w:hAnsi="Times New Roman"/>
          <w:sz w:val="24"/>
          <w:szCs w:val="24"/>
        </w:rPr>
        <w:t>interface,</w:t>
      </w:r>
      <w:r w:rsidRPr="001213B0">
        <w:rPr>
          <w:rFonts w:ascii="Times New Roman" w:hAnsi="Times New Roman"/>
          <w:sz w:val="24"/>
          <w:szCs w:val="24"/>
        </w:rPr>
        <w:t xml:space="preserve"> testing </w:t>
      </w:r>
      <w:r>
        <w:rPr>
          <w:rFonts w:ascii="Times New Roman" w:hAnsi="Times New Roman"/>
          <w:sz w:val="24"/>
          <w:szCs w:val="24"/>
        </w:rPr>
        <w:t>with fewer than 10 respondents will be</w:t>
      </w:r>
      <w:r w:rsidRPr="001213B0">
        <w:rPr>
          <w:rFonts w:ascii="Times New Roman" w:hAnsi="Times New Roman"/>
          <w:sz w:val="24"/>
          <w:szCs w:val="24"/>
        </w:rPr>
        <w:t xml:space="preserve"> </w:t>
      </w:r>
      <w:r>
        <w:rPr>
          <w:rFonts w:ascii="Times New Roman" w:hAnsi="Times New Roman"/>
          <w:sz w:val="24"/>
          <w:szCs w:val="24"/>
        </w:rPr>
        <w:t xml:space="preserve">completed to ensure that the data submission tool </w:t>
      </w:r>
      <w:r w:rsidRPr="001213B0">
        <w:rPr>
          <w:rFonts w:ascii="Times New Roman" w:hAnsi="Times New Roman"/>
          <w:sz w:val="24"/>
          <w:szCs w:val="24"/>
        </w:rPr>
        <w:t>is functioning as designed.</w:t>
      </w:r>
    </w:p>
    <w:p w14:paraId="5E189F0B" w14:textId="77777777" w:rsidR="004829AE" w:rsidRDefault="004829AE" w:rsidP="00B63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660F1DA9" w14:textId="633407B5" w:rsidR="00173F05" w:rsidRDefault="00173F05"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5.</w:t>
      </w:r>
      <w:r w:rsidRPr="00424762">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024FB66D" w14:textId="5E28CFC0" w:rsidR="00901169" w:rsidRDefault="00901169"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EB6E22C" w14:textId="63F6BA85" w:rsidR="0007643E" w:rsidRPr="0007643E" w:rsidRDefault="0007643E"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sidRPr="0007643E">
        <w:rPr>
          <w:sz w:val="24"/>
          <w:u w:val="single"/>
        </w:rPr>
        <w:t xml:space="preserve">Quality, Advancing Care Information, and </w:t>
      </w:r>
      <w:r w:rsidR="009A44A4">
        <w:rPr>
          <w:sz w:val="24"/>
          <w:u w:val="single"/>
        </w:rPr>
        <w:t>C</w:t>
      </w:r>
      <w:r w:rsidR="00EC0546">
        <w:rPr>
          <w:sz w:val="24"/>
          <w:u w:val="single"/>
        </w:rPr>
        <w:t xml:space="preserve">PIA </w:t>
      </w:r>
      <w:r w:rsidR="00571AE8">
        <w:rPr>
          <w:sz w:val="24"/>
          <w:u w:val="single"/>
        </w:rPr>
        <w:t xml:space="preserve">Performance </w:t>
      </w:r>
      <w:r w:rsidR="00EC0546">
        <w:rPr>
          <w:sz w:val="24"/>
          <w:u w:val="single"/>
        </w:rPr>
        <w:t>C</w:t>
      </w:r>
      <w:r w:rsidR="009A44A4">
        <w:rPr>
          <w:sz w:val="24"/>
          <w:u w:val="single"/>
        </w:rPr>
        <w:t xml:space="preserve">ategory </w:t>
      </w:r>
      <w:r w:rsidRPr="0007643E">
        <w:rPr>
          <w:sz w:val="24"/>
          <w:u w:val="single"/>
        </w:rPr>
        <w:t xml:space="preserve">Data </w:t>
      </w:r>
    </w:p>
    <w:p w14:paraId="5649593D" w14:textId="0E4A12FC" w:rsidR="0007643E" w:rsidRDefault="00901169"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lastRenderedPageBreak/>
        <w:tab/>
      </w:r>
      <w:r w:rsidR="0024296D">
        <w:rPr>
          <w:sz w:val="24"/>
        </w:rPr>
        <w:tab/>
      </w:r>
      <w:r>
        <w:rPr>
          <w:sz w:val="24"/>
        </w:rPr>
        <w:t>We anticipate that a contractor</w:t>
      </w:r>
      <w:r w:rsidR="004628B9">
        <w:rPr>
          <w:sz w:val="24"/>
        </w:rPr>
        <w:t xml:space="preserve"> (TBD)</w:t>
      </w:r>
      <w:r>
        <w:rPr>
          <w:sz w:val="24"/>
        </w:rPr>
        <w:t xml:space="preserve"> will analyze information collected from individu</w:t>
      </w:r>
      <w:r w:rsidR="004628B9">
        <w:rPr>
          <w:sz w:val="24"/>
        </w:rPr>
        <w:t xml:space="preserve">al </w:t>
      </w:r>
      <w:r w:rsidR="00142E46">
        <w:rPr>
          <w:sz w:val="24"/>
        </w:rPr>
        <w:t xml:space="preserve">MIPS eligible </w:t>
      </w:r>
      <w:r w:rsidR="004628B9">
        <w:rPr>
          <w:sz w:val="24"/>
        </w:rPr>
        <w:t>clinicians submitting data to the quality</w:t>
      </w:r>
      <w:r w:rsidR="00571AE8">
        <w:rPr>
          <w:sz w:val="24"/>
        </w:rPr>
        <w:t>,</w:t>
      </w:r>
      <w:r w:rsidR="004628B9">
        <w:rPr>
          <w:sz w:val="24"/>
        </w:rPr>
        <w:t xml:space="preserve"> advancing care information, and </w:t>
      </w:r>
      <w:r w:rsidR="009A44A4">
        <w:rPr>
          <w:sz w:val="24"/>
        </w:rPr>
        <w:t>CPIA</w:t>
      </w:r>
      <w:r w:rsidR="004628B9">
        <w:rPr>
          <w:sz w:val="24"/>
        </w:rPr>
        <w:t xml:space="preserve"> </w:t>
      </w:r>
      <w:r w:rsidR="00571AE8">
        <w:rPr>
          <w:sz w:val="24"/>
        </w:rPr>
        <w:t xml:space="preserve">performance </w:t>
      </w:r>
      <w:r w:rsidR="004628B9">
        <w:rPr>
          <w:sz w:val="24"/>
        </w:rPr>
        <w:t>categories</w:t>
      </w:r>
      <w:r w:rsidR="0007643E">
        <w:rPr>
          <w:sz w:val="24"/>
        </w:rPr>
        <w:t>.</w:t>
      </w:r>
    </w:p>
    <w:p w14:paraId="14A2E139" w14:textId="77777777" w:rsidR="002706F6" w:rsidRDefault="002706F6"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sz w:val="24"/>
          <w:u w:val="single"/>
        </w:rPr>
      </w:pPr>
    </w:p>
    <w:p w14:paraId="003F1B5A" w14:textId="4D216169" w:rsidR="001213B0" w:rsidRPr="001213B0" w:rsidRDefault="0007643E"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CMS</w:t>
      </w:r>
      <w:r w:rsidRPr="001213B0">
        <w:rPr>
          <w:sz w:val="24"/>
          <w:u w:val="single"/>
        </w:rPr>
        <w:t xml:space="preserve"> </w:t>
      </w:r>
      <w:r w:rsidR="00B772FB">
        <w:rPr>
          <w:sz w:val="24"/>
          <w:u w:val="single"/>
        </w:rPr>
        <w:t xml:space="preserve">Web Interface </w:t>
      </w:r>
      <w:r w:rsidR="001213B0" w:rsidRPr="001213B0">
        <w:rPr>
          <w:sz w:val="24"/>
          <w:u w:val="single"/>
        </w:rPr>
        <w:t xml:space="preserve">Quality Performance Category </w:t>
      </w:r>
      <w:r>
        <w:rPr>
          <w:sz w:val="24"/>
          <w:u w:val="single"/>
        </w:rPr>
        <w:t>Submission</w:t>
      </w:r>
    </w:p>
    <w:p w14:paraId="6C59DCA3" w14:textId="0E784EAE" w:rsidR="009730CD" w:rsidRPr="00413042" w:rsidRDefault="00C4093D" w:rsidP="00B618D0">
      <w:pPr>
        <w:pStyle w:val="NoSpacing"/>
        <w:spacing w:line="276" w:lineRule="auto"/>
        <w:ind w:firstLine="720"/>
        <w:rPr>
          <w:rFonts w:ascii="Times New Roman" w:hAnsi="Times New Roman"/>
          <w:color w:val="000000" w:themeColor="text1"/>
          <w:sz w:val="24"/>
          <w:szCs w:val="24"/>
        </w:rPr>
      </w:pPr>
      <w:r w:rsidRPr="00413042">
        <w:rPr>
          <w:rFonts w:ascii="Times New Roman" w:hAnsi="Times New Roman"/>
          <w:color w:val="000000" w:themeColor="text1"/>
          <w:sz w:val="24"/>
          <w:szCs w:val="24"/>
        </w:rPr>
        <w:t>As noted above</w:t>
      </w:r>
      <w:r w:rsidRPr="00413042">
        <w:rPr>
          <w:rFonts w:ascii="Times New Roman" w:hAnsi="Times New Roman"/>
          <w:color w:val="1F497D"/>
          <w:sz w:val="24"/>
          <w:szCs w:val="24"/>
        </w:rPr>
        <w:t xml:space="preserve">, </w:t>
      </w:r>
      <w:r w:rsidRPr="00413042">
        <w:rPr>
          <w:rFonts w:ascii="Times New Roman" w:hAnsi="Times New Roman"/>
          <w:color w:val="000000" w:themeColor="text1"/>
          <w:sz w:val="24"/>
          <w:szCs w:val="24"/>
        </w:rPr>
        <w:t xml:space="preserve">we expect that the statistical methods for the CMS Web Interface </w:t>
      </w:r>
      <w:r w:rsidR="00142E46">
        <w:rPr>
          <w:rFonts w:ascii="Times New Roman" w:hAnsi="Times New Roman"/>
          <w:color w:val="000000" w:themeColor="text1"/>
          <w:sz w:val="24"/>
          <w:szCs w:val="24"/>
        </w:rPr>
        <w:t xml:space="preserve">data </w:t>
      </w:r>
      <w:r w:rsidR="00C540A3">
        <w:rPr>
          <w:rFonts w:ascii="Times New Roman" w:hAnsi="Times New Roman"/>
          <w:color w:val="000000" w:themeColor="text1"/>
          <w:sz w:val="24"/>
          <w:szCs w:val="24"/>
        </w:rPr>
        <w:t>submission</w:t>
      </w:r>
      <w:r w:rsidRPr="00413042">
        <w:rPr>
          <w:rFonts w:ascii="Times New Roman" w:hAnsi="Times New Roman"/>
          <w:color w:val="000000" w:themeColor="text1"/>
          <w:sz w:val="24"/>
          <w:szCs w:val="24"/>
        </w:rPr>
        <w:t xml:space="preserve"> option will be very similar to those developed for the GPRO Web Interface </w:t>
      </w:r>
      <w:r w:rsidR="00142E46">
        <w:rPr>
          <w:rFonts w:ascii="Times New Roman" w:hAnsi="Times New Roman"/>
          <w:color w:val="000000" w:themeColor="text1"/>
          <w:sz w:val="24"/>
          <w:szCs w:val="24"/>
        </w:rPr>
        <w:t xml:space="preserve">data </w:t>
      </w:r>
      <w:r w:rsidR="006F1BC4" w:rsidRPr="00413042">
        <w:rPr>
          <w:rFonts w:ascii="Times New Roman" w:hAnsi="Times New Roman"/>
          <w:color w:val="000000" w:themeColor="text1"/>
          <w:sz w:val="24"/>
          <w:szCs w:val="24"/>
        </w:rPr>
        <w:t xml:space="preserve">submission </w:t>
      </w:r>
      <w:r w:rsidRPr="00413042">
        <w:rPr>
          <w:rFonts w:ascii="Times New Roman" w:hAnsi="Times New Roman"/>
          <w:color w:val="000000" w:themeColor="text1"/>
          <w:sz w:val="24"/>
          <w:szCs w:val="24"/>
        </w:rPr>
        <w:t>option</w:t>
      </w:r>
      <w:r w:rsidR="004628B9" w:rsidRPr="00413042">
        <w:rPr>
          <w:rFonts w:ascii="Times New Roman" w:hAnsi="Times New Roman"/>
          <w:color w:val="000000" w:themeColor="text1"/>
          <w:sz w:val="24"/>
          <w:szCs w:val="24"/>
        </w:rPr>
        <w:t xml:space="preserve">. </w:t>
      </w:r>
      <w:r w:rsidR="004628B9" w:rsidRPr="00413042">
        <w:rPr>
          <w:rFonts w:ascii="Times New Roman" w:hAnsi="Times New Roman"/>
          <w:sz w:val="24"/>
        </w:rPr>
        <w:t>The methods were adopted from the PGP demonstration, the National Committee for Quality Assurance</w:t>
      </w:r>
      <w:r w:rsidR="00F827DC">
        <w:rPr>
          <w:rFonts w:ascii="Times New Roman" w:hAnsi="Times New Roman"/>
          <w:sz w:val="24"/>
        </w:rPr>
        <w:t xml:space="preserve"> (NCQA)</w:t>
      </w:r>
      <w:r w:rsidR="004628B9" w:rsidRPr="00413042">
        <w:rPr>
          <w:rFonts w:ascii="Times New Roman" w:hAnsi="Times New Roman"/>
          <w:sz w:val="24"/>
        </w:rPr>
        <w:t xml:space="preserve"> and RTI International were consulted on the development of the sampling methodology.  A contractor (TBD) will administer the sampling methodology for the CMS Web </w:t>
      </w:r>
      <w:r w:rsidR="002C16A6">
        <w:rPr>
          <w:rFonts w:ascii="Times New Roman" w:hAnsi="Times New Roman"/>
          <w:sz w:val="24"/>
        </w:rPr>
        <w:t>I</w:t>
      </w:r>
      <w:r w:rsidR="004628B9" w:rsidRPr="00413042">
        <w:rPr>
          <w:rFonts w:ascii="Times New Roman" w:hAnsi="Times New Roman"/>
          <w:sz w:val="24"/>
        </w:rPr>
        <w:t xml:space="preserve">nterface. </w:t>
      </w:r>
      <w:r w:rsidRPr="00413042">
        <w:rPr>
          <w:rFonts w:ascii="Times New Roman" w:hAnsi="Times New Roman"/>
          <w:color w:val="000000" w:themeColor="text1"/>
          <w:sz w:val="24"/>
          <w:szCs w:val="24"/>
        </w:rPr>
        <w:t xml:space="preserve"> </w:t>
      </w:r>
    </w:p>
    <w:p w14:paraId="23403E79" w14:textId="77777777" w:rsidR="004876BA" w:rsidRDefault="004876BA"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71A0DAFF" w14:textId="6DA30D40" w:rsidR="004876BA" w:rsidRPr="003863FA" w:rsidRDefault="004876BA" w:rsidP="00B618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 xml:space="preserve">QCDR or Qualified Registry Self-nomination </w:t>
      </w:r>
      <w:bookmarkStart w:id="4" w:name="_GoBack"/>
      <w:bookmarkEnd w:id="4"/>
    </w:p>
    <w:p w14:paraId="52A0BC0C" w14:textId="29AB641F" w:rsidR="004876BA" w:rsidRPr="00656F15" w:rsidRDefault="004876BA" w:rsidP="00B618D0">
      <w:pPr>
        <w:spacing w:line="276" w:lineRule="auto"/>
        <w:ind w:firstLine="720"/>
        <w:rPr>
          <w:sz w:val="24"/>
        </w:rPr>
      </w:pPr>
      <w:r w:rsidRPr="00656F15">
        <w:rPr>
          <w:sz w:val="24"/>
        </w:rPr>
        <w:t xml:space="preserve">Because a statistical design will not be used, no statistical experts were consulted on the </w:t>
      </w:r>
      <w:r>
        <w:rPr>
          <w:sz w:val="24"/>
        </w:rPr>
        <w:t xml:space="preserve">QCDR or Qualified Registry </w:t>
      </w:r>
      <w:r w:rsidR="00A278BB">
        <w:rPr>
          <w:sz w:val="24"/>
        </w:rPr>
        <w:t>s</w:t>
      </w:r>
      <w:r>
        <w:rPr>
          <w:sz w:val="24"/>
        </w:rPr>
        <w:t>elf-nomination process.</w:t>
      </w:r>
      <w:r w:rsidRPr="00656F15">
        <w:rPr>
          <w:sz w:val="24"/>
        </w:rPr>
        <w:t xml:space="preserve"> </w:t>
      </w:r>
    </w:p>
    <w:p w14:paraId="769E433F" w14:textId="40FD5B34" w:rsidR="002C2758" w:rsidRPr="001213B0" w:rsidRDefault="002C2758" w:rsidP="00B61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9C26082" w14:textId="77777777" w:rsidR="001213B0" w:rsidRDefault="001213B0" w:rsidP="00B618D0">
      <w:pPr>
        <w:pStyle w:val="NoSpacing"/>
        <w:spacing w:line="276" w:lineRule="auto"/>
        <w:rPr>
          <w:rFonts w:ascii="Times New Roman" w:hAnsi="Times New Roman"/>
          <w:sz w:val="24"/>
          <w:szCs w:val="24"/>
          <w:u w:val="single"/>
        </w:rPr>
      </w:pPr>
      <w:r w:rsidRPr="001213B0">
        <w:rPr>
          <w:rFonts w:ascii="Times New Roman" w:hAnsi="Times New Roman"/>
          <w:sz w:val="24"/>
          <w:szCs w:val="24"/>
          <w:u w:val="single"/>
        </w:rPr>
        <w:t>MIPS Data Validation Survey</w:t>
      </w:r>
    </w:p>
    <w:p w14:paraId="404995A0" w14:textId="2CDDE234" w:rsidR="00DA3030" w:rsidRDefault="00C4093D" w:rsidP="00B618D0">
      <w:pPr>
        <w:pStyle w:val="NoSpacing"/>
        <w:spacing w:line="276" w:lineRule="auto"/>
        <w:ind w:firstLine="720"/>
        <w:rPr>
          <w:rFonts w:ascii="Times New Roman" w:hAnsi="Times New Roman"/>
          <w:sz w:val="24"/>
          <w:szCs w:val="24"/>
        </w:rPr>
      </w:pPr>
      <w:r>
        <w:rPr>
          <w:rFonts w:ascii="Times New Roman" w:hAnsi="Times New Roman"/>
          <w:sz w:val="24"/>
          <w:szCs w:val="24"/>
        </w:rPr>
        <w:t xml:space="preserve">We expect that the statistical design of the MIPS </w:t>
      </w:r>
      <w:r w:rsidR="002C16A6">
        <w:rPr>
          <w:rFonts w:ascii="Times New Roman" w:hAnsi="Times New Roman"/>
          <w:sz w:val="24"/>
          <w:szCs w:val="24"/>
        </w:rPr>
        <w:t>d</w:t>
      </w:r>
      <w:r>
        <w:rPr>
          <w:rFonts w:ascii="Times New Roman" w:hAnsi="Times New Roman"/>
          <w:sz w:val="24"/>
          <w:szCs w:val="24"/>
        </w:rPr>
        <w:t xml:space="preserve">ata </w:t>
      </w:r>
      <w:r w:rsidR="002C16A6">
        <w:rPr>
          <w:rFonts w:ascii="Times New Roman" w:hAnsi="Times New Roman"/>
          <w:sz w:val="24"/>
          <w:szCs w:val="24"/>
        </w:rPr>
        <w:t>v</w:t>
      </w:r>
      <w:r>
        <w:rPr>
          <w:rFonts w:ascii="Times New Roman" w:hAnsi="Times New Roman"/>
          <w:sz w:val="24"/>
          <w:szCs w:val="24"/>
        </w:rPr>
        <w:t xml:space="preserve">alidation </w:t>
      </w:r>
      <w:r w:rsidR="002C16A6">
        <w:rPr>
          <w:rFonts w:ascii="Times New Roman" w:hAnsi="Times New Roman"/>
          <w:sz w:val="24"/>
          <w:szCs w:val="24"/>
        </w:rPr>
        <w:t>s</w:t>
      </w:r>
      <w:r>
        <w:rPr>
          <w:rFonts w:ascii="Times New Roman" w:hAnsi="Times New Roman"/>
          <w:sz w:val="24"/>
          <w:szCs w:val="24"/>
        </w:rPr>
        <w:t xml:space="preserve">urvey will be very similar to those for the PQRS </w:t>
      </w:r>
      <w:r w:rsidR="002C16A6">
        <w:rPr>
          <w:rFonts w:ascii="Times New Roman" w:hAnsi="Times New Roman"/>
          <w:sz w:val="24"/>
          <w:szCs w:val="24"/>
        </w:rPr>
        <w:t>d</w:t>
      </w:r>
      <w:r>
        <w:rPr>
          <w:rFonts w:ascii="Times New Roman" w:hAnsi="Times New Roman"/>
          <w:sz w:val="24"/>
          <w:szCs w:val="24"/>
        </w:rPr>
        <w:t xml:space="preserve">ata </w:t>
      </w:r>
      <w:r w:rsidR="002C16A6">
        <w:rPr>
          <w:rFonts w:ascii="Times New Roman" w:hAnsi="Times New Roman"/>
          <w:sz w:val="24"/>
          <w:szCs w:val="24"/>
        </w:rPr>
        <w:t>v</w:t>
      </w:r>
      <w:r>
        <w:rPr>
          <w:rFonts w:ascii="Times New Roman" w:hAnsi="Times New Roman"/>
          <w:sz w:val="24"/>
          <w:szCs w:val="24"/>
        </w:rPr>
        <w:t xml:space="preserve">alidation </w:t>
      </w:r>
      <w:r w:rsidR="002C16A6">
        <w:rPr>
          <w:rFonts w:ascii="Times New Roman" w:hAnsi="Times New Roman"/>
          <w:sz w:val="24"/>
          <w:szCs w:val="24"/>
        </w:rPr>
        <w:t>s</w:t>
      </w:r>
      <w:r>
        <w:rPr>
          <w:rFonts w:ascii="Times New Roman" w:hAnsi="Times New Roman"/>
          <w:sz w:val="24"/>
          <w:szCs w:val="24"/>
        </w:rPr>
        <w:t xml:space="preserve">urvey. IBM Corporation and NCQA were consulted on the statistical aspects of the design of the PQRS </w:t>
      </w:r>
      <w:r w:rsidR="002C16A6">
        <w:rPr>
          <w:rFonts w:ascii="Times New Roman" w:hAnsi="Times New Roman"/>
          <w:sz w:val="24"/>
          <w:szCs w:val="24"/>
        </w:rPr>
        <w:t>d</w:t>
      </w:r>
      <w:r>
        <w:rPr>
          <w:rFonts w:ascii="Times New Roman" w:hAnsi="Times New Roman"/>
          <w:sz w:val="24"/>
          <w:szCs w:val="24"/>
        </w:rPr>
        <w:t xml:space="preserve">ata </w:t>
      </w:r>
      <w:r w:rsidR="002C16A6">
        <w:rPr>
          <w:rFonts w:ascii="Times New Roman" w:hAnsi="Times New Roman"/>
          <w:sz w:val="24"/>
          <w:szCs w:val="24"/>
        </w:rPr>
        <w:t>v</w:t>
      </w:r>
      <w:r>
        <w:rPr>
          <w:rFonts w:ascii="Times New Roman" w:hAnsi="Times New Roman"/>
          <w:sz w:val="24"/>
          <w:szCs w:val="24"/>
        </w:rPr>
        <w:t xml:space="preserve">alidation </w:t>
      </w:r>
      <w:r w:rsidR="002C16A6">
        <w:rPr>
          <w:rFonts w:ascii="Times New Roman" w:hAnsi="Times New Roman"/>
          <w:sz w:val="24"/>
          <w:szCs w:val="24"/>
        </w:rPr>
        <w:t>s</w:t>
      </w:r>
      <w:r>
        <w:rPr>
          <w:rFonts w:ascii="Times New Roman" w:hAnsi="Times New Roman"/>
          <w:sz w:val="24"/>
          <w:szCs w:val="24"/>
        </w:rPr>
        <w:t xml:space="preserve">urvey. </w:t>
      </w:r>
    </w:p>
    <w:p w14:paraId="402E0D8D" w14:textId="77777777" w:rsidR="00171E3D" w:rsidRPr="001213B0" w:rsidRDefault="00171E3D" w:rsidP="00B618D0">
      <w:pPr>
        <w:pStyle w:val="NoSpacing"/>
        <w:spacing w:line="276" w:lineRule="auto"/>
        <w:ind w:firstLine="720"/>
        <w:rPr>
          <w:rFonts w:ascii="Times New Roman" w:hAnsi="Times New Roman"/>
          <w:sz w:val="24"/>
          <w:szCs w:val="24"/>
        </w:rPr>
      </w:pPr>
    </w:p>
    <w:p w14:paraId="64FF20CC" w14:textId="40C58C0E" w:rsidR="00DA3030" w:rsidRDefault="00750A28" w:rsidP="00B618D0">
      <w:pPr>
        <w:spacing w:line="276" w:lineRule="auto"/>
        <w:rPr>
          <w:sz w:val="24"/>
          <w:u w:val="single"/>
        </w:rPr>
      </w:pPr>
      <w:bookmarkStart w:id="5" w:name="_Ref408572865"/>
      <w:bookmarkEnd w:id="5"/>
      <w:r w:rsidRPr="004829AE">
        <w:rPr>
          <w:sz w:val="24"/>
          <w:u w:val="single"/>
        </w:rPr>
        <w:t xml:space="preserve">Data Submission for </w:t>
      </w:r>
      <w:r>
        <w:rPr>
          <w:sz w:val="24"/>
          <w:u w:val="single"/>
        </w:rPr>
        <w:t>Partial QP Election for Advanced APM</w:t>
      </w:r>
      <w:r w:rsidR="00171E3D">
        <w:rPr>
          <w:sz w:val="24"/>
          <w:u w:val="single"/>
        </w:rPr>
        <w:t xml:space="preserve"> Entities </w:t>
      </w:r>
      <w:r>
        <w:rPr>
          <w:sz w:val="24"/>
          <w:u w:val="single"/>
        </w:rPr>
        <w:t xml:space="preserve"> </w:t>
      </w:r>
    </w:p>
    <w:p w14:paraId="56D25568" w14:textId="283972D1" w:rsidR="00750A28" w:rsidRPr="00656F15" w:rsidRDefault="00750A28" w:rsidP="00B618D0">
      <w:pPr>
        <w:spacing w:line="276" w:lineRule="auto"/>
        <w:ind w:firstLine="720"/>
        <w:rPr>
          <w:sz w:val="24"/>
        </w:rPr>
      </w:pPr>
      <w:r w:rsidRPr="00656F15">
        <w:rPr>
          <w:sz w:val="24"/>
        </w:rPr>
        <w:t xml:space="preserve">Because a statistical design will not be used, no </w:t>
      </w:r>
      <w:r w:rsidR="00450F13" w:rsidRPr="00656F15">
        <w:rPr>
          <w:sz w:val="24"/>
        </w:rPr>
        <w:t xml:space="preserve">statistical </w:t>
      </w:r>
      <w:r w:rsidRPr="00656F15">
        <w:rPr>
          <w:sz w:val="24"/>
        </w:rPr>
        <w:t>experts were consulted on the partial QP Election for Advanced APM</w:t>
      </w:r>
      <w:r w:rsidR="00171E3D">
        <w:rPr>
          <w:sz w:val="24"/>
        </w:rPr>
        <w:t>s</w:t>
      </w:r>
      <w:r w:rsidRPr="00656F15">
        <w:rPr>
          <w:sz w:val="24"/>
        </w:rPr>
        <w:t xml:space="preserve">. </w:t>
      </w:r>
    </w:p>
    <w:sectPr w:rsidR="00750A28" w:rsidRPr="00656F15" w:rsidSect="005E0E49">
      <w:footerReference w:type="default" r:id="rId19"/>
      <w:endnotePr>
        <w:numFmt w:val="decimal"/>
      </w:endnotePr>
      <w:pgSz w:w="12240" w:h="15840"/>
      <w:pgMar w:top="1440" w:right="1296" w:bottom="1440" w:left="1440" w:header="1440" w:footer="1008"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fanie R. Schmidt" w:date="2016-05-18T19:53:00Z" w:initials="SRS">
    <w:p w14:paraId="4FBCA41F" w14:textId="242CAD96" w:rsidR="006F206C" w:rsidRDefault="006F206C">
      <w:pPr>
        <w:pStyle w:val="CommentText"/>
      </w:pPr>
      <w:r>
        <w:rPr>
          <w:rStyle w:val="CommentReference"/>
        </w:rPr>
        <w:annotationRef/>
      </w:r>
      <w:r>
        <w:t>Introduction added in response to OMB verbal request that Supporting Statement B include an overview at the beginning</w:t>
      </w:r>
    </w:p>
  </w:comment>
  <w:comment w:id="1" w:author="Stefanie R. Schmidt" w:date="2016-05-18T19:50:00Z" w:initials="SRS">
    <w:p w14:paraId="30DBED95" w14:textId="3C7039C9" w:rsidR="006F206C" w:rsidRPr="00636FEA" w:rsidRDefault="006F206C" w:rsidP="00636FEA">
      <w:pPr>
        <w:pStyle w:val="ListParagraph"/>
        <w:widowControl/>
        <w:autoSpaceDE/>
        <w:autoSpaceDN/>
        <w:adjustRightInd/>
        <w:ind w:left="0"/>
        <w:contextualSpacing w:val="0"/>
        <w:rPr>
          <w:bCs/>
          <w:iCs/>
          <w:color w:val="000000"/>
          <w:szCs w:val="22"/>
        </w:rPr>
      </w:pPr>
      <w:r>
        <w:rPr>
          <w:rStyle w:val="CommentReference"/>
        </w:rPr>
        <w:annotationRef/>
      </w:r>
      <w:r>
        <w:rPr>
          <w:bCs/>
          <w:iCs/>
          <w:color w:val="000000"/>
          <w:szCs w:val="22"/>
        </w:rPr>
        <w:t>As requested by OMB during phone call, t</w:t>
      </w:r>
      <w:r w:rsidRPr="00636FEA">
        <w:rPr>
          <w:bCs/>
          <w:iCs/>
          <w:color w:val="000000"/>
          <w:szCs w:val="22"/>
        </w:rPr>
        <w:t>his paragra</w:t>
      </w:r>
      <w:r>
        <w:rPr>
          <w:bCs/>
          <w:iCs/>
          <w:color w:val="000000"/>
          <w:szCs w:val="22"/>
        </w:rPr>
        <w:t xml:space="preserve">ph was added to address two questions that OMB sent via email: </w:t>
      </w:r>
      <w:r w:rsidRPr="00636FEA">
        <w:rPr>
          <w:bCs/>
          <w:iCs/>
          <w:color w:val="000000"/>
          <w:szCs w:val="22"/>
        </w:rPr>
        <w:t xml:space="preserve"> </w:t>
      </w:r>
    </w:p>
    <w:p w14:paraId="7C496AFA" w14:textId="7D7DBB08" w:rsidR="006F206C" w:rsidRPr="00636FEA" w:rsidRDefault="006F206C" w:rsidP="00636FEA">
      <w:pPr>
        <w:pStyle w:val="ListParagraph"/>
        <w:widowControl/>
        <w:numPr>
          <w:ilvl w:val="0"/>
          <w:numId w:val="7"/>
        </w:numPr>
        <w:autoSpaceDE/>
        <w:autoSpaceDN/>
        <w:adjustRightInd/>
        <w:contextualSpacing w:val="0"/>
        <w:rPr>
          <w:bCs/>
          <w:iCs/>
          <w:color w:val="000000"/>
          <w:szCs w:val="22"/>
        </w:rPr>
      </w:pPr>
      <w:r w:rsidRPr="00636FEA">
        <w:rPr>
          <w:bCs/>
          <w:iCs/>
          <w:color w:val="000000"/>
        </w:rPr>
        <w:t xml:space="preserve">Is </w:t>
      </w:r>
      <w:r>
        <w:rPr>
          <w:bCs/>
          <w:iCs/>
          <w:color w:val="000000"/>
        </w:rPr>
        <w:t>CMS planning to evaluate measures</w:t>
      </w:r>
      <w:r w:rsidRPr="00636FEA">
        <w:rPr>
          <w:bCs/>
          <w:iCs/>
          <w:color w:val="000000"/>
        </w:rPr>
        <w:t xml:space="preserve"> to see if it is measuring what we intend?</w:t>
      </w:r>
    </w:p>
    <w:p w14:paraId="4EB4F781" w14:textId="3A3BAE24" w:rsidR="006F206C" w:rsidRDefault="006F206C" w:rsidP="00636FEA">
      <w:pPr>
        <w:pStyle w:val="ListParagraph"/>
        <w:widowControl/>
        <w:numPr>
          <w:ilvl w:val="0"/>
          <w:numId w:val="7"/>
        </w:numPr>
        <w:autoSpaceDE/>
        <w:autoSpaceDN/>
        <w:adjustRightInd/>
        <w:contextualSpacing w:val="0"/>
        <w:rPr>
          <w:bCs/>
          <w:iCs/>
          <w:color w:val="1F497D"/>
        </w:rPr>
      </w:pPr>
      <w:r w:rsidRPr="00636FEA">
        <w:rPr>
          <w:bCs/>
          <w:iCs/>
          <w:color w:val="000000"/>
        </w:rPr>
        <w:t>Is CMS planning to evaluate program effectiveness</w:t>
      </w:r>
      <w:r w:rsidRPr="00636FEA">
        <w:rPr>
          <w:bCs/>
          <w:iCs/>
          <w:color w:val="1F497D"/>
        </w:rPr>
        <w:t>?</w:t>
      </w:r>
    </w:p>
    <w:p w14:paraId="711D373E" w14:textId="66947B61" w:rsidR="006F206C" w:rsidRPr="00636FEA" w:rsidRDefault="006F206C" w:rsidP="00636FEA">
      <w:pPr>
        <w:widowControl/>
        <w:autoSpaceDE/>
        <w:autoSpaceDN/>
        <w:adjustRightInd/>
        <w:rPr>
          <w:bCs/>
          <w:iCs/>
          <w:color w:val="1F497D"/>
        </w:rPr>
      </w:pPr>
      <w:r>
        <w:rPr>
          <w:bCs/>
          <w:iCs/>
          <w:color w:val="1F497D"/>
        </w:rPr>
        <w:t xml:space="preserve"> </w:t>
      </w:r>
    </w:p>
    <w:p w14:paraId="259EFB97" w14:textId="77777777" w:rsidR="006F206C" w:rsidRPr="00636FEA" w:rsidRDefault="006F206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BCA41F" w15:done="0"/>
  <w15:commentEx w15:paraId="259EFB9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38B57" w14:textId="77777777" w:rsidR="006F206C" w:rsidRDefault="006F206C">
      <w:r>
        <w:separator/>
      </w:r>
    </w:p>
  </w:endnote>
  <w:endnote w:type="continuationSeparator" w:id="0">
    <w:p w14:paraId="101B5AC1" w14:textId="77777777" w:rsidR="006F206C" w:rsidRDefault="006F206C">
      <w:r>
        <w:continuationSeparator/>
      </w:r>
    </w:p>
  </w:endnote>
  <w:endnote w:type="continuationNotice" w:id="1">
    <w:p w14:paraId="223571A3" w14:textId="77777777" w:rsidR="006F206C" w:rsidRDefault="006F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1995579"/>
      <w:docPartObj>
        <w:docPartGallery w:val="Page Numbers (Bottom of Page)"/>
        <w:docPartUnique/>
      </w:docPartObj>
    </w:sdtPr>
    <w:sdtContent>
      <w:sdt>
        <w:sdtPr>
          <w:rPr>
            <w:szCs w:val="20"/>
          </w:rPr>
          <w:id w:val="565050523"/>
          <w:docPartObj>
            <w:docPartGallery w:val="Page Numbers (Top of Page)"/>
            <w:docPartUnique/>
          </w:docPartObj>
        </w:sdtPr>
        <w:sdtContent>
          <w:p w14:paraId="7C4C79BA" w14:textId="04C095F7" w:rsidR="006F206C" w:rsidRPr="00BD1305" w:rsidRDefault="006F206C">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EA1F22">
              <w:rPr>
                <w:b/>
                <w:noProof/>
                <w:szCs w:val="20"/>
              </w:rPr>
              <w:t>2</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EA1F22">
              <w:rPr>
                <w:b/>
                <w:noProof/>
                <w:szCs w:val="20"/>
              </w:rPr>
              <w:t>15</w:t>
            </w:r>
            <w:r w:rsidRPr="004368E8">
              <w:rPr>
                <w:b/>
                <w:szCs w:val="20"/>
              </w:rPr>
              <w:fldChar w:fldCharType="end"/>
            </w:r>
          </w:p>
        </w:sdtContent>
      </w:sdt>
    </w:sdtContent>
  </w:sdt>
  <w:p w14:paraId="1CE6DB4B" w14:textId="77777777" w:rsidR="006F206C" w:rsidRDefault="006F206C">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04030" w14:textId="77777777" w:rsidR="006F206C" w:rsidRDefault="006F206C">
      <w:r>
        <w:separator/>
      </w:r>
    </w:p>
  </w:footnote>
  <w:footnote w:type="continuationSeparator" w:id="0">
    <w:p w14:paraId="234114E9" w14:textId="77777777" w:rsidR="006F206C" w:rsidRDefault="006F206C">
      <w:r>
        <w:continuationSeparator/>
      </w:r>
    </w:p>
  </w:footnote>
  <w:footnote w:type="continuationNotice" w:id="1">
    <w:p w14:paraId="3726B477" w14:textId="77777777" w:rsidR="006F206C" w:rsidRDefault="006F206C"/>
  </w:footnote>
  <w:footnote w:id="2">
    <w:p w14:paraId="1C64C819" w14:textId="5B708CE8" w:rsidR="006F206C" w:rsidRPr="004816F3" w:rsidRDefault="006F206C" w:rsidP="004816F3">
      <w:pPr>
        <w:pStyle w:val="FootnoteText"/>
      </w:pPr>
      <w:r>
        <w:rPr>
          <w:rStyle w:val="FootnoteReference"/>
        </w:rPr>
        <w:footnoteRef/>
      </w:r>
      <w:r>
        <w:t xml:space="preserve"> </w:t>
      </w:r>
      <w:r w:rsidRPr="004816F3">
        <w:t>The MIPS annual statistical reports will be modeled after two existing annual reports, the PQRS Experience Report and the Value Modifier Report.</w:t>
      </w:r>
    </w:p>
  </w:footnote>
  <w:footnote w:id="3">
    <w:p w14:paraId="02ED6C52" w14:textId="76983FFB" w:rsidR="006F206C" w:rsidRPr="00BC50BC" w:rsidRDefault="006F206C" w:rsidP="00BC50BC">
      <w:pPr>
        <w:pStyle w:val="FootnoteText"/>
      </w:pPr>
      <w:r>
        <w:rPr>
          <w:rStyle w:val="FootnoteReference"/>
        </w:rPr>
        <w:footnoteRef/>
      </w:r>
      <w:r>
        <w:t xml:space="preserve"> </w:t>
      </w:r>
      <w:r w:rsidRPr="00BC50BC">
        <w:t xml:space="preserve">MACRA mandates that the </w:t>
      </w:r>
      <w:r>
        <w:t xml:space="preserve">GAO evaluate and make recommendations regarding </w:t>
      </w:r>
      <w:r w:rsidRPr="00BC50BC">
        <w:t>the Composite Performance Scores and the impa</w:t>
      </w:r>
      <w:r>
        <w:t>ct of technical assistance.</w:t>
      </w:r>
    </w:p>
  </w:footnote>
  <w:footnote w:id="4">
    <w:p w14:paraId="7C580C58" w14:textId="1735393D" w:rsidR="006F206C" w:rsidRDefault="006F206C">
      <w:pPr>
        <w:pStyle w:val="FootnoteText"/>
      </w:pPr>
      <w:r>
        <w:rPr>
          <w:rStyle w:val="FootnoteReference"/>
        </w:rPr>
        <w:footnoteRef/>
      </w:r>
      <w:r>
        <w:t xml:space="preserve"> The 2014 PQRS data are from the most recent PQRS Experience Report, available at: </w:t>
      </w:r>
      <w:r w:rsidRPr="0086469B">
        <w:t>https://www.cms.gov/medicare/quality-initiatives-patient-assessment-instruments/pqrs/analysisandpayment.html</w:t>
      </w:r>
    </w:p>
  </w:footnote>
  <w:footnote w:id="5">
    <w:p w14:paraId="59D98194" w14:textId="77777777" w:rsidR="006F206C" w:rsidRPr="002C7CB7" w:rsidRDefault="006F206C" w:rsidP="00715461">
      <w:pPr>
        <w:pStyle w:val="FootnoteText"/>
      </w:pPr>
      <w:r>
        <w:rPr>
          <w:rStyle w:val="FootnoteReference"/>
        </w:rPr>
        <w:footnoteRef/>
      </w:r>
      <w:r>
        <w:t xml:space="preserve"> Section 1848(q)(1)(C) of the Act defines a MIPS eligible clinician for payment years 1 and 2 as a physician, physician’s assistant, nurse practitioner, or clinical nurse anesthetist, or a group that includes such clinicians. Specialties not listed as eligible in the Act for payment period 1 or 2 include: Audiologists, Certified Nurse Midwives, Clinical Psychologists/Counselors, Clinical Social Workers, Physical/Occupational Therapists, and Registered Dieticians/Nutritionists.</w:t>
      </w:r>
    </w:p>
  </w:footnote>
  <w:footnote w:id="6">
    <w:p w14:paraId="46A1E769" w14:textId="33CFD126" w:rsidR="006F206C" w:rsidRDefault="006F206C" w:rsidP="005348A6">
      <w:pPr>
        <w:pStyle w:val="FootnoteText"/>
      </w:pPr>
      <w:r>
        <w:rPr>
          <w:rStyle w:val="FootnoteReference"/>
        </w:rPr>
        <w:footnoteRef/>
      </w:r>
      <w:r>
        <w:t xml:space="preserve"> We provide an upper and lower bound estimate of our range of MIPS eligible clinicians because of uncertainty as to the number of clinicians who will join new and existing Advanced Alternative Payment Models in 2016. For more details on the estimated number of MIPS eligible clinicians, see the Regulatory Impact Analysis in the Notice of Proposed Rule Making.</w:t>
      </w:r>
    </w:p>
  </w:footnote>
  <w:footnote w:id="7">
    <w:p w14:paraId="790B741C" w14:textId="77777777" w:rsidR="006F206C" w:rsidRDefault="006F206C" w:rsidP="00D33BC1">
      <w:pPr>
        <w:pStyle w:val="FootnoteText"/>
      </w:pPr>
      <w:r>
        <w:rPr>
          <w:rStyle w:val="FootnoteReference"/>
        </w:rPr>
        <w:footnoteRef/>
      </w:r>
      <w:r>
        <w:t xml:space="preserve"> </w:t>
      </w:r>
      <w:r w:rsidRPr="005C67E9">
        <w:t xml:space="preserve">The proposed low-volume threshold is </w:t>
      </w:r>
      <w:r w:rsidRPr="00033AF4">
        <w:t>less than $10,000 in Medicare Allowable charges and fewer than 100 Medicare patients,</w:t>
      </w:r>
    </w:p>
  </w:footnote>
  <w:footnote w:id="8">
    <w:p w14:paraId="47725806" w14:textId="1287233E" w:rsidR="006F206C" w:rsidRDefault="006F206C" w:rsidP="005348A6">
      <w:pPr>
        <w:pStyle w:val="FootnoteText"/>
      </w:pPr>
      <w:r>
        <w:rPr>
          <w:rStyle w:val="FootnoteReference"/>
        </w:rPr>
        <w:footnoteRef/>
      </w:r>
      <w:r>
        <w:t xml:space="preserve"> The Qualifying APM participant estimate also accounts for certain Partial Qualifying APM participants. We provide an upper and lower bound estimate of QPs because of uncertainty as to the number of clinicians who will join new and existing Advanced Alternative Payment Models in 2016. For more details on the estimated number of QPs, see the Regulatory Impact Analysis in the Notice of Proposed Rule Making.</w:t>
      </w:r>
    </w:p>
  </w:footnote>
  <w:footnote w:id="9">
    <w:p w14:paraId="5C03C151" w14:textId="4069415B" w:rsidR="006F206C" w:rsidRDefault="006F206C">
      <w:pPr>
        <w:pStyle w:val="FootnoteText"/>
      </w:pPr>
      <w:r>
        <w:rPr>
          <w:rStyle w:val="FootnoteReference"/>
        </w:rPr>
        <w:footnoteRef/>
      </w:r>
      <w:r>
        <w:t xml:space="preserve"> We are assuming that the number of clinicians who will participate in MIPS quality reporting via the NextGen ACO Model in performance period 2017 will be equal to the number who participated in PQRS through Pioneer ACO Model in 2014. </w:t>
      </w:r>
      <w:r w:rsidR="0008328D">
        <w:t xml:space="preserve">The Next Generation ACO Model is not included in 2014 PQRS data because it was launched in 2015. </w:t>
      </w:r>
      <w:r>
        <w:t>The Pioneer ACO model ends in 2016.</w:t>
      </w:r>
    </w:p>
  </w:footnote>
  <w:footnote w:id="10">
    <w:p w14:paraId="6459AF71" w14:textId="5BAEC407" w:rsidR="006F206C" w:rsidRDefault="006F206C" w:rsidP="000D31A4">
      <w:r>
        <w:rPr>
          <w:rStyle w:val="FootnoteReference"/>
        </w:rPr>
        <w:footnoteRef/>
      </w:r>
      <w:r>
        <w:t xml:space="preserve">As noted above, the CMS Web Interface will use similar sampling specifications as under the PQRS GPRO Web Interface. For additional information on sampling under the PQRS GPRO Web Interface Reporting Option, see </w:t>
      </w:r>
      <w:r w:rsidRPr="006F206C">
        <w:t>https://www.cms.gov/Medicare/Quality-Initiatives-Patient-Assessment-Instruments/PQRS/GPRO_Web_Interface.html</w:t>
      </w:r>
    </w:p>
    <w:p w14:paraId="5FAC8087" w14:textId="77777777" w:rsidR="006F206C" w:rsidRDefault="006F206C" w:rsidP="000D31A4">
      <w:pPr>
        <w:pStyle w:val="FootnoteText"/>
      </w:pPr>
    </w:p>
  </w:footnote>
  <w:footnote w:id="11">
    <w:p w14:paraId="50481A0B" w14:textId="77777777" w:rsidR="006F206C" w:rsidRPr="0007426C" w:rsidRDefault="006F206C" w:rsidP="000245A7">
      <w:pPr>
        <w:pStyle w:val="FootnoteText"/>
      </w:pPr>
      <w:r w:rsidRPr="0007426C">
        <w:rPr>
          <w:rStyle w:val="FootnoteReference"/>
        </w:rPr>
        <w:footnoteRef/>
      </w:r>
      <w:r w:rsidRPr="0007426C">
        <w:t xml:space="preserve"> The full list of qualified registries for 201</w:t>
      </w:r>
      <w:r>
        <w:t>5</w:t>
      </w:r>
      <w:r w:rsidRPr="0007426C">
        <w:t xml:space="preserve"> is available at </w:t>
      </w:r>
      <w:hyperlink w:history="1"/>
      <w:hyperlink r:id="rId1" w:history="1">
        <w:r>
          <w:rPr>
            <w:rStyle w:val="Hyperlink"/>
            <w:color w:val="1F4E79"/>
          </w:rPr>
          <w:t>https://www.cms.gov/Medicare/Quality-Initiatives-Patient-Assessment-Instruments/PQRS/Downloads/2015QualifiedRegistries.pdf</w:t>
        </w:r>
      </w:hyperlink>
      <w:r>
        <w:t xml:space="preserve"> and the full list of QCDRs is available at </w:t>
      </w:r>
      <w:hyperlink r:id="rId2" w:history="1">
        <w:r w:rsidRPr="003E0885">
          <w:rPr>
            <w:rStyle w:val="Hyperlink"/>
          </w:rPr>
          <w:t>https://www.cms.gov/Medicare/Quality-Initiatives-Patient-Assessment-Instruments/PQRS/Downloads/2015QCDRPosting.pdf</w:t>
        </w:r>
      </w:hyperlink>
      <w:r>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826"/>
    <w:multiLevelType w:val="hybridMultilevel"/>
    <w:tmpl w:val="5F6A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0DFD"/>
    <w:multiLevelType w:val="multilevel"/>
    <w:tmpl w:val="9CF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7AB8"/>
    <w:multiLevelType w:val="hybridMultilevel"/>
    <w:tmpl w:val="DD88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0BDC"/>
    <w:multiLevelType w:val="multilevel"/>
    <w:tmpl w:val="55E4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E87DE0"/>
    <w:multiLevelType w:val="hybridMultilevel"/>
    <w:tmpl w:val="78DC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D4A24"/>
    <w:multiLevelType w:val="hybridMultilevel"/>
    <w:tmpl w:val="C9C4F102"/>
    <w:lvl w:ilvl="0" w:tplc="F29E3D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C7175"/>
    <w:multiLevelType w:val="hybridMultilevel"/>
    <w:tmpl w:val="BF5A7BAE"/>
    <w:lvl w:ilvl="0" w:tplc="643E3C92">
      <w:start w:val="1"/>
      <w:numFmt w:val="decimal"/>
      <w:lvlText w:val="%1)"/>
      <w:lvlJc w:val="left"/>
      <w:pPr>
        <w:ind w:left="1110" w:hanging="39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5820BA6"/>
    <w:multiLevelType w:val="hybridMultilevel"/>
    <w:tmpl w:val="00BEB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F2CFF"/>
    <w:multiLevelType w:val="hybridMultilevel"/>
    <w:tmpl w:val="0B6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ie R. Schmidt">
    <w15:presenceInfo w15:providerId="None" w15:userId="Stefanie R. Schm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14972"/>
    <w:rsid w:val="0001782D"/>
    <w:rsid w:val="000218BF"/>
    <w:rsid w:val="000245A7"/>
    <w:rsid w:val="0002605B"/>
    <w:rsid w:val="0003042D"/>
    <w:rsid w:val="0003143E"/>
    <w:rsid w:val="00033AF4"/>
    <w:rsid w:val="00035C7E"/>
    <w:rsid w:val="00042488"/>
    <w:rsid w:val="00042ED2"/>
    <w:rsid w:val="00045A6D"/>
    <w:rsid w:val="0005009C"/>
    <w:rsid w:val="00055DC2"/>
    <w:rsid w:val="00062B8E"/>
    <w:rsid w:val="00065CCB"/>
    <w:rsid w:val="000723E7"/>
    <w:rsid w:val="0007471D"/>
    <w:rsid w:val="0007643E"/>
    <w:rsid w:val="00081D8B"/>
    <w:rsid w:val="0008328D"/>
    <w:rsid w:val="00083A85"/>
    <w:rsid w:val="000A7751"/>
    <w:rsid w:val="000B21BC"/>
    <w:rsid w:val="000C07AC"/>
    <w:rsid w:val="000C79DB"/>
    <w:rsid w:val="000C7E13"/>
    <w:rsid w:val="000D1EE9"/>
    <w:rsid w:val="000D31A4"/>
    <w:rsid w:val="000F3C0A"/>
    <w:rsid w:val="000F6D09"/>
    <w:rsid w:val="00104D2E"/>
    <w:rsid w:val="001125ED"/>
    <w:rsid w:val="00117278"/>
    <w:rsid w:val="001213B0"/>
    <w:rsid w:val="00121A5B"/>
    <w:rsid w:val="001306CC"/>
    <w:rsid w:val="001424D2"/>
    <w:rsid w:val="00142E46"/>
    <w:rsid w:val="0015671E"/>
    <w:rsid w:val="00162337"/>
    <w:rsid w:val="00171E3D"/>
    <w:rsid w:val="00173F05"/>
    <w:rsid w:val="001812BE"/>
    <w:rsid w:val="00193770"/>
    <w:rsid w:val="00195BE9"/>
    <w:rsid w:val="001966BA"/>
    <w:rsid w:val="001A055E"/>
    <w:rsid w:val="001A414A"/>
    <w:rsid w:val="001A62CF"/>
    <w:rsid w:val="001A7F32"/>
    <w:rsid w:val="001B0534"/>
    <w:rsid w:val="001B0AAC"/>
    <w:rsid w:val="001B2103"/>
    <w:rsid w:val="001B52C7"/>
    <w:rsid w:val="001B74CF"/>
    <w:rsid w:val="001C0B4D"/>
    <w:rsid w:val="001C6CE3"/>
    <w:rsid w:val="001D1064"/>
    <w:rsid w:val="001D50D4"/>
    <w:rsid w:val="001E06DC"/>
    <w:rsid w:val="001E4D16"/>
    <w:rsid w:val="001E5885"/>
    <w:rsid w:val="001F357D"/>
    <w:rsid w:val="001F3885"/>
    <w:rsid w:val="00201C18"/>
    <w:rsid w:val="002066E3"/>
    <w:rsid w:val="0020798E"/>
    <w:rsid w:val="002119B3"/>
    <w:rsid w:val="00221860"/>
    <w:rsid w:val="002263CC"/>
    <w:rsid w:val="0022709F"/>
    <w:rsid w:val="00230BD1"/>
    <w:rsid w:val="0023598A"/>
    <w:rsid w:val="0024296D"/>
    <w:rsid w:val="00243E14"/>
    <w:rsid w:val="002450AC"/>
    <w:rsid w:val="00247673"/>
    <w:rsid w:val="00252EDD"/>
    <w:rsid w:val="0025549E"/>
    <w:rsid w:val="00260BC6"/>
    <w:rsid w:val="002624AA"/>
    <w:rsid w:val="00266B5B"/>
    <w:rsid w:val="002706F6"/>
    <w:rsid w:val="002744BC"/>
    <w:rsid w:val="00280645"/>
    <w:rsid w:val="002817F8"/>
    <w:rsid w:val="002851F3"/>
    <w:rsid w:val="00291C55"/>
    <w:rsid w:val="0029291B"/>
    <w:rsid w:val="00293456"/>
    <w:rsid w:val="002A0CAC"/>
    <w:rsid w:val="002B5CCD"/>
    <w:rsid w:val="002C16A6"/>
    <w:rsid w:val="002C171C"/>
    <w:rsid w:val="002C2758"/>
    <w:rsid w:val="002C7CB7"/>
    <w:rsid w:val="002E174A"/>
    <w:rsid w:val="002E1C7C"/>
    <w:rsid w:val="002E24D9"/>
    <w:rsid w:val="002F274B"/>
    <w:rsid w:val="0031018B"/>
    <w:rsid w:val="00312EAA"/>
    <w:rsid w:val="00326A9E"/>
    <w:rsid w:val="00326E23"/>
    <w:rsid w:val="00327616"/>
    <w:rsid w:val="00332C4B"/>
    <w:rsid w:val="00335A67"/>
    <w:rsid w:val="00335D62"/>
    <w:rsid w:val="00336160"/>
    <w:rsid w:val="003420EF"/>
    <w:rsid w:val="00342516"/>
    <w:rsid w:val="00342FC1"/>
    <w:rsid w:val="00347362"/>
    <w:rsid w:val="00351BA3"/>
    <w:rsid w:val="00353D44"/>
    <w:rsid w:val="00374C7D"/>
    <w:rsid w:val="00376C80"/>
    <w:rsid w:val="003833F3"/>
    <w:rsid w:val="003863FA"/>
    <w:rsid w:val="003910CC"/>
    <w:rsid w:val="003929DB"/>
    <w:rsid w:val="00395026"/>
    <w:rsid w:val="003B12A7"/>
    <w:rsid w:val="003B6D08"/>
    <w:rsid w:val="003C2E04"/>
    <w:rsid w:val="003D349A"/>
    <w:rsid w:val="003D76C0"/>
    <w:rsid w:val="003E1B58"/>
    <w:rsid w:val="003E3C2E"/>
    <w:rsid w:val="003E438B"/>
    <w:rsid w:val="003F11B2"/>
    <w:rsid w:val="003F53BC"/>
    <w:rsid w:val="003F7345"/>
    <w:rsid w:val="00413042"/>
    <w:rsid w:val="00421F6A"/>
    <w:rsid w:val="00424762"/>
    <w:rsid w:val="004364F5"/>
    <w:rsid w:val="004368E8"/>
    <w:rsid w:val="00437E49"/>
    <w:rsid w:val="00446FDE"/>
    <w:rsid w:val="0045079D"/>
    <w:rsid w:val="00450F13"/>
    <w:rsid w:val="00460188"/>
    <w:rsid w:val="00460B61"/>
    <w:rsid w:val="0046280C"/>
    <w:rsid w:val="004628B9"/>
    <w:rsid w:val="0047182C"/>
    <w:rsid w:val="00481690"/>
    <w:rsid w:val="004816F3"/>
    <w:rsid w:val="004829AE"/>
    <w:rsid w:val="0048687D"/>
    <w:rsid w:val="004876BA"/>
    <w:rsid w:val="0049181A"/>
    <w:rsid w:val="004A1D94"/>
    <w:rsid w:val="004A4CBB"/>
    <w:rsid w:val="004B15B4"/>
    <w:rsid w:val="004C41CD"/>
    <w:rsid w:val="004C53CC"/>
    <w:rsid w:val="004D57E8"/>
    <w:rsid w:val="004D6F26"/>
    <w:rsid w:val="004E6329"/>
    <w:rsid w:val="004F2B40"/>
    <w:rsid w:val="004F3C78"/>
    <w:rsid w:val="004F402E"/>
    <w:rsid w:val="005003EE"/>
    <w:rsid w:val="00501593"/>
    <w:rsid w:val="00502409"/>
    <w:rsid w:val="0051723F"/>
    <w:rsid w:val="0052182A"/>
    <w:rsid w:val="005218E3"/>
    <w:rsid w:val="00522BD4"/>
    <w:rsid w:val="005240CA"/>
    <w:rsid w:val="005264A1"/>
    <w:rsid w:val="0053222E"/>
    <w:rsid w:val="005348A6"/>
    <w:rsid w:val="00536C90"/>
    <w:rsid w:val="00547C37"/>
    <w:rsid w:val="00564708"/>
    <w:rsid w:val="005656C9"/>
    <w:rsid w:val="0057143C"/>
    <w:rsid w:val="00571AE8"/>
    <w:rsid w:val="00581B78"/>
    <w:rsid w:val="00596288"/>
    <w:rsid w:val="005A43BA"/>
    <w:rsid w:val="005A79A8"/>
    <w:rsid w:val="005B10D5"/>
    <w:rsid w:val="005B6457"/>
    <w:rsid w:val="005C0456"/>
    <w:rsid w:val="005C67E9"/>
    <w:rsid w:val="005C6941"/>
    <w:rsid w:val="005D0FD8"/>
    <w:rsid w:val="005D13C5"/>
    <w:rsid w:val="005D1703"/>
    <w:rsid w:val="005E0E49"/>
    <w:rsid w:val="005E1547"/>
    <w:rsid w:val="005F096E"/>
    <w:rsid w:val="005F703B"/>
    <w:rsid w:val="005F77FB"/>
    <w:rsid w:val="00607ADF"/>
    <w:rsid w:val="00613B0D"/>
    <w:rsid w:val="00630891"/>
    <w:rsid w:val="00634C69"/>
    <w:rsid w:val="00636FEA"/>
    <w:rsid w:val="006452D8"/>
    <w:rsid w:val="006527AB"/>
    <w:rsid w:val="00656F15"/>
    <w:rsid w:val="0066534E"/>
    <w:rsid w:val="00671353"/>
    <w:rsid w:val="00672690"/>
    <w:rsid w:val="00674FD4"/>
    <w:rsid w:val="00677863"/>
    <w:rsid w:val="00680E77"/>
    <w:rsid w:val="00684928"/>
    <w:rsid w:val="006913B6"/>
    <w:rsid w:val="00692D9D"/>
    <w:rsid w:val="00694706"/>
    <w:rsid w:val="0069553F"/>
    <w:rsid w:val="006A02C2"/>
    <w:rsid w:val="006B1584"/>
    <w:rsid w:val="006B242E"/>
    <w:rsid w:val="006B7586"/>
    <w:rsid w:val="006C0D28"/>
    <w:rsid w:val="006C3C5A"/>
    <w:rsid w:val="006C75AE"/>
    <w:rsid w:val="006D0A2F"/>
    <w:rsid w:val="006D1655"/>
    <w:rsid w:val="006E058B"/>
    <w:rsid w:val="006E59A7"/>
    <w:rsid w:val="006F1BC4"/>
    <w:rsid w:val="006F206C"/>
    <w:rsid w:val="006F6425"/>
    <w:rsid w:val="007057B3"/>
    <w:rsid w:val="00706F20"/>
    <w:rsid w:val="007118F3"/>
    <w:rsid w:val="00715461"/>
    <w:rsid w:val="00716CAE"/>
    <w:rsid w:val="00716E0B"/>
    <w:rsid w:val="00723500"/>
    <w:rsid w:val="00723E2C"/>
    <w:rsid w:val="00730358"/>
    <w:rsid w:val="00733C79"/>
    <w:rsid w:val="00735AE5"/>
    <w:rsid w:val="00740F98"/>
    <w:rsid w:val="00741853"/>
    <w:rsid w:val="00747D4E"/>
    <w:rsid w:val="00750A28"/>
    <w:rsid w:val="00751947"/>
    <w:rsid w:val="007557CB"/>
    <w:rsid w:val="00760BDA"/>
    <w:rsid w:val="007624D7"/>
    <w:rsid w:val="00773137"/>
    <w:rsid w:val="00773EAB"/>
    <w:rsid w:val="007830B6"/>
    <w:rsid w:val="007849F4"/>
    <w:rsid w:val="0079405F"/>
    <w:rsid w:val="007978EC"/>
    <w:rsid w:val="007A5BCD"/>
    <w:rsid w:val="007B2362"/>
    <w:rsid w:val="007B4FE5"/>
    <w:rsid w:val="007C05FF"/>
    <w:rsid w:val="007C4C71"/>
    <w:rsid w:val="007C67CE"/>
    <w:rsid w:val="007D68A5"/>
    <w:rsid w:val="007E3C42"/>
    <w:rsid w:val="007E602C"/>
    <w:rsid w:val="007E64DD"/>
    <w:rsid w:val="007E7BB7"/>
    <w:rsid w:val="007F5EC5"/>
    <w:rsid w:val="008143A3"/>
    <w:rsid w:val="008160A7"/>
    <w:rsid w:val="00816584"/>
    <w:rsid w:val="008176A6"/>
    <w:rsid w:val="008206F5"/>
    <w:rsid w:val="008226ED"/>
    <w:rsid w:val="0082414C"/>
    <w:rsid w:val="00826B4B"/>
    <w:rsid w:val="008345D5"/>
    <w:rsid w:val="008346D5"/>
    <w:rsid w:val="00840D8D"/>
    <w:rsid w:val="00847C8F"/>
    <w:rsid w:val="00852AEF"/>
    <w:rsid w:val="0086207A"/>
    <w:rsid w:val="008640BD"/>
    <w:rsid w:val="008641D9"/>
    <w:rsid w:val="0086469B"/>
    <w:rsid w:val="00864A56"/>
    <w:rsid w:val="008814E4"/>
    <w:rsid w:val="00882C0E"/>
    <w:rsid w:val="00887817"/>
    <w:rsid w:val="00894AD7"/>
    <w:rsid w:val="008A0CBF"/>
    <w:rsid w:val="008A43B2"/>
    <w:rsid w:val="008B2728"/>
    <w:rsid w:val="008C5298"/>
    <w:rsid w:val="008D13DA"/>
    <w:rsid w:val="008D1EF0"/>
    <w:rsid w:val="008E2065"/>
    <w:rsid w:val="008E2216"/>
    <w:rsid w:val="008F051A"/>
    <w:rsid w:val="008F0EA6"/>
    <w:rsid w:val="008F71B8"/>
    <w:rsid w:val="00901169"/>
    <w:rsid w:val="00907752"/>
    <w:rsid w:val="00912F71"/>
    <w:rsid w:val="00912FDB"/>
    <w:rsid w:val="00916187"/>
    <w:rsid w:val="00937A21"/>
    <w:rsid w:val="00946839"/>
    <w:rsid w:val="00947308"/>
    <w:rsid w:val="00950ACF"/>
    <w:rsid w:val="00961D28"/>
    <w:rsid w:val="009641FA"/>
    <w:rsid w:val="00967221"/>
    <w:rsid w:val="0097002F"/>
    <w:rsid w:val="00971ECE"/>
    <w:rsid w:val="009730CD"/>
    <w:rsid w:val="00976E0C"/>
    <w:rsid w:val="009775D7"/>
    <w:rsid w:val="009837FD"/>
    <w:rsid w:val="009855AB"/>
    <w:rsid w:val="00986B23"/>
    <w:rsid w:val="00991388"/>
    <w:rsid w:val="009958B1"/>
    <w:rsid w:val="009A44A4"/>
    <w:rsid w:val="009B5E3F"/>
    <w:rsid w:val="009B6292"/>
    <w:rsid w:val="009B6D9F"/>
    <w:rsid w:val="009C4235"/>
    <w:rsid w:val="009C7A4C"/>
    <w:rsid w:val="009D733F"/>
    <w:rsid w:val="009E1B2F"/>
    <w:rsid w:val="009E22BF"/>
    <w:rsid w:val="009E6989"/>
    <w:rsid w:val="009F275D"/>
    <w:rsid w:val="00A064D1"/>
    <w:rsid w:val="00A06ACB"/>
    <w:rsid w:val="00A07A5D"/>
    <w:rsid w:val="00A13D47"/>
    <w:rsid w:val="00A1444C"/>
    <w:rsid w:val="00A22B0E"/>
    <w:rsid w:val="00A24B50"/>
    <w:rsid w:val="00A278BB"/>
    <w:rsid w:val="00A32A17"/>
    <w:rsid w:val="00A3310E"/>
    <w:rsid w:val="00A368D3"/>
    <w:rsid w:val="00A40B10"/>
    <w:rsid w:val="00A41685"/>
    <w:rsid w:val="00A468B0"/>
    <w:rsid w:val="00A46A1F"/>
    <w:rsid w:val="00A47B5F"/>
    <w:rsid w:val="00A52661"/>
    <w:rsid w:val="00A5452C"/>
    <w:rsid w:val="00A578BA"/>
    <w:rsid w:val="00A61D7D"/>
    <w:rsid w:val="00A65199"/>
    <w:rsid w:val="00A65ED8"/>
    <w:rsid w:val="00A70514"/>
    <w:rsid w:val="00A74BAC"/>
    <w:rsid w:val="00A80A14"/>
    <w:rsid w:val="00A82DBA"/>
    <w:rsid w:val="00A831D5"/>
    <w:rsid w:val="00A9139A"/>
    <w:rsid w:val="00A928AA"/>
    <w:rsid w:val="00A95E3E"/>
    <w:rsid w:val="00AA04A4"/>
    <w:rsid w:val="00AA0E4E"/>
    <w:rsid w:val="00AA56E3"/>
    <w:rsid w:val="00AB299C"/>
    <w:rsid w:val="00AC004B"/>
    <w:rsid w:val="00AC56E4"/>
    <w:rsid w:val="00AD6805"/>
    <w:rsid w:val="00B12DB2"/>
    <w:rsid w:val="00B146F5"/>
    <w:rsid w:val="00B2468C"/>
    <w:rsid w:val="00B32E8A"/>
    <w:rsid w:val="00B36919"/>
    <w:rsid w:val="00B56C8F"/>
    <w:rsid w:val="00B6153B"/>
    <w:rsid w:val="00B618D0"/>
    <w:rsid w:val="00B634F7"/>
    <w:rsid w:val="00B70CB6"/>
    <w:rsid w:val="00B71E3F"/>
    <w:rsid w:val="00B73CA7"/>
    <w:rsid w:val="00B772FB"/>
    <w:rsid w:val="00B8320B"/>
    <w:rsid w:val="00B834F0"/>
    <w:rsid w:val="00B944DC"/>
    <w:rsid w:val="00BA132D"/>
    <w:rsid w:val="00BA2147"/>
    <w:rsid w:val="00BC0FE5"/>
    <w:rsid w:val="00BC2FAF"/>
    <w:rsid w:val="00BC3BA4"/>
    <w:rsid w:val="00BC50BC"/>
    <w:rsid w:val="00BD1305"/>
    <w:rsid w:val="00BD26BE"/>
    <w:rsid w:val="00BD37D5"/>
    <w:rsid w:val="00BD3B1C"/>
    <w:rsid w:val="00BE24E5"/>
    <w:rsid w:val="00BE2C79"/>
    <w:rsid w:val="00BE7CED"/>
    <w:rsid w:val="00BF5276"/>
    <w:rsid w:val="00BF5684"/>
    <w:rsid w:val="00C0100C"/>
    <w:rsid w:val="00C174B2"/>
    <w:rsid w:val="00C21AAC"/>
    <w:rsid w:val="00C31470"/>
    <w:rsid w:val="00C4093D"/>
    <w:rsid w:val="00C448F0"/>
    <w:rsid w:val="00C4682B"/>
    <w:rsid w:val="00C46855"/>
    <w:rsid w:val="00C47F94"/>
    <w:rsid w:val="00C51151"/>
    <w:rsid w:val="00C51EFD"/>
    <w:rsid w:val="00C540A3"/>
    <w:rsid w:val="00C5775C"/>
    <w:rsid w:val="00C57F46"/>
    <w:rsid w:val="00C57FA8"/>
    <w:rsid w:val="00C60A17"/>
    <w:rsid w:val="00C653F8"/>
    <w:rsid w:val="00C67AD3"/>
    <w:rsid w:val="00C77446"/>
    <w:rsid w:val="00C82302"/>
    <w:rsid w:val="00C83133"/>
    <w:rsid w:val="00C83C27"/>
    <w:rsid w:val="00C85A60"/>
    <w:rsid w:val="00C91BF2"/>
    <w:rsid w:val="00C93BD9"/>
    <w:rsid w:val="00C96304"/>
    <w:rsid w:val="00CC27DE"/>
    <w:rsid w:val="00CC4571"/>
    <w:rsid w:val="00CC62B8"/>
    <w:rsid w:val="00CC7F16"/>
    <w:rsid w:val="00CD1669"/>
    <w:rsid w:val="00CD30D1"/>
    <w:rsid w:val="00CD71C8"/>
    <w:rsid w:val="00CE41AA"/>
    <w:rsid w:val="00CE52F6"/>
    <w:rsid w:val="00CE6033"/>
    <w:rsid w:val="00CF00AA"/>
    <w:rsid w:val="00CF24D6"/>
    <w:rsid w:val="00CF3764"/>
    <w:rsid w:val="00CF44BD"/>
    <w:rsid w:val="00CF4E17"/>
    <w:rsid w:val="00D02880"/>
    <w:rsid w:val="00D02C5A"/>
    <w:rsid w:val="00D02F5E"/>
    <w:rsid w:val="00D056F3"/>
    <w:rsid w:val="00D12B81"/>
    <w:rsid w:val="00D14E8A"/>
    <w:rsid w:val="00D16EA8"/>
    <w:rsid w:val="00D21BBA"/>
    <w:rsid w:val="00D3062B"/>
    <w:rsid w:val="00D334ED"/>
    <w:rsid w:val="00D33BC1"/>
    <w:rsid w:val="00D419E4"/>
    <w:rsid w:val="00D54AD3"/>
    <w:rsid w:val="00D55148"/>
    <w:rsid w:val="00D55327"/>
    <w:rsid w:val="00D62026"/>
    <w:rsid w:val="00D62260"/>
    <w:rsid w:val="00D75B82"/>
    <w:rsid w:val="00D84AF3"/>
    <w:rsid w:val="00D8501C"/>
    <w:rsid w:val="00D86EEB"/>
    <w:rsid w:val="00D90469"/>
    <w:rsid w:val="00DA0A1E"/>
    <w:rsid w:val="00DA1DCC"/>
    <w:rsid w:val="00DA3030"/>
    <w:rsid w:val="00DA4D1B"/>
    <w:rsid w:val="00DA78FE"/>
    <w:rsid w:val="00DB2357"/>
    <w:rsid w:val="00DB60A0"/>
    <w:rsid w:val="00DC0A4D"/>
    <w:rsid w:val="00DC0FC7"/>
    <w:rsid w:val="00DC275F"/>
    <w:rsid w:val="00DC2A0A"/>
    <w:rsid w:val="00DC76B3"/>
    <w:rsid w:val="00DD1C54"/>
    <w:rsid w:val="00DD263F"/>
    <w:rsid w:val="00DD71EB"/>
    <w:rsid w:val="00DE217A"/>
    <w:rsid w:val="00DE65BF"/>
    <w:rsid w:val="00DF5C55"/>
    <w:rsid w:val="00E11BBC"/>
    <w:rsid w:val="00E13C3B"/>
    <w:rsid w:val="00E13E30"/>
    <w:rsid w:val="00E35A89"/>
    <w:rsid w:val="00E471EF"/>
    <w:rsid w:val="00E5287A"/>
    <w:rsid w:val="00E5475C"/>
    <w:rsid w:val="00E555F4"/>
    <w:rsid w:val="00E57194"/>
    <w:rsid w:val="00E64009"/>
    <w:rsid w:val="00E64889"/>
    <w:rsid w:val="00E81D1B"/>
    <w:rsid w:val="00E85BD5"/>
    <w:rsid w:val="00E90C3B"/>
    <w:rsid w:val="00E94EA6"/>
    <w:rsid w:val="00E953E7"/>
    <w:rsid w:val="00EA1F22"/>
    <w:rsid w:val="00EA2485"/>
    <w:rsid w:val="00EC0546"/>
    <w:rsid w:val="00EC4A8B"/>
    <w:rsid w:val="00EE3199"/>
    <w:rsid w:val="00EE3E23"/>
    <w:rsid w:val="00EF318D"/>
    <w:rsid w:val="00EF3704"/>
    <w:rsid w:val="00EF4FB8"/>
    <w:rsid w:val="00F0045A"/>
    <w:rsid w:val="00F10651"/>
    <w:rsid w:val="00F12178"/>
    <w:rsid w:val="00F15A27"/>
    <w:rsid w:val="00F237EC"/>
    <w:rsid w:val="00F35EA8"/>
    <w:rsid w:val="00F36B08"/>
    <w:rsid w:val="00F41F2D"/>
    <w:rsid w:val="00F5146E"/>
    <w:rsid w:val="00F51DB1"/>
    <w:rsid w:val="00F55BE2"/>
    <w:rsid w:val="00F654F6"/>
    <w:rsid w:val="00F7023A"/>
    <w:rsid w:val="00F74D63"/>
    <w:rsid w:val="00F827DC"/>
    <w:rsid w:val="00F85540"/>
    <w:rsid w:val="00F93BA4"/>
    <w:rsid w:val="00FA174C"/>
    <w:rsid w:val="00FA2662"/>
    <w:rsid w:val="00FA7D94"/>
    <w:rsid w:val="00FB3640"/>
    <w:rsid w:val="00FC3EF1"/>
    <w:rsid w:val="00FC5905"/>
    <w:rsid w:val="00FC5E1E"/>
    <w:rsid w:val="00FC676C"/>
    <w:rsid w:val="00FD30D5"/>
    <w:rsid w:val="00FE643C"/>
    <w:rsid w:val="00FF0D8A"/>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57FDA"/>
  <w15:docId w15:val="{ADC202D4-6402-49C2-85EF-23832D8B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C"/>
    <w:pPr>
      <w:widowControl w:val="0"/>
      <w:autoSpaceDE w:val="0"/>
      <w:autoSpaceDN w:val="0"/>
      <w:adjustRightInd w:val="0"/>
    </w:pPr>
    <w:rPr>
      <w:sz w:val="20"/>
      <w:szCs w:val="24"/>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0962">
      <w:bodyDiv w:val="1"/>
      <w:marLeft w:val="0"/>
      <w:marRight w:val="0"/>
      <w:marTop w:val="0"/>
      <w:marBottom w:val="0"/>
      <w:divBdr>
        <w:top w:val="none" w:sz="0" w:space="0" w:color="auto"/>
        <w:left w:val="none" w:sz="0" w:space="0" w:color="auto"/>
        <w:bottom w:val="none" w:sz="0" w:space="0" w:color="auto"/>
        <w:right w:val="none" w:sz="0" w:space="0" w:color="auto"/>
      </w:divBdr>
    </w:div>
    <w:div w:id="337732063">
      <w:bodyDiv w:val="1"/>
      <w:marLeft w:val="0"/>
      <w:marRight w:val="0"/>
      <w:marTop w:val="0"/>
      <w:marBottom w:val="0"/>
      <w:divBdr>
        <w:top w:val="none" w:sz="0" w:space="0" w:color="auto"/>
        <w:left w:val="none" w:sz="0" w:space="0" w:color="auto"/>
        <w:bottom w:val="none" w:sz="0" w:space="0" w:color="auto"/>
        <w:right w:val="none" w:sz="0" w:space="0" w:color="auto"/>
      </w:divBdr>
    </w:div>
    <w:div w:id="997730927">
      <w:bodyDiv w:val="1"/>
      <w:marLeft w:val="0"/>
      <w:marRight w:val="0"/>
      <w:marTop w:val="0"/>
      <w:marBottom w:val="0"/>
      <w:divBdr>
        <w:top w:val="none" w:sz="0" w:space="0" w:color="auto"/>
        <w:left w:val="none" w:sz="0" w:space="0" w:color="auto"/>
        <w:bottom w:val="none" w:sz="0" w:space="0" w:color="auto"/>
        <w:right w:val="none" w:sz="0" w:space="0" w:color="auto"/>
      </w:divBdr>
    </w:div>
    <w:div w:id="1029453824">
      <w:bodyDiv w:val="1"/>
      <w:marLeft w:val="0"/>
      <w:marRight w:val="0"/>
      <w:marTop w:val="0"/>
      <w:marBottom w:val="0"/>
      <w:divBdr>
        <w:top w:val="none" w:sz="0" w:space="0" w:color="auto"/>
        <w:left w:val="none" w:sz="0" w:space="0" w:color="auto"/>
        <w:bottom w:val="none" w:sz="0" w:space="0" w:color="auto"/>
        <w:right w:val="none" w:sz="0" w:space="0" w:color="auto"/>
      </w:divBdr>
    </w:div>
    <w:div w:id="1038360934">
      <w:bodyDiv w:val="1"/>
      <w:marLeft w:val="0"/>
      <w:marRight w:val="0"/>
      <w:marTop w:val="0"/>
      <w:marBottom w:val="0"/>
      <w:divBdr>
        <w:top w:val="none" w:sz="0" w:space="0" w:color="auto"/>
        <w:left w:val="none" w:sz="0" w:space="0" w:color="auto"/>
        <w:bottom w:val="none" w:sz="0" w:space="0" w:color="auto"/>
        <w:right w:val="none" w:sz="0" w:space="0" w:color="auto"/>
      </w:divBdr>
    </w:div>
    <w:div w:id="1167938938">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18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3094445">
          <w:marLeft w:val="0"/>
          <w:marRight w:val="0"/>
          <w:marTop w:val="0"/>
          <w:marBottom w:val="0"/>
          <w:divBdr>
            <w:top w:val="none" w:sz="0" w:space="0" w:color="auto"/>
            <w:left w:val="none" w:sz="0" w:space="0" w:color="auto"/>
            <w:bottom w:val="none" w:sz="0" w:space="0" w:color="auto"/>
            <w:right w:val="none" w:sz="0" w:space="0" w:color="auto"/>
          </w:divBdr>
          <w:divsChild>
            <w:div w:id="2044479628">
              <w:marLeft w:val="0"/>
              <w:marRight w:val="0"/>
              <w:marTop w:val="0"/>
              <w:marBottom w:val="0"/>
              <w:divBdr>
                <w:top w:val="none" w:sz="0" w:space="0" w:color="auto"/>
                <w:left w:val="none" w:sz="0" w:space="0" w:color="auto"/>
                <w:bottom w:val="none" w:sz="0" w:space="0" w:color="auto"/>
                <w:right w:val="none" w:sz="0" w:space="0" w:color="auto"/>
              </w:divBdr>
              <w:divsChild>
                <w:div w:id="1514341713">
                  <w:marLeft w:val="0"/>
                  <w:marRight w:val="0"/>
                  <w:marTop w:val="0"/>
                  <w:marBottom w:val="0"/>
                  <w:divBdr>
                    <w:top w:val="none" w:sz="0" w:space="0" w:color="auto"/>
                    <w:left w:val="none" w:sz="0" w:space="0" w:color="auto"/>
                    <w:bottom w:val="none" w:sz="0" w:space="0" w:color="auto"/>
                    <w:right w:val="none" w:sz="0" w:space="0" w:color="auto"/>
                  </w:divBdr>
                  <w:divsChild>
                    <w:div w:id="2122188743">
                      <w:marLeft w:val="0"/>
                      <w:marRight w:val="0"/>
                      <w:marTop w:val="0"/>
                      <w:marBottom w:val="0"/>
                      <w:divBdr>
                        <w:top w:val="none" w:sz="0" w:space="0" w:color="auto"/>
                        <w:left w:val="none" w:sz="0" w:space="0" w:color="auto"/>
                        <w:bottom w:val="none" w:sz="0" w:space="0" w:color="auto"/>
                        <w:right w:val="none" w:sz="0" w:space="0" w:color="auto"/>
                      </w:divBdr>
                      <w:divsChild>
                        <w:div w:id="707292608">
                          <w:marLeft w:val="0"/>
                          <w:marRight w:val="0"/>
                          <w:marTop w:val="0"/>
                          <w:marBottom w:val="0"/>
                          <w:divBdr>
                            <w:top w:val="none" w:sz="0" w:space="0" w:color="auto"/>
                            <w:left w:val="none" w:sz="0" w:space="0" w:color="auto"/>
                            <w:bottom w:val="none" w:sz="0" w:space="0" w:color="auto"/>
                            <w:right w:val="none" w:sz="0" w:space="0" w:color="auto"/>
                          </w:divBdr>
                          <w:divsChild>
                            <w:div w:id="813646473">
                              <w:marLeft w:val="0"/>
                              <w:marRight w:val="0"/>
                              <w:marTop w:val="0"/>
                              <w:marBottom w:val="0"/>
                              <w:divBdr>
                                <w:top w:val="none" w:sz="0" w:space="0" w:color="auto"/>
                                <w:left w:val="none" w:sz="0" w:space="0" w:color="auto"/>
                                <w:bottom w:val="none" w:sz="0" w:space="0" w:color="auto"/>
                                <w:right w:val="none" w:sz="0" w:space="0" w:color="auto"/>
                              </w:divBdr>
                              <w:divsChild>
                                <w:div w:id="158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4375">
      <w:bodyDiv w:val="1"/>
      <w:marLeft w:val="0"/>
      <w:marRight w:val="0"/>
      <w:marTop w:val="0"/>
      <w:marBottom w:val="0"/>
      <w:divBdr>
        <w:top w:val="none" w:sz="0" w:space="0" w:color="auto"/>
        <w:left w:val="none" w:sz="0" w:space="0" w:color="auto"/>
        <w:bottom w:val="none" w:sz="0" w:space="0" w:color="auto"/>
        <w:right w:val="none" w:sz="0" w:space="0" w:color="auto"/>
      </w:divBdr>
    </w:div>
    <w:div w:id="1882668661">
      <w:bodyDiv w:val="1"/>
      <w:marLeft w:val="0"/>
      <w:marRight w:val="0"/>
      <w:marTop w:val="0"/>
      <w:marBottom w:val="0"/>
      <w:divBdr>
        <w:top w:val="none" w:sz="0" w:space="0" w:color="auto"/>
        <w:left w:val="none" w:sz="0" w:space="0" w:color="auto"/>
        <w:bottom w:val="none" w:sz="0" w:space="0" w:color="auto"/>
        <w:right w:val="none" w:sz="0" w:space="0" w:color="auto"/>
      </w:divBdr>
    </w:div>
    <w:div w:id="2017539143">
      <w:bodyDiv w:val="1"/>
      <w:marLeft w:val="0"/>
      <w:marRight w:val="0"/>
      <w:marTop w:val="0"/>
      <w:marBottom w:val="0"/>
      <w:divBdr>
        <w:top w:val="none" w:sz="0" w:space="0" w:color="auto"/>
        <w:left w:val="none" w:sz="0" w:space="0" w:color="auto"/>
        <w:bottom w:val="none" w:sz="0" w:space="0" w:color="auto"/>
        <w:right w:val="none" w:sz="0" w:space="0" w:color="auto"/>
      </w:divBdr>
      <w:divsChild>
        <w:div w:id="315189699">
          <w:marLeft w:val="0"/>
          <w:marRight w:val="0"/>
          <w:marTop w:val="0"/>
          <w:marBottom w:val="0"/>
          <w:divBdr>
            <w:top w:val="none" w:sz="0" w:space="0" w:color="auto"/>
            <w:left w:val="none" w:sz="0" w:space="0" w:color="auto"/>
            <w:bottom w:val="none" w:sz="0" w:space="0" w:color="auto"/>
            <w:right w:val="none" w:sz="0" w:space="0" w:color="auto"/>
          </w:divBdr>
          <w:divsChild>
            <w:div w:id="1042636550">
              <w:marLeft w:val="0"/>
              <w:marRight w:val="0"/>
              <w:marTop w:val="0"/>
              <w:marBottom w:val="0"/>
              <w:divBdr>
                <w:top w:val="none" w:sz="0" w:space="0" w:color="auto"/>
                <w:left w:val="none" w:sz="0" w:space="0" w:color="auto"/>
                <w:bottom w:val="none" w:sz="0" w:space="0" w:color="auto"/>
                <w:right w:val="none" w:sz="0" w:space="0" w:color="auto"/>
              </w:divBdr>
              <w:divsChild>
                <w:div w:id="749155757">
                  <w:marLeft w:val="0"/>
                  <w:marRight w:val="0"/>
                  <w:marTop w:val="0"/>
                  <w:marBottom w:val="0"/>
                  <w:divBdr>
                    <w:top w:val="none" w:sz="0" w:space="0" w:color="auto"/>
                    <w:left w:val="none" w:sz="0" w:space="0" w:color="auto"/>
                    <w:bottom w:val="none" w:sz="0" w:space="0" w:color="auto"/>
                    <w:right w:val="none" w:sz="0" w:space="0" w:color="auto"/>
                  </w:divBdr>
                  <w:divsChild>
                    <w:div w:id="1568027643">
                      <w:marLeft w:val="0"/>
                      <w:marRight w:val="0"/>
                      <w:marTop w:val="0"/>
                      <w:marBottom w:val="0"/>
                      <w:divBdr>
                        <w:top w:val="none" w:sz="0" w:space="0" w:color="auto"/>
                        <w:left w:val="none" w:sz="0" w:space="0" w:color="auto"/>
                        <w:bottom w:val="none" w:sz="0" w:space="0" w:color="auto"/>
                        <w:right w:val="none" w:sz="0" w:space="0" w:color="auto"/>
                      </w:divBdr>
                      <w:divsChild>
                        <w:div w:id="602425168">
                          <w:marLeft w:val="0"/>
                          <w:marRight w:val="0"/>
                          <w:marTop w:val="0"/>
                          <w:marBottom w:val="0"/>
                          <w:divBdr>
                            <w:top w:val="none" w:sz="0" w:space="0" w:color="auto"/>
                            <w:left w:val="none" w:sz="0" w:space="0" w:color="auto"/>
                            <w:bottom w:val="none" w:sz="0" w:space="0" w:color="auto"/>
                            <w:right w:val="none" w:sz="0" w:space="0" w:color="auto"/>
                          </w:divBdr>
                          <w:divsChild>
                            <w:div w:id="278147710">
                              <w:marLeft w:val="0"/>
                              <w:marRight w:val="0"/>
                              <w:marTop w:val="0"/>
                              <w:marBottom w:val="0"/>
                              <w:divBdr>
                                <w:top w:val="none" w:sz="0" w:space="0" w:color="auto"/>
                                <w:left w:val="none" w:sz="0" w:space="0" w:color="auto"/>
                                <w:bottom w:val="none" w:sz="0" w:space="0" w:color="auto"/>
                                <w:right w:val="none" w:sz="0" w:space="0" w:color="auto"/>
                              </w:divBdr>
                              <w:divsChild>
                                <w:div w:id="100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07/relationships/diagramDrawing" Target="diagrams/drawing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Layout" Target="diagrams/layout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Quality-Initiatives-Patient-Assessment-Instruments/PQRS/Downloads/2015QCDRPosting.pdf" TargetMode="External"/><Relationship Id="rId1" Type="http://schemas.openxmlformats.org/officeDocument/2006/relationships/hyperlink" Target="https://www.cms.gov/Medicare/Quality-Initiatives-Patient-Assessment-Instruments/PQRS/Downloads/2015QualifiedRegistries.pdf"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A4DAF2-C4FA-4BEC-B062-42A5733352DE}" type="doc">
      <dgm:prSet loTypeId="urn:microsoft.com/office/officeart/2005/8/layout/cycle2" loCatId="cycle" qsTypeId="urn:microsoft.com/office/officeart/2005/8/quickstyle/simple2" qsCatId="simple" csTypeId="urn:microsoft.com/office/officeart/2005/8/colors/accent1_4" csCatId="accent1" phldr="1"/>
      <dgm:spPr/>
      <dgm:t>
        <a:bodyPr/>
        <a:lstStyle/>
        <a:p>
          <a:endParaRPr lang="en-US"/>
        </a:p>
      </dgm:t>
    </dgm:pt>
    <dgm:pt modelId="{54A3FC98-EBEE-4B10-B419-8EB423387B37}">
      <dgm:prSet phldrT="[Text]"/>
      <dgm:spPr/>
      <dgm:t>
        <a:bodyPr/>
        <a:lstStyle/>
        <a:p>
          <a:pPr algn="ctr"/>
          <a:r>
            <a:rPr lang="en-US" b="1" dirty="0" smtClean="0">
              <a:latin typeface="Arial" panose="020B0604020202020204" pitchFamily="34" charset="0"/>
              <a:cs typeface="Arial" panose="020B0604020202020204" pitchFamily="34" charset="0"/>
            </a:rPr>
            <a:t>Translate business rules from Measure Indicator Analysis Phase into SAS machine code.</a:t>
          </a:r>
          <a:endParaRPr lang="en-US" b="1" dirty="0">
            <a:latin typeface="Arial" panose="020B0604020202020204" pitchFamily="34" charset="0"/>
            <a:cs typeface="Arial" panose="020B0604020202020204" pitchFamily="34" charset="0"/>
          </a:endParaRPr>
        </a:p>
      </dgm:t>
    </dgm:pt>
    <dgm:pt modelId="{AC87F9B1-94E3-44E9-A3F5-A237F28DF6AB}" type="parTrans" cxnId="{A92380F4-6EBE-4171-976F-E92D81FB7495}">
      <dgm:prSet/>
      <dgm:spPr/>
      <dgm:t>
        <a:bodyPr/>
        <a:lstStyle/>
        <a:p>
          <a:pPr algn="ctr"/>
          <a:endParaRPr lang="en-US" b="1"/>
        </a:p>
      </dgm:t>
    </dgm:pt>
    <dgm:pt modelId="{08443D2B-9080-4802-BCBB-0A19C7B248BB}" type="sibTrans" cxnId="{A92380F4-6EBE-4171-976F-E92D81FB7495}">
      <dgm:prSet/>
      <dgm:spPr/>
      <dgm:t>
        <a:bodyPr/>
        <a:lstStyle/>
        <a:p>
          <a:pPr algn="ctr"/>
          <a:endParaRPr lang="en-US" b="1"/>
        </a:p>
      </dgm:t>
    </dgm:pt>
    <dgm:pt modelId="{D6ED6E60-7DE1-40A2-AB59-9E90BF547F48}">
      <dgm:prSet phldrT="[Text]"/>
      <dgm:spPr/>
      <dgm:t>
        <a:bodyPr/>
        <a:lstStyle/>
        <a:p>
          <a:pPr algn="ctr"/>
          <a:r>
            <a:rPr lang="en-US" b="1" dirty="0" smtClean="0">
              <a:latin typeface="Arial" panose="020B0604020202020204" pitchFamily="34" charset="0"/>
              <a:cs typeface="Arial" panose="020B0604020202020204" pitchFamily="34" charset="0"/>
            </a:rPr>
            <a:t>Complete peer review of the SAS code; document results and correct any deficiencies.</a:t>
          </a:r>
          <a:endParaRPr lang="en-US" b="1" dirty="0">
            <a:latin typeface="Arial" panose="020B0604020202020204" pitchFamily="34" charset="0"/>
            <a:cs typeface="Arial" panose="020B0604020202020204" pitchFamily="34" charset="0"/>
          </a:endParaRPr>
        </a:p>
      </dgm:t>
    </dgm:pt>
    <dgm:pt modelId="{1912D870-DF71-455F-94C6-11AC1589EB53}" type="parTrans" cxnId="{63841A9E-D30C-4802-B99C-A25CE5C5A423}">
      <dgm:prSet/>
      <dgm:spPr/>
      <dgm:t>
        <a:bodyPr/>
        <a:lstStyle/>
        <a:p>
          <a:pPr algn="ctr"/>
          <a:endParaRPr lang="en-US" b="1"/>
        </a:p>
      </dgm:t>
    </dgm:pt>
    <dgm:pt modelId="{46120355-FD08-493D-9E3A-694C1BD97EBD}" type="sibTrans" cxnId="{63841A9E-D30C-4802-B99C-A25CE5C5A423}">
      <dgm:prSet/>
      <dgm:spPr/>
      <dgm:t>
        <a:bodyPr/>
        <a:lstStyle/>
        <a:p>
          <a:pPr algn="ctr"/>
          <a:endParaRPr lang="en-US" b="1"/>
        </a:p>
      </dgm:t>
    </dgm:pt>
    <dgm:pt modelId="{C95F8F3A-E881-4395-B83C-5718BC0B8047}">
      <dgm:prSet phldrT="[Text]"/>
      <dgm:spPr/>
      <dgm:t>
        <a:bodyPr/>
        <a:lstStyle/>
        <a:p>
          <a:pPr algn="ctr"/>
          <a:r>
            <a:rPr lang="en-US" b="1" dirty="0" smtClean="0">
              <a:latin typeface="Arial" panose="020B0604020202020204" pitchFamily="34" charset="0"/>
              <a:cs typeface="Arial" panose="020B0604020202020204" pitchFamily="34" charset="0"/>
            </a:rPr>
            <a:t>Execute the SAS code against the appropriate data mart(s); review results.</a:t>
          </a:r>
          <a:endParaRPr lang="en-US" b="1" dirty="0">
            <a:latin typeface="Arial" panose="020B0604020202020204" pitchFamily="34" charset="0"/>
            <a:cs typeface="Arial" panose="020B0604020202020204" pitchFamily="34" charset="0"/>
          </a:endParaRPr>
        </a:p>
      </dgm:t>
    </dgm:pt>
    <dgm:pt modelId="{443121C9-7DDB-4988-BFA8-04207243A663}" type="parTrans" cxnId="{26D07910-D607-4239-9592-73889CE027EA}">
      <dgm:prSet/>
      <dgm:spPr/>
      <dgm:t>
        <a:bodyPr/>
        <a:lstStyle/>
        <a:p>
          <a:pPr algn="ctr"/>
          <a:endParaRPr lang="en-US" b="1"/>
        </a:p>
      </dgm:t>
    </dgm:pt>
    <dgm:pt modelId="{F600F8B7-487C-4652-A612-60EA6C9A80A7}" type="sibTrans" cxnId="{26D07910-D607-4239-9592-73889CE027EA}">
      <dgm:prSet/>
      <dgm:spPr/>
      <dgm:t>
        <a:bodyPr/>
        <a:lstStyle/>
        <a:p>
          <a:pPr algn="ctr"/>
          <a:endParaRPr lang="en-US" b="1"/>
        </a:p>
      </dgm:t>
    </dgm:pt>
    <dgm:pt modelId="{84E3B879-E4E0-481A-897F-EDC7CE3DC8FC}">
      <dgm:prSet phldrT="[Text]"/>
      <dgm:spPr/>
      <dgm:t>
        <a:bodyPr/>
        <a:lstStyle/>
        <a:p>
          <a:pPr algn="ctr"/>
          <a:r>
            <a:rPr lang="en-US" b="1" dirty="0" smtClean="0">
              <a:latin typeface="Arial" panose="020B0604020202020204" pitchFamily="34" charset="0"/>
              <a:cs typeface="Arial" panose="020B0604020202020204" pitchFamily="34" charset="0"/>
            </a:rPr>
            <a:t>Based on results, update code , if necessary, and re-execute. Repeat if required until desired results are achieved.</a:t>
          </a:r>
          <a:endParaRPr lang="en-US" b="1" dirty="0">
            <a:latin typeface="Arial" panose="020B0604020202020204" pitchFamily="34" charset="0"/>
            <a:cs typeface="Arial" panose="020B0604020202020204" pitchFamily="34" charset="0"/>
          </a:endParaRPr>
        </a:p>
      </dgm:t>
    </dgm:pt>
    <dgm:pt modelId="{F22326B3-B272-488A-A630-E4960E743B47}" type="parTrans" cxnId="{28C2F042-9E20-45D8-AE17-BF0D97764F40}">
      <dgm:prSet/>
      <dgm:spPr/>
      <dgm:t>
        <a:bodyPr/>
        <a:lstStyle/>
        <a:p>
          <a:pPr algn="ctr"/>
          <a:endParaRPr lang="en-US" b="1"/>
        </a:p>
      </dgm:t>
    </dgm:pt>
    <dgm:pt modelId="{0147A4E5-B159-4457-80B6-D4641626784D}" type="sibTrans" cxnId="{28C2F042-9E20-45D8-AE17-BF0D97764F40}">
      <dgm:prSet/>
      <dgm:spPr/>
      <dgm:t>
        <a:bodyPr/>
        <a:lstStyle/>
        <a:p>
          <a:pPr algn="ctr"/>
          <a:endParaRPr lang="en-US" b="1"/>
        </a:p>
      </dgm:t>
    </dgm:pt>
    <dgm:pt modelId="{3542FB31-E6EA-4092-908C-ED054207E852}">
      <dgm:prSet phldrT="[Text]"/>
      <dgm:spPr/>
      <dgm:t>
        <a:bodyPr/>
        <a:lstStyle/>
        <a:p>
          <a:pPr algn="ctr"/>
          <a:r>
            <a:rPr lang="en-US" b="1" dirty="0" smtClean="0">
              <a:latin typeface="Arial" panose="020B0604020202020204" pitchFamily="34" charset="0"/>
              <a:cs typeface="Arial" panose="020B0604020202020204" pitchFamily="34" charset="0"/>
            </a:rPr>
            <a:t>Score and rank results; derive samples for Survey and PSV.</a:t>
          </a:r>
          <a:endParaRPr lang="en-US" b="1" dirty="0">
            <a:latin typeface="Arial" panose="020B0604020202020204" pitchFamily="34" charset="0"/>
            <a:cs typeface="Arial" panose="020B0604020202020204" pitchFamily="34" charset="0"/>
          </a:endParaRPr>
        </a:p>
      </dgm:t>
    </dgm:pt>
    <dgm:pt modelId="{2B069ED8-A5C8-4AFC-91BA-988D37515650}" type="parTrans" cxnId="{3C0E113A-6F36-444F-9606-E586A11DB5A4}">
      <dgm:prSet/>
      <dgm:spPr/>
      <dgm:t>
        <a:bodyPr/>
        <a:lstStyle/>
        <a:p>
          <a:pPr algn="ctr"/>
          <a:endParaRPr lang="en-US" b="1"/>
        </a:p>
      </dgm:t>
    </dgm:pt>
    <dgm:pt modelId="{7004E3F8-4F9F-4074-900F-3E765DDEDC90}" type="sibTrans" cxnId="{3C0E113A-6F36-444F-9606-E586A11DB5A4}">
      <dgm:prSet/>
      <dgm:spPr/>
      <dgm:t>
        <a:bodyPr/>
        <a:lstStyle/>
        <a:p>
          <a:pPr algn="ctr"/>
          <a:endParaRPr lang="en-US" b="1"/>
        </a:p>
      </dgm:t>
    </dgm:pt>
    <dgm:pt modelId="{E3B37B9B-1387-41B6-A574-EF6910E505DE}" type="pres">
      <dgm:prSet presAssocID="{A7A4DAF2-C4FA-4BEC-B062-42A5733352DE}" presName="cycle" presStyleCnt="0">
        <dgm:presLayoutVars>
          <dgm:dir/>
          <dgm:resizeHandles val="exact"/>
        </dgm:presLayoutVars>
      </dgm:prSet>
      <dgm:spPr/>
      <dgm:t>
        <a:bodyPr/>
        <a:lstStyle/>
        <a:p>
          <a:endParaRPr lang="en-US"/>
        </a:p>
      </dgm:t>
    </dgm:pt>
    <dgm:pt modelId="{908DF2B1-1A3B-41DC-A09A-5635B248FFEC}" type="pres">
      <dgm:prSet presAssocID="{54A3FC98-EBEE-4B10-B419-8EB423387B37}" presName="node" presStyleLbl="node1" presStyleIdx="0" presStyleCnt="5" custScaleX="120424" custScaleY="119482" custRadScaleRad="97302">
        <dgm:presLayoutVars>
          <dgm:bulletEnabled val="1"/>
        </dgm:presLayoutVars>
      </dgm:prSet>
      <dgm:spPr/>
      <dgm:t>
        <a:bodyPr/>
        <a:lstStyle/>
        <a:p>
          <a:endParaRPr lang="en-US"/>
        </a:p>
      </dgm:t>
    </dgm:pt>
    <dgm:pt modelId="{085BB3FA-D90D-4204-A3F9-42905382D1A4}" type="pres">
      <dgm:prSet presAssocID="{08443D2B-9080-4802-BCBB-0A19C7B248BB}" presName="sibTrans" presStyleLbl="sibTrans2D1" presStyleIdx="0" presStyleCnt="5" custLinFactNeighborX="20635"/>
      <dgm:spPr/>
      <dgm:t>
        <a:bodyPr/>
        <a:lstStyle/>
        <a:p>
          <a:endParaRPr lang="en-US"/>
        </a:p>
      </dgm:t>
    </dgm:pt>
    <dgm:pt modelId="{7306408B-0531-4CBE-99C9-FE6506AE8203}" type="pres">
      <dgm:prSet presAssocID="{08443D2B-9080-4802-BCBB-0A19C7B248BB}" presName="connectorText" presStyleLbl="sibTrans2D1" presStyleIdx="0" presStyleCnt="5"/>
      <dgm:spPr/>
      <dgm:t>
        <a:bodyPr/>
        <a:lstStyle/>
        <a:p>
          <a:endParaRPr lang="en-US"/>
        </a:p>
      </dgm:t>
    </dgm:pt>
    <dgm:pt modelId="{28170F91-877C-424D-B503-A95F13247896}" type="pres">
      <dgm:prSet presAssocID="{D6ED6E60-7DE1-40A2-AB59-9E90BF547F48}" presName="node" presStyleLbl="node1" presStyleIdx="1" presStyleCnt="5" custScaleX="117158" custScaleY="116745" custRadScaleRad="99199" custRadScaleInc="4117">
        <dgm:presLayoutVars>
          <dgm:bulletEnabled val="1"/>
        </dgm:presLayoutVars>
      </dgm:prSet>
      <dgm:spPr/>
      <dgm:t>
        <a:bodyPr/>
        <a:lstStyle/>
        <a:p>
          <a:endParaRPr lang="en-US"/>
        </a:p>
      </dgm:t>
    </dgm:pt>
    <dgm:pt modelId="{F4FB788C-35EA-4D33-B86B-A3C7D5CEA59C}" type="pres">
      <dgm:prSet presAssocID="{46120355-FD08-493D-9E3A-694C1BD97EBD}" presName="sibTrans" presStyleLbl="sibTrans2D1" presStyleIdx="1" presStyleCnt="5"/>
      <dgm:spPr/>
      <dgm:t>
        <a:bodyPr/>
        <a:lstStyle/>
        <a:p>
          <a:endParaRPr lang="en-US"/>
        </a:p>
      </dgm:t>
    </dgm:pt>
    <dgm:pt modelId="{8F28B2DE-A4B0-4511-9CD7-0BE60846D72F}" type="pres">
      <dgm:prSet presAssocID="{46120355-FD08-493D-9E3A-694C1BD97EBD}" presName="connectorText" presStyleLbl="sibTrans2D1" presStyleIdx="1" presStyleCnt="5"/>
      <dgm:spPr/>
      <dgm:t>
        <a:bodyPr/>
        <a:lstStyle/>
        <a:p>
          <a:endParaRPr lang="en-US"/>
        </a:p>
      </dgm:t>
    </dgm:pt>
    <dgm:pt modelId="{D83AD587-22E5-4DB9-85F3-448FCBF9F653}" type="pres">
      <dgm:prSet presAssocID="{C95F8F3A-E881-4395-B83C-5718BC0B8047}" presName="node" presStyleLbl="node1" presStyleIdx="2" presStyleCnt="5" custScaleX="119841" custScaleY="119321" custRadScaleRad="104996" custRadScaleInc="-3416">
        <dgm:presLayoutVars>
          <dgm:bulletEnabled val="1"/>
        </dgm:presLayoutVars>
      </dgm:prSet>
      <dgm:spPr/>
      <dgm:t>
        <a:bodyPr/>
        <a:lstStyle/>
        <a:p>
          <a:endParaRPr lang="en-US"/>
        </a:p>
      </dgm:t>
    </dgm:pt>
    <dgm:pt modelId="{C0E51324-354E-46DF-B6D1-5E0E815244C5}" type="pres">
      <dgm:prSet presAssocID="{F600F8B7-487C-4652-A612-60EA6C9A80A7}" presName="sibTrans" presStyleLbl="sibTrans2D1" presStyleIdx="2" presStyleCnt="5"/>
      <dgm:spPr/>
      <dgm:t>
        <a:bodyPr/>
        <a:lstStyle/>
        <a:p>
          <a:endParaRPr lang="en-US"/>
        </a:p>
      </dgm:t>
    </dgm:pt>
    <dgm:pt modelId="{37022E02-35BC-4DE1-BE1E-2E2C9C55E26C}" type="pres">
      <dgm:prSet presAssocID="{F600F8B7-487C-4652-A612-60EA6C9A80A7}" presName="connectorText" presStyleLbl="sibTrans2D1" presStyleIdx="2" presStyleCnt="5"/>
      <dgm:spPr/>
      <dgm:t>
        <a:bodyPr/>
        <a:lstStyle/>
        <a:p>
          <a:endParaRPr lang="en-US"/>
        </a:p>
      </dgm:t>
    </dgm:pt>
    <dgm:pt modelId="{E1843A0E-8278-4268-B982-79EA86DC56A9}" type="pres">
      <dgm:prSet presAssocID="{84E3B879-E4E0-481A-897F-EDC7CE3DC8FC}" presName="node" presStyleLbl="node1" presStyleIdx="3" presStyleCnt="5" custScaleX="121623" custScaleY="116555" custRadScaleRad="98438" custRadScaleInc="-3530">
        <dgm:presLayoutVars>
          <dgm:bulletEnabled val="1"/>
        </dgm:presLayoutVars>
      </dgm:prSet>
      <dgm:spPr/>
      <dgm:t>
        <a:bodyPr/>
        <a:lstStyle/>
        <a:p>
          <a:endParaRPr lang="en-US"/>
        </a:p>
      </dgm:t>
    </dgm:pt>
    <dgm:pt modelId="{DBFAB031-256D-4B67-A157-6A36BAA25161}" type="pres">
      <dgm:prSet presAssocID="{0147A4E5-B159-4457-80B6-D4641626784D}" presName="sibTrans" presStyleLbl="sibTrans2D1" presStyleIdx="3" presStyleCnt="5"/>
      <dgm:spPr/>
      <dgm:t>
        <a:bodyPr/>
        <a:lstStyle/>
        <a:p>
          <a:endParaRPr lang="en-US"/>
        </a:p>
      </dgm:t>
    </dgm:pt>
    <dgm:pt modelId="{CA158D7E-5FE1-42F0-AEF2-9561D94E8D66}" type="pres">
      <dgm:prSet presAssocID="{0147A4E5-B159-4457-80B6-D4641626784D}" presName="connectorText" presStyleLbl="sibTrans2D1" presStyleIdx="3" presStyleCnt="5"/>
      <dgm:spPr/>
      <dgm:t>
        <a:bodyPr/>
        <a:lstStyle/>
        <a:p>
          <a:endParaRPr lang="en-US"/>
        </a:p>
      </dgm:t>
    </dgm:pt>
    <dgm:pt modelId="{DB736475-CACA-40EF-A9BB-054DDC9B6067}" type="pres">
      <dgm:prSet presAssocID="{3542FB31-E6EA-4092-908C-ED054207E852}" presName="node" presStyleLbl="node1" presStyleIdx="4" presStyleCnt="5" custScaleX="119841" custScaleY="123608" custRadScaleRad="100396" custRadScaleInc="-8210">
        <dgm:presLayoutVars>
          <dgm:bulletEnabled val="1"/>
        </dgm:presLayoutVars>
      </dgm:prSet>
      <dgm:spPr/>
      <dgm:t>
        <a:bodyPr/>
        <a:lstStyle/>
        <a:p>
          <a:endParaRPr lang="en-US"/>
        </a:p>
      </dgm:t>
    </dgm:pt>
    <dgm:pt modelId="{6758BD7A-27CE-4F59-8FB8-938D643001E6}" type="pres">
      <dgm:prSet presAssocID="{7004E3F8-4F9F-4074-900F-3E765DDEDC90}" presName="sibTrans" presStyleLbl="sibTrans2D1" presStyleIdx="4" presStyleCnt="5" custLinFactNeighborX="19715"/>
      <dgm:spPr/>
      <dgm:t>
        <a:bodyPr/>
        <a:lstStyle/>
        <a:p>
          <a:endParaRPr lang="en-US"/>
        </a:p>
      </dgm:t>
    </dgm:pt>
    <dgm:pt modelId="{7E7782D7-F876-46B0-902C-731527EE437B}" type="pres">
      <dgm:prSet presAssocID="{7004E3F8-4F9F-4074-900F-3E765DDEDC90}" presName="connectorText" presStyleLbl="sibTrans2D1" presStyleIdx="4" presStyleCnt="5"/>
      <dgm:spPr/>
      <dgm:t>
        <a:bodyPr/>
        <a:lstStyle/>
        <a:p>
          <a:endParaRPr lang="en-US"/>
        </a:p>
      </dgm:t>
    </dgm:pt>
  </dgm:ptLst>
  <dgm:cxnLst>
    <dgm:cxn modelId="{1938F01A-3216-4BB3-8A6B-4B3EFE15577C}" type="presOf" srcId="{0147A4E5-B159-4457-80B6-D4641626784D}" destId="{CA158D7E-5FE1-42F0-AEF2-9561D94E8D66}" srcOrd="1" destOrd="0" presId="urn:microsoft.com/office/officeart/2005/8/layout/cycle2"/>
    <dgm:cxn modelId="{26D07910-D607-4239-9592-73889CE027EA}" srcId="{A7A4DAF2-C4FA-4BEC-B062-42A5733352DE}" destId="{C95F8F3A-E881-4395-B83C-5718BC0B8047}" srcOrd="2" destOrd="0" parTransId="{443121C9-7DDB-4988-BFA8-04207243A663}" sibTransId="{F600F8B7-487C-4652-A612-60EA6C9A80A7}"/>
    <dgm:cxn modelId="{958540E6-5D5E-43C4-8A61-314A84F53C99}" type="presOf" srcId="{A7A4DAF2-C4FA-4BEC-B062-42A5733352DE}" destId="{E3B37B9B-1387-41B6-A574-EF6910E505DE}" srcOrd="0" destOrd="0" presId="urn:microsoft.com/office/officeart/2005/8/layout/cycle2"/>
    <dgm:cxn modelId="{8F84502E-D1BE-4E85-AFCC-44CBCBB07DAF}" type="presOf" srcId="{F600F8B7-487C-4652-A612-60EA6C9A80A7}" destId="{37022E02-35BC-4DE1-BE1E-2E2C9C55E26C}" srcOrd="1" destOrd="0" presId="urn:microsoft.com/office/officeart/2005/8/layout/cycle2"/>
    <dgm:cxn modelId="{2CEC69B5-04B9-42EC-8D12-83ACA88C6B2F}" type="presOf" srcId="{C95F8F3A-E881-4395-B83C-5718BC0B8047}" destId="{D83AD587-22E5-4DB9-85F3-448FCBF9F653}" srcOrd="0" destOrd="0" presId="urn:microsoft.com/office/officeart/2005/8/layout/cycle2"/>
    <dgm:cxn modelId="{95B29D46-BC18-4BE1-98F4-F042C6AF4B22}" type="presOf" srcId="{3542FB31-E6EA-4092-908C-ED054207E852}" destId="{DB736475-CACA-40EF-A9BB-054DDC9B6067}" srcOrd="0" destOrd="0" presId="urn:microsoft.com/office/officeart/2005/8/layout/cycle2"/>
    <dgm:cxn modelId="{AE294C8E-75E1-4EE9-8807-5BEBEDCF1CB3}" type="presOf" srcId="{84E3B879-E4E0-481A-897F-EDC7CE3DC8FC}" destId="{E1843A0E-8278-4268-B982-79EA86DC56A9}" srcOrd="0" destOrd="0" presId="urn:microsoft.com/office/officeart/2005/8/layout/cycle2"/>
    <dgm:cxn modelId="{EA07D27C-2798-4B3A-8F85-0A5F9DE969DC}" type="presOf" srcId="{46120355-FD08-493D-9E3A-694C1BD97EBD}" destId="{F4FB788C-35EA-4D33-B86B-A3C7D5CEA59C}" srcOrd="0" destOrd="0" presId="urn:microsoft.com/office/officeart/2005/8/layout/cycle2"/>
    <dgm:cxn modelId="{8C232D88-9BA4-4846-AEA6-8A53F0AF42A4}" type="presOf" srcId="{08443D2B-9080-4802-BCBB-0A19C7B248BB}" destId="{7306408B-0531-4CBE-99C9-FE6506AE8203}" srcOrd="1" destOrd="0" presId="urn:microsoft.com/office/officeart/2005/8/layout/cycle2"/>
    <dgm:cxn modelId="{6654FCB4-EB87-4E14-9184-BAD249CCEC73}" type="presOf" srcId="{F600F8B7-487C-4652-A612-60EA6C9A80A7}" destId="{C0E51324-354E-46DF-B6D1-5E0E815244C5}" srcOrd="0" destOrd="0" presId="urn:microsoft.com/office/officeart/2005/8/layout/cycle2"/>
    <dgm:cxn modelId="{63841A9E-D30C-4802-B99C-A25CE5C5A423}" srcId="{A7A4DAF2-C4FA-4BEC-B062-42A5733352DE}" destId="{D6ED6E60-7DE1-40A2-AB59-9E90BF547F48}" srcOrd="1" destOrd="0" parTransId="{1912D870-DF71-455F-94C6-11AC1589EB53}" sibTransId="{46120355-FD08-493D-9E3A-694C1BD97EBD}"/>
    <dgm:cxn modelId="{14A86A3A-7EC8-4D10-83D9-FFDD4D6D0F23}" type="presOf" srcId="{46120355-FD08-493D-9E3A-694C1BD97EBD}" destId="{8F28B2DE-A4B0-4511-9CD7-0BE60846D72F}" srcOrd="1" destOrd="0" presId="urn:microsoft.com/office/officeart/2005/8/layout/cycle2"/>
    <dgm:cxn modelId="{0F6C1482-D79F-4731-8563-52F2EC0A4FDD}" type="presOf" srcId="{7004E3F8-4F9F-4074-900F-3E765DDEDC90}" destId="{7E7782D7-F876-46B0-902C-731527EE437B}" srcOrd="1" destOrd="0" presId="urn:microsoft.com/office/officeart/2005/8/layout/cycle2"/>
    <dgm:cxn modelId="{89DCB3A4-3F08-4743-95BA-16CE7190F728}" type="presOf" srcId="{7004E3F8-4F9F-4074-900F-3E765DDEDC90}" destId="{6758BD7A-27CE-4F59-8FB8-938D643001E6}" srcOrd="0" destOrd="0" presId="urn:microsoft.com/office/officeart/2005/8/layout/cycle2"/>
    <dgm:cxn modelId="{A92380F4-6EBE-4171-976F-E92D81FB7495}" srcId="{A7A4DAF2-C4FA-4BEC-B062-42A5733352DE}" destId="{54A3FC98-EBEE-4B10-B419-8EB423387B37}" srcOrd="0" destOrd="0" parTransId="{AC87F9B1-94E3-44E9-A3F5-A237F28DF6AB}" sibTransId="{08443D2B-9080-4802-BCBB-0A19C7B248BB}"/>
    <dgm:cxn modelId="{3C0E113A-6F36-444F-9606-E586A11DB5A4}" srcId="{A7A4DAF2-C4FA-4BEC-B062-42A5733352DE}" destId="{3542FB31-E6EA-4092-908C-ED054207E852}" srcOrd="4" destOrd="0" parTransId="{2B069ED8-A5C8-4AFC-91BA-988D37515650}" sibTransId="{7004E3F8-4F9F-4074-900F-3E765DDEDC90}"/>
    <dgm:cxn modelId="{A615FCBB-00D3-44A9-80FE-230FD4B379F0}" type="presOf" srcId="{0147A4E5-B159-4457-80B6-D4641626784D}" destId="{DBFAB031-256D-4B67-A157-6A36BAA25161}" srcOrd="0" destOrd="0" presId="urn:microsoft.com/office/officeart/2005/8/layout/cycle2"/>
    <dgm:cxn modelId="{FE705394-9869-4688-8D81-B77BEF0AB09D}" type="presOf" srcId="{08443D2B-9080-4802-BCBB-0A19C7B248BB}" destId="{085BB3FA-D90D-4204-A3F9-42905382D1A4}" srcOrd="0" destOrd="0" presId="urn:microsoft.com/office/officeart/2005/8/layout/cycle2"/>
    <dgm:cxn modelId="{800B94BF-DDC8-410F-B622-FFFE3955D78E}" type="presOf" srcId="{D6ED6E60-7DE1-40A2-AB59-9E90BF547F48}" destId="{28170F91-877C-424D-B503-A95F13247896}" srcOrd="0" destOrd="0" presId="urn:microsoft.com/office/officeart/2005/8/layout/cycle2"/>
    <dgm:cxn modelId="{77065D78-DF42-4534-9F56-A21F90D6F865}" type="presOf" srcId="{54A3FC98-EBEE-4B10-B419-8EB423387B37}" destId="{908DF2B1-1A3B-41DC-A09A-5635B248FFEC}" srcOrd="0" destOrd="0" presId="urn:microsoft.com/office/officeart/2005/8/layout/cycle2"/>
    <dgm:cxn modelId="{28C2F042-9E20-45D8-AE17-BF0D97764F40}" srcId="{A7A4DAF2-C4FA-4BEC-B062-42A5733352DE}" destId="{84E3B879-E4E0-481A-897F-EDC7CE3DC8FC}" srcOrd="3" destOrd="0" parTransId="{F22326B3-B272-488A-A630-E4960E743B47}" sibTransId="{0147A4E5-B159-4457-80B6-D4641626784D}"/>
    <dgm:cxn modelId="{4E274394-B6F2-41B3-AF4B-8AF91B63DA1B}" type="presParOf" srcId="{E3B37B9B-1387-41B6-A574-EF6910E505DE}" destId="{908DF2B1-1A3B-41DC-A09A-5635B248FFEC}" srcOrd="0" destOrd="0" presId="urn:microsoft.com/office/officeart/2005/8/layout/cycle2"/>
    <dgm:cxn modelId="{7835592F-4361-47AD-B541-E9817F2EF08A}" type="presParOf" srcId="{E3B37B9B-1387-41B6-A574-EF6910E505DE}" destId="{085BB3FA-D90D-4204-A3F9-42905382D1A4}" srcOrd="1" destOrd="0" presId="urn:microsoft.com/office/officeart/2005/8/layout/cycle2"/>
    <dgm:cxn modelId="{C7B430BE-B67C-47AB-9E8A-5F82E9E58C76}" type="presParOf" srcId="{085BB3FA-D90D-4204-A3F9-42905382D1A4}" destId="{7306408B-0531-4CBE-99C9-FE6506AE8203}" srcOrd="0" destOrd="0" presId="urn:microsoft.com/office/officeart/2005/8/layout/cycle2"/>
    <dgm:cxn modelId="{B27E5348-F5DB-4619-AAD8-BA0F9BDE7786}" type="presParOf" srcId="{E3B37B9B-1387-41B6-A574-EF6910E505DE}" destId="{28170F91-877C-424D-B503-A95F13247896}" srcOrd="2" destOrd="0" presId="urn:microsoft.com/office/officeart/2005/8/layout/cycle2"/>
    <dgm:cxn modelId="{49410CF4-C0D1-41AC-A3BC-14BF8D9C55F6}" type="presParOf" srcId="{E3B37B9B-1387-41B6-A574-EF6910E505DE}" destId="{F4FB788C-35EA-4D33-B86B-A3C7D5CEA59C}" srcOrd="3" destOrd="0" presId="urn:microsoft.com/office/officeart/2005/8/layout/cycle2"/>
    <dgm:cxn modelId="{951D48C3-9EC8-4215-8F19-5C629EDD7532}" type="presParOf" srcId="{F4FB788C-35EA-4D33-B86B-A3C7D5CEA59C}" destId="{8F28B2DE-A4B0-4511-9CD7-0BE60846D72F}" srcOrd="0" destOrd="0" presId="urn:microsoft.com/office/officeart/2005/8/layout/cycle2"/>
    <dgm:cxn modelId="{5E652358-F955-4DFD-B218-8652BF140A32}" type="presParOf" srcId="{E3B37B9B-1387-41B6-A574-EF6910E505DE}" destId="{D83AD587-22E5-4DB9-85F3-448FCBF9F653}" srcOrd="4" destOrd="0" presId="urn:microsoft.com/office/officeart/2005/8/layout/cycle2"/>
    <dgm:cxn modelId="{FBDC26A2-DAAA-4FB2-B94B-791FB86E6A97}" type="presParOf" srcId="{E3B37B9B-1387-41B6-A574-EF6910E505DE}" destId="{C0E51324-354E-46DF-B6D1-5E0E815244C5}" srcOrd="5" destOrd="0" presId="urn:microsoft.com/office/officeart/2005/8/layout/cycle2"/>
    <dgm:cxn modelId="{5CC9562B-9BFD-495F-9259-060F4A0D508D}" type="presParOf" srcId="{C0E51324-354E-46DF-B6D1-5E0E815244C5}" destId="{37022E02-35BC-4DE1-BE1E-2E2C9C55E26C}" srcOrd="0" destOrd="0" presId="urn:microsoft.com/office/officeart/2005/8/layout/cycle2"/>
    <dgm:cxn modelId="{FF33F8C4-D89B-4A65-AF74-7204CEAE6F7B}" type="presParOf" srcId="{E3B37B9B-1387-41B6-A574-EF6910E505DE}" destId="{E1843A0E-8278-4268-B982-79EA86DC56A9}" srcOrd="6" destOrd="0" presId="urn:microsoft.com/office/officeart/2005/8/layout/cycle2"/>
    <dgm:cxn modelId="{DFAFDD96-20F6-4684-8C6D-5B536C64A1C8}" type="presParOf" srcId="{E3B37B9B-1387-41B6-A574-EF6910E505DE}" destId="{DBFAB031-256D-4B67-A157-6A36BAA25161}" srcOrd="7" destOrd="0" presId="urn:microsoft.com/office/officeart/2005/8/layout/cycle2"/>
    <dgm:cxn modelId="{0641E929-C58C-4564-AF25-0DBABDA55DF1}" type="presParOf" srcId="{DBFAB031-256D-4B67-A157-6A36BAA25161}" destId="{CA158D7E-5FE1-42F0-AEF2-9561D94E8D66}" srcOrd="0" destOrd="0" presId="urn:microsoft.com/office/officeart/2005/8/layout/cycle2"/>
    <dgm:cxn modelId="{75E6569C-612A-445E-A19B-DE46C3FF7A63}" type="presParOf" srcId="{E3B37B9B-1387-41B6-A574-EF6910E505DE}" destId="{DB736475-CACA-40EF-A9BB-054DDC9B6067}" srcOrd="8" destOrd="0" presId="urn:microsoft.com/office/officeart/2005/8/layout/cycle2"/>
    <dgm:cxn modelId="{17B55DAA-57FB-4D92-8FA8-9CE9D0B24BC4}" type="presParOf" srcId="{E3B37B9B-1387-41B6-A574-EF6910E505DE}" destId="{6758BD7A-27CE-4F59-8FB8-938D643001E6}" srcOrd="9" destOrd="0" presId="urn:microsoft.com/office/officeart/2005/8/layout/cycle2"/>
    <dgm:cxn modelId="{D874BD60-7FF8-4D3A-8DD1-1F946E260449}" type="presParOf" srcId="{6758BD7A-27CE-4F59-8FB8-938D643001E6}" destId="{7E7782D7-F876-46B0-902C-731527EE437B}"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DF2B1-1A3B-41DC-A09A-5635B248FFEC}">
      <dsp:nvSpPr>
        <dsp:cNvPr id="0" name=""/>
        <dsp:cNvSpPr/>
      </dsp:nvSpPr>
      <dsp:spPr>
        <a:xfrm>
          <a:off x="2005762" y="-78171"/>
          <a:ext cx="1530019" cy="1518051"/>
        </a:xfrm>
        <a:prstGeom prst="ellipse">
          <a:avLst/>
        </a:prstGeom>
        <a:solidFill>
          <a:schemeClr val="accent1">
            <a:shade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dirty="0" smtClean="0">
              <a:latin typeface="Arial" panose="020B0604020202020204" pitchFamily="34" charset="0"/>
              <a:cs typeface="Arial" panose="020B0604020202020204" pitchFamily="34" charset="0"/>
            </a:rPr>
            <a:t>Translate business rules from Measure Indicator Analysis Phase into SAS machine code.</a:t>
          </a:r>
          <a:endParaRPr lang="en-US" sz="900" b="1" kern="1200" dirty="0">
            <a:latin typeface="Arial" panose="020B0604020202020204" pitchFamily="34" charset="0"/>
            <a:cs typeface="Arial" panose="020B0604020202020204" pitchFamily="34" charset="0"/>
          </a:endParaRPr>
        </a:p>
      </dsp:txBody>
      <dsp:txXfrm>
        <a:off x="2229828" y="144142"/>
        <a:ext cx="1081887" cy="1073425"/>
      </dsp:txXfrm>
    </dsp:sp>
    <dsp:sp modelId="{085BB3FA-D90D-4204-A3F9-42905382D1A4}">
      <dsp:nvSpPr>
        <dsp:cNvPr id="0" name=""/>
        <dsp:cNvSpPr/>
      </dsp:nvSpPr>
      <dsp:spPr>
        <a:xfrm rot="2160008">
          <a:off x="3483016" y="1029317"/>
          <a:ext cx="212737" cy="428802"/>
        </a:xfrm>
        <a:prstGeom prst="rightArrow">
          <a:avLst>
            <a:gd name="adj1" fmla="val 60000"/>
            <a:gd name="adj2" fmla="val 50000"/>
          </a:avLst>
        </a:prstGeom>
        <a:solidFill>
          <a:schemeClr val="accent1">
            <a:shade val="9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b="1" kern="1200"/>
        </a:p>
      </dsp:txBody>
      <dsp:txXfrm>
        <a:off x="3489110" y="1096320"/>
        <a:ext cx="148916" cy="257282"/>
      </dsp:txXfrm>
    </dsp:sp>
    <dsp:sp modelId="{28170F91-877C-424D-B503-A95F13247896}">
      <dsp:nvSpPr>
        <dsp:cNvPr id="0" name=""/>
        <dsp:cNvSpPr/>
      </dsp:nvSpPr>
      <dsp:spPr>
        <a:xfrm>
          <a:off x="3569845" y="1060519"/>
          <a:ext cx="1488524" cy="1483276"/>
        </a:xfrm>
        <a:prstGeom prst="ellipse">
          <a:avLst/>
        </a:prstGeom>
        <a:solidFill>
          <a:schemeClr val="accent1">
            <a:shade val="50000"/>
            <a:hueOff val="144575"/>
            <a:satOff val="-3024"/>
            <a:lumOff val="1682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dirty="0" smtClean="0">
              <a:latin typeface="Arial" panose="020B0604020202020204" pitchFamily="34" charset="0"/>
              <a:cs typeface="Arial" panose="020B0604020202020204" pitchFamily="34" charset="0"/>
            </a:rPr>
            <a:t>Complete peer review of the SAS code; document results and correct any deficiencies.</a:t>
          </a:r>
          <a:endParaRPr lang="en-US" sz="900" b="1" kern="1200" dirty="0">
            <a:latin typeface="Arial" panose="020B0604020202020204" pitchFamily="34" charset="0"/>
            <a:cs typeface="Arial" panose="020B0604020202020204" pitchFamily="34" charset="0"/>
          </a:endParaRPr>
        </a:p>
      </dsp:txBody>
      <dsp:txXfrm>
        <a:off x="3787834" y="1277740"/>
        <a:ext cx="1052546" cy="1048834"/>
      </dsp:txXfrm>
    </dsp:sp>
    <dsp:sp modelId="{F4FB788C-35EA-4D33-B86B-A3C7D5CEA59C}">
      <dsp:nvSpPr>
        <dsp:cNvPr id="0" name=""/>
        <dsp:cNvSpPr/>
      </dsp:nvSpPr>
      <dsp:spPr>
        <a:xfrm rot="6368605">
          <a:off x="3970651" y="2460191"/>
          <a:ext cx="181848" cy="428802"/>
        </a:xfrm>
        <a:prstGeom prst="rightArrow">
          <a:avLst>
            <a:gd name="adj1" fmla="val 60000"/>
            <a:gd name="adj2" fmla="val 50000"/>
          </a:avLst>
        </a:prstGeom>
        <a:solidFill>
          <a:schemeClr val="accent1">
            <a:shade val="90000"/>
            <a:hueOff val="150045"/>
            <a:satOff val="-2771"/>
            <a:lumOff val="12851"/>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b="1" kern="1200"/>
        </a:p>
      </dsp:txBody>
      <dsp:txXfrm rot="10800000">
        <a:off x="4005512" y="2519750"/>
        <a:ext cx="127294" cy="257282"/>
      </dsp:txXfrm>
    </dsp:sp>
    <dsp:sp modelId="{D83AD587-22E5-4DB9-85F3-448FCBF9F653}">
      <dsp:nvSpPr>
        <dsp:cNvPr id="0" name=""/>
        <dsp:cNvSpPr/>
      </dsp:nvSpPr>
      <dsp:spPr>
        <a:xfrm>
          <a:off x="3040311" y="2814681"/>
          <a:ext cx="1522612" cy="1516005"/>
        </a:xfrm>
        <a:prstGeom prst="ellipse">
          <a:avLst/>
        </a:prstGeom>
        <a:solidFill>
          <a:schemeClr val="accent1">
            <a:shade val="50000"/>
            <a:hueOff val="289149"/>
            <a:satOff val="-6048"/>
            <a:lumOff val="3365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dirty="0" smtClean="0">
              <a:latin typeface="Arial" panose="020B0604020202020204" pitchFamily="34" charset="0"/>
              <a:cs typeface="Arial" panose="020B0604020202020204" pitchFamily="34" charset="0"/>
            </a:rPr>
            <a:t>Execute the SAS code against the appropriate data mart(s); review results.</a:t>
          </a:r>
          <a:endParaRPr lang="en-US" sz="900" b="1" kern="1200" dirty="0">
            <a:latin typeface="Arial" panose="020B0604020202020204" pitchFamily="34" charset="0"/>
            <a:cs typeface="Arial" panose="020B0604020202020204" pitchFamily="34" charset="0"/>
          </a:endParaRPr>
        </a:p>
      </dsp:txBody>
      <dsp:txXfrm>
        <a:off x="3263292" y="3036695"/>
        <a:ext cx="1076650" cy="1071977"/>
      </dsp:txXfrm>
    </dsp:sp>
    <dsp:sp modelId="{C0E51324-354E-46DF-B6D1-5E0E815244C5}">
      <dsp:nvSpPr>
        <dsp:cNvPr id="0" name=""/>
        <dsp:cNvSpPr/>
      </dsp:nvSpPr>
      <dsp:spPr>
        <a:xfrm rot="10800002">
          <a:off x="2735091" y="3358282"/>
          <a:ext cx="215688" cy="428802"/>
        </a:xfrm>
        <a:prstGeom prst="rightArrow">
          <a:avLst>
            <a:gd name="adj1" fmla="val 60000"/>
            <a:gd name="adj2" fmla="val 50000"/>
          </a:avLst>
        </a:prstGeom>
        <a:solidFill>
          <a:schemeClr val="accent1">
            <a:shade val="90000"/>
            <a:hueOff val="300089"/>
            <a:satOff val="-5542"/>
            <a:lumOff val="25702"/>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b="1" kern="1200"/>
        </a:p>
      </dsp:txBody>
      <dsp:txXfrm rot="10800000">
        <a:off x="2799797" y="3444042"/>
        <a:ext cx="150982" cy="257282"/>
      </dsp:txXfrm>
    </dsp:sp>
    <dsp:sp modelId="{E1843A0E-8278-4268-B982-79EA86DC56A9}">
      <dsp:nvSpPr>
        <dsp:cNvPr id="0" name=""/>
        <dsp:cNvSpPr/>
      </dsp:nvSpPr>
      <dsp:spPr>
        <a:xfrm>
          <a:off x="1088098" y="2832252"/>
          <a:ext cx="1545253" cy="1480862"/>
        </a:xfrm>
        <a:prstGeom prst="ellipse">
          <a:avLst/>
        </a:prstGeom>
        <a:solidFill>
          <a:schemeClr val="accent1">
            <a:shade val="50000"/>
            <a:hueOff val="289149"/>
            <a:satOff val="-6048"/>
            <a:lumOff val="3365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dirty="0" smtClean="0">
              <a:latin typeface="Arial" panose="020B0604020202020204" pitchFamily="34" charset="0"/>
              <a:cs typeface="Arial" panose="020B0604020202020204" pitchFamily="34" charset="0"/>
            </a:rPr>
            <a:t>Based on results, update code , if necessary, and re-execute. Repeat if required until desired results are achieved.</a:t>
          </a:r>
          <a:endParaRPr lang="en-US" sz="900" b="1" kern="1200" dirty="0">
            <a:latin typeface="Arial" panose="020B0604020202020204" pitchFamily="34" charset="0"/>
            <a:cs typeface="Arial" panose="020B0604020202020204" pitchFamily="34" charset="0"/>
          </a:endParaRPr>
        </a:p>
      </dsp:txBody>
      <dsp:txXfrm>
        <a:off x="1314395" y="3049119"/>
        <a:ext cx="1092659" cy="1047128"/>
      </dsp:txXfrm>
    </dsp:sp>
    <dsp:sp modelId="{DBFAB031-256D-4B67-A157-6A36BAA25161}">
      <dsp:nvSpPr>
        <dsp:cNvPr id="0" name=""/>
        <dsp:cNvSpPr/>
      </dsp:nvSpPr>
      <dsp:spPr>
        <a:xfrm rot="14945146">
          <a:off x="1449664" y="2512696"/>
          <a:ext cx="175843" cy="428802"/>
        </a:xfrm>
        <a:prstGeom prst="rightArrow">
          <a:avLst>
            <a:gd name="adj1" fmla="val 60000"/>
            <a:gd name="adj2" fmla="val 50000"/>
          </a:avLst>
        </a:prstGeom>
        <a:solidFill>
          <a:schemeClr val="accent1">
            <a:shade val="90000"/>
            <a:hueOff val="300089"/>
            <a:satOff val="-5542"/>
            <a:lumOff val="25702"/>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b="1" kern="1200"/>
        </a:p>
      </dsp:txBody>
      <dsp:txXfrm rot="10800000">
        <a:off x="1485456" y="2623095"/>
        <a:ext cx="123090" cy="257282"/>
      </dsp:txXfrm>
    </dsp:sp>
    <dsp:sp modelId="{DB736475-CACA-40EF-A9BB-054DDC9B6067}">
      <dsp:nvSpPr>
        <dsp:cNvPr id="0" name=""/>
        <dsp:cNvSpPr/>
      </dsp:nvSpPr>
      <dsp:spPr>
        <a:xfrm>
          <a:off x="436113" y="1051716"/>
          <a:ext cx="1522612" cy="1570473"/>
        </a:xfrm>
        <a:prstGeom prst="ellipse">
          <a:avLst/>
        </a:prstGeom>
        <a:solidFill>
          <a:schemeClr val="accent1">
            <a:shade val="50000"/>
            <a:hueOff val="144575"/>
            <a:satOff val="-3024"/>
            <a:lumOff val="1682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dirty="0" smtClean="0">
              <a:latin typeface="Arial" panose="020B0604020202020204" pitchFamily="34" charset="0"/>
              <a:cs typeface="Arial" panose="020B0604020202020204" pitchFamily="34" charset="0"/>
            </a:rPr>
            <a:t>Score and rank results; derive samples for Survey and PSV.</a:t>
          </a:r>
          <a:endParaRPr lang="en-US" sz="900" b="1" kern="1200" dirty="0">
            <a:latin typeface="Arial" panose="020B0604020202020204" pitchFamily="34" charset="0"/>
            <a:cs typeface="Arial" panose="020B0604020202020204" pitchFamily="34" charset="0"/>
          </a:endParaRPr>
        </a:p>
      </dsp:txBody>
      <dsp:txXfrm>
        <a:off x="659094" y="1281706"/>
        <a:ext cx="1076650" cy="1110493"/>
      </dsp:txXfrm>
    </dsp:sp>
    <dsp:sp modelId="{6758BD7A-27CE-4F59-8FB8-938D643001E6}">
      <dsp:nvSpPr>
        <dsp:cNvPr id="0" name=""/>
        <dsp:cNvSpPr/>
      </dsp:nvSpPr>
      <dsp:spPr>
        <a:xfrm rot="19421494">
          <a:off x="1914227" y="1046293"/>
          <a:ext cx="222649" cy="428802"/>
        </a:xfrm>
        <a:prstGeom prst="rightArrow">
          <a:avLst>
            <a:gd name="adj1" fmla="val 60000"/>
            <a:gd name="adj2" fmla="val 50000"/>
          </a:avLst>
        </a:prstGeom>
        <a:solidFill>
          <a:schemeClr val="accent1">
            <a:shade val="90000"/>
            <a:hueOff val="150045"/>
            <a:satOff val="-2771"/>
            <a:lumOff val="12851"/>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b="1" kern="1200"/>
        </a:p>
      </dsp:txBody>
      <dsp:txXfrm>
        <a:off x="1920711" y="1151829"/>
        <a:ext cx="155854" cy="25728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67DE-AB4A-4E61-95A3-C6F46E88D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63301-DB95-4D9D-8DED-19E7EEEEDF06}">
  <ds:schemaRefs>
    <ds:schemaRef ds:uri="http://schemas.microsoft.com/office/2006/metadata/customXsn"/>
  </ds:schemaRefs>
</ds:datastoreItem>
</file>

<file path=customXml/itemProps3.xml><?xml version="1.0" encoding="utf-8"?>
<ds:datastoreItem xmlns:ds="http://schemas.openxmlformats.org/officeDocument/2006/customXml" ds:itemID="{B1B56AF8-744B-4200-9BAA-294744CA04CB}">
  <ds:schemaRefs>
    <ds:schemaRef ds:uri="http://www.w3.org/XML/1998/namespace"/>
    <ds:schemaRef ds:uri="http://schemas.microsoft.com/office/infopath/2007/PartnerControls"/>
    <ds:schemaRef ds:uri="http://schemas.microsoft.com/sharepoint/v4"/>
    <ds:schemaRef ds:uri="http://purl.org/dc/dcmitype/"/>
    <ds:schemaRef ds:uri="334e2f2c-4d16-4550-a88e-d8961c92d85f"/>
    <ds:schemaRef ds:uri="http://purl.org/dc/terms/"/>
    <ds:schemaRef ds:uri="http://purl.org/dc/elements/1.1/"/>
    <ds:schemaRef ds:uri="http://schemas.microsoft.com/office/2006/documentManagement/types"/>
    <ds:schemaRef ds:uri="http://schemas.openxmlformats.org/package/2006/metadata/core-properties"/>
    <ds:schemaRef ds:uri="http://schemas.microsoft.com/sharepoint/v3/field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744CBDA-153E-4B00-B5E5-C901BC810A8D}">
  <ds:schemaRefs>
    <ds:schemaRef ds:uri="http://schemas.microsoft.com/sharepoint/v3/contenttype/forms"/>
  </ds:schemaRefs>
</ds:datastoreItem>
</file>

<file path=customXml/itemProps5.xml><?xml version="1.0" encoding="utf-8"?>
<ds:datastoreItem xmlns:ds="http://schemas.openxmlformats.org/officeDocument/2006/customXml" ds:itemID="{D97DF67C-FC05-4A99-B377-14CE1F13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4959</Words>
  <Characters>28269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Stefanie R. Schmidt</cp:lastModifiedBy>
  <cp:revision>3</cp:revision>
  <cp:lastPrinted>2016-05-26T12:41:00Z</cp:lastPrinted>
  <dcterms:created xsi:type="dcterms:W3CDTF">2016-05-26T13:35:00Z</dcterms:created>
  <dcterms:modified xsi:type="dcterms:W3CDTF">2016-05-26T13:36:00Z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0x010100823A99C636F7423283FB0D200866C6130003528DD8F2905348BB78CE14D7BF2A85</vt:lpwstr>
  </property>
</Properties>
</file>