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B84EC" w14:textId="77777777" w:rsidR="00870D59" w:rsidRPr="00C20794" w:rsidRDefault="00870D59" w:rsidP="00870D5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4"/>
        </w:rPr>
      </w:pPr>
      <w:r w:rsidRPr="00C20794">
        <w:rPr>
          <w:bCs/>
          <w:sz w:val="24"/>
        </w:rPr>
        <w:t>Supporting Statement – Part A</w:t>
      </w:r>
    </w:p>
    <w:p w14:paraId="7565018F" w14:textId="77777777" w:rsidR="00390373" w:rsidRDefault="00BB7431" w:rsidP="00870D5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4"/>
        </w:rPr>
      </w:pPr>
      <w:r w:rsidRPr="00C20794">
        <w:rPr>
          <w:bCs/>
          <w:sz w:val="24"/>
        </w:rPr>
        <w:t xml:space="preserve">Medicaid </w:t>
      </w:r>
      <w:r w:rsidR="00125310" w:rsidRPr="00C20794">
        <w:rPr>
          <w:bCs/>
          <w:sz w:val="24"/>
        </w:rPr>
        <w:t xml:space="preserve">Quality Assessment and Performance Improvement Programs, </w:t>
      </w:r>
    </w:p>
    <w:p w14:paraId="5D08E6FD" w14:textId="77777777" w:rsidR="00390373" w:rsidRDefault="00125310" w:rsidP="00870D5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4"/>
        </w:rPr>
      </w:pPr>
      <w:r w:rsidRPr="00C20794">
        <w:rPr>
          <w:bCs/>
          <w:sz w:val="24"/>
        </w:rPr>
        <w:t xml:space="preserve">State Review of Accreditation Status, Medicaid Managed Care Quality Rating System, and </w:t>
      </w:r>
      <w:r w:rsidR="00BB7431" w:rsidRPr="00C20794">
        <w:rPr>
          <w:bCs/>
          <w:sz w:val="24"/>
        </w:rPr>
        <w:t xml:space="preserve">Quality Strategy (QS) and Supporting Regulations in </w:t>
      </w:r>
    </w:p>
    <w:p w14:paraId="6C5B84EE" w14:textId="39F0829A" w:rsidR="00BB7431" w:rsidRPr="00C20794" w:rsidRDefault="00BB7431" w:rsidP="00870D5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3E2501">
        <w:rPr>
          <w:sz w:val="24"/>
        </w:rPr>
        <w:t>§</w:t>
      </w:r>
      <w:r w:rsidR="00390373" w:rsidRPr="003E2501">
        <w:rPr>
          <w:sz w:val="24"/>
        </w:rPr>
        <w:t>§</w:t>
      </w:r>
      <w:r w:rsidRPr="003E2501">
        <w:rPr>
          <w:sz w:val="24"/>
        </w:rPr>
        <w:t>43</w:t>
      </w:r>
      <w:r w:rsidR="00125310" w:rsidRPr="003E2501">
        <w:rPr>
          <w:sz w:val="24"/>
        </w:rPr>
        <w:t>8.310, 438.330, 438.332, 438.334, and 438.340</w:t>
      </w:r>
    </w:p>
    <w:p w14:paraId="6C5B84EF" w14:textId="19143917" w:rsidR="000C774B" w:rsidRPr="00C20794" w:rsidRDefault="00313238" w:rsidP="00870D5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4"/>
        </w:rPr>
      </w:pPr>
      <w:r>
        <w:rPr>
          <w:sz w:val="24"/>
        </w:rPr>
        <w:t>CMS-10553, OMB 0938-1281</w:t>
      </w:r>
    </w:p>
    <w:p w14:paraId="6C5B84F0" w14:textId="77777777" w:rsidR="008F1EB4" w:rsidRPr="00390373" w:rsidRDefault="008F1E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C5B84F1" w14:textId="4154B782" w:rsidR="008F1EB4" w:rsidRPr="00C2079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20794">
        <w:rPr>
          <w:b/>
          <w:bCs/>
          <w:sz w:val="24"/>
        </w:rPr>
        <w:t>Background</w:t>
      </w:r>
      <w:bookmarkStart w:id="0" w:name="_GoBack"/>
      <w:bookmarkEnd w:id="0"/>
    </w:p>
    <w:p w14:paraId="6C5B84F2"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0A73594" w14:textId="7F2C69EE" w:rsidR="00991A1A" w:rsidRDefault="00991A1A" w:rsidP="00935B05">
      <w:pPr>
        <w:pStyle w:val="BodyTextIndent2"/>
        <w:ind w:left="450" w:firstLine="0"/>
      </w:pPr>
      <w:r>
        <w:t xml:space="preserve">On </w:t>
      </w:r>
      <w:r w:rsidR="000352EE">
        <w:t>May 6</w:t>
      </w:r>
      <w:r>
        <w:t>, 201</w:t>
      </w:r>
      <w:r w:rsidR="000352EE">
        <w:t>6</w:t>
      </w:r>
      <w:r>
        <w:t xml:space="preserve">, CMS published a </w:t>
      </w:r>
      <w:r w:rsidR="000352EE">
        <w:t xml:space="preserve">final rule </w:t>
      </w:r>
      <w:r>
        <w:t>(</w:t>
      </w:r>
      <w:r w:rsidR="000352EE">
        <w:t xml:space="preserve">RIN 0938-AS25, </w:t>
      </w:r>
      <w:r w:rsidRPr="00C17840">
        <w:t>CMS-2390-</w:t>
      </w:r>
      <w:r w:rsidR="000352EE">
        <w:t>F</w:t>
      </w:r>
      <w:r>
        <w:t>)</w:t>
      </w:r>
      <w:r w:rsidRPr="00C17840">
        <w:t xml:space="preserve"> </w:t>
      </w:r>
      <w:r>
        <w:t xml:space="preserve">to </w:t>
      </w:r>
      <w:r w:rsidRPr="00C17840">
        <w:t xml:space="preserve">modernize Medicaid managed care </w:t>
      </w:r>
      <w:r>
        <w:t>regulations to reflect changes in the usage of managed care delivery systems.</w:t>
      </w:r>
      <w:r w:rsidR="000352EE">
        <w:t xml:space="preserve"> (</w:t>
      </w:r>
      <w:r w:rsidR="00C85CF9">
        <w:t xml:space="preserve">see </w:t>
      </w:r>
      <w:r w:rsidR="000352EE">
        <w:t>81 FR 27498)</w:t>
      </w:r>
    </w:p>
    <w:p w14:paraId="54035B11" w14:textId="77777777" w:rsidR="00CE17E8" w:rsidRDefault="00CE17E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C5B84F5" w14:textId="101C556F" w:rsidR="008F1EB4" w:rsidRPr="00C20794" w:rsidRDefault="003963A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bCs/>
          <w:sz w:val="24"/>
        </w:rPr>
        <w:t>A.</w:t>
      </w:r>
      <w:r w:rsidR="008F1EB4" w:rsidRPr="00C20794">
        <w:rPr>
          <w:b/>
          <w:bCs/>
          <w:sz w:val="24"/>
        </w:rPr>
        <w:tab/>
        <w:t>Justification</w:t>
      </w:r>
    </w:p>
    <w:p w14:paraId="6C5B84F6"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C5B84F7" w14:textId="738C2D49"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w:t>
      </w:r>
      <w:r>
        <w:rPr>
          <w:sz w:val="24"/>
        </w:rPr>
        <w:tab/>
      </w:r>
      <w:r>
        <w:rPr>
          <w:sz w:val="24"/>
          <w:u w:val="single"/>
        </w:rPr>
        <w:t>Need and Legal Basis</w:t>
      </w:r>
      <w:r w:rsidR="00C9183F">
        <w:rPr>
          <w:sz w:val="24"/>
          <w:u w:val="single"/>
        </w:rPr>
        <w:t xml:space="preserve"> (</w:t>
      </w:r>
      <w:r w:rsidR="00C9183F" w:rsidRPr="00C9183F">
        <w:rPr>
          <w:sz w:val="24"/>
          <w:u w:val="single"/>
        </w:rPr>
        <w:t>Social Security Act</w:t>
      </w:r>
      <w:r w:rsidR="00C9183F">
        <w:rPr>
          <w:sz w:val="24"/>
          <w:u w:val="single"/>
        </w:rPr>
        <w:t>)</w:t>
      </w:r>
    </w:p>
    <w:p w14:paraId="6C5B84F8"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C5B84F9" w14:textId="77777777" w:rsidR="008F1EB4" w:rsidRDefault="00F27649" w:rsidP="00F2764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Section</w:t>
      </w:r>
      <w:r w:rsidRPr="00F42B0D">
        <w:rPr>
          <w:sz w:val="24"/>
        </w:rPr>
        <w:t xml:space="preserve"> 1932(c)</w:t>
      </w:r>
      <w:r>
        <w:rPr>
          <w:sz w:val="24"/>
        </w:rPr>
        <w:t>(1)</w:t>
      </w:r>
      <w:r w:rsidRPr="00F42B0D">
        <w:rPr>
          <w:sz w:val="24"/>
        </w:rPr>
        <w:t xml:space="preserve"> requires </w:t>
      </w:r>
      <w:r w:rsidR="006A0B9C">
        <w:rPr>
          <w:sz w:val="24"/>
        </w:rPr>
        <w:t>s</w:t>
      </w:r>
      <w:r w:rsidRPr="00F42B0D">
        <w:rPr>
          <w:sz w:val="24"/>
        </w:rPr>
        <w:t>tates to develop and implement quality assessment and improvement strategies for their managed care arrangements.</w:t>
      </w:r>
    </w:p>
    <w:p w14:paraId="6C5B84FA" w14:textId="77777777" w:rsidR="006A0B9C" w:rsidRDefault="006A0B9C" w:rsidP="00F2764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6C5B84FB" w14:textId="77777777" w:rsidR="006A0B9C" w:rsidRDefault="006A0B9C" w:rsidP="00F2764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Section 1902(a)(4) requires such methods of administration as </w:t>
      </w:r>
      <w:r w:rsidR="00650512">
        <w:rPr>
          <w:sz w:val="24"/>
        </w:rPr>
        <w:t xml:space="preserve">are found by </w:t>
      </w:r>
      <w:r>
        <w:rPr>
          <w:sz w:val="24"/>
        </w:rPr>
        <w:t xml:space="preserve">the Secretary </w:t>
      </w:r>
      <w:r w:rsidR="00650512">
        <w:rPr>
          <w:sz w:val="24"/>
        </w:rPr>
        <w:t>to be</w:t>
      </w:r>
      <w:r>
        <w:rPr>
          <w:sz w:val="24"/>
        </w:rPr>
        <w:t xml:space="preserve"> necessary for the proper and efficient operation of the plan.</w:t>
      </w:r>
    </w:p>
    <w:p w14:paraId="6C5B84FC" w14:textId="77777777" w:rsidR="00BA2312" w:rsidRDefault="00BA2312" w:rsidP="00F2764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6C5B84FD" w14:textId="77777777" w:rsidR="00BA2312" w:rsidRDefault="00BA2312" w:rsidP="00F2764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Section 1902(a)(6)</w:t>
      </w:r>
      <w:r w:rsidR="00475340">
        <w:rPr>
          <w:sz w:val="24"/>
        </w:rPr>
        <w:t xml:space="preserve"> requires </w:t>
      </w:r>
      <w:r w:rsidR="00475340" w:rsidRPr="00475340">
        <w:rPr>
          <w:sz w:val="24"/>
        </w:rPr>
        <w:t>that the State agency will make such reports, in such form and containing such information, as the Secretary may from time to time require, and comply with such provisions as the Secretary may from time to time find necessary to assure the correctness a</w:t>
      </w:r>
      <w:r w:rsidR="00475340">
        <w:rPr>
          <w:sz w:val="24"/>
        </w:rPr>
        <w:t>nd verification of such reports.</w:t>
      </w:r>
    </w:p>
    <w:p w14:paraId="6C5B84FE" w14:textId="77777777" w:rsidR="00BA2312" w:rsidRDefault="00BA2312" w:rsidP="00F2764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6C5B84FF" w14:textId="77777777" w:rsidR="00BA2312" w:rsidRDefault="00BA2312" w:rsidP="00F2764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Section 1902(a)(19)</w:t>
      </w:r>
      <w:r w:rsidR="00475340" w:rsidRPr="00475340">
        <w:rPr>
          <w:sz w:val="24"/>
        </w:rPr>
        <w:t xml:space="preserve"> requires such safeguards as may be necessary to assure that eligibility for care and services under the plan will be determined, and such care and services will be provided, in a manner consistent with simplicity of administration and the b</w:t>
      </w:r>
      <w:r w:rsidR="00475340">
        <w:rPr>
          <w:sz w:val="24"/>
        </w:rPr>
        <w:t>est interests of the recipients.</w:t>
      </w:r>
    </w:p>
    <w:p w14:paraId="6C5B8502" w14:textId="77777777" w:rsidR="00F27649" w:rsidRDefault="00F27649" w:rsidP="00365E5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C5B8503"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2.</w:t>
      </w:r>
      <w:r>
        <w:rPr>
          <w:sz w:val="24"/>
        </w:rPr>
        <w:tab/>
      </w:r>
      <w:r w:rsidRPr="00BA2312">
        <w:rPr>
          <w:sz w:val="24"/>
          <w:u w:val="single"/>
        </w:rPr>
        <w:t>Information Users</w:t>
      </w:r>
    </w:p>
    <w:p w14:paraId="6C5B8504"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C5B8505" w14:textId="77777777" w:rsidR="008F1EB4" w:rsidRDefault="00BA231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Medicaid beneficiaries and stakeholders use the information collected and reported to understand the state’s quality improvement goals and objectives, and to understand how the state is measuring progress on its goals.</w:t>
      </w:r>
    </w:p>
    <w:p w14:paraId="6C5B8506" w14:textId="77777777" w:rsidR="00BA2312" w:rsidRDefault="00BA231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6C5B8507" w14:textId="20FCA3EC" w:rsidR="00BA2312" w:rsidRDefault="00BA231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States use this information to help monitor and assess the performance of their Medicaid </w:t>
      </w:r>
      <w:r w:rsidR="00365E5F">
        <w:rPr>
          <w:sz w:val="24"/>
        </w:rPr>
        <w:t xml:space="preserve">managed care </w:t>
      </w:r>
      <w:r>
        <w:rPr>
          <w:sz w:val="24"/>
        </w:rPr>
        <w:t xml:space="preserve">programs.  This information may assist states in comparing the outcomes </w:t>
      </w:r>
      <w:r w:rsidR="00365E5F">
        <w:rPr>
          <w:sz w:val="24"/>
        </w:rPr>
        <w:t xml:space="preserve">of quality improvement efforts </w:t>
      </w:r>
      <w:r>
        <w:rPr>
          <w:sz w:val="24"/>
        </w:rPr>
        <w:t>and can assist them in identifying future performance improvement subjects.</w:t>
      </w:r>
    </w:p>
    <w:p w14:paraId="6C5B8508" w14:textId="77777777" w:rsidR="00BA2312" w:rsidRDefault="00BA231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6C5B8509" w14:textId="77777777" w:rsidR="00BA2312" w:rsidRDefault="00BA231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lastRenderedPageBreak/>
        <w:t>CMS uses this information as a part of its oversight of Medicaid programs.</w:t>
      </w:r>
    </w:p>
    <w:p w14:paraId="6C5B850A"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C5B850B"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3.</w:t>
      </w:r>
      <w:r>
        <w:rPr>
          <w:sz w:val="24"/>
        </w:rPr>
        <w:tab/>
      </w:r>
      <w:r w:rsidRPr="003C7AC9">
        <w:rPr>
          <w:sz w:val="24"/>
          <w:u w:val="single"/>
        </w:rPr>
        <w:t>Use of Information Technology</w:t>
      </w:r>
    </w:p>
    <w:p w14:paraId="6C5B850C"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C5B850D" w14:textId="27483BA8" w:rsidR="003C7AC9" w:rsidRDefault="003C7AC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States will</w:t>
      </w:r>
      <w:r w:rsidR="00991A1A">
        <w:rPr>
          <w:sz w:val="24"/>
        </w:rPr>
        <w:t xml:space="preserve"> post</w:t>
      </w:r>
      <w:r w:rsidR="00365E5F">
        <w:rPr>
          <w:sz w:val="24"/>
        </w:rPr>
        <w:t xml:space="preserve"> </w:t>
      </w:r>
      <w:r w:rsidR="00991A1A">
        <w:rPr>
          <w:sz w:val="24"/>
        </w:rPr>
        <w:t xml:space="preserve">on their Medicaid websites </w:t>
      </w:r>
      <w:r w:rsidR="00365E5F">
        <w:rPr>
          <w:sz w:val="24"/>
        </w:rPr>
        <w:t>reviews of the accreditation status of all managed care plans, their managed care plan quality ratings under the Medicaid and CHIP Quality Rating System</w:t>
      </w:r>
      <w:r w:rsidR="00991A1A">
        <w:rPr>
          <w:sz w:val="24"/>
        </w:rPr>
        <w:t xml:space="preserve">, and </w:t>
      </w:r>
      <w:r w:rsidR="00365E5F">
        <w:rPr>
          <w:sz w:val="24"/>
        </w:rPr>
        <w:t>final quality strategies including</w:t>
      </w:r>
      <w:r>
        <w:rPr>
          <w:sz w:val="24"/>
        </w:rPr>
        <w:t xml:space="preserve"> effectiveness evaluations of their strate</w:t>
      </w:r>
      <w:r w:rsidR="00991A1A">
        <w:rPr>
          <w:sz w:val="24"/>
        </w:rPr>
        <w:t>gies</w:t>
      </w:r>
      <w:r>
        <w:rPr>
          <w:sz w:val="24"/>
        </w:rPr>
        <w:t>.  This will ensure the public has electronic access to this information.  States have discretion regarding their use of information technology for the public engagement process.</w:t>
      </w:r>
    </w:p>
    <w:p w14:paraId="6C5B850E" w14:textId="77777777" w:rsidR="003C7AC9" w:rsidRDefault="003C7AC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6C5B850F" w14:textId="1EADB98A" w:rsidR="003C7AC9" w:rsidRDefault="003C7AC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While there is discretion, we expect that states will gene</w:t>
      </w:r>
      <w:r w:rsidR="00365E5F">
        <w:rPr>
          <w:sz w:val="24"/>
        </w:rPr>
        <w:t>rally submit their</w:t>
      </w:r>
      <w:r>
        <w:rPr>
          <w:sz w:val="24"/>
        </w:rPr>
        <w:t xml:space="preserve"> quality strategies </w:t>
      </w:r>
      <w:r w:rsidR="00991A1A">
        <w:rPr>
          <w:sz w:val="24"/>
        </w:rPr>
        <w:t xml:space="preserve">and applications for alternative quality rating systems </w:t>
      </w:r>
      <w:r>
        <w:rPr>
          <w:sz w:val="24"/>
        </w:rPr>
        <w:t xml:space="preserve">to CMS for review via email.  No signature, electronic or </w:t>
      </w:r>
      <w:r w:rsidR="00905CA4">
        <w:rPr>
          <w:sz w:val="24"/>
        </w:rPr>
        <w:t>written,</w:t>
      </w:r>
      <w:r>
        <w:rPr>
          <w:sz w:val="24"/>
        </w:rPr>
        <w:t xml:space="preserve"> i</w:t>
      </w:r>
      <w:r w:rsidR="00905CA4">
        <w:rPr>
          <w:sz w:val="24"/>
        </w:rPr>
        <w:t>s required for these</w:t>
      </w:r>
      <w:r>
        <w:rPr>
          <w:sz w:val="24"/>
        </w:rPr>
        <w:t xml:space="preserve"> document</w:t>
      </w:r>
      <w:r w:rsidR="00905CA4">
        <w:rPr>
          <w:sz w:val="24"/>
        </w:rPr>
        <w:t>s</w:t>
      </w:r>
      <w:r>
        <w:rPr>
          <w:sz w:val="24"/>
        </w:rPr>
        <w:t>.</w:t>
      </w:r>
    </w:p>
    <w:p w14:paraId="6C5B8510" w14:textId="77777777" w:rsidR="003C7AC9" w:rsidRDefault="003C7AC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6C5B8511"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4.</w:t>
      </w:r>
      <w:r>
        <w:rPr>
          <w:sz w:val="24"/>
        </w:rPr>
        <w:tab/>
      </w:r>
      <w:r w:rsidRPr="003C7AC9">
        <w:rPr>
          <w:sz w:val="24"/>
          <w:u w:val="single"/>
        </w:rPr>
        <w:t>Duplication of Efforts</w:t>
      </w:r>
    </w:p>
    <w:p w14:paraId="6C5B8514" w14:textId="77777777" w:rsidR="003C7AC9" w:rsidRDefault="003C7AC9" w:rsidP="00365E5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C5B8515" w14:textId="77777777" w:rsidR="008F1EB4" w:rsidRDefault="003C7AC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T</w:t>
      </w:r>
      <w:r w:rsidR="008F1EB4">
        <w:rPr>
          <w:sz w:val="24"/>
        </w:rPr>
        <w:t>his information collection does not duplicate any other effort and the information cannot be</w:t>
      </w:r>
      <w:r>
        <w:rPr>
          <w:sz w:val="24"/>
        </w:rPr>
        <w:t xml:space="preserve"> obtained from any other source.</w:t>
      </w:r>
    </w:p>
    <w:p w14:paraId="6C5B8516"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C5B8517"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5.</w:t>
      </w:r>
      <w:r>
        <w:rPr>
          <w:sz w:val="24"/>
        </w:rPr>
        <w:tab/>
      </w:r>
      <w:r>
        <w:rPr>
          <w:sz w:val="24"/>
          <w:u w:val="single"/>
        </w:rPr>
        <w:t>Small Businesses</w:t>
      </w:r>
    </w:p>
    <w:p w14:paraId="6C5B8518"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56AB001" w14:textId="2BC88B15" w:rsidR="00E82D1B" w:rsidRPr="00E82D1B" w:rsidRDefault="00E82D1B" w:rsidP="00DA34B7">
      <w:pPr>
        <w:pStyle w:val="BodyTextIndent"/>
        <w:tabs>
          <w:tab w:val="clear" w:pos="720"/>
          <w:tab w:val="left" w:pos="0"/>
          <w:tab w:val="left" w:pos="450"/>
        </w:tabs>
        <w:spacing w:line="240" w:lineRule="auto"/>
        <w:ind w:left="450" w:hanging="450"/>
        <w:rPr>
          <w:rFonts w:ascii="Times New Roman" w:hAnsi="Times New Roman" w:cs="Times New Roman"/>
          <w:b w:val="0"/>
          <w:snapToGrid w:val="0"/>
        </w:rPr>
      </w:pPr>
      <w:r>
        <w:t xml:space="preserve">  </w:t>
      </w:r>
      <w:r w:rsidR="00DA34B7">
        <w:tab/>
      </w:r>
      <w:r w:rsidRPr="00E82D1B">
        <w:rPr>
          <w:rFonts w:ascii="Times New Roman" w:hAnsi="Times New Roman" w:cs="Times New Roman"/>
          <w:b w:val="0"/>
          <w:snapToGrid w:val="0"/>
        </w:rPr>
        <w:t xml:space="preserve">We estimate that some </w:t>
      </w:r>
      <w:r w:rsidR="005769F0">
        <w:rPr>
          <w:rFonts w:ascii="Times New Roman" w:hAnsi="Times New Roman" w:cs="Times New Roman"/>
          <w:b w:val="0"/>
          <w:snapToGrid w:val="0"/>
        </w:rPr>
        <w:t>prepaid ambulatory health plans (</w:t>
      </w:r>
      <w:r w:rsidRPr="00E82D1B">
        <w:rPr>
          <w:rFonts w:ascii="Times New Roman" w:hAnsi="Times New Roman" w:cs="Times New Roman"/>
          <w:b w:val="0"/>
          <w:snapToGrid w:val="0"/>
        </w:rPr>
        <w:t>PAHPs</w:t>
      </w:r>
      <w:r w:rsidR="005769F0">
        <w:rPr>
          <w:rFonts w:ascii="Times New Roman" w:hAnsi="Times New Roman" w:cs="Times New Roman"/>
          <w:b w:val="0"/>
          <w:snapToGrid w:val="0"/>
        </w:rPr>
        <w:t>)</w:t>
      </w:r>
      <w:r w:rsidRPr="00E82D1B">
        <w:rPr>
          <w:rFonts w:ascii="Times New Roman" w:hAnsi="Times New Roman" w:cs="Times New Roman"/>
          <w:b w:val="0"/>
          <w:snapToGrid w:val="0"/>
        </w:rPr>
        <w:t xml:space="preserve"> and </w:t>
      </w:r>
      <w:r w:rsidR="005769F0">
        <w:rPr>
          <w:rFonts w:ascii="Times New Roman" w:hAnsi="Times New Roman" w:cs="Times New Roman"/>
          <w:b w:val="0"/>
          <w:snapToGrid w:val="0"/>
        </w:rPr>
        <w:t>some primary care case management entities (</w:t>
      </w:r>
      <w:r w:rsidRPr="00E82D1B">
        <w:rPr>
          <w:rFonts w:ascii="Times New Roman" w:hAnsi="Times New Roman" w:cs="Times New Roman"/>
          <w:b w:val="0"/>
          <w:snapToGrid w:val="0"/>
        </w:rPr>
        <w:t>PCCM entities</w:t>
      </w:r>
      <w:r w:rsidR="005769F0">
        <w:rPr>
          <w:rFonts w:ascii="Times New Roman" w:hAnsi="Times New Roman" w:cs="Times New Roman"/>
          <w:b w:val="0"/>
          <w:snapToGrid w:val="0"/>
        </w:rPr>
        <w:t>)</w:t>
      </w:r>
      <w:r w:rsidRPr="00E82D1B">
        <w:rPr>
          <w:rFonts w:ascii="Times New Roman" w:hAnsi="Times New Roman" w:cs="Times New Roman"/>
          <w:b w:val="0"/>
          <w:snapToGrid w:val="0"/>
        </w:rPr>
        <w:t xml:space="preserve"> are likely to be small entities.  We estimate that most </w:t>
      </w:r>
      <w:r w:rsidR="005769F0">
        <w:rPr>
          <w:rFonts w:ascii="Times New Roman" w:hAnsi="Times New Roman" w:cs="Times New Roman"/>
          <w:b w:val="0"/>
          <w:snapToGrid w:val="0"/>
        </w:rPr>
        <w:t>managed care organizations (</w:t>
      </w:r>
      <w:r w:rsidRPr="00E82D1B">
        <w:rPr>
          <w:rFonts w:ascii="Times New Roman" w:hAnsi="Times New Roman" w:cs="Times New Roman"/>
          <w:b w:val="0"/>
          <w:snapToGrid w:val="0"/>
        </w:rPr>
        <w:t>MCOs</w:t>
      </w:r>
      <w:r w:rsidR="005769F0">
        <w:rPr>
          <w:rFonts w:ascii="Times New Roman" w:hAnsi="Times New Roman" w:cs="Times New Roman"/>
          <w:b w:val="0"/>
          <w:snapToGrid w:val="0"/>
        </w:rPr>
        <w:t>)</w:t>
      </w:r>
      <w:r w:rsidRPr="00E82D1B">
        <w:rPr>
          <w:rFonts w:ascii="Times New Roman" w:hAnsi="Times New Roman" w:cs="Times New Roman"/>
          <w:b w:val="0"/>
          <w:snapToGrid w:val="0"/>
        </w:rPr>
        <w:t xml:space="preserve"> and </w:t>
      </w:r>
      <w:r w:rsidR="005769F0">
        <w:rPr>
          <w:rFonts w:ascii="Times New Roman" w:hAnsi="Times New Roman" w:cs="Times New Roman"/>
          <w:b w:val="0"/>
          <w:snapToGrid w:val="0"/>
        </w:rPr>
        <w:t>prepaid inpatient health plans (</w:t>
      </w:r>
      <w:r w:rsidRPr="00E82D1B">
        <w:rPr>
          <w:rFonts w:ascii="Times New Roman" w:hAnsi="Times New Roman" w:cs="Times New Roman"/>
          <w:b w:val="0"/>
          <w:snapToGrid w:val="0"/>
        </w:rPr>
        <w:t>PIHPs</w:t>
      </w:r>
      <w:r w:rsidR="005769F0">
        <w:rPr>
          <w:rFonts w:ascii="Times New Roman" w:hAnsi="Times New Roman" w:cs="Times New Roman"/>
          <w:b w:val="0"/>
          <w:snapToGrid w:val="0"/>
        </w:rPr>
        <w:t>)</w:t>
      </w:r>
      <w:r w:rsidRPr="00E82D1B">
        <w:rPr>
          <w:rFonts w:ascii="Times New Roman" w:hAnsi="Times New Roman" w:cs="Times New Roman"/>
          <w:b w:val="0"/>
          <w:snapToGrid w:val="0"/>
        </w:rPr>
        <w:t xml:space="preserve"> are not small entities.  According to </w:t>
      </w:r>
      <w:r w:rsidRPr="00E82D1B">
        <w:rPr>
          <w:rFonts w:ascii="Times New Roman" w:hAnsi="Times New Roman" w:cs="Times New Roman"/>
          <w:b w:val="0"/>
          <w:snapToGrid w:val="0"/>
          <w:szCs w:val="20"/>
        </w:rPr>
        <w:t xml:space="preserve">the </w:t>
      </w:r>
      <w:r w:rsidRPr="00E82D1B">
        <w:rPr>
          <w:rFonts w:ascii="Times New Roman" w:hAnsi="Times New Roman" w:cs="Times New Roman"/>
          <w:b w:val="0"/>
          <w:snapToGrid w:val="0"/>
        </w:rPr>
        <w:t xml:space="preserve">Small Business Administration (SBA) and the Table of Small Business Size Standards, small entities include small businesses in the health care sector that are direct health and medical insurance carriers with average annual receipts of less than $38.5 million and offices of physicians or health practitioners with average annual receipts of less than $11 million.  Individuals and state governments are not included in the definition of a small entity.  </w:t>
      </w:r>
    </w:p>
    <w:p w14:paraId="78EEF8E4" w14:textId="77777777" w:rsidR="00E82D1B" w:rsidRPr="00E82D1B" w:rsidRDefault="00E82D1B" w:rsidP="00E82D1B">
      <w:pPr>
        <w:tabs>
          <w:tab w:val="left" w:pos="-720"/>
          <w:tab w:val="left" w:pos="0"/>
        </w:tabs>
        <w:suppressAutoHyphens/>
        <w:autoSpaceDE/>
        <w:autoSpaceDN/>
        <w:adjustRightInd/>
        <w:ind w:left="720" w:hanging="720"/>
        <w:rPr>
          <w:snapToGrid w:val="0"/>
          <w:sz w:val="24"/>
        </w:rPr>
      </w:pPr>
    </w:p>
    <w:p w14:paraId="02CF3D91" w14:textId="478C61B2" w:rsidR="00E82D1B" w:rsidRPr="009455EA" w:rsidRDefault="00E82D1B" w:rsidP="00DA34B7">
      <w:pPr>
        <w:tabs>
          <w:tab w:val="left" w:pos="-720"/>
          <w:tab w:val="left" w:pos="0"/>
          <w:tab w:val="left" w:pos="720"/>
        </w:tabs>
        <w:suppressAutoHyphens/>
        <w:autoSpaceDE/>
        <w:autoSpaceDN/>
        <w:adjustRightInd/>
        <w:ind w:left="450"/>
        <w:rPr>
          <w:snapToGrid w:val="0"/>
          <w:sz w:val="24"/>
        </w:rPr>
      </w:pPr>
      <w:r w:rsidRPr="00E82D1B">
        <w:rPr>
          <w:snapToGrid w:val="0"/>
          <w:sz w:val="24"/>
        </w:rPr>
        <w:t>As of 2012, there are 335 MCOs, 176 PIHPs, 41 PAHPs, and 9 PCCM entities participating in the Medicaid managed care program.  We believe that only a few of these entities qualify as small entities.</w:t>
      </w:r>
      <w:r w:rsidRPr="00E37E4B">
        <w:rPr>
          <w:snapToGrid w:val="0"/>
          <w:sz w:val="24"/>
        </w:rPr>
        <w:t xml:space="preserve">  Research on publicly available records for the entities allowed us to determine the approximate counts presented.  Specifically, we believe tha</w:t>
      </w:r>
      <w:r w:rsidRPr="009455EA">
        <w:rPr>
          <w:snapToGrid w:val="0"/>
          <w:sz w:val="24"/>
        </w:rPr>
        <w:t>t 10 to 20 PAHPs and 2 to 5 PCCM entities are likely to be small entities.  We believe that the remaining MCOs and PIHPs have average annual receipts from Medicaid and CHIP contracts and other business interests in excess of $38.5 million.  In analyzing the scope of the impact of these regulations on small entities, we examined the United States Census Bureau’s Statistics of U.S. Businesses for 2012.  According to the 2012 data, there are 4,506 direct health and medical insurance issuers wit</w:t>
      </w:r>
      <w:r w:rsidRPr="00E82D1B">
        <w:rPr>
          <w:snapToGrid w:val="0"/>
          <w:sz w:val="24"/>
        </w:rPr>
        <w:t xml:space="preserve">h less than 20 employees and 156,408 offices of physicians or health practitioners with less than 20 employees.  We believe that we are impacting less than 1 percent of the small entities that we have identified.  </w:t>
      </w:r>
    </w:p>
    <w:p w14:paraId="6379852B" w14:textId="77777777" w:rsidR="00E82D1B" w:rsidRPr="009455EA" w:rsidRDefault="00E82D1B" w:rsidP="00DA34B7">
      <w:pPr>
        <w:tabs>
          <w:tab w:val="left" w:pos="-720"/>
          <w:tab w:val="left" w:pos="0"/>
        </w:tabs>
        <w:suppressAutoHyphens/>
        <w:autoSpaceDE/>
        <w:autoSpaceDN/>
        <w:adjustRightInd/>
        <w:ind w:left="540" w:hanging="720"/>
        <w:rPr>
          <w:snapToGrid w:val="0"/>
          <w:sz w:val="24"/>
        </w:rPr>
      </w:pPr>
      <w:r w:rsidRPr="009455EA">
        <w:rPr>
          <w:snapToGrid w:val="0"/>
          <w:sz w:val="24"/>
        </w:rPr>
        <w:lastRenderedPageBreak/>
        <w:tab/>
      </w:r>
    </w:p>
    <w:p w14:paraId="47F6A3E1" w14:textId="7DC4243F" w:rsidR="00E82D1B" w:rsidRPr="00E82D1B" w:rsidRDefault="00E82D1B" w:rsidP="00DA34B7">
      <w:pPr>
        <w:tabs>
          <w:tab w:val="left" w:pos="-720"/>
          <w:tab w:val="left" w:pos="0"/>
        </w:tabs>
        <w:suppressAutoHyphens/>
        <w:autoSpaceDE/>
        <w:autoSpaceDN/>
        <w:adjustRightInd/>
        <w:ind w:left="450" w:hanging="270"/>
        <w:rPr>
          <w:snapToGrid w:val="0"/>
          <w:sz w:val="24"/>
        </w:rPr>
      </w:pPr>
      <w:r w:rsidRPr="009455EA">
        <w:rPr>
          <w:snapToGrid w:val="0"/>
          <w:sz w:val="24"/>
        </w:rPr>
        <w:tab/>
        <w:t xml:space="preserve">The primary impact on small entities </w:t>
      </w:r>
      <w:r w:rsidR="00E37E4B">
        <w:rPr>
          <w:snapToGrid w:val="0"/>
          <w:sz w:val="24"/>
        </w:rPr>
        <w:t xml:space="preserve">included in this collection </w:t>
      </w:r>
      <w:r w:rsidRPr="00E37E4B">
        <w:rPr>
          <w:snapToGrid w:val="0"/>
          <w:sz w:val="24"/>
        </w:rPr>
        <w:t>will be</w:t>
      </w:r>
      <w:r>
        <w:rPr>
          <w:snapToGrid w:val="0"/>
          <w:sz w:val="24"/>
        </w:rPr>
        <w:t xml:space="preserve"> </w:t>
      </w:r>
      <w:r w:rsidR="00846861">
        <w:rPr>
          <w:snapToGrid w:val="0"/>
          <w:sz w:val="24"/>
        </w:rPr>
        <w:t>adding</w:t>
      </w:r>
      <w:r w:rsidR="005769F0">
        <w:rPr>
          <w:snapToGrid w:val="0"/>
          <w:sz w:val="24"/>
        </w:rPr>
        <w:t xml:space="preserve"> PAHPs and</w:t>
      </w:r>
      <w:r>
        <w:rPr>
          <w:snapToGrid w:val="0"/>
          <w:sz w:val="24"/>
        </w:rPr>
        <w:t xml:space="preserve"> PCCM entities to </w:t>
      </w:r>
      <w:r w:rsidRPr="00E82D1B">
        <w:rPr>
          <w:snapToGrid w:val="0"/>
          <w:sz w:val="24"/>
        </w:rPr>
        <w:t>the QAPI</w:t>
      </w:r>
      <w:r>
        <w:rPr>
          <w:snapToGrid w:val="0"/>
          <w:sz w:val="24"/>
        </w:rPr>
        <w:t xml:space="preserve"> </w:t>
      </w:r>
      <w:r w:rsidR="00E37E4B">
        <w:rPr>
          <w:snapToGrid w:val="0"/>
          <w:sz w:val="24"/>
        </w:rPr>
        <w:t>program standards in §</w:t>
      </w:r>
      <w:r w:rsidRPr="00E82D1B">
        <w:rPr>
          <w:snapToGrid w:val="0"/>
          <w:sz w:val="24"/>
        </w:rPr>
        <w:t>438.330</w:t>
      </w:r>
      <w:r w:rsidR="00E37E4B">
        <w:rPr>
          <w:snapToGrid w:val="0"/>
          <w:sz w:val="24"/>
        </w:rPr>
        <w:t>.</w:t>
      </w:r>
      <w:r w:rsidRPr="00E82D1B">
        <w:rPr>
          <w:snapToGrid w:val="0"/>
          <w:sz w:val="24"/>
        </w:rPr>
        <w:t xml:space="preserve">  We do not believe that the remaining impacts or burdens of the provisions of this </w:t>
      </w:r>
      <w:r w:rsidR="005769F0">
        <w:rPr>
          <w:snapToGrid w:val="0"/>
          <w:sz w:val="24"/>
        </w:rPr>
        <w:t>collection</w:t>
      </w:r>
      <w:r w:rsidRPr="00E82D1B">
        <w:rPr>
          <w:snapToGrid w:val="0"/>
          <w:sz w:val="24"/>
        </w:rPr>
        <w:t xml:space="preserve"> are great on the small entities that we have identified.  </w:t>
      </w:r>
    </w:p>
    <w:p w14:paraId="5BF9D6BD" w14:textId="77777777" w:rsidR="00E82D1B" w:rsidRPr="00E82D1B" w:rsidRDefault="00E82D1B" w:rsidP="00DA34B7">
      <w:pPr>
        <w:tabs>
          <w:tab w:val="left" w:pos="-720"/>
          <w:tab w:val="left" w:pos="0"/>
        </w:tabs>
        <w:suppressAutoHyphens/>
        <w:autoSpaceDE/>
        <w:autoSpaceDN/>
        <w:adjustRightInd/>
        <w:ind w:left="450" w:hanging="720"/>
        <w:rPr>
          <w:snapToGrid w:val="0"/>
          <w:sz w:val="24"/>
        </w:rPr>
      </w:pPr>
      <w:r w:rsidRPr="00E82D1B">
        <w:rPr>
          <w:snapToGrid w:val="0"/>
          <w:sz w:val="24"/>
        </w:rPr>
        <w:tab/>
      </w:r>
    </w:p>
    <w:p w14:paraId="1AAFEEFF" w14:textId="6F8CC4ED" w:rsidR="00E82D1B" w:rsidRPr="00E37E4B" w:rsidRDefault="00E82D1B" w:rsidP="00DA34B7">
      <w:pPr>
        <w:tabs>
          <w:tab w:val="left" w:pos="-720"/>
          <w:tab w:val="left" w:pos="540"/>
        </w:tabs>
        <w:suppressAutoHyphens/>
        <w:autoSpaceDE/>
        <w:autoSpaceDN/>
        <w:adjustRightInd/>
        <w:ind w:left="450" w:hanging="720"/>
        <w:rPr>
          <w:snapToGrid w:val="0"/>
          <w:sz w:val="24"/>
        </w:rPr>
      </w:pPr>
      <w:r w:rsidRPr="00E37E4B">
        <w:rPr>
          <w:snapToGrid w:val="0"/>
          <w:sz w:val="24"/>
        </w:rPr>
        <w:tab/>
        <w:t>All cost estimates were derived from the Collectio</w:t>
      </w:r>
      <w:r w:rsidR="00846861">
        <w:rPr>
          <w:snapToGrid w:val="0"/>
          <w:sz w:val="24"/>
        </w:rPr>
        <w:t xml:space="preserve">n of Information section of the </w:t>
      </w:r>
      <w:r w:rsidR="005769F0">
        <w:rPr>
          <w:snapToGrid w:val="0"/>
          <w:sz w:val="24"/>
        </w:rPr>
        <w:t>May 6, 2016</w:t>
      </w:r>
      <w:r w:rsidR="00462B06">
        <w:rPr>
          <w:snapToGrid w:val="0"/>
          <w:sz w:val="24"/>
        </w:rPr>
        <w:t xml:space="preserve"> </w:t>
      </w:r>
      <w:r w:rsidRPr="00E37E4B">
        <w:rPr>
          <w:snapToGrid w:val="0"/>
          <w:sz w:val="24"/>
        </w:rPr>
        <w:t>final rule</w:t>
      </w:r>
      <w:r w:rsidR="00462B06">
        <w:rPr>
          <w:snapToGrid w:val="0"/>
          <w:sz w:val="24"/>
        </w:rPr>
        <w:t xml:space="preserve"> </w:t>
      </w:r>
      <w:r w:rsidR="00462B06" w:rsidRPr="00462B06">
        <w:rPr>
          <w:snapToGrid w:val="0"/>
          <w:sz w:val="24"/>
        </w:rPr>
        <w:t>(RIN 0938-AS25, CMS-2390-F)</w:t>
      </w:r>
      <w:r w:rsidRPr="00E37E4B">
        <w:rPr>
          <w:snapToGrid w:val="0"/>
          <w:sz w:val="24"/>
        </w:rPr>
        <w:t>.  The estimated costs associated with the impacts on small entities listed above are primarily attributable to</w:t>
      </w:r>
      <w:r w:rsidR="00846861">
        <w:rPr>
          <w:snapToGrid w:val="0"/>
          <w:sz w:val="24"/>
        </w:rPr>
        <w:t xml:space="preserve"> application of</w:t>
      </w:r>
      <w:r w:rsidR="00E37E4B">
        <w:rPr>
          <w:snapToGrid w:val="0"/>
          <w:sz w:val="24"/>
        </w:rPr>
        <w:t xml:space="preserve"> </w:t>
      </w:r>
      <w:r w:rsidR="00E37E4B" w:rsidRPr="00E82D1B">
        <w:rPr>
          <w:snapToGrid w:val="0"/>
          <w:sz w:val="24"/>
        </w:rPr>
        <w:t>the QAPI</w:t>
      </w:r>
      <w:r w:rsidR="00E37E4B">
        <w:rPr>
          <w:snapToGrid w:val="0"/>
          <w:sz w:val="24"/>
        </w:rPr>
        <w:t xml:space="preserve"> program standards in §</w:t>
      </w:r>
      <w:r w:rsidR="00E37E4B" w:rsidRPr="00E82D1B">
        <w:rPr>
          <w:snapToGrid w:val="0"/>
          <w:sz w:val="24"/>
        </w:rPr>
        <w:t>438.330</w:t>
      </w:r>
      <w:r w:rsidR="00846861">
        <w:rPr>
          <w:snapToGrid w:val="0"/>
          <w:sz w:val="24"/>
        </w:rPr>
        <w:t xml:space="preserve"> to </w:t>
      </w:r>
      <w:r w:rsidR="00462B06">
        <w:rPr>
          <w:snapToGrid w:val="0"/>
          <w:sz w:val="24"/>
        </w:rPr>
        <w:t xml:space="preserve">PAHPs and </w:t>
      </w:r>
      <w:r w:rsidR="00846861">
        <w:rPr>
          <w:snapToGrid w:val="0"/>
          <w:sz w:val="24"/>
        </w:rPr>
        <w:t>PCCM entities</w:t>
      </w:r>
      <w:r w:rsidR="00E37E4B">
        <w:rPr>
          <w:snapToGrid w:val="0"/>
          <w:sz w:val="24"/>
        </w:rPr>
        <w:t xml:space="preserve">. </w:t>
      </w:r>
      <w:r w:rsidRPr="00E37E4B">
        <w:rPr>
          <w:snapToGrid w:val="0"/>
          <w:sz w:val="24"/>
        </w:rPr>
        <w:t xml:space="preserve"> The </w:t>
      </w:r>
      <w:r w:rsidR="00E37E4B">
        <w:rPr>
          <w:snapToGrid w:val="0"/>
          <w:sz w:val="24"/>
        </w:rPr>
        <w:t xml:space="preserve">application of the QAPI requirements to </w:t>
      </w:r>
      <w:r w:rsidR="00846861">
        <w:rPr>
          <w:snapToGrid w:val="0"/>
          <w:sz w:val="24"/>
        </w:rPr>
        <w:t xml:space="preserve">both </w:t>
      </w:r>
      <w:r w:rsidR="00E37E4B">
        <w:rPr>
          <w:snapToGrid w:val="0"/>
          <w:sz w:val="24"/>
        </w:rPr>
        <w:t xml:space="preserve">PAHPs </w:t>
      </w:r>
      <w:r w:rsidR="00846861">
        <w:rPr>
          <w:snapToGrid w:val="0"/>
          <w:sz w:val="24"/>
        </w:rPr>
        <w:t xml:space="preserve">and PCCM entities </w:t>
      </w:r>
      <w:r w:rsidRPr="00E37E4B">
        <w:rPr>
          <w:snapToGrid w:val="0"/>
          <w:sz w:val="24"/>
        </w:rPr>
        <w:t>account</w:t>
      </w:r>
      <w:r w:rsidR="00E37E4B">
        <w:rPr>
          <w:snapToGrid w:val="0"/>
          <w:sz w:val="24"/>
        </w:rPr>
        <w:t>s</w:t>
      </w:r>
      <w:r w:rsidRPr="00E37E4B">
        <w:rPr>
          <w:snapToGrid w:val="0"/>
          <w:sz w:val="24"/>
        </w:rPr>
        <w:t xml:space="preserve"> for appr</w:t>
      </w:r>
      <w:r w:rsidR="00E37E4B">
        <w:rPr>
          <w:snapToGrid w:val="0"/>
          <w:sz w:val="24"/>
        </w:rPr>
        <w:t>oximately $</w:t>
      </w:r>
      <w:r w:rsidR="00846861">
        <w:rPr>
          <w:snapToGrid w:val="0"/>
          <w:sz w:val="24"/>
        </w:rPr>
        <w:t>69,316.00</w:t>
      </w:r>
      <w:r w:rsidRPr="00E37E4B">
        <w:rPr>
          <w:snapToGrid w:val="0"/>
          <w:sz w:val="24"/>
        </w:rPr>
        <w:t xml:space="preserve"> of the cumulative $4.5 million annual impact </w:t>
      </w:r>
      <w:r w:rsidR="00846861">
        <w:rPr>
          <w:snapToGrid w:val="0"/>
          <w:sz w:val="24"/>
        </w:rPr>
        <w:t xml:space="preserve">(of the entire final rule) </w:t>
      </w:r>
      <w:r w:rsidRPr="00E37E4B">
        <w:rPr>
          <w:snapToGrid w:val="0"/>
          <w:sz w:val="24"/>
        </w:rPr>
        <w:t>on the 41 PAHPs</w:t>
      </w:r>
      <w:r w:rsidR="00846861">
        <w:rPr>
          <w:snapToGrid w:val="0"/>
          <w:sz w:val="24"/>
        </w:rPr>
        <w:t xml:space="preserve"> and 9 PCCM entities</w:t>
      </w:r>
      <w:r w:rsidR="00462B06">
        <w:rPr>
          <w:snapToGrid w:val="0"/>
          <w:sz w:val="24"/>
        </w:rPr>
        <w:t xml:space="preserve"> (of which we estimate </w:t>
      </w:r>
      <w:r w:rsidR="00462B06" w:rsidRPr="009455EA">
        <w:rPr>
          <w:snapToGrid w:val="0"/>
          <w:sz w:val="24"/>
        </w:rPr>
        <w:t>10 to 20 PAHPs and 2 to 5 PCCM entities are likely to be small entities</w:t>
      </w:r>
      <w:r w:rsidR="00462B06">
        <w:rPr>
          <w:snapToGrid w:val="0"/>
          <w:sz w:val="24"/>
        </w:rPr>
        <w:t>)</w:t>
      </w:r>
      <w:r w:rsidRPr="00E37E4B">
        <w:rPr>
          <w:snapToGrid w:val="0"/>
          <w:sz w:val="24"/>
        </w:rPr>
        <w:t xml:space="preserve">.  The total </w:t>
      </w:r>
      <w:r w:rsidR="001F5C5E">
        <w:rPr>
          <w:snapToGrid w:val="0"/>
          <w:sz w:val="24"/>
        </w:rPr>
        <w:t xml:space="preserve">May 6, 2016 </w:t>
      </w:r>
      <w:r w:rsidR="009455EA">
        <w:rPr>
          <w:snapToGrid w:val="0"/>
          <w:sz w:val="24"/>
        </w:rPr>
        <w:t xml:space="preserve">final rule </w:t>
      </w:r>
      <w:r w:rsidRPr="00E37E4B">
        <w:rPr>
          <w:snapToGrid w:val="0"/>
          <w:sz w:val="24"/>
        </w:rPr>
        <w:t xml:space="preserve">estimated annual burden per PAHP is less than $0.1 million, or less than 1 percent of the $38.5 million threshold.  The total estimated annual burden per PCCM entity is less than $0.1 million, or less than 1 percent of the $11 million threshold. </w:t>
      </w:r>
    </w:p>
    <w:p w14:paraId="6A707A69" w14:textId="77777777" w:rsidR="00E82D1B" w:rsidRPr="00E37E4B" w:rsidRDefault="00E82D1B" w:rsidP="00DA34B7">
      <w:pPr>
        <w:tabs>
          <w:tab w:val="left" w:pos="-720"/>
          <w:tab w:val="left" w:pos="0"/>
        </w:tabs>
        <w:suppressAutoHyphens/>
        <w:autoSpaceDE/>
        <w:autoSpaceDN/>
        <w:adjustRightInd/>
        <w:ind w:left="450" w:hanging="720"/>
        <w:rPr>
          <w:snapToGrid w:val="0"/>
          <w:sz w:val="24"/>
        </w:rPr>
      </w:pPr>
      <w:r w:rsidRPr="00E37E4B">
        <w:rPr>
          <w:snapToGrid w:val="0"/>
          <w:sz w:val="24"/>
        </w:rPr>
        <w:tab/>
      </w:r>
    </w:p>
    <w:p w14:paraId="7814FCCF" w14:textId="7E1F10A3" w:rsidR="00E82D1B" w:rsidRDefault="00E82D1B" w:rsidP="00DA34B7">
      <w:pPr>
        <w:tabs>
          <w:tab w:val="left" w:pos="-720"/>
          <w:tab w:val="left" w:pos="540"/>
        </w:tabs>
        <w:suppressAutoHyphens/>
        <w:autoSpaceDE/>
        <w:autoSpaceDN/>
        <w:adjustRightInd/>
        <w:ind w:left="450" w:hanging="720"/>
        <w:rPr>
          <w:snapToGrid w:val="0"/>
          <w:sz w:val="24"/>
        </w:rPr>
      </w:pPr>
      <w:r w:rsidRPr="00846861">
        <w:rPr>
          <w:snapToGrid w:val="0"/>
          <w:sz w:val="24"/>
        </w:rPr>
        <w:tab/>
        <w:t xml:space="preserve">These small entities must meet certain standards as identified in the provisions of </w:t>
      </w:r>
      <w:r w:rsidR="00B81076">
        <w:rPr>
          <w:snapToGrid w:val="0"/>
          <w:sz w:val="24"/>
        </w:rPr>
        <w:t>the May 6, 2016</w:t>
      </w:r>
      <w:r w:rsidRPr="00846861">
        <w:rPr>
          <w:snapToGrid w:val="0"/>
          <w:sz w:val="24"/>
        </w:rPr>
        <w:t xml:space="preserve"> final rule; however, we believe these are consistent with the nature of their business in contracting with state governments for the provision of services to Medicaid and CHIP managed care enrollees.  Therefore, based on the estimate</w:t>
      </w:r>
      <w:r w:rsidRPr="009455EA">
        <w:rPr>
          <w:snapToGrid w:val="0"/>
          <w:sz w:val="24"/>
        </w:rPr>
        <w:t xml:space="preserve">s in the COI, we have determined that </w:t>
      </w:r>
      <w:r w:rsidR="0068027D">
        <w:rPr>
          <w:snapToGrid w:val="0"/>
          <w:sz w:val="24"/>
        </w:rPr>
        <w:t>the May 6, 2016</w:t>
      </w:r>
      <w:r w:rsidRPr="009455EA">
        <w:rPr>
          <w:snapToGrid w:val="0"/>
          <w:sz w:val="24"/>
        </w:rPr>
        <w:t xml:space="preserve"> final rule will not have a significant economic impact on a substantial number of small entities.  In the proposed rule, we invited comment on our proposed analysis of the impact on small entities and on possible alternatives to provisions of the proposed rule that would reduce burden on small entities.  We received no comments and are finalizing our analysis as proposed in this final rule.</w:t>
      </w:r>
    </w:p>
    <w:p w14:paraId="369601E6" w14:textId="77777777" w:rsidR="00DA34B7" w:rsidRPr="009455EA" w:rsidRDefault="00DA34B7" w:rsidP="00DA34B7">
      <w:pPr>
        <w:tabs>
          <w:tab w:val="left" w:pos="-720"/>
          <w:tab w:val="left" w:pos="540"/>
        </w:tabs>
        <w:suppressAutoHyphens/>
        <w:autoSpaceDE/>
        <w:autoSpaceDN/>
        <w:adjustRightInd/>
        <w:ind w:left="540" w:hanging="720"/>
        <w:rPr>
          <w:snapToGrid w:val="0"/>
          <w:sz w:val="24"/>
        </w:rPr>
      </w:pPr>
    </w:p>
    <w:p w14:paraId="6C5B851A"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6.</w:t>
      </w:r>
      <w:r>
        <w:rPr>
          <w:sz w:val="24"/>
        </w:rPr>
        <w:tab/>
      </w:r>
      <w:r w:rsidRPr="00AE57A1">
        <w:rPr>
          <w:sz w:val="24"/>
          <w:u w:val="single"/>
        </w:rPr>
        <w:t>Less Frequent Collection</w:t>
      </w:r>
    </w:p>
    <w:p w14:paraId="6C5B851B"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C5B851C" w14:textId="67F5F82C" w:rsidR="00D24E16" w:rsidRDefault="00AE57A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The</w:t>
      </w:r>
      <w:r w:rsidR="00365E5F">
        <w:rPr>
          <w:sz w:val="24"/>
        </w:rPr>
        <w:t xml:space="preserve"> final </w:t>
      </w:r>
      <w:r>
        <w:rPr>
          <w:sz w:val="24"/>
        </w:rPr>
        <w:t>rule would e</w:t>
      </w:r>
      <w:r w:rsidR="00365E5F">
        <w:rPr>
          <w:sz w:val="24"/>
        </w:rPr>
        <w:t xml:space="preserve">stablish that the managed care </w:t>
      </w:r>
      <w:r>
        <w:rPr>
          <w:sz w:val="24"/>
        </w:rPr>
        <w:t>quality strategy should be reviewed</w:t>
      </w:r>
      <w:r w:rsidR="00F341DE">
        <w:rPr>
          <w:sz w:val="24"/>
        </w:rPr>
        <w:t xml:space="preserve"> </w:t>
      </w:r>
      <w:r>
        <w:rPr>
          <w:sz w:val="24"/>
        </w:rPr>
        <w:t>and revised at least once every three years.  If this were to occur less frequently, progress on goals and the identification of new goals might not occur regularly, which would limit the utility of t</w:t>
      </w:r>
      <w:r w:rsidR="00365E5F">
        <w:rPr>
          <w:sz w:val="24"/>
        </w:rPr>
        <w:t xml:space="preserve">he strategy.  The </w:t>
      </w:r>
      <w:r>
        <w:rPr>
          <w:sz w:val="24"/>
        </w:rPr>
        <w:t>quality strategy is a tool to help drive quality improvement, and as such should not be allowed to stagnate.</w:t>
      </w:r>
    </w:p>
    <w:p w14:paraId="09B3B28F" w14:textId="3764D4B2" w:rsidR="00905CA4" w:rsidRDefault="00905CA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151DE848" w14:textId="3D36CEBE" w:rsidR="00905CA4" w:rsidRDefault="00905CA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The final rule would establish that states must at least annually post a quality rating for each MCO, PIHP and PAHP for Medicaid managed care enrollees to use in making informed choices about their managed care plan.  If this were to occur less frequently, enrollees would not have current quality information when choosing a health plan, either for the first time or during the annual open-enrollment period. </w:t>
      </w:r>
    </w:p>
    <w:p w14:paraId="6C5B851D"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C5B851E"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7.</w:t>
      </w:r>
      <w:r>
        <w:rPr>
          <w:sz w:val="24"/>
        </w:rPr>
        <w:tab/>
      </w:r>
      <w:r>
        <w:rPr>
          <w:sz w:val="24"/>
          <w:u w:val="single"/>
        </w:rPr>
        <w:t>Special Circumstances</w:t>
      </w:r>
    </w:p>
    <w:p w14:paraId="6C5B851F"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CC519B1" w14:textId="77777777" w:rsidR="00CB1D49" w:rsidRPr="00DF0B19" w:rsidRDefault="00CB1D49" w:rsidP="00CB1D49">
      <w:pPr>
        <w:pStyle w:val="Body2"/>
        <w:ind w:left="432"/>
      </w:pPr>
      <w:r w:rsidRPr="00DF0B19">
        <w:t>There are no special circumstances. More specifically, this information collection does not do any of the following:</w:t>
      </w:r>
    </w:p>
    <w:p w14:paraId="60779E33" w14:textId="77777777" w:rsidR="00CB1D49" w:rsidRPr="00DF0B19" w:rsidRDefault="00CB1D49" w:rsidP="00CB1D49">
      <w:pPr>
        <w:pStyle w:val="Body2"/>
        <w:ind w:left="432"/>
      </w:pPr>
    </w:p>
    <w:p w14:paraId="67FCF0F4" w14:textId="77777777" w:rsidR="00CB1D49" w:rsidRPr="00DF0B19" w:rsidRDefault="00CB1D49" w:rsidP="00CB1D49">
      <w:pPr>
        <w:pStyle w:val="Body2"/>
        <w:ind w:left="432"/>
      </w:pPr>
      <w:r w:rsidRPr="00DF0B19">
        <w:t>-Require respondents to report information to the agency more often than quarterly;</w:t>
      </w:r>
    </w:p>
    <w:p w14:paraId="6DB4A617" w14:textId="77777777" w:rsidR="00CB1D49" w:rsidRPr="00DF0B19" w:rsidRDefault="00CB1D49" w:rsidP="00CB1D49">
      <w:pPr>
        <w:pStyle w:val="Body2"/>
        <w:ind w:left="432"/>
      </w:pPr>
    </w:p>
    <w:p w14:paraId="4654BE4F" w14:textId="77777777" w:rsidR="00CB1D49" w:rsidRPr="00DF0B19" w:rsidRDefault="00CB1D49" w:rsidP="00CB1D49">
      <w:pPr>
        <w:pStyle w:val="Body2"/>
        <w:ind w:left="432"/>
      </w:pPr>
      <w:r w:rsidRPr="00DF0B19">
        <w:t>-Require respondents to prepare a written response to a collection of information in fewer than 30 days after receipt of it;</w:t>
      </w:r>
    </w:p>
    <w:p w14:paraId="3C15C394" w14:textId="77777777" w:rsidR="00CB1D49" w:rsidRPr="00DF0B19" w:rsidRDefault="00CB1D49" w:rsidP="00CB1D49">
      <w:pPr>
        <w:pStyle w:val="Body2"/>
        <w:ind w:left="432"/>
      </w:pPr>
    </w:p>
    <w:p w14:paraId="29FCC74E" w14:textId="77777777" w:rsidR="00CB1D49" w:rsidRPr="00DF0B19" w:rsidRDefault="00CB1D49" w:rsidP="00CB1D49">
      <w:pPr>
        <w:pStyle w:val="Body2"/>
        <w:ind w:left="432"/>
      </w:pPr>
      <w:r w:rsidRPr="00DF0B19">
        <w:t>-Require respondents to submit more than an original and two copies of any document;</w:t>
      </w:r>
    </w:p>
    <w:p w14:paraId="6176BA33" w14:textId="77777777" w:rsidR="00CB1D49" w:rsidRPr="00DF0B19" w:rsidRDefault="00CB1D49" w:rsidP="00CB1D49">
      <w:pPr>
        <w:pStyle w:val="Body2"/>
        <w:ind w:left="432"/>
      </w:pPr>
    </w:p>
    <w:p w14:paraId="22D21F94" w14:textId="77777777" w:rsidR="00CB1D49" w:rsidRPr="00DF0B19" w:rsidRDefault="00CB1D49" w:rsidP="00CB1D49">
      <w:pPr>
        <w:pStyle w:val="Body2"/>
        <w:ind w:left="432"/>
      </w:pPr>
      <w:r w:rsidRPr="00DF0B19">
        <w:t>-Require respondents to retain records, other than health, medical, government contract, grant-in-aid, or tax records for more than three years;</w:t>
      </w:r>
    </w:p>
    <w:p w14:paraId="72123D90" w14:textId="77777777" w:rsidR="00CB1D49" w:rsidRPr="00DF0B19" w:rsidRDefault="00CB1D49" w:rsidP="00CB1D49">
      <w:pPr>
        <w:pStyle w:val="Body2"/>
        <w:ind w:left="432"/>
      </w:pPr>
    </w:p>
    <w:p w14:paraId="40D0C47C" w14:textId="77777777" w:rsidR="00CB1D49" w:rsidRPr="00DF0B19" w:rsidRDefault="00CB1D49" w:rsidP="00CB1D49">
      <w:pPr>
        <w:pStyle w:val="Body2"/>
        <w:ind w:left="432"/>
      </w:pPr>
      <w:r w:rsidRPr="00DF0B19">
        <w:t>-Is connected with a statistical survey that is not designed to produce valid and reliable results that can be generalized to the universe of study,</w:t>
      </w:r>
    </w:p>
    <w:p w14:paraId="240E969A" w14:textId="77777777" w:rsidR="00CB1D49" w:rsidRPr="00DF0B19" w:rsidRDefault="00CB1D49" w:rsidP="00CB1D49">
      <w:pPr>
        <w:pStyle w:val="Body2"/>
        <w:ind w:left="432"/>
      </w:pPr>
    </w:p>
    <w:p w14:paraId="5EB44558" w14:textId="77777777" w:rsidR="00CB1D49" w:rsidRPr="00DF0B19" w:rsidRDefault="00CB1D49" w:rsidP="00CB1D49">
      <w:pPr>
        <w:pStyle w:val="Body2"/>
        <w:ind w:left="432"/>
      </w:pPr>
      <w:r w:rsidRPr="00DF0B19">
        <w:t>-Require the use of a statistical data classification that has not been reviewed and approved by OMB;</w:t>
      </w:r>
    </w:p>
    <w:p w14:paraId="44D53209" w14:textId="77777777" w:rsidR="00CB1D49" w:rsidRPr="00DF0B19" w:rsidRDefault="00CB1D49" w:rsidP="00CB1D49">
      <w:pPr>
        <w:pStyle w:val="Body2"/>
        <w:ind w:left="432"/>
      </w:pPr>
    </w:p>
    <w:p w14:paraId="41ED60C8" w14:textId="77777777" w:rsidR="00CB1D49" w:rsidRPr="00DF0B19" w:rsidRDefault="00CB1D49" w:rsidP="00CB1D49">
      <w:pPr>
        <w:pStyle w:val="Body2"/>
        <w:ind w:left="432"/>
      </w:pPr>
      <w:r w:rsidRPr="00DF0B19">
        <w:t>-Includes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14:paraId="4AA6A682" w14:textId="77777777" w:rsidR="00CB1D49" w:rsidRPr="00DF0B19" w:rsidRDefault="00CB1D49" w:rsidP="00CB1D49">
      <w:pPr>
        <w:pStyle w:val="Body2"/>
        <w:ind w:left="432"/>
      </w:pPr>
    </w:p>
    <w:p w14:paraId="764E987F" w14:textId="77777777" w:rsidR="00CB1D49" w:rsidRPr="00DF0B19" w:rsidRDefault="00CB1D49" w:rsidP="00CB1D49">
      <w:pPr>
        <w:pStyle w:val="Body2"/>
        <w:ind w:left="432"/>
      </w:pPr>
      <w:r w:rsidRPr="00DF0B19">
        <w:t>-Require respondents to submit proprietary trade secret, or other confidential information unless the agency can demonstrate that it has instituted procedures to protect die information's confidentiality to the extent permitted by law.</w:t>
      </w:r>
    </w:p>
    <w:p w14:paraId="498D050F" w14:textId="77777777" w:rsidR="00CB1D49" w:rsidRDefault="00CB1D4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C5B8522"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8.</w:t>
      </w:r>
      <w:r>
        <w:rPr>
          <w:sz w:val="24"/>
        </w:rPr>
        <w:tab/>
      </w:r>
      <w:r>
        <w:rPr>
          <w:sz w:val="24"/>
          <w:u w:val="single"/>
        </w:rPr>
        <w:t>Federal Register/Outside Consultation</w:t>
      </w:r>
    </w:p>
    <w:p w14:paraId="6C5B8525" w14:textId="77777777" w:rsidR="00AE57A1" w:rsidRDefault="00AE57A1" w:rsidP="00365E5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C5B8527" w14:textId="25C58B3A" w:rsidR="008F1EB4" w:rsidRDefault="00FC03C6" w:rsidP="0093590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FC03C6">
        <w:rPr>
          <w:sz w:val="24"/>
        </w:rPr>
        <w:t xml:space="preserve">Serving as the 60-day Federal Register notice, the </w:t>
      </w:r>
      <w:r w:rsidR="00935901" w:rsidRPr="00FC03C6">
        <w:rPr>
          <w:sz w:val="24"/>
        </w:rPr>
        <w:t>NPRM published on June 1, 2015 (80 FR 31098; RIN 0938-AS25). PRA-related public comments were received. A summary of the comments and our response have been added to this package.</w:t>
      </w:r>
    </w:p>
    <w:p w14:paraId="7C433FDC" w14:textId="77777777" w:rsidR="00935901" w:rsidRDefault="00935901" w:rsidP="007F6A6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1DBD3F85" w14:textId="492798E7" w:rsidR="007F6A6E" w:rsidRPr="007F6A6E" w:rsidRDefault="00DF631B" w:rsidP="007F6A6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In addition, t</w:t>
      </w:r>
      <w:r w:rsidR="007F6A6E" w:rsidRPr="007F6A6E">
        <w:rPr>
          <w:sz w:val="24"/>
        </w:rPr>
        <w:t>he proposed rule indicated that §§438.310, 438.320, 438.330, 438.332, 438.334 and 438.340 would be submitted to OMB for approval under control number 0938-0920 (CMS-10108).  Th</w:t>
      </w:r>
      <w:r w:rsidR="00466416">
        <w:rPr>
          <w:sz w:val="24"/>
        </w:rPr>
        <w:t>e</w:t>
      </w:r>
      <w:r w:rsidR="007F6A6E" w:rsidRPr="007F6A6E">
        <w:rPr>
          <w:sz w:val="24"/>
        </w:rPr>
        <w:t xml:space="preserve"> CMS-10553</w:t>
      </w:r>
      <w:r>
        <w:rPr>
          <w:sz w:val="24"/>
        </w:rPr>
        <w:t xml:space="preserve"> package</w:t>
      </w:r>
      <w:r w:rsidR="007F6A6E" w:rsidRPr="007F6A6E">
        <w:rPr>
          <w:sz w:val="24"/>
        </w:rPr>
        <w:t>, proposed changes to §§431.500, 431.502, 431.504 and 431.506.</w:t>
      </w:r>
    </w:p>
    <w:p w14:paraId="003A97FA" w14:textId="77777777" w:rsidR="007F6A6E" w:rsidRPr="007F6A6E" w:rsidRDefault="007F6A6E" w:rsidP="007F6A6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62E5104F" w14:textId="6F8A6313" w:rsidR="007F6A6E" w:rsidRPr="007F6A6E" w:rsidRDefault="007F6A6E" w:rsidP="007F6A6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7F6A6E">
        <w:rPr>
          <w:sz w:val="24"/>
        </w:rPr>
        <w:t xml:space="preserve">This </w:t>
      </w:r>
      <w:r w:rsidR="00DF631B">
        <w:rPr>
          <w:sz w:val="24"/>
        </w:rPr>
        <w:t xml:space="preserve">final rule’s </w:t>
      </w:r>
      <w:r w:rsidRPr="007F6A6E">
        <w:rPr>
          <w:sz w:val="24"/>
        </w:rPr>
        <w:t xml:space="preserve">CMS-10553 </w:t>
      </w:r>
      <w:r w:rsidR="00DF631B">
        <w:rPr>
          <w:sz w:val="24"/>
        </w:rPr>
        <w:t xml:space="preserve">package </w:t>
      </w:r>
      <w:r w:rsidRPr="007F6A6E">
        <w:rPr>
          <w:sz w:val="24"/>
        </w:rPr>
        <w:t>includes the sections listed above previously included in CMS-10108 and will align these quality activities with the provisions of the final rule (CMS-2390-F).  Th</w:t>
      </w:r>
      <w:r w:rsidR="00DF631B">
        <w:rPr>
          <w:sz w:val="24"/>
        </w:rPr>
        <w:t>e</w:t>
      </w:r>
      <w:r w:rsidRPr="007F6A6E">
        <w:rPr>
          <w:sz w:val="24"/>
        </w:rPr>
        <w:t xml:space="preserve"> final rule did not finalize the proposed changes to section 431 related to establishing a comprehensive quality strategy; therefore, they are removed from this </w:t>
      </w:r>
      <w:r w:rsidR="00DF631B">
        <w:rPr>
          <w:sz w:val="24"/>
        </w:rPr>
        <w:t xml:space="preserve">final rule </w:t>
      </w:r>
      <w:r w:rsidR="00DF631B">
        <w:rPr>
          <w:sz w:val="24"/>
        </w:rPr>
        <w:lastRenderedPageBreak/>
        <w:t>package</w:t>
      </w:r>
      <w:r w:rsidRPr="007F6A6E">
        <w:rPr>
          <w:sz w:val="24"/>
        </w:rPr>
        <w:t>.</w:t>
      </w:r>
    </w:p>
    <w:p w14:paraId="52B1ADDC" w14:textId="77777777" w:rsidR="007F6A6E" w:rsidRPr="007F6A6E" w:rsidRDefault="007F6A6E" w:rsidP="007F6A6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0567AB11" w14:textId="34EA99B7" w:rsidR="007F6A6E" w:rsidRPr="007F6A6E" w:rsidRDefault="007F6A6E" w:rsidP="007F6A6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7F6A6E">
        <w:rPr>
          <w:sz w:val="24"/>
        </w:rPr>
        <w:t>We are not finalizing our proposal to require states to review and approve MCO, PIHP, and PAHP performance; instead, we finaliz</w:t>
      </w:r>
      <w:r w:rsidR="00DF631B">
        <w:rPr>
          <w:sz w:val="24"/>
        </w:rPr>
        <w:t>ed</w:t>
      </w:r>
      <w:r w:rsidRPr="007F6A6E">
        <w:rPr>
          <w:sz w:val="24"/>
        </w:rPr>
        <w:t xml:space="preserve"> §438.332 with modification to require states to confirm the accreditation status (accredited or not) of each contracted MCO, PIHP, and PAHP annually.  As a part of this revision, we finaliz</w:t>
      </w:r>
      <w:r w:rsidR="00DF631B">
        <w:rPr>
          <w:sz w:val="24"/>
        </w:rPr>
        <w:t>ed</w:t>
      </w:r>
      <w:r w:rsidRPr="007F6A6E">
        <w:rPr>
          <w:sz w:val="24"/>
        </w:rPr>
        <w:t xml:space="preserve"> §438.332(c), with modification, to require this information to be posted online each year.  Therefore we are deleting the burden estimate associated with proposed §438.332(a) and (b) and replacing it with the burden associated with states annually confirming the accreditation status of contract MCOs, PIHPs, and PAHPs and posting this information online.</w:t>
      </w:r>
    </w:p>
    <w:p w14:paraId="751A4BFE" w14:textId="77777777" w:rsidR="007F6A6E" w:rsidRPr="007F6A6E" w:rsidRDefault="007F6A6E" w:rsidP="007F6A6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0CE23E8C" w14:textId="2B5D6AD3" w:rsidR="007F6A6E" w:rsidRPr="007F6A6E" w:rsidRDefault="007F6A6E" w:rsidP="007F6A6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7F6A6E">
        <w:rPr>
          <w:sz w:val="24"/>
        </w:rPr>
        <w:t xml:space="preserve">Section 438.334(a) provides the general rule that states must operate a MMC QRS, as did proposed §438.334(a)(1).  Section 438.334(b) describes the CMS-developed MMC QRS, which was previously described in proposed §438.334(a)(2) and (3).  Section 438.334(c) describes the option for states to operate, contingent on CMS approval, an alternative MMC QRS, which was described in §438.334(c) of the proposed rule.  Section 438.334(c) also provides additional detail regarding the public engagement process required for an alternative MMC QRS.  The requirement for states to collect data from MCOs, PIHPs, and PAHPs each year and to use that data to generate a quality rating for the plan is finalized at §438.334(d), and was proposed at §438.334(b).  Finally, §438.334(e) requires states to post the quality ratings online.  In response to public comments regarding proposed §438.334(d), we are not finalizing our proposal to allow states to elect to utilize the MA Five-Star rating for MCOs, PIHPs, or PAHPs and therefore are deleting the burden associated with that proposal.  </w:t>
      </w:r>
    </w:p>
    <w:p w14:paraId="5E862A4B" w14:textId="77777777" w:rsidR="007F6A6E" w:rsidRPr="007F6A6E" w:rsidRDefault="007F6A6E" w:rsidP="007F6A6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5C116A3E" w14:textId="77777777" w:rsidR="007F6A6E" w:rsidRPr="007F6A6E" w:rsidRDefault="007F6A6E" w:rsidP="007F6A6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7F6A6E">
        <w:rPr>
          <w:sz w:val="24"/>
        </w:rPr>
        <w:t xml:space="preserve">We are not finalizing the requirement for a CQS as described in proposed part 431 subpart I.  However, we are continuing to require a managed care quality strategy (which applies to states contracting with MCOs, PIHPs, PAHPs, and PCCM entities described in §438.310(c)(2)), and are redesignating sections from proposed part 431 subpart I into §438.340 of the final rule.  The general rule for the managed care quality strategy is redesignated at §438.340(a) and is a revised version of the general rule from proposed §431.502(a).  Section 438.340(b) describes the required elements of the managed care quality strategy, and combines the language from proposed §§431.502(b) and 438.340.  It also contains additional revisions to reflect cross-references from other sections and responses to public comment.  This includes the addition of an element focused on the state’s plan to identify, evaluate, and reduce health disparities, which incorporates the requirement previously located at §438.204(b)(2) that states provide certain demographic information to MCOs and PIHPs at the time of enrollment.  Proposed §431.504 is finalized as §438.340(c) with revisions to reflect the more limited scope (to Medicaid managed care) and for clarity.  Proposed §431.504(d) is finalized as §438.340(d) with minor revisions.  </w:t>
      </w:r>
    </w:p>
    <w:p w14:paraId="2325B50D" w14:textId="77777777" w:rsidR="007F6A6E" w:rsidRDefault="007F6A6E" w:rsidP="007F6A6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79C9D327" w14:textId="77777777" w:rsidR="000B10EA" w:rsidRDefault="000B10EA" w:rsidP="000B10EA">
      <w:pPr>
        <w:tabs>
          <w:tab w:val="left" w:pos="-720"/>
        </w:tabs>
        <w:suppressAutoHyphens/>
        <w:ind w:left="432"/>
        <w:rPr>
          <w:sz w:val="24"/>
        </w:rPr>
      </w:pPr>
      <w:r>
        <w:rPr>
          <w:sz w:val="24"/>
        </w:rPr>
        <w:t>To help align the final rule’s CFR redesignations, a crosswalk of the changes is attached to this package.</w:t>
      </w:r>
    </w:p>
    <w:p w14:paraId="06294F09" w14:textId="77777777" w:rsidR="000B10EA" w:rsidRPr="007F6A6E" w:rsidRDefault="000B10EA" w:rsidP="007F6A6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789F761B" w14:textId="4AEEB9E3" w:rsidR="007F6A6E" w:rsidRPr="007F6A6E" w:rsidRDefault="007F6A6E" w:rsidP="007F6A6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DF631B">
        <w:rPr>
          <w:sz w:val="24"/>
        </w:rPr>
        <w:t xml:space="preserve">Section §438.340(c)(2)(ii) requires states to post the managed care quality strategy </w:t>
      </w:r>
      <w:r w:rsidRPr="00DF631B">
        <w:rPr>
          <w:sz w:val="24"/>
        </w:rPr>
        <w:lastRenderedPageBreak/>
        <w:t xml:space="preserve">effectiveness evaluation on the state’s Medicaid website.  In the proposed rule we stated that while this standard was subject to the PRA, we believed that the associated burden was exempt from the PRA in accordance with 5 CFR 1320.3(b)(2).  We believed that the time, effort, and financial resources necessary to comply with the aforementioned standards would be incurred by persons during the normal course of their activities and, therefore, should be considered a usual and customary business practice.  Upon further consideration, however, we determined that states today do not necessarily post the quality strategy effectiveness evaluation online.  </w:t>
      </w:r>
      <w:r w:rsidR="00DF631B" w:rsidRPr="00DF631B">
        <w:rPr>
          <w:sz w:val="24"/>
        </w:rPr>
        <w:t xml:space="preserve">The burden for </w:t>
      </w:r>
      <w:r w:rsidRPr="00DF631B">
        <w:rPr>
          <w:sz w:val="24"/>
        </w:rPr>
        <w:t xml:space="preserve">posting the quality strategy effectiveness evaluation online </w:t>
      </w:r>
      <w:r w:rsidR="00DF631B" w:rsidRPr="00DF631B">
        <w:rPr>
          <w:sz w:val="24"/>
        </w:rPr>
        <w:t xml:space="preserve">can be found under </w:t>
      </w:r>
      <w:r w:rsidRPr="00DF631B">
        <w:rPr>
          <w:sz w:val="24"/>
        </w:rPr>
        <w:t>Estimate 12.29.</w:t>
      </w:r>
    </w:p>
    <w:p w14:paraId="1882E777" w14:textId="77777777" w:rsidR="007F6A6E" w:rsidRPr="007F6A6E" w:rsidRDefault="007F6A6E" w:rsidP="007F6A6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70F68B3B" w14:textId="789657CE" w:rsidR="007F6A6E" w:rsidRPr="007F6A6E" w:rsidRDefault="007F6A6E" w:rsidP="007F6A6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7F6A6E">
        <w:rPr>
          <w:sz w:val="24"/>
        </w:rPr>
        <w:t>Section 438.340(d) requires states to post the final quality strategy to their Medicaid websites.  In the proposed rule, we stated that while this standard is subject to the PRA, we believed that the associated burden was exempt from the PRA in accordance with 5 CFR 1320.3(b)(2).  We believed that the time, effort, and financial resources necessary to comply with the aforementioned standards would be incurred by persons during the normal course of their activities and, therefore, should be considered a usual and customary business practice.  Upon further consideration, however, we determined that states today do not necessarily post the final quality strategy online, though some do.  The</w:t>
      </w:r>
      <w:r w:rsidR="00372438">
        <w:rPr>
          <w:sz w:val="24"/>
        </w:rPr>
        <w:t xml:space="preserve"> burden for </w:t>
      </w:r>
      <w:r w:rsidRPr="007F6A6E">
        <w:rPr>
          <w:sz w:val="24"/>
        </w:rPr>
        <w:t xml:space="preserve">posting the final quality strategy online </w:t>
      </w:r>
      <w:r w:rsidR="00372438">
        <w:rPr>
          <w:sz w:val="24"/>
        </w:rPr>
        <w:t xml:space="preserve">can be found under </w:t>
      </w:r>
      <w:r w:rsidRPr="007F6A6E">
        <w:rPr>
          <w:sz w:val="24"/>
        </w:rPr>
        <w:t>Estimate 12.31.</w:t>
      </w:r>
    </w:p>
    <w:p w14:paraId="01806592" w14:textId="77777777" w:rsidR="00B37FE0" w:rsidRDefault="00B37FE0" w:rsidP="007F6A6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6C5B8528"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9.</w:t>
      </w:r>
      <w:r>
        <w:rPr>
          <w:sz w:val="24"/>
        </w:rPr>
        <w:tab/>
      </w:r>
      <w:r>
        <w:rPr>
          <w:sz w:val="24"/>
          <w:u w:val="single"/>
        </w:rPr>
        <w:t>Payments/Gifts to Respondents</w:t>
      </w:r>
    </w:p>
    <w:p w14:paraId="6C5B8529"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C5B852A" w14:textId="77777777" w:rsidR="008F1EB4" w:rsidRDefault="008118A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There are no payments/gifts to </w:t>
      </w:r>
      <w:r w:rsidR="000B763E">
        <w:rPr>
          <w:sz w:val="24"/>
        </w:rPr>
        <w:t>respondents</w:t>
      </w:r>
      <w:r>
        <w:rPr>
          <w:sz w:val="24"/>
        </w:rPr>
        <w:t>.</w:t>
      </w:r>
    </w:p>
    <w:p w14:paraId="6C5B852B"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C5B852C"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10.</w:t>
      </w:r>
      <w:r>
        <w:rPr>
          <w:sz w:val="24"/>
        </w:rPr>
        <w:tab/>
      </w:r>
      <w:r>
        <w:rPr>
          <w:sz w:val="24"/>
          <w:u w:val="single"/>
        </w:rPr>
        <w:t>Confidentiality</w:t>
      </w:r>
    </w:p>
    <w:p w14:paraId="6C5B852D" w14:textId="77777777" w:rsidR="000F3AF4" w:rsidRDefault="000F3A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6C5B852E" w14:textId="77777777" w:rsidR="008F1EB4" w:rsidRDefault="008118A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The information received by CMS is not confidential and its release would fall under the Freedom of Information Act.  Additionally, states are required under these regulations to maintain the current CQS on their websites, where they must also post the findings of the CQS effectiveness evaluations conducted at least once every three years.</w:t>
      </w:r>
    </w:p>
    <w:p w14:paraId="6C5B852F"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C5B8530"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11.</w:t>
      </w:r>
      <w:r>
        <w:rPr>
          <w:sz w:val="24"/>
        </w:rPr>
        <w:tab/>
      </w:r>
      <w:r>
        <w:rPr>
          <w:sz w:val="24"/>
          <w:u w:val="single"/>
        </w:rPr>
        <w:t>Sensitive Questions</w:t>
      </w:r>
    </w:p>
    <w:p w14:paraId="6C5B8531"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C5B8532" w14:textId="77777777" w:rsidR="008F1EB4" w:rsidRDefault="008118A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There are no sensitive questions.</w:t>
      </w:r>
    </w:p>
    <w:p w14:paraId="6C5B8533"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C5B8534" w14:textId="77777777" w:rsidR="00780257" w:rsidRDefault="008F1EB4" w:rsidP="003A72A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Pr>
          <w:sz w:val="24"/>
        </w:rPr>
        <w:t>12.</w:t>
      </w:r>
      <w:r>
        <w:rPr>
          <w:sz w:val="24"/>
        </w:rPr>
        <w:tab/>
      </w:r>
      <w:r w:rsidRPr="00411561">
        <w:rPr>
          <w:sz w:val="24"/>
          <w:u w:val="single"/>
        </w:rPr>
        <w:t>Burden Estimates (Hours &amp; Wages)</w:t>
      </w:r>
    </w:p>
    <w:p w14:paraId="6C5B8535" w14:textId="77777777" w:rsidR="003316C9" w:rsidRDefault="003316C9" w:rsidP="003A72A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14:paraId="72F93901" w14:textId="6D06C29C" w:rsidR="00CE17E8" w:rsidRDefault="00CE17E8" w:rsidP="00137D0A">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r w:rsidRPr="00A516E2">
        <w:rPr>
          <w:sz w:val="24"/>
        </w:rPr>
        <w:t xml:space="preserve">This section describes the overall burden estimate for Medicaid Quality Assessment and Performance Improvement Programs, State Review of Accreditation Status, Medicaid Managed Care Quality Rating System, and Quality Strategy (QS). </w:t>
      </w:r>
      <w:r w:rsidR="00A516E2" w:rsidRPr="00A516E2">
        <w:rPr>
          <w:sz w:val="24"/>
        </w:rPr>
        <w:t xml:space="preserve">We estimate </w:t>
      </w:r>
      <w:r w:rsidRPr="00A516E2">
        <w:rPr>
          <w:sz w:val="24"/>
        </w:rPr>
        <w:t>561 MCOs, PIHPs, and PAHPs, and PCCM entities</w:t>
      </w:r>
      <w:r w:rsidR="00A516E2" w:rsidRPr="00A516E2">
        <w:rPr>
          <w:sz w:val="24"/>
        </w:rPr>
        <w:t xml:space="preserve"> for the private sector and </w:t>
      </w:r>
      <w:r w:rsidRPr="00A516E2">
        <w:rPr>
          <w:sz w:val="24"/>
        </w:rPr>
        <w:t>42 state</w:t>
      </w:r>
      <w:r w:rsidR="00A516E2" w:rsidRPr="00A516E2">
        <w:rPr>
          <w:sz w:val="24"/>
        </w:rPr>
        <w:t xml:space="preserve"> governments</w:t>
      </w:r>
      <w:r w:rsidRPr="00A516E2">
        <w:rPr>
          <w:sz w:val="24"/>
        </w:rPr>
        <w:t>.</w:t>
      </w:r>
    </w:p>
    <w:p w14:paraId="7A3F8C60" w14:textId="77777777" w:rsidR="00CE17E8" w:rsidRDefault="00CE17E8" w:rsidP="003A72A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14:paraId="4E7DADB5" w14:textId="6779D016" w:rsidR="00C7549D" w:rsidRPr="00C7549D" w:rsidRDefault="00137D0A" w:rsidP="003A72A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i/>
          <w:sz w:val="24"/>
        </w:rPr>
      </w:pPr>
      <w:r>
        <w:rPr>
          <w:i/>
          <w:sz w:val="24"/>
        </w:rPr>
        <w:tab/>
      </w:r>
      <w:r w:rsidR="00C7549D" w:rsidRPr="00C7549D">
        <w:rPr>
          <w:i/>
          <w:sz w:val="24"/>
        </w:rPr>
        <w:t>Wage Estimates</w:t>
      </w:r>
    </w:p>
    <w:p w14:paraId="467DD8E3" w14:textId="77777777" w:rsidR="00C7549D" w:rsidRDefault="00C7549D" w:rsidP="003A72A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14:paraId="6C5B8536" w14:textId="0FFA0015" w:rsidR="003316C9" w:rsidRPr="003316C9" w:rsidRDefault="003316C9" w:rsidP="003316C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lastRenderedPageBreak/>
        <w:tab/>
      </w:r>
      <w:r w:rsidRPr="003316C9">
        <w:rPr>
          <w:sz w:val="24"/>
        </w:rPr>
        <w:t>To develop burden estimates, we used data from the U.S. Bure</w:t>
      </w:r>
      <w:r w:rsidR="00485B79">
        <w:rPr>
          <w:sz w:val="24"/>
        </w:rPr>
        <w:t>au of Labor Statistics’ May 2014</w:t>
      </w:r>
      <w:r w:rsidRPr="003316C9">
        <w:rPr>
          <w:sz w:val="24"/>
        </w:rPr>
        <w:t xml:space="preserve"> National Occupational Employment and Wage Estimates for all salary estimates (www.bls.gov/oes/current/oes_nat.htm).  In this regard, the following table presents the median hourly wage, the cost of fringe benefits (calculated at 100 percent of salary), and the adjusted hourly wage.</w:t>
      </w:r>
    </w:p>
    <w:p w14:paraId="6C5B8537" w14:textId="77777777" w:rsidR="003316C9" w:rsidRPr="003316C9" w:rsidRDefault="003316C9" w:rsidP="003316C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tbl>
      <w:tblPr>
        <w:tblStyle w:val="TableGrid"/>
        <w:tblW w:w="0" w:type="auto"/>
        <w:tblLook w:val="04A0" w:firstRow="1" w:lastRow="0" w:firstColumn="1" w:lastColumn="0" w:noHBand="0" w:noVBand="1"/>
      </w:tblPr>
      <w:tblGrid>
        <w:gridCol w:w="1906"/>
        <w:gridCol w:w="1901"/>
        <w:gridCol w:w="1894"/>
        <w:gridCol w:w="1895"/>
        <w:gridCol w:w="1898"/>
      </w:tblGrid>
      <w:tr w:rsidR="00485B79" w:rsidRPr="00BE41DC" w14:paraId="67FF16B9" w14:textId="77777777" w:rsidTr="002F38F5">
        <w:trPr>
          <w:tblHeader/>
        </w:trPr>
        <w:tc>
          <w:tcPr>
            <w:tcW w:w="1915" w:type="dxa"/>
          </w:tcPr>
          <w:p w14:paraId="169F0AF8" w14:textId="77777777" w:rsidR="00485B79" w:rsidRPr="00BE41DC" w:rsidRDefault="00485B79" w:rsidP="00AB7437">
            <w:r w:rsidRPr="00BE41DC">
              <w:t>Occupation Title</w:t>
            </w:r>
          </w:p>
        </w:tc>
        <w:tc>
          <w:tcPr>
            <w:tcW w:w="1915" w:type="dxa"/>
          </w:tcPr>
          <w:p w14:paraId="6E7484D0" w14:textId="77777777" w:rsidR="00485B79" w:rsidRPr="00BE41DC" w:rsidRDefault="00485B79" w:rsidP="00AB7437">
            <w:r w:rsidRPr="00BE41DC">
              <w:t>Occupation Code</w:t>
            </w:r>
          </w:p>
        </w:tc>
        <w:tc>
          <w:tcPr>
            <w:tcW w:w="1915" w:type="dxa"/>
          </w:tcPr>
          <w:p w14:paraId="07180CA9" w14:textId="77777777" w:rsidR="00485B79" w:rsidRPr="00BE41DC" w:rsidRDefault="00485B79" w:rsidP="00AB7437">
            <w:r w:rsidRPr="00BE41DC">
              <w:t>Mean Hourly Wage</w:t>
            </w:r>
          </w:p>
        </w:tc>
        <w:tc>
          <w:tcPr>
            <w:tcW w:w="1915" w:type="dxa"/>
          </w:tcPr>
          <w:p w14:paraId="40AA74DA" w14:textId="77777777" w:rsidR="00485B79" w:rsidRPr="00BE41DC" w:rsidRDefault="00485B79" w:rsidP="00AB7437">
            <w:r w:rsidRPr="00BE41DC">
              <w:t xml:space="preserve">Fringe Benefit (at </w:t>
            </w:r>
            <w:r>
              <w:t>100</w:t>
            </w:r>
            <w:r w:rsidRPr="00BE41DC">
              <w:t>%)</w:t>
            </w:r>
          </w:p>
        </w:tc>
        <w:tc>
          <w:tcPr>
            <w:tcW w:w="1916" w:type="dxa"/>
          </w:tcPr>
          <w:p w14:paraId="6651B7A5" w14:textId="77777777" w:rsidR="00485B79" w:rsidRPr="00BE41DC" w:rsidRDefault="00485B79" w:rsidP="00AB7437">
            <w:r w:rsidRPr="00BE41DC">
              <w:t>Adjusted Hourly Wage</w:t>
            </w:r>
          </w:p>
        </w:tc>
      </w:tr>
      <w:tr w:rsidR="00485B79" w:rsidRPr="00BE41DC" w14:paraId="143D8A27" w14:textId="77777777" w:rsidTr="002F38F5">
        <w:tc>
          <w:tcPr>
            <w:tcW w:w="1915" w:type="dxa"/>
          </w:tcPr>
          <w:p w14:paraId="4017929F" w14:textId="77777777" w:rsidR="00485B79" w:rsidRPr="00BE41DC" w:rsidRDefault="00485B79" w:rsidP="00AB7437">
            <w:r w:rsidRPr="00BE41DC">
              <w:t>Business Operations Specialist</w:t>
            </w:r>
          </w:p>
        </w:tc>
        <w:tc>
          <w:tcPr>
            <w:tcW w:w="1915" w:type="dxa"/>
          </w:tcPr>
          <w:p w14:paraId="6360A850" w14:textId="77777777" w:rsidR="00485B79" w:rsidRPr="00BE41DC" w:rsidRDefault="00485B79" w:rsidP="00AB7437">
            <w:r>
              <w:t>13-1000</w:t>
            </w:r>
          </w:p>
        </w:tc>
        <w:tc>
          <w:tcPr>
            <w:tcW w:w="1915" w:type="dxa"/>
          </w:tcPr>
          <w:p w14:paraId="0E25FB01" w14:textId="77777777" w:rsidR="00485B79" w:rsidRPr="00BE41DC" w:rsidRDefault="00485B79" w:rsidP="00AB7437">
            <w:r>
              <w:t>$32.23</w:t>
            </w:r>
          </w:p>
        </w:tc>
        <w:tc>
          <w:tcPr>
            <w:tcW w:w="1915" w:type="dxa"/>
          </w:tcPr>
          <w:p w14:paraId="621B0517" w14:textId="77777777" w:rsidR="00485B79" w:rsidRPr="00BE41DC" w:rsidRDefault="00485B79" w:rsidP="00AB7437">
            <w:r>
              <w:t>$32.23</w:t>
            </w:r>
          </w:p>
        </w:tc>
        <w:tc>
          <w:tcPr>
            <w:tcW w:w="1916" w:type="dxa"/>
          </w:tcPr>
          <w:p w14:paraId="419F383E" w14:textId="77777777" w:rsidR="00485B79" w:rsidRPr="00BE41DC" w:rsidRDefault="00485B79" w:rsidP="00AB7437">
            <w:r>
              <w:t>$64.46</w:t>
            </w:r>
          </w:p>
        </w:tc>
      </w:tr>
      <w:tr w:rsidR="00485B79" w14:paraId="4A1AE767" w14:textId="77777777" w:rsidTr="002F38F5">
        <w:tc>
          <w:tcPr>
            <w:tcW w:w="1915" w:type="dxa"/>
          </w:tcPr>
          <w:p w14:paraId="17E9B5AA" w14:textId="77777777" w:rsidR="00485B79" w:rsidRPr="00BE41DC" w:rsidRDefault="00485B79" w:rsidP="00AB7437">
            <w:r>
              <w:t>Computer Programmer</w:t>
            </w:r>
          </w:p>
        </w:tc>
        <w:tc>
          <w:tcPr>
            <w:tcW w:w="1915" w:type="dxa"/>
          </w:tcPr>
          <w:p w14:paraId="7BEAF6C6" w14:textId="77777777" w:rsidR="00485B79" w:rsidRDefault="00485B79" w:rsidP="00AB7437">
            <w:r>
              <w:t>15-1131</w:t>
            </w:r>
          </w:p>
        </w:tc>
        <w:tc>
          <w:tcPr>
            <w:tcW w:w="1915" w:type="dxa"/>
          </w:tcPr>
          <w:p w14:paraId="0009F6BB" w14:textId="77777777" w:rsidR="00485B79" w:rsidRDefault="00485B79" w:rsidP="00AB7437">
            <w:r>
              <w:t>$39.16</w:t>
            </w:r>
          </w:p>
        </w:tc>
        <w:tc>
          <w:tcPr>
            <w:tcW w:w="1915" w:type="dxa"/>
          </w:tcPr>
          <w:p w14:paraId="194B0D86" w14:textId="77777777" w:rsidR="00485B79" w:rsidRDefault="00485B79" w:rsidP="00AB7437">
            <w:r>
              <w:t>$39.16</w:t>
            </w:r>
          </w:p>
        </w:tc>
        <w:tc>
          <w:tcPr>
            <w:tcW w:w="1916" w:type="dxa"/>
          </w:tcPr>
          <w:p w14:paraId="6F5279E3" w14:textId="77777777" w:rsidR="00485B79" w:rsidRDefault="00485B79" w:rsidP="00AB7437">
            <w:r>
              <w:t>$78.32</w:t>
            </w:r>
          </w:p>
        </w:tc>
      </w:tr>
      <w:tr w:rsidR="00485B79" w14:paraId="5AD85961" w14:textId="77777777" w:rsidTr="002F38F5">
        <w:tc>
          <w:tcPr>
            <w:tcW w:w="1915" w:type="dxa"/>
          </w:tcPr>
          <w:p w14:paraId="052C3E73" w14:textId="77777777" w:rsidR="00485B79" w:rsidRDefault="00485B79" w:rsidP="00AB7437">
            <w:r>
              <w:t>General and Operations Mgr</w:t>
            </w:r>
          </w:p>
        </w:tc>
        <w:tc>
          <w:tcPr>
            <w:tcW w:w="1915" w:type="dxa"/>
          </w:tcPr>
          <w:p w14:paraId="0D648810" w14:textId="77777777" w:rsidR="00485B79" w:rsidRDefault="00485B79" w:rsidP="00AB7437">
            <w:r>
              <w:t>11-1021</w:t>
            </w:r>
          </w:p>
        </w:tc>
        <w:tc>
          <w:tcPr>
            <w:tcW w:w="1915" w:type="dxa"/>
          </w:tcPr>
          <w:p w14:paraId="64C48FD3" w14:textId="77777777" w:rsidR="00485B79" w:rsidRDefault="00485B79" w:rsidP="00AB7437">
            <w:r>
              <w:t>$70.40</w:t>
            </w:r>
          </w:p>
        </w:tc>
        <w:tc>
          <w:tcPr>
            <w:tcW w:w="1915" w:type="dxa"/>
          </w:tcPr>
          <w:p w14:paraId="63CE6C77" w14:textId="77777777" w:rsidR="00485B79" w:rsidRDefault="00485B79" w:rsidP="00AB7437">
            <w:r>
              <w:t>$70.40</w:t>
            </w:r>
          </w:p>
        </w:tc>
        <w:tc>
          <w:tcPr>
            <w:tcW w:w="1916" w:type="dxa"/>
          </w:tcPr>
          <w:p w14:paraId="0123F0C5" w14:textId="77777777" w:rsidR="00485B79" w:rsidRDefault="00485B79" w:rsidP="00AB7437">
            <w:r>
              <w:t>$140.80</w:t>
            </w:r>
          </w:p>
        </w:tc>
      </w:tr>
      <w:tr w:rsidR="00485B79" w:rsidRPr="00BE41DC" w14:paraId="3135117F" w14:textId="77777777" w:rsidTr="002F38F5">
        <w:tc>
          <w:tcPr>
            <w:tcW w:w="1915" w:type="dxa"/>
          </w:tcPr>
          <w:p w14:paraId="38E9D7B3" w14:textId="77777777" w:rsidR="00485B79" w:rsidRPr="00BE41DC" w:rsidRDefault="00485B79" w:rsidP="00AB7437">
            <w:r>
              <w:t>Office and Administrative Support Worker</w:t>
            </w:r>
          </w:p>
        </w:tc>
        <w:tc>
          <w:tcPr>
            <w:tcW w:w="1915" w:type="dxa"/>
          </w:tcPr>
          <w:p w14:paraId="7E04BDD3" w14:textId="77777777" w:rsidR="00485B79" w:rsidRPr="00BE41DC" w:rsidRDefault="00485B79" w:rsidP="00AB7437">
            <w:r>
              <w:t>43-9000</w:t>
            </w:r>
          </w:p>
        </w:tc>
        <w:tc>
          <w:tcPr>
            <w:tcW w:w="1915" w:type="dxa"/>
          </w:tcPr>
          <w:p w14:paraId="16F332A7" w14:textId="77777777" w:rsidR="00485B79" w:rsidRPr="00BE41DC" w:rsidRDefault="00485B79" w:rsidP="00AB7437">
            <w:r>
              <w:t>$18.27</w:t>
            </w:r>
          </w:p>
        </w:tc>
        <w:tc>
          <w:tcPr>
            <w:tcW w:w="1915" w:type="dxa"/>
          </w:tcPr>
          <w:p w14:paraId="0AEAF2D5" w14:textId="77777777" w:rsidR="00485B79" w:rsidRPr="00BE41DC" w:rsidRDefault="00485B79" w:rsidP="00AB7437">
            <w:r>
              <w:t>$18.27</w:t>
            </w:r>
          </w:p>
        </w:tc>
        <w:tc>
          <w:tcPr>
            <w:tcW w:w="1916" w:type="dxa"/>
          </w:tcPr>
          <w:p w14:paraId="727297C3" w14:textId="77777777" w:rsidR="00485B79" w:rsidRPr="00BE41DC" w:rsidRDefault="00485B79" w:rsidP="00AB7437">
            <w:r>
              <w:t>$36.54</w:t>
            </w:r>
          </w:p>
        </w:tc>
      </w:tr>
    </w:tbl>
    <w:p w14:paraId="6C5B854A" w14:textId="77777777" w:rsidR="003316C9" w:rsidRPr="003316C9" w:rsidRDefault="003316C9" w:rsidP="00AB743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14:paraId="6C5B854B" w14:textId="77777777" w:rsidR="003316C9" w:rsidRPr="00780257" w:rsidRDefault="003316C9" w:rsidP="003316C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ab/>
      </w:r>
      <w:r w:rsidRPr="003316C9">
        <w:rPr>
          <w:sz w:val="24"/>
        </w:rPr>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w:t>
      </w:r>
    </w:p>
    <w:p w14:paraId="5154060E" w14:textId="77777777" w:rsidR="00600C1A" w:rsidRDefault="00600C1A" w:rsidP="00042526">
      <w:pPr>
        <w:pStyle w:val="BodyA"/>
        <w:widowControl/>
        <w:tabs>
          <w:tab w:val="left" w:pos="720"/>
        </w:tabs>
        <w:rPr>
          <w:rFonts w:ascii="Times New Roman" w:hAnsi="Times New Roman" w:cs="Times New Roman"/>
        </w:rPr>
      </w:pPr>
    </w:p>
    <w:p w14:paraId="599BDD08" w14:textId="0D3D0E62" w:rsidR="00C7549D" w:rsidRPr="00C7549D" w:rsidRDefault="00137D0A" w:rsidP="00137D0A">
      <w:pPr>
        <w:pStyle w:val="BodyA"/>
        <w:widowControl/>
        <w:tabs>
          <w:tab w:val="left" w:pos="450"/>
        </w:tabs>
        <w:rPr>
          <w:rFonts w:ascii="Times New Roman" w:hAnsi="Times New Roman" w:cs="Times New Roman"/>
          <w:i/>
        </w:rPr>
      </w:pPr>
      <w:r>
        <w:rPr>
          <w:rFonts w:ascii="Times New Roman" w:hAnsi="Times New Roman" w:cs="Times New Roman"/>
          <w:i/>
        </w:rPr>
        <w:tab/>
      </w:r>
      <w:r w:rsidR="00C7549D" w:rsidRPr="00C7549D">
        <w:rPr>
          <w:rFonts w:ascii="Times New Roman" w:hAnsi="Times New Roman" w:cs="Times New Roman"/>
          <w:i/>
        </w:rPr>
        <w:t>Burden Estimates</w:t>
      </w:r>
    </w:p>
    <w:p w14:paraId="4B7B699A" w14:textId="77777777" w:rsidR="00C7549D" w:rsidRDefault="00C7549D" w:rsidP="00042526">
      <w:pPr>
        <w:pStyle w:val="BodyA"/>
        <w:widowControl/>
        <w:tabs>
          <w:tab w:val="left" w:pos="720"/>
        </w:tabs>
        <w:rPr>
          <w:rFonts w:ascii="Times New Roman" w:hAnsi="Times New Roman" w:cs="Times New Roman"/>
        </w:rPr>
      </w:pPr>
    </w:p>
    <w:p w14:paraId="7468027F" w14:textId="25D2F843" w:rsidR="00042526" w:rsidRDefault="00042526" w:rsidP="00523DFC">
      <w:pPr>
        <w:pStyle w:val="BodyA"/>
        <w:widowControl/>
        <w:tabs>
          <w:tab w:val="left" w:pos="720"/>
        </w:tabs>
        <w:ind w:left="432"/>
        <w:rPr>
          <w:rFonts w:ascii="Times New Roman" w:hAnsi="Times New Roman" w:cs="Times New Roman"/>
          <w:u w:val="single"/>
        </w:rPr>
      </w:pPr>
      <w:r w:rsidRPr="00872F37">
        <w:rPr>
          <w:rFonts w:ascii="Times New Roman" w:hAnsi="Times New Roman" w:cs="Times New Roman"/>
          <w:u w:val="single"/>
        </w:rPr>
        <w:t>Section 438.310 Basis, Scope, and Applicability</w:t>
      </w:r>
    </w:p>
    <w:p w14:paraId="284BC7F9" w14:textId="77777777" w:rsidR="00523DFC" w:rsidRPr="00872F37" w:rsidRDefault="00523DFC" w:rsidP="00523DFC">
      <w:pPr>
        <w:pStyle w:val="BodyA"/>
        <w:widowControl/>
        <w:tabs>
          <w:tab w:val="left" w:pos="720"/>
        </w:tabs>
        <w:ind w:left="432"/>
        <w:rPr>
          <w:rFonts w:ascii="Times New Roman" w:eastAsia="Times New Roman" w:hAnsi="Times New Roman" w:cs="Times New Roman"/>
          <w:u w:val="single"/>
          <w:lang w:val="en-US"/>
        </w:rPr>
      </w:pPr>
    </w:p>
    <w:p w14:paraId="01E27771" w14:textId="4CEF2285" w:rsidR="00042526" w:rsidRPr="00406C21" w:rsidRDefault="00042526" w:rsidP="00523DFC">
      <w:pPr>
        <w:pStyle w:val="BodyA"/>
        <w:widowControl/>
        <w:tabs>
          <w:tab w:val="left" w:pos="720"/>
        </w:tabs>
        <w:ind w:left="432"/>
        <w:rPr>
          <w:rFonts w:ascii="Times New Roman" w:eastAsia="Times New Roman" w:hAnsi="Times New Roman" w:cs="Times New Roman"/>
          <w:lang w:val="en-US"/>
        </w:rPr>
      </w:pPr>
      <w:r w:rsidRPr="00406C21">
        <w:rPr>
          <w:rFonts w:ascii="Times New Roman" w:eastAsia="Times New Roman" w:hAnsi="Times New Roman" w:cs="Times New Roman"/>
          <w:lang w:val="en-US"/>
        </w:rPr>
        <w:t xml:space="preserve">Section 438.310(c)(2) applies §438.330(b)(3), (c), and (e), §438.340(e) and §438.350 to states whose contracts with PCCM entities include shared savings, incentive payments, or other financial reward for the PCCM entity for improved quality outcomes. </w:t>
      </w:r>
      <w:r w:rsidRPr="00406C21">
        <w:rPr>
          <w:rFonts w:ascii="Times New Roman" w:hAnsi="Times New Roman" w:cs="Times New Roman"/>
          <w:lang w:val="en-US"/>
        </w:rPr>
        <w:t xml:space="preserve"> This will affect a specific subset of approximately </w:t>
      </w:r>
      <w:r w:rsidR="00971E6D">
        <w:rPr>
          <w:rFonts w:ascii="Times New Roman" w:hAnsi="Times New Roman" w:cs="Times New Roman"/>
          <w:lang w:val="en-US"/>
        </w:rPr>
        <w:t>9</w:t>
      </w:r>
      <w:r w:rsidRPr="00406C21">
        <w:rPr>
          <w:rFonts w:ascii="Times New Roman" w:hAnsi="Times New Roman" w:cs="Times New Roman"/>
          <w:lang w:val="en-US"/>
        </w:rPr>
        <w:t xml:space="preserve"> PCCM entities and </w:t>
      </w:r>
      <w:r w:rsidR="00971E6D">
        <w:rPr>
          <w:rFonts w:ascii="Times New Roman" w:hAnsi="Times New Roman" w:cs="Times New Roman"/>
          <w:lang w:val="en-US"/>
        </w:rPr>
        <w:t>5</w:t>
      </w:r>
      <w:r w:rsidRPr="00406C21">
        <w:rPr>
          <w:rFonts w:ascii="Times New Roman" w:hAnsi="Times New Roman" w:cs="Times New Roman"/>
          <w:lang w:val="en-US"/>
        </w:rPr>
        <w:t xml:space="preserve"> states.</w:t>
      </w:r>
    </w:p>
    <w:p w14:paraId="7E436615" w14:textId="77777777" w:rsidR="00523DFC" w:rsidRDefault="00523DFC" w:rsidP="00523DFC">
      <w:pPr>
        <w:pStyle w:val="BodyA"/>
        <w:widowControl/>
        <w:tabs>
          <w:tab w:val="left" w:pos="720"/>
        </w:tabs>
        <w:ind w:left="432"/>
        <w:rPr>
          <w:rFonts w:ascii="Times New Roman" w:eastAsia="Times New Roman" w:hAnsi="Times New Roman" w:cs="Times New Roman"/>
          <w:lang w:val="en-US"/>
        </w:rPr>
      </w:pPr>
    </w:p>
    <w:p w14:paraId="680CD728" w14:textId="1DF59783" w:rsidR="00042526" w:rsidRDefault="00042526" w:rsidP="00523DFC">
      <w:pPr>
        <w:pStyle w:val="BodyA"/>
        <w:widowControl/>
        <w:tabs>
          <w:tab w:val="left" w:pos="720"/>
        </w:tabs>
        <w:ind w:left="432"/>
        <w:rPr>
          <w:rFonts w:ascii="Times New Roman" w:hAnsi="Times New Roman" w:cs="Times New Roman"/>
          <w:lang w:val="en-US"/>
        </w:rPr>
      </w:pPr>
      <w:r w:rsidRPr="00406C21">
        <w:rPr>
          <w:rFonts w:ascii="Times New Roman" w:eastAsia="Times New Roman" w:hAnsi="Times New Roman" w:cs="Times New Roman"/>
          <w:lang w:val="en-US"/>
        </w:rPr>
        <w:t xml:space="preserve">We estimate a one-time state burden of 2 hr at $64.46/hr for a business operations specialist to address the performance assessment of PCCM entities described in </w:t>
      </w:r>
      <w:r w:rsidRPr="00406C21">
        <w:rPr>
          <w:rFonts w:ascii="Times New Roman" w:hAnsi="Times New Roman" w:cs="Times New Roman"/>
          <w:lang w:val="en-US"/>
        </w:rPr>
        <w:t xml:space="preserve">§438.310(c)(2) by revising a state’s policies and procedures. </w:t>
      </w:r>
      <w:r w:rsidRPr="006F6BD8">
        <w:rPr>
          <w:rFonts w:ascii="Times New Roman" w:hAnsi="Times New Roman" w:cs="Times New Roman"/>
          <w:lang w:val="en-US"/>
        </w:rPr>
        <w:t xml:space="preserve"> In aggregate, we estimate </w:t>
      </w:r>
      <w:r w:rsidR="00971E6D" w:rsidRPr="006F6BD8">
        <w:rPr>
          <w:rFonts w:ascii="Times New Roman" w:hAnsi="Times New Roman" w:cs="Times New Roman"/>
          <w:lang w:val="en-US"/>
        </w:rPr>
        <w:t>10</w:t>
      </w:r>
      <w:r w:rsidRPr="006F6BD8">
        <w:rPr>
          <w:rFonts w:ascii="Times New Roman" w:hAnsi="Times New Roman" w:cs="Times New Roman"/>
          <w:lang w:val="en-US"/>
        </w:rPr>
        <w:t xml:space="preserve"> hr (</w:t>
      </w:r>
      <w:r w:rsidR="00971E6D" w:rsidRPr="006F6BD8">
        <w:rPr>
          <w:rFonts w:ascii="Times New Roman" w:hAnsi="Times New Roman" w:cs="Times New Roman"/>
          <w:lang w:val="en-US"/>
        </w:rPr>
        <w:t>5</w:t>
      </w:r>
      <w:r w:rsidRPr="006F6BD8">
        <w:rPr>
          <w:rFonts w:ascii="Times New Roman" w:hAnsi="Times New Roman" w:cs="Times New Roman"/>
          <w:lang w:val="en-US"/>
        </w:rPr>
        <w:t xml:space="preserve"> states x 2 hr) and $</w:t>
      </w:r>
      <w:r w:rsidR="00971E6D" w:rsidRPr="006F6BD8">
        <w:rPr>
          <w:rFonts w:ascii="Times New Roman" w:hAnsi="Times New Roman" w:cs="Times New Roman"/>
          <w:lang w:val="en-US"/>
        </w:rPr>
        <w:t>644.60</w:t>
      </w:r>
      <w:r w:rsidRPr="006F6BD8">
        <w:rPr>
          <w:rFonts w:ascii="Times New Roman" w:hAnsi="Times New Roman" w:cs="Times New Roman"/>
          <w:lang w:val="en-US"/>
        </w:rPr>
        <w:t xml:space="preserve"> (</w:t>
      </w:r>
      <w:r w:rsidR="00971E6D" w:rsidRPr="006F6BD8">
        <w:rPr>
          <w:rFonts w:ascii="Times New Roman" w:hAnsi="Times New Roman" w:cs="Times New Roman"/>
          <w:lang w:val="en-US"/>
        </w:rPr>
        <w:t>1</w:t>
      </w:r>
      <w:r w:rsidR="00971E6D">
        <w:rPr>
          <w:rFonts w:ascii="Times New Roman" w:hAnsi="Times New Roman" w:cs="Times New Roman"/>
          <w:lang w:val="en-US"/>
        </w:rPr>
        <w:t>0</w:t>
      </w:r>
      <w:r w:rsidRPr="00406C21">
        <w:rPr>
          <w:rFonts w:ascii="Times New Roman" w:hAnsi="Times New Roman" w:cs="Times New Roman"/>
          <w:lang w:val="en-US"/>
        </w:rPr>
        <w:t xml:space="preserve"> hr x $64.46/hr), annualized to </w:t>
      </w:r>
      <w:r w:rsidR="00971E6D">
        <w:rPr>
          <w:rFonts w:ascii="Times New Roman" w:hAnsi="Times New Roman" w:cs="Times New Roman"/>
          <w:b/>
          <w:lang w:val="en-US"/>
        </w:rPr>
        <w:t>3.3</w:t>
      </w:r>
      <w:r w:rsidRPr="00042526">
        <w:rPr>
          <w:rFonts w:ascii="Times New Roman" w:hAnsi="Times New Roman" w:cs="Times New Roman"/>
          <w:b/>
          <w:lang w:val="en-US"/>
        </w:rPr>
        <w:t xml:space="preserve"> hr</w:t>
      </w:r>
      <w:r w:rsidRPr="00406C21">
        <w:rPr>
          <w:rFonts w:ascii="Times New Roman" w:hAnsi="Times New Roman" w:cs="Times New Roman"/>
          <w:lang w:val="en-US"/>
        </w:rPr>
        <w:t xml:space="preserve"> and </w:t>
      </w:r>
      <w:r w:rsidRPr="00042526">
        <w:rPr>
          <w:rFonts w:ascii="Times New Roman" w:hAnsi="Times New Roman" w:cs="Times New Roman"/>
          <w:b/>
          <w:lang w:val="en-US"/>
        </w:rPr>
        <w:t>$</w:t>
      </w:r>
      <w:r w:rsidR="00971E6D">
        <w:rPr>
          <w:rFonts w:ascii="Times New Roman" w:hAnsi="Times New Roman" w:cs="Times New Roman"/>
          <w:b/>
          <w:lang w:val="en-US"/>
        </w:rPr>
        <w:t>214.87</w:t>
      </w:r>
      <w:r w:rsidR="00523DFC" w:rsidRPr="00523DFC">
        <w:rPr>
          <w:rFonts w:ascii="Times New Roman" w:hAnsi="Times New Roman" w:cs="Times New Roman"/>
          <w:lang w:val="en-US"/>
        </w:rPr>
        <w:t xml:space="preserve"> (Estimate 12.1)</w:t>
      </w:r>
      <w:r w:rsidRPr="00406C21">
        <w:rPr>
          <w:rFonts w:ascii="Times New Roman" w:hAnsi="Times New Roman" w:cs="Times New Roman"/>
          <w:lang w:val="en-US"/>
        </w:rPr>
        <w:t>.</w:t>
      </w:r>
      <w:r w:rsidR="006F6BD8">
        <w:rPr>
          <w:rFonts w:ascii="Times New Roman" w:hAnsi="Times New Roman" w:cs="Times New Roman"/>
          <w:lang w:val="en-US"/>
        </w:rPr>
        <w:t xml:space="preserve"> </w:t>
      </w:r>
      <w:r w:rsidR="006F6BD8" w:rsidRPr="00406C21">
        <w:rPr>
          <w:rFonts w:ascii="Times New Roman" w:hAnsi="Times New Roman" w:cs="Times New Roman"/>
          <w:lang w:val="en-US"/>
        </w:rPr>
        <w:t>We are annualizing the one-time development since we do not anticipate any additional burden after the 3-year approval period expires.</w:t>
      </w:r>
    </w:p>
    <w:p w14:paraId="74C6132F" w14:textId="77777777" w:rsidR="00600C1A" w:rsidRPr="00406C21" w:rsidRDefault="00600C1A" w:rsidP="00523DFC">
      <w:pPr>
        <w:pStyle w:val="BodyA"/>
        <w:widowControl/>
        <w:tabs>
          <w:tab w:val="left" w:pos="720"/>
        </w:tabs>
        <w:ind w:left="432"/>
        <w:rPr>
          <w:rFonts w:ascii="Times New Roman" w:hAnsi="Times New Roman" w:cs="Times New Roman"/>
          <w:lang w:val="en-US"/>
        </w:rPr>
      </w:pPr>
    </w:p>
    <w:p w14:paraId="5FC405BD" w14:textId="496E701F" w:rsidR="00042526" w:rsidRPr="00042526" w:rsidRDefault="00042526"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eastAsia="Calibri"/>
          <w:sz w:val="24"/>
          <w:u w:val="single"/>
        </w:rPr>
      </w:pPr>
      <w:r w:rsidRPr="00042526">
        <w:rPr>
          <w:rFonts w:eastAsia="Calibri"/>
          <w:sz w:val="24"/>
          <w:u w:val="single"/>
        </w:rPr>
        <w:t>S</w:t>
      </w:r>
      <w:r w:rsidR="008E4B6B">
        <w:rPr>
          <w:rFonts w:eastAsia="Calibri"/>
          <w:sz w:val="24"/>
          <w:u w:val="single"/>
        </w:rPr>
        <w:t>ection 438.33</w:t>
      </w:r>
      <w:r w:rsidRPr="00042526">
        <w:rPr>
          <w:rFonts w:eastAsia="Calibri"/>
          <w:sz w:val="24"/>
          <w:u w:val="single"/>
        </w:rPr>
        <w:t xml:space="preserve">0 </w:t>
      </w:r>
      <w:r w:rsidRPr="00042526">
        <w:rPr>
          <w:sz w:val="24"/>
          <w:u w:val="single"/>
        </w:rPr>
        <w:t>Quality Assessment and Performance Improvement Program</w:t>
      </w:r>
    </w:p>
    <w:p w14:paraId="21452CDF" w14:textId="77777777" w:rsidR="00523DFC" w:rsidRDefault="00523DFC"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612FE3FC" w14:textId="762357CE" w:rsidR="00FD1AAA" w:rsidRDefault="00FD1AAA"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FD1AAA">
        <w:rPr>
          <w:sz w:val="24"/>
        </w:rPr>
        <w:t xml:space="preserve">Section 438.330(a)(2) specifies the process CMS will use if it elects to specify a common set of national QAPI performance measures and PIP topics, which will include a public notice and comment process.  Assuming that we do use this process to identify QAPI performance </w:t>
      </w:r>
      <w:r w:rsidRPr="00FD1AAA">
        <w:rPr>
          <w:sz w:val="24"/>
        </w:rPr>
        <w:lastRenderedPageBreak/>
        <w:t xml:space="preserve">measures and PIP topics at least once every 3 years, the burden for states will be altered.  Some may experience a decrease in the time spent selecting performance measures and PIP topics while others might experience a slight increase in the </w:t>
      </w:r>
      <w:r w:rsidR="00983913">
        <w:rPr>
          <w:sz w:val="24"/>
        </w:rPr>
        <w:t>time needed for computer</w:t>
      </w:r>
      <w:r w:rsidRPr="00FD1AAA">
        <w:rPr>
          <w:sz w:val="24"/>
        </w:rPr>
        <w:t xml:space="preserve"> programming </w:t>
      </w:r>
      <w:r w:rsidR="00983913">
        <w:rPr>
          <w:sz w:val="24"/>
        </w:rPr>
        <w:t xml:space="preserve">of </w:t>
      </w:r>
      <w:r w:rsidRPr="00FD1AAA">
        <w:rPr>
          <w:sz w:val="24"/>
        </w:rPr>
        <w:t xml:space="preserve">their MMIS </w:t>
      </w:r>
      <w:r w:rsidR="00895046">
        <w:rPr>
          <w:sz w:val="24"/>
        </w:rPr>
        <w:t xml:space="preserve">or Transformed-MMIS </w:t>
      </w:r>
      <w:r w:rsidRPr="00FD1AAA">
        <w:rPr>
          <w:sz w:val="24"/>
        </w:rPr>
        <w:t xml:space="preserve">to account for the specified performance measures and PIP topics. </w:t>
      </w:r>
    </w:p>
    <w:p w14:paraId="7F2B310F" w14:textId="77777777" w:rsidR="007F66D4" w:rsidRPr="00FD1AAA" w:rsidRDefault="007F66D4"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054A2519" w14:textId="1562235A" w:rsidR="00FD1AAA" w:rsidRPr="00AE63E2" w:rsidRDefault="00FD1AAA"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FD1AAA">
        <w:rPr>
          <w:sz w:val="24"/>
        </w:rPr>
        <w:t>We estimate a state burden of 10 hr (every 3 years) at $78.32/hr for a computer programmer to make the MMIS</w:t>
      </w:r>
      <w:r w:rsidR="00895046">
        <w:rPr>
          <w:sz w:val="24"/>
        </w:rPr>
        <w:t>/T-MSIS</w:t>
      </w:r>
      <w:r w:rsidRPr="00FD1AAA">
        <w:rPr>
          <w:sz w:val="24"/>
        </w:rPr>
        <w:t xml:space="preserve"> programming changes.  In aggregate, we estimate an annualized burden of </w:t>
      </w:r>
      <w:r w:rsidRPr="00FD1AAA">
        <w:rPr>
          <w:b/>
          <w:sz w:val="24"/>
        </w:rPr>
        <w:t>133.3 hr</w:t>
      </w:r>
      <w:r w:rsidRPr="00FD1AAA">
        <w:rPr>
          <w:sz w:val="24"/>
        </w:rPr>
        <w:t xml:space="preserve"> [(40 states x 10 hr) / 3 years] and </w:t>
      </w:r>
      <w:r w:rsidRPr="00FD1AAA">
        <w:rPr>
          <w:b/>
          <w:sz w:val="24"/>
        </w:rPr>
        <w:t>$10,440.06</w:t>
      </w:r>
      <w:r w:rsidRPr="00FD1AAA">
        <w:rPr>
          <w:sz w:val="24"/>
        </w:rPr>
        <w:t xml:space="preserve"> (133.3 hr x $78.32/hr).  We cannot estimate the amount of possible decrease in burden as we have no way to know the </w:t>
      </w:r>
      <w:r w:rsidRPr="00AE63E2">
        <w:rPr>
          <w:sz w:val="24"/>
        </w:rPr>
        <w:t>average amount of time a state expended on selecting performance measures or PIP topics and how this might change based on this revision</w:t>
      </w:r>
      <w:r w:rsidR="00D80528" w:rsidRPr="00AE63E2">
        <w:rPr>
          <w:sz w:val="24"/>
        </w:rPr>
        <w:t xml:space="preserve"> (Estimate 12.2)</w:t>
      </w:r>
      <w:r w:rsidRPr="00AE63E2">
        <w:rPr>
          <w:sz w:val="24"/>
        </w:rPr>
        <w:t>.</w:t>
      </w:r>
    </w:p>
    <w:p w14:paraId="056CE80E" w14:textId="77777777" w:rsidR="007F66D4" w:rsidRPr="00AE63E2" w:rsidRDefault="007F66D4"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087DEECD" w14:textId="7851073C" w:rsidR="00FD1AAA" w:rsidRPr="00EF6F26" w:rsidRDefault="00FD1AAA"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FD1AAA">
        <w:rPr>
          <w:sz w:val="24"/>
        </w:rPr>
        <w:t xml:space="preserve">Section 438.330(a)(2) also will allow states to apply for an exemption from the CMS-specified QAPI performance measures and PIP topics </w:t>
      </w:r>
      <w:r w:rsidR="00895046">
        <w:rPr>
          <w:sz w:val="24"/>
        </w:rPr>
        <w:t>if they</w:t>
      </w:r>
      <w:r w:rsidR="00AF528F">
        <w:rPr>
          <w:sz w:val="24"/>
        </w:rPr>
        <w:t xml:space="preserve"> are</w:t>
      </w:r>
      <w:r w:rsidR="00895046">
        <w:rPr>
          <w:sz w:val="24"/>
        </w:rPr>
        <w:t xml:space="preserve"> identified </w:t>
      </w:r>
      <w:r w:rsidRPr="00FD1AAA">
        <w:rPr>
          <w:sz w:val="24"/>
        </w:rPr>
        <w:t>under §438.330(a)(2).  While we have no data on how many states will take advantage of this option, given that the performance measures and PIP topics under §438.330(a)(2) will be identified through a public notice and comment process, we estimate that approximately</w:t>
      </w:r>
      <w:r>
        <w:rPr>
          <w:sz w:val="24"/>
        </w:rPr>
        <w:t xml:space="preserve"> 11 states</w:t>
      </w:r>
      <w:r w:rsidRPr="00FD1AAA">
        <w:rPr>
          <w:sz w:val="24"/>
        </w:rPr>
        <w:t xml:space="preserve"> will ask for an exemption every 3 years.  We estimate a state burden of 1 hr (every 3 years) at $64.46/hr for a business operations specialist to comply with the exemption process.  In aggregate, we estimate an annualized burden of </w:t>
      </w:r>
      <w:r w:rsidRPr="00FD1AAA">
        <w:rPr>
          <w:b/>
          <w:sz w:val="24"/>
        </w:rPr>
        <w:t>3.7 hr</w:t>
      </w:r>
      <w:r w:rsidRPr="00FD1AAA">
        <w:rPr>
          <w:sz w:val="24"/>
        </w:rPr>
        <w:t xml:space="preserve"> [(11 states x 1 hr)/3 </w:t>
      </w:r>
      <w:r w:rsidRPr="00EF6F26">
        <w:rPr>
          <w:sz w:val="24"/>
        </w:rPr>
        <w:t xml:space="preserve">years] and </w:t>
      </w:r>
      <w:r w:rsidRPr="00EF6F26">
        <w:rPr>
          <w:b/>
          <w:sz w:val="24"/>
        </w:rPr>
        <w:t>$238.50</w:t>
      </w:r>
      <w:r w:rsidRPr="00EF6F26">
        <w:rPr>
          <w:sz w:val="24"/>
        </w:rPr>
        <w:t xml:space="preserve"> (3.7 hr x $64.46/hr)</w:t>
      </w:r>
      <w:r w:rsidR="00D80528" w:rsidRPr="00EF6F26">
        <w:rPr>
          <w:sz w:val="24"/>
        </w:rPr>
        <w:t xml:space="preserve"> (Estimate 12.3)</w:t>
      </w:r>
      <w:r w:rsidRPr="00EF6F26">
        <w:rPr>
          <w:sz w:val="24"/>
        </w:rPr>
        <w:t>.</w:t>
      </w:r>
    </w:p>
    <w:p w14:paraId="6162069E" w14:textId="77777777" w:rsidR="007F66D4" w:rsidRPr="00FD1AAA" w:rsidRDefault="007F66D4"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219FD6C1" w14:textId="22471B66" w:rsidR="00FD1AAA" w:rsidRDefault="00FD1AAA"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FD1AAA">
        <w:rPr>
          <w:sz w:val="24"/>
        </w:rPr>
        <w:t>Section 438.330(a)(3) identifies the regulatory components of §438.330 that apply to the QAPI of a PCCM entity described in §438.310(c)(2).  The burden associated with these regulatory components in regards to PCCM entities is described in §§438.330(b)(3), (c), and (e) below.</w:t>
      </w:r>
    </w:p>
    <w:p w14:paraId="3AD81270" w14:textId="77777777" w:rsidR="007F66D4" w:rsidRPr="00FD1AAA" w:rsidRDefault="007F66D4"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0BFE63D0" w14:textId="1CF2DD37" w:rsidR="00FD1AAA" w:rsidRDefault="00FD1AAA"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FD1AAA">
        <w:rPr>
          <w:sz w:val="24"/>
        </w:rPr>
        <w:t>Section 438.330(b)(3) clarifies that MCOs, PIHPs, and PAHPs will have an approach to evaluate and address findings regarding the underutilization and overutilization of services.  Because utilization review in managed care has become commonplace in the private, Medicare, and Medicaid settings, we do not believe that this regulatory provision imposes any new burden on MCOs, PIHPs, or PAHPs.  However, in acco</w:t>
      </w:r>
      <w:r>
        <w:rPr>
          <w:sz w:val="24"/>
        </w:rPr>
        <w:t>rdance with §438.310(c)(2),</w:t>
      </w:r>
      <w:r w:rsidRPr="00FD1AAA">
        <w:rPr>
          <w:sz w:val="24"/>
        </w:rPr>
        <w:t xml:space="preserve"> PCCM entities (we estimate there are </w:t>
      </w:r>
      <w:r w:rsidR="00971E6D">
        <w:rPr>
          <w:sz w:val="24"/>
        </w:rPr>
        <w:t>9</w:t>
      </w:r>
      <w:r w:rsidRPr="00FD1AAA">
        <w:rPr>
          <w:sz w:val="24"/>
        </w:rPr>
        <w:t xml:space="preserve"> total) will now be subject to this operational component.  </w:t>
      </w:r>
    </w:p>
    <w:p w14:paraId="2AE70D41" w14:textId="77777777" w:rsidR="007F66D4" w:rsidRPr="00FD1AAA" w:rsidRDefault="007F66D4"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547F122C" w14:textId="748C46AF" w:rsidR="00AE6467" w:rsidRDefault="00FD1AAA"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FD1AAA">
        <w:rPr>
          <w:sz w:val="24"/>
        </w:rPr>
        <w:t xml:space="preserve">We recognize that PCCM entities may not currently have in place mechanisms to assess and address underutilization and overutilization of services in accordance with §438.330(b)(3).  We estimate a one-time private sector burden of 10 hr at $64.46/hr for a business operations specialist to establish the policies and procedures.  </w:t>
      </w:r>
      <w:r w:rsidRPr="00F935F0">
        <w:rPr>
          <w:sz w:val="24"/>
        </w:rPr>
        <w:t xml:space="preserve">In aggregate, we estimate </w:t>
      </w:r>
      <w:r w:rsidR="00971E6D" w:rsidRPr="00F935F0">
        <w:rPr>
          <w:sz w:val="24"/>
        </w:rPr>
        <w:t>90</w:t>
      </w:r>
      <w:r w:rsidRPr="00F935F0">
        <w:rPr>
          <w:sz w:val="24"/>
        </w:rPr>
        <w:t xml:space="preserve"> hr (</w:t>
      </w:r>
      <w:r w:rsidR="00971E6D" w:rsidRPr="00F935F0">
        <w:rPr>
          <w:sz w:val="24"/>
        </w:rPr>
        <w:t>9</w:t>
      </w:r>
      <w:r w:rsidRPr="00F935F0">
        <w:rPr>
          <w:sz w:val="24"/>
        </w:rPr>
        <w:t xml:space="preserve"> PCCM entities x 10 hr) and $</w:t>
      </w:r>
      <w:r w:rsidR="00971E6D" w:rsidRPr="00F935F0">
        <w:rPr>
          <w:sz w:val="24"/>
        </w:rPr>
        <w:t>5</w:t>
      </w:r>
      <w:r w:rsidR="0013419B" w:rsidRPr="00F935F0">
        <w:rPr>
          <w:sz w:val="24"/>
        </w:rPr>
        <w:t>,</w:t>
      </w:r>
      <w:r w:rsidR="00971E6D" w:rsidRPr="00F935F0">
        <w:rPr>
          <w:sz w:val="24"/>
        </w:rPr>
        <w:t>801.4</w:t>
      </w:r>
      <w:r w:rsidR="0013419B" w:rsidRPr="00F935F0">
        <w:rPr>
          <w:sz w:val="24"/>
        </w:rPr>
        <w:t>0</w:t>
      </w:r>
      <w:r w:rsidRPr="00F935F0">
        <w:rPr>
          <w:sz w:val="24"/>
        </w:rPr>
        <w:t xml:space="preserve"> (</w:t>
      </w:r>
      <w:r w:rsidR="00971E6D" w:rsidRPr="00F935F0">
        <w:rPr>
          <w:sz w:val="24"/>
        </w:rPr>
        <w:t>90</w:t>
      </w:r>
      <w:r w:rsidRPr="00F935F0">
        <w:rPr>
          <w:sz w:val="24"/>
        </w:rPr>
        <w:t xml:space="preserve"> hr x $64.46/hr</w:t>
      </w:r>
      <w:r w:rsidRPr="00FD1AAA">
        <w:rPr>
          <w:sz w:val="24"/>
        </w:rPr>
        <w:t xml:space="preserve">), annualized to </w:t>
      </w:r>
      <w:r w:rsidR="00971E6D">
        <w:rPr>
          <w:b/>
          <w:sz w:val="24"/>
        </w:rPr>
        <w:t>30</w:t>
      </w:r>
      <w:r w:rsidRPr="00FD1AAA">
        <w:rPr>
          <w:b/>
          <w:sz w:val="24"/>
        </w:rPr>
        <w:t xml:space="preserve"> hr</w:t>
      </w:r>
      <w:r w:rsidRPr="00FD1AAA">
        <w:rPr>
          <w:sz w:val="24"/>
        </w:rPr>
        <w:t xml:space="preserve"> and </w:t>
      </w:r>
      <w:r w:rsidRPr="00FD1AAA">
        <w:rPr>
          <w:b/>
          <w:sz w:val="24"/>
        </w:rPr>
        <w:t>$</w:t>
      </w:r>
      <w:r w:rsidR="00971E6D">
        <w:rPr>
          <w:b/>
          <w:sz w:val="24"/>
        </w:rPr>
        <w:t>1,933.8</w:t>
      </w:r>
      <w:r w:rsidR="00F935F0">
        <w:rPr>
          <w:b/>
          <w:sz w:val="24"/>
        </w:rPr>
        <w:t>0</w:t>
      </w:r>
      <w:r w:rsidRPr="00FD1AAA">
        <w:rPr>
          <w:sz w:val="24"/>
        </w:rPr>
        <w:t>, for the establishment of policies and procedures</w:t>
      </w:r>
      <w:r w:rsidR="00EF6F26">
        <w:rPr>
          <w:sz w:val="24"/>
        </w:rPr>
        <w:t xml:space="preserve"> </w:t>
      </w:r>
      <w:r w:rsidR="00EF6F26" w:rsidRPr="00EF6F26">
        <w:rPr>
          <w:sz w:val="24"/>
        </w:rPr>
        <w:t>(Estimate 12.</w:t>
      </w:r>
      <w:r w:rsidR="00EF6F26">
        <w:rPr>
          <w:sz w:val="24"/>
        </w:rPr>
        <w:t>4</w:t>
      </w:r>
      <w:r w:rsidR="00EF6F26" w:rsidRPr="00EF6F26">
        <w:rPr>
          <w:sz w:val="24"/>
        </w:rPr>
        <w:t>)</w:t>
      </w:r>
      <w:r w:rsidRPr="00FD1AAA">
        <w:rPr>
          <w:sz w:val="24"/>
        </w:rPr>
        <w:t xml:space="preserve">.  </w:t>
      </w:r>
      <w:r w:rsidR="00AE6467" w:rsidRPr="00FD1AAA">
        <w:rPr>
          <w:sz w:val="24"/>
        </w:rPr>
        <w:t xml:space="preserve">We are </w:t>
      </w:r>
      <w:r w:rsidR="00F8771A">
        <w:rPr>
          <w:sz w:val="24"/>
        </w:rPr>
        <w:t>annualizing the one-time burden</w:t>
      </w:r>
      <w:r w:rsidR="00AE6467" w:rsidRPr="00FD1AAA">
        <w:rPr>
          <w:sz w:val="24"/>
        </w:rPr>
        <w:t xml:space="preserve"> since we do not anticipate any additional development burden after the 3-year approval period expires.</w:t>
      </w:r>
      <w:r w:rsidR="00AE6467">
        <w:rPr>
          <w:sz w:val="24"/>
        </w:rPr>
        <w:t xml:space="preserve"> </w:t>
      </w:r>
    </w:p>
    <w:p w14:paraId="6CA9A173" w14:textId="77777777" w:rsidR="00AE6467" w:rsidRDefault="00AE6467"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3947D0CB" w14:textId="410ECB1B" w:rsidR="00FD1AAA" w:rsidRDefault="00FD1AAA"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471404">
        <w:rPr>
          <w:sz w:val="24"/>
        </w:rPr>
        <w:t xml:space="preserve">We also estimate an ongoing annual burden of 10 hr to evaluate and address the findings.  In aggregate, we estimate </w:t>
      </w:r>
      <w:r w:rsidR="00971E6D" w:rsidRPr="00471404">
        <w:rPr>
          <w:b/>
          <w:sz w:val="24"/>
        </w:rPr>
        <w:t>90</w:t>
      </w:r>
      <w:r w:rsidRPr="00471404">
        <w:rPr>
          <w:b/>
          <w:sz w:val="24"/>
        </w:rPr>
        <w:t xml:space="preserve"> hr</w:t>
      </w:r>
      <w:r w:rsidRPr="00471404">
        <w:rPr>
          <w:sz w:val="24"/>
        </w:rPr>
        <w:t xml:space="preserve"> (</w:t>
      </w:r>
      <w:r w:rsidR="00971E6D" w:rsidRPr="00471404">
        <w:rPr>
          <w:sz w:val="24"/>
        </w:rPr>
        <w:t>9</w:t>
      </w:r>
      <w:r w:rsidRPr="00471404">
        <w:rPr>
          <w:sz w:val="24"/>
        </w:rPr>
        <w:t xml:space="preserve"> PCCM entities x 10 hr) and </w:t>
      </w:r>
      <w:r w:rsidRPr="00471404">
        <w:rPr>
          <w:b/>
          <w:sz w:val="24"/>
        </w:rPr>
        <w:t>$</w:t>
      </w:r>
      <w:r w:rsidR="00971E6D" w:rsidRPr="00471404">
        <w:rPr>
          <w:b/>
          <w:sz w:val="24"/>
        </w:rPr>
        <w:t>5</w:t>
      </w:r>
      <w:r w:rsidR="00A1600A" w:rsidRPr="00471404">
        <w:rPr>
          <w:b/>
          <w:sz w:val="24"/>
        </w:rPr>
        <w:t>,</w:t>
      </w:r>
      <w:r w:rsidR="00971E6D" w:rsidRPr="00471404">
        <w:rPr>
          <w:b/>
          <w:sz w:val="24"/>
        </w:rPr>
        <w:t>801.4</w:t>
      </w:r>
      <w:r w:rsidR="00513F11" w:rsidRPr="00471404">
        <w:rPr>
          <w:b/>
          <w:sz w:val="24"/>
        </w:rPr>
        <w:t>0</w:t>
      </w:r>
      <w:r w:rsidRPr="00471404">
        <w:rPr>
          <w:sz w:val="24"/>
        </w:rPr>
        <w:t xml:space="preserve"> (</w:t>
      </w:r>
      <w:r w:rsidR="00513F11" w:rsidRPr="00471404">
        <w:rPr>
          <w:sz w:val="24"/>
        </w:rPr>
        <w:t>90</w:t>
      </w:r>
      <w:r w:rsidRPr="00471404">
        <w:rPr>
          <w:sz w:val="24"/>
        </w:rPr>
        <w:t xml:space="preserve"> hr x $64.46/hr) for program maintenance</w:t>
      </w:r>
      <w:r w:rsidR="00EF6F26" w:rsidRPr="00471404">
        <w:rPr>
          <w:sz w:val="24"/>
        </w:rPr>
        <w:t xml:space="preserve"> (Estimate 12.5)</w:t>
      </w:r>
      <w:r w:rsidRPr="00471404">
        <w:rPr>
          <w:sz w:val="24"/>
        </w:rPr>
        <w:t>.</w:t>
      </w:r>
    </w:p>
    <w:p w14:paraId="1E5A0BD7" w14:textId="77777777" w:rsidR="007F66D4" w:rsidRPr="00FD1AAA" w:rsidRDefault="007F66D4"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1321D85C" w14:textId="7C1B60D9" w:rsidR="00FD1AAA" w:rsidRDefault="00FD1AAA"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FD1AAA">
        <w:rPr>
          <w:sz w:val="24"/>
        </w:rPr>
        <w:t xml:space="preserve">Section 438.330(c) addresses QAPI performance measurement.  Section 438.330(c)(1) requires that the state identify standard performance measures for their managed care plans, including LTSS measures if appropriate.  These must include any performance measures specified by CMS under §438.330(a)(2).  We believe that it is standard practice for states to identify performance measures for their contracted managed care plans; therefore there is no burden associated with this paragraph.  </w:t>
      </w:r>
    </w:p>
    <w:p w14:paraId="26187A41" w14:textId="77777777" w:rsidR="00971E6D" w:rsidRPr="00FD1AAA" w:rsidRDefault="00971E6D"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14760862" w14:textId="415F651C" w:rsidR="00FD1AAA" w:rsidRDefault="00FD1AAA"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FD1AAA">
        <w:rPr>
          <w:sz w:val="24"/>
        </w:rPr>
        <w:t xml:space="preserve">Section 438.330(c)(2) requires each MCO, PIHP, PAHP, and PCCM entity (described in §438.310(c)(2)) to annually measure its performance using the standard measures specified by the state in §438.330(c)(1) and to report on its performance to the state.  We assume that each of the 335 MCOs and 176 PIHPs will report on three performance measures to the state.  The use of performance measures is commonplace in private, Medicare, and Medicaid managed care markets; therefore we believe that MCOs and PIHPs already collect performance measures.  </w:t>
      </w:r>
    </w:p>
    <w:p w14:paraId="1D646EE0" w14:textId="77777777" w:rsidR="007F66D4" w:rsidRPr="00FD1AAA" w:rsidRDefault="007F66D4"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0F2C4B9B" w14:textId="6F69F441" w:rsidR="00FD1AAA" w:rsidRDefault="00FD1AAA"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FD1AAA">
        <w:rPr>
          <w:sz w:val="24"/>
        </w:rPr>
        <w:t xml:space="preserve">For MCOs (335) and PIHPs (176), we estimate an annual private sector burden of 0.1 hr at $64.46/hr for a business operations specialist to report on a single performance measure to the state.  In aggregate, we estimate </w:t>
      </w:r>
      <w:r w:rsidRPr="00FD1AAA">
        <w:rPr>
          <w:b/>
          <w:sz w:val="24"/>
        </w:rPr>
        <w:t>153.3 hr</w:t>
      </w:r>
      <w:r w:rsidRPr="00FD1AAA">
        <w:rPr>
          <w:sz w:val="24"/>
        </w:rPr>
        <w:t xml:space="preserve"> (511 MCOs and PIHPs x 3 performance measures x 0.1 hr) and </w:t>
      </w:r>
      <w:r w:rsidRPr="00FD1AAA">
        <w:rPr>
          <w:b/>
          <w:sz w:val="24"/>
        </w:rPr>
        <w:t>$9,881.72</w:t>
      </w:r>
      <w:r w:rsidRPr="00FD1AAA">
        <w:rPr>
          <w:sz w:val="24"/>
        </w:rPr>
        <w:t xml:space="preserve"> (153.3 hr x $64.46/hr)</w:t>
      </w:r>
      <w:r w:rsidR="0032108C">
        <w:rPr>
          <w:sz w:val="24"/>
        </w:rPr>
        <w:t xml:space="preserve"> </w:t>
      </w:r>
      <w:r w:rsidR="0032108C" w:rsidRPr="00EF6F26">
        <w:rPr>
          <w:sz w:val="24"/>
        </w:rPr>
        <w:t>(Estimate 12.</w:t>
      </w:r>
      <w:r w:rsidR="0032108C">
        <w:rPr>
          <w:sz w:val="24"/>
        </w:rPr>
        <w:t>6</w:t>
      </w:r>
      <w:r w:rsidR="0032108C" w:rsidRPr="00EF6F26">
        <w:rPr>
          <w:sz w:val="24"/>
        </w:rPr>
        <w:t>)</w:t>
      </w:r>
      <w:r w:rsidRPr="00FD1AAA">
        <w:rPr>
          <w:sz w:val="24"/>
        </w:rPr>
        <w:t>.</w:t>
      </w:r>
    </w:p>
    <w:p w14:paraId="2616F7B6" w14:textId="77777777" w:rsidR="007F66D4" w:rsidRPr="00FD1AAA" w:rsidRDefault="007F66D4"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315D2F09" w14:textId="4C85377C" w:rsidR="00FD1AAA" w:rsidRDefault="00FD1AAA"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FD1AAA">
        <w:rPr>
          <w:sz w:val="24"/>
        </w:rPr>
        <w:t xml:space="preserve">We recognize that PAHPs and PCCM entities (described in §438.310(c)(2)) may not currently engage in performance measurement as described in §438.330(c)(2).  We estimate that each PCCM entity and each PAHP will report to the state on 3 performance measures annually.  For the 41 PAHPs and </w:t>
      </w:r>
      <w:r w:rsidR="00971E6D">
        <w:rPr>
          <w:sz w:val="24"/>
        </w:rPr>
        <w:t>9</w:t>
      </w:r>
      <w:r w:rsidRPr="00FD1AAA">
        <w:rPr>
          <w:sz w:val="24"/>
        </w:rPr>
        <w:t xml:space="preserve"> PCCM entities, we estimate an annual private sector burden of 4 hr (per measure) at $64.46/hr for a business operations specialist to collect, calculate, and submit each performance measure to the state.  In aggregate, we estimate </w:t>
      </w:r>
      <w:r w:rsidRPr="00FD1AAA">
        <w:rPr>
          <w:b/>
          <w:sz w:val="24"/>
        </w:rPr>
        <w:t>6</w:t>
      </w:r>
      <w:r w:rsidR="00971E6D">
        <w:rPr>
          <w:b/>
          <w:sz w:val="24"/>
        </w:rPr>
        <w:t>00</w:t>
      </w:r>
      <w:r w:rsidRPr="00FD1AAA">
        <w:rPr>
          <w:b/>
          <w:sz w:val="24"/>
        </w:rPr>
        <w:t xml:space="preserve"> hr</w:t>
      </w:r>
      <w:r w:rsidRPr="00FD1AAA">
        <w:rPr>
          <w:sz w:val="24"/>
        </w:rPr>
        <w:t xml:space="preserve"> (5</w:t>
      </w:r>
      <w:r w:rsidR="00971E6D">
        <w:rPr>
          <w:sz w:val="24"/>
        </w:rPr>
        <w:t>0</w:t>
      </w:r>
      <w:r w:rsidRPr="00FD1AAA">
        <w:rPr>
          <w:sz w:val="24"/>
        </w:rPr>
        <w:t xml:space="preserve"> PAHPs and PCCMs x 3 performance measures x 4 hr) and </w:t>
      </w:r>
      <w:r w:rsidRPr="00FD1AAA">
        <w:rPr>
          <w:b/>
          <w:sz w:val="24"/>
        </w:rPr>
        <w:t>$</w:t>
      </w:r>
      <w:r w:rsidR="00026C09">
        <w:rPr>
          <w:b/>
          <w:sz w:val="24"/>
        </w:rPr>
        <w:t>38,676</w:t>
      </w:r>
      <w:r w:rsidRPr="00FD1AAA">
        <w:rPr>
          <w:sz w:val="24"/>
        </w:rPr>
        <w:t xml:space="preserve"> (6</w:t>
      </w:r>
      <w:r w:rsidR="00971E6D">
        <w:rPr>
          <w:sz w:val="24"/>
        </w:rPr>
        <w:t>00</w:t>
      </w:r>
      <w:r w:rsidRPr="00FD1AAA">
        <w:rPr>
          <w:sz w:val="24"/>
        </w:rPr>
        <w:t xml:space="preserve"> hr x $64.46/hr)</w:t>
      </w:r>
      <w:r w:rsidR="008775FE">
        <w:rPr>
          <w:sz w:val="24"/>
        </w:rPr>
        <w:t xml:space="preserve"> </w:t>
      </w:r>
      <w:r w:rsidR="008775FE" w:rsidRPr="00EF6F26">
        <w:rPr>
          <w:sz w:val="24"/>
        </w:rPr>
        <w:t>(Estimate 12.</w:t>
      </w:r>
      <w:r w:rsidR="008775FE">
        <w:rPr>
          <w:sz w:val="24"/>
        </w:rPr>
        <w:t>7</w:t>
      </w:r>
      <w:r w:rsidR="008775FE" w:rsidRPr="00EF6F26">
        <w:rPr>
          <w:sz w:val="24"/>
        </w:rPr>
        <w:t>)</w:t>
      </w:r>
      <w:r w:rsidRPr="00FD1AAA">
        <w:rPr>
          <w:sz w:val="24"/>
        </w:rPr>
        <w:t>.</w:t>
      </w:r>
    </w:p>
    <w:p w14:paraId="23FE3B3E" w14:textId="77777777" w:rsidR="007F66D4" w:rsidRPr="00FD1AAA" w:rsidRDefault="007F66D4"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5EE228CF" w14:textId="4D9B8830" w:rsidR="00FD1AAA" w:rsidRDefault="00FD1AAA"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FD1AAA">
        <w:rPr>
          <w:sz w:val="24"/>
        </w:rPr>
        <w:t xml:space="preserve">Section 438.330(c)(2) also requires each MCO, PIHP, PAHP, and PCCM entity (described in §438.310(c)(2)) providing long-term services and supports to annually measure its performance using the standard measures specified by the state in §438.330(c)(1)(ii) and to report on its performance to the state.  Section 438.330(c)(1)(ii) requires states to identify standard performance measures in two LTSS-specific categories for managed care plans that provide LTSS.  Assuming that each of the 179 MLTSS plans will report on at least one measure per category and a burden of 4 hr (per measure) at $64.46/hr for a business operations specialist to collect, calculate, and submit each LTSS performance measure to the state, we estimate an aggregated annual private sector burden of </w:t>
      </w:r>
      <w:r w:rsidRPr="00FD1AAA">
        <w:rPr>
          <w:b/>
          <w:sz w:val="24"/>
        </w:rPr>
        <w:t>1,432 hr</w:t>
      </w:r>
      <w:r w:rsidRPr="00FD1AAA">
        <w:rPr>
          <w:sz w:val="24"/>
        </w:rPr>
        <w:t xml:space="preserve"> (179 MLTSS plans x 2 performance measures x 4 hr) and </w:t>
      </w:r>
      <w:r w:rsidRPr="00FD1AAA">
        <w:rPr>
          <w:b/>
          <w:sz w:val="24"/>
        </w:rPr>
        <w:t>$92,306.72</w:t>
      </w:r>
      <w:r w:rsidRPr="00FD1AAA">
        <w:rPr>
          <w:sz w:val="24"/>
        </w:rPr>
        <w:t xml:space="preserve"> (1,432 hr x $64.46/hr)</w:t>
      </w:r>
      <w:r w:rsidR="00FF3AF0">
        <w:rPr>
          <w:sz w:val="24"/>
        </w:rPr>
        <w:t xml:space="preserve"> </w:t>
      </w:r>
      <w:r w:rsidR="00FF3AF0" w:rsidRPr="00EF6F26">
        <w:rPr>
          <w:sz w:val="24"/>
        </w:rPr>
        <w:t>(Estimate 12.</w:t>
      </w:r>
      <w:r w:rsidR="00FF3AF0">
        <w:rPr>
          <w:sz w:val="24"/>
        </w:rPr>
        <w:t>8</w:t>
      </w:r>
      <w:r w:rsidR="00FF3AF0" w:rsidRPr="00EF6F26">
        <w:rPr>
          <w:sz w:val="24"/>
        </w:rPr>
        <w:t>)</w:t>
      </w:r>
      <w:r w:rsidRPr="00FD1AAA">
        <w:rPr>
          <w:sz w:val="24"/>
        </w:rPr>
        <w:t>.</w:t>
      </w:r>
    </w:p>
    <w:p w14:paraId="0CA193E9" w14:textId="77777777" w:rsidR="007F66D4" w:rsidRPr="00FD1AAA" w:rsidRDefault="007F66D4"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25448469" w14:textId="1A017D3C" w:rsidR="00FD1AAA" w:rsidRDefault="00FD1AAA"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FD1AAA">
        <w:rPr>
          <w:sz w:val="24"/>
        </w:rPr>
        <w:lastRenderedPageBreak/>
        <w:t>Under §438.330(d)(1) through (3), states must ensure that each MCO, PIHP, and PAHP has an ongoing program of PIPs, designed to achieve sustainable improvement, which the managed care plan will report on to the state as requested, but at least once per year.  We assume that each MCO and PIHP will conduct at least 3 PIPs in any given year.  We further expect that states would request the status and results of each entity’s PIPs annually.  The currently approved burden under this control</w:t>
      </w:r>
      <w:r>
        <w:rPr>
          <w:sz w:val="24"/>
        </w:rPr>
        <w:t xml:space="preserve"> number estimates that each of </w:t>
      </w:r>
      <w:r w:rsidRPr="00FD1AAA">
        <w:rPr>
          <w:sz w:val="24"/>
        </w:rPr>
        <w:t xml:space="preserve">the 539 MCOs and PIHPs conducts 3 PIPs, for a burden of 12,936 hr (539 MCOs and PIHPs x 3 PIPs x 8 hr).  However, this figure overestimates the number of MCOs and PIHPs.  Therefore, we estimate an annual private sector burden of 8 hr at $64.46/hr for a business operations specialist to report on each PIP.  In aggregate, we estimate </w:t>
      </w:r>
      <w:r w:rsidRPr="00FD1AAA">
        <w:rPr>
          <w:b/>
          <w:sz w:val="24"/>
        </w:rPr>
        <w:t>12,264 hr</w:t>
      </w:r>
      <w:r w:rsidRPr="00FD1AAA">
        <w:rPr>
          <w:sz w:val="24"/>
        </w:rPr>
        <w:t xml:space="preserve"> (511 MCOs and PIHPs x 8 hr x 3 PIPs) and </w:t>
      </w:r>
      <w:r w:rsidRPr="00FD1AAA">
        <w:rPr>
          <w:b/>
          <w:sz w:val="24"/>
        </w:rPr>
        <w:t>$790,537.44</w:t>
      </w:r>
      <w:r w:rsidRPr="00FD1AAA">
        <w:rPr>
          <w:sz w:val="24"/>
        </w:rPr>
        <w:t xml:space="preserve"> (12,264 hr x $64.46/hr)</w:t>
      </w:r>
      <w:r w:rsidR="000873D0">
        <w:rPr>
          <w:sz w:val="24"/>
        </w:rPr>
        <w:t xml:space="preserve"> </w:t>
      </w:r>
      <w:r w:rsidR="000873D0" w:rsidRPr="00EF6F26">
        <w:rPr>
          <w:sz w:val="24"/>
        </w:rPr>
        <w:t>(Estimate 12.</w:t>
      </w:r>
      <w:r w:rsidR="000873D0">
        <w:rPr>
          <w:sz w:val="24"/>
        </w:rPr>
        <w:t>9</w:t>
      </w:r>
      <w:r w:rsidR="000873D0" w:rsidRPr="00EF6F26">
        <w:rPr>
          <w:sz w:val="24"/>
        </w:rPr>
        <w:t>)</w:t>
      </w:r>
      <w:r w:rsidRPr="00FD1AAA">
        <w:rPr>
          <w:sz w:val="24"/>
        </w:rPr>
        <w:t>.</w:t>
      </w:r>
    </w:p>
    <w:p w14:paraId="0D349253" w14:textId="77777777" w:rsidR="007F66D4" w:rsidRPr="00FD1AAA" w:rsidRDefault="007F66D4"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3FC1B202" w14:textId="14FC62B3" w:rsidR="00DD53AB" w:rsidRDefault="00FD1AAA"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FD1AAA">
        <w:rPr>
          <w:sz w:val="24"/>
        </w:rPr>
        <w:t xml:space="preserve">We assume that each PAHP will conduct at least one PIP each year, and that states will request the status and results of each PAHP’s PIP annually.  We estimate a one-time private sector burden of 2 hr at $64.46/hr for a business operations specialist to develop policies and procedures.  In aggregate, we estimate </w:t>
      </w:r>
      <w:r w:rsidRPr="00FD1AAA">
        <w:rPr>
          <w:b/>
          <w:sz w:val="24"/>
        </w:rPr>
        <w:t>82 hr</w:t>
      </w:r>
      <w:r w:rsidRPr="00FD1AAA">
        <w:rPr>
          <w:sz w:val="24"/>
        </w:rPr>
        <w:t xml:space="preserve"> (41 PAHPs x 2 hr) and </w:t>
      </w:r>
      <w:r w:rsidRPr="00FD1AAA">
        <w:rPr>
          <w:b/>
          <w:sz w:val="24"/>
        </w:rPr>
        <w:t>$5,285.72</w:t>
      </w:r>
      <w:r w:rsidRPr="00FD1AAA">
        <w:rPr>
          <w:sz w:val="24"/>
        </w:rPr>
        <w:t xml:space="preserve"> (82 hr x $64.46/hr), annualized to </w:t>
      </w:r>
      <w:r w:rsidRPr="00655C01">
        <w:rPr>
          <w:b/>
          <w:sz w:val="24"/>
        </w:rPr>
        <w:t>27.3 hr</w:t>
      </w:r>
      <w:r w:rsidRPr="00FD1AAA">
        <w:rPr>
          <w:sz w:val="24"/>
        </w:rPr>
        <w:t xml:space="preserve"> and </w:t>
      </w:r>
      <w:r w:rsidRPr="00655C01">
        <w:rPr>
          <w:b/>
          <w:sz w:val="24"/>
        </w:rPr>
        <w:t>$1,761.91</w:t>
      </w:r>
      <w:r w:rsidR="00782B57">
        <w:rPr>
          <w:b/>
          <w:sz w:val="24"/>
        </w:rPr>
        <w:t xml:space="preserve"> </w:t>
      </w:r>
      <w:r w:rsidR="00782B57" w:rsidRPr="00EF6F26">
        <w:rPr>
          <w:sz w:val="24"/>
        </w:rPr>
        <w:t>(Estimate 12.</w:t>
      </w:r>
      <w:r w:rsidR="00782B57">
        <w:rPr>
          <w:sz w:val="24"/>
        </w:rPr>
        <w:t>10</w:t>
      </w:r>
      <w:r w:rsidR="00782B57" w:rsidRPr="00EF6F26">
        <w:rPr>
          <w:sz w:val="24"/>
        </w:rPr>
        <w:t>)</w:t>
      </w:r>
      <w:r w:rsidRPr="00FD1AAA">
        <w:rPr>
          <w:sz w:val="24"/>
        </w:rPr>
        <w:t xml:space="preserve">.  </w:t>
      </w:r>
      <w:r w:rsidR="00DD53AB" w:rsidRPr="00FD1AAA">
        <w:rPr>
          <w:sz w:val="24"/>
        </w:rPr>
        <w:t xml:space="preserve">We are </w:t>
      </w:r>
      <w:r w:rsidR="00F8771A">
        <w:rPr>
          <w:sz w:val="24"/>
        </w:rPr>
        <w:t>annualizing the one-time burden</w:t>
      </w:r>
      <w:r w:rsidR="00DD53AB" w:rsidRPr="00FD1AAA">
        <w:rPr>
          <w:sz w:val="24"/>
        </w:rPr>
        <w:t xml:space="preserve"> since we do not anticipate any additional burden after the 3-year approval period expires.</w:t>
      </w:r>
    </w:p>
    <w:p w14:paraId="3FC15FB6" w14:textId="77777777" w:rsidR="00DD53AB" w:rsidRDefault="00DD53AB"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5098899C" w14:textId="04D6CE9F" w:rsidR="00FD1AAA" w:rsidRDefault="00FD1AAA"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FD1AAA">
        <w:rPr>
          <w:sz w:val="24"/>
        </w:rPr>
        <w:t xml:space="preserve">We also estimate an annual private sector burden of 8 hr to prepare a PIP report.  In aggregate, we estimate </w:t>
      </w:r>
      <w:r w:rsidRPr="00655C01">
        <w:rPr>
          <w:b/>
          <w:sz w:val="24"/>
        </w:rPr>
        <w:t>328 hr</w:t>
      </w:r>
      <w:r w:rsidRPr="00FD1AAA">
        <w:rPr>
          <w:sz w:val="24"/>
        </w:rPr>
        <w:t xml:space="preserve"> (41 PAHPs x 1 PIP x 8 hr) and </w:t>
      </w:r>
      <w:r w:rsidRPr="00655C01">
        <w:rPr>
          <w:b/>
          <w:sz w:val="24"/>
        </w:rPr>
        <w:t>$21,142.88</w:t>
      </w:r>
      <w:r w:rsidRPr="00FD1AAA">
        <w:rPr>
          <w:sz w:val="24"/>
        </w:rPr>
        <w:t xml:space="preserve"> (328 hr x $64.46/hr)</w:t>
      </w:r>
      <w:r w:rsidR="00782B57">
        <w:rPr>
          <w:sz w:val="24"/>
        </w:rPr>
        <w:t xml:space="preserve"> </w:t>
      </w:r>
      <w:r w:rsidR="00782B57" w:rsidRPr="00EF6F26">
        <w:rPr>
          <w:sz w:val="24"/>
        </w:rPr>
        <w:t>(Estimate 12.</w:t>
      </w:r>
      <w:r w:rsidR="00782B57">
        <w:rPr>
          <w:sz w:val="24"/>
        </w:rPr>
        <w:t>11</w:t>
      </w:r>
      <w:r w:rsidR="00782B57" w:rsidRPr="00EF6F26">
        <w:rPr>
          <w:sz w:val="24"/>
        </w:rPr>
        <w:t>)</w:t>
      </w:r>
      <w:r w:rsidRPr="00FD1AAA">
        <w:rPr>
          <w:sz w:val="24"/>
        </w:rPr>
        <w:t>.</w:t>
      </w:r>
    </w:p>
    <w:p w14:paraId="1ECE41F3" w14:textId="77777777" w:rsidR="007F66D4" w:rsidRPr="00FD1AAA" w:rsidRDefault="007F66D4"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06E3FADF" w14:textId="16C9F076" w:rsidR="00FD1AAA" w:rsidRDefault="00FD1AAA"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706443">
        <w:rPr>
          <w:sz w:val="24"/>
        </w:rPr>
        <w:t xml:space="preserve">Section 438.330(e)(1) requires the state to review the impact and effectiveness of each MCO’s, PIHPs, and PAHP’s QAPI at least annually.  States must also review the QAPI of each PCCM entity (described in §438.310(c)(2)).  We estimate an annual state burden of 15 hr at $64.46/hr for a business operations specialist to assess the performance of a single PCCM entity.  In aggregate, we estimate </w:t>
      </w:r>
      <w:r w:rsidR="00026C09" w:rsidRPr="00706443">
        <w:rPr>
          <w:b/>
          <w:sz w:val="24"/>
        </w:rPr>
        <w:t>135</w:t>
      </w:r>
      <w:r w:rsidRPr="00706443">
        <w:rPr>
          <w:b/>
          <w:sz w:val="24"/>
        </w:rPr>
        <w:t xml:space="preserve"> hours</w:t>
      </w:r>
      <w:r w:rsidRPr="00706443">
        <w:rPr>
          <w:sz w:val="24"/>
        </w:rPr>
        <w:t xml:space="preserve"> (</w:t>
      </w:r>
      <w:r w:rsidR="00026C09" w:rsidRPr="00706443">
        <w:rPr>
          <w:sz w:val="24"/>
        </w:rPr>
        <w:t>9</w:t>
      </w:r>
      <w:r w:rsidRPr="00706443">
        <w:rPr>
          <w:sz w:val="24"/>
        </w:rPr>
        <w:t xml:space="preserve"> PCCM entities x 15 hr) and </w:t>
      </w:r>
      <w:r w:rsidRPr="00706443">
        <w:rPr>
          <w:b/>
          <w:sz w:val="24"/>
        </w:rPr>
        <w:t>$</w:t>
      </w:r>
      <w:r w:rsidR="00026C09" w:rsidRPr="00706443">
        <w:rPr>
          <w:b/>
          <w:sz w:val="24"/>
        </w:rPr>
        <w:t>8</w:t>
      </w:r>
      <w:r w:rsidR="00E01114" w:rsidRPr="00706443">
        <w:rPr>
          <w:b/>
          <w:sz w:val="24"/>
        </w:rPr>
        <w:t>,</w:t>
      </w:r>
      <w:r w:rsidR="00026C09" w:rsidRPr="00706443">
        <w:rPr>
          <w:b/>
          <w:sz w:val="24"/>
        </w:rPr>
        <w:t>702.1</w:t>
      </w:r>
      <w:r w:rsidR="00CC5ADB" w:rsidRPr="00706443">
        <w:rPr>
          <w:b/>
          <w:sz w:val="24"/>
        </w:rPr>
        <w:t>0</w:t>
      </w:r>
      <w:r w:rsidRPr="00706443">
        <w:rPr>
          <w:sz w:val="24"/>
        </w:rPr>
        <w:t xml:space="preserve"> (</w:t>
      </w:r>
      <w:r w:rsidR="00CC5ADB" w:rsidRPr="00706443">
        <w:rPr>
          <w:sz w:val="24"/>
        </w:rPr>
        <w:t>135</w:t>
      </w:r>
      <w:r w:rsidRPr="00706443">
        <w:rPr>
          <w:sz w:val="24"/>
        </w:rPr>
        <w:t xml:space="preserve"> hr x $64.46/hr)</w:t>
      </w:r>
      <w:r w:rsidR="00BA66F4" w:rsidRPr="00706443">
        <w:rPr>
          <w:sz w:val="24"/>
        </w:rPr>
        <w:t xml:space="preserve"> (Estimate 12.12)</w:t>
      </w:r>
      <w:r w:rsidRPr="00706443">
        <w:rPr>
          <w:sz w:val="24"/>
        </w:rPr>
        <w:t>.</w:t>
      </w:r>
    </w:p>
    <w:p w14:paraId="3BB43827" w14:textId="77777777" w:rsidR="007F66D4" w:rsidRPr="00FD1AAA" w:rsidRDefault="007F66D4"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08E31C8D" w14:textId="77777777" w:rsidR="00957208" w:rsidRDefault="00FD1AAA"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FD1AAA">
        <w:rPr>
          <w:sz w:val="24"/>
        </w:rPr>
        <w:t xml:space="preserve">Under section 438.330(e)(1)(ii), states will include outcomes and trended results of each MCO, PIHP, and PAHP’s PIPs in the state’s annual review of quality assessment and performance improvement programs.  We estimate a one-time state burden of 0.5 hr at $64.46/hr for a business operations specialist to modify policies and procedures for the 40 states with MCOs, PIHPs and PAHPs.  In aggregate, we estimate </w:t>
      </w:r>
      <w:r w:rsidRPr="00655C01">
        <w:rPr>
          <w:b/>
          <w:sz w:val="24"/>
        </w:rPr>
        <w:t>20 hr</w:t>
      </w:r>
      <w:r w:rsidRPr="00FD1AAA">
        <w:rPr>
          <w:sz w:val="24"/>
        </w:rPr>
        <w:t xml:space="preserve"> (40 states x 0.5 hr) and </w:t>
      </w:r>
      <w:r w:rsidRPr="00655C01">
        <w:rPr>
          <w:b/>
          <w:sz w:val="24"/>
        </w:rPr>
        <w:t>$1,289.20</w:t>
      </w:r>
      <w:r w:rsidRPr="00FD1AAA">
        <w:rPr>
          <w:sz w:val="24"/>
        </w:rPr>
        <w:t xml:space="preserve"> (20 hr x $64.46/hr), annualized to </w:t>
      </w:r>
      <w:r w:rsidRPr="00E73802">
        <w:rPr>
          <w:b/>
          <w:sz w:val="24"/>
        </w:rPr>
        <w:t>6.7 hr</w:t>
      </w:r>
      <w:r w:rsidRPr="00FD1AAA">
        <w:rPr>
          <w:sz w:val="24"/>
        </w:rPr>
        <w:t xml:space="preserve"> and </w:t>
      </w:r>
      <w:r w:rsidRPr="00E73802">
        <w:rPr>
          <w:b/>
          <w:sz w:val="24"/>
        </w:rPr>
        <w:t>$429.73</w:t>
      </w:r>
      <w:r w:rsidR="00537656">
        <w:rPr>
          <w:b/>
          <w:sz w:val="24"/>
        </w:rPr>
        <w:t xml:space="preserve"> </w:t>
      </w:r>
      <w:r w:rsidR="00537656" w:rsidRPr="00EF6F26">
        <w:rPr>
          <w:sz w:val="24"/>
        </w:rPr>
        <w:t>(Estimate 12.</w:t>
      </w:r>
      <w:r w:rsidR="00537656">
        <w:rPr>
          <w:sz w:val="24"/>
        </w:rPr>
        <w:t>1</w:t>
      </w:r>
      <w:r w:rsidR="00537656" w:rsidRPr="00EF6F26">
        <w:rPr>
          <w:sz w:val="24"/>
        </w:rPr>
        <w:t>3)</w:t>
      </w:r>
      <w:r w:rsidRPr="00FD1AAA">
        <w:rPr>
          <w:sz w:val="24"/>
        </w:rPr>
        <w:t xml:space="preserve">.  </w:t>
      </w:r>
      <w:r w:rsidR="00957208" w:rsidRPr="00FD1AAA">
        <w:rPr>
          <w:sz w:val="24"/>
        </w:rPr>
        <w:t>We are annualizing the one-time development since we do not anticipate any additional burden after the 3-year approval period expires.</w:t>
      </w:r>
    </w:p>
    <w:p w14:paraId="057C497D" w14:textId="77777777" w:rsidR="00957208" w:rsidRDefault="00957208"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731BDE47" w14:textId="0BCAFDEE" w:rsidR="00FD1AAA" w:rsidRDefault="00FD1AAA"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FD1AAA">
        <w:rPr>
          <w:sz w:val="24"/>
        </w:rPr>
        <w:t xml:space="preserve">We also estimate an annual state burden of 1 hr to conduct the additional annual review of the outcomes and trended results for each of the 552 MCOs, PIHPs, and PAHPs (335 MCOs, 176 PIHPs, 41 PAHPs).  In aggregate, we estimate </w:t>
      </w:r>
      <w:r w:rsidRPr="00655C01">
        <w:rPr>
          <w:b/>
          <w:sz w:val="24"/>
        </w:rPr>
        <w:t>552 hr</w:t>
      </w:r>
      <w:r w:rsidRPr="00FD1AAA">
        <w:rPr>
          <w:sz w:val="24"/>
        </w:rPr>
        <w:t xml:space="preserve"> (552 MCOs, PIHPs, and PAHPs x 1 hr) and </w:t>
      </w:r>
      <w:r w:rsidRPr="00655C01">
        <w:rPr>
          <w:b/>
          <w:sz w:val="24"/>
        </w:rPr>
        <w:t>$35,581.92</w:t>
      </w:r>
      <w:r w:rsidRPr="00FD1AAA">
        <w:rPr>
          <w:sz w:val="24"/>
        </w:rPr>
        <w:t xml:space="preserve"> (552 hr x $64.46/hr)</w:t>
      </w:r>
      <w:r w:rsidR="00537656">
        <w:rPr>
          <w:sz w:val="24"/>
        </w:rPr>
        <w:t xml:space="preserve"> </w:t>
      </w:r>
      <w:r w:rsidR="00537656" w:rsidRPr="00EF6F26">
        <w:rPr>
          <w:sz w:val="24"/>
        </w:rPr>
        <w:t>(Estimate 12.</w:t>
      </w:r>
      <w:r w:rsidR="00537656">
        <w:rPr>
          <w:sz w:val="24"/>
        </w:rPr>
        <w:t>14</w:t>
      </w:r>
      <w:r w:rsidR="00537656" w:rsidRPr="00EF6F26">
        <w:rPr>
          <w:sz w:val="24"/>
        </w:rPr>
        <w:t>)</w:t>
      </w:r>
      <w:r w:rsidRPr="00FD1AAA">
        <w:rPr>
          <w:sz w:val="24"/>
        </w:rPr>
        <w:t>.</w:t>
      </w:r>
    </w:p>
    <w:p w14:paraId="0616F512" w14:textId="77777777" w:rsidR="007F66D4" w:rsidRPr="00FD1AAA" w:rsidRDefault="007F66D4"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0E340833" w14:textId="45BFC58F" w:rsidR="00F852B0" w:rsidRDefault="00FD1AAA"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FD1AAA">
        <w:rPr>
          <w:sz w:val="24"/>
        </w:rPr>
        <w:t xml:space="preserve">Section 438.330(e)(1)(iii) is a new program component, related to §438.330(b)(5), which will require a state (in its annual review) to assess the results of any efforts to support state goals to promote community integration of beneficiaries using LTSS in place at the MCO, PIHP, or PAHP.  We estimate that the 16 states with MLTSS plans will need to modify their policies and procedures regarding the annual review of quality assessment and performance improvement programs in their managed care entities.  We estimate a one-time state burden of 0.5 hr at $64.46/hr for a business operations specialist to modify the state’s policies and procedures.  </w:t>
      </w:r>
      <w:r w:rsidRPr="009F1F4C">
        <w:rPr>
          <w:sz w:val="24"/>
        </w:rPr>
        <w:t>In aggregate, we estimate 8 hr (16 states x 0.5 hr) and $515.68 (8 hr x $64.46/hr), annualize</w:t>
      </w:r>
      <w:r w:rsidRPr="00FD1AAA">
        <w:rPr>
          <w:sz w:val="24"/>
        </w:rPr>
        <w:t xml:space="preserve">d to </w:t>
      </w:r>
      <w:r w:rsidRPr="00655C01">
        <w:rPr>
          <w:b/>
          <w:sz w:val="24"/>
        </w:rPr>
        <w:t>2.7</w:t>
      </w:r>
      <w:r w:rsidRPr="00FD1AAA">
        <w:rPr>
          <w:sz w:val="24"/>
        </w:rPr>
        <w:t xml:space="preserve"> hr and </w:t>
      </w:r>
      <w:r w:rsidRPr="00655C01">
        <w:rPr>
          <w:b/>
          <w:sz w:val="24"/>
        </w:rPr>
        <w:t>$171.89</w:t>
      </w:r>
      <w:r w:rsidR="009F1F4C">
        <w:rPr>
          <w:b/>
          <w:sz w:val="24"/>
        </w:rPr>
        <w:t xml:space="preserve"> </w:t>
      </w:r>
      <w:r w:rsidR="009F1F4C" w:rsidRPr="00EF6F26">
        <w:rPr>
          <w:sz w:val="24"/>
        </w:rPr>
        <w:t>(Estimate 12.</w:t>
      </w:r>
      <w:r w:rsidR="009F1F4C">
        <w:rPr>
          <w:sz w:val="24"/>
        </w:rPr>
        <w:t>15</w:t>
      </w:r>
      <w:r w:rsidR="009F1F4C" w:rsidRPr="00EF6F26">
        <w:rPr>
          <w:sz w:val="24"/>
        </w:rPr>
        <w:t>)</w:t>
      </w:r>
      <w:r w:rsidRPr="00FD1AAA">
        <w:rPr>
          <w:sz w:val="24"/>
        </w:rPr>
        <w:t xml:space="preserve">.  </w:t>
      </w:r>
      <w:r w:rsidR="00F852B0" w:rsidRPr="00FD1AAA">
        <w:rPr>
          <w:sz w:val="24"/>
        </w:rPr>
        <w:t xml:space="preserve">We are </w:t>
      </w:r>
      <w:r w:rsidR="00F8771A">
        <w:rPr>
          <w:sz w:val="24"/>
        </w:rPr>
        <w:t>annualizing the one-time burden</w:t>
      </w:r>
      <w:r w:rsidR="00F852B0" w:rsidRPr="00FD1AAA">
        <w:rPr>
          <w:sz w:val="24"/>
        </w:rPr>
        <w:t xml:space="preserve"> since we do not anticipate any additional burden after the 3-year approval period expires.</w:t>
      </w:r>
    </w:p>
    <w:p w14:paraId="7DC7C91A" w14:textId="77777777" w:rsidR="00F852B0" w:rsidRDefault="00F852B0"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5CAED8DB" w14:textId="4499F259" w:rsidR="007F66D4" w:rsidRDefault="00FD1AAA"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E171D6">
        <w:rPr>
          <w:sz w:val="24"/>
        </w:rPr>
        <w:t xml:space="preserve">We also estimate an annual burden of 1 hr for the assessment of rebalancing efforts of each of the </w:t>
      </w:r>
      <w:r w:rsidR="00C7523D" w:rsidRPr="00E171D6">
        <w:rPr>
          <w:sz w:val="24"/>
        </w:rPr>
        <w:t>179</w:t>
      </w:r>
      <w:r w:rsidRPr="00E171D6">
        <w:rPr>
          <w:sz w:val="24"/>
        </w:rPr>
        <w:t xml:space="preserve"> MLTSS plans.  In aggregate, we estimate </w:t>
      </w:r>
      <w:r w:rsidRPr="00E171D6">
        <w:rPr>
          <w:b/>
          <w:sz w:val="24"/>
        </w:rPr>
        <w:t>179 hr</w:t>
      </w:r>
      <w:r w:rsidRPr="00E171D6">
        <w:rPr>
          <w:sz w:val="24"/>
        </w:rPr>
        <w:t xml:space="preserve"> (179 MLTSS plans x 1 hr) and </w:t>
      </w:r>
      <w:r w:rsidRPr="00E171D6">
        <w:rPr>
          <w:b/>
          <w:sz w:val="24"/>
        </w:rPr>
        <w:t>$11,538.34</w:t>
      </w:r>
      <w:r w:rsidRPr="00E171D6">
        <w:rPr>
          <w:sz w:val="24"/>
        </w:rPr>
        <w:t xml:space="preserve"> (179 hr x $64.46/hr) for the assessment</w:t>
      </w:r>
      <w:r w:rsidR="009F1F4C" w:rsidRPr="00E171D6">
        <w:rPr>
          <w:sz w:val="24"/>
        </w:rPr>
        <w:t xml:space="preserve"> (Estimate 12.16)</w:t>
      </w:r>
      <w:r w:rsidRPr="00E171D6">
        <w:rPr>
          <w:sz w:val="24"/>
        </w:rPr>
        <w:t>.</w:t>
      </w:r>
    </w:p>
    <w:p w14:paraId="15A108D4" w14:textId="77777777" w:rsidR="007F66D4" w:rsidRDefault="007F66D4"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5DDC7013" w14:textId="77777777" w:rsidR="007F66D4" w:rsidRPr="007F66D4" w:rsidRDefault="00655C01"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eastAsia="Calibri"/>
          <w:sz w:val="24"/>
        </w:rPr>
      </w:pPr>
      <w:r>
        <w:rPr>
          <w:rFonts w:eastAsia="Calibri"/>
          <w:sz w:val="24"/>
          <w:u w:val="single"/>
        </w:rPr>
        <w:t xml:space="preserve">438.332 </w:t>
      </w:r>
      <w:r w:rsidRPr="00655C01">
        <w:rPr>
          <w:rFonts w:eastAsia="Calibri"/>
          <w:sz w:val="24"/>
          <w:u w:val="single"/>
        </w:rPr>
        <w:t>State Review of the Accreditation Status of MCOs, PIHPs, and PAHPs</w:t>
      </w:r>
    </w:p>
    <w:p w14:paraId="00AECE8D" w14:textId="77777777" w:rsidR="00523DFC" w:rsidRDefault="00523DFC"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eastAsia="Calibri"/>
          <w:sz w:val="24"/>
        </w:rPr>
      </w:pPr>
    </w:p>
    <w:p w14:paraId="319CFCF9" w14:textId="4B3E001A" w:rsidR="00655C01" w:rsidRDefault="00655C01"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eastAsia="Calibri"/>
          <w:sz w:val="24"/>
        </w:rPr>
      </w:pPr>
      <w:r w:rsidRPr="00655C01">
        <w:rPr>
          <w:rFonts w:eastAsia="Calibri"/>
          <w:sz w:val="24"/>
        </w:rPr>
        <w:t xml:space="preserve">Under §438.332(a), states must confirm the accreditation status of contracted MCOs, PIHPs, and PAHPs once a year.  We estimate an annual state burden of 0.25 hr at $64.46/hr for a business operations specialist to review the accreditation status of each of the estimated 552 MCOs, PIHPs, and PAHPs.  In aggregate, we estimate an annual burden of </w:t>
      </w:r>
      <w:r w:rsidRPr="007F66D4">
        <w:rPr>
          <w:rFonts w:eastAsia="Calibri"/>
          <w:b/>
          <w:sz w:val="24"/>
        </w:rPr>
        <w:t xml:space="preserve">138 hr </w:t>
      </w:r>
      <w:r w:rsidRPr="00655C01">
        <w:rPr>
          <w:rFonts w:eastAsia="Calibri"/>
          <w:sz w:val="24"/>
        </w:rPr>
        <w:t xml:space="preserve">(0.25 hr x 552 MCOs, PIHPs, and PAHPs) and </w:t>
      </w:r>
      <w:r w:rsidRPr="007F66D4">
        <w:rPr>
          <w:rFonts w:eastAsia="Calibri"/>
          <w:b/>
          <w:sz w:val="24"/>
        </w:rPr>
        <w:t>$8,895.48</w:t>
      </w:r>
      <w:r w:rsidRPr="00655C01">
        <w:rPr>
          <w:rFonts w:eastAsia="Calibri"/>
          <w:sz w:val="24"/>
        </w:rPr>
        <w:t xml:space="preserve"> (138 hr x $64.46/hr)</w:t>
      </w:r>
      <w:r w:rsidR="00837BF4">
        <w:rPr>
          <w:rFonts w:eastAsia="Calibri"/>
          <w:sz w:val="24"/>
        </w:rPr>
        <w:t xml:space="preserve"> </w:t>
      </w:r>
      <w:r w:rsidR="00837BF4" w:rsidRPr="00EF6F26">
        <w:rPr>
          <w:sz w:val="24"/>
        </w:rPr>
        <w:t>(Estimate 12.</w:t>
      </w:r>
      <w:r w:rsidR="00837BF4">
        <w:rPr>
          <w:sz w:val="24"/>
        </w:rPr>
        <w:t>17</w:t>
      </w:r>
      <w:r w:rsidR="00837BF4" w:rsidRPr="00EF6F26">
        <w:rPr>
          <w:sz w:val="24"/>
        </w:rPr>
        <w:t>)</w:t>
      </w:r>
      <w:r w:rsidRPr="00655C01">
        <w:rPr>
          <w:rFonts w:eastAsia="Calibri"/>
          <w:sz w:val="24"/>
        </w:rPr>
        <w:t>.</w:t>
      </w:r>
    </w:p>
    <w:p w14:paraId="2169A082" w14:textId="77777777" w:rsidR="007F66D4" w:rsidRPr="00655C01" w:rsidRDefault="007F66D4"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eastAsia="Calibri"/>
          <w:sz w:val="24"/>
        </w:rPr>
      </w:pPr>
    </w:p>
    <w:p w14:paraId="6EA1B41F" w14:textId="023865BE" w:rsidR="00655C01" w:rsidRDefault="00655C01"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eastAsia="Calibri"/>
          <w:b/>
          <w:sz w:val="24"/>
        </w:rPr>
      </w:pPr>
      <w:r w:rsidRPr="00655C01">
        <w:rPr>
          <w:rFonts w:eastAsia="Calibri"/>
          <w:sz w:val="24"/>
        </w:rPr>
        <w:t xml:space="preserve">Section 438.332(b) describes the information MCOs, PIHPs, and PAHPs must authorize the private accrediting entity to release to the state regarding the plan’s accreditation status.  We believe that states will need to amend their MCO, PIHP, and PAHP contracts to reflect this requirement, and estimate a one-time burden of 0.25 hr per contract amendment.  In aggregate, we estimate a one-time burden of </w:t>
      </w:r>
      <w:r w:rsidRPr="007F66D4">
        <w:rPr>
          <w:rFonts w:eastAsia="Calibri"/>
          <w:b/>
          <w:sz w:val="24"/>
        </w:rPr>
        <w:t>138 hr</w:t>
      </w:r>
      <w:r w:rsidRPr="00655C01">
        <w:rPr>
          <w:rFonts w:eastAsia="Calibri"/>
          <w:sz w:val="24"/>
        </w:rPr>
        <w:t xml:space="preserve"> (0.25 hr x 552 MCOs, PIHPs, and PAHPs) and </w:t>
      </w:r>
      <w:r w:rsidRPr="007F66D4">
        <w:rPr>
          <w:rFonts w:eastAsia="Calibri"/>
          <w:b/>
          <w:sz w:val="24"/>
        </w:rPr>
        <w:t>$8,895.48</w:t>
      </w:r>
      <w:r w:rsidRPr="00655C01">
        <w:rPr>
          <w:rFonts w:eastAsia="Calibri"/>
          <w:sz w:val="24"/>
        </w:rPr>
        <w:t xml:space="preserve"> (138 hr x $64.46/hr), annualized to </w:t>
      </w:r>
      <w:r w:rsidRPr="007F66D4">
        <w:rPr>
          <w:rFonts w:eastAsia="Calibri"/>
          <w:b/>
          <w:sz w:val="24"/>
        </w:rPr>
        <w:t>46 hr</w:t>
      </w:r>
      <w:r w:rsidRPr="00655C01">
        <w:rPr>
          <w:rFonts w:eastAsia="Calibri"/>
          <w:sz w:val="24"/>
        </w:rPr>
        <w:t xml:space="preserve"> and </w:t>
      </w:r>
      <w:r w:rsidRPr="007F66D4">
        <w:rPr>
          <w:rFonts w:eastAsia="Calibri"/>
          <w:b/>
          <w:sz w:val="24"/>
        </w:rPr>
        <w:t>$2,965.16</w:t>
      </w:r>
      <w:r w:rsidR="00837BF4">
        <w:rPr>
          <w:rFonts w:eastAsia="Calibri"/>
          <w:b/>
          <w:sz w:val="24"/>
        </w:rPr>
        <w:t xml:space="preserve"> </w:t>
      </w:r>
      <w:r w:rsidR="00837BF4" w:rsidRPr="00EF6F26">
        <w:rPr>
          <w:sz w:val="24"/>
        </w:rPr>
        <w:t>(Estimate 12.</w:t>
      </w:r>
      <w:r w:rsidR="00837BF4">
        <w:rPr>
          <w:sz w:val="24"/>
        </w:rPr>
        <w:t>18</w:t>
      </w:r>
      <w:r w:rsidR="00837BF4" w:rsidRPr="00EF6F26">
        <w:rPr>
          <w:sz w:val="24"/>
        </w:rPr>
        <w:t>)</w:t>
      </w:r>
      <w:r w:rsidRPr="00566F59">
        <w:rPr>
          <w:rFonts w:eastAsia="Calibri"/>
          <w:sz w:val="24"/>
        </w:rPr>
        <w:t>.</w:t>
      </w:r>
      <w:r w:rsidR="00A4633B">
        <w:rPr>
          <w:rFonts w:eastAsia="Calibri"/>
          <w:sz w:val="24"/>
        </w:rPr>
        <w:t xml:space="preserve">  </w:t>
      </w:r>
      <w:r w:rsidR="00A4633B" w:rsidRPr="00655C01">
        <w:rPr>
          <w:rFonts w:eastAsia="Calibri"/>
          <w:sz w:val="24"/>
        </w:rPr>
        <w:t>We are annualizing the one-time development since we do not anticipate any additional burden after the 3-year approval period expires.</w:t>
      </w:r>
    </w:p>
    <w:p w14:paraId="77636737" w14:textId="77777777" w:rsidR="007F66D4" w:rsidRPr="00655C01" w:rsidRDefault="007F66D4"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eastAsia="Calibri"/>
          <w:sz w:val="24"/>
        </w:rPr>
      </w:pPr>
    </w:p>
    <w:p w14:paraId="6C5B855F" w14:textId="39708719" w:rsidR="000B763E" w:rsidRDefault="00655C01"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eastAsia="Calibri"/>
          <w:sz w:val="24"/>
        </w:rPr>
      </w:pPr>
      <w:r w:rsidRPr="00655C01">
        <w:rPr>
          <w:rFonts w:eastAsia="Calibri"/>
          <w:sz w:val="24"/>
        </w:rPr>
        <w:t>Under §438.332(c), states will document the accreditation status of each contracted MCO, PIHP, and PAHP on the state’s website, and will update this information at least annually.  The burden is included in §438.10.</w:t>
      </w:r>
    </w:p>
    <w:p w14:paraId="74088274" w14:textId="77777777" w:rsidR="00843CD0" w:rsidRDefault="00843CD0"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eastAsia="Calibri"/>
          <w:sz w:val="24"/>
          <w:u w:val="single"/>
        </w:rPr>
      </w:pPr>
    </w:p>
    <w:p w14:paraId="2CFB9F21" w14:textId="04033EC2" w:rsidR="00523DFC" w:rsidRDefault="007F66D4"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eastAsia="Calibri"/>
          <w:sz w:val="24"/>
          <w:u w:val="single"/>
        </w:rPr>
      </w:pPr>
      <w:r>
        <w:rPr>
          <w:rFonts w:eastAsia="Calibri"/>
          <w:sz w:val="24"/>
          <w:u w:val="single"/>
        </w:rPr>
        <w:t>438.334 Medicaid Managed Care Quality Rating System</w:t>
      </w:r>
    </w:p>
    <w:p w14:paraId="46E7042B" w14:textId="77777777" w:rsidR="00523DFC" w:rsidRDefault="00523DFC"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eastAsia="Calibri"/>
          <w:sz w:val="24"/>
          <w:u w:val="single"/>
        </w:rPr>
      </w:pPr>
    </w:p>
    <w:p w14:paraId="7C7961B2" w14:textId="0B8B4C7B" w:rsidR="007F66D4" w:rsidRDefault="007F66D4"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eastAsia="Calibri"/>
          <w:sz w:val="24"/>
        </w:rPr>
      </w:pPr>
      <w:r w:rsidRPr="007F66D4">
        <w:rPr>
          <w:rFonts w:eastAsia="Calibri"/>
          <w:sz w:val="24"/>
        </w:rPr>
        <w:t xml:space="preserve">Section 438.334(a) requires each state that contracts with an MCO, PIHP or PAHP to adopt a Medicaid managed care quality rating system to generate plan ratings annually.  States must either adopt the quality rating system developed by CMS in accordance with §438.334(b) or an alternative Medicaid managed care quality rating system in accordance with §438.334(c).  We assume each state will create a single Medicaid managed care quality rating system for all </w:t>
      </w:r>
      <w:r w:rsidRPr="007F66D4">
        <w:rPr>
          <w:rFonts w:eastAsia="Calibri"/>
          <w:sz w:val="24"/>
        </w:rPr>
        <w:lastRenderedPageBreak/>
        <w:t>of the state’s contracted MCOs, PIHPs, and PAHPs.  We are aware of 8 states that currently operate a quality rating system or quality report card for the state’s Medicaid managed care program; we assume that these states may want to continue to use their existing system given the investments already made in these systems.  We also assume that a couple of states may determine that a state-specific approach is most suitable for them.  Therefore, we estimate that of the 40 states that contract with MCOs, PIHPs, and PAHPs, 30 states will elect to adopt the Medicaid managed care quality rating system developed by CMS in accordance with §438.334(b), while the reminder (10 states) will elect to utilize an alternative Medicaid managed care quality rating system in accordance with §438.334(c).  We further estimate that 75 percent (414) of MCOs, PIHPs, and PAHPs operate in these 30 states.  We assume that, given the robust public engagement process CMS will use to develop the MMC QRS in accordance with §438.334(b), states electing to adopt the CMS-developed MMC QRS will not need to conduct additional public engagement and will require less time to develop their MMC QRS as compared to states which elect to adopt an alternative MMC QRS consistent with §438.334(c).</w:t>
      </w:r>
    </w:p>
    <w:p w14:paraId="3EB3C4DF" w14:textId="77777777" w:rsidR="006C46E5" w:rsidRPr="007F66D4" w:rsidRDefault="006C46E5"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eastAsia="Calibri"/>
          <w:sz w:val="24"/>
        </w:rPr>
      </w:pPr>
    </w:p>
    <w:p w14:paraId="57A5F2A2" w14:textId="1A1D63ED" w:rsidR="007F66D4" w:rsidRDefault="007F66D4"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eastAsia="Calibri"/>
          <w:sz w:val="24"/>
        </w:rPr>
      </w:pPr>
      <w:r w:rsidRPr="00D745A0">
        <w:rPr>
          <w:rFonts w:eastAsia="Calibri"/>
          <w:sz w:val="24"/>
        </w:rPr>
        <w:t xml:space="preserve">Therefore, for states adopting the CMS-developed MMC QRS under §438.334(b), we estimate the state burden for the development and implementation of the MMC QRS as 200 hr at $64.46/hr for a business operations specialist, 100 hr at $78.32/hr for a computer programmer, and 30 hr at $140.80/hr for a general and operations manager.  In aggregate, we estimate a one-time state burden of </w:t>
      </w:r>
      <w:r w:rsidRPr="00D745A0">
        <w:rPr>
          <w:rFonts w:eastAsia="Calibri"/>
          <w:b/>
          <w:sz w:val="24"/>
        </w:rPr>
        <w:t>9,900 hr</w:t>
      </w:r>
      <w:r w:rsidRPr="00D745A0">
        <w:rPr>
          <w:rFonts w:eastAsia="Calibri"/>
          <w:sz w:val="24"/>
        </w:rPr>
        <w:t xml:space="preserve"> (30 states x 330 hr) and </w:t>
      </w:r>
      <w:r w:rsidRPr="00D745A0">
        <w:rPr>
          <w:rFonts w:eastAsia="Calibri"/>
          <w:b/>
          <w:sz w:val="24"/>
        </w:rPr>
        <w:t>$748,440</w:t>
      </w:r>
      <w:r w:rsidRPr="00D745A0">
        <w:rPr>
          <w:rFonts w:eastAsia="Calibri"/>
          <w:sz w:val="24"/>
        </w:rPr>
        <w:t xml:space="preserve"> [30 states x ((200 hr x $64.46/hr) + (100 hr x $78.32/hr) + (30 hr x $140.80/hr)], annualized to </w:t>
      </w:r>
      <w:r w:rsidRPr="00D745A0">
        <w:rPr>
          <w:rFonts w:eastAsia="Calibri"/>
          <w:b/>
          <w:sz w:val="24"/>
        </w:rPr>
        <w:t>3,300 hr</w:t>
      </w:r>
      <w:r w:rsidRPr="00D745A0">
        <w:rPr>
          <w:rFonts w:eastAsia="Calibri"/>
          <w:sz w:val="24"/>
        </w:rPr>
        <w:t xml:space="preserve"> and </w:t>
      </w:r>
      <w:r w:rsidRPr="00D745A0">
        <w:rPr>
          <w:rFonts w:eastAsia="Calibri"/>
          <w:b/>
          <w:sz w:val="24"/>
        </w:rPr>
        <w:t>$249,480</w:t>
      </w:r>
      <w:r w:rsidRPr="00D745A0">
        <w:rPr>
          <w:rFonts w:eastAsia="Calibri"/>
          <w:sz w:val="24"/>
        </w:rPr>
        <w:t>, for the development of states’ Medicaid managed care quality rating system consistent with 438.334(b)</w:t>
      </w:r>
      <w:r w:rsidR="00837BF4" w:rsidRPr="00D745A0">
        <w:rPr>
          <w:rFonts w:eastAsia="Calibri"/>
          <w:sz w:val="24"/>
        </w:rPr>
        <w:t xml:space="preserve"> </w:t>
      </w:r>
      <w:r w:rsidR="00837BF4" w:rsidRPr="00D745A0">
        <w:rPr>
          <w:sz w:val="24"/>
        </w:rPr>
        <w:t>(Estimate 12.19)</w:t>
      </w:r>
      <w:r w:rsidRPr="00D745A0">
        <w:rPr>
          <w:rFonts w:eastAsia="Calibri"/>
          <w:sz w:val="24"/>
        </w:rPr>
        <w:t xml:space="preserve">.  </w:t>
      </w:r>
      <w:r w:rsidR="005348CB" w:rsidRPr="00D745A0">
        <w:rPr>
          <w:rFonts w:eastAsia="Calibri"/>
          <w:sz w:val="24"/>
        </w:rPr>
        <w:t xml:space="preserve">We are </w:t>
      </w:r>
      <w:r w:rsidR="00F8771A" w:rsidRPr="00D745A0">
        <w:rPr>
          <w:rFonts w:eastAsia="Calibri"/>
          <w:sz w:val="24"/>
        </w:rPr>
        <w:t>annualizing the one-time burden</w:t>
      </w:r>
      <w:r w:rsidR="005348CB" w:rsidRPr="00D745A0">
        <w:rPr>
          <w:rFonts w:eastAsia="Calibri"/>
          <w:sz w:val="24"/>
        </w:rPr>
        <w:t xml:space="preserve"> since we do not anticipate any additional burden after the 3-year approval period expires.</w:t>
      </w:r>
    </w:p>
    <w:p w14:paraId="11946213" w14:textId="77777777" w:rsidR="006C46E5" w:rsidRPr="007F66D4" w:rsidRDefault="006C46E5"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eastAsia="Calibri"/>
          <w:sz w:val="24"/>
        </w:rPr>
      </w:pPr>
    </w:p>
    <w:p w14:paraId="145A0C31" w14:textId="48775834" w:rsidR="007F66D4" w:rsidRDefault="007F66D4"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eastAsia="Calibri"/>
          <w:sz w:val="24"/>
        </w:rPr>
      </w:pPr>
      <w:r w:rsidRPr="007F66D4">
        <w:rPr>
          <w:rFonts w:eastAsia="Calibri"/>
          <w:sz w:val="24"/>
        </w:rPr>
        <w:t xml:space="preserve">The burden is more variable for states seeking CMS approval for the adoption of an alternative MMC QRS per §438.334(c).  A state may submit an existing MMC QRS, may submit a modified version of an existing MMC QRS, or may develop a new MMC QRS.  We assume that the burden for each of these options will vary by state and will be lowest for states that submit an existing MMC QRS for CMS approval and highest for states that develop a new MMC QRS.  For the purposes of this estimate, we assume a standard burden across all states for the development of an alternative MMC QRS.  We believe that the average alternative MMC QRS burden will exceed the burden to adopt the CMS-developed MMC QRS, and will require public engagement by the state.  Therefore, we estimate the average state burden for the development and implementation of an alternative MMC QRS as 800 hr at $64.46/hr for a business operations specialist, 400 hr at $78.32/hr for a computer programmer, and 120 hr at $140.80/hr for a general and operations manager.  We estimate an additional 20 hr at $36.54/hr for an office and administrative support worker for the public engagement process and an additional 50 hr at $64.46/hr for a business operations specialist to review and incorporate public feedback.  In aggregate, we estimate a one-time state burden of </w:t>
      </w:r>
      <w:r w:rsidRPr="006C46E5">
        <w:rPr>
          <w:rFonts w:eastAsia="Calibri"/>
          <w:b/>
          <w:sz w:val="24"/>
        </w:rPr>
        <w:t>13,900 hr</w:t>
      </w:r>
      <w:r w:rsidRPr="007F66D4">
        <w:rPr>
          <w:rFonts w:eastAsia="Calibri"/>
          <w:sz w:val="24"/>
        </w:rPr>
        <w:t xml:space="preserve"> (10 states x 1,390 hr) and </w:t>
      </w:r>
      <w:r w:rsidRPr="006C46E5">
        <w:rPr>
          <w:rFonts w:eastAsia="Calibri"/>
          <w:b/>
          <w:sz w:val="24"/>
        </w:rPr>
        <w:t>$1,037,458</w:t>
      </w:r>
      <w:r w:rsidRPr="007F66D4">
        <w:rPr>
          <w:rFonts w:eastAsia="Calibri"/>
          <w:sz w:val="24"/>
        </w:rPr>
        <w:t xml:space="preserve"> [10 states x ((800 hr x $64.46/hr) + (400 hr x $78.32/hr) + (120 hr x $140.80/hr) + (20 hr x $36.54/hr) + (50 hr x $64.46/hr))], annualized to </w:t>
      </w:r>
      <w:r w:rsidRPr="006C46E5">
        <w:rPr>
          <w:rFonts w:eastAsia="Calibri"/>
          <w:b/>
          <w:sz w:val="24"/>
        </w:rPr>
        <w:t>4,633.3 hr</w:t>
      </w:r>
      <w:r w:rsidRPr="007F66D4">
        <w:rPr>
          <w:rFonts w:eastAsia="Calibri"/>
          <w:sz w:val="24"/>
        </w:rPr>
        <w:t xml:space="preserve"> and </w:t>
      </w:r>
      <w:r w:rsidRPr="006C46E5">
        <w:rPr>
          <w:rFonts w:eastAsia="Calibri"/>
          <w:b/>
          <w:sz w:val="24"/>
        </w:rPr>
        <w:t>$345,819.33</w:t>
      </w:r>
      <w:r w:rsidRPr="007F66D4">
        <w:rPr>
          <w:rFonts w:eastAsia="Calibri"/>
          <w:sz w:val="24"/>
        </w:rPr>
        <w:t xml:space="preserve">, for the development of states’ alternative Medicaid managed </w:t>
      </w:r>
      <w:r w:rsidRPr="007F66D4">
        <w:rPr>
          <w:rFonts w:eastAsia="Calibri"/>
          <w:sz w:val="24"/>
        </w:rPr>
        <w:lastRenderedPageBreak/>
        <w:t>care quality rating system consistent with §438.334(c)</w:t>
      </w:r>
      <w:r w:rsidR="00566F59">
        <w:rPr>
          <w:rFonts w:eastAsia="Calibri"/>
          <w:sz w:val="24"/>
        </w:rPr>
        <w:t xml:space="preserve"> </w:t>
      </w:r>
      <w:r w:rsidR="00566F59" w:rsidRPr="00EF6F26">
        <w:rPr>
          <w:sz w:val="24"/>
        </w:rPr>
        <w:t>(Estimate 12.</w:t>
      </w:r>
      <w:r w:rsidR="00566F59">
        <w:rPr>
          <w:sz w:val="24"/>
        </w:rPr>
        <w:t>20</w:t>
      </w:r>
      <w:r w:rsidR="00566F59" w:rsidRPr="00EF6F26">
        <w:rPr>
          <w:sz w:val="24"/>
        </w:rPr>
        <w:t>)</w:t>
      </w:r>
      <w:r w:rsidRPr="007F66D4">
        <w:rPr>
          <w:rFonts w:eastAsia="Calibri"/>
          <w:sz w:val="24"/>
        </w:rPr>
        <w:t>.</w:t>
      </w:r>
      <w:r w:rsidR="00F8771A">
        <w:rPr>
          <w:rFonts w:eastAsia="Calibri"/>
          <w:sz w:val="24"/>
        </w:rPr>
        <w:t xml:space="preserve"> </w:t>
      </w:r>
      <w:r w:rsidR="00F8771A" w:rsidRPr="007F66D4">
        <w:rPr>
          <w:rFonts w:eastAsia="Calibri"/>
          <w:sz w:val="24"/>
        </w:rPr>
        <w:t>We are annualizing the one-time development since we do not anticipate any additional burden after the 3-year approval period expires.</w:t>
      </w:r>
    </w:p>
    <w:p w14:paraId="5C3F8DD9" w14:textId="77777777" w:rsidR="00E73802" w:rsidRPr="007F66D4" w:rsidRDefault="00E73802"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eastAsia="Calibri"/>
          <w:sz w:val="24"/>
        </w:rPr>
      </w:pPr>
    </w:p>
    <w:p w14:paraId="5D927762" w14:textId="0975460B" w:rsidR="007F66D4" w:rsidRDefault="007F66D4"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eastAsia="Calibri"/>
          <w:sz w:val="24"/>
        </w:rPr>
      </w:pPr>
      <w:r w:rsidRPr="007F66D4">
        <w:rPr>
          <w:rFonts w:eastAsia="Calibri"/>
          <w:sz w:val="24"/>
        </w:rPr>
        <w:t xml:space="preserve">To elect the option under §438.334(c) to use an alternative MMC QRS, a state will submit a request to CMS and must receive written CMS approval.  We estimate a one-time state burden of 20 hr at $64.46/hr for a business operations specialist to seek and receive approval from CMS for the state’s Medicaid managed care alternative quality rating system.  </w:t>
      </w:r>
      <w:r w:rsidRPr="005641F8">
        <w:rPr>
          <w:rFonts w:eastAsia="Calibri"/>
          <w:sz w:val="24"/>
        </w:rPr>
        <w:t>In aggregate, we estimate 200 hr (10 states x 20 hr) and $12,892 (200 hr x $64.46/hr),</w:t>
      </w:r>
      <w:r w:rsidRPr="007F66D4">
        <w:rPr>
          <w:rFonts w:eastAsia="Calibri"/>
          <w:sz w:val="24"/>
        </w:rPr>
        <w:t xml:space="preserve"> annualized to </w:t>
      </w:r>
      <w:r w:rsidRPr="006C46E5">
        <w:rPr>
          <w:rFonts w:eastAsia="Calibri"/>
          <w:b/>
          <w:sz w:val="24"/>
        </w:rPr>
        <w:t>66.7 hr</w:t>
      </w:r>
      <w:r w:rsidRPr="007F66D4">
        <w:rPr>
          <w:rFonts w:eastAsia="Calibri"/>
          <w:sz w:val="24"/>
        </w:rPr>
        <w:t xml:space="preserve"> and </w:t>
      </w:r>
      <w:r w:rsidRPr="006C46E5">
        <w:rPr>
          <w:rFonts w:eastAsia="Calibri"/>
          <w:b/>
          <w:sz w:val="24"/>
        </w:rPr>
        <w:t>$4,297.33</w:t>
      </w:r>
      <w:r w:rsidR="00E41C92">
        <w:rPr>
          <w:rFonts w:eastAsia="Calibri"/>
          <w:b/>
          <w:sz w:val="24"/>
        </w:rPr>
        <w:t xml:space="preserve"> </w:t>
      </w:r>
      <w:r w:rsidR="00E41C92" w:rsidRPr="00EF6F26">
        <w:rPr>
          <w:sz w:val="24"/>
        </w:rPr>
        <w:t>(Estimate 12.</w:t>
      </w:r>
      <w:r w:rsidR="00E41C92">
        <w:rPr>
          <w:sz w:val="24"/>
        </w:rPr>
        <w:t>21</w:t>
      </w:r>
      <w:r w:rsidR="00E41C92" w:rsidRPr="00EF6F26">
        <w:rPr>
          <w:sz w:val="24"/>
        </w:rPr>
        <w:t>)</w:t>
      </w:r>
      <w:r w:rsidRPr="007F66D4">
        <w:rPr>
          <w:rFonts w:eastAsia="Calibri"/>
          <w:sz w:val="24"/>
        </w:rPr>
        <w:t>.</w:t>
      </w:r>
      <w:r w:rsidR="00F8771A">
        <w:rPr>
          <w:rFonts w:eastAsia="Calibri"/>
          <w:sz w:val="24"/>
        </w:rPr>
        <w:t xml:space="preserve">  </w:t>
      </w:r>
      <w:r w:rsidR="00F8771A" w:rsidRPr="007F66D4">
        <w:rPr>
          <w:rFonts w:eastAsia="Calibri"/>
          <w:sz w:val="24"/>
        </w:rPr>
        <w:t>We are annualizing the one-time development since we do not anticipate any additional burden after the 3-year approval period expires.</w:t>
      </w:r>
    </w:p>
    <w:p w14:paraId="5E21C694" w14:textId="77777777" w:rsidR="006C46E5" w:rsidRPr="007F66D4" w:rsidRDefault="006C46E5"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eastAsia="Calibri"/>
          <w:sz w:val="24"/>
        </w:rPr>
      </w:pPr>
    </w:p>
    <w:p w14:paraId="56FAE4A9" w14:textId="4D87FB61" w:rsidR="007F66D4" w:rsidRDefault="007F66D4"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eastAsia="Calibri"/>
          <w:sz w:val="24"/>
        </w:rPr>
      </w:pPr>
      <w:r w:rsidRPr="007F66D4">
        <w:rPr>
          <w:rFonts w:eastAsia="Calibri"/>
          <w:sz w:val="24"/>
        </w:rPr>
        <w:t xml:space="preserve">Section 438.334(c)(3) outlines the process for a state to make changes to an approved alternative MMC QRS.  We estimate that it will require 5 hr at $36.54/hr for an office and administrative support worker and 25 hr at $64.46/hr for a business operations specialist to complete the public comment process, and an additional 5 hr at $64.46/hr from a business operations specialist to seek and receive approval from CMS for the change.  While we have no data to estimate how frequently a state may elect to alter an approved alternative MMC QRS, we estimate that CMS will revise the MMC QRS under §438.334(b) on average approximately once every three years.  We assume that states will revise their alternative QRS on a similar frequency (once every three years) to ensure that the alternative QRS continues to yield substantially comparable information regarding MCO, PIHP, and PAHP performance, and apply this assumption here.  Therefore, we estimate an aggregate annual burden of </w:t>
      </w:r>
      <w:r w:rsidRPr="006C46E5">
        <w:rPr>
          <w:rFonts w:eastAsia="Calibri"/>
          <w:b/>
          <w:sz w:val="24"/>
        </w:rPr>
        <w:t>116.7 hr</w:t>
      </w:r>
      <w:r w:rsidRPr="007F66D4">
        <w:rPr>
          <w:rFonts w:eastAsia="Calibri"/>
          <w:sz w:val="24"/>
        </w:rPr>
        <w:t xml:space="preserve"> [(10 states x 35 hr) / 3 years] and </w:t>
      </w:r>
      <w:r w:rsidRPr="006C46E5">
        <w:rPr>
          <w:rFonts w:eastAsia="Calibri"/>
          <w:b/>
          <w:sz w:val="24"/>
        </w:rPr>
        <w:t>$7,055</w:t>
      </w:r>
      <w:r w:rsidRPr="007F66D4">
        <w:rPr>
          <w:rFonts w:eastAsia="Calibri"/>
          <w:sz w:val="24"/>
        </w:rPr>
        <w:t xml:space="preserve"> [(10 states x ((5 hr x $36.54/hr) + (30 x $64.46/hr))) / 3 years]</w:t>
      </w:r>
      <w:r w:rsidR="009F2901">
        <w:rPr>
          <w:rFonts w:eastAsia="Calibri"/>
          <w:sz w:val="24"/>
        </w:rPr>
        <w:t xml:space="preserve"> </w:t>
      </w:r>
      <w:r w:rsidR="009F2901" w:rsidRPr="00EF6F26">
        <w:rPr>
          <w:sz w:val="24"/>
        </w:rPr>
        <w:t>(Estimate 12.</w:t>
      </w:r>
      <w:r w:rsidR="009F2901">
        <w:rPr>
          <w:sz w:val="24"/>
        </w:rPr>
        <w:t>22</w:t>
      </w:r>
      <w:r w:rsidR="009F2901" w:rsidRPr="00EF6F26">
        <w:rPr>
          <w:sz w:val="24"/>
        </w:rPr>
        <w:t>)</w:t>
      </w:r>
      <w:r w:rsidRPr="007F66D4">
        <w:rPr>
          <w:rFonts w:eastAsia="Calibri"/>
          <w:sz w:val="24"/>
        </w:rPr>
        <w:t>.</w:t>
      </w:r>
    </w:p>
    <w:p w14:paraId="50CC04AA" w14:textId="77777777" w:rsidR="006C46E5" w:rsidRPr="007F66D4" w:rsidRDefault="006C46E5"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eastAsia="Calibri"/>
          <w:sz w:val="24"/>
        </w:rPr>
      </w:pPr>
    </w:p>
    <w:p w14:paraId="7222FD1C" w14:textId="1E96F098" w:rsidR="007F66D4" w:rsidRDefault="007F66D4"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eastAsia="Calibri"/>
          <w:sz w:val="24"/>
        </w:rPr>
      </w:pPr>
      <w:r w:rsidRPr="007F66D4">
        <w:rPr>
          <w:rFonts w:eastAsia="Calibri"/>
          <w:sz w:val="24"/>
        </w:rPr>
        <w:t xml:space="preserve">Under §438.334(d), each state will collect information from its MCOs, PIHPs, and PAHPs to calculate and then issue a quality rating each year.  We expect that states will rely on information and data already provided to them by their MCOs, PIHPs, and PAHPs; therefore, we do not expect this data collection to pose an additional burden on the private sector.  However, each year states will rate each MCO, PIHP, or PAHP with which they contract.  We estimate 40 hr at $64.46/hr for a business operations specialist for a state to rate a MCO, PIHP, or PAHP.  We believe this burden will be similar for states regardless of if they adopt the CMS-developed MMC QRS consistent with §438.334(b) or the alternative MMC QRS consistent with §438.334(c).  In aggregate, we estimate an annual state burden of </w:t>
      </w:r>
      <w:r w:rsidRPr="006C46E5">
        <w:rPr>
          <w:rFonts w:eastAsia="Calibri"/>
          <w:b/>
          <w:sz w:val="24"/>
        </w:rPr>
        <w:t>22,080 hr</w:t>
      </w:r>
      <w:r w:rsidRPr="007F66D4">
        <w:rPr>
          <w:rFonts w:eastAsia="Calibri"/>
          <w:sz w:val="24"/>
        </w:rPr>
        <w:t xml:space="preserve"> (552 MCOs, PIHPs, and PAHPs x 40 hr) and </w:t>
      </w:r>
      <w:r w:rsidRPr="006C46E5">
        <w:rPr>
          <w:rFonts w:eastAsia="Calibri"/>
          <w:b/>
          <w:sz w:val="24"/>
        </w:rPr>
        <w:t>$1,423,276.80</w:t>
      </w:r>
      <w:r w:rsidRPr="007F66D4">
        <w:rPr>
          <w:rFonts w:eastAsia="Calibri"/>
          <w:sz w:val="24"/>
        </w:rPr>
        <w:t xml:space="preserve"> (22,080 hr x $64.46/hr)</w:t>
      </w:r>
      <w:r w:rsidR="005641F8">
        <w:rPr>
          <w:rFonts w:eastAsia="Calibri"/>
          <w:sz w:val="24"/>
        </w:rPr>
        <w:t xml:space="preserve"> </w:t>
      </w:r>
      <w:r w:rsidR="005641F8" w:rsidRPr="00EF6F26">
        <w:rPr>
          <w:sz w:val="24"/>
        </w:rPr>
        <w:t>(Estimate 12.</w:t>
      </w:r>
      <w:r w:rsidR="005641F8">
        <w:rPr>
          <w:sz w:val="24"/>
        </w:rPr>
        <w:t>23</w:t>
      </w:r>
      <w:r w:rsidR="005641F8" w:rsidRPr="00EF6F26">
        <w:rPr>
          <w:sz w:val="24"/>
        </w:rPr>
        <w:t>)</w:t>
      </w:r>
      <w:r w:rsidRPr="007F66D4">
        <w:rPr>
          <w:rFonts w:eastAsia="Calibri"/>
          <w:sz w:val="24"/>
        </w:rPr>
        <w:t>.</w:t>
      </w:r>
    </w:p>
    <w:p w14:paraId="3DDBD2FD" w14:textId="77777777" w:rsidR="006C46E5" w:rsidRPr="007F66D4" w:rsidRDefault="006C46E5"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eastAsia="Calibri"/>
          <w:sz w:val="24"/>
        </w:rPr>
      </w:pPr>
    </w:p>
    <w:p w14:paraId="6C5B8561" w14:textId="67BC4A3D" w:rsidR="000B763E" w:rsidRDefault="007F66D4"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eastAsia="Calibri"/>
          <w:sz w:val="24"/>
        </w:rPr>
      </w:pPr>
      <w:r w:rsidRPr="007F66D4">
        <w:rPr>
          <w:rFonts w:eastAsia="Calibri"/>
          <w:sz w:val="24"/>
        </w:rPr>
        <w:t>Section 438.334(e) requires states to prominently display quality rating information for plans on the state website described in §438.10.  The burden associated with this process is captured in §438.10.</w:t>
      </w:r>
    </w:p>
    <w:p w14:paraId="6866BF73" w14:textId="77777777" w:rsidR="009E35AE" w:rsidRDefault="009E35AE"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eastAsia="Calibri"/>
          <w:sz w:val="24"/>
        </w:rPr>
      </w:pPr>
    </w:p>
    <w:p w14:paraId="68BE7641" w14:textId="36E0A480" w:rsidR="009E35AE" w:rsidRDefault="009E35AE"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rFonts w:eastAsia="Calibri"/>
          <w:sz w:val="24"/>
          <w:u w:val="single"/>
        </w:rPr>
        <w:t xml:space="preserve">Section 438.340 </w:t>
      </w:r>
      <w:r w:rsidRPr="009E35AE">
        <w:rPr>
          <w:sz w:val="24"/>
          <w:u w:val="single"/>
        </w:rPr>
        <w:t>Managed Care State Quality Strategy</w:t>
      </w:r>
    </w:p>
    <w:p w14:paraId="3DA6F504" w14:textId="77777777" w:rsidR="00465F56" w:rsidRPr="00465F56" w:rsidRDefault="00465F56"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eastAsia="Calibri"/>
          <w:sz w:val="24"/>
        </w:rPr>
      </w:pPr>
    </w:p>
    <w:p w14:paraId="140F5FAB" w14:textId="7EC2BA65" w:rsidR="00465F56" w:rsidRDefault="00465F56"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eastAsia="Calibri"/>
          <w:sz w:val="24"/>
        </w:rPr>
      </w:pPr>
      <w:r w:rsidRPr="00465F56">
        <w:rPr>
          <w:rFonts w:eastAsia="Calibri"/>
          <w:sz w:val="24"/>
        </w:rPr>
        <w:t>Previous regulations at §438.204(b)(2) described a quality strategy element, specifically that states contracting with MCOs and/or PIHPs identify the race, ethnicity, and primary language spoken of each Medicaid enrollee, and report this information to MCOs and PIHPs upon enrollment into a plan.  While we had inadvertently proposed to delete this quality strategy element, under the final rule we are retaining this element and incorporating it into §438.340(b)(6), which requires states to include a plan to identify, evaluate, and reduce health disparities in the managed care quality strategy.  Therefore, under the final rule there is a burden on states to provide the identified demographic data (age, race, ethnicity, sex, primary language, and disability status) to MCOs, PIHPs, and PAHPs.  The burden associated with previous regulations at §438.204(b)(2) was estimated at 80 hr per state (for 15 states) to collect and report on the race, ethnicity, and primary language spoken, for an aggregate burden of 1</w:t>
      </w:r>
      <w:r w:rsidR="009E71EF">
        <w:rPr>
          <w:rFonts w:eastAsia="Calibri"/>
          <w:sz w:val="24"/>
        </w:rPr>
        <w:t>,</w:t>
      </w:r>
      <w:r w:rsidRPr="00465F56">
        <w:rPr>
          <w:rFonts w:eastAsia="Calibri"/>
          <w:sz w:val="24"/>
        </w:rPr>
        <w:t xml:space="preserve">200 hr (15 states x 80 hr) (note that the previous burden did not include an associated hourly wage).  We are replacing that burden with a new estimate to account for the additional demographic information which states must provide to MCOs, PIHPs, and PAHPs under §438.340(b)(6).  Assuming that the estimated 40 states that contract with MCOs, PIHPs, and PAHPs provide demographic information electronically to these plans once each year, we estimate a burden for the reporting of these six demographic factors to MCOs, PIHPs, and PAHPs of 130 hr, half at $64.46/hr for a business operations analyst and half at $36.54/hr for an office and administrative support worker.  In aggregate, we estimate an ongoing annual state burden of </w:t>
      </w:r>
      <w:r w:rsidRPr="00465F56">
        <w:rPr>
          <w:rFonts w:eastAsia="Calibri"/>
          <w:b/>
          <w:sz w:val="24"/>
        </w:rPr>
        <w:t>5,200 hr</w:t>
      </w:r>
      <w:r w:rsidRPr="00465F56">
        <w:rPr>
          <w:rFonts w:eastAsia="Calibri"/>
          <w:sz w:val="24"/>
        </w:rPr>
        <w:t xml:space="preserve"> (130 hr x 40 states) and </w:t>
      </w:r>
      <w:r w:rsidRPr="00465F56">
        <w:rPr>
          <w:rFonts w:eastAsia="Calibri"/>
          <w:b/>
          <w:sz w:val="24"/>
        </w:rPr>
        <w:t>$262,600</w:t>
      </w:r>
      <w:r w:rsidRPr="00465F56">
        <w:rPr>
          <w:rFonts w:eastAsia="Calibri"/>
          <w:sz w:val="24"/>
        </w:rPr>
        <w:t xml:space="preserve"> [40 states x ((65 hr x $64.46/hr) + (65 hr x $36.54/hr))]</w:t>
      </w:r>
      <w:r w:rsidR="000D0786">
        <w:rPr>
          <w:rFonts w:eastAsia="Calibri"/>
          <w:sz w:val="24"/>
        </w:rPr>
        <w:t xml:space="preserve"> </w:t>
      </w:r>
      <w:r w:rsidR="000D0786" w:rsidRPr="00EF6F26">
        <w:rPr>
          <w:sz w:val="24"/>
        </w:rPr>
        <w:t>(Estimate 12.</w:t>
      </w:r>
      <w:r w:rsidR="000D0786">
        <w:rPr>
          <w:sz w:val="24"/>
        </w:rPr>
        <w:t>24</w:t>
      </w:r>
      <w:r w:rsidR="000D0786" w:rsidRPr="00EF6F26">
        <w:rPr>
          <w:sz w:val="24"/>
        </w:rPr>
        <w:t>)</w:t>
      </w:r>
      <w:r w:rsidRPr="00465F56">
        <w:rPr>
          <w:rFonts w:eastAsia="Calibri"/>
          <w:sz w:val="24"/>
        </w:rPr>
        <w:t>.</w:t>
      </w:r>
    </w:p>
    <w:p w14:paraId="7729C7FF" w14:textId="77777777" w:rsidR="00465F56" w:rsidRPr="00465F56" w:rsidRDefault="00465F56"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eastAsia="Calibri"/>
          <w:sz w:val="24"/>
        </w:rPr>
      </w:pPr>
    </w:p>
    <w:p w14:paraId="2CD5DB52" w14:textId="23AD7CFA" w:rsidR="00465F56" w:rsidRDefault="00465F56"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eastAsia="Calibri"/>
          <w:sz w:val="24"/>
        </w:rPr>
      </w:pPr>
      <w:r w:rsidRPr="00465F56">
        <w:rPr>
          <w:rFonts w:eastAsia="Calibri"/>
          <w:sz w:val="24"/>
        </w:rPr>
        <w:t xml:space="preserve">In accordance with §438.340(c)(2), states will review and revise their quality strategies as needed, but no less frequently than once every 3 years.  While the 37 states that contract with MCOs and/or PIHPs currently revise their quality strategies periodically, approximately half of those states (18) revise their quality strategies less frequently than proposed.  We estimate a burden for the revision of a quality strategy of, once every 3 years, 25 hr at $64.46/hr for a business operations analyst to review and revise the comprehensive quality strategy, 2 hr at $36.54/hr for an office and administrative support worker to publicize the strategy, 5 hr at $64.46/hr for a business operations specialist to review and incorporate public comments, and 1 hr at $36.54/hr for an office and administrative support worker to submit the revised quality strategy to CMS.  In aggregate, we estimate an ongoing annual state burden of </w:t>
      </w:r>
      <w:r w:rsidRPr="00465F56">
        <w:rPr>
          <w:rFonts w:eastAsia="Calibri"/>
          <w:b/>
          <w:sz w:val="24"/>
        </w:rPr>
        <w:t>198 hr</w:t>
      </w:r>
      <w:r w:rsidR="007E4483">
        <w:rPr>
          <w:rFonts w:eastAsia="Calibri"/>
          <w:sz w:val="24"/>
        </w:rPr>
        <w:t xml:space="preserve"> [(18 states x </w:t>
      </w:r>
      <w:r w:rsidRPr="00465F56">
        <w:rPr>
          <w:rFonts w:eastAsia="Calibri"/>
          <w:sz w:val="24"/>
        </w:rPr>
        <w:t xml:space="preserve">33 hr) / 3 years] and </w:t>
      </w:r>
      <w:r w:rsidRPr="00465F56">
        <w:rPr>
          <w:rFonts w:eastAsia="Calibri"/>
          <w:b/>
          <w:sz w:val="24"/>
        </w:rPr>
        <w:t>$12,260.52</w:t>
      </w:r>
      <w:r w:rsidRPr="00465F56">
        <w:rPr>
          <w:rFonts w:eastAsia="Calibri"/>
          <w:sz w:val="24"/>
        </w:rPr>
        <w:t xml:space="preserve"> [(18 states x ((30 hr x $64.46/hr) + (3 hr x $36.54/hr))) / 3 years]</w:t>
      </w:r>
      <w:r w:rsidR="00252C92">
        <w:rPr>
          <w:rFonts w:eastAsia="Calibri"/>
          <w:sz w:val="24"/>
        </w:rPr>
        <w:t xml:space="preserve"> </w:t>
      </w:r>
      <w:r w:rsidR="00252C92" w:rsidRPr="00EF6F26">
        <w:rPr>
          <w:sz w:val="24"/>
        </w:rPr>
        <w:t>(Estimate 12.</w:t>
      </w:r>
      <w:r w:rsidR="00252C92">
        <w:rPr>
          <w:sz w:val="24"/>
        </w:rPr>
        <w:t>25</w:t>
      </w:r>
      <w:r w:rsidR="00252C92" w:rsidRPr="00EF6F26">
        <w:rPr>
          <w:sz w:val="24"/>
        </w:rPr>
        <w:t>)</w:t>
      </w:r>
      <w:r w:rsidRPr="00465F56">
        <w:rPr>
          <w:rFonts w:eastAsia="Calibri"/>
          <w:sz w:val="24"/>
        </w:rPr>
        <w:t>.</w:t>
      </w:r>
    </w:p>
    <w:p w14:paraId="18EA68D1" w14:textId="77777777" w:rsidR="00465F56" w:rsidRPr="00465F56" w:rsidRDefault="00465F56"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eastAsia="Calibri"/>
          <w:sz w:val="24"/>
        </w:rPr>
      </w:pPr>
    </w:p>
    <w:p w14:paraId="234B951C" w14:textId="35B53B29" w:rsidR="00465F56" w:rsidRDefault="00465F56"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eastAsia="Calibri"/>
          <w:sz w:val="24"/>
        </w:rPr>
      </w:pPr>
      <w:r w:rsidRPr="00465F56">
        <w:rPr>
          <w:rFonts w:eastAsia="Calibri"/>
          <w:sz w:val="24"/>
        </w:rPr>
        <w:t xml:space="preserve">The revision of a quality strategy will be a new process for the estimated three states with only PAHPs and the estimated two states with only PCCM entities.  We estimate that those states need 0.5 hr at $64.46/hr for a business operations specialist to revise their policies and procedures.  In aggregate, we estimate a one-time state burden of </w:t>
      </w:r>
      <w:r w:rsidRPr="00465F56">
        <w:rPr>
          <w:rFonts w:eastAsia="Calibri"/>
          <w:b/>
          <w:sz w:val="24"/>
        </w:rPr>
        <w:t>2.5 hr</w:t>
      </w:r>
      <w:r w:rsidRPr="00465F56">
        <w:rPr>
          <w:rFonts w:eastAsia="Calibri"/>
          <w:sz w:val="24"/>
        </w:rPr>
        <w:t xml:space="preserve"> (5 states x 0.5 hr) and </w:t>
      </w:r>
      <w:r w:rsidRPr="00465F56">
        <w:rPr>
          <w:rFonts w:eastAsia="Calibri"/>
          <w:b/>
          <w:sz w:val="24"/>
        </w:rPr>
        <w:t>$161.15</w:t>
      </w:r>
      <w:r w:rsidRPr="00465F56">
        <w:rPr>
          <w:rFonts w:eastAsia="Calibri"/>
          <w:sz w:val="24"/>
        </w:rPr>
        <w:t xml:space="preserve"> (2.5 hr x $64.46/hr), annualized to </w:t>
      </w:r>
      <w:r w:rsidRPr="00465F56">
        <w:rPr>
          <w:rFonts w:eastAsia="Calibri"/>
          <w:b/>
          <w:sz w:val="24"/>
        </w:rPr>
        <w:t>0.8</w:t>
      </w:r>
      <w:r w:rsidRPr="00465F56">
        <w:rPr>
          <w:rFonts w:eastAsia="Calibri"/>
          <w:sz w:val="24"/>
        </w:rPr>
        <w:t xml:space="preserve"> hr and </w:t>
      </w:r>
      <w:r w:rsidRPr="00465F56">
        <w:rPr>
          <w:rFonts w:eastAsia="Calibri"/>
          <w:b/>
          <w:sz w:val="24"/>
        </w:rPr>
        <w:t>$53.72</w:t>
      </w:r>
      <w:r w:rsidRPr="00465F56">
        <w:rPr>
          <w:rFonts w:eastAsia="Calibri"/>
          <w:sz w:val="24"/>
        </w:rPr>
        <w:t>, to update policies and procedures</w:t>
      </w:r>
      <w:r w:rsidR="00965A3E">
        <w:rPr>
          <w:rFonts w:eastAsia="Calibri"/>
          <w:sz w:val="24"/>
        </w:rPr>
        <w:t xml:space="preserve"> </w:t>
      </w:r>
      <w:r w:rsidR="00965A3E" w:rsidRPr="00EF6F26">
        <w:rPr>
          <w:sz w:val="24"/>
        </w:rPr>
        <w:t>(Estimate 12.</w:t>
      </w:r>
      <w:r w:rsidR="00965A3E">
        <w:rPr>
          <w:sz w:val="24"/>
        </w:rPr>
        <w:t>26</w:t>
      </w:r>
      <w:r w:rsidR="00965A3E" w:rsidRPr="00EF6F26">
        <w:rPr>
          <w:sz w:val="24"/>
        </w:rPr>
        <w:t>)</w:t>
      </w:r>
      <w:r w:rsidRPr="00465F56">
        <w:rPr>
          <w:rFonts w:eastAsia="Calibri"/>
          <w:sz w:val="24"/>
        </w:rPr>
        <w:t>.</w:t>
      </w:r>
      <w:r w:rsidR="00F8771A">
        <w:rPr>
          <w:rFonts w:eastAsia="Calibri"/>
          <w:sz w:val="24"/>
        </w:rPr>
        <w:t xml:space="preserve">  </w:t>
      </w:r>
      <w:r w:rsidR="00F8771A" w:rsidRPr="00465F56">
        <w:rPr>
          <w:rFonts w:eastAsia="Calibri"/>
          <w:sz w:val="24"/>
        </w:rPr>
        <w:t xml:space="preserve">We are </w:t>
      </w:r>
      <w:r w:rsidR="00F8771A">
        <w:rPr>
          <w:rFonts w:eastAsia="Calibri"/>
          <w:sz w:val="24"/>
        </w:rPr>
        <w:t>annualizing the one-time burden</w:t>
      </w:r>
      <w:r w:rsidR="00F8771A" w:rsidRPr="00465F56">
        <w:rPr>
          <w:rFonts w:eastAsia="Calibri"/>
          <w:sz w:val="24"/>
        </w:rPr>
        <w:t xml:space="preserve"> since we do not anticipate any additional development burden after the 3-year approval period expires.</w:t>
      </w:r>
    </w:p>
    <w:p w14:paraId="73C3D20B" w14:textId="77777777" w:rsidR="00465F56" w:rsidRPr="00465F56" w:rsidRDefault="00465F56"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eastAsia="Calibri"/>
          <w:sz w:val="24"/>
        </w:rPr>
      </w:pPr>
    </w:p>
    <w:p w14:paraId="25A40F1E" w14:textId="64057A7E" w:rsidR="00465F56" w:rsidRDefault="00465F56"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eastAsia="Calibri"/>
          <w:sz w:val="24"/>
        </w:rPr>
      </w:pPr>
      <w:r w:rsidRPr="00465F56">
        <w:rPr>
          <w:rFonts w:eastAsia="Calibri"/>
          <w:sz w:val="24"/>
        </w:rPr>
        <w:lastRenderedPageBreak/>
        <w:t xml:space="preserve">We assume that it will be less burdensome to revise an existing quality strategy than to draft an initial strategy.  Therefore, we estimate an ongoing burden for the quality strategy revision process for states with only PAHPs and PCCM entities, once every 3 years, of 25 hr at $64.46/hr for a business operations analyst to review and revise the comprehensive quality strategy, 2 hr at $36.54/hr for an office and administrative support worker to publicize the strategy, 5 hr at $64.46/hr for a business operations specialist to review and incorporate public comments, and 1 hr at $36.54/hr for an office and administrative support worker to submit the revised quality strategy to CMS.  In aggregate, we estimate an ongoing annual state burden of </w:t>
      </w:r>
      <w:r w:rsidRPr="00465F56">
        <w:rPr>
          <w:rFonts w:eastAsia="Calibri"/>
          <w:b/>
          <w:sz w:val="24"/>
        </w:rPr>
        <w:t>55 hr</w:t>
      </w:r>
      <w:r w:rsidRPr="00465F56">
        <w:rPr>
          <w:rFonts w:eastAsia="Calibri"/>
          <w:sz w:val="24"/>
        </w:rPr>
        <w:t xml:space="preserve"> [(5 states x 33 hr) / 3 years] and </w:t>
      </w:r>
      <w:r w:rsidRPr="00465F56">
        <w:rPr>
          <w:rFonts w:eastAsia="Calibri"/>
          <w:b/>
          <w:sz w:val="24"/>
        </w:rPr>
        <w:t>$3,405.70</w:t>
      </w:r>
      <w:r w:rsidRPr="00465F56">
        <w:rPr>
          <w:rFonts w:eastAsia="Calibri"/>
          <w:sz w:val="24"/>
        </w:rPr>
        <w:t xml:space="preserve"> [(5 states x ((30 hr x $64.46/hr) + (3 hr x $36.54/hr))) / 3 years]</w:t>
      </w:r>
      <w:r w:rsidR="00E04760">
        <w:rPr>
          <w:rFonts w:eastAsia="Calibri"/>
          <w:sz w:val="24"/>
        </w:rPr>
        <w:t xml:space="preserve"> </w:t>
      </w:r>
      <w:r w:rsidR="00E04760" w:rsidRPr="00EF6F26">
        <w:rPr>
          <w:sz w:val="24"/>
        </w:rPr>
        <w:t>(Estimate 12.</w:t>
      </w:r>
      <w:r w:rsidR="00E04760">
        <w:rPr>
          <w:sz w:val="24"/>
        </w:rPr>
        <w:t>27</w:t>
      </w:r>
      <w:r w:rsidR="00E04760" w:rsidRPr="00EF6F26">
        <w:rPr>
          <w:sz w:val="24"/>
        </w:rPr>
        <w:t>)</w:t>
      </w:r>
      <w:r w:rsidRPr="00465F56">
        <w:rPr>
          <w:rFonts w:eastAsia="Calibri"/>
          <w:sz w:val="24"/>
        </w:rPr>
        <w:t>.</w:t>
      </w:r>
    </w:p>
    <w:p w14:paraId="411C82F7" w14:textId="77777777" w:rsidR="00465F56" w:rsidRPr="00465F56" w:rsidRDefault="00465F56"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eastAsia="Calibri"/>
          <w:sz w:val="24"/>
        </w:rPr>
      </w:pPr>
    </w:p>
    <w:p w14:paraId="21E4B15D" w14:textId="177D6BCD" w:rsidR="00465F56" w:rsidRDefault="00465F56"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eastAsia="Calibri"/>
          <w:sz w:val="24"/>
        </w:rPr>
      </w:pPr>
      <w:r w:rsidRPr="00465F56">
        <w:rPr>
          <w:rFonts w:eastAsia="Calibri"/>
          <w:sz w:val="24"/>
        </w:rPr>
        <w:t xml:space="preserve">Consistent with §438.340(c)(2), the review of the quality strategy will include an effectiveness evaluation conducted within the previous 3 years.  We estimate the burden of this evaluation at 40 hr at $64.46/hr for a business operations specialist once every 3 years for all 42 states that contract with MCOs, PIHPs, PAHPs, and/or PCCM entities (described in §438.310(c)(2)).  </w:t>
      </w:r>
      <w:r w:rsidR="007B5D23">
        <w:rPr>
          <w:rFonts w:eastAsia="Calibri"/>
          <w:sz w:val="24"/>
        </w:rPr>
        <w:t xml:space="preserve">In aggregate, we estimate an ongoing burden of </w:t>
      </w:r>
      <w:r w:rsidR="007B5D23" w:rsidRPr="000D3993">
        <w:rPr>
          <w:rFonts w:eastAsia="Calibri"/>
          <w:b/>
          <w:sz w:val="24"/>
        </w:rPr>
        <w:t>560 hr</w:t>
      </w:r>
      <w:r w:rsidR="007B5D23">
        <w:rPr>
          <w:rFonts w:eastAsia="Calibri"/>
          <w:sz w:val="24"/>
        </w:rPr>
        <w:t xml:space="preserve"> [(42 states x 40 hr) / 3 years] at a cost of </w:t>
      </w:r>
      <w:r w:rsidR="007B5D23" w:rsidRPr="000D3993">
        <w:rPr>
          <w:rFonts w:eastAsia="Calibri"/>
          <w:b/>
          <w:sz w:val="24"/>
        </w:rPr>
        <w:t>$</w:t>
      </w:r>
      <w:r w:rsidR="008B38D8" w:rsidRPr="000D3993">
        <w:rPr>
          <w:rFonts w:eastAsia="Calibri"/>
          <w:b/>
          <w:sz w:val="24"/>
        </w:rPr>
        <w:t>36,097.60</w:t>
      </w:r>
      <w:r w:rsidR="008B38D8">
        <w:rPr>
          <w:rFonts w:eastAsia="Calibri"/>
          <w:sz w:val="24"/>
        </w:rPr>
        <w:t xml:space="preserve"> (560 hr x $64.46/hr)</w:t>
      </w:r>
      <w:r w:rsidR="000D3993">
        <w:rPr>
          <w:rFonts w:eastAsia="Calibri"/>
          <w:sz w:val="24"/>
        </w:rPr>
        <w:t xml:space="preserve"> </w:t>
      </w:r>
      <w:r w:rsidR="000D3993" w:rsidRPr="00EF6F26">
        <w:rPr>
          <w:sz w:val="24"/>
        </w:rPr>
        <w:t>(Estimate 12.</w:t>
      </w:r>
      <w:r w:rsidR="000D3993">
        <w:rPr>
          <w:sz w:val="24"/>
        </w:rPr>
        <w:t>28</w:t>
      </w:r>
      <w:r w:rsidR="000D3993" w:rsidRPr="00EF6F26">
        <w:rPr>
          <w:sz w:val="24"/>
        </w:rPr>
        <w:t>)</w:t>
      </w:r>
      <w:r w:rsidR="000D3993">
        <w:rPr>
          <w:sz w:val="24"/>
        </w:rPr>
        <w:t>.</w:t>
      </w:r>
      <w:r w:rsidR="008B38D8">
        <w:rPr>
          <w:rFonts w:eastAsia="Calibri"/>
          <w:sz w:val="24"/>
        </w:rPr>
        <w:t xml:space="preserve"> </w:t>
      </w:r>
      <w:r w:rsidRPr="00465F56">
        <w:rPr>
          <w:rFonts w:eastAsia="Calibri"/>
          <w:sz w:val="24"/>
        </w:rPr>
        <w:t xml:space="preserve">The currently approved burden estimates for creating and submitting an implementation and effectiveness report to CMS for the 37 states with MCOs and/or PIHPs takes 40 hr per state once every 3 years, for an annualized burden of 493.3 hr [(37 states x 40hr) / 3]; therefore, the only new burden is associated with the estimated 3 states with only PAHPs and the estimated 2 states with only PCCM entities.  Therefore, we estimate a net ongoing annual burden of </w:t>
      </w:r>
      <w:r w:rsidRPr="007B5D23">
        <w:rPr>
          <w:rFonts w:eastAsia="Calibri"/>
          <w:sz w:val="24"/>
        </w:rPr>
        <w:t>66.7 hr [((42 states x 40 hr) – (37 states x 40 hr)) / 3 years] and $4,299.48 (66.7 hr x $64.</w:t>
      </w:r>
      <w:r w:rsidRPr="00465F56">
        <w:rPr>
          <w:rFonts w:eastAsia="Calibri"/>
          <w:sz w:val="24"/>
        </w:rPr>
        <w:t>46/hr) to evaluate the effectiveness of a quality strategy.</w:t>
      </w:r>
    </w:p>
    <w:p w14:paraId="7DD9232E" w14:textId="77777777" w:rsidR="00465F56" w:rsidRPr="00465F56" w:rsidRDefault="00465F56"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eastAsia="Calibri"/>
          <w:sz w:val="24"/>
        </w:rPr>
      </w:pPr>
    </w:p>
    <w:p w14:paraId="5D7510DA" w14:textId="0B258B0A" w:rsidR="00465F56" w:rsidRPr="00465F56" w:rsidRDefault="00465F56"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eastAsia="Calibri"/>
          <w:sz w:val="24"/>
        </w:rPr>
      </w:pPr>
      <w:r w:rsidRPr="00465F56">
        <w:rPr>
          <w:rFonts w:eastAsia="Calibri"/>
          <w:sz w:val="24"/>
        </w:rPr>
        <w:t xml:space="preserve">Section §438.340(c)(2)(ii) requires states to post the managed care quality strategy effectiveness evaluation on the state’s Medicaid website.  </w:t>
      </w:r>
      <w:r w:rsidR="00367AC9">
        <w:rPr>
          <w:rFonts w:eastAsia="Calibri"/>
          <w:sz w:val="24"/>
        </w:rPr>
        <w:t>W</w:t>
      </w:r>
      <w:r w:rsidRPr="00465F56">
        <w:rPr>
          <w:rFonts w:eastAsia="Calibri"/>
          <w:sz w:val="24"/>
        </w:rPr>
        <w:t xml:space="preserve">e estimate that posting the quality strategy effectiveness evaluation online will require 0.25 hr at $64.46 from a business operations specialist once every three years.  In aggregate, we estimate an ongoing annual burden of </w:t>
      </w:r>
      <w:r w:rsidRPr="00465F56">
        <w:rPr>
          <w:rFonts w:eastAsia="Calibri"/>
          <w:b/>
          <w:sz w:val="24"/>
        </w:rPr>
        <w:t>3.5 hr</w:t>
      </w:r>
      <w:r w:rsidRPr="00465F56">
        <w:rPr>
          <w:rFonts w:eastAsia="Calibri"/>
          <w:sz w:val="24"/>
        </w:rPr>
        <w:t xml:space="preserve"> [(42 states x 0.25 hr) / 3 years] and </w:t>
      </w:r>
      <w:r w:rsidRPr="00465F56">
        <w:rPr>
          <w:rFonts w:eastAsia="Calibri"/>
          <w:b/>
          <w:sz w:val="24"/>
        </w:rPr>
        <w:t>$225.61</w:t>
      </w:r>
      <w:r w:rsidRPr="00465F56">
        <w:rPr>
          <w:rFonts w:eastAsia="Calibri"/>
          <w:sz w:val="24"/>
        </w:rPr>
        <w:t xml:space="preserve"> (3.5 hr x $64.46/hr)</w:t>
      </w:r>
      <w:r w:rsidR="00333917">
        <w:rPr>
          <w:rFonts w:eastAsia="Calibri"/>
          <w:sz w:val="24"/>
        </w:rPr>
        <w:t xml:space="preserve"> </w:t>
      </w:r>
      <w:r w:rsidR="00333917" w:rsidRPr="00EF6F26">
        <w:rPr>
          <w:sz w:val="24"/>
        </w:rPr>
        <w:t>(Estimate 12.</w:t>
      </w:r>
      <w:r w:rsidR="00333917">
        <w:rPr>
          <w:sz w:val="24"/>
        </w:rPr>
        <w:t>29</w:t>
      </w:r>
      <w:r w:rsidR="00333917" w:rsidRPr="00EF6F26">
        <w:rPr>
          <w:sz w:val="24"/>
        </w:rPr>
        <w:t>)</w:t>
      </w:r>
      <w:r w:rsidRPr="00465F56">
        <w:rPr>
          <w:rFonts w:eastAsia="Calibri"/>
          <w:sz w:val="24"/>
        </w:rPr>
        <w:t>.</w:t>
      </w:r>
    </w:p>
    <w:p w14:paraId="0E2799AB" w14:textId="77777777" w:rsidR="00465F56" w:rsidRDefault="00465F56"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eastAsia="Calibri"/>
          <w:sz w:val="24"/>
        </w:rPr>
      </w:pPr>
    </w:p>
    <w:p w14:paraId="6F1473C1" w14:textId="3C6D3BB3" w:rsidR="00465F56" w:rsidRDefault="00465F56"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eastAsia="Calibri"/>
          <w:sz w:val="24"/>
        </w:rPr>
      </w:pPr>
      <w:r w:rsidRPr="00465F56">
        <w:rPr>
          <w:rFonts w:eastAsia="Calibri"/>
          <w:sz w:val="24"/>
        </w:rPr>
        <w:t xml:space="preserve">As described in §438.340(c)(3), states will submit to CMS a copy of the initial quality strategy and any subsequent revisions.  The burden associated with this standard has been incorporated into burden estimates for initial and revised quality strategies.  As this will be a new standard for the estimated 3 states with only PAHPs and the estimated 2 states with only PCCM entities, we believe that these states will need to modify their policies and procedures to incorporate this action.  We estimate a burden of 0.5 hr at $64.46/hr for a business operations specialist.  In aggregate, we estimate a one-time state burden of </w:t>
      </w:r>
      <w:r w:rsidRPr="00CC46D5">
        <w:rPr>
          <w:rFonts w:eastAsia="Calibri"/>
          <w:sz w:val="24"/>
        </w:rPr>
        <w:t xml:space="preserve">2.5 hr (5 states x 0.5 hr) and $161.15 </w:t>
      </w:r>
      <w:r w:rsidRPr="00465F56">
        <w:rPr>
          <w:rFonts w:eastAsia="Calibri"/>
          <w:sz w:val="24"/>
        </w:rPr>
        <w:t xml:space="preserve">(2.5 hr x $64.46/hr), annualized to </w:t>
      </w:r>
      <w:r w:rsidRPr="00465F56">
        <w:rPr>
          <w:rFonts w:eastAsia="Calibri"/>
          <w:b/>
          <w:sz w:val="24"/>
        </w:rPr>
        <w:t>0.8 hr</w:t>
      </w:r>
      <w:r w:rsidRPr="00465F56">
        <w:rPr>
          <w:rFonts w:eastAsia="Calibri"/>
          <w:sz w:val="24"/>
        </w:rPr>
        <w:t xml:space="preserve"> and </w:t>
      </w:r>
      <w:r w:rsidRPr="00465F56">
        <w:rPr>
          <w:rFonts w:eastAsia="Calibri"/>
          <w:b/>
          <w:sz w:val="24"/>
        </w:rPr>
        <w:t>$53.72</w:t>
      </w:r>
      <w:r w:rsidR="00CC46D5">
        <w:rPr>
          <w:rFonts w:eastAsia="Calibri"/>
          <w:b/>
          <w:sz w:val="24"/>
        </w:rPr>
        <w:t xml:space="preserve"> </w:t>
      </w:r>
      <w:r w:rsidR="00CC46D5" w:rsidRPr="00EF6F26">
        <w:rPr>
          <w:sz w:val="24"/>
        </w:rPr>
        <w:t>(Estimate 12.</w:t>
      </w:r>
      <w:r w:rsidR="00CC46D5">
        <w:rPr>
          <w:sz w:val="24"/>
        </w:rPr>
        <w:t>30</w:t>
      </w:r>
      <w:r w:rsidR="00CC46D5" w:rsidRPr="00EF6F26">
        <w:rPr>
          <w:sz w:val="24"/>
        </w:rPr>
        <w:t>)</w:t>
      </w:r>
      <w:r w:rsidRPr="00465F56">
        <w:rPr>
          <w:rFonts w:eastAsia="Calibri"/>
          <w:sz w:val="24"/>
        </w:rPr>
        <w:t xml:space="preserve">.  </w:t>
      </w:r>
      <w:r w:rsidR="00F8771A" w:rsidRPr="00465F56">
        <w:rPr>
          <w:rFonts w:eastAsia="Calibri"/>
          <w:sz w:val="24"/>
        </w:rPr>
        <w:t xml:space="preserve">We are </w:t>
      </w:r>
      <w:r w:rsidR="00F8771A">
        <w:rPr>
          <w:rFonts w:eastAsia="Calibri"/>
          <w:sz w:val="24"/>
        </w:rPr>
        <w:t>annualizing the one-time burden</w:t>
      </w:r>
      <w:r w:rsidR="00F8771A" w:rsidRPr="00465F56">
        <w:rPr>
          <w:rFonts w:eastAsia="Calibri"/>
          <w:sz w:val="24"/>
        </w:rPr>
        <w:t xml:space="preserve"> since we do not anticipate any additional development burden after the 3-year approval period expires.</w:t>
      </w:r>
    </w:p>
    <w:p w14:paraId="2A6230C1" w14:textId="77777777" w:rsidR="00465F56" w:rsidRPr="00465F56" w:rsidRDefault="00465F56"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eastAsia="Calibri"/>
          <w:sz w:val="24"/>
        </w:rPr>
      </w:pPr>
    </w:p>
    <w:p w14:paraId="6C5B8569" w14:textId="439D9506" w:rsidR="000B763E" w:rsidRDefault="00465F56" w:rsidP="00523D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465F56">
        <w:rPr>
          <w:rFonts w:eastAsia="Calibri"/>
          <w:sz w:val="24"/>
        </w:rPr>
        <w:t xml:space="preserve">Section 438.340(d) requires states to post the final quality strategy to their Medicaid websites.  </w:t>
      </w:r>
      <w:r w:rsidR="00435982">
        <w:rPr>
          <w:rFonts w:eastAsia="Calibri"/>
          <w:sz w:val="24"/>
        </w:rPr>
        <w:lastRenderedPageBreak/>
        <w:t>W</w:t>
      </w:r>
      <w:r w:rsidRPr="00465F56">
        <w:rPr>
          <w:rFonts w:eastAsia="Calibri"/>
          <w:sz w:val="24"/>
        </w:rPr>
        <w:t>e estimate that posting the final quality strategy online will require 0.25 hr at $64.46 from a business operations specialist once every three years.  In aggregate</w:t>
      </w:r>
      <w:r w:rsidR="008F4B8B">
        <w:rPr>
          <w:rFonts w:eastAsia="Calibri"/>
          <w:sz w:val="24"/>
        </w:rPr>
        <w:t>, we estimate an ongoing annual</w:t>
      </w:r>
      <w:r w:rsidRPr="00465F56">
        <w:rPr>
          <w:rFonts w:eastAsia="Calibri"/>
          <w:sz w:val="24"/>
        </w:rPr>
        <w:t xml:space="preserve"> burden of </w:t>
      </w:r>
      <w:r w:rsidRPr="00465F56">
        <w:rPr>
          <w:rFonts w:eastAsia="Calibri"/>
          <w:b/>
          <w:sz w:val="24"/>
        </w:rPr>
        <w:t>3.5 hr</w:t>
      </w:r>
      <w:r w:rsidRPr="00465F56">
        <w:rPr>
          <w:rFonts w:eastAsia="Calibri"/>
          <w:sz w:val="24"/>
        </w:rPr>
        <w:t xml:space="preserve"> [(42 states x 0.25 hr) / 3 years] and </w:t>
      </w:r>
      <w:r w:rsidRPr="00465F56">
        <w:rPr>
          <w:rFonts w:eastAsia="Calibri"/>
          <w:b/>
          <w:sz w:val="24"/>
        </w:rPr>
        <w:t>$225.61</w:t>
      </w:r>
      <w:r w:rsidRPr="00465F56">
        <w:rPr>
          <w:rFonts w:eastAsia="Calibri"/>
          <w:sz w:val="24"/>
        </w:rPr>
        <w:t xml:space="preserve"> (3.5 hr x $64.46/hr)</w:t>
      </w:r>
      <w:r w:rsidR="00CC46D5">
        <w:rPr>
          <w:rFonts w:eastAsia="Calibri"/>
          <w:sz w:val="24"/>
        </w:rPr>
        <w:t xml:space="preserve"> </w:t>
      </w:r>
      <w:r w:rsidR="00CC46D5" w:rsidRPr="00EF6F26">
        <w:rPr>
          <w:sz w:val="24"/>
        </w:rPr>
        <w:t>(Estimate 12.</w:t>
      </w:r>
      <w:r w:rsidR="00CC46D5">
        <w:rPr>
          <w:sz w:val="24"/>
        </w:rPr>
        <w:t>31</w:t>
      </w:r>
      <w:r w:rsidR="00CC46D5" w:rsidRPr="00EF6F26">
        <w:rPr>
          <w:sz w:val="24"/>
        </w:rPr>
        <w:t>)</w:t>
      </w:r>
      <w:r w:rsidRPr="00465F56">
        <w:rPr>
          <w:rFonts w:eastAsia="Calibri"/>
          <w:sz w:val="24"/>
        </w:rPr>
        <w:t>.</w:t>
      </w:r>
    </w:p>
    <w:p w14:paraId="6C5B856A" w14:textId="77777777" w:rsidR="003316C9" w:rsidRDefault="003316C9" w:rsidP="00523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rPr>
      </w:pPr>
    </w:p>
    <w:p w14:paraId="5F534CB1" w14:textId="77777777" w:rsidR="008B4898" w:rsidRDefault="008B4898" w:rsidP="002640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i/>
          <w:sz w:val="24"/>
        </w:rPr>
        <w:sectPr w:rsidR="008B4898">
          <w:footerReference w:type="default" r:id="rId11"/>
          <w:endnotePr>
            <w:numFmt w:val="decimal"/>
          </w:endnotePr>
          <w:type w:val="continuous"/>
          <w:pgSz w:w="12240" w:h="15840"/>
          <w:pgMar w:top="1440" w:right="1296" w:bottom="1440" w:left="1440" w:header="1440" w:footer="1440" w:gutter="0"/>
          <w:cols w:space="720"/>
          <w:noEndnote/>
        </w:sectPr>
      </w:pPr>
    </w:p>
    <w:p w14:paraId="6C5B856B" w14:textId="6EADCF47" w:rsidR="003316C9" w:rsidRPr="00C7549D" w:rsidRDefault="00F63E8F" w:rsidP="002640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i/>
          <w:sz w:val="24"/>
        </w:rPr>
      </w:pPr>
      <w:r>
        <w:rPr>
          <w:i/>
          <w:sz w:val="24"/>
        </w:rPr>
        <w:lastRenderedPageBreak/>
        <w:t xml:space="preserve">Summary of </w:t>
      </w:r>
      <w:r w:rsidR="003316C9" w:rsidRPr="00C7549D">
        <w:rPr>
          <w:i/>
          <w:sz w:val="24"/>
        </w:rPr>
        <w:t>Burden Estimate</w:t>
      </w:r>
      <w:r>
        <w:rPr>
          <w:i/>
          <w:sz w:val="24"/>
        </w:rPr>
        <w:t>s</w:t>
      </w:r>
    </w:p>
    <w:p w14:paraId="6C5B856D" w14:textId="77777777" w:rsidR="000A3666" w:rsidRDefault="000A3666" w:rsidP="0026403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05DA6BE" w14:textId="231308B8" w:rsidR="004556ED" w:rsidRDefault="004556ED" w:rsidP="004556ED">
      <w:pPr>
        <w:rPr>
          <w:b/>
          <w:bCs/>
          <w:color w:val="000000"/>
          <w:sz w:val="24"/>
        </w:rPr>
      </w:pPr>
      <w:r w:rsidRPr="003109A2">
        <w:rPr>
          <w:b/>
          <w:bCs/>
          <w:color w:val="000000"/>
          <w:sz w:val="24"/>
        </w:rPr>
        <w:t>Summary of Annual Burden Estimates</w:t>
      </w:r>
      <w:r>
        <w:rPr>
          <w:b/>
          <w:bCs/>
          <w:color w:val="000000"/>
          <w:sz w:val="24"/>
        </w:rPr>
        <w:t>: States</w:t>
      </w:r>
    </w:p>
    <w:p w14:paraId="6C825B26" w14:textId="0B3FE3F6" w:rsidR="00E80BF4" w:rsidRPr="00E971B7" w:rsidRDefault="00E80BF4" w:rsidP="00E80BF4">
      <w:pPr>
        <w:tabs>
          <w:tab w:val="left" w:pos="0"/>
        </w:tabs>
        <w:suppressAutoHyphens/>
        <w:ind w:left="720" w:hanging="720"/>
        <w:rPr>
          <w:i/>
          <w:iCs/>
          <w:color w:val="000000"/>
          <w:sz w:val="24"/>
        </w:rPr>
      </w:pPr>
      <w:r>
        <w:rPr>
          <w:i/>
          <w:iCs/>
          <w:color w:val="000000"/>
          <w:sz w:val="24"/>
        </w:rPr>
        <w:t xml:space="preserve">Response Type: </w:t>
      </w:r>
      <w:r w:rsidRPr="00E971B7">
        <w:rPr>
          <w:i/>
          <w:iCs/>
          <w:color w:val="000000"/>
          <w:sz w:val="24"/>
        </w:rPr>
        <w:t>R=reporting; TPD=third</w:t>
      </w:r>
      <w:r>
        <w:rPr>
          <w:i/>
          <w:iCs/>
          <w:color w:val="000000"/>
          <w:sz w:val="24"/>
        </w:rPr>
        <w:t>-</w:t>
      </w:r>
      <w:r w:rsidRPr="00E971B7">
        <w:rPr>
          <w:i/>
          <w:iCs/>
          <w:color w:val="000000"/>
          <w:sz w:val="24"/>
        </w:rPr>
        <w:t>party dis</w:t>
      </w:r>
      <w:r>
        <w:rPr>
          <w:i/>
          <w:iCs/>
          <w:color w:val="000000"/>
          <w:sz w:val="24"/>
        </w:rPr>
        <w:t>closure</w:t>
      </w:r>
    </w:p>
    <w:tbl>
      <w:tblPr>
        <w:tblW w:w="1409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35"/>
        <w:gridCol w:w="995"/>
        <w:gridCol w:w="1008"/>
        <w:gridCol w:w="967"/>
        <w:gridCol w:w="1013"/>
        <w:gridCol w:w="702"/>
        <w:gridCol w:w="990"/>
        <w:gridCol w:w="1278"/>
        <w:gridCol w:w="810"/>
        <w:gridCol w:w="1147"/>
        <w:gridCol w:w="1147"/>
        <w:gridCol w:w="1170"/>
      </w:tblGrid>
      <w:tr w:rsidR="00E80BF4" w:rsidRPr="00D376CB" w14:paraId="0D105550" w14:textId="77777777" w:rsidTr="00E80BF4">
        <w:trPr>
          <w:trHeight w:val="690"/>
          <w:tblHeader/>
        </w:trPr>
        <w:tc>
          <w:tcPr>
            <w:tcW w:w="1435" w:type="dxa"/>
          </w:tcPr>
          <w:p w14:paraId="5BE8945B" w14:textId="77777777" w:rsidR="00E80BF4" w:rsidRDefault="00E80BF4" w:rsidP="002F38F5">
            <w:pPr>
              <w:jc w:val="center"/>
              <w:rPr>
                <w:b/>
                <w:bCs/>
                <w:color w:val="000000"/>
                <w:sz w:val="18"/>
                <w:szCs w:val="18"/>
              </w:rPr>
            </w:pPr>
          </w:p>
          <w:p w14:paraId="3F33BFE1" w14:textId="049059C7" w:rsidR="00E80BF4" w:rsidRPr="00D376CB" w:rsidRDefault="00E80BF4" w:rsidP="002F38F5">
            <w:pPr>
              <w:jc w:val="center"/>
              <w:rPr>
                <w:b/>
                <w:bCs/>
                <w:color w:val="000000"/>
                <w:sz w:val="18"/>
                <w:szCs w:val="18"/>
              </w:rPr>
            </w:pPr>
            <w:r>
              <w:rPr>
                <w:b/>
                <w:bCs/>
                <w:color w:val="000000"/>
                <w:sz w:val="18"/>
                <w:szCs w:val="18"/>
              </w:rPr>
              <w:t>Estimate #</w:t>
            </w:r>
          </w:p>
        </w:tc>
        <w:tc>
          <w:tcPr>
            <w:tcW w:w="1435" w:type="dxa"/>
            <w:shd w:val="clear" w:color="auto" w:fill="auto"/>
            <w:vAlign w:val="center"/>
            <w:hideMark/>
          </w:tcPr>
          <w:p w14:paraId="799CA5EF" w14:textId="733123B5" w:rsidR="00E80BF4" w:rsidRPr="00D376CB" w:rsidRDefault="00E80BF4" w:rsidP="002F38F5">
            <w:pPr>
              <w:jc w:val="center"/>
              <w:rPr>
                <w:b/>
                <w:bCs/>
                <w:color w:val="000000"/>
                <w:sz w:val="18"/>
                <w:szCs w:val="18"/>
              </w:rPr>
            </w:pPr>
            <w:r w:rsidRPr="00D376CB">
              <w:rPr>
                <w:b/>
                <w:bCs/>
                <w:color w:val="000000"/>
                <w:sz w:val="18"/>
                <w:szCs w:val="18"/>
              </w:rPr>
              <w:t>CFR Section</w:t>
            </w:r>
          </w:p>
        </w:tc>
        <w:tc>
          <w:tcPr>
            <w:tcW w:w="995" w:type="dxa"/>
            <w:shd w:val="clear" w:color="auto" w:fill="auto"/>
            <w:vAlign w:val="center"/>
            <w:hideMark/>
          </w:tcPr>
          <w:p w14:paraId="0996BA8A" w14:textId="77777777" w:rsidR="00E80BF4" w:rsidRPr="00D376CB" w:rsidRDefault="00E80BF4" w:rsidP="002F38F5">
            <w:pPr>
              <w:jc w:val="center"/>
              <w:rPr>
                <w:b/>
                <w:bCs/>
                <w:color w:val="000000"/>
                <w:sz w:val="18"/>
                <w:szCs w:val="18"/>
              </w:rPr>
            </w:pPr>
            <w:r w:rsidRPr="00D376CB">
              <w:rPr>
                <w:b/>
                <w:bCs/>
                <w:color w:val="000000"/>
                <w:sz w:val="18"/>
                <w:szCs w:val="18"/>
              </w:rPr>
              <w:t># Respon-dents</w:t>
            </w:r>
          </w:p>
        </w:tc>
        <w:tc>
          <w:tcPr>
            <w:tcW w:w="1008" w:type="dxa"/>
            <w:shd w:val="clear" w:color="auto" w:fill="auto"/>
            <w:vAlign w:val="center"/>
            <w:hideMark/>
          </w:tcPr>
          <w:p w14:paraId="767EE538" w14:textId="77777777" w:rsidR="00E80BF4" w:rsidRPr="00D376CB" w:rsidRDefault="00E80BF4" w:rsidP="002F38F5">
            <w:pPr>
              <w:jc w:val="center"/>
              <w:rPr>
                <w:b/>
                <w:bCs/>
                <w:color w:val="000000"/>
                <w:sz w:val="18"/>
                <w:szCs w:val="18"/>
              </w:rPr>
            </w:pPr>
            <w:r w:rsidRPr="00D376CB">
              <w:rPr>
                <w:b/>
                <w:bCs/>
                <w:color w:val="000000"/>
                <w:sz w:val="18"/>
                <w:szCs w:val="18"/>
              </w:rPr>
              <w:t># responses</w:t>
            </w:r>
          </w:p>
        </w:tc>
        <w:tc>
          <w:tcPr>
            <w:tcW w:w="967" w:type="dxa"/>
            <w:shd w:val="clear" w:color="auto" w:fill="auto"/>
            <w:vAlign w:val="center"/>
            <w:hideMark/>
          </w:tcPr>
          <w:p w14:paraId="7D2C922C" w14:textId="77777777" w:rsidR="00E80BF4" w:rsidRPr="00D376CB" w:rsidRDefault="00E80BF4" w:rsidP="002F38F5">
            <w:pPr>
              <w:jc w:val="center"/>
              <w:rPr>
                <w:b/>
                <w:bCs/>
                <w:color w:val="000000"/>
                <w:sz w:val="18"/>
                <w:szCs w:val="18"/>
              </w:rPr>
            </w:pPr>
            <w:r w:rsidRPr="00D376CB">
              <w:rPr>
                <w:b/>
                <w:bCs/>
                <w:color w:val="000000"/>
                <w:sz w:val="18"/>
                <w:szCs w:val="18"/>
              </w:rPr>
              <w:t>Burden per response (hours)</w:t>
            </w:r>
          </w:p>
        </w:tc>
        <w:tc>
          <w:tcPr>
            <w:tcW w:w="1013" w:type="dxa"/>
            <w:shd w:val="clear" w:color="auto" w:fill="auto"/>
            <w:vAlign w:val="center"/>
            <w:hideMark/>
          </w:tcPr>
          <w:p w14:paraId="31F09380" w14:textId="77777777" w:rsidR="00E80BF4" w:rsidRPr="00D376CB" w:rsidRDefault="00E80BF4" w:rsidP="002F38F5">
            <w:pPr>
              <w:jc w:val="center"/>
              <w:rPr>
                <w:b/>
                <w:bCs/>
                <w:color w:val="000000"/>
                <w:sz w:val="18"/>
                <w:szCs w:val="18"/>
              </w:rPr>
            </w:pPr>
            <w:r w:rsidRPr="00D376CB">
              <w:rPr>
                <w:b/>
                <w:bCs/>
                <w:color w:val="000000"/>
                <w:sz w:val="18"/>
                <w:szCs w:val="18"/>
              </w:rPr>
              <w:t>Total Annual Hours</w:t>
            </w:r>
          </w:p>
        </w:tc>
        <w:tc>
          <w:tcPr>
            <w:tcW w:w="702" w:type="dxa"/>
            <w:shd w:val="clear" w:color="auto" w:fill="auto"/>
            <w:vAlign w:val="center"/>
            <w:hideMark/>
          </w:tcPr>
          <w:p w14:paraId="75577687" w14:textId="77777777" w:rsidR="00E80BF4" w:rsidRPr="00D376CB" w:rsidRDefault="00E80BF4" w:rsidP="002F38F5">
            <w:pPr>
              <w:jc w:val="center"/>
              <w:rPr>
                <w:b/>
                <w:bCs/>
                <w:color w:val="000000"/>
                <w:sz w:val="18"/>
                <w:szCs w:val="18"/>
              </w:rPr>
            </w:pPr>
            <w:r w:rsidRPr="00D376CB">
              <w:rPr>
                <w:b/>
                <w:bCs/>
                <w:color w:val="000000"/>
                <w:sz w:val="18"/>
                <w:szCs w:val="18"/>
              </w:rPr>
              <w:t>Labor Rate ($/hr)</w:t>
            </w:r>
          </w:p>
        </w:tc>
        <w:tc>
          <w:tcPr>
            <w:tcW w:w="990" w:type="dxa"/>
            <w:shd w:val="clear" w:color="auto" w:fill="auto"/>
            <w:vAlign w:val="center"/>
            <w:hideMark/>
          </w:tcPr>
          <w:p w14:paraId="376B21DD" w14:textId="77777777" w:rsidR="00E80BF4" w:rsidRPr="00D376CB" w:rsidRDefault="00E80BF4" w:rsidP="002F38F5">
            <w:pPr>
              <w:jc w:val="center"/>
              <w:rPr>
                <w:b/>
                <w:bCs/>
                <w:color w:val="000000"/>
                <w:sz w:val="18"/>
                <w:szCs w:val="18"/>
              </w:rPr>
            </w:pPr>
            <w:r w:rsidRPr="00D376CB">
              <w:rPr>
                <w:b/>
                <w:bCs/>
                <w:color w:val="000000"/>
                <w:sz w:val="18"/>
                <w:szCs w:val="18"/>
              </w:rPr>
              <w:t>Cost ($) per Response</w:t>
            </w:r>
          </w:p>
        </w:tc>
        <w:tc>
          <w:tcPr>
            <w:tcW w:w="1278" w:type="dxa"/>
            <w:shd w:val="clear" w:color="auto" w:fill="auto"/>
            <w:vAlign w:val="center"/>
            <w:hideMark/>
          </w:tcPr>
          <w:p w14:paraId="23FEE8D7" w14:textId="77777777" w:rsidR="00E80BF4" w:rsidRPr="00D376CB" w:rsidRDefault="00E80BF4" w:rsidP="002F38F5">
            <w:pPr>
              <w:jc w:val="center"/>
              <w:rPr>
                <w:b/>
                <w:bCs/>
                <w:color w:val="000000"/>
                <w:sz w:val="18"/>
                <w:szCs w:val="18"/>
              </w:rPr>
            </w:pPr>
            <w:r w:rsidRPr="00D376CB">
              <w:rPr>
                <w:b/>
                <w:bCs/>
                <w:color w:val="000000"/>
                <w:sz w:val="18"/>
                <w:szCs w:val="18"/>
              </w:rPr>
              <w:t>Total cost ($)</w:t>
            </w:r>
          </w:p>
        </w:tc>
        <w:tc>
          <w:tcPr>
            <w:tcW w:w="810" w:type="dxa"/>
            <w:shd w:val="clear" w:color="auto" w:fill="auto"/>
            <w:vAlign w:val="center"/>
            <w:hideMark/>
          </w:tcPr>
          <w:p w14:paraId="05373383" w14:textId="77777777" w:rsidR="00E80BF4" w:rsidRPr="00D376CB" w:rsidRDefault="00E80BF4" w:rsidP="002F38F5">
            <w:pPr>
              <w:jc w:val="center"/>
              <w:rPr>
                <w:b/>
                <w:bCs/>
                <w:color w:val="000000"/>
                <w:sz w:val="18"/>
                <w:szCs w:val="18"/>
              </w:rPr>
            </w:pPr>
            <w:r w:rsidRPr="00D376CB">
              <w:rPr>
                <w:b/>
                <w:bCs/>
                <w:color w:val="000000"/>
                <w:sz w:val="18"/>
                <w:szCs w:val="18"/>
              </w:rPr>
              <w:t>Fre-quency</w:t>
            </w:r>
          </w:p>
        </w:tc>
        <w:tc>
          <w:tcPr>
            <w:tcW w:w="1147" w:type="dxa"/>
          </w:tcPr>
          <w:p w14:paraId="50682249" w14:textId="77777777" w:rsidR="00E80BF4" w:rsidRDefault="00E80BF4" w:rsidP="002F38F5">
            <w:pPr>
              <w:jc w:val="center"/>
              <w:rPr>
                <w:b/>
                <w:bCs/>
                <w:color w:val="000000"/>
                <w:sz w:val="18"/>
                <w:szCs w:val="18"/>
              </w:rPr>
            </w:pPr>
          </w:p>
          <w:p w14:paraId="08E6FDAA" w14:textId="5FEFA8F4" w:rsidR="00E80BF4" w:rsidRPr="00D376CB" w:rsidRDefault="00E80BF4" w:rsidP="002F38F5">
            <w:pPr>
              <w:jc w:val="center"/>
              <w:rPr>
                <w:b/>
                <w:bCs/>
                <w:color w:val="000000"/>
                <w:sz w:val="18"/>
                <w:szCs w:val="18"/>
              </w:rPr>
            </w:pPr>
            <w:r>
              <w:rPr>
                <w:b/>
                <w:bCs/>
                <w:color w:val="000000"/>
                <w:sz w:val="18"/>
                <w:szCs w:val="18"/>
              </w:rPr>
              <w:t>Response Type</w:t>
            </w:r>
          </w:p>
        </w:tc>
        <w:tc>
          <w:tcPr>
            <w:tcW w:w="1147" w:type="dxa"/>
            <w:shd w:val="clear" w:color="auto" w:fill="auto"/>
            <w:vAlign w:val="center"/>
            <w:hideMark/>
          </w:tcPr>
          <w:p w14:paraId="31BFCCEE" w14:textId="55B481DE" w:rsidR="00E80BF4" w:rsidRPr="00D376CB" w:rsidRDefault="00E80BF4" w:rsidP="002F38F5">
            <w:pPr>
              <w:jc w:val="center"/>
              <w:rPr>
                <w:b/>
                <w:bCs/>
                <w:color w:val="000000"/>
                <w:sz w:val="18"/>
                <w:szCs w:val="18"/>
              </w:rPr>
            </w:pPr>
            <w:r w:rsidRPr="00D376CB">
              <w:rPr>
                <w:b/>
                <w:bCs/>
                <w:color w:val="000000"/>
                <w:sz w:val="18"/>
                <w:szCs w:val="18"/>
              </w:rPr>
              <w:t>Annualized hours*</w:t>
            </w:r>
          </w:p>
        </w:tc>
        <w:tc>
          <w:tcPr>
            <w:tcW w:w="1170" w:type="dxa"/>
            <w:shd w:val="clear" w:color="auto" w:fill="auto"/>
            <w:vAlign w:val="center"/>
            <w:hideMark/>
          </w:tcPr>
          <w:p w14:paraId="2625A3F9" w14:textId="77777777" w:rsidR="00E80BF4" w:rsidRPr="00D376CB" w:rsidRDefault="00E80BF4" w:rsidP="002F38F5">
            <w:pPr>
              <w:jc w:val="center"/>
              <w:rPr>
                <w:b/>
                <w:bCs/>
                <w:color w:val="000000"/>
                <w:sz w:val="18"/>
                <w:szCs w:val="18"/>
              </w:rPr>
            </w:pPr>
            <w:r w:rsidRPr="00D376CB">
              <w:rPr>
                <w:b/>
                <w:bCs/>
                <w:color w:val="000000"/>
                <w:sz w:val="18"/>
                <w:szCs w:val="18"/>
              </w:rPr>
              <w:t>Annualized costs ($)</w:t>
            </w:r>
          </w:p>
        </w:tc>
      </w:tr>
      <w:tr w:rsidR="00E80BF4" w:rsidRPr="00D376CB" w14:paraId="3CD5D805" w14:textId="77777777" w:rsidTr="00E80BF4">
        <w:trPr>
          <w:trHeight w:val="480"/>
        </w:trPr>
        <w:tc>
          <w:tcPr>
            <w:tcW w:w="1435" w:type="dxa"/>
          </w:tcPr>
          <w:p w14:paraId="3851ADC9" w14:textId="30D0DE4B" w:rsidR="00E80BF4" w:rsidRPr="00D376CB" w:rsidRDefault="00E80BF4" w:rsidP="002F38F5">
            <w:pPr>
              <w:jc w:val="center"/>
              <w:rPr>
                <w:sz w:val="18"/>
                <w:szCs w:val="18"/>
              </w:rPr>
            </w:pPr>
            <w:r>
              <w:rPr>
                <w:sz w:val="18"/>
                <w:szCs w:val="18"/>
              </w:rPr>
              <w:t>12.1</w:t>
            </w:r>
          </w:p>
        </w:tc>
        <w:tc>
          <w:tcPr>
            <w:tcW w:w="1435" w:type="dxa"/>
            <w:shd w:val="clear" w:color="auto" w:fill="auto"/>
            <w:vAlign w:val="bottom"/>
            <w:hideMark/>
          </w:tcPr>
          <w:p w14:paraId="08F4D136" w14:textId="3F54EE95" w:rsidR="00E80BF4" w:rsidRPr="00D376CB" w:rsidRDefault="00E80BF4" w:rsidP="002F38F5">
            <w:pPr>
              <w:jc w:val="center"/>
              <w:rPr>
                <w:sz w:val="18"/>
                <w:szCs w:val="18"/>
              </w:rPr>
            </w:pPr>
            <w:r w:rsidRPr="00D376CB">
              <w:rPr>
                <w:sz w:val="18"/>
                <w:szCs w:val="18"/>
              </w:rPr>
              <w:t xml:space="preserve">438.310(c)(2) </w:t>
            </w:r>
          </w:p>
          <w:p w14:paraId="330AAF8D" w14:textId="77777777" w:rsidR="00E80BF4" w:rsidRPr="00D376CB" w:rsidRDefault="00E80BF4" w:rsidP="002F38F5">
            <w:pPr>
              <w:jc w:val="center"/>
              <w:rPr>
                <w:sz w:val="18"/>
                <w:szCs w:val="18"/>
              </w:rPr>
            </w:pPr>
            <w:r w:rsidRPr="00D376CB">
              <w:rPr>
                <w:sz w:val="18"/>
                <w:szCs w:val="18"/>
              </w:rPr>
              <w:t>State PCCM Assessment</w:t>
            </w:r>
          </w:p>
        </w:tc>
        <w:tc>
          <w:tcPr>
            <w:tcW w:w="995" w:type="dxa"/>
            <w:shd w:val="clear" w:color="auto" w:fill="auto"/>
            <w:noWrap/>
            <w:vAlign w:val="center"/>
            <w:hideMark/>
          </w:tcPr>
          <w:p w14:paraId="3BFD9122" w14:textId="77777777" w:rsidR="00E80BF4" w:rsidRPr="00D376CB" w:rsidRDefault="00E80BF4" w:rsidP="002F38F5">
            <w:pPr>
              <w:jc w:val="center"/>
              <w:rPr>
                <w:sz w:val="18"/>
                <w:szCs w:val="18"/>
              </w:rPr>
            </w:pPr>
            <w:r>
              <w:rPr>
                <w:sz w:val="18"/>
                <w:szCs w:val="18"/>
              </w:rPr>
              <w:t>5</w:t>
            </w:r>
          </w:p>
        </w:tc>
        <w:tc>
          <w:tcPr>
            <w:tcW w:w="1008" w:type="dxa"/>
            <w:shd w:val="clear" w:color="auto" w:fill="auto"/>
            <w:noWrap/>
            <w:vAlign w:val="center"/>
            <w:hideMark/>
          </w:tcPr>
          <w:p w14:paraId="09B5A830" w14:textId="77777777" w:rsidR="00E80BF4" w:rsidRPr="00D376CB" w:rsidRDefault="00E80BF4" w:rsidP="002F38F5">
            <w:pPr>
              <w:jc w:val="center"/>
              <w:rPr>
                <w:sz w:val="18"/>
                <w:szCs w:val="18"/>
              </w:rPr>
            </w:pPr>
            <w:r>
              <w:rPr>
                <w:sz w:val="18"/>
                <w:szCs w:val="18"/>
              </w:rPr>
              <w:t>5</w:t>
            </w:r>
          </w:p>
        </w:tc>
        <w:tc>
          <w:tcPr>
            <w:tcW w:w="967" w:type="dxa"/>
            <w:shd w:val="clear" w:color="auto" w:fill="auto"/>
            <w:noWrap/>
            <w:vAlign w:val="center"/>
            <w:hideMark/>
          </w:tcPr>
          <w:p w14:paraId="1901DCF5" w14:textId="77777777" w:rsidR="00E80BF4" w:rsidRPr="00D376CB" w:rsidRDefault="00E80BF4" w:rsidP="002F38F5">
            <w:pPr>
              <w:jc w:val="center"/>
              <w:rPr>
                <w:sz w:val="18"/>
                <w:szCs w:val="18"/>
              </w:rPr>
            </w:pPr>
            <w:r w:rsidRPr="00D376CB">
              <w:rPr>
                <w:sz w:val="18"/>
                <w:szCs w:val="18"/>
              </w:rPr>
              <w:t>2</w:t>
            </w:r>
          </w:p>
        </w:tc>
        <w:tc>
          <w:tcPr>
            <w:tcW w:w="1013" w:type="dxa"/>
            <w:shd w:val="clear" w:color="auto" w:fill="auto"/>
            <w:noWrap/>
            <w:vAlign w:val="center"/>
            <w:hideMark/>
          </w:tcPr>
          <w:p w14:paraId="77865A39" w14:textId="77777777" w:rsidR="00E80BF4" w:rsidRPr="00D376CB" w:rsidRDefault="00E80BF4" w:rsidP="002F38F5">
            <w:pPr>
              <w:jc w:val="center"/>
              <w:rPr>
                <w:sz w:val="18"/>
                <w:szCs w:val="18"/>
              </w:rPr>
            </w:pPr>
            <w:r>
              <w:rPr>
                <w:sz w:val="18"/>
                <w:szCs w:val="18"/>
              </w:rPr>
              <w:t>10</w:t>
            </w:r>
            <w:r w:rsidRPr="00D376CB">
              <w:rPr>
                <w:sz w:val="18"/>
                <w:szCs w:val="18"/>
              </w:rPr>
              <w:t>.0</w:t>
            </w:r>
          </w:p>
        </w:tc>
        <w:tc>
          <w:tcPr>
            <w:tcW w:w="702" w:type="dxa"/>
            <w:shd w:val="clear" w:color="auto" w:fill="auto"/>
            <w:noWrap/>
            <w:vAlign w:val="center"/>
            <w:hideMark/>
          </w:tcPr>
          <w:p w14:paraId="784037E3" w14:textId="77777777" w:rsidR="00E80BF4" w:rsidRPr="00D376CB" w:rsidRDefault="00E80BF4" w:rsidP="002F38F5">
            <w:pPr>
              <w:jc w:val="center"/>
              <w:rPr>
                <w:sz w:val="18"/>
                <w:szCs w:val="18"/>
              </w:rPr>
            </w:pPr>
            <w:r w:rsidRPr="00D376CB">
              <w:rPr>
                <w:sz w:val="18"/>
                <w:szCs w:val="18"/>
              </w:rPr>
              <w:t>64.46</w:t>
            </w:r>
          </w:p>
        </w:tc>
        <w:tc>
          <w:tcPr>
            <w:tcW w:w="990" w:type="dxa"/>
            <w:shd w:val="clear" w:color="auto" w:fill="auto"/>
            <w:noWrap/>
            <w:vAlign w:val="center"/>
            <w:hideMark/>
          </w:tcPr>
          <w:p w14:paraId="52ACF0FB" w14:textId="77777777" w:rsidR="00E80BF4" w:rsidRPr="00D376CB" w:rsidRDefault="00E80BF4" w:rsidP="002F38F5">
            <w:pPr>
              <w:jc w:val="center"/>
              <w:rPr>
                <w:sz w:val="18"/>
                <w:szCs w:val="18"/>
              </w:rPr>
            </w:pPr>
            <w:r w:rsidRPr="00D376CB">
              <w:rPr>
                <w:sz w:val="18"/>
                <w:szCs w:val="18"/>
              </w:rPr>
              <w:t>128.92</w:t>
            </w:r>
          </w:p>
        </w:tc>
        <w:tc>
          <w:tcPr>
            <w:tcW w:w="1278" w:type="dxa"/>
            <w:shd w:val="clear" w:color="auto" w:fill="auto"/>
            <w:noWrap/>
            <w:vAlign w:val="center"/>
            <w:hideMark/>
          </w:tcPr>
          <w:p w14:paraId="4FA5AE37" w14:textId="77777777" w:rsidR="00E80BF4" w:rsidRPr="00D376CB" w:rsidRDefault="00E80BF4" w:rsidP="002F38F5">
            <w:pPr>
              <w:jc w:val="center"/>
              <w:rPr>
                <w:sz w:val="18"/>
                <w:szCs w:val="18"/>
              </w:rPr>
            </w:pPr>
            <w:r>
              <w:rPr>
                <w:sz w:val="18"/>
                <w:szCs w:val="18"/>
              </w:rPr>
              <w:t>644.60</w:t>
            </w:r>
          </w:p>
        </w:tc>
        <w:tc>
          <w:tcPr>
            <w:tcW w:w="810" w:type="dxa"/>
            <w:shd w:val="clear" w:color="auto" w:fill="auto"/>
            <w:noWrap/>
            <w:vAlign w:val="center"/>
            <w:hideMark/>
          </w:tcPr>
          <w:p w14:paraId="22195670" w14:textId="77777777" w:rsidR="00E80BF4" w:rsidRPr="00D376CB" w:rsidRDefault="00E80BF4" w:rsidP="002F38F5">
            <w:pPr>
              <w:jc w:val="center"/>
              <w:rPr>
                <w:sz w:val="18"/>
                <w:szCs w:val="18"/>
              </w:rPr>
            </w:pPr>
            <w:r w:rsidRPr="00D376CB">
              <w:rPr>
                <w:sz w:val="18"/>
                <w:szCs w:val="18"/>
              </w:rPr>
              <w:t>once</w:t>
            </w:r>
          </w:p>
        </w:tc>
        <w:tc>
          <w:tcPr>
            <w:tcW w:w="1147" w:type="dxa"/>
          </w:tcPr>
          <w:p w14:paraId="6C1849D8" w14:textId="0E717161" w:rsidR="00E80BF4" w:rsidRDefault="00E17039" w:rsidP="005B0BC5">
            <w:pPr>
              <w:spacing w:before="240"/>
              <w:jc w:val="center"/>
              <w:rPr>
                <w:sz w:val="18"/>
                <w:szCs w:val="18"/>
              </w:rPr>
            </w:pPr>
            <w:r>
              <w:rPr>
                <w:sz w:val="18"/>
                <w:szCs w:val="18"/>
              </w:rPr>
              <w:t>TPD</w:t>
            </w:r>
          </w:p>
        </w:tc>
        <w:tc>
          <w:tcPr>
            <w:tcW w:w="1147" w:type="dxa"/>
            <w:shd w:val="clear" w:color="auto" w:fill="auto"/>
            <w:noWrap/>
            <w:vAlign w:val="center"/>
            <w:hideMark/>
          </w:tcPr>
          <w:p w14:paraId="4115D417" w14:textId="209E1855" w:rsidR="00E80BF4" w:rsidRPr="00D376CB" w:rsidRDefault="00E80BF4" w:rsidP="002F38F5">
            <w:pPr>
              <w:jc w:val="center"/>
              <w:rPr>
                <w:sz w:val="18"/>
                <w:szCs w:val="18"/>
              </w:rPr>
            </w:pPr>
            <w:r>
              <w:rPr>
                <w:sz w:val="18"/>
                <w:szCs w:val="18"/>
              </w:rPr>
              <w:t>3.3</w:t>
            </w:r>
          </w:p>
        </w:tc>
        <w:tc>
          <w:tcPr>
            <w:tcW w:w="1170" w:type="dxa"/>
            <w:shd w:val="clear" w:color="auto" w:fill="auto"/>
            <w:noWrap/>
            <w:vAlign w:val="center"/>
            <w:hideMark/>
          </w:tcPr>
          <w:p w14:paraId="7D76422E" w14:textId="77777777" w:rsidR="00E80BF4" w:rsidRPr="00D376CB" w:rsidRDefault="00E80BF4" w:rsidP="002F38F5">
            <w:pPr>
              <w:jc w:val="center"/>
              <w:rPr>
                <w:sz w:val="18"/>
                <w:szCs w:val="18"/>
              </w:rPr>
            </w:pPr>
            <w:r>
              <w:rPr>
                <w:sz w:val="18"/>
                <w:szCs w:val="18"/>
              </w:rPr>
              <w:t>214.87</w:t>
            </w:r>
          </w:p>
        </w:tc>
      </w:tr>
      <w:tr w:rsidR="000328D1" w:rsidRPr="00D376CB" w14:paraId="56080D15" w14:textId="77777777" w:rsidTr="00E80BF4">
        <w:trPr>
          <w:trHeight w:val="480"/>
        </w:trPr>
        <w:tc>
          <w:tcPr>
            <w:tcW w:w="1435" w:type="dxa"/>
          </w:tcPr>
          <w:p w14:paraId="7393B987" w14:textId="12DB71BC" w:rsidR="000328D1" w:rsidRDefault="000328D1" w:rsidP="000328D1">
            <w:pPr>
              <w:jc w:val="center"/>
              <w:rPr>
                <w:sz w:val="18"/>
                <w:szCs w:val="18"/>
              </w:rPr>
            </w:pPr>
            <w:r>
              <w:rPr>
                <w:sz w:val="18"/>
                <w:szCs w:val="18"/>
              </w:rPr>
              <w:t>12.18</w:t>
            </w:r>
          </w:p>
        </w:tc>
        <w:tc>
          <w:tcPr>
            <w:tcW w:w="1435" w:type="dxa"/>
            <w:shd w:val="clear" w:color="auto" w:fill="auto"/>
            <w:vAlign w:val="bottom"/>
          </w:tcPr>
          <w:p w14:paraId="07A6EA4E" w14:textId="77777777" w:rsidR="000328D1" w:rsidRPr="00D376CB" w:rsidRDefault="000328D1" w:rsidP="000328D1">
            <w:pPr>
              <w:jc w:val="center"/>
              <w:rPr>
                <w:sz w:val="18"/>
                <w:szCs w:val="18"/>
              </w:rPr>
            </w:pPr>
            <w:r w:rsidRPr="00D376CB">
              <w:rPr>
                <w:sz w:val="18"/>
                <w:szCs w:val="18"/>
              </w:rPr>
              <w:t>438.332(b)</w:t>
            </w:r>
          </w:p>
          <w:p w14:paraId="05415C65" w14:textId="29775DDF" w:rsidR="000328D1" w:rsidRPr="00D376CB" w:rsidRDefault="000328D1" w:rsidP="000328D1">
            <w:pPr>
              <w:jc w:val="center"/>
              <w:rPr>
                <w:sz w:val="18"/>
                <w:szCs w:val="18"/>
              </w:rPr>
            </w:pPr>
            <w:r w:rsidRPr="00D376CB">
              <w:rPr>
                <w:sz w:val="18"/>
                <w:szCs w:val="18"/>
              </w:rPr>
              <w:t>Amend MCO, PIHP, PAHP Contracts</w:t>
            </w:r>
          </w:p>
        </w:tc>
        <w:tc>
          <w:tcPr>
            <w:tcW w:w="995" w:type="dxa"/>
            <w:shd w:val="clear" w:color="auto" w:fill="auto"/>
            <w:noWrap/>
            <w:vAlign w:val="center"/>
          </w:tcPr>
          <w:p w14:paraId="378234FB" w14:textId="6358FBF1" w:rsidR="000328D1" w:rsidRDefault="000328D1" w:rsidP="000328D1">
            <w:pPr>
              <w:jc w:val="center"/>
              <w:rPr>
                <w:sz w:val="18"/>
                <w:szCs w:val="18"/>
              </w:rPr>
            </w:pPr>
            <w:r w:rsidRPr="00D376CB">
              <w:rPr>
                <w:sz w:val="18"/>
                <w:szCs w:val="18"/>
              </w:rPr>
              <w:t>40</w:t>
            </w:r>
          </w:p>
        </w:tc>
        <w:tc>
          <w:tcPr>
            <w:tcW w:w="1008" w:type="dxa"/>
            <w:shd w:val="clear" w:color="auto" w:fill="auto"/>
            <w:noWrap/>
            <w:vAlign w:val="center"/>
          </w:tcPr>
          <w:p w14:paraId="1937540F" w14:textId="67C634C6" w:rsidR="000328D1" w:rsidRDefault="000328D1" w:rsidP="000328D1">
            <w:pPr>
              <w:jc w:val="center"/>
              <w:rPr>
                <w:sz w:val="18"/>
                <w:szCs w:val="18"/>
              </w:rPr>
            </w:pPr>
            <w:r w:rsidRPr="00D376CB">
              <w:rPr>
                <w:sz w:val="18"/>
                <w:szCs w:val="18"/>
              </w:rPr>
              <w:t>552</w:t>
            </w:r>
          </w:p>
        </w:tc>
        <w:tc>
          <w:tcPr>
            <w:tcW w:w="967" w:type="dxa"/>
            <w:shd w:val="clear" w:color="auto" w:fill="auto"/>
            <w:noWrap/>
            <w:vAlign w:val="center"/>
          </w:tcPr>
          <w:p w14:paraId="7AA072E0" w14:textId="39E3832C" w:rsidR="000328D1" w:rsidRPr="00D376CB" w:rsidRDefault="000328D1" w:rsidP="000328D1">
            <w:pPr>
              <w:jc w:val="center"/>
              <w:rPr>
                <w:sz w:val="18"/>
                <w:szCs w:val="18"/>
              </w:rPr>
            </w:pPr>
            <w:r w:rsidRPr="00D376CB">
              <w:rPr>
                <w:sz w:val="18"/>
                <w:szCs w:val="18"/>
              </w:rPr>
              <w:t>0.25</w:t>
            </w:r>
          </w:p>
        </w:tc>
        <w:tc>
          <w:tcPr>
            <w:tcW w:w="1013" w:type="dxa"/>
            <w:shd w:val="clear" w:color="auto" w:fill="auto"/>
            <w:noWrap/>
            <w:vAlign w:val="center"/>
          </w:tcPr>
          <w:p w14:paraId="7863FAC0" w14:textId="682BF065" w:rsidR="000328D1" w:rsidRDefault="000328D1" w:rsidP="000328D1">
            <w:pPr>
              <w:jc w:val="center"/>
              <w:rPr>
                <w:sz w:val="18"/>
                <w:szCs w:val="18"/>
              </w:rPr>
            </w:pPr>
            <w:r w:rsidRPr="00D376CB">
              <w:rPr>
                <w:sz w:val="18"/>
                <w:szCs w:val="18"/>
              </w:rPr>
              <w:t>138.0</w:t>
            </w:r>
          </w:p>
        </w:tc>
        <w:tc>
          <w:tcPr>
            <w:tcW w:w="702" w:type="dxa"/>
            <w:shd w:val="clear" w:color="auto" w:fill="auto"/>
            <w:noWrap/>
            <w:vAlign w:val="center"/>
          </w:tcPr>
          <w:p w14:paraId="2E978FDD" w14:textId="78B2427B" w:rsidR="000328D1" w:rsidRPr="00D376CB" w:rsidRDefault="000328D1" w:rsidP="000328D1">
            <w:pPr>
              <w:jc w:val="center"/>
              <w:rPr>
                <w:sz w:val="18"/>
                <w:szCs w:val="18"/>
              </w:rPr>
            </w:pPr>
            <w:r w:rsidRPr="00D376CB">
              <w:rPr>
                <w:sz w:val="18"/>
                <w:szCs w:val="18"/>
              </w:rPr>
              <w:t>64.46</w:t>
            </w:r>
          </w:p>
        </w:tc>
        <w:tc>
          <w:tcPr>
            <w:tcW w:w="990" w:type="dxa"/>
            <w:shd w:val="clear" w:color="auto" w:fill="auto"/>
            <w:noWrap/>
            <w:vAlign w:val="center"/>
          </w:tcPr>
          <w:p w14:paraId="0776CB5C" w14:textId="69AD692F" w:rsidR="000328D1" w:rsidRPr="00D376CB" w:rsidRDefault="000328D1" w:rsidP="000328D1">
            <w:pPr>
              <w:jc w:val="center"/>
              <w:rPr>
                <w:sz w:val="18"/>
                <w:szCs w:val="18"/>
              </w:rPr>
            </w:pPr>
            <w:r w:rsidRPr="00D376CB">
              <w:rPr>
                <w:sz w:val="18"/>
                <w:szCs w:val="18"/>
              </w:rPr>
              <w:t>16.12</w:t>
            </w:r>
          </w:p>
        </w:tc>
        <w:tc>
          <w:tcPr>
            <w:tcW w:w="1278" w:type="dxa"/>
            <w:shd w:val="clear" w:color="auto" w:fill="auto"/>
            <w:noWrap/>
            <w:vAlign w:val="center"/>
          </w:tcPr>
          <w:p w14:paraId="73643321" w14:textId="3CA91DB2" w:rsidR="000328D1" w:rsidRDefault="000328D1" w:rsidP="000328D1">
            <w:pPr>
              <w:jc w:val="center"/>
              <w:rPr>
                <w:sz w:val="18"/>
                <w:szCs w:val="18"/>
              </w:rPr>
            </w:pPr>
            <w:r w:rsidRPr="00D376CB">
              <w:rPr>
                <w:sz w:val="18"/>
                <w:szCs w:val="18"/>
              </w:rPr>
              <w:t>8,895.48</w:t>
            </w:r>
          </w:p>
        </w:tc>
        <w:tc>
          <w:tcPr>
            <w:tcW w:w="810" w:type="dxa"/>
            <w:shd w:val="clear" w:color="auto" w:fill="auto"/>
            <w:noWrap/>
            <w:vAlign w:val="center"/>
          </w:tcPr>
          <w:p w14:paraId="660A675B" w14:textId="3EE5058A" w:rsidR="000328D1" w:rsidRPr="00D376CB" w:rsidRDefault="000328D1" w:rsidP="000328D1">
            <w:pPr>
              <w:jc w:val="center"/>
              <w:rPr>
                <w:sz w:val="18"/>
                <w:szCs w:val="18"/>
              </w:rPr>
            </w:pPr>
            <w:r w:rsidRPr="00D376CB">
              <w:rPr>
                <w:sz w:val="18"/>
                <w:szCs w:val="18"/>
              </w:rPr>
              <w:t>once</w:t>
            </w:r>
          </w:p>
        </w:tc>
        <w:tc>
          <w:tcPr>
            <w:tcW w:w="1147" w:type="dxa"/>
          </w:tcPr>
          <w:p w14:paraId="382BFD54" w14:textId="73124ABC" w:rsidR="000328D1" w:rsidRDefault="000328D1" w:rsidP="000328D1">
            <w:pPr>
              <w:spacing w:before="240"/>
              <w:jc w:val="center"/>
              <w:rPr>
                <w:sz w:val="18"/>
                <w:szCs w:val="18"/>
              </w:rPr>
            </w:pPr>
            <w:r>
              <w:rPr>
                <w:sz w:val="18"/>
                <w:szCs w:val="18"/>
              </w:rPr>
              <w:t>TPD</w:t>
            </w:r>
          </w:p>
        </w:tc>
        <w:tc>
          <w:tcPr>
            <w:tcW w:w="1147" w:type="dxa"/>
            <w:shd w:val="clear" w:color="auto" w:fill="auto"/>
            <w:noWrap/>
            <w:vAlign w:val="center"/>
          </w:tcPr>
          <w:p w14:paraId="0AA24F3E" w14:textId="1FC9F2B4" w:rsidR="000328D1" w:rsidRDefault="000328D1" w:rsidP="000328D1">
            <w:pPr>
              <w:jc w:val="center"/>
              <w:rPr>
                <w:sz w:val="18"/>
                <w:szCs w:val="18"/>
              </w:rPr>
            </w:pPr>
            <w:r w:rsidRPr="00D376CB">
              <w:rPr>
                <w:sz w:val="18"/>
                <w:szCs w:val="18"/>
              </w:rPr>
              <w:t>46.0</w:t>
            </w:r>
          </w:p>
        </w:tc>
        <w:tc>
          <w:tcPr>
            <w:tcW w:w="1170" w:type="dxa"/>
            <w:shd w:val="clear" w:color="auto" w:fill="auto"/>
            <w:noWrap/>
            <w:vAlign w:val="center"/>
          </w:tcPr>
          <w:p w14:paraId="0FC6BB31" w14:textId="2170A627" w:rsidR="000328D1" w:rsidRDefault="000328D1" w:rsidP="000328D1">
            <w:pPr>
              <w:jc w:val="center"/>
              <w:rPr>
                <w:sz w:val="18"/>
                <w:szCs w:val="18"/>
              </w:rPr>
            </w:pPr>
            <w:r w:rsidRPr="00D376CB">
              <w:rPr>
                <w:sz w:val="18"/>
                <w:szCs w:val="18"/>
              </w:rPr>
              <w:t>2,965.16</w:t>
            </w:r>
          </w:p>
        </w:tc>
      </w:tr>
      <w:tr w:rsidR="000328D1" w:rsidRPr="00D376CB" w14:paraId="4A6D4874" w14:textId="77777777" w:rsidTr="00E80BF4">
        <w:trPr>
          <w:trHeight w:val="480"/>
        </w:trPr>
        <w:tc>
          <w:tcPr>
            <w:tcW w:w="1435" w:type="dxa"/>
          </w:tcPr>
          <w:p w14:paraId="626FF546" w14:textId="5B064153" w:rsidR="000328D1" w:rsidRDefault="000328D1" w:rsidP="000328D1">
            <w:pPr>
              <w:jc w:val="center"/>
              <w:rPr>
                <w:sz w:val="18"/>
                <w:szCs w:val="18"/>
              </w:rPr>
            </w:pPr>
            <w:r w:rsidRPr="00013855">
              <w:rPr>
                <w:sz w:val="18"/>
                <w:szCs w:val="18"/>
              </w:rPr>
              <w:t>12.24</w:t>
            </w:r>
          </w:p>
        </w:tc>
        <w:tc>
          <w:tcPr>
            <w:tcW w:w="1435" w:type="dxa"/>
            <w:shd w:val="clear" w:color="auto" w:fill="auto"/>
            <w:vAlign w:val="bottom"/>
          </w:tcPr>
          <w:p w14:paraId="1A04E1D3" w14:textId="77777777" w:rsidR="000328D1" w:rsidRPr="00013855" w:rsidRDefault="000328D1" w:rsidP="000328D1">
            <w:pPr>
              <w:jc w:val="center"/>
              <w:rPr>
                <w:sz w:val="18"/>
                <w:szCs w:val="18"/>
              </w:rPr>
            </w:pPr>
            <w:r w:rsidRPr="00013855">
              <w:rPr>
                <w:sz w:val="18"/>
                <w:szCs w:val="18"/>
              </w:rPr>
              <w:t>438.340(b)(6)</w:t>
            </w:r>
          </w:p>
          <w:p w14:paraId="7C217BA2" w14:textId="485818DE" w:rsidR="000328D1" w:rsidRPr="00D376CB" w:rsidRDefault="000328D1" w:rsidP="000328D1">
            <w:pPr>
              <w:jc w:val="center"/>
              <w:rPr>
                <w:sz w:val="18"/>
                <w:szCs w:val="18"/>
              </w:rPr>
            </w:pPr>
            <w:r w:rsidRPr="00013855">
              <w:rPr>
                <w:sz w:val="18"/>
                <w:szCs w:val="18"/>
              </w:rPr>
              <w:t>Report demographic data</w:t>
            </w:r>
          </w:p>
        </w:tc>
        <w:tc>
          <w:tcPr>
            <w:tcW w:w="995" w:type="dxa"/>
            <w:shd w:val="clear" w:color="auto" w:fill="auto"/>
            <w:noWrap/>
            <w:vAlign w:val="center"/>
          </w:tcPr>
          <w:p w14:paraId="2B90E3B3" w14:textId="76BEE5D8" w:rsidR="000328D1" w:rsidRDefault="000328D1" w:rsidP="000328D1">
            <w:pPr>
              <w:jc w:val="center"/>
              <w:rPr>
                <w:sz w:val="18"/>
                <w:szCs w:val="18"/>
              </w:rPr>
            </w:pPr>
            <w:r w:rsidRPr="00013855">
              <w:rPr>
                <w:sz w:val="18"/>
                <w:szCs w:val="18"/>
              </w:rPr>
              <w:t>40</w:t>
            </w:r>
          </w:p>
        </w:tc>
        <w:tc>
          <w:tcPr>
            <w:tcW w:w="1008" w:type="dxa"/>
            <w:shd w:val="clear" w:color="auto" w:fill="auto"/>
            <w:noWrap/>
            <w:vAlign w:val="center"/>
          </w:tcPr>
          <w:p w14:paraId="707C0897" w14:textId="14849093" w:rsidR="000328D1" w:rsidRDefault="000328D1" w:rsidP="000328D1">
            <w:pPr>
              <w:jc w:val="center"/>
              <w:rPr>
                <w:sz w:val="18"/>
                <w:szCs w:val="18"/>
              </w:rPr>
            </w:pPr>
            <w:r w:rsidRPr="00013855">
              <w:rPr>
                <w:sz w:val="18"/>
                <w:szCs w:val="18"/>
              </w:rPr>
              <w:t>40</w:t>
            </w:r>
          </w:p>
        </w:tc>
        <w:tc>
          <w:tcPr>
            <w:tcW w:w="967" w:type="dxa"/>
            <w:shd w:val="clear" w:color="auto" w:fill="auto"/>
            <w:noWrap/>
            <w:vAlign w:val="center"/>
          </w:tcPr>
          <w:p w14:paraId="61627C65" w14:textId="3CAB09AE" w:rsidR="000328D1" w:rsidRPr="00D376CB" w:rsidRDefault="000328D1" w:rsidP="000328D1">
            <w:pPr>
              <w:jc w:val="center"/>
              <w:rPr>
                <w:sz w:val="18"/>
                <w:szCs w:val="18"/>
              </w:rPr>
            </w:pPr>
            <w:r w:rsidRPr="00013855">
              <w:rPr>
                <w:sz w:val="18"/>
                <w:szCs w:val="18"/>
              </w:rPr>
              <w:t>130</w:t>
            </w:r>
          </w:p>
        </w:tc>
        <w:tc>
          <w:tcPr>
            <w:tcW w:w="1013" w:type="dxa"/>
            <w:shd w:val="clear" w:color="auto" w:fill="auto"/>
            <w:noWrap/>
            <w:vAlign w:val="center"/>
          </w:tcPr>
          <w:p w14:paraId="1A4B0C21" w14:textId="089F2D7C" w:rsidR="000328D1" w:rsidRDefault="000328D1" w:rsidP="000328D1">
            <w:pPr>
              <w:jc w:val="center"/>
              <w:rPr>
                <w:sz w:val="18"/>
                <w:szCs w:val="18"/>
              </w:rPr>
            </w:pPr>
            <w:r w:rsidRPr="00013855">
              <w:rPr>
                <w:sz w:val="18"/>
                <w:szCs w:val="18"/>
              </w:rPr>
              <w:t>5,200.0</w:t>
            </w:r>
          </w:p>
        </w:tc>
        <w:tc>
          <w:tcPr>
            <w:tcW w:w="702" w:type="dxa"/>
            <w:shd w:val="clear" w:color="auto" w:fill="auto"/>
            <w:noWrap/>
            <w:vAlign w:val="center"/>
          </w:tcPr>
          <w:p w14:paraId="4C1D14DF" w14:textId="5DA09648" w:rsidR="000328D1" w:rsidRPr="00D376CB" w:rsidRDefault="000328D1" w:rsidP="000328D1">
            <w:pPr>
              <w:jc w:val="center"/>
              <w:rPr>
                <w:sz w:val="18"/>
                <w:szCs w:val="18"/>
              </w:rPr>
            </w:pPr>
            <w:r w:rsidRPr="00013855">
              <w:rPr>
                <w:sz w:val="18"/>
                <w:szCs w:val="18"/>
              </w:rPr>
              <w:t>varies</w:t>
            </w:r>
          </w:p>
        </w:tc>
        <w:tc>
          <w:tcPr>
            <w:tcW w:w="990" w:type="dxa"/>
            <w:shd w:val="clear" w:color="auto" w:fill="auto"/>
            <w:noWrap/>
            <w:vAlign w:val="center"/>
          </w:tcPr>
          <w:p w14:paraId="12B68269" w14:textId="74B236BF" w:rsidR="000328D1" w:rsidRPr="00D376CB" w:rsidRDefault="000328D1" w:rsidP="000328D1">
            <w:pPr>
              <w:jc w:val="center"/>
              <w:rPr>
                <w:sz w:val="18"/>
                <w:szCs w:val="18"/>
              </w:rPr>
            </w:pPr>
            <w:r w:rsidRPr="00013855">
              <w:rPr>
                <w:sz w:val="18"/>
                <w:szCs w:val="18"/>
              </w:rPr>
              <w:t>6,565.00</w:t>
            </w:r>
          </w:p>
        </w:tc>
        <w:tc>
          <w:tcPr>
            <w:tcW w:w="1278" w:type="dxa"/>
            <w:shd w:val="clear" w:color="auto" w:fill="auto"/>
            <w:noWrap/>
            <w:vAlign w:val="center"/>
          </w:tcPr>
          <w:p w14:paraId="7EB5AFFC" w14:textId="73EB417C" w:rsidR="000328D1" w:rsidRDefault="000328D1" w:rsidP="000328D1">
            <w:pPr>
              <w:jc w:val="center"/>
              <w:rPr>
                <w:sz w:val="18"/>
                <w:szCs w:val="18"/>
              </w:rPr>
            </w:pPr>
            <w:r w:rsidRPr="00013855">
              <w:rPr>
                <w:sz w:val="18"/>
                <w:szCs w:val="18"/>
              </w:rPr>
              <w:t>262,600.00</w:t>
            </w:r>
          </w:p>
        </w:tc>
        <w:tc>
          <w:tcPr>
            <w:tcW w:w="810" w:type="dxa"/>
            <w:shd w:val="clear" w:color="auto" w:fill="auto"/>
            <w:noWrap/>
            <w:vAlign w:val="center"/>
          </w:tcPr>
          <w:p w14:paraId="1B2D5F72" w14:textId="233C14E1" w:rsidR="000328D1" w:rsidRPr="00D376CB" w:rsidRDefault="000328D1" w:rsidP="000328D1">
            <w:pPr>
              <w:jc w:val="center"/>
              <w:rPr>
                <w:sz w:val="18"/>
                <w:szCs w:val="18"/>
              </w:rPr>
            </w:pPr>
            <w:r w:rsidRPr="00013855">
              <w:rPr>
                <w:sz w:val="18"/>
                <w:szCs w:val="18"/>
              </w:rPr>
              <w:t>annual</w:t>
            </w:r>
          </w:p>
        </w:tc>
        <w:tc>
          <w:tcPr>
            <w:tcW w:w="1147" w:type="dxa"/>
          </w:tcPr>
          <w:p w14:paraId="36B3467F" w14:textId="52F9C5B1" w:rsidR="000328D1" w:rsidRDefault="000328D1" w:rsidP="000328D1">
            <w:pPr>
              <w:spacing w:before="240"/>
              <w:jc w:val="center"/>
              <w:rPr>
                <w:sz w:val="18"/>
                <w:szCs w:val="18"/>
              </w:rPr>
            </w:pPr>
            <w:r>
              <w:rPr>
                <w:sz w:val="18"/>
                <w:szCs w:val="18"/>
              </w:rPr>
              <w:t>TPD</w:t>
            </w:r>
          </w:p>
        </w:tc>
        <w:tc>
          <w:tcPr>
            <w:tcW w:w="1147" w:type="dxa"/>
            <w:shd w:val="clear" w:color="auto" w:fill="auto"/>
            <w:noWrap/>
            <w:vAlign w:val="center"/>
          </w:tcPr>
          <w:p w14:paraId="16A444D0" w14:textId="5321FBDB" w:rsidR="000328D1" w:rsidRDefault="000328D1" w:rsidP="000328D1">
            <w:pPr>
              <w:jc w:val="center"/>
              <w:rPr>
                <w:sz w:val="18"/>
                <w:szCs w:val="18"/>
              </w:rPr>
            </w:pPr>
            <w:r w:rsidRPr="00013855">
              <w:rPr>
                <w:sz w:val="18"/>
                <w:szCs w:val="18"/>
              </w:rPr>
              <w:t>5,200.0</w:t>
            </w:r>
          </w:p>
        </w:tc>
        <w:tc>
          <w:tcPr>
            <w:tcW w:w="1170" w:type="dxa"/>
            <w:shd w:val="clear" w:color="auto" w:fill="auto"/>
            <w:noWrap/>
            <w:vAlign w:val="center"/>
          </w:tcPr>
          <w:p w14:paraId="36F0AEC3" w14:textId="59C7D141" w:rsidR="000328D1" w:rsidRDefault="000328D1" w:rsidP="000328D1">
            <w:pPr>
              <w:jc w:val="center"/>
              <w:rPr>
                <w:sz w:val="18"/>
                <w:szCs w:val="18"/>
              </w:rPr>
            </w:pPr>
            <w:r w:rsidRPr="00013855">
              <w:rPr>
                <w:sz w:val="18"/>
                <w:szCs w:val="18"/>
              </w:rPr>
              <w:t>262,600.00</w:t>
            </w:r>
          </w:p>
        </w:tc>
      </w:tr>
      <w:tr w:rsidR="000328D1" w:rsidRPr="00D376CB" w14:paraId="6657A0CD" w14:textId="77777777" w:rsidTr="00E80BF4">
        <w:trPr>
          <w:trHeight w:val="480"/>
        </w:trPr>
        <w:tc>
          <w:tcPr>
            <w:tcW w:w="1435" w:type="dxa"/>
          </w:tcPr>
          <w:p w14:paraId="6D2D1BBF" w14:textId="3557D32E" w:rsidR="000328D1" w:rsidRDefault="000328D1" w:rsidP="000328D1">
            <w:pPr>
              <w:jc w:val="center"/>
              <w:rPr>
                <w:sz w:val="18"/>
                <w:szCs w:val="18"/>
              </w:rPr>
            </w:pPr>
            <w:r>
              <w:rPr>
                <w:sz w:val="18"/>
                <w:szCs w:val="18"/>
              </w:rPr>
              <w:t>12.29</w:t>
            </w:r>
          </w:p>
        </w:tc>
        <w:tc>
          <w:tcPr>
            <w:tcW w:w="1435" w:type="dxa"/>
            <w:shd w:val="clear" w:color="auto" w:fill="auto"/>
            <w:vAlign w:val="bottom"/>
          </w:tcPr>
          <w:p w14:paraId="054D48B5" w14:textId="77777777" w:rsidR="000328D1" w:rsidRPr="00CB52C2" w:rsidRDefault="000328D1" w:rsidP="000328D1">
            <w:pPr>
              <w:jc w:val="center"/>
              <w:rPr>
                <w:sz w:val="18"/>
                <w:szCs w:val="18"/>
              </w:rPr>
            </w:pPr>
            <w:r w:rsidRPr="00CB52C2">
              <w:rPr>
                <w:sz w:val="18"/>
                <w:szCs w:val="18"/>
              </w:rPr>
              <w:t>438.340(c)(2)(ii)</w:t>
            </w:r>
          </w:p>
          <w:p w14:paraId="768E63CC" w14:textId="00EAF5B0" w:rsidR="000328D1" w:rsidRPr="00D376CB" w:rsidRDefault="000328D1" w:rsidP="000328D1">
            <w:pPr>
              <w:jc w:val="center"/>
              <w:rPr>
                <w:sz w:val="18"/>
                <w:szCs w:val="18"/>
              </w:rPr>
            </w:pPr>
            <w:r w:rsidRPr="00CB52C2">
              <w:rPr>
                <w:sz w:val="18"/>
                <w:szCs w:val="18"/>
              </w:rPr>
              <w:t>Post QS Effectiveness Evaluation Online</w:t>
            </w:r>
          </w:p>
        </w:tc>
        <w:tc>
          <w:tcPr>
            <w:tcW w:w="995" w:type="dxa"/>
            <w:shd w:val="clear" w:color="auto" w:fill="auto"/>
            <w:noWrap/>
            <w:vAlign w:val="center"/>
          </w:tcPr>
          <w:p w14:paraId="4F977B39" w14:textId="50E021AD" w:rsidR="000328D1" w:rsidRDefault="000328D1" w:rsidP="000328D1">
            <w:pPr>
              <w:jc w:val="center"/>
              <w:rPr>
                <w:sz w:val="18"/>
                <w:szCs w:val="18"/>
              </w:rPr>
            </w:pPr>
            <w:r w:rsidRPr="00CB52C2">
              <w:rPr>
                <w:sz w:val="18"/>
                <w:szCs w:val="18"/>
              </w:rPr>
              <w:t>42</w:t>
            </w:r>
          </w:p>
        </w:tc>
        <w:tc>
          <w:tcPr>
            <w:tcW w:w="1008" w:type="dxa"/>
            <w:shd w:val="clear" w:color="auto" w:fill="auto"/>
            <w:noWrap/>
            <w:vAlign w:val="center"/>
          </w:tcPr>
          <w:p w14:paraId="015F2C20" w14:textId="4178C14A" w:rsidR="000328D1" w:rsidRDefault="000328D1" w:rsidP="000328D1">
            <w:pPr>
              <w:jc w:val="center"/>
              <w:rPr>
                <w:sz w:val="18"/>
                <w:szCs w:val="18"/>
              </w:rPr>
            </w:pPr>
            <w:r w:rsidRPr="00CB52C2">
              <w:rPr>
                <w:sz w:val="18"/>
                <w:szCs w:val="18"/>
              </w:rPr>
              <w:t>42</w:t>
            </w:r>
          </w:p>
        </w:tc>
        <w:tc>
          <w:tcPr>
            <w:tcW w:w="967" w:type="dxa"/>
            <w:shd w:val="clear" w:color="auto" w:fill="auto"/>
            <w:noWrap/>
            <w:vAlign w:val="center"/>
          </w:tcPr>
          <w:p w14:paraId="3B2C891D" w14:textId="509C1836" w:rsidR="000328D1" w:rsidRPr="00D376CB" w:rsidRDefault="000328D1" w:rsidP="000328D1">
            <w:pPr>
              <w:jc w:val="center"/>
              <w:rPr>
                <w:sz w:val="18"/>
                <w:szCs w:val="18"/>
              </w:rPr>
            </w:pPr>
            <w:r w:rsidRPr="00CB52C2">
              <w:rPr>
                <w:sz w:val="18"/>
                <w:szCs w:val="18"/>
              </w:rPr>
              <w:t>0.25</w:t>
            </w:r>
          </w:p>
        </w:tc>
        <w:tc>
          <w:tcPr>
            <w:tcW w:w="1013" w:type="dxa"/>
            <w:shd w:val="clear" w:color="auto" w:fill="auto"/>
            <w:noWrap/>
            <w:vAlign w:val="center"/>
          </w:tcPr>
          <w:p w14:paraId="3694EDEF" w14:textId="0F59B1C7" w:rsidR="000328D1" w:rsidRDefault="000328D1" w:rsidP="000328D1">
            <w:pPr>
              <w:jc w:val="center"/>
              <w:rPr>
                <w:sz w:val="18"/>
                <w:szCs w:val="18"/>
              </w:rPr>
            </w:pPr>
            <w:r w:rsidRPr="00CB52C2">
              <w:rPr>
                <w:sz w:val="18"/>
                <w:szCs w:val="18"/>
              </w:rPr>
              <w:t>10.5</w:t>
            </w:r>
          </w:p>
        </w:tc>
        <w:tc>
          <w:tcPr>
            <w:tcW w:w="702" w:type="dxa"/>
            <w:shd w:val="clear" w:color="auto" w:fill="auto"/>
            <w:noWrap/>
            <w:vAlign w:val="center"/>
          </w:tcPr>
          <w:p w14:paraId="0A78CB4F" w14:textId="7F05D0D1" w:rsidR="000328D1" w:rsidRPr="00D376CB" w:rsidRDefault="000328D1" w:rsidP="000328D1">
            <w:pPr>
              <w:jc w:val="center"/>
              <w:rPr>
                <w:sz w:val="18"/>
                <w:szCs w:val="18"/>
              </w:rPr>
            </w:pPr>
            <w:r w:rsidRPr="00CB52C2">
              <w:rPr>
                <w:sz w:val="18"/>
                <w:szCs w:val="18"/>
              </w:rPr>
              <w:t>64.46</w:t>
            </w:r>
          </w:p>
        </w:tc>
        <w:tc>
          <w:tcPr>
            <w:tcW w:w="990" w:type="dxa"/>
            <w:shd w:val="clear" w:color="auto" w:fill="auto"/>
            <w:noWrap/>
            <w:vAlign w:val="center"/>
          </w:tcPr>
          <w:p w14:paraId="571C553D" w14:textId="1D28E49A" w:rsidR="000328D1" w:rsidRPr="00D376CB" w:rsidRDefault="000328D1" w:rsidP="000328D1">
            <w:pPr>
              <w:jc w:val="center"/>
              <w:rPr>
                <w:sz w:val="18"/>
                <w:szCs w:val="18"/>
              </w:rPr>
            </w:pPr>
            <w:r w:rsidRPr="00CB52C2">
              <w:rPr>
                <w:sz w:val="18"/>
                <w:szCs w:val="18"/>
              </w:rPr>
              <w:t>16.12</w:t>
            </w:r>
          </w:p>
        </w:tc>
        <w:tc>
          <w:tcPr>
            <w:tcW w:w="1278" w:type="dxa"/>
            <w:shd w:val="clear" w:color="auto" w:fill="auto"/>
            <w:noWrap/>
            <w:vAlign w:val="center"/>
          </w:tcPr>
          <w:p w14:paraId="74FEE032" w14:textId="44D6B964" w:rsidR="000328D1" w:rsidRDefault="000328D1" w:rsidP="000328D1">
            <w:pPr>
              <w:jc w:val="center"/>
              <w:rPr>
                <w:sz w:val="18"/>
                <w:szCs w:val="18"/>
              </w:rPr>
            </w:pPr>
            <w:r w:rsidRPr="00CB52C2">
              <w:rPr>
                <w:sz w:val="18"/>
                <w:szCs w:val="18"/>
              </w:rPr>
              <w:t>676.83</w:t>
            </w:r>
          </w:p>
        </w:tc>
        <w:tc>
          <w:tcPr>
            <w:tcW w:w="810" w:type="dxa"/>
            <w:shd w:val="clear" w:color="auto" w:fill="auto"/>
            <w:noWrap/>
            <w:vAlign w:val="center"/>
          </w:tcPr>
          <w:p w14:paraId="70EBD29A" w14:textId="7C931C2C" w:rsidR="000328D1" w:rsidRPr="00D376CB" w:rsidRDefault="000328D1" w:rsidP="000328D1">
            <w:pPr>
              <w:jc w:val="center"/>
              <w:rPr>
                <w:sz w:val="18"/>
                <w:szCs w:val="18"/>
              </w:rPr>
            </w:pPr>
            <w:r w:rsidRPr="00CB52C2">
              <w:rPr>
                <w:sz w:val="18"/>
                <w:szCs w:val="18"/>
              </w:rPr>
              <w:t>annual</w:t>
            </w:r>
          </w:p>
        </w:tc>
        <w:tc>
          <w:tcPr>
            <w:tcW w:w="1147" w:type="dxa"/>
          </w:tcPr>
          <w:p w14:paraId="21FB4247" w14:textId="32ACC4F0" w:rsidR="000328D1" w:rsidRDefault="000328D1" w:rsidP="000328D1">
            <w:pPr>
              <w:spacing w:before="240"/>
              <w:jc w:val="center"/>
              <w:rPr>
                <w:sz w:val="18"/>
                <w:szCs w:val="18"/>
              </w:rPr>
            </w:pPr>
            <w:r>
              <w:rPr>
                <w:sz w:val="18"/>
                <w:szCs w:val="18"/>
              </w:rPr>
              <w:t>TPD</w:t>
            </w:r>
          </w:p>
        </w:tc>
        <w:tc>
          <w:tcPr>
            <w:tcW w:w="1147" w:type="dxa"/>
            <w:shd w:val="clear" w:color="auto" w:fill="auto"/>
            <w:noWrap/>
            <w:vAlign w:val="center"/>
          </w:tcPr>
          <w:p w14:paraId="3F2A59A9" w14:textId="290BF5E5" w:rsidR="000328D1" w:rsidRDefault="000328D1" w:rsidP="000328D1">
            <w:pPr>
              <w:jc w:val="center"/>
              <w:rPr>
                <w:sz w:val="18"/>
                <w:szCs w:val="18"/>
              </w:rPr>
            </w:pPr>
            <w:r w:rsidRPr="00CB52C2">
              <w:rPr>
                <w:sz w:val="18"/>
                <w:szCs w:val="18"/>
              </w:rPr>
              <w:t>3.5</w:t>
            </w:r>
          </w:p>
        </w:tc>
        <w:tc>
          <w:tcPr>
            <w:tcW w:w="1170" w:type="dxa"/>
            <w:shd w:val="clear" w:color="auto" w:fill="auto"/>
            <w:noWrap/>
            <w:vAlign w:val="center"/>
          </w:tcPr>
          <w:p w14:paraId="56BE8741" w14:textId="4AE50957" w:rsidR="000328D1" w:rsidRDefault="000328D1" w:rsidP="000328D1">
            <w:pPr>
              <w:jc w:val="center"/>
              <w:rPr>
                <w:sz w:val="18"/>
                <w:szCs w:val="18"/>
              </w:rPr>
            </w:pPr>
            <w:r w:rsidRPr="00CB52C2">
              <w:rPr>
                <w:sz w:val="18"/>
                <w:szCs w:val="18"/>
              </w:rPr>
              <w:t>225.61</w:t>
            </w:r>
          </w:p>
        </w:tc>
      </w:tr>
      <w:tr w:rsidR="000328D1" w:rsidRPr="00D376CB" w14:paraId="03B0CBA5" w14:textId="77777777" w:rsidTr="00E80BF4">
        <w:trPr>
          <w:trHeight w:val="480"/>
        </w:trPr>
        <w:tc>
          <w:tcPr>
            <w:tcW w:w="1435" w:type="dxa"/>
          </w:tcPr>
          <w:p w14:paraId="5F8FCD49" w14:textId="422E6799" w:rsidR="000328D1" w:rsidRDefault="000328D1" w:rsidP="000328D1">
            <w:pPr>
              <w:jc w:val="center"/>
              <w:rPr>
                <w:sz w:val="18"/>
                <w:szCs w:val="18"/>
              </w:rPr>
            </w:pPr>
            <w:r>
              <w:rPr>
                <w:sz w:val="18"/>
                <w:szCs w:val="18"/>
              </w:rPr>
              <w:t>12.31</w:t>
            </w:r>
          </w:p>
        </w:tc>
        <w:tc>
          <w:tcPr>
            <w:tcW w:w="1435" w:type="dxa"/>
            <w:shd w:val="clear" w:color="auto" w:fill="auto"/>
            <w:vAlign w:val="bottom"/>
          </w:tcPr>
          <w:p w14:paraId="094928C2" w14:textId="77777777" w:rsidR="000328D1" w:rsidRPr="00CB52C2" w:rsidRDefault="000328D1" w:rsidP="000328D1">
            <w:pPr>
              <w:jc w:val="center"/>
              <w:rPr>
                <w:sz w:val="18"/>
                <w:szCs w:val="18"/>
              </w:rPr>
            </w:pPr>
            <w:r w:rsidRPr="00CB52C2">
              <w:rPr>
                <w:sz w:val="18"/>
                <w:szCs w:val="18"/>
              </w:rPr>
              <w:t>438.340(d)</w:t>
            </w:r>
          </w:p>
          <w:p w14:paraId="2AC365E7" w14:textId="56AD5B97" w:rsidR="000328D1" w:rsidRPr="00D376CB" w:rsidRDefault="000328D1" w:rsidP="000328D1">
            <w:pPr>
              <w:jc w:val="center"/>
              <w:rPr>
                <w:sz w:val="18"/>
                <w:szCs w:val="18"/>
              </w:rPr>
            </w:pPr>
            <w:r w:rsidRPr="00CB52C2">
              <w:rPr>
                <w:sz w:val="18"/>
                <w:szCs w:val="18"/>
              </w:rPr>
              <w:t>Post Final QS Online</w:t>
            </w:r>
          </w:p>
        </w:tc>
        <w:tc>
          <w:tcPr>
            <w:tcW w:w="995" w:type="dxa"/>
            <w:shd w:val="clear" w:color="auto" w:fill="auto"/>
            <w:noWrap/>
            <w:vAlign w:val="center"/>
          </w:tcPr>
          <w:p w14:paraId="2529167A" w14:textId="539F83C6" w:rsidR="000328D1" w:rsidRDefault="000328D1" w:rsidP="000328D1">
            <w:pPr>
              <w:jc w:val="center"/>
              <w:rPr>
                <w:sz w:val="18"/>
                <w:szCs w:val="18"/>
              </w:rPr>
            </w:pPr>
            <w:r w:rsidRPr="00CB52C2">
              <w:rPr>
                <w:sz w:val="18"/>
                <w:szCs w:val="18"/>
              </w:rPr>
              <w:t>42</w:t>
            </w:r>
          </w:p>
        </w:tc>
        <w:tc>
          <w:tcPr>
            <w:tcW w:w="1008" w:type="dxa"/>
            <w:shd w:val="clear" w:color="auto" w:fill="auto"/>
            <w:noWrap/>
            <w:vAlign w:val="center"/>
          </w:tcPr>
          <w:p w14:paraId="34500BB4" w14:textId="298F2D8E" w:rsidR="000328D1" w:rsidRDefault="000328D1" w:rsidP="000328D1">
            <w:pPr>
              <w:jc w:val="center"/>
              <w:rPr>
                <w:sz w:val="18"/>
                <w:szCs w:val="18"/>
              </w:rPr>
            </w:pPr>
            <w:r w:rsidRPr="00CB52C2">
              <w:rPr>
                <w:sz w:val="18"/>
                <w:szCs w:val="18"/>
              </w:rPr>
              <w:t>42</w:t>
            </w:r>
          </w:p>
        </w:tc>
        <w:tc>
          <w:tcPr>
            <w:tcW w:w="967" w:type="dxa"/>
            <w:shd w:val="clear" w:color="auto" w:fill="auto"/>
            <w:noWrap/>
            <w:vAlign w:val="center"/>
          </w:tcPr>
          <w:p w14:paraId="7DDDD9DE" w14:textId="74D36644" w:rsidR="000328D1" w:rsidRPr="00D376CB" w:rsidRDefault="000328D1" w:rsidP="000328D1">
            <w:pPr>
              <w:jc w:val="center"/>
              <w:rPr>
                <w:sz w:val="18"/>
                <w:szCs w:val="18"/>
              </w:rPr>
            </w:pPr>
            <w:r w:rsidRPr="00CB52C2">
              <w:rPr>
                <w:sz w:val="18"/>
                <w:szCs w:val="18"/>
              </w:rPr>
              <w:t>0.25</w:t>
            </w:r>
          </w:p>
        </w:tc>
        <w:tc>
          <w:tcPr>
            <w:tcW w:w="1013" w:type="dxa"/>
            <w:shd w:val="clear" w:color="auto" w:fill="auto"/>
            <w:noWrap/>
            <w:vAlign w:val="center"/>
          </w:tcPr>
          <w:p w14:paraId="42FC25EA" w14:textId="6D073C0E" w:rsidR="000328D1" w:rsidRDefault="000328D1" w:rsidP="000328D1">
            <w:pPr>
              <w:jc w:val="center"/>
              <w:rPr>
                <w:sz w:val="18"/>
                <w:szCs w:val="18"/>
              </w:rPr>
            </w:pPr>
            <w:r w:rsidRPr="00CB52C2">
              <w:rPr>
                <w:sz w:val="18"/>
                <w:szCs w:val="18"/>
              </w:rPr>
              <w:t>10.5</w:t>
            </w:r>
          </w:p>
        </w:tc>
        <w:tc>
          <w:tcPr>
            <w:tcW w:w="702" w:type="dxa"/>
            <w:shd w:val="clear" w:color="auto" w:fill="auto"/>
            <w:noWrap/>
            <w:vAlign w:val="center"/>
          </w:tcPr>
          <w:p w14:paraId="5E475D0B" w14:textId="4997E0F1" w:rsidR="000328D1" w:rsidRPr="00D376CB" w:rsidRDefault="000328D1" w:rsidP="000328D1">
            <w:pPr>
              <w:jc w:val="center"/>
              <w:rPr>
                <w:sz w:val="18"/>
                <w:szCs w:val="18"/>
              </w:rPr>
            </w:pPr>
            <w:r w:rsidRPr="00CB52C2">
              <w:rPr>
                <w:sz w:val="18"/>
                <w:szCs w:val="18"/>
              </w:rPr>
              <w:t>64.46</w:t>
            </w:r>
          </w:p>
        </w:tc>
        <w:tc>
          <w:tcPr>
            <w:tcW w:w="990" w:type="dxa"/>
            <w:shd w:val="clear" w:color="auto" w:fill="auto"/>
            <w:noWrap/>
            <w:vAlign w:val="center"/>
          </w:tcPr>
          <w:p w14:paraId="72C9636F" w14:textId="629D6121" w:rsidR="000328D1" w:rsidRPr="00D376CB" w:rsidRDefault="000328D1" w:rsidP="000328D1">
            <w:pPr>
              <w:jc w:val="center"/>
              <w:rPr>
                <w:sz w:val="18"/>
                <w:szCs w:val="18"/>
              </w:rPr>
            </w:pPr>
            <w:r w:rsidRPr="00CB52C2">
              <w:rPr>
                <w:sz w:val="18"/>
                <w:szCs w:val="18"/>
              </w:rPr>
              <w:t>16.12</w:t>
            </w:r>
          </w:p>
        </w:tc>
        <w:tc>
          <w:tcPr>
            <w:tcW w:w="1278" w:type="dxa"/>
            <w:shd w:val="clear" w:color="auto" w:fill="auto"/>
            <w:noWrap/>
            <w:vAlign w:val="center"/>
          </w:tcPr>
          <w:p w14:paraId="32F87D81" w14:textId="4AA41830" w:rsidR="000328D1" w:rsidRDefault="000328D1" w:rsidP="000328D1">
            <w:pPr>
              <w:jc w:val="center"/>
              <w:rPr>
                <w:sz w:val="18"/>
                <w:szCs w:val="18"/>
              </w:rPr>
            </w:pPr>
            <w:r w:rsidRPr="00CB52C2">
              <w:rPr>
                <w:sz w:val="18"/>
                <w:szCs w:val="18"/>
              </w:rPr>
              <w:t>676.83</w:t>
            </w:r>
          </w:p>
        </w:tc>
        <w:tc>
          <w:tcPr>
            <w:tcW w:w="810" w:type="dxa"/>
            <w:shd w:val="clear" w:color="auto" w:fill="auto"/>
            <w:noWrap/>
            <w:vAlign w:val="center"/>
          </w:tcPr>
          <w:p w14:paraId="01F39229" w14:textId="1440C42E" w:rsidR="000328D1" w:rsidRPr="00D376CB" w:rsidRDefault="000328D1" w:rsidP="000328D1">
            <w:pPr>
              <w:jc w:val="center"/>
              <w:rPr>
                <w:sz w:val="18"/>
                <w:szCs w:val="18"/>
              </w:rPr>
            </w:pPr>
            <w:r w:rsidRPr="00CB52C2">
              <w:rPr>
                <w:sz w:val="18"/>
                <w:szCs w:val="18"/>
              </w:rPr>
              <w:t>annual</w:t>
            </w:r>
          </w:p>
        </w:tc>
        <w:tc>
          <w:tcPr>
            <w:tcW w:w="1147" w:type="dxa"/>
          </w:tcPr>
          <w:p w14:paraId="783AEFA1" w14:textId="13B2CAEA" w:rsidR="000328D1" w:rsidRDefault="000328D1" w:rsidP="000328D1">
            <w:pPr>
              <w:spacing w:before="240"/>
              <w:jc w:val="center"/>
              <w:rPr>
                <w:sz w:val="18"/>
                <w:szCs w:val="18"/>
              </w:rPr>
            </w:pPr>
            <w:r>
              <w:rPr>
                <w:sz w:val="18"/>
                <w:szCs w:val="18"/>
              </w:rPr>
              <w:t>TPD</w:t>
            </w:r>
          </w:p>
        </w:tc>
        <w:tc>
          <w:tcPr>
            <w:tcW w:w="1147" w:type="dxa"/>
            <w:shd w:val="clear" w:color="auto" w:fill="auto"/>
            <w:noWrap/>
            <w:vAlign w:val="center"/>
          </w:tcPr>
          <w:p w14:paraId="0807F14D" w14:textId="4D1F414F" w:rsidR="000328D1" w:rsidRDefault="000328D1" w:rsidP="000328D1">
            <w:pPr>
              <w:jc w:val="center"/>
              <w:rPr>
                <w:sz w:val="18"/>
                <w:szCs w:val="18"/>
              </w:rPr>
            </w:pPr>
            <w:r w:rsidRPr="00CB52C2">
              <w:rPr>
                <w:sz w:val="18"/>
                <w:szCs w:val="18"/>
              </w:rPr>
              <w:t>3.5</w:t>
            </w:r>
          </w:p>
        </w:tc>
        <w:tc>
          <w:tcPr>
            <w:tcW w:w="1170" w:type="dxa"/>
            <w:shd w:val="clear" w:color="auto" w:fill="auto"/>
            <w:noWrap/>
            <w:vAlign w:val="center"/>
          </w:tcPr>
          <w:p w14:paraId="33C0BA1D" w14:textId="4319466C" w:rsidR="000328D1" w:rsidRDefault="000328D1" w:rsidP="000328D1">
            <w:pPr>
              <w:jc w:val="center"/>
              <w:rPr>
                <w:sz w:val="18"/>
                <w:szCs w:val="18"/>
              </w:rPr>
            </w:pPr>
            <w:r w:rsidRPr="00CB52C2">
              <w:rPr>
                <w:sz w:val="18"/>
                <w:szCs w:val="18"/>
              </w:rPr>
              <w:t>225.61</w:t>
            </w:r>
          </w:p>
        </w:tc>
      </w:tr>
      <w:tr w:rsidR="00AB06BF" w:rsidRPr="00AB06BF" w14:paraId="3C130C66" w14:textId="77777777" w:rsidTr="00AB06BF">
        <w:trPr>
          <w:trHeight w:val="480"/>
        </w:trPr>
        <w:tc>
          <w:tcPr>
            <w:tcW w:w="1435" w:type="dxa"/>
            <w:shd w:val="clear" w:color="auto" w:fill="D9D9D9" w:themeFill="background1" w:themeFillShade="D9"/>
          </w:tcPr>
          <w:p w14:paraId="0AF9E995" w14:textId="77777777" w:rsidR="00AB06BF" w:rsidRPr="00705B7F" w:rsidRDefault="00AB06BF" w:rsidP="00AB06BF">
            <w:pPr>
              <w:jc w:val="center"/>
              <w:rPr>
                <w:i/>
                <w:sz w:val="18"/>
                <w:szCs w:val="18"/>
              </w:rPr>
            </w:pPr>
          </w:p>
        </w:tc>
        <w:tc>
          <w:tcPr>
            <w:tcW w:w="1435" w:type="dxa"/>
            <w:shd w:val="clear" w:color="auto" w:fill="D9D9D9" w:themeFill="background1" w:themeFillShade="D9"/>
            <w:vAlign w:val="center"/>
          </w:tcPr>
          <w:p w14:paraId="30829FF1" w14:textId="0C868BC5" w:rsidR="00AB06BF" w:rsidRPr="00705B7F" w:rsidRDefault="00AB06BF" w:rsidP="00AB06BF">
            <w:pPr>
              <w:jc w:val="center"/>
              <w:rPr>
                <w:i/>
                <w:sz w:val="18"/>
                <w:szCs w:val="18"/>
              </w:rPr>
            </w:pPr>
            <w:r w:rsidRPr="00705B7F">
              <w:rPr>
                <w:i/>
                <w:color w:val="000000"/>
                <w:sz w:val="18"/>
                <w:szCs w:val="18"/>
              </w:rPr>
              <w:t>SUBTOTAL: Third-Party Disclosure</w:t>
            </w:r>
          </w:p>
        </w:tc>
        <w:tc>
          <w:tcPr>
            <w:tcW w:w="995" w:type="dxa"/>
            <w:shd w:val="clear" w:color="auto" w:fill="D9D9D9" w:themeFill="background1" w:themeFillShade="D9"/>
            <w:noWrap/>
            <w:vAlign w:val="center"/>
          </w:tcPr>
          <w:p w14:paraId="1E3EBDD7" w14:textId="5363A47F" w:rsidR="00AB06BF" w:rsidRPr="00705B7F" w:rsidRDefault="00705B7F" w:rsidP="00AB06BF">
            <w:pPr>
              <w:jc w:val="center"/>
              <w:rPr>
                <w:i/>
                <w:sz w:val="18"/>
                <w:szCs w:val="18"/>
              </w:rPr>
            </w:pPr>
            <w:r w:rsidRPr="00705B7F">
              <w:rPr>
                <w:i/>
                <w:sz w:val="18"/>
                <w:szCs w:val="18"/>
              </w:rPr>
              <w:t>42</w:t>
            </w:r>
          </w:p>
        </w:tc>
        <w:tc>
          <w:tcPr>
            <w:tcW w:w="1008" w:type="dxa"/>
            <w:shd w:val="clear" w:color="auto" w:fill="D9D9D9" w:themeFill="background1" w:themeFillShade="D9"/>
            <w:noWrap/>
            <w:vAlign w:val="center"/>
          </w:tcPr>
          <w:p w14:paraId="68059A0D" w14:textId="30AA7B99" w:rsidR="00AB06BF" w:rsidRPr="00705B7F" w:rsidRDefault="00705B7F" w:rsidP="00AB06BF">
            <w:pPr>
              <w:jc w:val="center"/>
              <w:rPr>
                <w:i/>
                <w:sz w:val="18"/>
                <w:szCs w:val="18"/>
              </w:rPr>
            </w:pPr>
            <w:r>
              <w:rPr>
                <w:i/>
                <w:sz w:val="18"/>
                <w:szCs w:val="18"/>
              </w:rPr>
              <w:t>681</w:t>
            </w:r>
          </w:p>
        </w:tc>
        <w:tc>
          <w:tcPr>
            <w:tcW w:w="967" w:type="dxa"/>
            <w:shd w:val="clear" w:color="auto" w:fill="D9D9D9" w:themeFill="background1" w:themeFillShade="D9"/>
            <w:noWrap/>
            <w:vAlign w:val="center"/>
          </w:tcPr>
          <w:p w14:paraId="39F3C05C" w14:textId="7E49F93E" w:rsidR="00AB06BF" w:rsidRPr="00705B7F" w:rsidRDefault="00705B7F" w:rsidP="00AB06BF">
            <w:pPr>
              <w:jc w:val="center"/>
              <w:rPr>
                <w:i/>
                <w:sz w:val="18"/>
                <w:szCs w:val="18"/>
              </w:rPr>
            </w:pPr>
            <w:r>
              <w:rPr>
                <w:i/>
                <w:sz w:val="18"/>
                <w:szCs w:val="18"/>
              </w:rPr>
              <w:t>varies</w:t>
            </w:r>
          </w:p>
        </w:tc>
        <w:tc>
          <w:tcPr>
            <w:tcW w:w="1013" w:type="dxa"/>
            <w:shd w:val="clear" w:color="auto" w:fill="D9D9D9" w:themeFill="background1" w:themeFillShade="D9"/>
            <w:noWrap/>
            <w:vAlign w:val="center"/>
          </w:tcPr>
          <w:p w14:paraId="572768E1" w14:textId="1AEBC5F7" w:rsidR="00AB06BF" w:rsidRPr="00705B7F" w:rsidRDefault="00705B7F" w:rsidP="00AB06BF">
            <w:pPr>
              <w:jc w:val="center"/>
              <w:rPr>
                <w:i/>
                <w:sz w:val="18"/>
                <w:szCs w:val="18"/>
              </w:rPr>
            </w:pPr>
            <w:r>
              <w:rPr>
                <w:i/>
                <w:sz w:val="18"/>
                <w:szCs w:val="18"/>
              </w:rPr>
              <w:t>5.360</w:t>
            </w:r>
          </w:p>
        </w:tc>
        <w:tc>
          <w:tcPr>
            <w:tcW w:w="702" w:type="dxa"/>
            <w:shd w:val="clear" w:color="auto" w:fill="D9D9D9" w:themeFill="background1" w:themeFillShade="D9"/>
            <w:noWrap/>
            <w:vAlign w:val="center"/>
          </w:tcPr>
          <w:p w14:paraId="1DEF6951" w14:textId="621658B0" w:rsidR="00AB06BF" w:rsidRPr="00705B7F" w:rsidRDefault="00705B7F" w:rsidP="00AB06BF">
            <w:pPr>
              <w:jc w:val="center"/>
              <w:rPr>
                <w:i/>
                <w:sz w:val="18"/>
                <w:szCs w:val="18"/>
              </w:rPr>
            </w:pPr>
            <w:r>
              <w:rPr>
                <w:i/>
                <w:sz w:val="18"/>
                <w:szCs w:val="18"/>
              </w:rPr>
              <w:t>varies</w:t>
            </w:r>
          </w:p>
        </w:tc>
        <w:tc>
          <w:tcPr>
            <w:tcW w:w="990" w:type="dxa"/>
            <w:shd w:val="clear" w:color="auto" w:fill="D9D9D9" w:themeFill="background1" w:themeFillShade="D9"/>
            <w:noWrap/>
            <w:vAlign w:val="center"/>
          </w:tcPr>
          <w:p w14:paraId="04A7F948" w14:textId="4D4E5999" w:rsidR="00AB06BF" w:rsidRPr="00705B7F" w:rsidRDefault="00705B7F" w:rsidP="00AB06BF">
            <w:pPr>
              <w:jc w:val="center"/>
              <w:rPr>
                <w:i/>
                <w:sz w:val="18"/>
                <w:szCs w:val="18"/>
              </w:rPr>
            </w:pPr>
            <w:r>
              <w:rPr>
                <w:i/>
                <w:sz w:val="18"/>
                <w:szCs w:val="18"/>
              </w:rPr>
              <w:t>6,742.28</w:t>
            </w:r>
          </w:p>
        </w:tc>
        <w:tc>
          <w:tcPr>
            <w:tcW w:w="1278" w:type="dxa"/>
            <w:shd w:val="clear" w:color="auto" w:fill="D9D9D9" w:themeFill="background1" w:themeFillShade="D9"/>
            <w:noWrap/>
            <w:vAlign w:val="center"/>
          </w:tcPr>
          <w:p w14:paraId="3B13031E" w14:textId="37B6EEB8" w:rsidR="00AB06BF" w:rsidRPr="00705B7F" w:rsidRDefault="00705B7F" w:rsidP="00AB06BF">
            <w:pPr>
              <w:jc w:val="center"/>
              <w:rPr>
                <w:i/>
                <w:sz w:val="18"/>
                <w:szCs w:val="18"/>
              </w:rPr>
            </w:pPr>
            <w:r>
              <w:rPr>
                <w:i/>
                <w:sz w:val="18"/>
                <w:szCs w:val="18"/>
              </w:rPr>
              <w:t>273,493.74</w:t>
            </w:r>
          </w:p>
        </w:tc>
        <w:tc>
          <w:tcPr>
            <w:tcW w:w="810" w:type="dxa"/>
            <w:shd w:val="clear" w:color="auto" w:fill="D9D9D9" w:themeFill="background1" w:themeFillShade="D9"/>
            <w:noWrap/>
            <w:vAlign w:val="center"/>
          </w:tcPr>
          <w:p w14:paraId="636B6612" w14:textId="7FF0CF33" w:rsidR="00AB06BF" w:rsidRPr="00705B7F" w:rsidRDefault="00705B7F" w:rsidP="00AB06BF">
            <w:pPr>
              <w:jc w:val="center"/>
              <w:rPr>
                <w:i/>
                <w:sz w:val="18"/>
                <w:szCs w:val="18"/>
              </w:rPr>
            </w:pPr>
            <w:r>
              <w:rPr>
                <w:i/>
                <w:sz w:val="18"/>
                <w:szCs w:val="18"/>
              </w:rPr>
              <w:t>n/a</w:t>
            </w:r>
          </w:p>
        </w:tc>
        <w:tc>
          <w:tcPr>
            <w:tcW w:w="1147" w:type="dxa"/>
            <w:shd w:val="clear" w:color="auto" w:fill="D9D9D9" w:themeFill="background1" w:themeFillShade="D9"/>
          </w:tcPr>
          <w:p w14:paraId="2A37A804" w14:textId="5449C6DF" w:rsidR="00AB06BF" w:rsidRPr="00705B7F" w:rsidRDefault="00705B7F" w:rsidP="00AB06BF">
            <w:pPr>
              <w:spacing w:before="240"/>
              <w:jc w:val="center"/>
              <w:rPr>
                <w:i/>
                <w:sz w:val="18"/>
                <w:szCs w:val="18"/>
              </w:rPr>
            </w:pPr>
            <w:r>
              <w:rPr>
                <w:i/>
                <w:sz w:val="18"/>
                <w:szCs w:val="18"/>
              </w:rPr>
              <w:t>TPD</w:t>
            </w:r>
          </w:p>
        </w:tc>
        <w:tc>
          <w:tcPr>
            <w:tcW w:w="1147" w:type="dxa"/>
            <w:shd w:val="clear" w:color="auto" w:fill="D9D9D9" w:themeFill="background1" w:themeFillShade="D9"/>
            <w:noWrap/>
            <w:vAlign w:val="center"/>
          </w:tcPr>
          <w:p w14:paraId="34357560" w14:textId="37BBAC0B" w:rsidR="00AB06BF" w:rsidRPr="00705B7F" w:rsidRDefault="00705B7F" w:rsidP="00AB06BF">
            <w:pPr>
              <w:jc w:val="center"/>
              <w:rPr>
                <w:i/>
                <w:sz w:val="18"/>
                <w:szCs w:val="18"/>
              </w:rPr>
            </w:pPr>
            <w:r>
              <w:rPr>
                <w:i/>
                <w:sz w:val="18"/>
                <w:szCs w:val="18"/>
              </w:rPr>
              <w:t>5,256.30</w:t>
            </w:r>
          </w:p>
        </w:tc>
        <w:tc>
          <w:tcPr>
            <w:tcW w:w="1170" w:type="dxa"/>
            <w:shd w:val="clear" w:color="auto" w:fill="D9D9D9" w:themeFill="background1" w:themeFillShade="D9"/>
            <w:noWrap/>
            <w:vAlign w:val="center"/>
          </w:tcPr>
          <w:p w14:paraId="01E4A824" w14:textId="27A0E1EB" w:rsidR="00AB06BF" w:rsidRPr="00705B7F" w:rsidRDefault="00705B7F" w:rsidP="00AB06BF">
            <w:pPr>
              <w:jc w:val="center"/>
              <w:rPr>
                <w:i/>
                <w:sz w:val="18"/>
                <w:szCs w:val="18"/>
              </w:rPr>
            </w:pPr>
            <w:r>
              <w:rPr>
                <w:i/>
                <w:sz w:val="18"/>
                <w:szCs w:val="18"/>
              </w:rPr>
              <w:t>266,231.25</w:t>
            </w:r>
          </w:p>
        </w:tc>
      </w:tr>
      <w:tr w:rsidR="00AB06BF" w:rsidRPr="00D376CB" w14:paraId="78ECA5DD" w14:textId="77777777" w:rsidTr="00E80BF4">
        <w:trPr>
          <w:trHeight w:val="480"/>
        </w:trPr>
        <w:tc>
          <w:tcPr>
            <w:tcW w:w="1435" w:type="dxa"/>
          </w:tcPr>
          <w:p w14:paraId="700C9244" w14:textId="1C8D22FB" w:rsidR="00AB06BF" w:rsidRPr="00D376CB" w:rsidRDefault="00AB06BF" w:rsidP="00AB06BF">
            <w:pPr>
              <w:jc w:val="center"/>
              <w:rPr>
                <w:sz w:val="18"/>
                <w:szCs w:val="18"/>
              </w:rPr>
            </w:pPr>
            <w:r>
              <w:rPr>
                <w:sz w:val="18"/>
                <w:szCs w:val="18"/>
              </w:rPr>
              <w:t>12.2</w:t>
            </w:r>
          </w:p>
        </w:tc>
        <w:tc>
          <w:tcPr>
            <w:tcW w:w="1435" w:type="dxa"/>
            <w:shd w:val="clear" w:color="auto" w:fill="auto"/>
            <w:vAlign w:val="bottom"/>
            <w:hideMark/>
          </w:tcPr>
          <w:p w14:paraId="72CD14A6" w14:textId="3084C1D3" w:rsidR="00AB06BF" w:rsidRPr="00D376CB" w:rsidRDefault="00AB06BF" w:rsidP="00AB06BF">
            <w:pPr>
              <w:jc w:val="center"/>
              <w:rPr>
                <w:sz w:val="18"/>
                <w:szCs w:val="18"/>
              </w:rPr>
            </w:pPr>
            <w:r w:rsidRPr="00D376CB">
              <w:rPr>
                <w:sz w:val="18"/>
                <w:szCs w:val="18"/>
              </w:rPr>
              <w:t>438.330(a)(2)</w:t>
            </w:r>
          </w:p>
          <w:p w14:paraId="409E2688" w14:textId="77777777" w:rsidR="00AB06BF" w:rsidRPr="00D376CB" w:rsidRDefault="00AB06BF" w:rsidP="00AB06BF">
            <w:pPr>
              <w:jc w:val="center"/>
              <w:rPr>
                <w:sz w:val="18"/>
                <w:szCs w:val="18"/>
              </w:rPr>
            </w:pPr>
            <w:r w:rsidRPr="00D376CB">
              <w:rPr>
                <w:sz w:val="18"/>
                <w:szCs w:val="18"/>
              </w:rPr>
              <w:t>State QAPI Programming</w:t>
            </w:r>
          </w:p>
        </w:tc>
        <w:tc>
          <w:tcPr>
            <w:tcW w:w="995" w:type="dxa"/>
            <w:shd w:val="clear" w:color="auto" w:fill="auto"/>
            <w:noWrap/>
            <w:vAlign w:val="center"/>
            <w:hideMark/>
          </w:tcPr>
          <w:p w14:paraId="0E38FD8F" w14:textId="77777777" w:rsidR="00AB06BF" w:rsidRPr="00D376CB" w:rsidRDefault="00AB06BF" w:rsidP="00AB06BF">
            <w:pPr>
              <w:jc w:val="center"/>
              <w:rPr>
                <w:sz w:val="18"/>
                <w:szCs w:val="18"/>
              </w:rPr>
            </w:pPr>
            <w:r w:rsidRPr="00D376CB">
              <w:rPr>
                <w:sz w:val="18"/>
                <w:szCs w:val="18"/>
              </w:rPr>
              <w:t>40</w:t>
            </w:r>
          </w:p>
        </w:tc>
        <w:tc>
          <w:tcPr>
            <w:tcW w:w="1008" w:type="dxa"/>
            <w:shd w:val="clear" w:color="auto" w:fill="auto"/>
            <w:noWrap/>
            <w:vAlign w:val="center"/>
            <w:hideMark/>
          </w:tcPr>
          <w:p w14:paraId="3B641BBC" w14:textId="77777777" w:rsidR="00AB06BF" w:rsidRPr="00D376CB" w:rsidRDefault="00AB06BF" w:rsidP="00AB06BF">
            <w:pPr>
              <w:jc w:val="center"/>
              <w:rPr>
                <w:sz w:val="18"/>
                <w:szCs w:val="18"/>
              </w:rPr>
            </w:pPr>
            <w:r w:rsidRPr="00D376CB">
              <w:rPr>
                <w:sz w:val="18"/>
                <w:szCs w:val="18"/>
              </w:rPr>
              <w:t>40</w:t>
            </w:r>
          </w:p>
        </w:tc>
        <w:tc>
          <w:tcPr>
            <w:tcW w:w="967" w:type="dxa"/>
            <w:shd w:val="clear" w:color="auto" w:fill="auto"/>
            <w:noWrap/>
            <w:vAlign w:val="center"/>
            <w:hideMark/>
          </w:tcPr>
          <w:p w14:paraId="0A88CB66" w14:textId="77777777" w:rsidR="00AB06BF" w:rsidRPr="00D376CB" w:rsidRDefault="00AB06BF" w:rsidP="00AB06BF">
            <w:pPr>
              <w:jc w:val="center"/>
              <w:rPr>
                <w:sz w:val="18"/>
                <w:szCs w:val="18"/>
              </w:rPr>
            </w:pPr>
            <w:r w:rsidRPr="00D376CB">
              <w:rPr>
                <w:sz w:val="18"/>
                <w:szCs w:val="18"/>
              </w:rPr>
              <w:t>10</w:t>
            </w:r>
          </w:p>
        </w:tc>
        <w:tc>
          <w:tcPr>
            <w:tcW w:w="1013" w:type="dxa"/>
            <w:shd w:val="clear" w:color="auto" w:fill="auto"/>
            <w:noWrap/>
            <w:vAlign w:val="center"/>
            <w:hideMark/>
          </w:tcPr>
          <w:p w14:paraId="3CEFC233" w14:textId="77777777" w:rsidR="00AB06BF" w:rsidRPr="00D376CB" w:rsidRDefault="00AB06BF" w:rsidP="00AB06BF">
            <w:pPr>
              <w:jc w:val="center"/>
              <w:rPr>
                <w:sz w:val="18"/>
                <w:szCs w:val="18"/>
              </w:rPr>
            </w:pPr>
            <w:r w:rsidRPr="00D376CB">
              <w:rPr>
                <w:sz w:val="18"/>
                <w:szCs w:val="18"/>
              </w:rPr>
              <w:t>400.0</w:t>
            </w:r>
          </w:p>
        </w:tc>
        <w:tc>
          <w:tcPr>
            <w:tcW w:w="702" w:type="dxa"/>
            <w:shd w:val="clear" w:color="auto" w:fill="auto"/>
            <w:noWrap/>
            <w:vAlign w:val="center"/>
            <w:hideMark/>
          </w:tcPr>
          <w:p w14:paraId="54F9F691" w14:textId="77777777" w:rsidR="00AB06BF" w:rsidRPr="00D376CB" w:rsidRDefault="00AB06BF" w:rsidP="00AB06BF">
            <w:pPr>
              <w:jc w:val="center"/>
              <w:rPr>
                <w:sz w:val="18"/>
                <w:szCs w:val="18"/>
              </w:rPr>
            </w:pPr>
            <w:r w:rsidRPr="00D376CB">
              <w:rPr>
                <w:sz w:val="18"/>
                <w:szCs w:val="18"/>
              </w:rPr>
              <w:t>78.32</w:t>
            </w:r>
          </w:p>
        </w:tc>
        <w:tc>
          <w:tcPr>
            <w:tcW w:w="990" w:type="dxa"/>
            <w:shd w:val="clear" w:color="auto" w:fill="auto"/>
            <w:noWrap/>
            <w:vAlign w:val="center"/>
            <w:hideMark/>
          </w:tcPr>
          <w:p w14:paraId="147502ED" w14:textId="77777777" w:rsidR="00AB06BF" w:rsidRPr="00D376CB" w:rsidRDefault="00AB06BF" w:rsidP="00AB06BF">
            <w:pPr>
              <w:jc w:val="center"/>
              <w:rPr>
                <w:sz w:val="18"/>
                <w:szCs w:val="18"/>
              </w:rPr>
            </w:pPr>
            <w:r w:rsidRPr="00D376CB">
              <w:rPr>
                <w:sz w:val="18"/>
                <w:szCs w:val="18"/>
              </w:rPr>
              <w:t>783.20</w:t>
            </w:r>
          </w:p>
        </w:tc>
        <w:tc>
          <w:tcPr>
            <w:tcW w:w="1278" w:type="dxa"/>
            <w:shd w:val="clear" w:color="auto" w:fill="auto"/>
            <w:noWrap/>
            <w:vAlign w:val="center"/>
            <w:hideMark/>
          </w:tcPr>
          <w:p w14:paraId="67FE074D" w14:textId="77777777" w:rsidR="00AB06BF" w:rsidRPr="00D376CB" w:rsidRDefault="00AB06BF" w:rsidP="00AB06BF">
            <w:pPr>
              <w:jc w:val="center"/>
              <w:rPr>
                <w:sz w:val="18"/>
                <w:szCs w:val="18"/>
              </w:rPr>
            </w:pPr>
            <w:r w:rsidRPr="00D376CB">
              <w:rPr>
                <w:sz w:val="18"/>
                <w:szCs w:val="18"/>
              </w:rPr>
              <w:t>31,328.00</w:t>
            </w:r>
          </w:p>
        </w:tc>
        <w:tc>
          <w:tcPr>
            <w:tcW w:w="810" w:type="dxa"/>
            <w:shd w:val="clear" w:color="auto" w:fill="auto"/>
            <w:noWrap/>
            <w:vAlign w:val="center"/>
            <w:hideMark/>
          </w:tcPr>
          <w:p w14:paraId="176B0093" w14:textId="77777777" w:rsidR="00AB06BF" w:rsidRPr="00D376CB" w:rsidRDefault="00AB06BF" w:rsidP="00AB06BF">
            <w:pPr>
              <w:jc w:val="center"/>
              <w:rPr>
                <w:sz w:val="18"/>
                <w:szCs w:val="18"/>
              </w:rPr>
            </w:pPr>
            <w:r w:rsidRPr="00D376CB">
              <w:rPr>
                <w:sz w:val="18"/>
                <w:szCs w:val="18"/>
              </w:rPr>
              <w:t>annual</w:t>
            </w:r>
          </w:p>
        </w:tc>
        <w:tc>
          <w:tcPr>
            <w:tcW w:w="1147" w:type="dxa"/>
          </w:tcPr>
          <w:p w14:paraId="7A6F5085" w14:textId="3117569A" w:rsidR="00AB06BF" w:rsidRPr="00D376CB" w:rsidRDefault="00AB06BF" w:rsidP="00AB06BF">
            <w:pPr>
              <w:spacing w:before="240"/>
              <w:jc w:val="center"/>
              <w:rPr>
                <w:sz w:val="18"/>
                <w:szCs w:val="18"/>
              </w:rPr>
            </w:pPr>
            <w:r>
              <w:rPr>
                <w:sz w:val="18"/>
                <w:szCs w:val="18"/>
              </w:rPr>
              <w:t>R</w:t>
            </w:r>
          </w:p>
        </w:tc>
        <w:tc>
          <w:tcPr>
            <w:tcW w:w="1147" w:type="dxa"/>
            <w:shd w:val="clear" w:color="auto" w:fill="auto"/>
            <w:noWrap/>
            <w:vAlign w:val="center"/>
            <w:hideMark/>
          </w:tcPr>
          <w:p w14:paraId="7F01B495" w14:textId="7AD5E2EB" w:rsidR="00AB06BF" w:rsidRPr="00D376CB" w:rsidRDefault="00AB06BF" w:rsidP="00AB06BF">
            <w:pPr>
              <w:jc w:val="center"/>
              <w:rPr>
                <w:sz w:val="18"/>
                <w:szCs w:val="18"/>
              </w:rPr>
            </w:pPr>
            <w:r w:rsidRPr="00D376CB">
              <w:rPr>
                <w:sz w:val="18"/>
                <w:szCs w:val="18"/>
              </w:rPr>
              <w:t>133.3</w:t>
            </w:r>
          </w:p>
        </w:tc>
        <w:tc>
          <w:tcPr>
            <w:tcW w:w="1170" w:type="dxa"/>
            <w:shd w:val="clear" w:color="auto" w:fill="auto"/>
            <w:noWrap/>
            <w:vAlign w:val="center"/>
            <w:hideMark/>
          </w:tcPr>
          <w:p w14:paraId="7F79A645" w14:textId="77777777" w:rsidR="00AB06BF" w:rsidRPr="00D376CB" w:rsidRDefault="00AB06BF" w:rsidP="00AB06BF">
            <w:pPr>
              <w:jc w:val="center"/>
              <w:rPr>
                <w:sz w:val="18"/>
                <w:szCs w:val="18"/>
              </w:rPr>
            </w:pPr>
            <w:r w:rsidRPr="00D376CB">
              <w:rPr>
                <w:sz w:val="18"/>
                <w:szCs w:val="18"/>
              </w:rPr>
              <w:t>10,440.06</w:t>
            </w:r>
          </w:p>
        </w:tc>
      </w:tr>
      <w:tr w:rsidR="00AB06BF" w:rsidRPr="00D376CB" w14:paraId="1B67936B" w14:textId="77777777" w:rsidTr="00E80BF4">
        <w:trPr>
          <w:trHeight w:val="480"/>
        </w:trPr>
        <w:tc>
          <w:tcPr>
            <w:tcW w:w="1435" w:type="dxa"/>
          </w:tcPr>
          <w:p w14:paraId="13422995" w14:textId="6D83B6DF" w:rsidR="00AB06BF" w:rsidRPr="00D376CB" w:rsidRDefault="00AB06BF" w:rsidP="00AB06BF">
            <w:pPr>
              <w:jc w:val="center"/>
              <w:rPr>
                <w:sz w:val="18"/>
                <w:szCs w:val="18"/>
              </w:rPr>
            </w:pPr>
            <w:r>
              <w:rPr>
                <w:sz w:val="18"/>
                <w:szCs w:val="18"/>
              </w:rPr>
              <w:t>12.3</w:t>
            </w:r>
          </w:p>
        </w:tc>
        <w:tc>
          <w:tcPr>
            <w:tcW w:w="1435" w:type="dxa"/>
            <w:shd w:val="clear" w:color="auto" w:fill="auto"/>
            <w:vAlign w:val="bottom"/>
            <w:hideMark/>
          </w:tcPr>
          <w:p w14:paraId="29A418C8" w14:textId="2D543A02" w:rsidR="00AB06BF" w:rsidRPr="00D376CB" w:rsidRDefault="00AB06BF" w:rsidP="00AB06BF">
            <w:pPr>
              <w:jc w:val="center"/>
              <w:rPr>
                <w:sz w:val="18"/>
                <w:szCs w:val="18"/>
              </w:rPr>
            </w:pPr>
            <w:r w:rsidRPr="00D376CB">
              <w:rPr>
                <w:sz w:val="18"/>
                <w:szCs w:val="18"/>
              </w:rPr>
              <w:t>438.330(a)(2)</w:t>
            </w:r>
          </w:p>
          <w:p w14:paraId="17577020" w14:textId="77777777" w:rsidR="00AB06BF" w:rsidRPr="00D376CB" w:rsidRDefault="00AB06BF" w:rsidP="00AB06BF">
            <w:pPr>
              <w:jc w:val="center"/>
              <w:rPr>
                <w:sz w:val="18"/>
                <w:szCs w:val="18"/>
              </w:rPr>
            </w:pPr>
            <w:r w:rsidRPr="00D376CB">
              <w:rPr>
                <w:sz w:val="18"/>
                <w:szCs w:val="18"/>
              </w:rPr>
              <w:t>State QAPI Exemption</w:t>
            </w:r>
          </w:p>
        </w:tc>
        <w:tc>
          <w:tcPr>
            <w:tcW w:w="995" w:type="dxa"/>
            <w:shd w:val="clear" w:color="auto" w:fill="auto"/>
            <w:noWrap/>
            <w:vAlign w:val="center"/>
            <w:hideMark/>
          </w:tcPr>
          <w:p w14:paraId="10752956" w14:textId="77777777" w:rsidR="00AB06BF" w:rsidRPr="00D376CB" w:rsidRDefault="00AB06BF" w:rsidP="00AB06BF">
            <w:pPr>
              <w:jc w:val="center"/>
              <w:rPr>
                <w:sz w:val="18"/>
                <w:szCs w:val="18"/>
              </w:rPr>
            </w:pPr>
            <w:r w:rsidRPr="00D376CB">
              <w:rPr>
                <w:sz w:val="18"/>
                <w:szCs w:val="18"/>
              </w:rPr>
              <w:t>11</w:t>
            </w:r>
          </w:p>
        </w:tc>
        <w:tc>
          <w:tcPr>
            <w:tcW w:w="1008" w:type="dxa"/>
            <w:shd w:val="clear" w:color="auto" w:fill="auto"/>
            <w:noWrap/>
            <w:vAlign w:val="center"/>
            <w:hideMark/>
          </w:tcPr>
          <w:p w14:paraId="79BF7412" w14:textId="77777777" w:rsidR="00AB06BF" w:rsidRPr="00D376CB" w:rsidRDefault="00AB06BF" w:rsidP="00AB06BF">
            <w:pPr>
              <w:jc w:val="center"/>
              <w:rPr>
                <w:sz w:val="18"/>
                <w:szCs w:val="18"/>
              </w:rPr>
            </w:pPr>
            <w:r w:rsidRPr="00D376CB">
              <w:rPr>
                <w:sz w:val="18"/>
                <w:szCs w:val="18"/>
              </w:rPr>
              <w:t>11</w:t>
            </w:r>
          </w:p>
        </w:tc>
        <w:tc>
          <w:tcPr>
            <w:tcW w:w="967" w:type="dxa"/>
            <w:shd w:val="clear" w:color="auto" w:fill="auto"/>
            <w:noWrap/>
            <w:vAlign w:val="center"/>
            <w:hideMark/>
          </w:tcPr>
          <w:p w14:paraId="40D4E0B5" w14:textId="77777777" w:rsidR="00AB06BF" w:rsidRPr="00D376CB" w:rsidRDefault="00AB06BF" w:rsidP="00AB06BF">
            <w:pPr>
              <w:jc w:val="center"/>
              <w:rPr>
                <w:sz w:val="18"/>
                <w:szCs w:val="18"/>
              </w:rPr>
            </w:pPr>
            <w:r w:rsidRPr="00D376CB">
              <w:rPr>
                <w:sz w:val="18"/>
                <w:szCs w:val="18"/>
              </w:rPr>
              <w:t>1</w:t>
            </w:r>
          </w:p>
        </w:tc>
        <w:tc>
          <w:tcPr>
            <w:tcW w:w="1013" w:type="dxa"/>
            <w:shd w:val="clear" w:color="auto" w:fill="auto"/>
            <w:noWrap/>
            <w:vAlign w:val="center"/>
            <w:hideMark/>
          </w:tcPr>
          <w:p w14:paraId="41BD577F" w14:textId="77777777" w:rsidR="00AB06BF" w:rsidRPr="00D376CB" w:rsidRDefault="00AB06BF" w:rsidP="00AB06BF">
            <w:pPr>
              <w:jc w:val="center"/>
              <w:rPr>
                <w:sz w:val="18"/>
                <w:szCs w:val="18"/>
              </w:rPr>
            </w:pPr>
            <w:r w:rsidRPr="00D376CB">
              <w:rPr>
                <w:sz w:val="18"/>
                <w:szCs w:val="18"/>
              </w:rPr>
              <w:t>11.0</w:t>
            </w:r>
          </w:p>
        </w:tc>
        <w:tc>
          <w:tcPr>
            <w:tcW w:w="702" w:type="dxa"/>
            <w:shd w:val="clear" w:color="auto" w:fill="auto"/>
            <w:noWrap/>
            <w:vAlign w:val="center"/>
            <w:hideMark/>
          </w:tcPr>
          <w:p w14:paraId="17D27184" w14:textId="77777777" w:rsidR="00AB06BF" w:rsidRPr="00D376CB" w:rsidRDefault="00AB06BF" w:rsidP="00AB06BF">
            <w:pPr>
              <w:jc w:val="center"/>
              <w:rPr>
                <w:sz w:val="18"/>
                <w:szCs w:val="18"/>
              </w:rPr>
            </w:pPr>
            <w:r w:rsidRPr="00D376CB">
              <w:rPr>
                <w:sz w:val="18"/>
                <w:szCs w:val="18"/>
              </w:rPr>
              <w:t>64.46</w:t>
            </w:r>
          </w:p>
        </w:tc>
        <w:tc>
          <w:tcPr>
            <w:tcW w:w="990" w:type="dxa"/>
            <w:shd w:val="clear" w:color="auto" w:fill="auto"/>
            <w:noWrap/>
            <w:vAlign w:val="center"/>
            <w:hideMark/>
          </w:tcPr>
          <w:p w14:paraId="7F598847" w14:textId="77777777" w:rsidR="00AB06BF" w:rsidRPr="00D376CB" w:rsidRDefault="00AB06BF" w:rsidP="00AB06BF">
            <w:pPr>
              <w:jc w:val="center"/>
              <w:rPr>
                <w:sz w:val="18"/>
                <w:szCs w:val="18"/>
              </w:rPr>
            </w:pPr>
            <w:r w:rsidRPr="00D376CB">
              <w:rPr>
                <w:sz w:val="18"/>
                <w:szCs w:val="18"/>
              </w:rPr>
              <w:t>64.46</w:t>
            </w:r>
          </w:p>
        </w:tc>
        <w:tc>
          <w:tcPr>
            <w:tcW w:w="1278" w:type="dxa"/>
            <w:shd w:val="clear" w:color="auto" w:fill="auto"/>
            <w:noWrap/>
            <w:vAlign w:val="center"/>
            <w:hideMark/>
          </w:tcPr>
          <w:p w14:paraId="28CDF5E5" w14:textId="77777777" w:rsidR="00AB06BF" w:rsidRPr="00D376CB" w:rsidRDefault="00AB06BF" w:rsidP="00AB06BF">
            <w:pPr>
              <w:jc w:val="center"/>
              <w:rPr>
                <w:sz w:val="18"/>
                <w:szCs w:val="18"/>
              </w:rPr>
            </w:pPr>
            <w:r w:rsidRPr="00D376CB">
              <w:rPr>
                <w:sz w:val="18"/>
                <w:szCs w:val="18"/>
              </w:rPr>
              <w:t>709.06</w:t>
            </w:r>
          </w:p>
        </w:tc>
        <w:tc>
          <w:tcPr>
            <w:tcW w:w="810" w:type="dxa"/>
            <w:shd w:val="clear" w:color="auto" w:fill="auto"/>
            <w:noWrap/>
            <w:vAlign w:val="center"/>
            <w:hideMark/>
          </w:tcPr>
          <w:p w14:paraId="005F0D77" w14:textId="77777777" w:rsidR="00AB06BF" w:rsidRPr="00D376CB" w:rsidRDefault="00AB06BF" w:rsidP="00AB06BF">
            <w:pPr>
              <w:jc w:val="center"/>
              <w:rPr>
                <w:sz w:val="18"/>
                <w:szCs w:val="18"/>
              </w:rPr>
            </w:pPr>
            <w:r w:rsidRPr="00D376CB">
              <w:rPr>
                <w:sz w:val="18"/>
                <w:szCs w:val="18"/>
              </w:rPr>
              <w:t>annual</w:t>
            </w:r>
          </w:p>
        </w:tc>
        <w:tc>
          <w:tcPr>
            <w:tcW w:w="1147" w:type="dxa"/>
          </w:tcPr>
          <w:p w14:paraId="5A4B35C4" w14:textId="67622CE8" w:rsidR="00AB06BF" w:rsidRPr="00D376CB" w:rsidRDefault="00AB06BF" w:rsidP="00AB06BF">
            <w:pPr>
              <w:spacing w:before="240"/>
              <w:jc w:val="center"/>
              <w:rPr>
                <w:sz w:val="18"/>
                <w:szCs w:val="18"/>
              </w:rPr>
            </w:pPr>
            <w:r>
              <w:rPr>
                <w:sz w:val="18"/>
                <w:szCs w:val="18"/>
              </w:rPr>
              <w:t>R</w:t>
            </w:r>
          </w:p>
        </w:tc>
        <w:tc>
          <w:tcPr>
            <w:tcW w:w="1147" w:type="dxa"/>
            <w:shd w:val="clear" w:color="auto" w:fill="auto"/>
            <w:noWrap/>
            <w:vAlign w:val="center"/>
            <w:hideMark/>
          </w:tcPr>
          <w:p w14:paraId="59943558" w14:textId="1B7107F6" w:rsidR="00AB06BF" w:rsidRPr="00D376CB" w:rsidRDefault="00AB06BF" w:rsidP="00AB06BF">
            <w:pPr>
              <w:jc w:val="center"/>
              <w:rPr>
                <w:sz w:val="18"/>
                <w:szCs w:val="18"/>
              </w:rPr>
            </w:pPr>
            <w:r w:rsidRPr="00D376CB">
              <w:rPr>
                <w:sz w:val="18"/>
                <w:szCs w:val="18"/>
              </w:rPr>
              <w:t>3.7</w:t>
            </w:r>
          </w:p>
        </w:tc>
        <w:tc>
          <w:tcPr>
            <w:tcW w:w="1170" w:type="dxa"/>
            <w:shd w:val="clear" w:color="auto" w:fill="auto"/>
            <w:noWrap/>
            <w:vAlign w:val="center"/>
            <w:hideMark/>
          </w:tcPr>
          <w:p w14:paraId="25CF43C5" w14:textId="77777777" w:rsidR="00AB06BF" w:rsidRPr="00D376CB" w:rsidRDefault="00AB06BF" w:rsidP="00AB06BF">
            <w:pPr>
              <w:jc w:val="center"/>
              <w:rPr>
                <w:sz w:val="18"/>
                <w:szCs w:val="18"/>
              </w:rPr>
            </w:pPr>
            <w:r w:rsidRPr="00D376CB">
              <w:rPr>
                <w:sz w:val="18"/>
                <w:szCs w:val="18"/>
              </w:rPr>
              <w:t>238.50</w:t>
            </w:r>
          </w:p>
        </w:tc>
      </w:tr>
      <w:tr w:rsidR="00AB06BF" w:rsidRPr="00D376CB" w14:paraId="132528A0" w14:textId="77777777" w:rsidTr="00E80BF4">
        <w:trPr>
          <w:trHeight w:val="290"/>
        </w:trPr>
        <w:tc>
          <w:tcPr>
            <w:tcW w:w="1435" w:type="dxa"/>
          </w:tcPr>
          <w:p w14:paraId="1215D2EC" w14:textId="64D79FC3" w:rsidR="00AB06BF" w:rsidRPr="00D376CB" w:rsidRDefault="00AB06BF" w:rsidP="00AB06BF">
            <w:pPr>
              <w:jc w:val="center"/>
              <w:rPr>
                <w:sz w:val="18"/>
                <w:szCs w:val="18"/>
              </w:rPr>
            </w:pPr>
            <w:r>
              <w:rPr>
                <w:sz w:val="18"/>
                <w:szCs w:val="18"/>
              </w:rPr>
              <w:t>12.12</w:t>
            </w:r>
          </w:p>
        </w:tc>
        <w:tc>
          <w:tcPr>
            <w:tcW w:w="1435" w:type="dxa"/>
            <w:shd w:val="clear" w:color="auto" w:fill="auto"/>
            <w:vAlign w:val="bottom"/>
            <w:hideMark/>
          </w:tcPr>
          <w:p w14:paraId="5607AD6D" w14:textId="32A22944" w:rsidR="00AB06BF" w:rsidRPr="00D376CB" w:rsidRDefault="00AB06BF" w:rsidP="00AB06BF">
            <w:pPr>
              <w:jc w:val="center"/>
              <w:rPr>
                <w:sz w:val="18"/>
                <w:szCs w:val="18"/>
              </w:rPr>
            </w:pPr>
            <w:r w:rsidRPr="00D376CB">
              <w:rPr>
                <w:sz w:val="18"/>
                <w:szCs w:val="18"/>
              </w:rPr>
              <w:t>438.330(e)</w:t>
            </w:r>
          </w:p>
          <w:p w14:paraId="7F9524AE" w14:textId="77777777" w:rsidR="00AB06BF" w:rsidRPr="00D376CB" w:rsidRDefault="00AB06BF" w:rsidP="00AB06BF">
            <w:pPr>
              <w:jc w:val="center"/>
              <w:rPr>
                <w:sz w:val="18"/>
                <w:szCs w:val="18"/>
              </w:rPr>
            </w:pPr>
            <w:r w:rsidRPr="00D376CB">
              <w:rPr>
                <w:sz w:val="18"/>
                <w:szCs w:val="18"/>
              </w:rPr>
              <w:t>Assess PCCMs</w:t>
            </w:r>
          </w:p>
        </w:tc>
        <w:tc>
          <w:tcPr>
            <w:tcW w:w="995" w:type="dxa"/>
            <w:shd w:val="clear" w:color="auto" w:fill="auto"/>
            <w:noWrap/>
            <w:vAlign w:val="center"/>
            <w:hideMark/>
          </w:tcPr>
          <w:p w14:paraId="17AD319B" w14:textId="77777777" w:rsidR="00AB06BF" w:rsidRPr="00D376CB" w:rsidRDefault="00AB06BF" w:rsidP="00AB06BF">
            <w:pPr>
              <w:jc w:val="center"/>
              <w:rPr>
                <w:sz w:val="18"/>
                <w:szCs w:val="18"/>
              </w:rPr>
            </w:pPr>
            <w:r>
              <w:rPr>
                <w:sz w:val="18"/>
                <w:szCs w:val="18"/>
              </w:rPr>
              <w:t>9</w:t>
            </w:r>
          </w:p>
        </w:tc>
        <w:tc>
          <w:tcPr>
            <w:tcW w:w="1008" w:type="dxa"/>
            <w:shd w:val="clear" w:color="auto" w:fill="auto"/>
            <w:noWrap/>
            <w:vAlign w:val="center"/>
            <w:hideMark/>
          </w:tcPr>
          <w:p w14:paraId="6A54CDAA" w14:textId="77777777" w:rsidR="00AB06BF" w:rsidRPr="00D376CB" w:rsidRDefault="00AB06BF" w:rsidP="00AB06BF">
            <w:pPr>
              <w:jc w:val="center"/>
              <w:rPr>
                <w:sz w:val="18"/>
                <w:szCs w:val="18"/>
              </w:rPr>
            </w:pPr>
            <w:r>
              <w:rPr>
                <w:sz w:val="18"/>
                <w:szCs w:val="18"/>
              </w:rPr>
              <w:t>9</w:t>
            </w:r>
          </w:p>
        </w:tc>
        <w:tc>
          <w:tcPr>
            <w:tcW w:w="967" w:type="dxa"/>
            <w:shd w:val="clear" w:color="auto" w:fill="auto"/>
            <w:noWrap/>
            <w:vAlign w:val="center"/>
            <w:hideMark/>
          </w:tcPr>
          <w:p w14:paraId="5262E21A" w14:textId="77777777" w:rsidR="00AB06BF" w:rsidRPr="00D376CB" w:rsidRDefault="00AB06BF" w:rsidP="00AB06BF">
            <w:pPr>
              <w:jc w:val="center"/>
              <w:rPr>
                <w:sz w:val="18"/>
                <w:szCs w:val="18"/>
              </w:rPr>
            </w:pPr>
            <w:r w:rsidRPr="00D376CB">
              <w:rPr>
                <w:sz w:val="18"/>
                <w:szCs w:val="18"/>
              </w:rPr>
              <w:t>15</w:t>
            </w:r>
          </w:p>
        </w:tc>
        <w:tc>
          <w:tcPr>
            <w:tcW w:w="1013" w:type="dxa"/>
            <w:shd w:val="clear" w:color="auto" w:fill="auto"/>
            <w:noWrap/>
            <w:vAlign w:val="center"/>
            <w:hideMark/>
          </w:tcPr>
          <w:p w14:paraId="3688D623" w14:textId="77777777" w:rsidR="00AB06BF" w:rsidRPr="00D376CB" w:rsidRDefault="00AB06BF" w:rsidP="00AB06BF">
            <w:pPr>
              <w:jc w:val="center"/>
              <w:rPr>
                <w:sz w:val="18"/>
                <w:szCs w:val="18"/>
              </w:rPr>
            </w:pPr>
            <w:r>
              <w:rPr>
                <w:sz w:val="18"/>
                <w:szCs w:val="18"/>
              </w:rPr>
              <w:t>135.0</w:t>
            </w:r>
          </w:p>
        </w:tc>
        <w:tc>
          <w:tcPr>
            <w:tcW w:w="702" w:type="dxa"/>
            <w:shd w:val="clear" w:color="auto" w:fill="auto"/>
            <w:noWrap/>
            <w:vAlign w:val="center"/>
            <w:hideMark/>
          </w:tcPr>
          <w:p w14:paraId="3A8BDCA0" w14:textId="77777777" w:rsidR="00AB06BF" w:rsidRPr="00D376CB" w:rsidRDefault="00AB06BF" w:rsidP="00AB06BF">
            <w:pPr>
              <w:jc w:val="center"/>
              <w:rPr>
                <w:sz w:val="18"/>
                <w:szCs w:val="18"/>
              </w:rPr>
            </w:pPr>
            <w:r w:rsidRPr="00D376CB">
              <w:rPr>
                <w:sz w:val="18"/>
                <w:szCs w:val="18"/>
              </w:rPr>
              <w:t>64.46</w:t>
            </w:r>
          </w:p>
        </w:tc>
        <w:tc>
          <w:tcPr>
            <w:tcW w:w="990" w:type="dxa"/>
            <w:shd w:val="clear" w:color="auto" w:fill="auto"/>
            <w:noWrap/>
            <w:vAlign w:val="center"/>
            <w:hideMark/>
          </w:tcPr>
          <w:p w14:paraId="229BACC9" w14:textId="77777777" w:rsidR="00AB06BF" w:rsidRPr="00D376CB" w:rsidRDefault="00AB06BF" w:rsidP="00AB06BF">
            <w:pPr>
              <w:jc w:val="center"/>
              <w:rPr>
                <w:sz w:val="18"/>
                <w:szCs w:val="18"/>
              </w:rPr>
            </w:pPr>
            <w:r w:rsidRPr="00D376CB">
              <w:rPr>
                <w:sz w:val="18"/>
                <w:szCs w:val="18"/>
              </w:rPr>
              <w:t>966.90</w:t>
            </w:r>
          </w:p>
        </w:tc>
        <w:tc>
          <w:tcPr>
            <w:tcW w:w="1278" w:type="dxa"/>
            <w:shd w:val="clear" w:color="auto" w:fill="auto"/>
            <w:noWrap/>
            <w:vAlign w:val="center"/>
            <w:hideMark/>
          </w:tcPr>
          <w:p w14:paraId="49405982" w14:textId="77777777" w:rsidR="00AB06BF" w:rsidRPr="00D376CB" w:rsidRDefault="00AB06BF" w:rsidP="00AB06BF">
            <w:pPr>
              <w:jc w:val="center"/>
              <w:rPr>
                <w:sz w:val="18"/>
                <w:szCs w:val="18"/>
              </w:rPr>
            </w:pPr>
            <w:r>
              <w:rPr>
                <w:sz w:val="18"/>
                <w:szCs w:val="18"/>
              </w:rPr>
              <w:t>8,702.10</w:t>
            </w:r>
          </w:p>
        </w:tc>
        <w:tc>
          <w:tcPr>
            <w:tcW w:w="810" w:type="dxa"/>
            <w:shd w:val="clear" w:color="auto" w:fill="auto"/>
            <w:noWrap/>
            <w:vAlign w:val="center"/>
            <w:hideMark/>
          </w:tcPr>
          <w:p w14:paraId="44B6BCCC" w14:textId="77777777" w:rsidR="00AB06BF" w:rsidRPr="00D376CB" w:rsidRDefault="00AB06BF" w:rsidP="00AB06BF">
            <w:pPr>
              <w:jc w:val="center"/>
              <w:rPr>
                <w:sz w:val="18"/>
                <w:szCs w:val="18"/>
              </w:rPr>
            </w:pPr>
            <w:r w:rsidRPr="00D376CB">
              <w:rPr>
                <w:sz w:val="18"/>
                <w:szCs w:val="18"/>
              </w:rPr>
              <w:t>annual</w:t>
            </w:r>
          </w:p>
        </w:tc>
        <w:tc>
          <w:tcPr>
            <w:tcW w:w="1147" w:type="dxa"/>
          </w:tcPr>
          <w:p w14:paraId="298F52DB" w14:textId="3C61ADC1" w:rsidR="00AB06BF" w:rsidRDefault="00AB06BF" w:rsidP="00AB06BF">
            <w:pPr>
              <w:spacing w:before="240"/>
              <w:jc w:val="center"/>
              <w:rPr>
                <w:sz w:val="18"/>
                <w:szCs w:val="18"/>
              </w:rPr>
            </w:pPr>
            <w:r>
              <w:rPr>
                <w:sz w:val="18"/>
                <w:szCs w:val="18"/>
              </w:rPr>
              <w:t>R</w:t>
            </w:r>
          </w:p>
        </w:tc>
        <w:tc>
          <w:tcPr>
            <w:tcW w:w="1147" w:type="dxa"/>
            <w:shd w:val="clear" w:color="auto" w:fill="auto"/>
            <w:noWrap/>
            <w:vAlign w:val="center"/>
            <w:hideMark/>
          </w:tcPr>
          <w:p w14:paraId="3175BF84" w14:textId="4BAF9260" w:rsidR="00AB06BF" w:rsidRPr="00D376CB" w:rsidRDefault="00AB06BF" w:rsidP="00AB06BF">
            <w:pPr>
              <w:jc w:val="center"/>
              <w:rPr>
                <w:sz w:val="18"/>
                <w:szCs w:val="18"/>
              </w:rPr>
            </w:pPr>
            <w:r>
              <w:rPr>
                <w:sz w:val="18"/>
                <w:szCs w:val="18"/>
              </w:rPr>
              <w:t>135.0</w:t>
            </w:r>
          </w:p>
        </w:tc>
        <w:tc>
          <w:tcPr>
            <w:tcW w:w="1170" w:type="dxa"/>
            <w:shd w:val="clear" w:color="auto" w:fill="auto"/>
            <w:noWrap/>
            <w:vAlign w:val="center"/>
            <w:hideMark/>
          </w:tcPr>
          <w:p w14:paraId="0D4109E4" w14:textId="77777777" w:rsidR="00AB06BF" w:rsidRPr="00D376CB" w:rsidRDefault="00AB06BF" w:rsidP="00AB06BF">
            <w:pPr>
              <w:jc w:val="center"/>
              <w:rPr>
                <w:sz w:val="18"/>
                <w:szCs w:val="18"/>
              </w:rPr>
            </w:pPr>
            <w:r>
              <w:rPr>
                <w:sz w:val="18"/>
                <w:szCs w:val="18"/>
              </w:rPr>
              <w:t>8,702.10</w:t>
            </w:r>
          </w:p>
        </w:tc>
      </w:tr>
      <w:tr w:rsidR="00AB06BF" w:rsidRPr="00D376CB" w14:paraId="06809A43" w14:textId="77777777" w:rsidTr="00E80BF4">
        <w:trPr>
          <w:trHeight w:val="480"/>
        </w:trPr>
        <w:tc>
          <w:tcPr>
            <w:tcW w:w="1435" w:type="dxa"/>
          </w:tcPr>
          <w:p w14:paraId="1D8A3DC8" w14:textId="3F18F3F3" w:rsidR="00AB06BF" w:rsidRPr="00D376CB" w:rsidRDefault="00AB06BF" w:rsidP="00AB06BF">
            <w:pPr>
              <w:jc w:val="center"/>
              <w:rPr>
                <w:sz w:val="18"/>
                <w:szCs w:val="18"/>
              </w:rPr>
            </w:pPr>
            <w:r>
              <w:rPr>
                <w:sz w:val="18"/>
                <w:szCs w:val="18"/>
              </w:rPr>
              <w:lastRenderedPageBreak/>
              <w:t>12.13</w:t>
            </w:r>
          </w:p>
        </w:tc>
        <w:tc>
          <w:tcPr>
            <w:tcW w:w="1435" w:type="dxa"/>
            <w:shd w:val="clear" w:color="auto" w:fill="auto"/>
            <w:vAlign w:val="bottom"/>
            <w:hideMark/>
          </w:tcPr>
          <w:p w14:paraId="13944FD4" w14:textId="6A496A91" w:rsidR="00AB06BF" w:rsidRPr="00D376CB" w:rsidRDefault="00AB06BF" w:rsidP="00AB06BF">
            <w:pPr>
              <w:jc w:val="center"/>
              <w:rPr>
                <w:sz w:val="18"/>
                <w:szCs w:val="18"/>
              </w:rPr>
            </w:pPr>
            <w:r w:rsidRPr="00D376CB">
              <w:rPr>
                <w:sz w:val="18"/>
                <w:szCs w:val="18"/>
              </w:rPr>
              <w:t>438.330(e)(1)(ii)</w:t>
            </w:r>
          </w:p>
          <w:p w14:paraId="3BC7395B" w14:textId="77777777" w:rsidR="00AB06BF" w:rsidRPr="00D376CB" w:rsidRDefault="00AB06BF" w:rsidP="00AB06BF">
            <w:pPr>
              <w:jc w:val="center"/>
              <w:rPr>
                <w:sz w:val="18"/>
                <w:szCs w:val="18"/>
              </w:rPr>
            </w:pPr>
            <w:r w:rsidRPr="00D376CB">
              <w:rPr>
                <w:sz w:val="18"/>
                <w:szCs w:val="18"/>
              </w:rPr>
              <w:t>Update State Policies</w:t>
            </w:r>
          </w:p>
        </w:tc>
        <w:tc>
          <w:tcPr>
            <w:tcW w:w="995" w:type="dxa"/>
            <w:shd w:val="clear" w:color="auto" w:fill="auto"/>
            <w:noWrap/>
            <w:vAlign w:val="center"/>
            <w:hideMark/>
          </w:tcPr>
          <w:p w14:paraId="64F01A85" w14:textId="77777777" w:rsidR="00AB06BF" w:rsidRPr="00D376CB" w:rsidRDefault="00AB06BF" w:rsidP="00AB06BF">
            <w:pPr>
              <w:jc w:val="center"/>
              <w:rPr>
                <w:sz w:val="18"/>
                <w:szCs w:val="18"/>
              </w:rPr>
            </w:pPr>
            <w:r w:rsidRPr="00D376CB">
              <w:rPr>
                <w:sz w:val="18"/>
                <w:szCs w:val="18"/>
              </w:rPr>
              <w:t>40</w:t>
            </w:r>
          </w:p>
        </w:tc>
        <w:tc>
          <w:tcPr>
            <w:tcW w:w="1008" w:type="dxa"/>
            <w:shd w:val="clear" w:color="auto" w:fill="auto"/>
            <w:noWrap/>
            <w:vAlign w:val="center"/>
            <w:hideMark/>
          </w:tcPr>
          <w:p w14:paraId="6A363E93" w14:textId="77777777" w:rsidR="00AB06BF" w:rsidRPr="00D376CB" w:rsidRDefault="00AB06BF" w:rsidP="00AB06BF">
            <w:pPr>
              <w:jc w:val="center"/>
              <w:rPr>
                <w:sz w:val="18"/>
                <w:szCs w:val="18"/>
              </w:rPr>
            </w:pPr>
            <w:r w:rsidRPr="00D376CB">
              <w:rPr>
                <w:sz w:val="18"/>
                <w:szCs w:val="18"/>
              </w:rPr>
              <w:t>40</w:t>
            </w:r>
          </w:p>
        </w:tc>
        <w:tc>
          <w:tcPr>
            <w:tcW w:w="967" w:type="dxa"/>
            <w:shd w:val="clear" w:color="auto" w:fill="auto"/>
            <w:noWrap/>
            <w:vAlign w:val="center"/>
            <w:hideMark/>
          </w:tcPr>
          <w:p w14:paraId="3E0B7A93" w14:textId="77777777" w:rsidR="00AB06BF" w:rsidRPr="00D376CB" w:rsidRDefault="00AB06BF" w:rsidP="00AB06BF">
            <w:pPr>
              <w:jc w:val="center"/>
              <w:rPr>
                <w:sz w:val="18"/>
                <w:szCs w:val="18"/>
              </w:rPr>
            </w:pPr>
            <w:r w:rsidRPr="00D376CB">
              <w:rPr>
                <w:sz w:val="18"/>
                <w:szCs w:val="18"/>
              </w:rPr>
              <w:t>0.5</w:t>
            </w:r>
          </w:p>
        </w:tc>
        <w:tc>
          <w:tcPr>
            <w:tcW w:w="1013" w:type="dxa"/>
            <w:shd w:val="clear" w:color="auto" w:fill="auto"/>
            <w:noWrap/>
            <w:vAlign w:val="center"/>
            <w:hideMark/>
          </w:tcPr>
          <w:p w14:paraId="596A25D4" w14:textId="77777777" w:rsidR="00AB06BF" w:rsidRPr="00D376CB" w:rsidRDefault="00AB06BF" w:rsidP="00AB06BF">
            <w:pPr>
              <w:jc w:val="center"/>
              <w:rPr>
                <w:sz w:val="18"/>
                <w:szCs w:val="18"/>
              </w:rPr>
            </w:pPr>
            <w:r w:rsidRPr="00D376CB">
              <w:rPr>
                <w:sz w:val="18"/>
                <w:szCs w:val="18"/>
              </w:rPr>
              <w:t>20.0</w:t>
            </w:r>
          </w:p>
        </w:tc>
        <w:tc>
          <w:tcPr>
            <w:tcW w:w="702" w:type="dxa"/>
            <w:shd w:val="clear" w:color="auto" w:fill="auto"/>
            <w:noWrap/>
            <w:vAlign w:val="center"/>
            <w:hideMark/>
          </w:tcPr>
          <w:p w14:paraId="583A1A58" w14:textId="77777777" w:rsidR="00AB06BF" w:rsidRPr="00D376CB" w:rsidRDefault="00AB06BF" w:rsidP="00AB06BF">
            <w:pPr>
              <w:jc w:val="center"/>
              <w:rPr>
                <w:sz w:val="18"/>
                <w:szCs w:val="18"/>
              </w:rPr>
            </w:pPr>
            <w:r w:rsidRPr="00D376CB">
              <w:rPr>
                <w:sz w:val="18"/>
                <w:szCs w:val="18"/>
              </w:rPr>
              <w:t>64.46</w:t>
            </w:r>
          </w:p>
        </w:tc>
        <w:tc>
          <w:tcPr>
            <w:tcW w:w="990" w:type="dxa"/>
            <w:shd w:val="clear" w:color="auto" w:fill="auto"/>
            <w:noWrap/>
            <w:vAlign w:val="center"/>
            <w:hideMark/>
          </w:tcPr>
          <w:p w14:paraId="48118420" w14:textId="77777777" w:rsidR="00AB06BF" w:rsidRPr="00D376CB" w:rsidRDefault="00AB06BF" w:rsidP="00AB06BF">
            <w:pPr>
              <w:jc w:val="center"/>
              <w:rPr>
                <w:sz w:val="18"/>
                <w:szCs w:val="18"/>
              </w:rPr>
            </w:pPr>
            <w:r w:rsidRPr="00D376CB">
              <w:rPr>
                <w:sz w:val="18"/>
                <w:szCs w:val="18"/>
              </w:rPr>
              <w:t>32.23</w:t>
            </w:r>
          </w:p>
        </w:tc>
        <w:tc>
          <w:tcPr>
            <w:tcW w:w="1278" w:type="dxa"/>
            <w:shd w:val="clear" w:color="auto" w:fill="auto"/>
            <w:noWrap/>
            <w:vAlign w:val="center"/>
            <w:hideMark/>
          </w:tcPr>
          <w:p w14:paraId="63069784" w14:textId="77777777" w:rsidR="00AB06BF" w:rsidRPr="00D376CB" w:rsidRDefault="00AB06BF" w:rsidP="00AB06BF">
            <w:pPr>
              <w:jc w:val="center"/>
              <w:rPr>
                <w:sz w:val="18"/>
                <w:szCs w:val="18"/>
              </w:rPr>
            </w:pPr>
            <w:r w:rsidRPr="00D376CB">
              <w:rPr>
                <w:sz w:val="18"/>
                <w:szCs w:val="18"/>
              </w:rPr>
              <w:t>1,289.20</w:t>
            </w:r>
          </w:p>
        </w:tc>
        <w:tc>
          <w:tcPr>
            <w:tcW w:w="810" w:type="dxa"/>
            <w:shd w:val="clear" w:color="auto" w:fill="auto"/>
            <w:noWrap/>
            <w:vAlign w:val="center"/>
            <w:hideMark/>
          </w:tcPr>
          <w:p w14:paraId="0EEF7F45" w14:textId="77777777" w:rsidR="00AB06BF" w:rsidRPr="00D376CB" w:rsidRDefault="00AB06BF" w:rsidP="00AB06BF">
            <w:pPr>
              <w:jc w:val="center"/>
              <w:rPr>
                <w:sz w:val="18"/>
                <w:szCs w:val="18"/>
              </w:rPr>
            </w:pPr>
            <w:r w:rsidRPr="00D376CB">
              <w:rPr>
                <w:sz w:val="18"/>
                <w:szCs w:val="18"/>
              </w:rPr>
              <w:t>once</w:t>
            </w:r>
          </w:p>
        </w:tc>
        <w:tc>
          <w:tcPr>
            <w:tcW w:w="1147" w:type="dxa"/>
          </w:tcPr>
          <w:p w14:paraId="5CA02FD8" w14:textId="0A53870E" w:rsidR="00AB06BF" w:rsidRPr="00D376CB" w:rsidRDefault="00AB06BF" w:rsidP="00AB06BF">
            <w:pPr>
              <w:spacing w:before="240"/>
              <w:jc w:val="center"/>
              <w:rPr>
                <w:sz w:val="18"/>
                <w:szCs w:val="18"/>
              </w:rPr>
            </w:pPr>
            <w:r>
              <w:rPr>
                <w:sz w:val="18"/>
                <w:szCs w:val="18"/>
              </w:rPr>
              <w:t>R</w:t>
            </w:r>
          </w:p>
        </w:tc>
        <w:tc>
          <w:tcPr>
            <w:tcW w:w="1147" w:type="dxa"/>
            <w:shd w:val="clear" w:color="auto" w:fill="auto"/>
            <w:noWrap/>
            <w:vAlign w:val="center"/>
            <w:hideMark/>
          </w:tcPr>
          <w:p w14:paraId="14F22527" w14:textId="7A6A5733" w:rsidR="00AB06BF" w:rsidRPr="00D376CB" w:rsidRDefault="00AB06BF" w:rsidP="00AB06BF">
            <w:pPr>
              <w:jc w:val="center"/>
              <w:rPr>
                <w:sz w:val="18"/>
                <w:szCs w:val="18"/>
              </w:rPr>
            </w:pPr>
            <w:r w:rsidRPr="00D376CB">
              <w:rPr>
                <w:sz w:val="18"/>
                <w:szCs w:val="18"/>
              </w:rPr>
              <w:t>6.7</w:t>
            </w:r>
          </w:p>
        </w:tc>
        <w:tc>
          <w:tcPr>
            <w:tcW w:w="1170" w:type="dxa"/>
            <w:shd w:val="clear" w:color="auto" w:fill="auto"/>
            <w:noWrap/>
            <w:vAlign w:val="center"/>
            <w:hideMark/>
          </w:tcPr>
          <w:p w14:paraId="28880DA7" w14:textId="77777777" w:rsidR="00AB06BF" w:rsidRPr="00D376CB" w:rsidRDefault="00AB06BF" w:rsidP="00AB06BF">
            <w:pPr>
              <w:jc w:val="center"/>
              <w:rPr>
                <w:sz w:val="18"/>
                <w:szCs w:val="18"/>
              </w:rPr>
            </w:pPr>
            <w:r w:rsidRPr="00D376CB">
              <w:rPr>
                <w:sz w:val="18"/>
                <w:szCs w:val="18"/>
              </w:rPr>
              <w:t>429.73</w:t>
            </w:r>
          </w:p>
        </w:tc>
      </w:tr>
      <w:tr w:rsidR="00AB06BF" w:rsidRPr="00D376CB" w14:paraId="7E50D7F1" w14:textId="77777777" w:rsidTr="00E80BF4">
        <w:trPr>
          <w:trHeight w:val="480"/>
        </w:trPr>
        <w:tc>
          <w:tcPr>
            <w:tcW w:w="1435" w:type="dxa"/>
          </w:tcPr>
          <w:p w14:paraId="127C6D3A" w14:textId="3B5391A3" w:rsidR="00AB06BF" w:rsidRPr="00D376CB" w:rsidRDefault="00AB06BF" w:rsidP="00AB06BF">
            <w:pPr>
              <w:jc w:val="center"/>
              <w:rPr>
                <w:sz w:val="18"/>
                <w:szCs w:val="18"/>
              </w:rPr>
            </w:pPr>
            <w:r>
              <w:rPr>
                <w:sz w:val="18"/>
                <w:szCs w:val="18"/>
              </w:rPr>
              <w:t>12.14</w:t>
            </w:r>
          </w:p>
        </w:tc>
        <w:tc>
          <w:tcPr>
            <w:tcW w:w="1435" w:type="dxa"/>
            <w:shd w:val="clear" w:color="auto" w:fill="auto"/>
            <w:vAlign w:val="bottom"/>
            <w:hideMark/>
          </w:tcPr>
          <w:p w14:paraId="0EAAA09C" w14:textId="5B70D3DB" w:rsidR="00AB06BF" w:rsidRPr="00D376CB" w:rsidRDefault="00AB06BF" w:rsidP="00AB06BF">
            <w:pPr>
              <w:jc w:val="center"/>
              <w:rPr>
                <w:sz w:val="18"/>
                <w:szCs w:val="18"/>
              </w:rPr>
            </w:pPr>
            <w:r w:rsidRPr="00D376CB">
              <w:rPr>
                <w:sz w:val="18"/>
                <w:szCs w:val="18"/>
              </w:rPr>
              <w:t>438.330(e)(1)(ii)</w:t>
            </w:r>
          </w:p>
          <w:p w14:paraId="42E030DA" w14:textId="77777777" w:rsidR="00AB06BF" w:rsidRPr="00D376CB" w:rsidRDefault="00AB06BF" w:rsidP="00AB06BF">
            <w:pPr>
              <w:jc w:val="center"/>
              <w:rPr>
                <w:sz w:val="18"/>
                <w:szCs w:val="18"/>
              </w:rPr>
            </w:pPr>
            <w:r w:rsidRPr="00D376CB">
              <w:rPr>
                <w:sz w:val="18"/>
                <w:szCs w:val="18"/>
              </w:rPr>
              <w:t>State Review of Outcomes</w:t>
            </w:r>
          </w:p>
        </w:tc>
        <w:tc>
          <w:tcPr>
            <w:tcW w:w="995" w:type="dxa"/>
            <w:shd w:val="clear" w:color="auto" w:fill="auto"/>
            <w:noWrap/>
            <w:vAlign w:val="center"/>
            <w:hideMark/>
          </w:tcPr>
          <w:p w14:paraId="2DBEED2B" w14:textId="77777777" w:rsidR="00AB06BF" w:rsidRPr="00D376CB" w:rsidRDefault="00AB06BF" w:rsidP="00AB06BF">
            <w:pPr>
              <w:jc w:val="center"/>
              <w:rPr>
                <w:sz w:val="18"/>
                <w:szCs w:val="18"/>
              </w:rPr>
            </w:pPr>
            <w:r w:rsidRPr="00D376CB">
              <w:rPr>
                <w:sz w:val="18"/>
                <w:szCs w:val="18"/>
              </w:rPr>
              <w:t>40</w:t>
            </w:r>
          </w:p>
        </w:tc>
        <w:tc>
          <w:tcPr>
            <w:tcW w:w="1008" w:type="dxa"/>
            <w:shd w:val="clear" w:color="auto" w:fill="auto"/>
            <w:noWrap/>
            <w:vAlign w:val="center"/>
            <w:hideMark/>
          </w:tcPr>
          <w:p w14:paraId="109D5986" w14:textId="77777777" w:rsidR="00AB06BF" w:rsidRPr="00D376CB" w:rsidRDefault="00AB06BF" w:rsidP="00AB06BF">
            <w:pPr>
              <w:jc w:val="center"/>
              <w:rPr>
                <w:sz w:val="18"/>
                <w:szCs w:val="18"/>
              </w:rPr>
            </w:pPr>
            <w:r w:rsidRPr="00D376CB">
              <w:rPr>
                <w:sz w:val="18"/>
                <w:szCs w:val="18"/>
              </w:rPr>
              <w:t>552</w:t>
            </w:r>
          </w:p>
        </w:tc>
        <w:tc>
          <w:tcPr>
            <w:tcW w:w="967" w:type="dxa"/>
            <w:shd w:val="clear" w:color="auto" w:fill="auto"/>
            <w:noWrap/>
            <w:vAlign w:val="center"/>
            <w:hideMark/>
          </w:tcPr>
          <w:p w14:paraId="7F80276B" w14:textId="77777777" w:rsidR="00AB06BF" w:rsidRPr="00D376CB" w:rsidRDefault="00AB06BF" w:rsidP="00AB06BF">
            <w:pPr>
              <w:jc w:val="center"/>
              <w:rPr>
                <w:sz w:val="18"/>
                <w:szCs w:val="18"/>
              </w:rPr>
            </w:pPr>
            <w:r w:rsidRPr="00D376CB">
              <w:rPr>
                <w:sz w:val="18"/>
                <w:szCs w:val="18"/>
              </w:rPr>
              <w:t>1</w:t>
            </w:r>
          </w:p>
        </w:tc>
        <w:tc>
          <w:tcPr>
            <w:tcW w:w="1013" w:type="dxa"/>
            <w:shd w:val="clear" w:color="auto" w:fill="auto"/>
            <w:noWrap/>
            <w:vAlign w:val="center"/>
            <w:hideMark/>
          </w:tcPr>
          <w:p w14:paraId="7275277C" w14:textId="77777777" w:rsidR="00AB06BF" w:rsidRPr="00D376CB" w:rsidRDefault="00AB06BF" w:rsidP="00AB06BF">
            <w:pPr>
              <w:jc w:val="center"/>
              <w:rPr>
                <w:sz w:val="18"/>
                <w:szCs w:val="18"/>
              </w:rPr>
            </w:pPr>
            <w:r w:rsidRPr="00D376CB">
              <w:rPr>
                <w:sz w:val="18"/>
                <w:szCs w:val="18"/>
              </w:rPr>
              <w:t>552.0</w:t>
            </w:r>
          </w:p>
        </w:tc>
        <w:tc>
          <w:tcPr>
            <w:tcW w:w="702" w:type="dxa"/>
            <w:shd w:val="clear" w:color="auto" w:fill="auto"/>
            <w:noWrap/>
            <w:vAlign w:val="center"/>
            <w:hideMark/>
          </w:tcPr>
          <w:p w14:paraId="1378A461" w14:textId="77777777" w:rsidR="00AB06BF" w:rsidRPr="00D376CB" w:rsidRDefault="00AB06BF" w:rsidP="00AB06BF">
            <w:pPr>
              <w:jc w:val="center"/>
              <w:rPr>
                <w:sz w:val="18"/>
                <w:szCs w:val="18"/>
              </w:rPr>
            </w:pPr>
            <w:r w:rsidRPr="00D376CB">
              <w:rPr>
                <w:sz w:val="18"/>
                <w:szCs w:val="18"/>
              </w:rPr>
              <w:t>64.46</w:t>
            </w:r>
          </w:p>
        </w:tc>
        <w:tc>
          <w:tcPr>
            <w:tcW w:w="990" w:type="dxa"/>
            <w:shd w:val="clear" w:color="auto" w:fill="auto"/>
            <w:noWrap/>
            <w:vAlign w:val="center"/>
            <w:hideMark/>
          </w:tcPr>
          <w:p w14:paraId="1646D91C" w14:textId="77777777" w:rsidR="00AB06BF" w:rsidRPr="00D376CB" w:rsidRDefault="00AB06BF" w:rsidP="00AB06BF">
            <w:pPr>
              <w:jc w:val="center"/>
              <w:rPr>
                <w:sz w:val="18"/>
                <w:szCs w:val="18"/>
              </w:rPr>
            </w:pPr>
            <w:r w:rsidRPr="00D376CB">
              <w:rPr>
                <w:sz w:val="18"/>
                <w:szCs w:val="18"/>
              </w:rPr>
              <w:t>64.46</w:t>
            </w:r>
          </w:p>
        </w:tc>
        <w:tc>
          <w:tcPr>
            <w:tcW w:w="1278" w:type="dxa"/>
            <w:shd w:val="clear" w:color="auto" w:fill="auto"/>
            <w:noWrap/>
            <w:vAlign w:val="center"/>
            <w:hideMark/>
          </w:tcPr>
          <w:p w14:paraId="3703BFAB" w14:textId="77777777" w:rsidR="00AB06BF" w:rsidRPr="00D376CB" w:rsidRDefault="00AB06BF" w:rsidP="00AB06BF">
            <w:pPr>
              <w:jc w:val="center"/>
              <w:rPr>
                <w:sz w:val="18"/>
                <w:szCs w:val="18"/>
              </w:rPr>
            </w:pPr>
            <w:r w:rsidRPr="00D376CB">
              <w:rPr>
                <w:sz w:val="18"/>
                <w:szCs w:val="18"/>
              </w:rPr>
              <w:t>35,581.92</w:t>
            </w:r>
          </w:p>
        </w:tc>
        <w:tc>
          <w:tcPr>
            <w:tcW w:w="810" w:type="dxa"/>
            <w:shd w:val="clear" w:color="auto" w:fill="auto"/>
            <w:noWrap/>
            <w:vAlign w:val="center"/>
            <w:hideMark/>
          </w:tcPr>
          <w:p w14:paraId="25DCDB50" w14:textId="77777777" w:rsidR="00AB06BF" w:rsidRPr="00D376CB" w:rsidRDefault="00AB06BF" w:rsidP="00AB06BF">
            <w:pPr>
              <w:jc w:val="center"/>
              <w:rPr>
                <w:sz w:val="18"/>
                <w:szCs w:val="18"/>
              </w:rPr>
            </w:pPr>
            <w:r w:rsidRPr="00D376CB">
              <w:rPr>
                <w:sz w:val="18"/>
                <w:szCs w:val="18"/>
              </w:rPr>
              <w:t>annual</w:t>
            </w:r>
          </w:p>
        </w:tc>
        <w:tc>
          <w:tcPr>
            <w:tcW w:w="1147" w:type="dxa"/>
          </w:tcPr>
          <w:p w14:paraId="3FEBD4C0" w14:textId="4170D191" w:rsidR="00AB06BF" w:rsidRPr="00D376CB" w:rsidRDefault="00AB06BF" w:rsidP="00AB06BF">
            <w:pPr>
              <w:spacing w:before="240"/>
              <w:jc w:val="center"/>
              <w:rPr>
                <w:sz w:val="18"/>
                <w:szCs w:val="18"/>
              </w:rPr>
            </w:pPr>
            <w:r>
              <w:rPr>
                <w:sz w:val="18"/>
                <w:szCs w:val="18"/>
              </w:rPr>
              <w:t>R</w:t>
            </w:r>
          </w:p>
        </w:tc>
        <w:tc>
          <w:tcPr>
            <w:tcW w:w="1147" w:type="dxa"/>
            <w:shd w:val="clear" w:color="auto" w:fill="auto"/>
            <w:noWrap/>
            <w:vAlign w:val="center"/>
            <w:hideMark/>
          </w:tcPr>
          <w:p w14:paraId="24D65DE3" w14:textId="0858561A" w:rsidR="00AB06BF" w:rsidRPr="00D376CB" w:rsidRDefault="00AB06BF" w:rsidP="00AB06BF">
            <w:pPr>
              <w:jc w:val="center"/>
              <w:rPr>
                <w:sz w:val="18"/>
                <w:szCs w:val="18"/>
              </w:rPr>
            </w:pPr>
            <w:r w:rsidRPr="00D376CB">
              <w:rPr>
                <w:sz w:val="18"/>
                <w:szCs w:val="18"/>
              </w:rPr>
              <w:t>552.0</w:t>
            </w:r>
          </w:p>
        </w:tc>
        <w:tc>
          <w:tcPr>
            <w:tcW w:w="1170" w:type="dxa"/>
            <w:shd w:val="clear" w:color="auto" w:fill="auto"/>
            <w:noWrap/>
            <w:vAlign w:val="center"/>
            <w:hideMark/>
          </w:tcPr>
          <w:p w14:paraId="4EDC8E6D" w14:textId="77777777" w:rsidR="00AB06BF" w:rsidRPr="00D376CB" w:rsidRDefault="00AB06BF" w:rsidP="00AB06BF">
            <w:pPr>
              <w:jc w:val="center"/>
              <w:rPr>
                <w:sz w:val="18"/>
                <w:szCs w:val="18"/>
              </w:rPr>
            </w:pPr>
            <w:r w:rsidRPr="00D376CB">
              <w:rPr>
                <w:sz w:val="18"/>
                <w:szCs w:val="18"/>
              </w:rPr>
              <w:t>35,581.92</w:t>
            </w:r>
          </w:p>
        </w:tc>
      </w:tr>
      <w:tr w:rsidR="00AB06BF" w:rsidRPr="00D376CB" w14:paraId="3834EC63" w14:textId="77777777" w:rsidTr="00E80BF4">
        <w:trPr>
          <w:trHeight w:val="480"/>
        </w:trPr>
        <w:tc>
          <w:tcPr>
            <w:tcW w:w="1435" w:type="dxa"/>
          </w:tcPr>
          <w:p w14:paraId="50D8A1D1" w14:textId="1006E452" w:rsidR="00AB06BF" w:rsidRPr="00D376CB" w:rsidRDefault="00AB06BF" w:rsidP="00AB06BF">
            <w:pPr>
              <w:jc w:val="center"/>
              <w:rPr>
                <w:sz w:val="17"/>
                <w:szCs w:val="17"/>
              </w:rPr>
            </w:pPr>
            <w:r>
              <w:rPr>
                <w:sz w:val="17"/>
                <w:szCs w:val="17"/>
              </w:rPr>
              <w:t>12.15</w:t>
            </w:r>
          </w:p>
        </w:tc>
        <w:tc>
          <w:tcPr>
            <w:tcW w:w="1435" w:type="dxa"/>
            <w:shd w:val="clear" w:color="auto" w:fill="auto"/>
            <w:vAlign w:val="bottom"/>
            <w:hideMark/>
          </w:tcPr>
          <w:p w14:paraId="7E792B6A" w14:textId="4A76F66D" w:rsidR="00AB06BF" w:rsidRPr="00D376CB" w:rsidRDefault="00AB06BF" w:rsidP="00AB06BF">
            <w:pPr>
              <w:jc w:val="center"/>
              <w:rPr>
                <w:sz w:val="17"/>
                <w:szCs w:val="17"/>
              </w:rPr>
            </w:pPr>
            <w:r w:rsidRPr="00D376CB">
              <w:rPr>
                <w:sz w:val="17"/>
                <w:szCs w:val="17"/>
              </w:rPr>
              <w:t>438.330(e)(1)(iii)</w:t>
            </w:r>
          </w:p>
          <w:p w14:paraId="09836CE2" w14:textId="77777777" w:rsidR="00AB06BF" w:rsidRPr="00D376CB" w:rsidRDefault="00AB06BF" w:rsidP="00AB06BF">
            <w:pPr>
              <w:jc w:val="center"/>
              <w:rPr>
                <w:sz w:val="18"/>
                <w:szCs w:val="18"/>
              </w:rPr>
            </w:pPr>
            <w:r w:rsidRPr="00D376CB">
              <w:rPr>
                <w:sz w:val="18"/>
                <w:szCs w:val="18"/>
              </w:rPr>
              <w:t>Update State Policies</w:t>
            </w:r>
          </w:p>
        </w:tc>
        <w:tc>
          <w:tcPr>
            <w:tcW w:w="995" w:type="dxa"/>
            <w:shd w:val="clear" w:color="auto" w:fill="auto"/>
            <w:noWrap/>
            <w:vAlign w:val="center"/>
            <w:hideMark/>
          </w:tcPr>
          <w:p w14:paraId="11F4D8D2" w14:textId="77777777" w:rsidR="00AB06BF" w:rsidRPr="00D376CB" w:rsidRDefault="00AB06BF" w:rsidP="00AB06BF">
            <w:pPr>
              <w:jc w:val="center"/>
              <w:rPr>
                <w:sz w:val="18"/>
                <w:szCs w:val="18"/>
              </w:rPr>
            </w:pPr>
            <w:r w:rsidRPr="00D376CB">
              <w:rPr>
                <w:sz w:val="18"/>
                <w:szCs w:val="18"/>
              </w:rPr>
              <w:t>16</w:t>
            </w:r>
          </w:p>
        </w:tc>
        <w:tc>
          <w:tcPr>
            <w:tcW w:w="1008" w:type="dxa"/>
            <w:shd w:val="clear" w:color="auto" w:fill="auto"/>
            <w:noWrap/>
            <w:vAlign w:val="center"/>
            <w:hideMark/>
          </w:tcPr>
          <w:p w14:paraId="792EA509" w14:textId="77777777" w:rsidR="00AB06BF" w:rsidRPr="00D376CB" w:rsidRDefault="00AB06BF" w:rsidP="00AB06BF">
            <w:pPr>
              <w:jc w:val="center"/>
              <w:rPr>
                <w:sz w:val="18"/>
                <w:szCs w:val="18"/>
              </w:rPr>
            </w:pPr>
            <w:r w:rsidRPr="00D376CB">
              <w:rPr>
                <w:sz w:val="18"/>
                <w:szCs w:val="18"/>
              </w:rPr>
              <w:t>16</w:t>
            </w:r>
          </w:p>
        </w:tc>
        <w:tc>
          <w:tcPr>
            <w:tcW w:w="967" w:type="dxa"/>
            <w:shd w:val="clear" w:color="auto" w:fill="auto"/>
            <w:noWrap/>
            <w:vAlign w:val="center"/>
            <w:hideMark/>
          </w:tcPr>
          <w:p w14:paraId="0D7E45AE" w14:textId="77777777" w:rsidR="00AB06BF" w:rsidRPr="00D376CB" w:rsidRDefault="00AB06BF" w:rsidP="00AB06BF">
            <w:pPr>
              <w:jc w:val="center"/>
              <w:rPr>
                <w:sz w:val="18"/>
                <w:szCs w:val="18"/>
              </w:rPr>
            </w:pPr>
            <w:r w:rsidRPr="00D376CB">
              <w:rPr>
                <w:sz w:val="18"/>
                <w:szCs w:val="18"/>
              </w:rPr>
              <w:t>0.5</w:t>
            </w:r>
          </w:p>
        </w:tc>
        <w:tc>
          <w:tcPr>
            <w:tcW w:w="1013" w:type="dxa"/>
            <w:shd w:val="clear" w:color="auto" w:fill="auto"/>
            <w:noWrap/>
            <w:vAlign w:val="center"/>
            <w:hideMark/>
          </w:tcPr>
          <w:p w14:paraId="4043DDFB" w14:textId="77777777" w:rsidR="00AB06BF" w:rsidRPr="00D376CB" w:rsidRDefault="00AB06BF" w:rsidP="00AB06BF">
            <w:pPr>
              <w:jc w:val="center"/>
              <w:rPr>
                <w:sz w:val="18"/>
                <w:szCs w:val="18"/>
              </w:rPr>
            </w:pPr>
            <w:r w:rsidRPr="00D376CB">
              <w:rPr>
                <w:sz w:val="18"/>
                <w:szCs w:val="18"/>
              </w:rPr>
              <w:t>8.0</w:t>
            </w:r>
          </w:p>
        </w:tc>
        <w:tc>
          <w:tcPr>
            <w:tcW w:w="702" w:type="dxa"/>
            <w:shd w:val="clear" w:color="auto" w:fill="auto"/>
            <w:noWrap/>
            <w:vAlign w:val="center"/>
            <w:hideMark/>
          </w:tcPr>
          <w:p w14:paraId="06A7C1C0" w14:textId="77777777" w:rsidR="00AB06BF" w:rsidRPr="00D376CB" w:rsidRDefault="00AB06BF" w:rsidP="00AB06BF">
            <w:pPr>
              <w:jc w:val="center"/>
              <w:rPr>
                <w:sz w:val="18"/>
                <w:szCs w:val="18"/>
              </w:rPr>
            </w:pPr>
            <w:r w:rsidRPr="00D376CB">
              <w:rPr>
                <w:sz w:val="18"/>
                <w:szCs w:val="18"/>
              </w:rPr>
              <w:t>64.46</w:t>
            </w:r>
          </w:p>
        </w:tc>
        <w:tc>
          <w:tcPr>
            <w:tcW w:w="990" w:type="dxa"/>
            <w:shd w:val="clear" w:color="auto" w:fill="auto"/>
            <w:noWrap/>
            <w:vAlign w:val="center"/>
            <w:hideMark/>
          </w:tcPr>
          <w:p w14:paraId="6CC094E0" w14:textId="77777777" w:rsidR="00AB06BF" w:rsidRPr="00D376CB" w:rsidRDefault="00AB06BF" w:rsidP="00AB06BF">
            <w:pPr>
              <w:jc w:val="center"/>
              <w:rPr>
                <w:sz w:val="18"/>
                <w:szCs w:val="18"/>
              </w:rPr>
            </w:pPr>
            <w:r w:rsidRPr="00D376CB">
              <w:rPr>
                <w:sz w:val="18"/>
                <w:szCs w:val="18"/>
              </w:rPr>
              <w:t>32.23</w:t>
            </w:r>
          </w:p>
        </w:tc>
        <w:tc>
          <w:tcPr>
            <w:tcW w:w="1278" w:type="dxa"/>
            <w:shd w:val="clear" w:color="auto" w:fill="auto"/>
            <w:noWrap/>
            <w:vAlign w:val="center"/>
            <w:hideMark/>
          </w:tcPr>
          <w:p w14:paraId="331C4312" w14:textId="77777777" w:rsidR="00AB06BF" w:rsidRPr="00D376CB" w:rsidRDefault="00AB06BF" w:rsidP="00AB06BF">
            <w:pPr>
              <w:jc w:val="center"/>
              <w:rPr>
                <w:sz w:val="18"/>
                <w:szCs w:val="18"/>
              </w:rPr>
            </w:pPr>
            <w:r w:rsidRPr="00D376CB">
              <w:rPr>
                <w:sz w:val="18"/>
                <w:szCs w:val="18"/>
              </w:rPr>
              <w:t>515.68</w:t>
            </w:r>
          </w:p>
        </w:tc>
        <w:tc>
          <w:tcPr>
            <w:tcW w:w="810" w:type="dxa"/>
            <w:shd w:val="clear" w:color="auto" w:fill="auto"/>
            <w:noWrap/>
            <w:vAlign w:val="center"/>
            <w:hideMark/>
          </w:tcPr>
          <w:p w14:paraId="5E45E061" w14:textId="77777777" w:rsidR="00AB06BF" w:rsidRPr="00D376CB" w:rsidRDefault="00AB06BF" w:rsidP="00AB06BF">
            <w:pPr>
              <w:jc w:val="center"/>
              <w:rPr>
                <w:sz w:val="18"/>
                <w:szCs w:val="18"/>
              </w:rPr>
            </w:pPr>
            <w:r w:rsidRPr="00D376CB">
              <w:rPr>
                <w:sz w:val="18"/>
                <w:szCs w:val="18"/>
              </w:rPr>
              <w:t>once</w:t>
            </w:r>
          </w:p>
        </w:tc>
        <w:tc>
          <w:tcPr>
            <w:tcW w:w="1147" w:type="dxa"/>
          </w:tcPr>
          <w:p w14:paraId="1BC68958" w14:textId="20248B55" w:rsidR="00AB06BF" w:rsidRPr="00D376CB" w:rsidRDefault="00AB06BF" w:rsidP="00AB06BF">
            <w:pPr>
              <w:spacing w:before="240"/>
              <w:jc w:val="center"/>
              <w:rPr>
                <w:sz w:val="18"/>
                <w:szCs w:val="18"/>
              </w:rPr>
            </w:pPr>
            <w:r>
              <w:rPr>
                <w:sz w:val="18"/>
                <w:szCs w:val="18"/>
              </w:rPr>
              <w:t>R</w:t>
            </w:r>
          </w:p>
        </w:tc>
        <w:tc>
          <w:tcPr>
            <w:tcW w:w="1147" w:type="dxa"/>
            <w:shd w:val="clear" w:color="auto" w:fill="auto"/>
            <w:noWrap/>
            <w:vAlign w:val="center"/>
            <w:hideMark/>
          </w:tcPr>
          <w:p w14:paraId="39BDD715" w14:textId="554D9128" w:rsidR="00AB06BF" w:rsidRPr="00D376CB" w:rsidRDefault="00AB06BF" w:rsidP="00AB06BF">
            <w:pPr>
              <w:jc w:val="center"/>
              <w:rPr>
                <w:sz w:val="18"/>
                <w:szCs w:val="18"/>
              </w:rPr>
            </w:pPr>
            <w:r w:rsidRPr="00D376CB">
              <w:rPr>
                <w:sz w:val="18"/>
                <w:szCs w:val="18"/>
              </w:rPr>
              <w:t>2.7</w:t>
            </w:r>
          </w:p>
        </w:tc>
        <w:tc>
          <w:tcPr>
            <w:tcW w:w="1170" w:type="dxa"/>
            <w:shd w:val="clear" w:color="auto" w:fill="auto"/>
            <w:noWrap/>
            <w:vAlign w:val="center"/>
            <w:hideMark/>
          </w:tcPr>
          <w:p w14:paraId="42F12568" w14:textId="77777777" w:rsidR="00AB06BF" w:rsidRPr="00D376CB" w:rsidRDefault="00AB06BF" w:rsidP="00AB06BF">
            <w:pPr>
              <w:jc w:val="center"/>
              <w:rPr>
                <w:sz w:val="18"/>
                <w:szCs w:val="18"/>
              </w:rPr>
            </w:pPr>
            <w:r w:rsidRPr="00D376CB">
              <w:rPr>
                <w:sz w:val="18"/>
                <w:szCs w:val="18"/>
              </w:rPr>
              <w:t>171.89</w:t>
            </w:r>
          </w:p>
        </w:tc>
      </w:tr>
      <w:tr w:rsidR="00AB06BF" w:rsidRPr="00D376CB" w14:paraId="66B48F55" w14:textId="77777777" w:rsidTr="00E80BF4">
        <w:trPr>
          <w:trHeight w:val="480"/>
        </w:trPr>
        <w:tc>
          <w:tcPr>
            <w:tcW w:w="1435" w:type="dxa"/>
          </w:tcPr>
          <w:p w14:paraId="11A7CC13" w14:textId="7371E9EA" w:rsidR="00AB06BF" w:rsidRPr="00D376CB" w:rsidRDefault="00AB06BF" w:rsidP="00AB06BF">
            <w:pPr>
              <w:jc w:val="center"/>
              <w:rPr>
                <w:sz w:val="17"/>
                <w:szCs w:val="17"/>
              </w:rPr>
            </w:pPr>
            <w:r>
              <w:rPr>
                <w:sz w:val="17"/>
                <w:szCs w:val="17"/>
              </w:rPr>
              <w:t>12.16</w:t>
            </w:r>
          </w:p>
        </w:tc>
        <w:tc>
          <w:tcPr>
            <w:tcW w:w="1435" w:type="dxa"/>
            <w:shd w:val="clear" w:color="auto" w:fill="auto"/>
            <w:vAlign w:val="bottom"/>
            <w:hideMark/>
          </w:tcPr>
          <w:p w14:paraId="615D5121" w14:textId="21C4B02F" w:rsidR="00AB06BF" w:rsidRPr="00D376CB" w:rsidRDefault="00AB06BF" w:rsidP="00AB06BF">
            <w:pPr>
              <w:jc w:val="center"/>
              <w:rPr>
                <w:sz w:val="17"/>
                <w:szCs w:val="17"/>
              </w:rPr>
            </w:pPr>
            <w:r w:rsidRPr="00D376CB">
              <w:rPr>
                <w:sz w:val="17"/>
                <w:szCs w:val="17"/>
              </w:rPr>
              <w:t>438.330(e)(1)(iii)</w:t>
            </w:r>
          </w:p>
          <w:p w14:paraId="53FE3D8C" w14:textId="77777777" w:rsidR="00AB06BF" w:rsidRPr="00D376CB" w:rsidRDefault="00AB06BF" w:rsidP="00AB06BF">
            <w:pPr>
              <w:jc w:val="center"/>
              <w:rPr>
                <w:sz w:val="18"/>
                <w:szCs w:val="18"/>
              </w:rPr>
            </w:pPr>
            <w:r w:rsidRPr="00D376CB">
              <w:rPr>
                <w:sz w:val="18"/>
                <w:szCs w:val="18"/>
              </w:rPr>
              <w:t>State Assess LTSS</w:t>
            </w:r>
          </w:p>
        </w:tc>
        <w:tc>
          <w:tcPr>
            <w:tcW w:w="995" w:type="dxa"/>
            <w:shd w:val="clear" w:color="auto" w:fill="auto"/>
            <w:noWrap/>
            <w:vAlign w:val="center"/>
            <w:hideMark/>
          </w:tcPr>
          <w:p w14:paraId="5B8C068A" w14:textId="77777777" w:rsidR="00AB06BF" w:rsidRPr="00D376CB" w:rsidRDefault="00AB06BF" w:rsidP="00AB06BF">
            <w:pPr>
              <w:jc w:val="center"/>
              <w:rPr>
                <w:sz w:val="18"/>
                <w:szCs w:val="18"/>
              </w:rPr>
            </w:pPr>
            <w:r w:rsidRPr="00D376CB">
              <w:rPr>
                <w:sz w:val="18"/>
                <w:szCs w:val="18"/>
              </w:rPr>
              <w:t>16</w:t>
            </w:r>
          </w:p>
        </w:tc>
        <w:tc>
          <w:tcPr>
            <w:tcW w:w="1008" w:type="dxa"/>
            <w:shd w:val="clear" w:color="auto" w:fill="auto"/>
            <w:noWrap/>
            <w:vAlign w:val="center"/>
            <w:hideMark/>
          </w:tcPr>
          <w:p w14:paraId="25E3BE71" w14:textId="77777777" w:rsidR="00AB06BF" w:rsidRPr="00D376CB" w:rsidRDefault="00AB06BF" w:rsidP="00AB06BF">
            <w:pPr>
              <w:jc w:val="center"/>
              <w:rPr>
                <w:sz w:val="18"/>
                <w:szCs w:val="18"/>
              </w:rPr>
            </w:pPr>
            <w:r w:rsidRPr="00D376CB">
              <w:rPr>
                <w:sz w:val="18"/>
                <w:szCs w:val="18"/>
              </w:rPr>
              <w:t>179</w:t>
            </w:r>
          </w:p>
        </w:tc>
        <w:tc>
          <w:tcPr>
            <w:tcW w:w="967" w:type="dxa"/>
            <w:shd w:val="clear" w:color="auto" w:fill="auto"/>
            <w:noWrap/>
            <w:vAlign w:val="center"/>
            <w:hideMark/>
          </w:tcPr>
          <w:p w14:paraId="2D0DB484" w14:textId="77777777" w:rsidR="00AB06BF" w:rsidRPr="00D376CB" w:rsidRDefault="00AB06BF" w:rsidP="00AB06BF">
            <w:pPr>
              <w:jc w:val="center"/>
              <w:rPr>
                <w:sz w:val="18"/>
                <w:szCs w:val="18"/>
              </w:rPr>
            </w:pPr>
            <w:r w:rsidRPr="00D376CB">
              <w:rPr>
                <w:sz w:val="18"/>
                <w:szCs w:val="18"/>
              </w:rPr>
              <w:t>1</w:t>
            </w:r>
          </w:p>
        </w:tc>
        <w:tc>
          <w:tcPr>
            <w:tcW w:w="1013" w:type="dxa"/>
            <w:shd w:val="clear" w:color="auto" w:fill="auto"/>
            <w:noWrap/>
            <w:vAlign w:val="center"/>
            <w:hideMark/>
          </w:tcPr>
          <w:p w14:paraId="01D30007" w14:textId="77777777" w:rsidR="00AB06BF" w:rsidRPr="00D376CB" w:rsidRDefault="00AB06BF" w:rsidP="00AB06BF">
            <w:pPr>
              <w:jc w:val="center"/>
              <w:rPr>
                <w:sz w:val="18"/>
                <w:szCs w:val="18"/>
              </w:rPr>
            </w:pPr>
            <w:r w:rsidRPr="00D376CB">
              <w:rPr>
                <w:sz w:val="18"/>
                <w:szCs w:val="18"/>
              </w:rPr>
              <w:t>179.0</w:t>
            </w:r>
          </w:p>
        </w:tc>
        <w:tc>
          <w:tcPr>
            <w:tcW w:w="702" w:type="dxa"/>
            <w:shd w:val="clear" w:color="auto" w:fill="auto"/>
            <w:noWrap/>
            <w:vAlign w:val="center"/>
            <w:hideMark/>
          </w:tcPr>
          <w:p w14:paraId="16B4B861" w14:textId="77777777" w:rsidR="00AB06BF" w:rsidRPr="00D376CB" w:rsidRDefault="00AB06BF" w:rsidP="00AB06BF">
            <w:pPr>
              <w:jc w:val="center"/>
              <w:rPr>
                <w:sz w:val="18"/>
                <w:szCs w:val="18"/>
              </w:rPr>
            </w:pPr>
            <w:r w:rsidRPr="00D376CB">
              <w:rPr>
                <w:sz w:val="18"/>
                <w:szCs w:val="18"/>
              </w:rPr>
              <w:t>64.46</w:t>
            </w:r>
          </w:p>
        </w:tc>
        <w:tc>
          <w:tcPr>
            <w:tcW w:w="990" w:type="dxa"/>
            <w:shd w:val="clear" w:color="auto" w:fill="auto"/>
            <w:noWrap/>
            <w:vAlign w:val="center"/>
            <w:hideMark/>
          </w:tcPr>
          <w:p w14:paraId="2E121EAF" w14:textId="77777777" w:rsidR="00AB06BF" w:rsidRPr="00D376CB" w:rsidRDefault="00AB06BF" w:rsidP="00AB06BF">
            <w:pPr>
              <w:jc w:val="center"/>
              <w:rPr>
                <w:sz w:val="18"/>
                <w:szCs w:val="18"/>
              </w:rPr>
            </w:pPr>
            <w:r w:rsidRPr="00D376CB">
              <w:rPr>
                <w:sz w:val="18"/>
                <w:szCs w:val="18"/>
              </w:rPr>
              <w:t>64.46</w:t>
            </w:r>
          </w:p>
        </w:tc>
        <w:tc>
          <w:tcPr>
            <w:tcW w:w="1278" w:type="dxa"/>
            <w:shd w:val="clear" w:color="auto" w:fill="auto"/>
            <w:noWrap/>
            <w:vAlign w:val="center"/>
            <w:hideMark/>
          </w:tcPr>
          <w:p w14:paraId="082FE7F5" w14:textId="77777777" w:rsidR="00AB06BF" w:rsidRPr="00D376CB" w:rsidRDefault="00AB06BF" w:rsidP="00AB06BF">
            <w:pPr>
              <w:jc w:val="center"/>
              <w:rPr>
                <w:sz w:val="18"/>
                <w:szCs w:val="18"/>
              </w:rPr>
            </w:pPr>
            <w:r w:rsidRPr="00D376CB">
              <w:rPr>
                <w:sz w:val="18"/>
                <w:szCs w:val="18"/>
              </w:rPr>
              <w:t>11,538.34</w:t>
            </w:r>
          </w:p>
        </w:tc>
        <w:tc>
          <w:tcPr>
            <w:tcW w:w="810" w:type="dxa"/>
            <w:shd w:val="clear" w:color="auto" w:fill="auto"/>
            <w:noWrap/>
            <w:vAlign w:val="center"/>
            <w:hideMark/>
          </w:tcPr>
          <w:p w14:paraId="30E26750" w14:textId="77777777" w:rsidR="00AB06BF" w:rsidRPr="00D376CB" w:rsidRDefault="00AB06BF" w:rsidP="00AB06BF">
            <w:pPr>
              <w:jc w:val="center"/>
              <w:rPr>
                <w:sz w:val="18"/>
                <w:szCs w:val="18"/>
              </w:rPr>
            </w:pPr>
            <w:r w:rsidRPr="00D376CB">
              <w:rPr>
                <w:sz w:val="18"/>
                <w:szCs w:val="18"/>
              </w:rPr>
              <w:t>annual</w:t>
            </w:r>
          </w:p>
        </w:tc>
        <w:tc>
          <w:tcPr>
            <w:tcW w:w="1147" w:type="dxa"/>
          </w:tcPr>
          <w:p w14:paraId="669F53AB" w14:textId="350205AF" w:rsidR="00AB06BF" w:rsidRPr="00D376CB" w:rsidRDefault="00AB06BF" w:rsidP="00AB06BF">
            <w:pPr>
              <w:spacing w:before="240"/>
              <w:jc w:val="center"/>
              <w:rPr>
                <w:sz w:val="18"/>
                <w:szCs w:val="18"/>
              </w:rPr>
            </w:pPr>
            <w:r>
              <w:rPr>
                <w:sz w:val="18"/>
                <w:szCs w:val="18"/>
              </w:rPr>
              <w:t>R</w:t>
            </w:r>
          </w:p>
        </w:tc>
        <w:tc>
          <w:tcPr>
            <w:tcW w:w="1147" w:type="dxa"/>
            <w:shd w:val="clear" w:color="auto" w:fill="auto"/>
            <w:noWrap/>
            <w:vAlign w:val="center"/>
            <w:hideMark/>
          </w:tcPr>
          <w:p w14:paraId="78A24293" w14:textId="2A8FB855" w:rsidR="00AB06BF" w:rsidRPr="00D376CB" w:rsidRDefault="00AB06BF" w:rsidP="00AB06BF">
            <w:pPr>
              <w:jc w:val="center"/>
              <w:rPr>
                <w:sz w:val="18"/>
                <w:szCs w:val="18"/>
              </w:rPr>
            </w:pPr>
            <w:r w:rsidRPr="00D376CB">
              <w:rPr>
                <w:sz w:val="18"/>
                <w:szCs w:val="18"/>
              </w:rPr>
              <w:t>179.0</w:t>
            </w:r>
          </w:p>
        </w:tc>
        <w:tc>
          <w:tcPr>
            <w:tcW w:w="1170" w:type="dxa"/>
            <w:shd w:val="clear" w:color="auto" w:fill="auto"/>
            <w:noWrap/>
            <w:vAlign w:val="center"/>
            <w:hideMark/>
          </w:tcPr>
          <w:p w14:paraId="03E0EB6E" w14:textId="77777777" w:rsidR="00AB06BF" w:rsidRPr="00D376CB" w:rsidRDefault="00AB06BF" w:rsidP="00AB06BF">
            <w:pPr>
              <w:jc w:val="center"/>
              <w:rPr>
                <w:sz w:val="18"/>
                <w:szCs w:val="18"/>
              </w:rPr>
            </w:pPr>
            <w:r w:rsidRPr="00D376CB">
              <w:rPr>
                <w:sz w:val="18"/>
                <w:szCs w:val="18"/>
              </w:rPr>
              <w:t>11,538.34</w:t>
            </w:r>
          </w:p>
        </w:tc>
      </w:tr>
      <w:tr w:rsidR="00AB06BF" w:rsidRPr="00D376CB" w14:paraId="40C21100" w14:textId="77777777" w:rsidTr="00E80BF4">
        <w:trPr>
          <w:trHeight w:val="290"/>
        </w:trPr>
        <w:tc>
          <w:tcPr>
            <w:tcW w:w="1435" w:type="dxa"/>
          </w:tcPr>
          <w:p w14:paraId="32ECAB81" w14:textId="7427A4D3" w:rsidR="00AB06BF" w:rsidRPr="00D376CB" w:rsidRDefault="00AB06BF" w:rsidP="00AB06BF">
            <w:pPr>
              <w:jc w:val="center"/>
              <w:rPr>
                <w:sz w:val="18"/>
                <w:szCs w:val="18"/>
              </w:rPr>
            </w:pPr>
            <w:r>
              <w:rPr>
                <w:sz w:val="18"/>
                <w:szCs w:val="18"/>
              </w:rPr>
              <w:t>12.17</w:t>
            </w:r>
          </w:p>
        </w:tc>
        <w:tc>
          <w:tcPr>
            <w:tcW w:w="1435" w:type="dxa"/>
            <w:shd w:val="clear" w:color="auto" w:fill="auto"/>
            <w:vAlign w:val="bottom"/>
            <w:hideMark/>
          </w:tcPr>
          <w:p w14:paraId="37EBAECF" w14:textId="6D4CB5F0" w:rsidR="00AB06BF" w:rsidRPr="00D376CB" w:rsidRDefault="00AB06BF" w:rsidP="00AB06BF">
            <w:pPr>
              <w:jc w:val="center"/>
              <w:rPr>
                <w:sz w:val="18"/>
                <w:szCs w:val="18"/>
              </w:rPr>
            </w:pPr>
            <w:r w:rsidRPr="00D376CB">
              <w:rPr>
                <w:sz w:val="18"/>
                <w:szCs w:val="18"/>
              </w:rPr>
              <w:t>438.332(a)</w:t>
            </w:r>
          </w:p>
          <w:p w14:paraId="679E097F" w14:textId="77777777" w:rsidR="00AB06BF" w:rsidRPr="00D376CB" w:rsidRDefault="00AB06BF" w:rsidP="00AB06BF">
            <w:pPr>
              <w:jc w:val="center"/>
              <w:rPr>
                <w:sz w:val="18"/>
                <w:szCs w:val="18"/>
              </w:rPr>
            </w:pPr>
            <w:r w:rsidRPr="00D376CB">
              <w:rPr>
                <w:sz w:val="18"/>
                <w:szCs w:val="18"/>
              </w:rPr>
              <w:t xml:space="preserve">Confirmation of Accreditation Status   </w:t>
            </w:r>
          </w:p>
        </w:tc>
        <w:tc>
          <w:tcPr>
            <w:tcW w:w="995" w:type="dxa"/>
            <w:shd w:val="clear" w:color="auto" w:fill="auto"/>
            <w:noWrap/>
            <w:vAlign w:val="center"/>
            <w:hideMark/>
          </w:tcPr>
          <w:p w14:paraId="34DF4639" w14:textId="77777777" w:rsidR="00AB06BF" w:rsidRPr="00D376CB" w:rsidRDefault="00AB06BF" w:rsidP="00AB06BF">
            <w:pPr>
              <w:jc w:val="center"/>
              <w:rPr>
                <w:sz w:val="18"/>
                <w:szCs w:val="18"/>
              </w:rPr>
            </w:pPr>
            <w:r w:rsidRPr="00D376CB">
              <w:rPr>
                <w:sz w:val="18"/>
                <w:szCs w:val="18"/>
              </w:rPr>
              <w:t>40</w:t>
            </w:r>
          </w:p>
        </w:tc>
        <w:tc>
          <w:tcPr>
            <w:tcW w:w="1008" w:type="dxa"/>
            <w:shd w:val="clear" w:color="auto" w:fill="auto"/>
            <w:noWrap/>
            <w:vAlign w:val="center"/>
            <w:hideMark/>
          </w:tcPr>
          <w:p w14:paraId="7495C08F" w14:textId="77777777" w:rsidR="00AB06BF" w:rsidRPr="00D376CB" w:rsidRDefault="00AB06BF" w:rsidP="00AB06BF">
            <w:pPr>
              <w:jc w:val="center"/>
              <w:rPr>
                <w:sz w:val="18"/>
                <w:szCs w:val="18"/>
              </w:rPr>
            </w:pPr>
            <w:r w:rsidRPr="00D376CB">
              <w:rPr>
                <w:sz w:val="18"/>
                <w:szCs w:val="18"/>
              </w:rPr>
              <w:t>552</w:t>
            </w:r>
          </w:p>
        </w:tc>
        <w:tc>
          <w:tcPr>
            <w:tcW w:w="967" w:type="dxa"/>
            <w:shd w:val="clear" w:color="auto" w:fill="auto"/>
            <w:noWrap/>
            <w:vAlign w:val="center"/>
            <w:hideMark/>
          </w:tcPr>
          <w:p w14:paraId="30093592" w14:textId="77777777" w:rsidR="00AB06BF" w:rsidRPr="00D376CB" w:rsidRDefault="00AB06BF" w:rsidP="00AB06BF">
            <w:pPr>
              <w:jc w:val="center"/>
              <w:rPr>
                <w:sz w:val="18"/>
                <w:szCs w:val="18"/>
              </w:rPr>
            </w:pPr>
            <w:r w:rsidRPr="00D376CB">
              <w:rPr>
                <w:sz w:val="18"/>
                <w:szCs w:val="18"/>
              </w:rPr>
              <w:t>0.25</w:t>
            </w:r>
          </w:p>
        </w:tc>
        <w:tc>
          <w:tcPr>
            <w:tcW w:w="1013" w:type="dxa"/>
            <w:shd w:val="clear" w:color="auto" w:fill="auto"/>
            <w:noWrap/>
            <w:vAlign w:val="center"/>
            <w:hideMark/>
          </w:tcPr>
          <w:p w14:paraId="6C58F32F" w14:textId="77777777" w:rsidR="00AB06BF" w:rsidRPr="00D376CB" w:rsidRDefault="00AB06BF" w:rsidP="00AB06BF">
            <w:pPr>
              <w:jc w:val="center"/>
              <w:rPr>
                <w:sz w:val="18"/>
                <w:szCs w:val="18"/>
              </w:rPr>
            </w:pPr>
            <w:r w:rsidRPr="00D376CB">
              <w:rPr>
                <w:sz w:val="18"/>
                <w:szCs w:val="18"/>
              </w:rPr>
              <w:t>138.0</w:t>
            </w:r>
          </w:p>
        </w:tc>
        <w:tc>
          <w:tcPr>
            <w:tcW w:w="702" w:type="dxa"/>
            <w:shd w:val="clear" w:color="auto" w:fill="auto"/>
            <w:noWrap/>
            <w:vAlign w:val="center"/>
            <w:hideMark/>
          </w:tcPr>
          <w:p w14:paraId="2B76476A" w14:textId="77777777" w:rsidR="00AB06BF" w:rsidRPr="00D376CB" w:rsidRDefault="00AB06BF" w:rsidP="00AB06BF">
            <w:pPr>
              <w:jc w:val="center"/>
              <w:rPr>
                <w:sz w:val="18"/>
                <w:szCs w:val="18"/>
              </w:rPr>
            </w:pPr>
            <w:r w:rsidRPr="00D376CB">
              <w:rPr>
                <w:sz w:val="18"/>
                <w:szCs w:val="18"/>
              </w:rPr>
              <w:t>64.46</w:t>
            </w:r>
          </w:p>
        </w:tc>
        <w:tc>
          <w:tcPr>
            <w:tcW w:w="990" w:type="dxa"/>
            <w:shd w:val="clear" w:color="auto" w:fill="auto"/>
            <w:noWrap/>
            <w:vAlign w:val="center"/>
            <w:hideMark/>
          </w:tcPr>
          <w:p w14:paraId="739E725D" w14:textId="77777777" w:rsidR="00AB06BF" w:rsidRPr="00D376CB" w:rsidRDefault="00AB06BF" w:rsidP="00AB06BF">
            <w:pPr>
              <w:jc w:val="center"/>
              <w:rPr>
                <w:sz w:val="18"/>
                <w:szCs w:val="18"/>
              </w:rPr>
            </w:pPr>
            <w:r w:rsidRPr="00D376CB">
              <w:rPr>
                <w:sz w:val="18"/>
                <w:szCs w:val="18"/>
              </w:rPr>
              <w:t>16.12</w:t>
            </w:r>
          </w:p>
        </w:tc>
        <w:tc>
          <w:tcPr>
            <w:tcW w:w="1278" w:type="dxa"/>
            <w:shd w:val="clear" w:color="auto" w:fill="auto"/>
            <w:noWrap/>
            <w:vAlign w:val="center"/>
            <w:hideMark/>
          </w:tcPr>
          <w:p w14:paraId="20965738" w14:textId="77777777" w:rsidR="00AB06BF" w:rsidRPr="00D376CB" w:rsidRDefault="00AB06BF" w:rsidP="00AB06BF">
            <w:pPr>
              <w:jc w:val="center"/>
              <w:rPr>
                <w:sz w:val="18"/>
                <w:szCs w:val="18"/>
              </w:rPr>
            </w:pPr>
            <w:r w:rsidRPr="00D376CB">
              <w:rPr>
                <w:sz w:val="18"/>
                <w:szCs w:val="18"/>
              </w:rPr>
              <w:t>8,895.48</w:t>
            </w:r>
          </w:p>
        </w:tc>
        <w:tc>
          <w:tcPr>
            <w:tcW w:w="810" w:type="dxa"/>
            <w:shd w:val="clear" w:color="auto" w:fill="auto"/>
            <w:noWrap/>
            <w:vAlign w:val="center"/>
            <w:hideMark/>
          </w:tcPr>
          <w:p w14:paraId="429CB584" w14:textId="77777777" w:rsidR="00AB06BF" w:rsidRPr="00D376CB" w:rsidRDefault="00AB06BF" w:rsidP="00AB06BF">
            <w:pPr>
              <w:jc w:val="center"/>
              <w:rPr>
                <w:sz w:val="18"/>
                <w:szCs w:val="18"/>
              </w:rPr>
            </w:pPr>
            <w:r w:rsidRPr="00D376CB">
              <w:rPr>
                <w:sz w:val="18"/>
                <w:szCs w:val="18"/>
              </w:rPr>
              <w:t>annual</w:t>
            </w:r>
          </w:p>
        </w:tc>
        <w:tc>
          <w:tcPr>
            <w:tcW w:w="1147" w:type="dxa"/>
          </w:tcPr>
          <w:p w14:paraId="4FBD00D0" w14:textId="29A0E131" w:rsidR="00AB06BF" w:rsidRPr="00D376CB" w:rsidRDefault="00AB06BF" w:rsidP="00AB06BF">
            <w:pPr>
              <w:spacing w:before="240"/>
              <w:jc w:val="center"/>
              <w:rPr>
                <w:sz w:val="18"/>
                <w:szCs w:val="18"/>
              </w:rPr>
            </w:pPr>
            <w:r>
              <w:rPr>
                <w:sz w:val="18"/>
                <w:szCs w:val="18"/>
              </w:rPr>
              <w:t>R</w:t>
            </w:r>
          </w:p>
        </w:tc>
        <w:tc>
          <w:tcPr>
            <w:tcW w:w="1147" w:type="dxa"/>
            <w:shd w:val="clear" w:color="auto" w:fill="auto"/>
            <w:noWrap/>
            <w:vAlign w:val="center"/>
            <w:hideMark/>
          </w:tcPr>
          <w:p w14:paraId="10EC6F4F" w14:textId="0959A935" w:rsidR="00AB06BF" w:rsidRPr="00D376CB" w:rsidRDefault="00AB06BF" w:rsidP="00AB06BF">
            <w:pPr>
              <w:jc w:val="center"/>
              <w:rPr>
                <w:sz w:val="18"/>
                <w:szCs w:val="18"/>
              </w:rPr>
            </w:pPr>
            <w:r w:rsidRPr="00D376CB">
              <w:rPr>
                <w:sz w:val="18"/>
                <w:szCs w:val="18"/>
              </w:rPr>
              <w:t>138.0</w:t>
            </w:r>
          </w:p>
        </w:tc>
        <w:tc>
          <w:tcPr>
            <w:tcW w:w="1170" w:type="dxa"/>
            <w:shd w:val="clear" w:color="auto" w:fill="auto"/>
            <w:noWrap/>
            <w:vAlign w:val="center"/>
            <w:hideMark/>
          </w:tcPr>
          <w:p w14:paraId="5976E1D2" w14:textId="77777777" w:rsidR="00AB06BF" w:rsidRPr="00D376CB" w:rsidRDefault="00AB06BF" w:rsidP="00AB06BF">
            <w:pPr>
              <w:jc w:val="center"/>
              <w:rPr>
                <w:sz w:val="18"/>
                <w:szCs w:val="18"/>
              </w:rPr>
            </w:pPr>
            <w:r w:rsidRPr="00D376CB">
              <w:rPr>
                <w:sz w:val="18"/>
                <w:szCs w:val="18"/>
              </w:rPr>
              <w:t>8,895.48</w:t>
            </w:r>
          </w:p>
        </w:tc>
      </w:tr>
      <w:tr w:rsidR="00AB06BF" w:rsidRPr="00D376CB" w14:paraId="07859908" w14:textId="77777777" w:rsidTr="00E80BF4">
        <w:trPr>
          <w:trHeight w:val="290"/>
        </w:trPr>
        <w:tc>
          <w:tcPr>
            <w:tcW w:w="1435" w:type="dxa"/>
          </w:tcPr>
          <w:p w14:paraId="1F82B114" w14:textId="6B056495" w:rsidR="00AB06BF" w:rsidRPr="00D376CB" w:rsidRDefault="00AB06BF" w:rsidP="00AB06BF">
            <w:pPr>
              <w:jc w:val="center"/>
              <w:rPr>
                <w:sz w:val="18"/>
                <w:szCs w:val="18"/>
              </w:rPr>
            </w:pPr>
            <w:r>
              <w:rPr>
                <w:sz w:val="18"/>
                <w:szCs w:val="18"/>
              </w:rPr>
              <w:t>12.19</w:t>
            </w:r>
          </w:p>
        </w:tc>
        <w:tc>
          <w:tcPr>
            <w:tcW w:w="1435" w:type="dxa"/>
            <w:shd w:val="clear" w:color="auto" w:fill="auto"/>
            <w:vAlign w:val="bottom"/>
            <w:hideMark/>
          </w:tcPr>
          <w:p w14:paraId="24083148" w14:textId="26477C92" w:rsidR="00AB06BF" w:rsidRPr="00D376CB" w:rsidRDefault="00AB06BF" w:rsidP="00AB06BF">
            <w:pPr>
              <w:jc w:val="center"/>
              <w:rPr>
                <w:sz w:val="18"/>
                <w:szCs w:val="18"/>
              </w:rPr>
            </w:pPr>
            <w:r w:rsidRPr="00D376CB">
              <w:rPr>
                <w:sz w:val="18"/>
                <w:szCs w:val="18"/>
              </w:rPr>
              <w:t>438.334(b)</w:t>
            </w:r>
          </w:p>
          <w:p w14:paraId="69576168" w14:textId="77777777" w:rsidR="00AB06BF" w:rsidRPr="00D376CB" w:rsidRDefault="00AB06BF" w:rsidP="00AB06BF">
            <w:pPr>
              <w:jc w:val="center"/>
              <w:rPr>
                <w:sz w:val="18"/>
                <w:szCs w:val="18"/>
              </w:rPr>
            </w:pPr>
            <w:r w:rsidRPr="00D376CB">
              <w:rPr>
                <w:sz w:val="18"/>
                <w:szCs w:val="18"/>
              </w:rPr>
              <w:t xml:space="preserve">State Adopts CMS QRS </w:t>
            </w:r>
          </w:p>
        </w:tc>
        <w:tc>
          <w:tcPr>
            <w:tcW w:w="995" w:type="dxa"/>
            <w:shd w:val="clear" w:color="auto" w:fill="auto"/>
            <w:noWrap/>
            <w:vAlign w:val="center"/>
            <w:hideMark/>
          </w:tcPr>
          <w:p w14:paraId="5840D335" w14:textId="77777777" w:rsidR="00AB06BF" w:rsidRPr="00D376CB" w:rsidRDefault="00AB06BF" w:rsidP="00AB06BF">
            <w:pPr>
              <w:jc w:val="center"/>
              <w:rPr>
                <w:sz w:val="18"/>
                <w:szCs w:val="18"/>
              </w:rPr>
            </w:pPr>
            <w:r w:rsidRPr="00D376CB">
              <w:rPr>
                <w:sz w:val="18"/>
                <w:szCs w:val="18"/>
              </w:rPr>
              <w:t>30</w:t>
            </w:r>
          </w:p>
        </w:tc>
        <w:tc>
          <w:tcPr>
            <w:tcW w:w="1008" w:type="dxa"/>
            <w:shd w:val="clear" w:color="auto" w:fill="auto"/>
            <w:noWrap/>
            <w:vAlign w:val="center"/>
            <w:hideMark/>
          </w:tcPr>
          <w:p w14:paraId="49F37ED5" w14:textId="77777777" w:rsidR="00AB06BF" w:rsidRPr="00D376CB" w:rsidRDefault="00AB06BF" w:rsidP="00AB06BF">
            <w:pPr>
              <w:jc w:val="center"/>
              <w:rPr>
                <w:sz w:val="18"/>
                <w:szCs w:val="18"/>
              </w:rPr>
            </w:pPr>
            <w:r w:rsidRPr="00D376CB">
              <w:rPr>
                <w:sz w:val="18"/>
                <w:szCs w:val="18"/>
              </w:rPr>
              <w:t>30</w:t>
            </w:r>
          </w:p>
        </w:tc>
        <w:tc>
          <w:tcPr>
            <w:tcW w:w="967" w:type="dxa"/>
            <w:shd w:val="clear" w:color="auto" w:fill="auto"/>
            <w:noWrap/>
            <w:vAlign w:val="center"/>
            <w:hideMark/>
          </w:tcPr>
          <w:p w14:paraId="1D557E68" w14:textId="40580C03" w:rsidR="00AB06BF" w:rsidRPr="00D376CB" w:rsidRDefault="00AB06BF" w:rsidP="00AB06BF">
            <w:pPr>
              <w:jc w:val="center"/>
              <w:rPr>
                <w:sz w:val="18"/>
                <w:szCs w:val="18"/>
              </w:rPr>
            </w:pPr>
            <w:r>
              <w:rPr>
                <w:sz w:val="18"/>
                <w:szCs w:val="18"/>
              </w:rPr>
              <w:t>330</w:t>
            </w:r>
          </w:p>
        </w:tc>
        <w:tc>
          <w:tcPr>
            <w:tcW w:w="1013" w:type="dxa"/>
            <w:shd w:val="clear" w:color="auto" w:fill="auto"/>
            <w:noWrap/>
            <w:vAlign w:val="center"/>
            <w:hideMark/>
          </w:tcPr>
          <w:p w14:paraId="73DF2B21" w14:textId="2E1B37B6" w:rsidR="00AB06BF" w:rsidRPr="00D376CB" w:rsidRDefault="00AB06BF" w:rsidP="00AB06BF">
            <w:pPr>
              <w:jc w:val="center"/>
              <w:rPr>
                <w:sz w:val="18"/>
                <w:szCs w:val="18"/>
              </w:rPr>
            </w:pPr>
            <w:r>
              <w:rPr>
                <w:sz w:val="18"/>
                <w:szCs w:val="18"/>
              </w:rPr>
              <w:t>9,900</w:t>
            </w:r>
          </w:p>
        </w:tc>
        <w:tc>
          <w:tcPr>
            <w:tcW w:w="702" w:type="dxa"/>
            <w:shd w:val="clear" w:color="auto" w:fill="auto"/>
            <w:noWrap/>
            <w:vAlign w:val="center"/>
            <w:hideMark/>
          </w:tcPr>
          <w:p w14:paraId="5386788A" w14:textId="77777777" w:rsidR="00AB06BF" w:rsidRPr="00D376CB" w:rsidRDefault="00AB06BF" w:rsidP="00AB06BF">
            <w:pPr>
              <w:jc w:val="center"/>
              <w:rPr>
                <w:sz w:val="18"/>
                <w:szCs w:val="18"/>
              </w:rPr>
            </w:pPr>
            <w:r w:rsidRPr="00D376CB">
              <w:rPr>
                <w:sz w:val="18"/>
                <w:szCs w:val="18"/>
              </w:rPr>
              <w:t>64.46</w:t>
            </w:r>
          </w:p>
        </w:tc>
        <w:tc>
          <w:tcPr>
            <w:tcW w:w="990" w:type="dxa"/>
            <w:shd w:val="clear" w:color="auto" w:fill="auto"/>
            <w:noWrap/>
            <w:vAlign w:val="center"/>
            <w:hideMark/>
          </w:tcPr>
          <w:p w14:paraId="68CB212B" w14:textId="05EBD5D3" w:rsidR="00AB06BF" w:rsidRPr="00D376CB" w:rsidRDefault="00AB06BF" w:rsidP="00AB06BF">
            <w:pPr>
              <w:jc w:val="center"/>
              <w:rPr>
                <w:sz w:val="18"/>
                <w:szCs w:val="18"/>
              </w:rPr>
            </w:pPr>
            <w:r>
              <w:rPr>
                <w:sz w:val="18"/>
                <w:szCs w:val="18"/>
              </w:rPr>
              <w:t>1,933.80</w:t>
            </w:r>
          </w:p>
        </w:tc>
        <w:tc>
          <w:tcPr>
            <w:tcW w:w="1278" w:type="dxa"/>
            <w:shd w:val="clear" w:color="auto" w:fill="auto"/>
            <w:noWrap/>
            <w:vAlign w:val="center"/>
            <w:hideMark/>
          </w:tcPr>
          <w:p w14:paraId="53C4630F" w14:textId="3453979B" w:rsidR="00AB06BF" w:rsidRPr="00D376CB" w:rsidRDefault="00AB06BF" w:rsidP="00AB06BF">
            <w:pPr>
              <w:jc w:val="center"/>
              <w:rPr>
                <w:sz w:val="18"/>
                <w:szCs w:val="18"/>
              </w:rPr>
            </w:pPr>
            <w:r>
              <w:rPr>
                <w:sz w:val="18"/>
                <w:szCs w:val="18"/>
              </w:rPr>
              <w:t>638,154.00</w:t>
            </w:r>
          </w:p>
        </w:tc>
        <w:tc>
          <w:tcPr>
            <w:tcW w:w="810" w:type="dxa"/>
            <w:shd w:val="clear" w:color="auto" w:fill="auto"/>
            <w:noWrap/>
            <w:vAlign w:val="center"/>
            <w:hideMark/>
          </w:tcPr>
          <w:p w14:paraId="30191AA1" w14:textId="77777777" w:rsidR="00AB06BF" w:rsidRPr="00D376CB" w:rsidRDefault="00AB06BF" w:rsidP="00AB06BF">
            <w:pPr>
              <w:jc w:val="center"/>
              <w:rPr>
                <w:sz w:val="18"/>
                <w:szCs w:val="18"/>
              </w:rPr>
            </w:pPr>
            <w:r w:rsidRPr="00D376CB">
              <w:rPr>
                <w:sz w:val="18"/>
                <w:szCs w:val="18"/>
              </w:rPr>
              <w:t>once</w:t>
            </w:r>
          </w:p>
        </w:tc>
        <w:tc>
          <w:tcPr>
            <w:tcW w:w="1147" w:type="dxa"/>
          </w:tcPr>
          <w:p w14:paraId="50AF6074" w14:textId="450C5CCD" w:rsidR="00AB06BF" w:rsidRPr="00D376CB" w:rsidRDefault="00AB06BF" w:rsidP="00AB06BF">
            <w:pPr>
              <w:spacing w:before="240"/>
              <w:jc w:val="center"/>
              <w:rPr>
                <w:sz w:val="18"/>
                <w:szCs w:val="18"/>
              </w:rPr>
            </w:pPr>
            <w:r>
              <w:rPr>
                <w:sz w:val="18"/>
                <w:szCs w:val="18"/>
              </w:rPr>
              <w:t>R</w:t>
            </w:r>
          </w:p>
        </w:tc>
        <w:tc>
          <w:tcPr>
            <w:tcW w:w="1147" w:type="dxa"/>
            <w:shd w:val="clear" w:color="auto" w:fill="auto"/>
            <w:noWrap/>
            <w:vAlign w:val="center"/>
            <w:hideMark/>
          </w:tcPr>
          <w:p w14:paraId="4E1F66B5" w14:textId="502EB2CE" w:rsidR="00AB06BF" w:rsidRPr="00D376CB" w:rsidRDefault="00AB06BF" w:rsidP="00AB06BF">
            <w:pPr>
              <w:jc w:val="center"/>
              <w:rPr>
                <w:sz w:val="18"/>
                <w:szCs w:val="18"/>
              </w:rPr>
            </w:pPr>
            <w:r>
              <w:rPr>
                <w:sz w:val="18"/>
                <w:szCs w:val="18"/>
              </w:rPr>
              <w:t>3,300</w:t>
            </w:r>
          </w:p>
        </w:tc>
        <w:tc>
          <w:tcPr>
            <w:tcW w:w="1170" w:type="dxa"/>
            <w:shd w:val="clear" w:color="auto" w:fill="auto"/>
            <w:noWrap/>
            <w:vAlign w:val="center"/>
            <w:hideMark/>
          </w:tcPr>
          <w:p w14:paraId="25B40DE4" w14:textId="77848EBF" w:rsidR="00AB06BF" w:rsidRPr="00D376CB" w:rsidRDefault="00AB06BF" w:rsidP="00AB06BF">
            <w:pPr>
              <w:jc w:val="center"/>
              <w:rPr>
                <w:sz w:val="18"/>
                <w:szCs w:val="18"/>
              </w:rPr>
            </w:pPr>
            <w:r>
              <w:rPr>
                <w:sz w:val="18"/>
                <w:szCs w:val="18"/>
              </w:rPr>
              <w:t>249,480.00</w:t>
            </w:r>
          </w:p>
        </w:tc>
      </w:tr>
      <w:tr w:rsidR="00AB06BF" w:rsidRPr="004301BA" w14:paraId="3BB84699" w14:textId="77777777" w:rsidTr="00E80BF4">
        <w:trPr>
          <w:trHeight w:val="290"/>
        </w:trPr>
        <w:tc>
          <w:tcPr>
            <w:tcW w:w="1435" w:type="dxa"/>
          </w:tcPr>
          <w:p w14:paraId="3E1677AD" w14:textId="4DE6E1A2" w:rsidR="00AB06BF" w:rsidRPr="004301BA" w:rsidRDefault="00AB06BF" w:rsidP="00AB06BF">
            <w:pPr>
              <w:jc w:val="center"/>
              <w:rPr>
                <w:sz w:val="18"/>
                <w:szCs w:val="18"/>
              </w:rPr>
            </w:pPr>
            <w:r w:rsidRPr="004301BA">
              <w:rPr>
                <w:sz w:val="18"/>
                <w:szCs w:val="18"/>
              </w:rPr>
              <w:t>12.20</w:t>
            </w:r>
          </w:p>
        </w:tc>
        <w:tc>
          <w:tcPr>
            <w:tcW w:w="1435" w:type="dxa"/>
            <w:shd w:val="clear" w:color="auto" w:fill="auto"/>
            <w:vAlign w:val="bottom"/>
            <w:hideMark/>
          </w:tcPr>
          <w:p w14:paraId="2EF931F8" w14:textId="71B8154F" w:rsidR="00AB06BF" w:rsidRPr="004301BA" w:rsidRDefault="00AB06BF" w:rsidP="00AB06BF">
            <w:pPr>
              <w:jc w:val="center"/>
              <w:rPr>
                <w:sz w:val="18"/>
                <w:szCs w:val="18"/>
              </w:rPr>
            </w:pPr>
            <w:r w:rsidRPr="004301BA">
              <w:rPr>
                <w:sz w:val="18"/>
                <w:szCs w:val="18"/>
              </w:rPr>
              <w:t>438.334(c)</w:t>
            </w:r>
          </w:p>
          <w:p w14:paraId="28FEBA62" w14:textId="77777777" w:rsidR="00AB06BF" w:rsidRPr="004301BA" w:rsidRDefault="00AB06BF" w:rsidP="00AB06BF">
            <w:pPr>
              <w:jc w:val="center"/>
              <w:rPr>
                <w:sz w:val="18"/>
                <w:szCs w:val="18"/>
              </w:rPr>
            </w:pPr>
            <w:r w:rsidRPr="004301BA">
              <w:rPr>
                <w:sz w:val="18"/>
                <w:szCs w:val="18"/>
              </w:rPr>
              <w:t>State Adopts Alternative QRS</w:t>
            </w:r>
          </w:p>
        </w:tc>
        <w:tc>
          <w:tcPr>
            <w:tcW w:w="995" w:type="dxa"/>
            <w:shd w:val="clear" w:color="auto" w:fill="auto"/>
            <w:noWrap/>
            <w:vAlign w:val="center"/>
            <w:hideMark/>
          </w:tcPr>
          <w:p w14:paraId="4F40F96C" w14:textId="77777777" w:rsidR="00AB06BF" w:rsidRPr="004301BA" w:rsidRDefault="00AB06BF" w:rsidP="00AB06BF">
            <w:pPr>
              <w:jc w:val="center"/>
              <w:rPr>
                <w:sz w:val="18"/>
                <w:szCs w:val="18"/>
              </w:rPr>
            </w:pPr>
            <w:r w:rsidRPr="004301BA">
              <w:rPr>
                <w:sz w:val="18"/>
                <w:szCs w:val="18"/>
              </w:rPr>
              <w:t>10</w:t>
            </w:r>
          </w:p>
        </w:tc>
        <w:tc>
          <w:tcPr>
            <w:tcW w:w="1008" w:type="dxa"/>
            <w:shd w:val="clear" w:color="auto" w:fill="auto"/>
            <w:noWrap/>
            <w:vAlign w:val="center"/>
            <w:hideMark/>
          </w:tcPr>
          <w:p w14:paraId="0AAD8A71" w14:textId="77777777" w:rsidR="00AB06BF" w:rsidRPr="004301BA" w:rsidRDefault="00AB06BF" w:rsidP="00AB06BF">
            <w:pPr>
              <w:jc w:val="center"/>
              <w:rPr>
                <w:sz w:val="18"/>
                <w:szCs w:val="18"/>
              </w:rPr>
            </w:pPr>
            <w:r w:rsidRPr="004301BA">
              <w:rPr>
                <w:sz w:val="18"/>
                <w:szCs w:val="18"/>
              </w:rPr>
              <w:t>10</w:t>
            </w:r>
          </w:p>
        </w:tc>
        <w:tc>
          <w:tcPr>
            <w:tcW w:w="967" w:type="dxa"/>
            <w:shd w:val="clear" w:color="auto" w:fill="auto"/>
            <w:noWrap/>
            <w:vAlign w:val="center"/>
            <w:hideMark/>
          </w:tcPr>
          <w:p w14:paraId="3EA4BB3C" w14:textId="7D11659D" w:rsidR="00AB06BF" w:rsidRPr="004301BA" w:rsidRDefault="00AB06BF" w:rsidP="00AB06BF">
            <w:pPr>
              <w:jc w:val="center"/>
              <w:rPr>
                <w:sz w:val="18"/>
                <w:szCs w:val="18"/>
              </w:rPr>
            </w:pPr>
            <w:r w:rsidRPr="004301BA">
              <w:rPr>
                <w:sz w:val="18"/>
                <w:szCs w:val="18"/>
              </w:rPr>
              <w:t>1,390</w:t>
            </w:r>
          </w:p>
        </w:tc>
        <w:tc>
          <w:tcPr>
            <w:tcW w:w="1013" w:type="dxa"/>
            <w:shd w:val="clear" w:color="auto" w:fill="auto"/>
            <w:noWrap/>
            <w:vAlign w:val="center"/>
            <w:hideMark/>
          </w:tcPr>
          <w:p w14:paraId="50AFD0C0" w14:textId="0D9819AB" w:rsidR="00AB06BF" w:rsidRPr="004301BA" w:rsidRDefault="00AB06BF" w:rsidP="00AB06BF">
            <w:pPr>
              <w:jc w:val="center"/>
              <w:rPr>
                <w:sz w:val="18"/>
                <w:szCs w:val="18"/>
              </w:rPr>
            </w:pPr>
            <w:r w:rsidRPr="004301BA">
              <w:rPr>
                <w:sz w:val="18"/>
                <w:szCs w:val="18"/>
              </w:rPr>
              <w:t>13,900</w:t>
            </w:r>
          </w:p>
        </w:tc>
        <w:tc>
          <w:tcPr>
            <w:tcW w:w="702" w:type="dxa"/>
            <w:shd w:val="clear" w:color="auto" w:fill="auto"/>
            <w:noWrap/>
            <w:vAlign w:val="center"/>
            <w:hideMark/>
          </w:tcPr>
          <w:p w14:paraId="03E83B6F" w14:textId="7C9A66B4" w:rsidR="00AB06BF" w:rsidRPr="004301BA" w:rsidRDefault="00AB06BF" w:rsidP="00AB06BF">
            <w:pPr>
              <w:jc w:val="center"/>
              <w:rPr>
                <w:sz w:val="18"/>
                <w:szCs w:val="18"/>
              </w:rPr>
            </w:pPr>
            <w:r w:rsidRPr="004301BA">
              <w:rPr>
                <w:sz w:val="18"/>
                <w:szCs w:val="18"/>
              </w:rPr>
              <w:t>varies</w:t>
            </w:r>
          </w:p>
        </w:tc>
        <w:tc>
          <w:tcPr>
            <w:tcW w:w="990" w:type="dxa"/>
            <w:shd w:val="clear" w:color="auto" w:fill="auto"/>
            <w:noWrap/>
            <w:vAlign w:val="center"/>
            <w:hideMark/>
          </w:tcPr>
          <w:p w14:paraId="7F3CB117" w14:textId="2B64E486" w:rsidR="00AB06BF" w:rsidRPr="004301BA" w:rsidRDefault="00AB06BF" w:rsidP="00AB06BF">
            <w:pPr>
              <w:jc w:val="center"/>
              <w:rPr>
                <w:sz w:val="18"/>
                <w:szCs w:val="18"/>
              </w:rPr>
            </w:pPr>
            <w:r w:rsidRPr="004301BA">
              <w:rPr>
                <w:sz w:val="18"/>
                <w:szCs w:val="18"/>
              </w:rPr>
              <w:t>103,745.80</w:t>
            </w:r>
          </w:p>
        </w:tc>
        <w:tc>
          <w:tcPr>
            <w:tcW w:w="1278" w:type="dxa"/>
            <w:shd w:val="clear" w:color="auto" w:fill="auto"/>
            <w:noWrap/>
            <w:vAlign w:val="center"/>
            <w:hideMark/>
          </w:tcPr>
          <w:p w14:paraId="5662C028" w14:textId="184ABAC4" w:rsidR="00AB06BF" w:rsidRPr="004301BA" w:rsidRDefault="00AB06BF" w:rsidP="00AB06BF">
            <w:pPr>
              <w:jc w:val="center"/>
              <w:rPr>
                <w:sz w:val="18"/>
                <w:szCs w:val="18"/>
              </w:rPr>
            </w:pPr>
            <w:r w:rsidRPr="004301BA">
              <w:rPr>
                <w:sz w:val="18"/>
                <w:szCs w:val="18"/>
              </w:rPr>
              <w:t>1,037,458</w:t>
            </w:r>
          </w:p>
        </w:tc>
        <w:tc>
          <w:tcPr>
            <w:tcW w:w="810" w:type="dxa"/>
            <w:shd w:val="clear" w:color="auto" w:fill="auto"/>
            <w:noWrap/>
            <w:vAlign w:val="center"/>
            <w:hideMark/>
          </w:tcPr>
          <w:p w14:paraId="2572A1AA" w14:textId="77777777" w:rsidR="00AB06BF" w:rsidRPr="004301BA" w:rsidRDefault="00AB06BF" w:rsidP="00AB06BF">
            <w:pPr>
              <w:jc w:val="center"/>
              <w:rPr>
                <w:sz w:val="18"/>
                <w:szCs w:val="18"/>
              </w:rPr>
            </w:pPr>
            <w:r w:rsidRPr="004301BA">
              <w:rPr>
                <w:sz w:val="18"/>
                <w:szCs w:val="18"/>
              </w:rPr>
              <w:t>once</w:t>
            </w:r>
          </w:p>
        </w:tc>
        <w:tc>
          <w:tcPr>
            <w:tcW w:w="1147" w:type="dxa"/>
          </w:tcPr>
          <w:p w14:paraId="432B0A36" w14:textId="065108F5" w:rsidR="00AB06BF" w:rsidRPr="004301BA" w:rsidRDefault="00AB06BF" w:rsidP="00AB06BF">
            <w:pPr>
              <w:spacing w:before="240"/>
              <w:jc w:val="center"/>
              <w:rPr>
                <w:sz w:val="18"/>
                <w:szCs w:val="18"/>
              </w:rPr>
            </w:pPr>
            <w:r>
              <w:rPr>
                <w:sz w:val="18"/>
                <w:szCs w:val="18"/>
              </w:rPr>
              <w:t>R</w:t>
            </w:r>
          </w:p>
        </w:tc>
        <w:tc>
          <w:tcPr>
            <w:tcW w:w="1147" w:type="dxa"/>
            <w:shd w:val="clear" w:color="auto" w:fill="auto"/>
            <w:noWrap/>
            <w:vAlign w:val="center"/>
            <w:hideMark/>
          </w:tcPr>
          <w:p w14:paraId="39B0B626" w14:textId="67984885" w:rsidR="00AB06BF" w:rsidRPr="004301BA" w:rsidRDefault="00AB06BF" w:rsidP="00AB06BF">
            <w:pPr>
              <w:jc w:val="center"/>
              <w:rPr>
                <w:sz w:val="18"/>
                <w:szCs w:val="18"/>
              </w:rPr>
            </w:pPr>
            <w:r w:rsidRPr="004301BA">
              <w:rPr>
                <w:sz w:val="18"/>
                <w:szCs w:val="18"/>
              </w:rPr>
              <w:t>4,633.3</w:t>
            </w:r>
          </w:p>
        </w:tc>
        <w:tc>
          <w:tcPr>
            <w:tcW w:w="1170" w:type="dxa"/>
            <w:shd w:val="clear" w:color="auto" w:fill="auto"/>
            <w:noWrap/>
            <w:vAlign w:val="center"/>
            <w:hideMark/>
          </w:tcPr>
          <w:p w14:paraId="4B489CE8" w14:textId="7F572C64" w:rsidR="00AB06BF" w:rsidRPr="004301BA" w:rsidRDefault="00AB06BF" w:rsidP="00AB06BF">
            <w:pPr>
              <w:jc w:val="center"/>
              <w:rPr>
                <w:sz w:val="18"/>
                <w:szCs w:val="18"/>
              </w:rPr>
            </w:pPr>
            <w:r w:rsidRPr="004301BA">
              <w:rPr>
                <w:sz w:val="18"/>
                <w:szCs w:val="18"/>
              </w:rPr>
              <w:t>345,819.33</w:t>
            </w:r>
          </w:p>
        </w:tc>
      </w:tr>
      <w:tr w:rsidR="00AB06BF" w:rsidRPr="00CF3BCE" w14:paraId="071669F6" w14:textId="77777777" w:rsidTr="00E80BF4">
        <w:trPr>
          <w:trHeight w:val="290"/>
        </w:trPr>
        <w:tc>
          <w:tcPr>
            <w:tcW w:w="1435" w:type="dxa"/>
          </w:tcPr>
          <w:p w14:paraId="5EFD0955" w14:textId="1C07BDFB" w:rsidR="00AB06BF" w:rsidRPr="003412EF" w:rsidRDefault="00AB06BF" w:rsidP="00AB06BF">
            <w:pPr>
              <w:jc w:val="center"/>
              <w:rPr>
                <w:sz w:val="18"/>
                <w:szCs w:val="18"/>
              </w:rPr>
            </w:pPr>
            <w:r w:rsidRPr="003412EF">
              <w:rPr>
                <w:sz w:val="18"/>
                <w:szCs w:val="18"/>
              </w:rPr>
              <w:t>12.21</w:t>
            </w:r>
          </w:p>
        </w:tc>
        <w:tc>
          <w:tcPr>
            <w:tcW w:w="1435" w:type="dxa"/>
            <w:shd w:val="clear" w:color="auto" w:fill="auto"/>
            <w:vAlign w:val="bottom"/>
            <w:hideMark/>
          </w:tcPr>
          <w:p w14:paraId="23DDAF94" w14:textId="65C8AF61" w:rsidR="00AB06BF" w:rsidRPr="003412EF" w:rsidRDefault="00AB06BF" w:rsidP="00AB06BF">
            <w:pPr>
              <w:jc w:val="center"/>
              <w:rPr>
                <w:sz w:val="18"/>
                <w:szCs w:val="18"/>
              </w:rPr>
            </w:pPr>
            <w:r w:rsidRPr="003412EF">
              <w:rPr>
                <w:sz w:val="18"/>
                <w:szCs w:val="18"/>
              </w:rPr>
              <w:t>438.334(c)</w:t>
            </w:r>
          </w:p>
          <w:p w14:paraId="0AA594FD" w14:textId="77777777" w:rsidR="00AB06BF" w:rsidRPr="003412EF" w:rsidRDefault="00AB06BF" w:rsidP="00AB06BF">
            <w:pPr>
              <w:jc w:val="center"/>
              <w:rPr>
                <w:sz w:val="18"/>
                <w:szCs w:val="18"/>
              </w:rPr>
            </w:pPr>
            <w:r w:rsidRPr="003412EF">
              <w:rPr>
                <w:sz w:val="18"/>
                <w:szCs w:val="18"/>
              </w:rPr>
              <w:t>Obtain CMS Approval for Alternative QRS</w:t>
            </w:r>
          </w:p>
        </w:tc>
        <w:tc>
          <w:tcPr>
            <w:tcW w:w="995" w:type="dxa"/>
            <w:shd w:val="clear" w:color="auto" w:fill="auto"/>
            <w:noWrap/>
            <w:vAlign w:val="center"/>
            <w:hideMark/>
          </w:tcPr>
          <w:p w14:paraId="0D5167AF" w14:textId="77777777" w:rsidR="00AB06BF" w:rsidRPr="003412EF" w:rsidRDefault="00AB06BF" w:rsidP="00AB06BF">
            <w:pPr>
              <w:jc w:val="center"/>
              <w:rPr>
                <w:sz w:val="18"/>
                <w:szCs w:val="18"/>
              </w:rPr>
            </w:pPr>
            <w:r w:rsidRPr="003412EF">
              <w:rPr>
                <w:sz w:val="18"/>
                <w:szCs w:val="18"/>
              </w:rPr>
              <w:t>10</w:t>
            </w:r>
          </w:p>
        </w:tc>
        <w:tc>
          <w:tcPr>
            <w:tcW w:w="1008" w:type="dxa"/>
            <w:shd w:val="clear" w:color="auto" w:fill="auto"/>
            <w:noWrap/>
            <w:vAlign w:val="center"/>
            <w:hideMark/>
          </w:tcPr>
          <w:p w14:paraId="070359C7" w14:textId="77777777" w:rsidR="00AB06BF" w:rsidRPr="003412EF" w:rsidRDefault="00AB06BF" w:rsidP="00AB06BF">
            <w:pPr>
              <w:jc w:val="center"/>
              <w:rPr>
                <w:sz w:val="18"/>
                <w:szCs w:val="18"/>
              </w:rPr>
            </w:pPr>
            <w:r w:rsidRPr="003412EF">
              <w:rPr>
                <w:sz w:val="18"/>
                <w:szCs w:val="18"/>
              </w:rPr>
              <w:t>10</w:t>
            </w:r>
          </w:p>
        </w:tc>
        <w:tc>
          <w:tcPr>
            <w:tcW w:w="967" w:type="dxa"/>
            <w:shd w:val="clear" w:color="auto" w:fill="auto"/>
            <w:noWrap/>
            <w:vAlign w:val="center"/>
            <w:hideMark/>
          </w:tcPr>
          <w:p w14:paraId="2697D96C" w14:textId="77777777" w:rsidR="00AB06BF" w:rsidRPr="003412EF" w:rsidRDefault="00AB06BF" w:rsidP="00AB06BF">
            <w:pPr>
              <w:jc w:val="center"/>
              <w:rPr>
                <w:sz w:val="18"/>
                <w:szCs w:val="18"/>
              </w:rPr>
            </w:pPr>
            <w:r w:rsidRPr="003412EF">
              <w:rPr>
                <w:sz w:val="18"/>
                <w:szCs w:val="18"/>
              </w:rPr>
              <w:t>20</w:t>
            </w:r>
          </w:p>
        </w:tc>
        <w:tc>
          <w:tcPr>
            <w:tcW w:w="1013" w:type="dxa"/>
            <w:shd w:val="clear" w:color="auto" w:fill="auto"/>
            <w:noWrap/>
            <w:vAlign w:val="center"/>
            <w:hideMark/>
          </w:tcPr>
          <w:p w14:paraId="2A7CCB91" w14:textId="77777777" w:rsidR="00AB06BF" w:rsidRPr="003412EF" w:rsidRDefault="00AB06BF" w:rsidP="00AB06BF">
            <w:pPr>
              <w:jc w:val="center"/>
              <w:rPr>
                <w:sz w:val="18"/>
                <w:szCs w:val="18"/>
              </w:rPr>
            </w:pPr>
            <w:r w:rsidRPr="003412EF">
              <w:rPr>
                <w:sz w:val="18"/>
                <w:szCs w:val="18"/>
              </w:rPr>
              <w:t>200.0</w:t>
            </w:r>
          </w:p>
        </w:tc>
        <w:tc>
          <w:tcPr>
            <w:tcW w:w="702" w:type="dxa"/>
            <w:shd w:val="clear" w:color="auto" w:fill="auto"/>
            <w:noWrap/>
            <w:vAlign w:val="center"/>
            <w:hideMark/>
          </w:tcPr>
          <w:p w14:paraId="109A5085" w14:textId="77777777" w:rsidR="00AB06BF" w:rsidRPr="003412EF" w:rsidRDefault="00AB06BF" w:rsidP="00AB06BF">
            <w:pPr>
              <w:jc w:val="center"/>
              <w:rPr>
                <w:sz w:val="18"/>
                <w:szCs w:val="18"/>
              </w:rPr>
            </w:pPr>
            <w:r w:rsidRPr="003412EF">
              <w:rPr>
                <w:sz w:val="18"/>
                <w:szCs w:val="18"/>
              </w:rPr>
              <w:t>64.46</w:t>
            </w:r>
          </w:p>
        </w:tc>
        <w:tc>
          <w:tcPr>
            <w:tcW w:w="990" w:type="dxa"/>
            <w:shd w:val="clear" w:color="auto" w:fill="auto"/>
            <w:noWrap/>
            <w:vAlign w:val="center"/>
            <w:hideMark/>
          </w:tcPr>
          <w:p w14:paraId="0B0FC5CD" w14:textId="77777777" w:rsidR="00AB06BF" w:rsidRPr="003412EF" w:rsidRDefault="00AB06BF" w:rsidP="00AB06BF">
            <w:pPr>
              <w:jc w:val="center"/>
              <w:rPr>
                <w:sz w:val="18"/>
                <w:szCs w:val="18"/>
              </w:rPr>
            </w:pPr>
            <w:r w:rsidRPr="003412EF">
              <w:rPr>
                <w:sz w:val="18"/>
                <w:szCs w:val="18"/>
              </w:rPr>
              <w:t>1,289.20</w:t>
            </w:r>
          </w:p>
        </w:tc>
        <w:tc>
          <w:tcPr>
            <w:tcW w:w="1278" w:type="dxa"/>
            <w:shd w:val="clear" w:color="auto" w:fill="auto"/>
            <w:noWrap/>
            <w:vAlign w:val="center"/>
            <w:hideMark/>
          </w:tcPr>
          <w:p w14:paraId="772407E3" w14:textId="77777777" w:rsidR="00AB06BF" w:rsidRPr="003412EF" w:rsidRDefault="00AB06BF" w:rsidP="00AB06BF">
            <w:pPr>
              <w:jc w:val="center"/>
              <w:rPr>
                <w:sz w:val="18"/>
                <w:szCs w:val="18"/>
              </w:rPr>
            </w:pPr>
            <w:r w:rsidRPr="003412EF">
              <w:rPr>
                <w:sz w:val="18"/>
                <w:szCs w:val="18"/>
              </w:rPr>
              <w:t>12,892.00</w:t>
            </w:r>
          </w:p>
        </w:tc>
        <w:tc>
          <w:tcPr>
            <w:tcW w:w="810" w:type="dxa"/>
            <w:shd w:val="clear" w:color="auto" w:fill="auto"/>
            <w:noWrap/>
            <w:vAlign w:val="center"/>
            <w:hideMark/>
          </w:tcPr>
          <w:p w14:paraId="3C4F7511" w14:textId="77777777" w:rsidR="00AB06BF" w:rsidRPr="003412EF" w:rsidRDefault="00AB06BF" w:rsidP="00AB06BF">
            <w:pPr>
              <w:jc w:val="center"/>
              <w:rPr>
                <w:sz w:val="18"/>
                <w:szCs w:val="18"/>
              </w:rPr>
            </w:pPr>
            <w:r w:rsidRPr="003412EF">
              <w:rPr>
                <w:sz w:val="18"/>
                <w:szCs w:val="18"/>
              </w:rPr>
              <w:t>once</w:t>
            </w:r>
          </w:p>
        </w:tc>
        <w:tc>
          <w:tcPr>
            <w:tcW w:w="1147" w:type="dxa"/>
          </w:tcPr>
          <w:p w14:paraId="2C3F7C7A" w14:textId="6DD1425E" w:rsidR="00AB06BF" w:rsidRPr="003412EF" w:rsidRDefault="00AB06BF" w:rsidP="00AB06BF">
            <w:pPr>
              <w:spacing w:before="240"/>
              <w:jc w:val="center"/>
              <w:rPr>
                <w:sz w:val="18"/>
                <w:szCs w:val="18"/>
              </w:rPr>
            </w:pPr>
            <w:r>
              <w:rPr>
                <w:sz w:val="18"/>
                <w:szCs w:val="18"/>
              </w:rPr>
              <w:t>R</w:t>
            </w:r>
          </w:p>
        </w:tc>
        <w:tc>
          <w:tcPr>
            <w:tcW w:w="1147" w:type="dxa"/>
            <w:shd w:val="clear" w:color="auto" w:fill="auto"/>
            <w:noWrap/>
            <w:vAlign w:val="center"/>
            <w:hideMark/>
          </w:tcPr>
          <w:p w14:paraId="4F4AF2B4" w14:textId="0DE52EC2" w:rsidR="00AB06BF" w:rsidRPr="003412EF" w:rsidRDefault="00AB06BF" w:rsidP="00AB06BF">
            <w:pPr>
              <w:jc w:val="center"/>
              <w:rPr>
                <w:sz w:val="18"/>
                <w:szCs w:val="18"/>
              </w:rPr>
            </w:pPr>
            <w:r w:rsidRPr="003412EF">
              <w:rPr>
                <w:sz w:val="18"/>
                <w:szCs w:val="18"/>
              </w:rPr>
              <w:t>66.7</w:t>
            </w:r>
          </w:p>
        </w:tc>
        <w:tc>
          <w:tcPr>
            <w:tcW w:w="1170" w:type="dxa"/>
            <w:shd w:val="clear" w:color="auto" w:fill="auto"/>
            <w:noWrap/>
            <w:vAlign w:val="center"/>
            <w:hideMark/>
          </w:tcPr>
          <w:p w14:paraId="094DC1F4" w14:textId="77777777" w:rsidR="00AB06BF" w:rsidRPr="003412EF" w:rsidRDefault="00AB06BF" w:rsidP="00AB06BF">
            <w:pPr>
              <w:jc w:val="center"/>
              <w:rPr>
                <w:sz w:val="18"/>
                <w:szCs w:val="18"/>
              </w:rPr>
            </w:pPr>
            <w:r w:rsidRPr="003412EF">
              <w:rPr>
                <w:sz w:val="18"/>
                <w:szCs w:val="18"/>
              </w:rPr>
              <w:t>4,297.33</w:t>
            </w:r>
          </w:p>
        </w:tc>
      </w:tr>
      <w:tr w:rsidR="00AB06BF" w:rsidRPr="00BF4BF8" w14:paraId="77C3F2D2" w14:textId="77777777" w:rsidTr="00E80BF4">
        <w:trPr>
          <w:trHeight w:val="480"/>
        </w:trPr>
        <w:tc>
          <w:tcPr>
            <w:tcW w:w="1435" w:type="dxa"/>
          </w:tcPr>
          <w:p w14:paraId="5DBAD47A" w14:textId="64C85E5C" w:rsidR="00AB06BF" w:rsidRPr="00BF4BF8" w:rsidRDefault="00AB06BF" w:rsidP="00AB06BF">
            <w:pPr>
              <w:jc w:val="center"/>
              <w:rPr>
                <w:sz w:val="18"/>
                <w:szCs w:val="18"/>
              </w:rPr>
            </w:pPr>
            <w:r w:rsidRPr="00BF4BF8">
              <w:rPr>
                <w:sz w:val="18"/>
                <w:szCs w:val="18"/>
              </w:rPr>
              <w:t>12.22</w:t>
            </w:r>
          </w:p>
        </w:tc>
        <w:tc>
          <w:tcPr>
            <w:tcW w:w="1435" w:type="dxa"/>
            <w:shd w:val="clear" w:color="auto" w:fill="auto"/>
            <w:hideMark/>
          </w:tcPr>
          <w:p w14:paraId="01EBBE50" w14:textId="2C5BEDB4" w:rsidR="00AB06BF" w:rsidRPr="00BF4BF8" w:rsidRDefault="00AB06BF" w:rsidP="00AB06BF">
            <w:pPr>
              <w:jc w:val="center"/>
              <w:rPr>
                <w:sz w:val="18"/>
                <w:szCs w:val="18"/>
              </w:rPr>
            </w:pPr>
            <w:r w:rsidRPr="00BF4BF8">
              <w:rPr>
                <w:sz w:val="18"/>
                <w:szCs w:val="18"/>
              </w:rPr>
              <w:t>438.334(c)(3)</w:t>
            </w:r>
          </w:p>
          <w:p w14:paraId="4BF0C287" w14:textId="77777777" w:rsidR="00AB06BF" w:rsidRPr="00BF4BF8" w:rsidRDefault="00AB06BF" w:rsidP="00AB06BF">
            <w:pPr>
              <w:jc w:val="center"/>
              <w:rPr>
                <w:sz w:val="18"/>
                <w:szCs w:val="18"/>
              </w:rPr>
            </w:pPr>
            <w:r w:rsidRPr="00BF4BF8">
              <w:rPr>
                <w:sz w:val="18"/>
                <w:szCs w:val="18"/>
              </w:rPr>
              <w:t>Amend Alternative QRS</w:t>
            </w:r>
          </w:p>
        </w:tc>
        <w:tc>
          <w:tcPr>
            <w:tcW w:w="995" w:type="dxa"/>
            <w:shd w:val="clear" w:color="auto" w:fill="auto"/>
            <w:noWrap/>
            <w:vAlign w:val="center"/>
            <w:hideMark/>
          </w:tcPr>
          <w:p w14:paraId="6E63891D" w14:textId="77777777" w:rsidR="00AB06BF" w:rsidRPr="00BF4BF8" w:rsidRDefault="00AB06BF" w:rsidP="00AB06BF">
            <w:pPr>
              <w:jc w:val="center"/>
              <w:rPr>
                <w:sz w:val="18"/>
                <w:szCs w:val="18"/>
              </w:rPr>
            </w:pPr>
            <w:r w:rsidRPr="00BF4BF8">
              <w:rPr>
                <w:sz w:val="18"/>
                <w:szCs w:val="18"/>
              </w:rPr>
              <w:t>10</w:t>
            </w:r>
          </w:p>
        </w:tc>
        <w:tc>
          <w:tcPr>
            <w:tcW w:w="1008" w:type="dxa"/>
            <w:shd w:val="clear" w:color="auto" w:fill="auto"/>
            <w:noWrap/>
            <w:vAlign w:val="center"/>
            <w:hideMark/>
          </w:tcPr>
          <w:p w14:paraId="7B9006BB" w14:textId="77777777" w:rsidR="00AB06BF" w:rsidRPr="00BF4BF8" w:rsidRDefault="00AB06BF" w:rsidP="00AB06BF">
            <w:pPr>
              <w:jc w:val="center"/>
              <w:rPr>
                <w:sz w:val="18"/>
                <w:szCs w:val="18"/>
              </w:rPr>
            </w:pPr>
            <w:r w:rsidRPr="00BF4BF8">
              <w:rPr>
                <w:sz w:val="18"/>
                <w:szCs w:val="18"/>
              </w:rPr>
              <w:t>10</w:t>
            </w:r>
          </w:p>
        </w:tc>
        <w:tc>
          <w:tcPr>
            <w:tcW w:w="967" w:type="dxa"/>
            <w:shd w:val="clear" w:color="auto" w:fill="auto"/>
            <w:noWrap/>
            <w:vAlign w:val="center"/>
            <w:hideMark/>
          </w:tcPr>
          <w:p w14:paraId="5F5F3509" w14:textId="4A93FD1F" w:rsidR="00AB06BF" w:rsidRPr="00BF4BF8" w:rsidRDefault="00AB06BF" w:rsidP="00AB06BF">
            <w:pPr>
              <w:jc w:val="center"/>
              <w:rPr>
                <w:sz w:val="18"/>
                <w:szCs w:val="18"/>
              </w:rPr>
            </w:pPr>
            <w:r w:rsidRPr="00BF4BF8">
              <w:rPr>
                <w:sz w:val="18"/>
                <w:szCs w:val="18"/>
              </w:rPr>
              <w:t>35</w:t>
            </w:r>
          </w:p>
        </w:tc>
        <w:tc>
          <w:tcPr>
            <w:tcW w:w="1013" w:type="dxa"/>
            <w:shd w:val="clear" w:color="auto" w:fill="auto"/>
            <w:noWrap/>
            <w:vAlign w:val="center"/>
            <w:hideMark/>
          </w:tcPr>
          <w:p w14:paraId="628272E8" w14:textId="2A62585E" w:rsidR="00AB06BF" w:rsidRPr="00BF4BF8" w:rsidRDefault="00AB06BF" w:rsidP="00AB06BF">
            <w:pPr>
              <w:jc w:val="center"/>
              <w:rPr>
                <w:sz w:val="18"/>
                <w:szCs w:val="18"/>
              </w:rPr>
            </w:pPr>
            <w:r w:rsidRPr="00BF4BF8">
              <w:rPr>
                <w:sz w:val="18"/>
                <w:szCs w:val="18"/>
              </w:rPr>
              <w:t>350.0</w:t>
            </w:r>
          </w:p>
        </w:tc>
        <w:tc>
          <w:tcPr>
            <w:tcW w:w="702" w:type="dxa"/>
            <w:shd w:val="clear" w:color="auto" w:fill="auto"/>
            <w:noWrap/>
            <w:vAlign w:val="center"/>
            <w:hideMark/>
          </w:tcPr>
          <w:p w14:paraId="417F29EA" w14:textId="770D8620" w:rsidR="00AB06BF" w:rsidRPr="00BF4BF8" w:rsidRDefault="00AB06BF" w:rsidP="00AB06BF">
            <w:pPr>
              <w:jc w:val="center"/>
              <w:rPr>
                <w:sz w:val="18"/>
                <w:szCs w:val="18"/>
              </w:rPr>
            </w:pPr>
            <w:r w:rsidRPr="00BF4BF8">
              <w:rPr>
                <w:sz w:val="18"/>
                <w:szCs w:val="18"/>
              </w:rPr>
              <w:t>varies</w:t>
            </w:r>
          </w:p>
        </w:tc>
        <w:tc>
          <w:tcPr>
            <w:tcW w:w="990" w:type="dxa"/>
            <w:shd w:val="clear" w:color="auto" w:fill="auto"/>
            <w:noWrap/>
            <w:vAlign w:val="center"/>
            <w:hideMark/>
          </w:tcPr>
          <w:p w14:paraId="4677C49C" w14:textId="0FA35503" w:rsidR="00AB06BF" w:rsidRPr="00BF4BF8" w:rsidRDefault="00AB06BF" w:rsidP="00AB06BF">
            <w:pPr>
              <w:jc w:val="center"/>
              <w:rPr>
                <w:sz w:val="18"/>
                <w:szCs w:val="18"/>
              </w:rPr>
            </w:pPr>
            <w:r>
              <w:rPr>
                <w:sz w:val="18"/>
                <w:szCs w:val="18"/>
              </w:rPr>
              <w:t>2,116.50</w:t>
            </w:r>
          </w:p>
        </w:tc>
        <w:tc>
          <w:tcPr>
            <w:tcW w:w="1278" w:type="dxa"/>
            <w:shd w:val="clear" w:color="auto" w:fill="auto"/>
            <w:noWrap/>
            <w:vAlign w:val="center"/>
            <w:hideMark/>
          </w:tcPr>
          <w:p w14:paraId="7BBE5CE6" w14:textId="59F6DA05" w:rsidR="00AB06BF" w:rsidRPr="00BF4BF8" w:rsidRDefault="00AB06BF" w:rsidP="00AB06BF">
            <w:pPr>
              <w:jc w:val="center"/>
              <w:rPr>
                <w:sz w:val="18"/>
                <w:szCs w:val="18"/>
              </w:rPr>
            </w:pPr>
            <w:r>
              <w:rPr>
                <w:sz w:val="18"/>
                <w:szCs w:val="18"/>
              </w:rPr>
              <w:t>21,165.00</w:t>
            </w:r>
          </w:p>
        </w:tc>
        <w:tc>
          <w:tcPr>
            <w:tcW w:w="810" w:type="dxa"/>
            <w:shd w:val="clear" w:color="auto" w:fill="auto"/>
            <w:noWrap/>
            <w:vAlign w:val="center"/>
            <w:hideMark/>
          </w:tcPr>
          <w:p w14:paraId="50FEE7A7" w14:textId="77777777" w:rsidR="00AB06BF" w:rsidRPr="00BF4BF8" w:rsidRDefault="00AB06BF" w:rsidP="00AB06BF">
            <w:pPr>
              <w:jc w:val="center"/>
              <w:rPr>
                <w:sz w:val="18"/>
                <w:szCs w:val="18"/>
              </w:rPr>
            </w:pPr>
            <w:r w:rsidRPr="00BF4BF8">
              <w:rPr>
                <w:sz w:val="18"/>
                <w:szCs w:val="18"/>
              </w:rPr>
              <w:t>annual</w:t>
            </w:r>
          </w:p>
        </w:tc>
        <w:tc>
          <w:tcPr>
            <w:tcW w:w="1147" w:type="dxa"/>
          </w:tcPr>
          <w:p w14:paraId="3528E8B0" w14:textId="0FEC062A" w:rsidR="00AB06BF" w:rsidRPr="00BF4BF8" w:rsidRDefault="00AB06BF" w:rsidP="00AB06BF">
            <w:pPr>
              <w:spacing w:before="240"/>
              <w:jc w:val="center"/>
              <w:rPr>
                <w:sz w:val="18"/>
                <w:szCs w:val="18"/>
              </w:rPr>
            </w:pPr>
            <w:r>
              <w:rPr>
                <w:sz w:val="18"/>
                <w:szCs w:val="18"/>
              </w:rPr>
              <w:t>R</w:t>
            </w:r>
          </w:p>
        </w:tc>
        <w:tc>
          <w:tcPr>
            <w:tcW w:w="1147" w:type="dxa"/>
            <w:shd w:val="clear" w:color="auto" w:fill="auto"/>
            <w:noWrap/>
            <w:vAlign w:val="center"/>
            <w:hideMark/>
          </w:tcPr>
          <w:p w14:paraId="5E09D47F" w14:textId="6E14C627" w:rsidR="00AB06BF" w:rsidRPr="00BF4BF8" w:rsidRDefault="00AB06BF" w:rsidP="00AB06BF">
            <w:pPr>
              <w:jc w:val="center"/>
              <w:rPr>
                <w:sz w:val="18"/>
                <w:szCs w:val="18"/>
              </w:rPr>
            </w:pPr>
            <w:r w:rsidRPr="00BF4BF8">
              <w:rPr>
                <w:sz w:val="18"/>
                <w:szCs w:val="18"/>
              </w:rPr>
              <w:t>116.7</w:t>
            </w:r>
          </w:p>
        </w:tc>
        <w:tc>
          <w:tcPr>
            <w:tcW w:w="1170" w:type="dxa"/>
            <w:shd w:val="clear" w:color="auto" w:fill="auto"/>
            <w:noWrap/>
            <w:vAlign w:val="center"/>
            <w:hideMark/>
          </w:tcPr>
          <w:p w14:paraId="3A29FC61" w14:textId="5008F456" w:rsidR="00AB06BF" w:rsidRPr="00BF4BF8" w:rsidRDefault="00AB06BF" w:rsidP="00AB06BF">
            <w:pPr>
              <w:jc w:val="center"/>
              <w:rPr>
                <w:sz w:val="18"/>
                <w:szCs w:val="18"/>
              </w:rPr>
            </w:pPr>
            <w:r w:rsidRPr="00BF4BF8">
              <w:rPr>
                <w:sz w:val="18"/>
                <w:szCs w:val="18"/>
              </w:rPr>
              <w:t>7,055.00</w:t>
            </w:r>
          </w:p>
        </w:tc>
      </w:tr>
      <w:tr w:rsidR="00AB06BF" w:rsidRPr="00D376CB" w14:paraId="7BB78EB0" w14:textId="77777777" w:rsidTr="00E80BF4">
        <w:trPr>
          <w:trHeight w:val="300"/>
        </w:trPr>
        <w:tc>
          <w:tcPr>
            <w:tcW w:w="1435" w:type="dxa"/>
          </w:tcPr>
          <w:p w14:paraId="08F9190C" w14:textId="28551578" w:rsidR="00AB06BF" w:rsidRPr="00D376CB" w:rsidRDefault="00AB06BF" w:rsidP="00AB06BF">
            <w:pPr>
              <w:jc w:val="center"/>
              <w:rPr>
                <w:sz w:val="18"/>
                <w:szCs w:val="18"/>
              </w:rPr>
            </w:pPr>
            <w:r>
              <w:rPr>
                <w:sz w:val="18"/>
                <w:szCs w:val="18"/>
              </w:rPr>
              <w:t>12.23</w:t>
            </w:r>
          </w:p>
        </w:tc>
        <w:tc>
          <w:tcPr>
            <w:tcW w:w="1435" w:type="dxa"/>
            <w:shd w:val="clear" w:color="auto" w:fill="auto"/>
            <w:vAlign w:val="bottom"/>
            <w:hideMark/>
          </w:tcPr>
          <w:p w14:paraId="46C09848" w14:textId="4D5D2249" w:rsidR="00AB06BF" w:rsidRPr="00D376CB" w:rsidRDefault="00AB06BF" w:rsidP="00AB06BF">
            <w:pPr>
              <w:jc w:val="center"/>
              <w:rPr>
                <w:sz w:val="18"/>
                <w:szCs w:val="18"/>
              </w:rPr>
            </w:pPr>
            <w:r w:rsidRPr="00D376CB">
              <w:rPr>
                <w:sz w:val="18"/>
                <w:szCs w:val="18"/>
              </w:rPr>
              <w:t>438.334(d)</w:t>
            </w:r>
          </w:p>
          <w:p w14:paraId="659ED9E5" w14:textId="77777777" w:rsidR="00AB06BF" w:rsidRPr="00D376CB" w:rsidRDefault="00AB06BF" w:rsidP="00AB06BF">
            <w:pPr>
              <w:jc w:val="center"/>
              <w:rPr>
                <w:sz w:val="18"/>
                <w:szCs w:val="18"/>
              </w:rPr>
            </w:pPr>
            <w:r w:rsidRPr="00D376CB">
              <w:rPr>
                <w:sz w:val="18"/>
                <w:szCs w:val="18"/>
              </w:rPr>
              <w:t>Calculate and Issue Ratings</w:t>
            </w:r>
          </w:p>
        </w:tc>
        <w:tc>
          <w:tcPr>
            <w:tcW w:w="995" w:type="dxa"/>
            <w:shd w:val="clear" w:color="auto" w:fill="auto"/>
            <w:noWrap/>
            <w:vAlign w:val="center"/>
            <w:hideMark/>
          </w:tcPr>
          <w:p w14:paraId="1A1A1AEF" w14:textId="77777777" w:rsidR="00AB06BF" w:rsidRPr="00D376CB" w:rsidRDefault="00AB06BF" w:rsidP="00AB06BF">
            <w:pPr>
              <w:jc w:val="center"/>
              <w:rPr>
                <w:sz w:val="18"/>
                <w:szCs w:val="18"/>
              </w:rPr>
            </w:pPr>
            <w:r w:rsidRPr="00D376CB">
              <w:rPr>
                <w:sz w:val="18"/>
                <w:szCs w:val="18"/>
              </w:rPr>
              <w:t>40</w:t>
            </w:r>
          </w:p>
        </w:tc>
        <w:tc>
          <w:tcPr>
            <w:tcW w:w="1008" w:type="dxa"/>
            <w:shd w:val="clear" w:color="auto" w:fill="auto"/>
            <w:noWrap/>
            <w:vAlign w:val="center"/>
            <w:hideMark/>
          </w:tcPr>
          <w:p w14:paraId="7687F626" w14:textId="77777777" w:rsidR="00AB06BF" w:rsidRPr="00D376CB" w:rsidRDefault="00AB06BF" w:rsidP="00AB06BF">
            <w:pPr>
              <w:jc w:val="center"/>
              <w:rPr>
                <w:sz w:val="18"/>
                <w:szCs w:val="18"/>
              </w:rPr>
            </w:pPr>
            <w:r w:rsidRPr="00D376CB">
              <w:rPr>
                <w:sz w:val="18"/>
                <w:szCs w:val="18"/>
              </w:rPr>
              <w:t>552</w:t>
            </w:r>
          </w:p>
        </w:tc>
        <w:tc>
          <w:tcPr>
            <w:tcW w:w="967" w:type="dxa"/>
            <w:shd w:val="clear" w:color="auto" w:fill="auto"/>
            <w:noWrap/>
            <w:vAlign w:val="center"/>
            <w:hideMark/>
          </w:tcPr>
          <w:p w14:paraId="58FAF9E7" w14:textId="77777777" w:rsidR="00AB06BF" w:rsidRPr="00D376CB" w:rsidRDefault="00AB06BF" w:rsidP="00AB06BF">
            <w:pPr>
              <w:jc w:val="center"/>
              <w:rPr>
                <w:sz w:val="18"/>
                <w:szCs w:val="18"/>
              </w:rPr>
            </w:pPr>
            <w:r w:rsidRPr="00D376CB">
              <w:rPr>
                <w:sz w:val="18"/>
                <w:szCs w:val="18"/>
              </w:rPr>
              <w:t>40</w:t>
            </w:r>
          </w:p>
        </w:tc>
        <w:tc>
          <w:tcPr>
            <w:tcW w:w="1013" w:type="dxa"/>
            <w:shd w:val="clear" w:color="auto" w:fill="auto"/>
            <w:noWrap/>
            <w:vAlign w:val="center"/>
            <w:hideMark/>
          </w:tcPr>
          <w:p w14:paraId="2F51F48D" w14:textId="77777777" w:rsidR="00AB06BF" w:rsidRPr="00D376CB" w:rsidRDefault="00AB06BF" w:rsidP="00AB06BF">
            <w:pPr>
              <w:jc w:val="center"/>
              <w:rPr>
                <w:sz w:val="18"/>
                <w:szCs w:val="18"/>
              </w:rPr>
            </w:pPr>
            <w:r w:rsidRPr="00D376CB">
              <w:rPr>
                <w:sz w:val="18"/>
                <w:szCs w:val="18"/>
              </w:rPr>
              <w:t>22,080.0</w:t>
            </w:r>
          </w:p>
        </w:tc>
        <w:tc>
          <w:tcPr>
            <w:tcW w:w="702" w:type="dxa"/>
            <w:shd w:val="clear" w:color="auto" w:fill="auto"/>
            <w:noWrap/>
            <w:vAlign w:val="center"/>
            <w:hideMark/>
          </w:tcPr>
          <w:p w14:paraId="761F92B2" w14:textId="77777777" w:rsidR="00AB06BF" w:rsidRPr="00D376CB" w:rsidRDefault="00AB06BF" w:rsidP="00AB06BF">
            <w:pPr>
              <w:jc w:val="center"/>
              <w:rPr>
                <w:sz w:val="18"/>
                <w:szCs w:val="18"/>
              </w:rPr>
            </w:pPr>
            <w:r w:rsidRPr="00D376CB">
              <w:rPr>
                <w:sz w:val="18"/>
                <w:szCs w:val="18"/>
              </w:rPr>
              <w:t>64.46</w:t>
            </w:r>
          </w:p>
        </w:tc>
        <w:tc>
          <w:tcPr>
            <w:tcW w:w="990" w:type="dxa"/>
            <w:shd w:val="clear" w:color="auto" w:fill="auto"/>
            <w:noWrap/>
            <w:vAlign w:val="center"/>
            <w:hideMark/>
          </w:tcPr>
          <w:p w14:paraId="344BAFD3" w14:textId="77777777" w:rsidR="00AB06BF" w:rsidRPr="00D376CB" w:rsidRDefault="00AB06BF" w:rsidP="00AB06BF">
            <w:pPr>
              <w:jc w:val="center"/>
              <w:rPr>
                <w:sz w:val="18"/>
                <w:szCs w:val="18"/>
              </w:rPr>
            </w:pPr>
            <w:r w:rsidRPr="00D376CB">
              <w:rPr>
                <w:sz w:val="18"/>
                <w:szCs w:val="18"/>
              </w:rPr>
              <w:t>2,578.40</w:t>
            </w:r>
          </w:p>
        </w:tc>
        <w:tc>
          <w:tcPr>
            <w:tcW w:w="1278" w:type="dxa"/>
            <w:shd w:val="clear" w:color="auto" w:fill="auto"/>
            <w:noWrap/>
            <w:vAlign w:val="center"/>
            <w:hideMark/>
          </w:tcPr>
          <w:p w14:paraId="56A5008D" w14:textId="77777777" w:rsidR="00AB06BF" w:rsidRPr="00D376CB" w:rsidRDefault="00AB06BF" w:rsidP="00AB06BF">
            <w:pPr>
              <w:jc w:val="center"/>
              <w:rPr>
                <w:sz w:val="18"/>
                <w:szCs w:val="18"/>
              </w:rPr>
            </w:pPr>
            <w:r w:rsidRPr="00D376CB">
              <w:rPr>
                <w:sz w:val="18"/>
                <w:szCs w:val="18"/>
              </w:rPr>
              <w:t>1,423,276.80</w:t>
            </w:r>
          </w:p>
        </w:tc>
        <w:tc>
          <w:tcPr>
            <w:tcW w:w="810" w:type="dxa"/>
            <w:shd w:val="clear" w:color="auto" w:fill="auto"/>
            <w:noWrap/>
            <w:vAlign w:val="center"/>
            <w:hideMark/>
          </w:tcPr>
          <w:p w14:paraId="13130554" w14:textId="77777777" w:rsidR="00AB06BF" w:rsidRPr="00D376CB" w:rsidRDefault="00AB06BF" w:rsidP="00AB06BF">
            <w:pPr>
              <w:jc w:val="center"/>
              <w:rPr>
                <w:sz w:val="18"/>
                <w:szCs w:val="18"/>
              </w:rPr>
            </w:pPr>
            <w:r w:rsidRPr="00D376CB">
              <w:rPr>
                <w:sz w:val="18"/>
                <w:szCs w:val="18"/>
              </w:rPr>
              <w:t>annual</w:t>
            </w:r>
          </w:p>
        </w:tc>
        <w:tc>
          <w:tcPr>
            <w:tcW w:w="1147" w:type="dxa"/>
          </w:tcPr>
          <w:p w14:paraId="278481DF" w14:textId="6CB53007" w:rsidR="00AB06BF" w:rsidRPr="00D376CB" w:rsidRDefault="00AB06BF" w:rsidP="00AB06BF">
            <w:pPr>
              <w:spacing w:before="240"/>
              <w:jc w:val="center"/>
              <w:rPr>
                <w:sz w:val="18"/>
                <w:szCs w:val="18"/>
              </w:rPr>
            </w:pPr>
            <w:r>
              <w:rPr>
                <w:sz w:val="18"/>
                <w:szCs w:val="18"/>
              </w:rPr>
              <w:t>R</w:t>
            </w:r>
          </w:p>
        </w:tc>
        <w:tc>
          <w:tcPr>
            <w:tcW w:w="1147" w:type="dxa"/>
            <w:shd w:val="clear" w:color="auto" w:fill="auto"/>
            <w:noWrap/>
            <w:vAlign w:val="center"/>
            <w:hideMark/>
          </w:tcPr>
          <w:p w14:paraId="5BC034C4" w14:textId="0A6032AB" w:rsidR="00AB06BF" w:rsidRPr="00D376CB" w:rsidRDefault="00AB06BF" w:rsidP="00AB06BF">
            <w:pPr>
              <w:jc w:val="center"/>
              <w:rPr>
                <w:sz w:val="18"/>
                <w:szCs w:val="18"/>
              </w:rPr>
            </w:pPr>
            <w:r w:rsidRPr="00D376CB">
              <w:rPr>
                <w:sz w:val="18"/>
                <w:szCs w:val="18"/>
              </w:rPr>
              <w:t>22,080.0</w:t>
            </w:r>
          </w:p>
        </w:tc>
        <w:tc>
          <w:tcPr>
            <w:tcW w:w="1170" w:type="dxa"/>
            <w:shd w:val="clear" w:color="auto" w:fill="auto"/>
            <w:noWrap/>
            <w:vAlign w:val="center"/>
            <w:hideMark/>
          </w:tcPr>
          <w:p w14:paraId="77B52774" w14:textId="77777777" w:rsidR="00AB06BF" w:rsidRPr="00D376CB" w:rsidRDefault="00AB06BF" w:rsidP="00AB06BF">
            <w:pPr>
              <w:jc w:val="center"/>
              <w:rPr>
                <w:sz w:val="18"/>
                <w:szCs w:val="18"/>
              </w:rPr>
            </w:pPr>
            <w:r w:rsidRPr="00D376CB">
              <w:rPr>
                <w:sz w:val="18"/>
                <w:szCs w:val="18"/>
              </w:rPr>
              <w:t>1,423,276.80</w:t>
            </w:r>
          </w:p>
        </w:tc>
      </w:tr>
      <w:tr w:rsidR="00AB06BF" w:rsidRPr="00AA5690" w14:paraId="47745651" w14:textId="77777777" w:rsidTr="00E80BF4">
        <w:trPr>
          <w:trHeight w:val="480"/>
        </w:trPr>
        <w:tc>
          <w:tcPr>
            <w:tcW w:w="1435" w:type="dxa"/>
          </w:tcPr>
          <w:p w14:paraId="1440FDE9" w14:textId="3D7DAF71" w:rsidR="00AB06BF" w:rsidRPr="00AA5690" w:rsidRDefault="00AB06BF" w:rsidP="00AB06BF">
            <w:pPr>
              <w:jc w:val="center"/>
              <w:rPr>
                <w:sz w:val="18"/>
                <w:szCs w:val="18"/>
              </w:rPr>
            </w:pPr>
            <w:r w:rsidRPr="00AA5690">
              <w:rPr>
                <w:sz w:val="18"/>
                <w:szCs w:val="18"/>
              </w:rPr>
              <w:t>12.25</w:t>
            </w:r>
          </w:p>
        </w:tc>
        <w:tc>
          <w:tcPr>
            <w:tcW w:w="1435" w:type="dxa"/>
            <w:shd w:val="clear" w:color="auto" w:fill="auto"/>
            <w:vAlign w:val="bottom"/>
            <w:hideMark/>
          </w:tcPr>
          <w:p w14:paraId="3631DC7C" w14:textId="00ECB74F" w:rsidR="00AB06BF" w:rsidRPr="00AA5690" w:rsidRDefault="00AB06BF" w:rsidP="00AB06BF">
            <w:pPr>
              <w:jc w:val="center"/>
              <w:rPr>
                <w:sz w:val="18"/>
                <w:szCs w:val="18"/>
              </w:rPr>
            </w:pPr>
            <w:r w:rsidRPr="00AA5690">
              <w:rPr>
                <w:sz w:val="18"/>
                <w:szCs w:val="18"/>
              </w:rPr>
              <w:t>438.340(c)(2)</w:t>
            </w:r>
          </w:p>
          <w:p w14:paraId="31E45318" w14:textId="77777777" w:rsidR="00AB06BF" w:rsidRPr="00AA5690" w:rsidRDefault="00AB06BF" w:rsidP="00AB06BF">
            <w:pPr>
              <w:jc w:val="center"/>
              <w:rPr>
                <w:sz w:val="18"/>
                <w:szCs w:val="18"/>
              </w:rPr>
            </w:pPr>
            <w:r w:rsidRPr="00AA5690">
              <w:rPr>
                <w:sz w:val="18"/>
                <w:szCs w:val="18"/>
              </w:rPr>
              <w:t>Revise QS MCO/PIHP States</w:t>
            </w:r>
          </w:p>
        </w:tc>
        <w:tc>
          <w:tcPr>
            <w:tcW w:w="995" w:type="dxa"/>
            <w:shd w:val="clear" w:color="auto" w:fill="auto"/>
            <w:noWrap/>
            <w:vAlign w:val="center"/>
            <w:hideMark/>
          </w:tcPr>
          <w:p w14:paraId="1F549597" w14:textId="77777777" w:rsidR="00AB06BF" w:rsidRPr="00AA5690" w:rsidRDefault="00AB06BF" w:rsidP="00AB06BF">
            <w:pPr>
              <w:jc w:val="center"/>
              <w:rPr>
                <w:sz w:val="18"/>
                <w:szCs w:val="18"/>
              </w:rPr>
            </w:pPr>
            <w:r w:rsidRPr="00AA5690">
              <w:rPr>
                <w:sz w:val="18"/>
                <w:szCs w:val="18"/>
              </w:rPr>
              <w:t>18</w:t>
            </w:r>
          </w:p>
        </w:tc>
        <w:tc>
          <w:tcPr>
            <w:tcW w:w="1008" w:type="dxa"/>
            <w:shd w:val="clear" w:color="auto" w:fill="auto"/>
            <w:noWrap/>
            <w:vAlign w:val="center"/>
            <w:hideMark/>
          </w:tcPr>
          <w:p w14:paraId="0AFB7B7B" w14:textId="77777777" w:rsidR="00AB06BF" w:rsidRPr="00AA5690" w:rsidRDefault="00AB06BF" w:rsidP="00AB06BF">
            <w:pPr>
              <w:jc w:val="center"/>
              <w:rPr>
                <w:sz w:val="18"/>
                <w:szCs w:val="18"/>
              </w:rPr>
            </w:pPr>
            <w:r w:rsidRPr="00AA5690">
              <w:rPr>
                <w:sz w:val="18"/>
                <w:szCs w:val="18"/>
              </w:rPr>
              <w:t>18</w:t>
            </w:r>
          </w:p>
        </w:tc>
        <w:tc>
          <w:tcPr>
            <w:tcW w:w="967" w:type="dxa"/>
            <w:shd w:val="clear" w:color="auto" w:fill="auto"/>
            <w:noWrap/>
            <w:vAlign w:val="center"/>
            <w:hideMark/>
          </w:tcPr>
          <w:p w14:paraId="6CBCC4F2" w14:textId="6FD34DED" w:rsidR="00AB06BF" w:rsidRPr="00AA5690" w:rsidRDefault="00AB06BF" w:rsidP="00AB06BF">
            <w:pPr>
              <w:jc w:val="center"/>
              <w:rPr>
                <w:sz w:val="18"/>
                <w:szCs w:val="18"/>
              </w:rPr>
            </w:pPr>
            <w:r w:rsidRPr="00AA5690">
              <w:rPr>
                <w:sz w:val="18"/>
                <w:szCs w:val="18"/>
              </w:rPr>
              <w:t>33</w:t>
            </w:r>
          </w:p>
        </w:tc>
        <w:tc>
          <w:tcPr>
            <w:tcW w:w="1013" w:type="dxa"/>
            <w:shd w:val="clear" w:color="auto" w:fill="auto"/>
            <w:noWrap/>
            <w:vAlign w:val="center"/>
            <w:hideMark/>
          </w:tcPr>
          <w:p w14:paraId="20DC58A6" w14:textId="5BB32CA2" w:rsidR="00AB06BF" w:rsidRPr="00AA5690" w:rsidRDefault="00AB06BF" w:rsidP="00AB06BF">
            <w:pPr>
              <w:jc w:val="center"/>
              <w:rPr>
                <w:sz w:val="18"/>
                <w:szCs w:val="18"/>
              </w:rPr>
            </w:pPr>
            <w:r w:rsidRPr="00AA5690">
              <w:rPr>
                <w:sz w:val="18"/>
                <w:szCs w:val="18"/>
              </w:rPr>
              <w:t>594.0</w:t>
            </w:r>
          </w:p>
        </w:tc>
        <w:tc>
          <w:tcPr>
            <w:tcW w:w="702" w:type="dxa"/>
            <w:shd w:val="clear" w:color="auto" w:fill="auto"/>
            <w:noWrap/>
            <w:vAlign w:val="center"/>
            <w:hideMark/>
          </w:tcPr>
          <w:p w14:paraId="40419EF6" w14:textId="26A923A1" w:rsidR="00AB06BF" w:rsidRPr="00AA5690" w:rsidRDefault="00AB06BF" w:rsidP="00AB06BF">
            <w:pPr>
              <w:jc w:val="center"/>
              <w:rPr>
                <w:sz w:val="18"/>
                <w:szCs w:val="18"/>
              </w:rPr>
            </w:pPr>
            <w:r w:rsidRPr="00AA5690">
              <w:rPr>
                <w:sz w:val="18"/>
                <w:szCs w:val="18"/>
              </w:rPr>
              <w:t>varies</w:t>
            </w:r>
          </w:p>
        </w:tc>
        <w:tc>
          <w:tcPr>
            <w:tcW w:w="990" w:type="dxa"/>
            <w:shd w:val="clear" w:color="auto" w:fill="auto"/>
            <w:noWrap/>
            <w:vAlign w:val="center"/>
            <w:hideMark/>
          </w:tcPr>
          <w:p w14:paraId="307C2839" w14:textId="750C062B" w:rsidR="00AB06BF" w:rsidRPr="00AA5690" w:rsidRDefault="00AB06BF" w:rsidP="00AB06BF">
            <w:pPr>
              <w:jc w:val="center"/>
              <w:rPr>
                <w:sz w:val="18"/>
                <w:szCs w:val="18"/>
              </w:rPr>
            </w:pPr>
            <w:r w:rsidRPr="00AA5690">
              <w:rPr>
                <w:sz w:val="18"/>
                <w:szCs w:val="18"/>
              </w:rPr>
              <w:t>2,043.42</w:t>
            </w:r>
          </w:p>
        </w:tc>
        <w:tc>
          <w:tcPr>
            <w:tcW w:w="1278" w:type="dxa"/>
            <w:shd w:val="clear" w:color="auto" w:fill="auto"/>
            <w:noWrap/>
            <w:vAlign w:val="center"/>
            <w:hideMark/>
          </w:tcPr>
          <w:p w14:paraId="261FD8EB" w14:textId="49E2DCD4" w:rsidR="00AB06BF" w:rsidRPr="00AA5690" w:rsidRDefault="00AB06BF" w:rsidP="00AB06BF">
            <w:pPr>
              <w:jc w:val="center"/>
              <w:rPr>
                <w:sz w:val="18"/>
                <w:szCs w:val="18"/>
              </w:rPr>
            </w:pPr>
            <w:r w:rsidRPr="00AA5690">
              <w:rPr>
                <w:sz w:val="18"/>
                <w:szCs w:val="18"/>
              </w:rPr>
              <w:t>36,781.56</w:t>
            </w:r>
          </w:p>
        </w:tc>
        <w:tc>
          <w:tcPr>
            <w:tcW w:w="810" w:type="dxa"/>
            <w:shd w:val="clear" w:color="auto" w:fill="auto"/>
            <w:noWrap/>
            <w:vAlign w:val="center"/>
            <w:hideMark/>
          </w:tcPr>
          <w:p w14:paraId="2ED16A6A" w14:textId="77777777" w:rsidR="00AB06BF" w:rsidRPr="00AA5690" w:rsidRDefault="00AB06BF" w:rsidP="00AB06BF">
            <w:pPr>
              <w:jc w:val="center"/>
              <w:rPr>
                <w:sz w:val="18"/>
                <w:szCs w:val="18"/>
              </w:rPr>
            </w:pPr>
            <w:r w:rsidRPr="00AA5690">
              <w:rPr>
                <w:sz w:val="18"/>
                <w:szCs w:val="18"/>
              </w:rPr>
              <w:t>annual</w:t>
            </w:r>
          </w:p>
        </w:tc>
        <w:tc>
          <w:tcPr>
            <w:tcW w:w="1147" w:type="dxa"/>
          </w:tcPr>
          <w:p w14:paraId="3031CEE2" w14:textId="7279ABD2" w:rsidR="00AB06BF" w:rsidRPr="00AA5690" w:rsidRDefault="00AB06BF" w:rsidP="00AB06BF">
            <w:pPr>
              <w:spacing w:before="240"/>
              <w:jc w:val="center"/>
              <w:rPr>
                <w:sz w:val="18"/>
                <w:szCs w:val="18"/>
              </w:rPr>
            </w:pPr>
            <w:r>
              <w:rPr>
                <w:sz w:val="18"/>
                <w:szCs w:val="18"/>
              </w:rPr>
              <w:t>R</w:t>
            </w:r>
          </w:p>
        </w:tc>
        <w:tc>
          <w:tcPr>
            <w:tcW w:w="1147" w:type="dxa"/>
            <w:shd w:val="clear" w:color="auto" w:fill="auto"/>
            <w:noWrap/>
            <w:vAlign w:val="center"/>
            <w:hideMark/>
          </w:tcPr>
          <w:p w14:paraId="32EC4371" w14:textId="10133500" w:rsidR="00AB06BF" w:rsidRPr="00AA5690" w:rsidRDefault="00AB06BF" w:rsidP="00AB06BF">
            <w:pPr>
              <w:jc w:val="center"/>
              <w:rPr>
                <w:sz w:val="18"/>
                <w:szCs w:val="18"/>
              </w:rPr>
            </w:pPr>
            <w:r w:rsidRPr="00AA5690">
              <w:rPr>
                <w:sz w:val="18"/>
                <w:szCs w:val="18"/>
              </w:rPr>
              <w:t>198.0</w:t>
            </w:r>
          </w:p>
        </w:tc>
        <w:tc>
          <w:tcPr>
            <w:tcW w:w="1170" w:type="dxa"/>
            <w:shd w:val="clear" w:color="auto" w:fill="auto"/>
            <w:noWrap/>
            <w:vAlign w:val="center"/>
            <w:hideMark/>
          </w:tcPr>
          <w:p w14:paraId="2CE42536" w14:textId="771AA869" w:rsidR="00AB06BF" w:rsidRPr="00AA5690" w:rsidRDefault="00AB06BF" w:rsidP="00AB06BF">
            <w:pPr>
              <w:jc w:val="center"/>
              <w:rPr>
                <w:sz w:val="18"/>
                <w:szCs w:val="18"/>
              </w:rPr>
            </w:pPr>
            <w:r w:rsidRPr="00AA5690">
              <w:rPr>
                <w:sz w:val="18"/>
                <w:szCs w:val="18"/>
              </w:rPr>
              <w:t>12,260.52</w:t>
            </w:r>
          </w:p>
        </w:tc>
      </w:tr>
      <w:tr w:rsidR="00AB06BF" w:rsidRPr="008E109C" w14:paraId="0FD7B94D" w14:textId="77777777" w:rsidTr="00E80BF4">
        <w:trPr>
          <w:trHeight w:val="480"/>
        </w:trPr>
        <w:tc>
          <w:tcPr>
            <w:tcW w:w="1435" w:type="dxa"/>
          </w:tcPr>
          <w:p w14:paraId="0FD357FE" w14:textId="2C1049AE" w:rsidR="00AB06BF" w:rsidRPr="008E109C" w:rsidRDefault="00AB06BF" w:rsidP="00AB06BF">
            <w:pPr>
              <w:jc w:val="center"/>
              <w:rPr>
                <w:sz w:val="18"/>
                <w:szCs w:val="18"/>
              </w:rPr>
            </w:pPr>
            <w:r w:rsidRPr="008E109C">
              <w:rPr>
                <w:sz w:val="18"/>
                <w:szCs w:val="18"/>
              </w:rPr>
              <w:lastRenderedPageBreak/>
              <w:t>12.26</w:t>
            </w:r>
          </w:p>
        </w:tc>
        <w:tc>
          <w:tcPr>
            <w:tcW w:w="1435" w:type="dxa"/>
            <w:shd w:val="clear" w:color="auto" w:fill="auto"/>
            <w:vAlign w:val="bottom"/>
            <w:hideMark/>
          </w:tcPr>
          <w:p w14:paraId="61CB12E6" w14:textId="57C085A1" w:rsidR="00AB06BF" w:rsidRPr="008E109C" w:rsidRDefault="00AB06BF" w:rsidP="00AB06BF">
            <w:pPr>
              <w:jc w:val="center"/>
              <w:rPr>
                <w:sz w:val="18"/>
                <w:szCs w:val="18"/>
              </w:rPr>
            </w:pPr>
            <w:r w:rsidRPr="008E109C">
              <w:rPr>
                <w:sz w:val="18"/>
                <w:szCs w:val="18"/>
              </w:rPr>
              <w:t>438.340(c)(2)</w:t>
            </w:r>
          </w:p>
          <w:p w14:paraId="46A0FA6A" w14:textId="77777777" w:rsidR="00AB06BF" w:rsidRPr="008E109C" w:rsidRDefault="00AB06BF" w:rsidP="00AB06BF">
            <w:pPr>
              <w:jc w:val="center"/>
              <w:rPr>
                <w:sz w:val="18"/>
                <w:szCs w:val="18"/>
              </w:rPr>
            </w:pPr>
            <w:r w:rsidRPr="008E109C">
              <w:rPr>
                <w:sz w:val="18"/>
                <w:szCs w:val="18"/>
              </w:rPr>
              <w:t>Update Policies PAHP/PCCM States</w:t>
            </w:r>
          </w:p>
        </w:tc>
        <w:tc>
          <w:tcPr>
            <w:tcW w:w="995" w:type="dxa"/>
            <w:shd w:val="clear" w:color="auto" w:fill="auto"/>
            <w:noWrap/>
            <w:vAlign w:val="center"/>
            <w:hideMark/>
          </w:tcPr>
          <w:p w14:paraId="28B38DD3" w14:textId="77777777" w:rsidR="00AB06BF" w:rsidRPr="008E109C" w:rsidRDefault="00AB06BF" w:rsidP="00AB06BF">
            <w:pPr>
              <w:jc w:val="center"/>
              <w:rPr>
                <w:sz w:val="18"/>
                <w:szCs w:val="18"/>
              </w:rPr>
            </w:pPr>
            <w:r w:rsidRPr="008E109C">
              <w:rPr>
                <w:sz w:val="18"/>
                <w:szCs w:val="18"/>
              </w:rPr>
              <w:t>5</w:t>
            </w:r>
          </w:p>
        </w:tc>
        <w:tc>
          <w:tcPr>
            <w:tcW w:w="1008" w:type="dxa"/>
            <w:shd w:val="clear" w:color="auto" w:fill="auto"/>
            <w:noWrap/>
            <w:vAlign w:val="center"/>
            <w:hideMark/>
          </w:tcPr>
          <w:p w14:paraId="0B549EEA" w14:textId="77777777" w:rsidR="00AB06BF" w:rsidRPr="008E109C" w:rsidRDefault="00AB06BF" w:rsidP="00AB06BF">
            <w:pPr>
              <w:jc w:val="center"/>
              <w:rPr>
                <w:sz w:val="18"/>
                <w:szCs w:val="18"/>
              </w:rPr>
            </w:pPr>
            <w:r w:rsidRPr="008E109C">
              <w:rPr>
                <w:sz w:val="18"/>
                <w:szCs w:val="18"/>
              </w:rPr>
              <w:t>5</w:t>
            </w:r>
          </w:p>
        </w:tc>
        <w:tc>
          <w:tcPr>
            <w:tcW w:w="967" w:type="dxa"/>
            <w:shd w:val="clear" w:color="auto" w:fill="auto"/>
            <w:noWrap/>
            <w:vAlign w:val="center"/>
            <w:hideMark/>
          </w:tcPr>
          <w:p w14:paraId="48612085" w14:textId="77777777" w:rsidR="00AB06BF" w:rsidRPr="008E109C" w:rsidRDefault="00AB06BF" w:rsidP="00AB06BF">
            <w:pPr>
              <w:jc w:val="center"/>
              <w:rPr>
                <w:sz w:val="18"/>
                <w:szCs w:val="18"/>
              </w:rPr>
            </w:pPr>
            <w:r w:rsidRPr="008E109C">
              <w:rPr>
                <w:sz w:val="18"/>
                <w:szCs w:val="18"/>
              </w:rPr>
              <w:t>0.5</w:t>
            </w:r>
          </w:p>
        </w:tc>
        <w:tc>
          <w:tcPr>
            <w:tcW w:w="1013" w:type="dxa"/>
            <w:shd w:val="clear" w:color="auto" w:fill="auto"/>
            <w:noWrap/>
            <w:vAlign w:val="center"/>
            <w:hideMark/>
          </w:tcPr>
          <w:p w14:paraId="512959EB" w14:textId="77777777" w:rsidR="00AB06BF" w:rsidRPr="008E109C" w:rsidRDefault="00AB06BF" w:rsidP="00AB06BF">
            <w:pPr>
              <w:jc w:val="center"/>
              <w:rPr>
                <w:sz w:val="18"/>
                <w:szCs w:val="18"/>
              </w:rPr>
            </w:pPr>
            <w:r w:rsidRPr="008E109C">
              <w:rPr>
                <w:sz w:val="18"/>
                <w:szCs w:val="18"/>
              </w:rPr>
              <w:t>2.5</w:t>
            </w:r>
          </w:p>
        </w:tc>
        <w:tc>
          <w:tcPr>
            <w:tcW w:w="702" w:type="dxa"/>
            <w:shd w:val="clear" w:color="auto" w:fill="auto"/>
            <w:noWrap/>
            <w:vAlign w:val="center"/>
            <w:hideMark/>
          </w:tcPr>
          <w:p w14:paraId="3A6B70C7" w14:textId="77777777" w:rsidR="00AB06BF" w:rsidRPr="008E109C" w:rsidRDefault="00AB06BF" w:rsidP="00AB06BF">
            <w:pPr>
              <w:jc w:val="center"/>
              <w:rPr>
                <w:sz w:val="18"/>
                <w:szCs w:val="18"/>
              </w:rPr>
            </w:pPr>
            <w:r w:rsidRPr="008E109C">
              <w:rPr>
                <w:sz w:val="18"/>
                <w:szCs w:val="18"/>
              </w:rPr>
              <w:t>64.46</w:t>
            </w:r>
          </w:p>
        </w:tc>
        <w:tc>
          <w:tcPr>
            <w:tcW w:w="990" w:type="dxa"/>
            <w:shd w:val="clear" w:color="auto" w:fill="auto"/>
            <w:noWrap/>
            <w:vAlign w:val="center"/>
            <w:hideMark/>
          </w:tcPr>
          <w:p w14:paraId="46D2450E" w14:textId="77777777" w:rsidR="00AB06BF" w:rsidRPr="008E109C" w:rsidRDefault="00AB06BF" w:rsidP="00AB06BF">
            <w:pPr>
              <w:jc w:val="center"/>
              <w:rPr>
                <w:sz w:val="18"/>
                <w:szCs w:val="18"/>
              </w:rPr>
            </w:pPr>
            <w:r w:rsidRPr="008E109C">
              <w:rPr>
                <w:sz w:val="18"/>
                <w:szCs w:val="18"/>
              </w:rPr>
              <w:t>32.23</w:t>
            </w:r>
          </w:p>
        </w:tc>
        <w:tc>
          <w:tcPr>
            <w:tcW w:w="1278" w:type="dxa"/>
            <w:shd w:val="clear" w:color="auto" w:fill="auto"/>
            <w:noWrap/>
            <w:vAlign w:val="center"/>
            <w:hideMark/>
          </w:tcPr>
          <w:p w14:paraId="0BAFFDDC" w14:textId="77777777" w:rsidR="00AB06BF" w:rsidRPr="008E109C" w:rsidRDefault="00AB06BF" w:rsidP="00AB06BF">
            <w:pPr>
              <w:jc w:val="center"/>
              <w:rPr>
                <w:sz w:val="18"/>
                <w:szCs w:val="18"/>
              </w:rPr>
            </w:pPr>
            <w:r w:rsidRPr="008E109C">
              <w:rPr>
                <w:sz w:val="18"/>
                <w:szCs w:val="18"/>
              </w:rPr>
              <w:t>161.15</w:t>
            </w:r>
          </w:p>
        </w:tc>
        <w:tc>
          <w:tcPr>
            <w:tcW w:w="810" w:type="dxa"/>
            <w:shd w:val="clear" w:color="auto" w:fill="auto"/>
            <w:noWrap/>
            <w:vAlign w:val="center"/>
            <w:hideMark/>
          </w:tcPr>
          <w:p w14:paraId="79AA973E" w14:textId="77777777" w:rsidR="00AB06BF" w:rsidRPr="008E109C" w:rsidRDefault="00AB06BF" w:rsidP="00AB06BF">
            <w:pPr>
              <w:jc w:val="center"/>
              <w:rPr>
                <w:sz w:val="18"/>
                <w:szCs w:val="18"/>
              </w:rPr>
            </w:pPr>
            <w:r w:rsidRPr="008E109C">
              <w:rPr>
                <w:sz w:val="18"/>
                <w:szCs w:val="18"/>
              </w:rPr>
              <w:t>once</w:t>
            </w:r>
          </w:p>
        </w:tc>
        <w:tc>
          <w:tcPr>
            <w:tcW w:w="1147" w:type="dxa"/>
          </w:tcPr>
          <w:p w14:paraId="35343BCE" w14:textId="40C18403" w:rsidR="00AB06BF" w:rsidRPr="008E109C" w:rsidRDefault="00AB06BF" w:rsidP="00AB06BF">
            <w:pPr>
              <w:spacing w:before="240"/>
              <w:jc w:val="center"/>
              <w:rPr>
                <w:sz w:val="18"/>
                <w:szCs w:val="18"/>
              </w:rPr>
            </w:pPr>
            <w:r>
              <w:rPr>
                <w:sz w:val="18"/>
                <w:szCs w:val="18"/>
              </w:rPr>
              <w:t>R</w:t>
            </w:r>
          </w:p>
        </w:tc>
        <w:tc>
          <w:tcPr>
            <w:tcW w:w="1147" w:type="dxa"/>
            <w:shd w:val="clear" w:color="auto" w:fill="auto"/>
            <w:noWrap/>
            <w:vAlign w:val="center"/>
            <w:hideMark/>
          </w:tcPr>
          <w:p w14:paraId="207919D0" w14:textId="0926EBE4" w:rsidR="00AB06BF" w:rsidRPr="008E109C" w:rsidRDefault="00AB06BF" w:rsidP="00AB06BF">
            <w:pPr>
              <w:jc w:val="center"/>
              <w:rPr>
                <w:sz w:val="18"/>
                <w:szCs w:val="18"/>
              </w:rPr>
            </w:pPr>
            <w:r w:rsidRPr="008E109C">
              <w:rPr>
                <w:sz w:val="18"/>
                <w:szCs w:val="18"/>
              </w:rPr>
              <w:t>0.8</w:t>
            </w:r>
          </w:p>
        </w:tc>
        <w:tc>
          <w:tcPr>
            <w:tcW w:w="1170" w:type="dxa"/>
            <w:shd w:val="clear" w:color="auto" w:fill="auto"/>
            <w:noWrap/>
            <w:vAlign w:val="center"/>
            <w:hideMark/>
          </w:tcPr>
          <w:p w14:paraId="60E016CE" w14:textId="77777777" w:rsidR="00AB06BF" w:rsidRPr="008E109C" w:rsidRDefault="00AB06BF" w:rsidP="00AB06BF">
            <w:pPr>
              <w:jc w:val="center"/>
              <w:rPr>
                <w:sz w:val="18"/>
                <w:szCs w:val="18"/>
              </w:rPr>
            </w:pPr>
            <w:r w:rsidRPr="008E109C">
              <w:rPr>
                <w:sz w:val="18"/>
                <w:szCs w:val="18"/>
              </w:rPr>
              <w:t>53.72</w:t>
            </w:r>
          </w:p>
        </w:tc>
      </w:tr>
      <w:tr w:rsidR="00AB06BF" w:rsidRPr="00150BC9" w14:paraId="78B0F1CF" w14:textId="77777777" w:rsidTr="00E80BF4">
        <w:trPr>
          <w:trHeight w:val="480"/>
        </w:trPr>
        <w:tc>
          <w:tcPr>
            <w:tcW w:w="1435" w:type="dxa"/>
          </w:tcPr>
          <w:p w14:paraId="657F9D59" w14:textId="4D81A479" w:rsidR="00AB06BF" w:rsidRPr="00150BC9" w:rsidRDefault="00AB06BF" w:rsidP="00AB06BF">
            <w:pPr>
              <w:jc w:val="center"/>
              <w:rPr>
                <w:sz w:val="18"/>
                <w:szCs w:val="18"/>
              </w:rPr>
            </w:pPr>
            <w:r w:rsidRPr="00150BC9">
              <w:rPr>
                <w:sz w:val="18"/>
                <w:szCs w:val="18"/>
              </w:rPr>
              <w:t>12.27</w:t>
            </w:r>
          </w:p>
        </w:tc>
        <w:tc>
          <w:tcPr>
            <w:tcW w:w="1435" w:type="dxa"/>
            <w:shd w:val="clear" w:color="auto" w:fill="auto"/>
            <w:vAlign w:val="bottom"/>
            <w:hideMark/>
          </w:tcPr>
          <w:p w14:paraId="61EC77FE" w14:textId="39E37155" w:rsidR="00AB06BF" w:rsidRPr="00150BC9" w:rsidRDefault="00AB06BF" w:rsidP="00AB06BF">
            <w:pPr>
              <w:jc w:val="center"/>
              <w:rPr>
                <w:sz w:val="18"/>
                <w:szCs w:val="18"/>
              </w:rPr>
            </w:pPr>
            <w:r w:rsidRPr="00150BC9">
              <w:rPr>
                <w:sz w:val="18"/>
                <w:szCs w:val="18"/>
              </w:rPr>
              <w:t>438.340(c)(2)</w:t>
            </w:r>
          </w:p>
          <w:p w14:paraId="47C42DE1" w14:textId="77777777" w:rsidR="00AB06BF" w:rsidRPr="00150BC9" w:rsidRDefault="00AB06BF" w:rsidP="00AB06BF">
            <w:pPr>
              <w:jc w:val="center"/>
              <w:rPr>
                <w:sz w:val="18"/>
                <w:szCs w:val="18"/>
              </w:rPr>
            </w:pPr>
            <w:r w:rsidRPr="00150BC9">
              <w:rPr>
                <w:sz w:val="18"/>
                <w:szCs w:val="18"/>
              </w:rPr>
              <w:t>Revise QS PAHP/PCCM States</w:t>
            </w:r>
          </w:p>
        </w:tc>
        <w:tc>
          <w:tcPr>
            <w:tcW w:w="995" w:type="dxa"/>
            <w:shd w:val="clear" w:color="auto" w:fill="auto"/>
            <w:noWrap/>
            <w:vAlign w:val="center"/>
            <w:hideMark/>
          </w:tcPr>
          <w:p w14:paraId="4C20EC13" w14:textId="77777777" w:rsidR="00AB06BF" w:rsidRPr="00150BC9" w:rsidRDefault="00AB06BF" w:rsidP="00AB06BF">
            <w:pPr>
              <w:jc w:val="center"/>
              <w:rPr>
                <w:sz w:val="18"/>
                <w:szCs w:val="18"/>
              </w:rPr>
            </w:pPr>
            <w:r w:rsidRPr="00150BC9">
              <w:rPr>
                <w:sz w:val="18"/>
                <w:szCs w:val="18"/>
              </w:rPr>
              <w:t>5</w:t>
            </w:r>
          </w:p>
        </w:tc>
        <w:tc>
          <w:tcPr>
            <w:tcW w:w="1008" w:type="dxa"/>
            <w:shd w:val="clear" w:color="auto" w:fill="auto"/>
            <w:noWrap/>
            <w:vAlign w:val="center"/>
            <w:hideMark/>
          </w:tcPr>
          <w:p w14:paraId="260D7EDA" w14:textId="77777777" w:rsidR="00AB06BF" w:rsidRPr="00150BC9" w:rsidRDefault="00AB06BF" w:rsidP="00AB06BF">
            <w:pPr>
              <w:jc w:val="center"/>
              <w:rPr>
                <w:sz w:val="18"/>
                <w:szCs w:val="18"/>
              </w:rPr>
            </w:pPr>
            <w:r w:rsidRPr="00150BC9">
              <w:rPr>
                <w:sz w:val="18"/>
                <w:szCs w:val="18"/>
              </w:rPr>
              <w:t>5</w:t>
            </w:r>
          </w:p>
        </w:tc>
        <w:tc>
          <w:tcPr>
            <w:tcW w:w="967" w:type="dxa"/>
            <w:shd w:val="clear" w:color="auto" w:fill="auto"/>
            <w:noWrap/>
            <w:vAlign w:val="center"/>
            <w:hideMark/>
          </w:tcPr>
          <w:p w14:paraId="6EC844E3" w14:textId="650E15CA" w:rsidR="00AB06BF" w:rsidRPr="00150BC9" w:rsidRDefault="00AB06BF" w:rsidP="00AB06BF">
            <w:pPr>
              <w:jc w:val="center"/>
              <w:rPr>
                <w:sz w:val="18"/>
                <w:szCs w:val="18"/>
              </w:rPr>
            </w:pPr>
            <w:r w:rsidRPr="00150BC9">
              <w:rPr>
                <w:sz w:val="18"/>
                <w:szCs w:val="18"/>
              </w:rPr>
              <w:t>33</w:t>
            </w:r>
          </w:p>
        </w:tc>
        <w:tc>
          <w:tcPr>
            <w:tcW w:w="1013" w:type="dxa"/>
            <w:shd w:val="clear" w:color="auto" w:fill="auto"/>
            <w:noWrap/>
            <w:vAlign w:val="center"/>
            <w:hideMark/>
          </w:tcPr>
          <w:p w14:paraId="1407B48D" w14:textId="5D2561AC" w:rsidR="00AB06BF" w:rsidRPr="00150BC9" w:rsidRDefault="00AB06BF" w:rsidP="00AB06BF">
            <w:pPr>
              <w:jc w:val="center"/>
              <w:rPr>
                <w:sz w:val="18"/>
                <w:szCs w:val="18"/>
              </w:rPr>
            </w:pPr>
            <w:r w:rsidRPr="00150BC9">
              <w:rPr>
                <w:sz w:val="18"/>
                <w:szCs w:val="18"/>
              </w:rPr>
              <w:t>165</w:t>
            </w:r>
          </w:p>
        </w:tc>
        <w:tc>
          <w:tcPr>
            <w:tcW w:w="702" w:type="dxa"/>
            <w:shd w:val="clear" w:color="auto" w:fill="auto"/>
            <w:noWrap/>
            <w:vAlign w:val="center"/>
            <w:hideMark/>
          </w:tcPr>
          <w:p w14:paraId="06A630E9" w14:textId="6C4957C3" w:rsidR="00AB06BF" w:rsidRPr="00150BC9" w:rsidRDefault="00AB06BF" w:rsidP="00AB06BF">
            <w:pPr>
              <w:jc w:val="center"/>
              <w:rPr>
                <w:sz w:val="18"/>
                <w:szCs w:val="18"/>
              </w:rPr>
            </w:pPr>
            <w:r w:rsidRPr="00150BC9">
              <w:rPr>
                <w:sz w:val="18"/>
                <w:szCs w:val="18"/>
              </w:rPr>
              <w:t>varies</w:t>
            </w:r>
          </w:p>
        </w:tc>
        <w:tc>
          <w:tcPr>
            <w:tcW w:w="990" w:type="dxa"/>
            <w:shd w:val="clear" w:color="auto" w:fill="auto"/>
            <w:noWrap/>
            <w:vAlign w:val="center"/>
            <w:hideMark/>
          </w:tcPr>
          <w:p w14:paraId="30AF0A26" w14:textId="5DEF67DC" w:rsidR="00AB06BF" w:rsidRPr="00150BC9" w:rsidRDefault="00AB06BF" w:rsidP="00AB06BF">
            <w:pPr>
              <w:jc w:val="center"/>
              <w:rPr>
                <w:sz w:val="18"/>
                <w:szCs w:val="18"/>
              </w:rPr>
            </w:pPr>
            <w:r w:rsidRPr="00150BC9">
              <w:rPr>
                <w:sz w:val="18"/>
                <w:szCs w:val="18"/>
              </w:rPr>
              <w:t>2,043.42</w:t>
            </w:r>
          </w:p>
        </w:tc>
        <w:tc>
          <w:tcPr>
            <w:tcW w:w="1278" w:type="dxa"/>
            <w:shd w:val="clear" w:color="auto" w:fill="auto"/>
            <w:noWrap/>
            <w:vAlign w:val="center"/>
            <w:hideMark/>
          </w:tcPr>
          <w:p w14:paraId="462533CA" w14:textId="29B1F238" w:rsidR="00AB06BF" w:rsidRPr="00150BC9" w:rsidRDefault="00AB06BF" w:rsidP="00AB06BF">
            <w:pPr>
              <w:jc w:val="center"/>
              <w:rPr>
                <w:sz w:val="18"/>
                <w:szCs w:val="18"/>
              </w:rPr>
            </w:pPr>
            <w:r w:rsidRPr="00150BC9">
              <w:rPr>
                <w:sz w:val="18"/>
                <w:szCs w:val="18"/>
              </w:rPr>
              <w:t>10,217.10</w:t>
            </w:r>
          </w:p>
        </w:tc>
        <w:tc>
          <w:tcPr>
            <w:tcW w:w="810" w:type="dxa"/>
            <w:shd w:val="clear" w:color="auto" w:fill="auto"/>
            <w:noWrap/>
            <w:vAlign w:val="center"/>
            <w:hideMark/>
          </w:tcPr>
          <w:p w14:paraId="1C409A03" w14:textId="77777777" w:rsidR="00AB06BF" w:rsidRPr="00150BC9" w:rsidRDefault="00AB06BF" w:rsidP="00AB06BF">
            <w:pPr>
              <w:jc w:val="center"/>
              <w:rPr>
                <w:sz w:val="18"/>
                <w:szCs w:val="18"/>
              </w:rPr>
            </w:pPr>
            <w:r w:rsidRPr="00150BC9">
              <w:rPr>
                <w:sz w:val="18"/>
                <w:szCs w:val="18"/>
              </w:rPr>
              <w:t>annual</w:t>
            </w:r>
          </w:p>
        </w:tc>
        <w:tc>
          <w:tcPr>
            <w:tcW w:w="1147" w:type="dxa"/>
          </w:tcPr>
          <w:p w14:paraId="52CCFF4D" w14:textId="5AF23025" w:rsidR="00AB06BF" w:rsidRPr="00150BC9" w:rsidRDefault="00AB06BF" w:rsidP="00AB06BF">
            <w:pPr>
              <w:spacing w:before="240"/>
              <w:jc w:val="center"/>
              <w:rPr>
                <w:sz w:val="18"/>
                <w:szCs w:val="18"/>
              </w:rPr>
            </w:pPr>
            <w:r>
              <w:rPr>
                <w:sz w:val="18"/>
                <w:szCs w:val="18"/>
              </w:rPr>
              <w:t>R</w:t>
            </w:r>
          </w:p>
        </w:tc>
        <w:tc>
          <w:tcPr>
            <w:tcW w:w="1147" w:type="dxa"/>
            <w:shd w:val="clear" w:color="auto" w:fill="auto"/>
            <w:noWrap/>
            <w:vAlign w:val="center"/>
            <w:hideMark/>
          </w:tcPr>
          <w:p w14:paraId="75611F75" w14:textId="23CD0963" w:rsidR="00AB06BF" w:rsidRPr="00150BC9" w:rsidRDefault="00AB06BF" w:rsidP="00AB06BF">
            <w:pPr>
              <w:jc w:val="center"/>
              <w:rPr>
                <w:sz w:val="18"/>
                <w:szCs w:val="18"/>
              </w:rPr>
            </w:pPr>
            <w:r w:rsidRPr="00150BC9">
              <w:rPr>
                <w:sz w:val="18"/>
                <w:szCs w:val="18"/>
              </w:rPr>
              <w:t>55</w:t>
            </w:r>
          </w:p>
        </w:tc>
        <w:tc>
          <w:tcPr>
            <w:tcW w:w="1170" w:type="dxa"/>
            <w:shd w:val="clear" w:color="auto" w:fill="auto"/>
            <w:noWrap/>
            <w:vAlign w:val="center"/>
            <w:hideMark/>
          </w:tcPr>
          <w:p w14:paraId="2A00B874" w14:textId="3AA90AB0" w:rsidR="00AB06BF" w:rsidRPr="00150BC9" w:rsidRDefault="00AB06BF" w:rsidP="00AB06BF">
            <w:pPr>
              <w:jc w:val="center"/>
              <w:rPr>
                <w:sz w:val="18"/>
                <w:szCs w:val="18"/>
              </w:rPr>
            </w:pPr>
            <w:r w:rsidRPr="00150BC9">
              <w:rPr>
                <w:sz w:val="18"/>
                <w:szCs w:val="18"/>
              </w:rPr>
              <w:t>3,405.70</w:t>
            </w:r>
          </w:p>
        </w:tc>
      </w:tr>
      <w:tr w:rsidR="00AB06BF" w:rsidRPr="00B95712" w14:paraId="57997883" w14:textId="77777777" w:rsidTr="00E80BF4">
        <w:trPr>
          <w:trHeight w:val="480"/>
        </w:trPr>
        <w:tc>
          <w:tcPr>
            <w:tcW w:w="1435" w:type="dxa"/>
          </w:tcPr>
          <w:p w14:paraId="5004AAC3" w14:textId="64AAA340" w:rsidR="00AB06BF" w:rsidRPr="00B95712" w:rsidRDefault="00AB06BF" w:rsidP="00AB06BF">
            <w:pPr>
              <w:jc w:val="center"/>
              <w:rPr>
                <w:sz w:val="18"/>
                <w:szCs w:val="18"/>
              </w:rPr>
            </w:pPr>
            <w:r w:rsidRPr="00B95712">
              <w:rPr>
                <w:sz w:val="18"/>
                <w:szCs w:val="18"/>
              </w:rPr>
              <w:t>12.28</w:t>
            </w:r>
          </w:p>
        </w:tc>
        <w:tc>
          <w:tcPr>
            <w:tcW w:w="1435" w:type="dxa"/>
            <w:shd w:val="clear" w:color="auto" w:fill="auto"/>
            <w:vAlign w:val="bottom"/>
            <w:hideMark/>
          </w:tcPr>
          <w:p w14:paraId="5D2E7906" w14:textId="7C2C7154" w:rsidR="00AB06BF" w:rsidRPr="00B95712" w:rsidRDefault="00AB06BF" w:rsidP="00AB06BF">
            <w:pPr>
              <w:jc w:val="center"/>
              <w:rPr>
                <w:sz w:val="18"/>
                <w:szCs w:val="18"/>
              </w:rPr>
            </w:pPr>
            <w:r w:rsidRPr="00B95712">
              <w:rPr>
                <w:sz w:val="18"/>
                <w:szCs w:val="18"/>
              </w:rPr>
              <w:t>438.340(c)(2)</w:t>
            </w:r>
          </w:p>
          <w:p w14:paraId="5AE5C38E" w14:textId="77777777" w:rsidR="00AB06BF" w:rsidRPr="00B95712" w:rsidRDefault="00AB06BF" w:rsidP="00AB06BF">
            <w:pPr>
              <w:jc w:val="center"/>
              <w:rPr>
                <w:sz w:val="18"/>
                <w:szCs w:val="18"/>
              </w:rPr>
            </w:pPr>
            <w:r w:rsidRPr="00B95712">
              <w:rPr>
                <w:sz w:val="18"/>
                <w:szCs w:val="18"/>
              </w:rPr>
              <w:t>QS Effectiveness Evaluation</w:t>
            </w:r>
          </w:p>
        </w:tc>
        <w:tc>
          <w:tcPr>
            <w:tcW w:w="995" w:type="dxa"/>
            <w:shd w:val="clear" w:color="auto" w:fill="auto"/>
            <w:noWrap/>
            <w:vAlign w:val="center"/>
            <w:hideMark/>
          </w:tcPr>
          <w:p w14:paraId="3B8BF966" w14:textId="77777777" w:rsidR="00AB06BF" w:rsidRPr="00B95712" w:rsidRDefault="00AB06BF" w:rsidP="00AB06BF">
            <w:pPr>
              <w:jc w:val="center"/>
              <w:rPr>
                <w:sz w:val="18"/>
                <w:szCs w:val="18"/>
              </w:rPr>
            </w:pPr>
            <w:r w:rsidRPr="00B95712">
              <w:rPr>
                <w:sz w:val="18"/>
                <w:szCs w:val="18"/>
              </w:rPr>
              <w:t>42</w:t>
            </w:r>
          </w:p>
        </w:tc>
        <w:tc>
          <w:tcPr>
            <w:tcW w:w="1008" w:type="dxa"/>
            <w:shd w:val="clear" w:color="auto" w:fill="auto"/>
            <w:noWrap/>
            <w:vAlign w:val="center"/>
            <w:hideMark/>
          </w:tcPr>
          <w:p w14:paraId="03EB9D98" w14:textId="77777777" w:rsidR="00AB06BF" w:rsidRPr="00B95712" w:rsidRDefault="00AB06BF" w:rsidP="00AB06BF">
            <w:pPr>
              <w:jc w:val="center"/>
              <w:rPr>
                <w:sz w:val="18"/>
                <w:szCs w:val="18"/>
              </w:rPr>
            </w:pPr>
            <w:r w:rsidRPr="00B95712">
              <w:rPr>
                <w:sz w:val="18"/>
                <w:szCs w:val="18"/>
              </w:rPr>
              <w:t>42</w:t>
            </w:r>
          </w:p>
        </w:tc>
        <w:tc>
          <w:tcPr>
            <w:tcW w:w="967" w:type="dxa"/>
            <w:shd w:val="clear" w:color="auto" w:fill="auto"/>
            <w:noWrap/>
            <w:vAlign w:val="center"/>
            <w:hideMark/>
          </w:tcPr>
          <w:p w14:paraId="0109740A" w14:textId="77777777" w:rsidR="00AB06BF" w:rsidRPr="00B95712" w:rsidRDefault="00AB06BF" w:rsidP="00AB06BF">
            <w:pPr>
              <w:jc w:val="center"/>
              <w:rPr>
                <w:sz w:val="18"/>
                <w:szCs w:val="18"/>
              </w:rPr>
            </w:pPr>
            <w:r w:rsidRPr="00B95712">
              <w:rPr>
                <w:sz w:val="18"/>
                <w:szCs w:val="18"/>
              </w:rPr>
              <w:t>40</w:t>
            </w:r>
          </w:p>
        </w:tc>
        <w:tc>
          <w:tcPr>
            <w:tcW w:w="1013" w:type="dxa"/>
            <w:shd w:val="clear" w:color="auto" w:fill="auto"/>
            <w:noWrap/>
            <w:vAlign w:val="center"/>
            <w:hideMark/>
          </w:tcPr>
          <w:p w14:paraId="62B5505D" w14:textId="2D2343F8" w:rsidR="00AB06BF" w:rsidRPr="00B95712" w:rsidRDefault="00AB06BF" w:rsidP="00AB06BF">
            <w:pPr>
              <w:jc w:val="center"/>
              <w:rPr>
                <w:sz w:val="18"/>
                <w:szCs w:val="18"/>
              </w:rPr>
            </w:pPr>
            <w:r w:rsidRPr="00B95712">
              <w:rPr>
                <w:sz w:val="18"/>
                <w:szCs w:val="18"/>
              </w:rPr>
              <w:t>1,680</w:t>
            </w:r>
          </w:p>
        </w:tc>
        <w:tc>
          <w:tcPr>
            <w:tcW w:w="702" w:type="dxa"/>
            <w:shd w:val="clear" w:color="auto" w:fill="auto"/>
            <w:noWrap/>
            <w:vAlign w:val="center"/>
            <w:hideMark/>
          </w:tcPr>
          <w:p w14:paraId="60D8EA7C" w14:textId="77777777" w:rsidR="00AB06BF" w:rsidRPr="00B95712" w:rsidRDefault="00AB06BF" w:rsidP="00AB06BF">
            <w:pPr>
              <w:jc w:val="center"/>
              <w:rPr>
                <w:sz w:val="18"/>
                <w:szCs w:val="18"/>
              </w:rPr>
            </w:pPr>
            <w:r w:rsidRPr="00B95712">
              <w:rPr>
                <w:sz w:val="18"/>
                <w:szCs w:val="18"/>
              </w:rPr>
              <w:t>64.46</w:t>
            </w:r>
          </w:p>
        </w:tc>
        <w:tc>
          <w:tcPr>
            <w:tcW w:w="990" w:type="dxa"/>
            <w:shd w:val="clear" w:color="auto" w:fill="auto"/>
            <w:noWrap/>
            <w:vAlign w:val="center"/>
            <w:hideMark/>
          </w:tcPr>
          <w:p w14:paraId="7CA86F29" w14:textId="77777777" w:rsidR="00AB06BF" w:rsidRPr="00B95712" w:rsidRDefault="00AB06BF" w:rsidP="00AB06BF">
            <w:pPr>
              <w:jc w:val="center"/>
              <w:rPr>
                <w:sz w:val="18"/>
                <w:szCs w:val="18"/>
              </w:rPr>
            </w:pPr>
            <w:r w:rsidRPr="00B95712">
              <w:rPr>
                <w:sz w:val="18"/>
                <w:szCs w:val="18"/>
              </w:rPr>
              <w:t>2,578.40</w:t>
            </w:r>
          </w:p>
        </w:tc>
        <w:tc>
          <w:tcPr>
            <w:tcW w:w="1278" w:type="dxa"/>
            <w:shd w:val="clear" w:color="auto" w:fill="auto"/>
            <w:noWrap/>
            <w:vAlign w:val="center"/>
            <w:hideMark/>
          </w:tcPr>
          <w:p w14:paraId="64BD691C" w14:textId="77777777" w:rsidR="00AB06BF" w:rsidRPr="00B95712" w:rsidRDefault="00AB06BF" w:rsidP="00AB06BF">
            <w:pPr>
              <w:jc w:val="center"/>
              <w:rPr>
                <w:sz w:val="18"/>
                <w:szCs w:val="18"/>
              </w:rPr>
            </w:pPr>
            <w:r w:rsidRPr="00B95712">
              <w:rPr>
                <w:sz w:val="18"/>
                <w:szCs w:val="18"/>
              </w:rPr>
              <w:t>108,292.80</w:t>
            </w:r>
          </w:p>
        </w:tc>
        <w:tc>
          <w:tcPr>
            <w:tcW w:w="810" w:type="dxa"/>
            <w:shd w:val="clear" w:color="auto" w:fill="auto"/>
            <w:noWrap/>
            <w:vAlign w:val="center"/>
            <w:hideMark/>
          </w:tcPr>
          <w:p w14:paraId="517642B1" w14:textId="77777777" w:rsidR="00AB06BF" w:rsidRPr="00B95712" w:rsidRDefault="00AB06BF" w:rsidP="00AB06BF">
            <w:pPr>
              <w:jc w:val="center"/>
              <w:rPr>
                <w:sz w:val="18"/>
                <w:szCs w:val="18"/>
              </w:rPr>
            </w:pPr>
            <w:r w:rsidRPr="00B95712">
              <w:rPr>
                <w:sz w:val="18"/>
                <w:szCs w:val="18"/>
              </w:rPr>
              <w:t>annual</w:t>
            </w:r>
          </w:p>
        </w:tc>
        <w:tc>
          <w:tcPr>
            <w:tcW w:w="1147" w:type="dxa"/>
          </w:tcPr>
          <w:p w14:paraId="5D8E85B4" w14:textId="182DD91B" w:rsidR="00AB06BF" w:rsidRPr="00B95712" w:rsidRDefault="00AB06BF" w:rsidP="00AB06BF">
            <w:pPr>
              <w:spacing w:before="240"/>
              <w:jc w:val="center"/>
              <w:rPr>
                <w:sz w:val="18"/>
                <w:szCs w:val="18"/>
              </w:rPr>
            </w:pPr>
            <w:r>
              <w:rPr>
                <w:sz w:val="18"/>
                <w:szCs w:val="18"/>
              </w:rPr>
              <w:t>R</w:t>
            </w:r>
          </w:p>
        </w:tc>
        <w:tc>
          <w:tcPr>
            <w:tcW w:w="1147" w:type="dxa"/>
            <w:shd w:val="clear" w:color="auto" w:fill="auto"/>
            <w:noWrap/>
            <w:vAlign w:val="center"/>
            <w:hideMark/>
          </w:tcPr>
          <w:p w14:paraId="40E9733E" w14:textId="2031F192" w:rsidR="00AB06BF" w:rsidRPr="00B95712" w:rsidRDefault="00AB06BF" w:rsidP="00AB06BF">
            <w:pPr>
              <w:jc w:val="center"/>
              <w:rPr>
                <w:sz w:val="18"/>
                <w:szCs w:val="18"/>
              </w:rPr>
            </w:pPr>
            <w:r w:rsidRPr="00B95712">
              <w:rPr>
                <w:sz w:val="18"/>
                <w:szCs w:val="18"/>
              </w:rPr>
              <w:t>560</w:t>
            </w:r>
          </w:p>
        </w:tc>
        <w:tc>
          <w:tcPr>
            <w:tcW w:w="1170" w:type="dxa"/>
            <w:shd w:val="clear" w:color="auto" w:fill="auto"/>
            <w:noWrap/>
            <w:vAlign w:val="center"/>
            <w:hideMark/>
          </w:tcPr>
          <w:p w14:paraId="56F6DD6D" w14:textId="43CAEFA8" w:rsidR="00AB06BF" w:rsidRPr="00B95712" w:rsidRDefault="00AB06BF" w:rsidP="00AB06BF">
            <w:pPr>
              <w:jc w:val="center"/>
              <w:rPr>
                <w:sz w:val="18"/>
                <w:szCs w:val="18"/>
              </w:rPr>
            </w:pPr>
            <w:r w:rsidRPr="00B95712">
              <w:rPr>
                <w:sz w:val="18"/>
                <w:szCs w:val="18"/>
              </w:rPr>
              <w:t>36,097.60</w:t>
            </w:r>
          </w:p>
        </w:tc>
      </w:tr>
      <w:tr w:rsidR="00AB06BF" w:rsidRPr="002A5884" w14:paraId="4FF4AB42" w14:textId="77777777" w:rsidTr="00E80BF4">
        <w:trPr>
          <w:trHeight w:val="480"/>
        </w:trPr>
        <w:tc>
          <w:tcPr>
            <w:tcW w:w="1435" w:type="dxa"/>
          </w:tcPr>
          <w:p w14:paraId="575864CE" w14:textId="2263BCDC" w:rsidR="00AB06BF" w:rsidRPr="00CB52C2" w:rsidRDefault="00AB06BF" w:rsidP="00AB06BF">
            <w:pPr>
              <w:jc w:val="center"/>
              <w:rPr>
                <w:sz w:val="18"/>
                <w:szCs w:val="18"/>
              </w:rPr>
            </w:pPr>
            <w:r>
              <w:rPr>
                <w:sz w:val="18"/>
                <w:szCs w:val="18"/>
              </w:rPr>
              <w:t>12.30</w:t>
            </w:r>
          </w:p>
        </w:tc>
        <w:tc>
          <w:tcPr>
            <w:tcW w:w="1435" w:type="dxa"/>
            <w:shd w:val="clear" w:color="auto" w:fill="auto"/>
            <w:vAlign w:val="bottom"/>
            <w:hideMark/>
          </w:tcPr>
          <w:p w14:paraId="1171BC4A" w14:textId="3B200B25" w:rsidR="00AB06BF" w:rsidRPr="00CB52C2" w:rsidRDefault="00AB06BF" w:rsidP="00AB06BF">
            <w:pPr>
              <w:jc w:val="center"/>
              <w:rPr>
                <w:sz w:val="18"/>
                <w:szCs w:val="18"/>
              </w:rPr>
            </w:pPr>
            <w:r w:rsidRPr="00CB52C2">
              <w:rPr>
                <w:sz w:val="18"/>
                <w:szCs w:val="18"/>
              </w:rPr>
              <w:t>438.340(c)(3)</w:t>
            </w:r>
          </w:p>
          <w:p w14:paraId="53512FFC" w14:textId="77777777" w:rsidR="00AB06BF" w:rsidRPr="00CB52C2" w:rsidRDefault="00AB06BF" w:rsidP="00AB06BF">
            <w:pPr>
              <w:jc w:val="center"/>
              <w:rPr>
                <w:sz w:val="18"/>
                <w:szCs w:val="18"/>
              </w:rPr>
            </w:pPr>
            <w:r w:rsidRPr="00CB52C2">
              <w:rPr>
                <w:sz w:val="18"/>
                <w:szCs w:val="18"/>
              </w:rPr>
              <w:t>Revise Policies PAHP/PCCM States</w:t>
            </w:r>
          </w:p>
        </w:tc>
        <w:tc>
          <w:tcPr>
            <w:tcW w:w="995" w:type="dxa"/>
            <w:shd w:val="clear" w:color="auto" w:fill="auto"/>
            <w:noWrap/>
            <w:vAlign w:val="center"/>
            <w:hideMark/>
          </w:tcPr>
          <w:p w14:paraId="6CAAACDD" w14:textId="77777777" w:rsidR="00AB06BF" w:rsidRPr="00CB52C2" w:rsidRDefault="00AB06BF" w:rsidP="00AB06BF">
            <w:pPr>
              <w:jc w:val="center"/>
              <w:rPr>
                <w:sz w:val="18"/>
                <w:szCs w:val="18"/>
              </w:rPr>
            </w:pPr>
            <w:r w:rsidRPr="00CB52C2">
              <w:rPr>
                <w:sz w:val="18"/>
                <w:szCs w:val="18"/>
              </w:rPr>
              <w:t>5</w:t>
            </w:r>
          </w:p>
        </w:tc>
        <w:tc>
          <w:tcPr>
            <w:tcW w:w="1008" w:type="dxa"/>
            <w:shd w:val="clear" w:color="auto" w:fill="auto"/>
            <w:noWrap/>
            <w:vAlign w:val="center"/>
            <w:hideMark/>
          </w:tcPr>
          <w:p w14:paraId="6AB67DB6" w14:textId="77777777" w:rsidR="00AB06BF" w:rsidRPr="00CB52C2" w:rsidRDefault="00AB06BF" w:rsidP="00AB06BF">
            <w:pPr>
              <w:jc w:val="center"/>
              <w:rPr>
                <w:sz w:val="18"/>
                <w:szCs w:val="18"/>
              </w:rPr>
            </w:pPr>
            <w:r w:rsidRPr="00CB52C2">
              <w:rPr>
                <w:sz w:val="18"/>
                <w:szCs w:val="18"/>
              </w:rPr>
              <w:t>5</w:t>
            </w:r>
          </w:p>
        </w:tc>
        <w:tc>
          <w:tcPr>
            <w:tcW w:w="967" w:type="dxa"/>
            <w:shd w:val="clear" w:color="auto" w:fill="auto"/>
            <w:noWrap/>
            <w:vAlign w:val="center"/>
            <w:hideMark/>
          </w:tcPr>
          <w:p w14:paraId="7601B0D1" w14:textId="77777777" w:rsidR="00AB06BF" w:rsidRPr="00CB52C2" w:rsidRDefault="00AB06BF" w:rsidP="00AB06BF">
            <w:pPr>
              <w:jc w:val="center"/>
              <w:rPr>
                <w:sz w:val="18"/>
                <w:szCs w:val="18"/>
              </w:rPr>
            </w:pPr>
            <w:r w:rsidRPr="00CB52C2">
              <w:rPr>
                <w:sz w:val="18"/>
                <w:szCs w:val="18"/>
              </w:rPr>
              <w:t>0.5</w:t>
            </w:r>
          </w:p>
        </w:tc>
        <w:tc>
          <w:tcPr>
            <w:tcW w:w="1013" w:type="dxa"/>
            <w:shd w:val="clear" w:color="auto" w:fill="auto"/>
            <w:noWrap/>
            <w:vAlign w:val="center"/>
            <w:hideMark/>
          </w:tcPr>
          <w:p w14:paraId="39E92BE0" w14:textId="77777777" w:rsidR="00AB06BF" w:rsidRPr="00CB52C2" w:rsidRDefault="00AB06BF" w:rsidP="00AB06BF">
            <w:pPr>
              <w:jc w:val="center"/>
              <w:rPr>
                <w:sz w:val="18"/>
                <w:szCs w:val="18"/>
              </w:rPr>
            </w:pPr>
            <w:r w:rsidRPr="00CB52C2">
              <w:rPr>
                <w:sz w:val="18"/>
                <w:szCs w:val="18"/>
              </w:rPr>
              <w:t>2.5</w:t>
            </w:r>
          </w:p>
        </w:tc>
        <w:tc>
          <w:tcPr>
            <w:tcW w:w="702" w:type="dxa"/>
            <w:shd w:val="clear" w:color="auto" w:fill="auto"/>
            <w:noWrap/>
            <w:vAlign w:val="center"/>
            <w:hideMark/>
          </w:tcPr>
          <w:p w14:paraId="41450438" w14:textId="77777777" w:rsidR="00AB06BF" w:rsidRPr="00CB52C2" w:rsidRDefault="00AB06BF" w:rsidP="00AB06BF">
            <w:pPr>
              <w:jc w:val="center"/>
              <w:rPr>
                <w:sz w:val="18"/>
                <w:szCs w:val="18"/>
              </w:rPr>
            </w:pPr>
            <w:r w:rsidRPr="00CB52C2">
              <w:rPr>
                <w:sz w:val="18"/>
                <w:szCs w:val="18"/>
              </w:rPr>
              <w:t>64.46</w:t>
            </w:r>
          </w:p>
        </w:tc>
        <w:tc>
          <w:tcPr>
            <w:tcW w:w="990" w:type="dxa"/>
            <w:shd w:val="clear" w:color="auto" w:fill="auto"/>
            <w:noWrap/>
            <w:vAlign w:val="center"/>
            <w:hideMark/>
          </w:tcPr>
          <w:p w14:paraId="0FBFBC00" w14:textId="77777777" w:rsidR="00AB06BF" w:rsidRPr="00CB52C2" w:rsidRDefault="00AB06BF" w:rsidP="00AB06BF">
            <w:pPr>
              <w:jc w:val="center"/>
              <w:rPr>
                <w:sz w:val="18"/>
                <w:szCs w:val="18"/>
              </w:rPr>
            </w:pPr>
            <w:r w:rsidRPr="00CB52C2">
              <w:rPr>
                <w:sz w:val="18"/>
                <w:szCs w:val="18"/>
              </w:rPr>
              <w:t>32.23</w:t>
            </w:r>
          </w:p>
        </w:tc>
        <w:tc>
          <w:tcPr>
            <w:tcW w:w="1278" w:type="dxa"/>
            <w:shd w:val="clear" w:color="auto" w:fill="auto"/>
            <w:noWrap/>
            <w:vAlign w:val="center"/>
            <w:hideMark/>
          </w:tcPr>
          <w:p w14:paraId="499C15CE" w14:textId="77777777" w:rsidR="00AB06BF" w:rsidRPr="00CB52C2" w:rsidRDefault="00AB06BF" w:rsidP="00AB06BF">
            <w:pPr>
              <w:jc w:val="center"/>
              <w:rPr>
                <w:sz w:val="18"/>
                <w:szCs w:val="18"/>
              </w:rPr>
            </w:pPr>
            <w:r w:rsidRPr="00CB52C2">
              <w:rPr>
                <w:sz w:val="18"/>
                <w:szCs w:val="18"/>
              </w:rPr>
              <w:t>161.15</w:t>
            </w:r>
          </w:p>
        </w:tc>
        <w:tc>
          <w:tcPr>
            <w:tcW w:w="810" w:type="dxa"/>
            <w:shd w:val="clear" w:color="auto" w:fill="auto"/>
            <w:noWrap/>
            <w:vAlign w:val="center"/>
            <w:hideMark/>
          </w:tcPr>
          <w:p w14:paraId="03FD5675" w14:textId="77777777" w:rsidR="00AB06BF" w:rsidRPr="00CB52C2" w:rsidRDefault="00AB06BF" w:rsidP="00AB06BF">
            <w:pPr>
              <w:jc w:val="center"/>
              <w:rPr>
                <w:sz w:val="18"/>
                <w:szCs w:val="18"/>
              </w:rPr>
            </w:pPr>
            <w:r w:rsidRPr="00CB52C2">
              <w:rPr>
                <w:sz w:val="18"/>
                <w:szCs w:val="18"/>
              </w:rPr>
              <w:t>once</w:t>
            </w:r>
          </w:p>
        </w:tc>
        <w:tc>
          <w:tcPr>
            <w:tcW w:w="1147" w:type="dxa"/>
          </w:tcPr>
          <w:p w14:paraId="581621F3" w14:textId="290642D5" w:rsidR="00AB06BF" w:rsidRPr="00CB52C2" w:rsidRDefault="00AB06BF" w:rsidP="00AB06BF">
            <w:pPr>
              <w:spacing w:before="240"/>
              <w:jc w:val="center"/>
              <w:rPr>
                <w:sz w:val="18"/>
                <w:szCs w:val="18"/>
              </w:rPr>
            </w:pPr>
            <w:r>
              <w:rPr>
                <w:sz w:val="18"/>
                <w:szCs w:val="18"/>
              </w:rPr>
              <w:t>R</w:t>
            </w:r>
          </w:p>
        </w:tc>
        <w:tc>
          <w:tcPr>
            <w:tcW w:w="1147" w:type="dxa"/>
            <w:shd w:val="clear" w:color="auto" w:fill="auto"/>
            <w:noWrap/>
            <w:vAlign w:val="center"/>
            <w:hideMark/>
          </w:tcPr>
          <w:p w14:paraId="28EA7915" w14:textId="1B0CE0BB" w:rsidR="00AB06BF" w:rsidRPr="00CB52C2" w:rsidRDefault="00AB06BF" w:rsidP="00AB06BF">
            <w:pPr>
              <w:jc w:val="center"/>
              <w:rPr>
                <w:sz w:val="18"/>
                <w:szCs w:val="18"/>
              </w:rPr>
            </w:pPr>
            <w:r w:rsidRPr="00CB52C2">
              <w:rPr>
                <w:sz w:val="18"/>
                <w:szCs w:val="18"/>
              </w:rPr>
              <w:t>0.8</w:t>
            </w:r>
          </w:p>
        </w:tc>
        <w:tc>
          <w:tcPr>
            <w:tcW w:w="1170" w:type="dxa"/>
            <w:shd w:val="clear" w:color="auto" w:fill="auto"/>
            <w:noWrap/>
            <w:vAlign w:val="center"/>
            <w:hideMark/>
          </w:tcPr>
          <w:p w14:paraId="4633E568" w14:textId="77777777" w:rsidR="00AB06BF" w:rsidRPr="00CB52C2" w:rsidRDefault="00AB06BF" w:rsidP="00AB06BF">
            <w:pPr>
              <w:jc w:val="center"/>
              <w:rPr>
                <w:sz w:val="18"/>
                <w:szCs w:val="18"/>
              </w:rPr>
            </w:pPr>
            <w:r w:rsidRPr="00CB52C2">
              <w:rPr>
                <w:sz w:val="18"/>
                <w:szCs w:val="18"/>
              </w:rPr>
              <w:t>53.72</w:t>
            </w:r>
          </w:p>
        </w:tc>
      </w:tr>
      <w:tr w:rsidR="00AB06BF" w:rsidRPr="00AB06BF" w14:paraId="0C4ADFB5" w14:textId="77777777" w:rsidTr="00AB06BF">
        <w:trPr>
          <w:trHeight w:val="290"/>
        </w:trPr>
        <w:tc>
          <w:tcPr>
            <w:tcW w:w="1435" w:type="dxa"/>
            <w:shd w:val="clear" w:color="auto" w:fill="D9D9D9" w:themeFill="background1" w:themeFillShade="D9"/>
          </w:tcPr>
          <w:p w14:paraId="1B3D0911" w14:textId="77777777" w:rsidR="00AB06BF" w:rsidRPr="00AB06BF" w:rsidRDefault="00AB06BF" w:rsidP="00AB06BF">
            <w:pPr>
              <w:jc w:val="center"/>
              <w:rPr>
                <w:i/>
                <w:sz w:val="18"/>
                <w:szCs w:val="18"/>
              </w:rPr>
            </w:pPr>
          </w:p>
        </w:tc>
        <w:tc>
          <w:tcPr>
            <w:tcW w:w="1435" w:type="dxa"/>
            <w:shd w:val="clear" w:color="auto" w:fill="D9D9D9" w:themeFill="background1" w:themeFillShade="D9"/>
            <w:vAlign w:val="center"/>
          </w:tcPr>
          <w:p w14:paraId="41B34026" w14:textId="612AD05A" w:rsidR="00AB06BF" w:rsidRPr="00AB06BF" w:rsidRDefault="00390596" w:rsidP="00AB06BF">
            <w:pPr>
              <w:jc w:val="center"/>
              <w:rPr>
                <w:i/>
                <w:sz w:val="18"/>
                <w:szCs w:val="18"/>
              </w:rPr>
            </w:pPr>
            <w:r>
              <w:rPr>
                <w:i/>
                <w:color w:val="000000"/>
                <w:sz w:val="18"/>
                <w:szCs w:val="18"/>
              </w:rPr>
              <w:t>SUBTOTAL: Reporting</w:t>
            </w:r>
          </w:p>
        </w:tc>
        <w:tc>
          <w:tcPr>
            <w:tcW w:w="995" w:type="dxa"/>
            <w:shd w:val="clear" w:color="auto" w:fill="D9D9D9" w:themeFill="background1" w:themeFillShade="D9"/>
            <w:noWrap/>
            <w:vAlign w:val="center"/>
          </w:tcPr>
          <w:p w14:paraId="14B0C25B" w14:textId="7D01B60A" w:rsidR="00AB06BF" w:rsidRPr="00AB06BF" w:rsidRDefault="001C3456" w:rsidP="00AB06BF">
            <w:pPr>
              <w:jc w:val="center"/>
              <w:rPr>
                <w:i/>
                <w:sz w:val="18"/>
                <w:szCs w:val="18"/>
              </w:rPr>
            </w:pPr>
            <w:r>
              <w:rPr>
                <w:i/>
                <w:sz w:val="18"/>
                <w:szCs w:val="18"/>
              </w:rPr>
              <w:t>42</w:t>
            </w:r>
          </w:p>
        </w:tc>
        <w:tc>
          <w:tcPr>
            <w:tcW w:w="1008" w:type="dxa"/>
            <w:shd w:val="clear" w:color="auto" w:fill="D9D9D9" w:themeFill="background1" w:themeFillShade="D9"/>
            <w:noWrap/>
            <w:vAlign w:val="center"/>
          </w:tcPr>
          <w:p w14:paraId="5C1CDAA6" w14:textId="46AB32F9" w:rsidR="00AB06BF" w:rsidRPr="00AB06BF" w:rsidRDefault="001C3456" w:rsidP="00AB06BF">
            <w:pPr>
              <w:jc w:val="center"/>
              <w:rPr>
                <w:i/>
                <w:sz w:val="18"/>
                <w:szCs w:val="18"/>
              </w:rPr>
            </w:pPr>
            <w:r>
              <w:rPr>
                <w:i/>
                <w:sz w:val="18"/>
                <w:szCs w:val="18"/>
              </w:rPr>
              <w:t>2,086</w:t>
            </w:r>
          </w:p>
        </w:tc>
        <w:tc>
          <w:tcPr>
            <w:tcW w:w="967" w:type="dxa"/>
            <w:shd w:val="clear" w:color="auto" w:fill="D9D9D9" w:themeFill="background1" w:themeFillShade="D9"/>
            <w:noWrap/>
            <w:vAlign w:val="center"/>
          </w:tcPr>
          <w:p w14:paraId="59FCF7FB" w14:textId="0FFD9A5E" w:rsidR="00AB06BF" w:rsidRPr="00AB06BF" w:rsidRDefault="00705B7F" w:rsidP="00AB06BF">
            <w:pPr>
              <w:jc w:val="center"/>
              <w:rPr>
                <w:i/>
                <w:sz w:val="18"/>
                <w:szCs w:val="18"/>
              </w:rPr>
            </w:pPr>
            <w:r>
              <w:rPr>
                <w:i/>
                <w:sz w:val="18"/>
                <w:szCs w:val="18"/>
              </w:rPr>
              <w:t>Varies</w:t>
            </w:r>
          </w:p>
        </w:tc>
        <w:tc>
          <w:tcPr>
            <w:tcW w:w="1013" w:type="dxa"/>
            <w:shd w:val="clear" w:color="auto" w:fill="D9D9D9" w:themeFill="background1" w:themeFillShade="D9"/>
            <w:noWrap/>
            <w:vAlign w:val="center"/>
          </w:tcPr>
          <w:p w14:paraId="58C244AE" w14:textId="73310C41" w:rsidR="00AB06BF" w:rsidRPr="00AB06BF" w:rsidRDefault="00957EC5" w:rsidP="00AB06BF">
            <w:pPr>
              <w:jc w:val="center"/>
              <w:rPr>
                <w:i/>
                <w:sz w:val="18"/>
                <w:szCs w:val="18"/>
              </w:rPr>
            </w:pPr>
            <w:r>
              <w:rPr>
                <w:i/>
                <w:sz w:val="18"/>
                <w:szCs w:val="18"/>
              </w:rPr>
              <w:t>50,317</w:t>
            </w:r>
          </w:p>
        </w:tc>
        <w:tc>
          <w:tcPr>
            <w:tcW w:w="702" w:type="dxa"/>
            <w:shd w:val="clear" w:color="auto" w:fill="D9D9D9" w:themeFill="background1" w:themeFillShade="D9"/>
            <w:noWrap/>
            <w:vAlign w:val="center"/>
          </w:tcPr>
          <w:p w14:paraId="2FD1A1A7" w14:textId="2AC7F929" w:rsidR="00AB06BF" w:rsidRPr="00AB06BF" w:rsidRDefault="00705B7F" w:rsidP="00AB06BF">
            <w:pPr>
              <w:jc w:val="center"/>
              <w:rPr>
                <w:i/>
                <w:sz w:val="18"/>
                <w:szCs w:val="18"/>
              </w:rPr>
            </w:pPr>
            <w:r>
              <w:rPr>
                <w:i/>
                <w:sz w:val="18"/>
                <w:szCs w:val="18"/>
              </w:rPr>
              <w:t>Varies</w:t>
            </w:r>
          </w:p>
        </w:tc>
        <w:tc>
          <w:tcPr>
            <w:tcW w:w="990" w:type="dxa"/>
            <w:shd w:val="clear" w:color="auto" w:fill="D9D9D9" w:themeFill="background1" w:themeFillShade="D9"/>
            <w:noWrap/>
            <w:vAlign w:val="center"/>
          </w:tcPr>
          <w:p w14:paraId="1833405D" w14:textId="6D87DC7F" w:rsidR="00AB06BF" w:rsidRPr="00AB06BF" w:rsidRDefault="00957EC5" w:rsidP="00AB06BF">
            <w:pPr>
              <w:jc w:val="center"/>
              <w:rPr>
                <w:i/>
                <w:sz w:val="18"/>
                <w:szCs w:val="18"/>
              </w:rPr>
            </w:pPr>
            <w:r>
              <w:rPr>
                <w:i/>
                <w:sz w:val="18"/>
                <w:szCs w:val="18"/>
              </w:rPr>
              <w:t>120,417.46</w:t>
            </w:r>
          </w:p>
        </w:tc>
        <w:tc>
          <w:tcPr>
            <w:tcW w:w="1278" w:type="dxa"/>
            <w:shd w:val="clear" w:color="auto" w:fill="D9D9D9" w:themeFill="background1" w:themeFillShade="D9"/>
            <w:noWrap/>
            <w:vAlign w:val="center"/>
          </w:tcPr>
          <w:p w14:paraId="0138E836" w14:textId="368273C6" w:rsidR="00AB06BF" w:rsidRPr="00AB06BF" w:rsidRDefault="00957EC5" w:rsidP="00AB06BF">
            <w:pPr>
              <w:jc w:val="center"/>
              <w:rPr>
                <w:i/>
                <w:sz w:val="18"/>
                <w:szCs w:val="18"/>
              </w:rPr>
            </w:pPr>
            <w:r>
              <w:rPr>
                <w:i/>
                <w:sz w:val="18"/>
                <w:szCs w:val="18"/>
              </w:rPr>
              <w:t>3,387,119.34</w:t>
            </w:r>
          </w:p>
        </w:tc>
        <w:tc>
          <w:tcPr>
            <w:tcW w:w="810" w:type="dxa"/>
            <w:shd w:val="clear" w:color="auto" w:fill="D9D9D9" w:themeFill="background1" w:themeFillShade="D9"/>
            <w:noWrap/>
            <w:vAlign w:val="center"/>
          </w:tcPr>
          <w:p w14:paraId="7F310A79" w14:textId="46F663B4" w:rsidR="00AB06BF" w:rsidRPr="00AB06BF" w:rsidRDefault="00705B7F" w:rsidP="00AB06BF">
            <w:pPr>
              <w:jc w:val="center"/>
              <w:rPr>
                <w:i/>
                <w:sz w:val="18"/>
                <w:szCs w:val="18"/>
              </w:rPr>
            </w:pPr>
            <w:r>
              <w:rPr>
                <w:i/>
                <w:sz w:val="18"/>
                <w:szCs w:val="18"/>
              </w:rPr>
              <w:t>n/a</w:t>
            </w:r>
          </w:p>
        </w:tc>
        <w:tc>
          <w:tcPr>
            <w:tcW w:w="1147" w:type="dxa"/>
            <w:shd w:val="clear" w:color="auto" w:fill="D9D9D9" w:themeFill="background1" w:themeFillShade="D9"/>
          </w:tcPr>
          <w:p w14:paraId="1BD834A3" w14:textId="4395053A" w:rsidR="00AB06BF" w:rsidRPr="00AB06BF" w:rsidRDefault="00705B7F" w:rsidP="00AB06BF">
            <w:pPr>
              <w:jc w:val="center"/>
              <w:rPr>
                <w:i/>
                <w:sz w:val="18"/>
                <w:szCs w:val="18"/>
              </w:rPr>
            </w:pPr>
            <w:r>
              <w:rPr>
                <w:i/>
                <w:sz w:val="18"/>
                <w:szCs w:val="18"/>
              </w:rPr>
              <w:t>R</w:t>
            </w:r>
          </w:p>
        </w:tc>
        <w:tc>
          <w:tcPr>
            <w:tcW w:w="1147" w:type="dxa"/>
            <w:shd w:val="clear" w:color="auto" w:fill="D9D9D9" w:themeFill="background1" w:themeFillShade="D9"/>
            <w:noWrap/>
            <w:vAlign w:val="center"/>
          </w:tcPr>
          <w:p w14:paraId="176BC044" w14:textId="309FBF65" w:rsidR="00AB06BF" w:rsidRPr="00AB06BF" w:rsidRDefault="00957EC5" w:rsidP="00AB06BF">
            <w:pPr>
              <w:jc w:val="center"/>
              <w:rPr>
                <w:i/>
                <w:sz w:val="18"/>
                <w:szCs w:val="18"/>
              </w:rPr>
            </w:pPr>
            <w:r>
              <w:rPr>
                <w:i/>
                <w:sz w:val="18"/>
                <w:szCs w:val="18"/>
              </w:rPr>
              <w:t>32,161.70</w:t>
            </w:r>
          </w:p>
        </w:tc>
        <w:tc>
          <w:tcPr>
            <w:tcW w:w="1170" w:type="dxa"/>
            <w:shd w:val="clear" w:color="auto" w:fill="D9D9D9" w:themeFill="background1" w:themeFillShade="D9"/>
            <w:noWrap/>
            <w:vAlign w:val="center"/>
          </w:tcPr>
          <w:p w14:paraId="1BBBBCE8" w14:textId="7B2729FE" w:rsidR="00AB06BF" w:rsidRPr="00AB06BF" w:rsidRDefault="00957EC5" w:rsidP="00AB06BF">
            <w:pPr>
              <w:jc w:val="center"/>
              <w:rPr>
                <w:i/>
                <w:sz w:val="18"/>
                <w:szCs w:val="18"/>
              </w:rPr>
            </w:pPr>
            <w:r>
              <w:rPr>
                <w:i/>
                <w:sz w:val="18"/>
                <w:szCs w:val="18"/>
              </w:rPr>
              <w:t>2,157,797.74</w:t>
            </w:r>
          </w:p>
        </w:tc>
      </w:tr>
      <w:tr w:rsidR="00AB06BF" w:rsidRPr="00AB06BF" w14:paraId="54F0A5AB" w14:textId="77777777" w:rsidTr="00AB06BF">
        <w:trPr>
          <w:trHeight w:val="290"/>
        </w:trPr>
        <w:tc>
          <w:tcPr>
            <w:tcW w:w="1435" w:type="dxa"/>
            <w:shd w:val="clear" w:color="auto" w:fill="D9D9D9" w:themeFill="background1" w:themeFillShade="D9"/>
          </w:tcPr>
          <w:p w14:paraId="1DE1ACBC" w14:textId="77777777" w:rsidR="00AB06BF" w:rsidRPr="00AB06BF" w:rsidRDefault="00AB06BF" w:rsidP="00AB06BF">
            <w:pPr>
              <w:jc w:val="center"/>
              <w:rPr>
                <w:b/>
                <w:sz w:val="18"/>
                <w:szCs w:val="18"/>
              </w:rPr>
            </w:pPr>
          </w:p>
        </w:tc>
        <w:tc>
          <w:tcPr>
            <w:tcW w:w="1435" w:type="dxa"/>
            <w:shd w:val="clear" w:color="auto" w:fill="D9D9D9" w:themeFill="background1" w:themeFillShade="D9"/>
            <w:vAlign w:val="center"/>
          </w:tcPr>
          <w:p w14:paraId="75AC643D" w14:textId="1DE2A4B8" w:rsidR="00AB06BF" w:rsidRPr="00AB06BF" w:rsidRDefault="00AB06BF" w:rsidP="00AB06BF">
            <w:pPr>
              <w:jc w:val="center"/>
              <w:rPr>
                <w:b/>
                <w:sz w:val="18"/>
                <w:szCs w:val="18"/>
              </w:rPr>
            </w:pPr>
            <w:r w:rsidRPr="00AB06BF">
              <w:rPr>
                <w:b/>
                <w:color w:val="000000"/>
                <w:sz w:val="18"/>
                <w:szCs w:val="18"/>
              </w:rPr>
              <w:t>TOTAL</w:t>
            </w:r>
          </w:p>
        </w:tc>
        <w:tc>
          <w:tcPr>
            <w:tcW w:w="995" w:type="dxa"/>
            <w:shd w:val="clear" w:color="auto" w:fill="D9D9D9" w:themeFill="background1" w:themeFillShade="D9"/>
            <w:noWrap/>
            <w:vAlign w:val="center"/>
          </w:tcPr>
          <w:p w14:paraId="718E5DFC" w14:textId="45B18795" w:rsidR="00AB06BF" w:rsidRPr="00AB06BF" w:rsidRDefault="001C3456" w:rsidP="00AB06BF">
            <w:pPr>
              <w:jc w:val="center"/>
              <w:rPr>
                <w:b/>
                <w:sz w:val="18"/>
                <w:szCs w:val="18"/>
              </w:rPr>
            </w:pPr>
            <w:r>
              <w:rPr>
                <w:b/>
                <w:sz w:val="18"/>
                <w:szCs w:val="18"/>
              </w:rPr>
              <w:t>42</w:t>
            </w:r>
          </w:p>
        </w:tc>
        <w:tc>
          <w:tcPr>
            <w:tcW w:w="1008" w:type="dxa"/>
            <w:shd w:val="clear" w:color="auto" w:fill="D9D9D9" w:themeFill="background1" w:themeFillShade="D9"/>
            <w:noWrap/>
            <w:vAlign w:val="center"/>
          </w:tcPr>
          <w:p w14:paraId="7DB8870D" w14:textId="04DFDA7A" w:rsidR="00AB06BF" w:rsidRPr="00AB06BF" w:rsidRDefault="00237BCF" w:rsidP="00AB06BF">
            <w:pPr>
              <w:jc w:val="center"/>
              <w:rPr>
                <w:b/>
                <w:sz w:val="18"/>
                <w:szCs w:val="18"/>
              </w:rPr>
            </w:pPr>
            <w:r>
              <w:rPr>
                <w:b/>
                <w:sz w:val="18"/>
                <w:szCs w:val="18"/>
              </w:rPr>
              <w:t>2,767</w:t>
            </w:r>
          </w:p>
        </w:tc>
        <w:tc>
          <w:tcPr>
            <w:tcW w:w="967" w:type="dxa"/>
            <w:shd w:val="clear" w:color="auto" w:fill="D9D9D9" w:themeFill="background1" w:themeFillShade="D9"/>
            <w:noWrap/>
            <w:vAlign w:val="center"/>
          </w:tcPr>
          <w:p w14:paraId="2B21FD54" w14:textId="3D5E2C01" w:rsidR="00AB06BF" w:rsidRPr="00AB06BF" w:rsidRDefault="00705B7F" w:rsidP="00AB06BF">
            <w:pPr>
              <w:jc w:val="center"/>
              <w:rPr>
                <w:b/>
                <w:sz w:val="18"/>
                <w:szCs w:val="18"/>
              </w:rPr>
            </w:pPr>
            <w:r>
              <w:rPr>
                <w:b/>
                <w:sz w:val="18"/>
                <w:szCs w:val="18"/>
              </w:rPr>
              <w:t>Varies</w:t>
            </w:r>
          </w:p>
        </w:tc>
        <w:tc>
          <w:tcPr>
            <w:tcW w:w="1013" w:type="dxa"/>
            <w:shd w:val="clear" w:color="auto" w:fill="D9D9D9" w:themeFill="background1" w:themeFillShade="D9"/>
            <w:noWrap/>
            <w:vAlign w:val="center"/>
          </w:tcPr>
          <w:p w14:paraId="52003FE1" w14:textId="4B60086C" w:rsidR="00AB06BF" w:rsidRPr="00AB06BF" w:rsidRDefault="00237BCF" w:rsidP="00AB06BF">
            <w:pPr>
              <w:jc w:val="center"/>
              <w:rPr>
                <w:b/>
                <w:sz w:val="18"/>
                <w:szCs w:val="18"/>
              </w:rPr>
            </w:pPr>
            <w:r>
              <w:rPr>
                <w:b/>
                <w:sz w:val="18"/>
                <w:szCs w:val="18"/>
              </w:rPr>
              <w:t>55,686</w:t>
            </w:r>
          </w:p>
        </w:tc>
        <w:tc>
          <w:tcPr>
            <w:tcW w:w="702" w:type="dxa"/>
            <w:shd w:val="clear" w:color="auto" w:fill="D9D9D9" w:themeFill="background1" w:themeFillShade="D9"/>
            <w:noWrap/>
            <w:vAlign w:val="center"/>
          </w:tcPr>
          <w:p w14:paraId="6E9F75B3" w14:textId="54AE7395" w:rsidR="00AB06BF" w:rsidRPr="00AB06BF" w:rsidRDefault="00705B7F" w:rsidP="00AB06BF">
            <w:pPr>
              <w:jc w:val="center"/>
              <w:rPr>
                <w:b/>
                <w:sz w:val="18"/>
                <w:szCs w:val="18"/>
              </w:rPr>
            </w:pPr>
            <w:r>
              <w:rPr>
                <w:b/>
                <w:sz w:val="18"/>
                <w:szCs w:val="18"/>
              </w:rPr>
              <w:t>varies</w:t>
            </w:r>
          </w:p>
        </w:tc>
        <w:tc>
          <w:tcPr>
            <w:tcW w:w="990" w:type="dxa"/>
            <w:shd w:val="clear" w:color="auto" w:fill="D9D9D9" w:themeFill="background1" w:themeFillShade="D9"/>
            <w:noWrap/>
            <w:vAlign w:val="center"/>
          </w:tcPr>
          <w:p w14:paraId="7673417F" w14:textId="0C641810" w:rsidR="00AB06BF" w:rsidRPr="00AB06BF" w:rsidRDefault="003753A4" w:rsidP="00AB06BF">
            <w:pPr>
              <w:jc w:val="center"/>
              <w:rPr>
                <w:b/>
                <w:sz w:val="18"/>
                <w:szCs w:val="18"/>
              </w:rPr>
            </w:pPr>
            <w:r>
              <w:rPr>
                <w:b/>
                <w:sz w:val="18"/>
                <w:szCs w:val="18"/>
              </w:rPr>
              <w:t>127,160</w:t>
            </w:r>
          </w:p>
        </w:tc>
        <w:tc>
          <w:tcPr>
            <w:tcW w:w="1278" w:type="dxa"/>
            <w:shd w:val="clear" w:color="auto" w:fill="D9D9D9" w:themeFill="background1" w:themeFillShade="D9"/>
            <w:noWrap/>
            <w:vAlign w:val="center"/>
          </w:tcPr>
          <w:p w14:paraId="3EA48D83" w14:textId="5A566CF4" w:rsidR="00AB06BF" w:rsidRPr="00AB06BF" w:rsidRDefault="003753A4" w:rsidP="00AB06BF">
            <w:pPr>
              <w:jc w:val="center"/>
              <w:rPr>
                <w:b/>
                <w:sz w:val="18"/>
                <w:szCs w:val="18"/>
              </w:rPr>
            </w:pPr>
            <w:r>
              <w:rPr>
                <w:b/>
                <w:sz w:val="18"/>
                <w:szCs w:val="18"/>
              </w:rPr>
              <w:t>366,0613</w:t>
            </w:r>
          </w:p>
        </w:tc>
        <w:tc>
          <w:tcPr>
            <w:tcW w:w="810" w:type="dxa"/>
            <w:shd w:val="clear" w:color="auto" w:fill="D9D9D9" w:themeFill="background1" w:themeFillShade="D9"/>
            <w:noWrap/>
            <w:vAlign w:val="center"/>
          </w:tcPr>
          <w:p w14:paraId="49D5B57A" w14:textId="755BBDDD" w:rsidR="00AB06BF" w:rsidRPr="00AB06BF" w:rsidRDefault="00705B7F" w:rsidP="00AB06BF">
            <w:pPr>
              <w:jc w:val="center"/>
              <w:rPr>
                <w:b/>
                <w:sz w:val="18"/>
                <w:szCs w:val="18"/>
              </w:rPr>
            </w:pPr>
            <w:r>
              <w:rPr>
                <w:b/>
                <w:sz w:val="18"/>
                <w:szCs w:val="18"/>
              </w:rPr>
              <w:t>n/a</w:t>
            </w:r>
          </w:p>
        </w:tc>
        <w:tc>
          <w:tcPr>
            <w:tcW w:w="1147" w:type="dxa"/>
            <w:shd w:val="clear" w:color="auto" w:fill="D9D9D9" w:themeFill="background1" w:themeFillShade="D9"/>
          </w:tcPr>
          <w:p w14:paraId="269FEFD3" w14:textId="5B8FC071" w:rsidR="00AB06BF" w:rsidRPr="00AB06BF" w:rsidRDefault="00705B7F" w:rsidP="00AB06BF">
            <w:pPr>
              <w:jc w:val="center"/>
              <w:rPr>
                <w:b/>
                <w:sz w:val="18"/>
                <w:szCs w:val="18"/>
              </w:rPr>
            </w:pPr>
            <w:r>
              <w:rPr>
                <w:b/>
                <w:sz w:val="18"/>
                <w:szCs w:val="18"/>
              </w:rPr>
              <w:t>n/a</w:t>
            </w:r>
          </w:p>
        </w:tc>
        <w:tc>
          <w:tcPr>
            <w:tcW w:w="1147" w:type="dxa"/>
            <w:shd w:val="clear" w:color="auto" w:fill="D9D9D9" w:themeFill="background1" w:themeFillShade="D9"/>
            <w:noWrap/>
            <w:vAlign w:val="center"/>
          </w:tcPr>
          <w:p w14:paraId="60C037B5" w14:textId="409EBF48" w:rsidR="00AB06BF" w:rsidRPr="00AB06BF" w:rsidRDefault="003753A4" w:rsidP="00AB06BF">
            <w:pPr>
              <w:jc w:val="center"/>
              <w:rPr>
                <w:b/>
                <w:sz w:val="18"/>
                <w:szCs w:val="18"/>
              </w:rPr>
            </w:pPr>
            <w:r>
              <w:rPr>
                <w:b/>
                <w:sz w:val="18"/>
                <w:szCs w:val="18"/>
              </w:rPr>
              <w:t>37,418</w:t>
            </w:r>
          </w:p>
        </w:tc>
        <w:tc>
          <w:tcPr>
            <w:tcW w:w="1170" w:type="dxa"/>
            <w:shd w:val="clear" w:color="auto" w:fill="D9D9D9" w:themeFill="background1" w:themeFillShade="D9"/>
            <w:noWrap/>
            <w:vAlign w:val="center"/>
          </w:tcPr>
          <w:p w14:paraId="49261496" w14:textId="5DAC2D40" w:rsidR="00AB06BF" w:rsidRPr="00AB06BF" w:rsidRDefault="003753A4" w:rsidP="00AB06BF">
            <w:pPr>
              <w:jc w:val="center"/>
              <w:rPr>
                <w:b/>
                <w:sz w:val="18"/>
                <w:szCs w:val="18"/>
              </w:rPr>
            </w:pPr>
            <w:r>
              <w:rPr>
                <w:b/>
                <w:sz w:val="18"/>
                <w:szCs w:val="18"/>
              </w:rPr>
              <w:t>2,424,029</w:t>
            </w:r>
          </w:p>
        </w:tc>
      </w:tr>
    </w:tbl>
    <w:p w14:paraId="3B64196A" w14:textId="77777777" w:rsidR="00C7549D" w:rsidRDefault="00C7549D" w:rsidP="000A366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5B64220" w14:textId="1C211C32" w:rsidR="00FF0DE0" w:rsidRDefault="00FF0DE0" w:rsidP="00FF0DE0">
      <w:pPr>
        <w:rPr>
          <w:b/>
          <w:bCs/>
          <w:color w:val="000000"/>
          <w:sz w:val="24"/>
        </w:rPr>
      </w:pPr>
      <w:r w:rsidRPr="003109A2">
        <w:rPr>
          <w:b/>
          <w:bCs/>
          <w:color w:val="000000"/>
          <w:sz w:val="24"/>
        </w:rPr>
        <w:t>Summary of Annual Burden Estimates</w:t>
      </w:r>
      <w:r>
        <w:rPr>
          <w:b/>
          <w:bCs/>
          <w:color w:val="000000"/>
          <w:sz w:val="24"/>
        </w:rPr>
        <w:t>: Private Sector</w:t>
      </w:r>
    </w:p>
    <w:p w14:paraId="4C13B797" w14:textId="40F7B287" w:rsidR="00FF0DE0" w:rsidRPr="00E971B7" w:rsidRDefault="00FF0DE0" w:rsidP="00FF0DE0">
      <w:pPr>
        <w:tabs>
          <w:tab w:val="left" w:pos="0"/>
        </w:tabs>
        <w:suppressAutoHyphens/>
        <w:ind w:left="720" w:hanging="720"/>
        <w:rPr>
          <w:i/>
          <w:iCs/>
          <w:color w:val="000000"/>
          <w:sz w:val="24"/>
        </w:rPr>
      </w:pPr>
      <w:r>
        <w:rPr>
          <w:i/>
          <w:iCs/>
          <w:color w:val="000000"/>
          <w:sz w:val="24"/>
        </w:rPr>
        <w:t xml:space="preserve">Response Type: </w:t>
      </w:r>
      <w:r w:rsidRPr="00E971B7">
        <w:rPr>
          <w:i/>
          <w:iCs/>
          <w:color w:val="000000"/>
          <w:sz w:val="24"/>
        </w:rPr>
        <w:t>R=reporting; TPD=third</w:t>
      </w:r>
      <w:r>
        <w:rPr>
          <w:i/>
          <w:iCs/>
          <w:color w:val="000000"/>
          <w:sz w:val="24"/>
        </w:rPr>
        <w:t>-</w:t>
      </w:r>
      <w:r w:rsidRPr="00E971B7">
        <w:rPr>
          <w:i/>
          <w:iCs/>
          <w:color w:val="000000"/>
          <w:sz w:val="24"/>
        </w:rPr>
        <w:t>party dis</w:t>
      </w:r>
      <w:r>
        <w:rPr>
          <w:i/>
          <w:iCs/>
          <w:color w:val="000000"/>
          <w:sz w:val="24"/>
        </w:rPr>
        <w:t>closure</w:t>
      </w:r>
    </w:p>
    <w:tbl>
      <w:tblPr>
        <w:tblW w:w="1409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35"/>
        <w:gridCol w:w="995"/>
        <w:gridCol w:w="1008"/>
        <w:gridCol w:w="967"/>
        <w:gridCol w:w="1013"/>
        <w:gridCol w:w="702"/>
        <w:gridCol w:w="990"/>
        <w:gridCol w:w="1278"/>
        <w:gridCol w:w="810"/>
        <w:gridCol w:w="1147"/>
        <w:gridCol w:w="1147"/>
        <w:gridCol w:w="1170"/>
      </w:tblGrid>
      <w:tr w:rsidR="00FF0DE0" w:rsidRPr="00D376CB" w14:paraId="77B0F854" w14:textId="77777777" w:rsidTr="002F38F5">
        <w:trPr>
          <w:trHeight w:val="690"/>
          <w:tblHeader/>
        </w:trPr>
        <w:tc>
          <w:tcPr>
            <w:tcW w:w="1435" w:type="dxa"/>
          </w:tcPr>
          <w:p w14:paraId="2B770043" w14:textId="77777777" w:rsidR="00FF0DE0" w:rsidRDefault="00FF0DE0" w:rsidP="002F38F5">
            <w:pPr>
              <w:jc w:val="center"/>
              <w:rPr>
                <w:b/>
                <w:bCs/>
                <w:color w:val="000000"/>
                <w:sz w:val="18"/>
                <w:szCs w:val="18"/>
              </w:rPr>
            </w:pPr>
          </w:p>
          <w:p w14:paraId="0F51CD1B" w14:textId="77777777" w:rsidR="00FF0DE0" w:rsidRPr="00D376CB" w:rsidRDefault="00FF0DE0" w:rsidP="002F38F5">
            <w:pPr>
              <w:jc w:val="center"/>
              <w:rPr>
                <w:b/>
                <w:bCs/>
                <w:color w:val="000000"/>
                <w:sz w:val="18"/>
                <w:szCs w:val="18"/>
              </w:rPr>
            </w:pPr>
            <w:r>
              <w:rPr>
                <w:b/>
                <w:bCs/>
                <w:color w:val="000000"/>
                <w:sz w:val="18"/>
                <w:szCs w:val="18"/>
              </w:rPr>
              <w:t>Estimate #</w:t>
            </w:r>
          </w:p>
        </w:tc>
        <w:tc>
          <w:tcPr>
            <w:tcW w:w="1435" w:type="dxa"/>
            <w:shd w:val="clear" w:color="auto" w:fill="auto"/>
            <w:vAlign w:val="center"/>
            <w:hideMark/>
          </w:tcPr>
          <w:p w14:paraId="50363237" w14:textId="77777777" w:rsidR="00FF0DE0" w:rsidRPr="00D376CB" w:rsidRDefault="00FF0DE0" w:rsidP="002F38F5">
            <w:pPr>
              <w:jc w:val="center"/>
              <w:rPr>
                <w:b/>
                <w:bCs/>
                <w:color w:val="000000"/>
                <w:sz w:val="18"/>
                <w:szCs w:val="18"/>
              </w:rPr>
            </w:pPr>
            <w:r w:rsidRPr="00D376CB">
              <w:rPr>
                <w:b/>
                <w:bCs/>
                <w:color w:val="000000"/>
                <w:sz w:val="18"/>
                <w:szCs w:val="18"/>
              </w:rPr>
              <w:t>CFR Section</w:t>
            </w:r>
          </w:p>
        </w:tc>
        <w:tc>
          <w:tcPr>
            <w:tcW w:w="995" w:type="dxa"/>
            <w:shd w:val="clear" w:color="auto" w:fill="auto"/>
            <w:vAlign w:val="center"/>
            <w:hideMark/>
          </w:tcPr>
          <w:p w14:paraId="4A3144AB" w14:textId="77777777" w:rsidR="00FF0DE0" w:rsidRPr="00D376CB" w:rsidRDefault="00FF0DE0" w:rsidP="002F38F5">
            <w:pPr>
              <w:jc w:val="center"/>
              <w:rPr>
                <w:b/>
                <w:bCs/>
                <w:color w:val="000000"/>
                <w:sz w:val="18"/>
                <w:szCs w:val="18"/>
              </w:rPr>
            </w:pPr>
            <w:r w:rsidRPr="00D376CB">
              <w:rPr>
                <w:b/>
                <w:bCs/>
                <w:color w:val="000000"/>
                <w:sz w:val="18"/>
                <w:szCs w:val="18"/>
              </w:rPr>
              <w:t># Respon-dents</w:t>
            </w:r>
          </w:p>
        </w:tc>
        <w:tc>
          <w:tcPr>
            <w:tcW w:w="1008" w:type="dxa"/>
            <w:shd w:val="clear" w:color="auto" w:fill="auto"/>
            <w:vAlign w:val="center"/>
            <w:hideMark/>
          </w:tcPr>
          <w:p w14:paraId="5F24220C" w14:textId="77777777" w:rsidR="00FF0DE0" w:rsidRPr="00D376CB" w:rsidRDefault="00FF0DE0" w:rsidP="002F38F5">
            <w:pPr>
              <w:jc w:val="center"/>
              <w:rPr>
                <w:b/>
                <w:bCs/>
                <w:color w:val="000000"/>
                <w:sz w:val="18"/>
                <w:szCs w:val="18"/>
              </w:rPr>
            </w:pPr>
            <w:r w:rsidRPr="00D376CB">
              <w:rPr>
                <w:b/>
                <w:bCs/>
                <w:color w:val="000000"/>
                <w:sz w:val="18"/>
                <w:szCs w:val="18"/>
              </w:rPr>
              <w:t># responses</w:t>
            </w:r>
          </w:p>
        </w:tc>
        <w:tc>
          <w:tcPr>
            <w:tcW w:w="967" w:type="dxa"/>
            <w:shd w:val="clear" w:color="auto" w:fill="auto"/>
            <w:vAlign w:val="center"/>
            <w:hideMark/>
          </w:tcPr>
          <w:p w14:paraId="083AFC9B" w14:textId="77777777" w:rsidR="00FF0DE0" w:rsidRPr="00D376CB" w:rsidRDefault="00FF0DE0" w:rsidP="002F38F5">
            <w:pPr>
              <w:jc w:val="center"/>
              <w:rPr>
                <w:b/>
                <w:bCs/>
                <w:color w:val="000000"/>
                <w:sz w:val="18"/>
                <w:szCs w:val="18"/>
              </w:rPr>
            </w:pPr>
            <w:r w:rsidRPr="00D376CB">
              <w:rPr>
                <w:b/>
                <w:bCs/>
                <w:color w:val="000000"/>
                <w:sz w:val="18"/>
                <w:szCs w:val="18"/>
              </w:rPr>
              <w:t>Burden per response (hours)</w:t>
            </w:r>
          </w:p>
        </w:tc>
        <w:tc>
          <w:tcPr>
            <w:tcW w:w="1013" w:type="dxa"/>
            <w:shd w:val="clear" w:color="auto" w:fill="auto"/>
            <w:vAlign w:val="center"/>
            <w:hideMark/>
          </w:tcPr>
          <w:p w14:paraId="59F97C68" w14:textId="77777777" w:rsidR="00FF0DE0" w:rsidRPr="00D376CB" w:rsidRDefault="00FF0DE0" w:rsidP="002F38F5">
            <w:pPr>
              <w:jc w:val="center"/>
              <w:rPr>
                <w:b/>
                <w:bCs/>
                <w:color w:val="000000"/>
                <w:sz w:val="18"/>
                <w:szCs w:val="18"/>
              </w:rPr>
            </w:pPr>
            <w:r w:rsidRPr="00D376CB">
              <w:rPr>
                <w:b/>
                <w:bCs/>
                <w:color w:val="000000"/>
                <w:sz w:val="18"/>
                <w:szCs w:val="18"/>
              </w:rPr>
              <w:t>Total Annual Hours</w:t>
            </w:r>
          </w:p>
        </w:tc>
        <w:tc>
          <w:tcPr>
            <w:tcW w:w="702" w:type="dxa"/>
            <w:shd w:val="clear" w:color="auto" w:fill="auto"/>
            <w:vAlign w:val="center"/>
            <w:hideMark/>
          </w:tcPr>
          <w:p w14:paraId="5326812A" w14:textId="77777777" w:rsidR="00FF0DE0" w:rsidRPr="00D376CB" w:rsidRDefault="00FF0DE0" w:rsidP="002F38F5">
            <w:pPr>
              <w:jc w:val="center"/>
              <w:rPr>
                <w:b/>
                <w:bCs/>
                <w:color w:val="000000"/>
                <w:sz w:val="18"/>
                <w:szCs w:val="18"/>
              </w:rPr>
            </w:pPr>
            <w:r w:rsidRPr="00D376CB">
              <w:rPr>
                <w:b/>
                <w:bCs/>
                <w:color w:val="000000"/>
                <w:sz w:val="18"/>
                <w:szCs w:val="18"/>
              </w:rPr>
              <w:t>Labor Rate ($/hr)</w:t>
            </w:r>
          </w:p>
        </w:tc>
        <w:tc>
          <w:tcPr>
            <w:tcW w:w="990" w:type="dxa"/>
            <w:shd w:val="clear" w:color="auto" w:fill="auto"/>
            <w:vAlign w:val="center"/>
            <w:hideMark/>
          </w:tcPr>
          <w:p w14:paraId="07360ADE" w14:textId="77777777" w:rsidR="00FF0DE0" w:rsidRPr="00D376CB" w:rsidRDefault="00FF0DE0" w:rsidP="002F38F5">
            <w:pPr>
              <w:jc w:val="center"/>
              <w:rPr>
                <w:b/>
                <w:bCs/>
                <w:color w:val="000000"/>
                <w:sz w:val="18"/>
                <w:szCs w:val="18"/>
              </w:rPr>
            </w:pPr>
            <w:r w:rsidRPr="00D376CB">
              <w:rPr>
                <w:b/>
                <w:bCs/>
                <w:color w:val="000000"/>
                <w:sz w:val="18"/>
                <w:szCs w:val="18"/>
              </w:rPr>
              <w:t>Cost ($) per Response</w:t>
            </w:r>
          </w:p>
        </w:tc>
        <w:tc>
          <w:tcPr>
            <w:tcW w:w="1278" w:type="dxa"/>
            <w:shd w:val="clear" w:color="auto" w:fill="auto"/>
            <w:vAlign w:val="center"/>
            <w:hideMark/>
          </w:tcPr>
          <w:p w14:paraId="3F4B9BA0" w14:textId="77777777" w:rsidR="00FF0DE0" w:rsidRPr="00D376CB" w:rsidRDefault="00FF0DE0" w:rsidP="002F38F5">
            <w:pPr>
              <w:jc w:val="center"/>
              <w:rPr>
                <w:b/>
                <w:bCs/>
                <w:color w:val="000000"/>
                <w:sz w:val="18"/>
                <w:szCs w:val="18"/>
              </w:rPr>
            </w:pPr>
            <w:r w:rsidRPr="00D376CB">
              <w:rPr>
                <w:b/>
                <w:bCs/>
                <w:color w:val="000000"/>
                <w:sz w:val="18"/>
                <w:szCs w:val="18"/>
              </w:rPr>
              <w:t>Total cost ($)</w:t>
            </w:r>
          </w:p>
        </w:tc>
        <w:tc>
          <w:tcPr>
            <w:tcW w:w="810" w:type="dxa"/>
            <w:shd w:val="clear" w:color="auto" w:fill="auto"/>
            <w:vAlign w:val="center"/>
            <w:hideMark/>
          </w:tcPr>
          <w:p w14:paraId="529E0CB6" w14:textId="77777777" w:rsidR="00FF0DE0" w:rsidRPr="00D376CB" w:rsidRDefault="00FF0DE0" w:rsidP="002F38F5">
            <w:pPr>
              <w:jc w:val="center"/>
              <w:rPr>
                <w:b/>
                <w:bCs/>
                <w:color w:val="000000"/>
                <w:sz w:val="18"/>
                <w:szCs w:val="18"/>
              </w:rPr>
            </w:pPr>
            <w:r w:rsidRPr="00D376CB">
              <w:rPr>
                <w:b/>
                <w:bCs/>
                <w:color w:val="000000"/>
                <w:sz w:val="18"/>
                <w:szCs w:val="18"/>
              </w:rPr>
              <w:t>Fre-quency</w:t>
            </w:r>
          </w:p>
        </w:tc>
        <w:tc>
          <w:tcPr>
            <w:tcW w:w="1147" w:type="dxa"/>
          </w:tcPr>
          <w:p w14:paraId="145A75D1" w14:textId="77777777" w:rsidR="00FF0DE0" w:rsidRDefault="00FF0DE0" w:rsidP="002F38F5">
            <w:pPr>
              <w:jc w:val="center"/>
              <w:rPr>
                <w:b/>
                <w:bCs/>
                <w:color w:val="000000"/>
                <w:sz w:val="18"/>
                <w:szCs w:val="18"/>
              </w:rPr>
            </w:pPr>
          </w:p>
          <w:p w14:paraId="6D668247" w14:textId="77777777" w:rsidR="00FF0DE0" w:rsidRPr="00D376CB" w:rsidRDefault="00FF0DE0" w:rsidP="002F38F5">
            <w:pPr>
              <w:jc w:val="center"/>
              <w:rPr>
                <w:b/>
                <w:bCs/>
                <w:color w:val="000000"/>
                <w:sz w:val="18"/>
                <w:szCs w:val="18"/>
              </w:rPr>
            </w:pPr>
            <w:r>
              <w:rPr>
                <w:b/>
                <w:bCs/>
                <w:color w:val="000000"/>
                <w:sz w:val="18"/>
                <w:szCs w:val="18"/>
              </w:rPr>
              <w:t>Response Type</w:t>
            </w:r>
          </w:p>
        </w:tc>
        <w:tc>
          <w:tcPr>
            <w:tcW w:w="1147" w:type="dxa"/>
            <w:shd w:val="clear" w:color="auto" w:fill="auto"/>
            <w:vAlign w:val="center"/>
            <w:hideMark/>
          </w:tcPr>
          <w:p w14:paraId="10A0D635" w14:textId="77777777" w:rsidR="00FF0DE0" w:rsidRPr="00D376CB" w:rsidRDefault="00FF0DE0" w:rsidP="002F38F5">
            <w:pPr>
              <w:jc w:val="center"/>
              <w:rPr>
                <w:b/>
                <w:bCs/>
                <w:color w:val="000000"/>
                <w:sz w:val="18"/>
                <w:szCs w:val="18"/>
              </w:rPr>
            </w:pPr>
            <w:r w:rsidRPr="00D376CB">
              <w:rPr>
                <w:b/>
                <w:bCs/>
                <w:color w:val="000000"/>
                <w:sz w:val="18"/>
                <w:szCs w:val="18"/>
              </w:rPr>
              <w:t>Annualized hours*</w:t>
            </w:r>
          </w:p>
        </w:tc>
        <w:tc>
          <w:tcPr>
            <w:tcW w:w="1170" w:type="dxa"/>
            <w:shd w:val="clear" w:color="auto" w:fill="auto"/>
            <w:vAlign w:val="center"/>
            <w:hideMark/>
          </w:tcPr>
          <w:p w14:paraId="05465ED6" w14:textId="77777777" w:rsidR="00FF0DE0" w:rsidRPr="00D376CB" w:rsidRDefault="00FF0DE0" w:rsidP="002F38F5">
            <w:pPr>
              <w:jc w:val="center"/>
              <w:rPr>
                <w:b/>
                <w:bCs/>
                <w:color w:val="000000"/>
                <w:sz w:val="18"/>
                <w:szCs w:val="18"/>
              </w:rPr>
            </w:pPr>
            <w:r w:rsidRPr="00D376CB">
              <w:rPr>
                <w:b/>
                <w:bCs/>
                <w:color w:val="000000"/>
                <w:sz w:val="18"/>
                <w:szCs w:val="18"/>
              </w:rPr>
              <w:t>Annualized costs ($)</w:t>
            </w:r>
          </w:p>
        </w:tc>
      </w:tr>
      <w:tr w:rsidR="00FF0DE0" w:rsidRPr="00D376CB" w14:paraId="15B0449E" w14:textId="77777777" w:rsidTr="002F38F5">
        <w:trPr>
          <w:trHeight w:val="480"/>
        </w:trPr>
        <w:tc>
          <w:tcPr>
            <w:tcW w:w="1435" w:type="dxa"/>
          </w:tcPr>
          <w:p w14:paraId="3FA95635" w14:textId="77777777" w:rsidR="00FF0DE0" w:rsidRPr="00D376CB" w:rsidRDefault="00FF0DE0" w:rsidP="002F38F5">
            <w:pPr>
              <w:jc w:val="center"/>
              <w:rPr>
                <w:sz w:val="18"/>
                <w:szCs w:val="18"/>
              </w:rPr>
            </w:pPr>
            <w:r>
              <w:rPr>
                <w:sz w:val="18"/>
                <w:szCs w:val="18"/>
              </w:rPr>
              <w:t>12.4</w:t>
            </w:r>
          </w:p>
        </w:tc>
        <w:tc>
          <w:tcPr>
            <w:tcW w:w="1435" w:type="dxa"/>
            <w:shd w:val="clear" w:color="auto" w:fill="auto"/>
            <w:vAlign w:val="bottom"/>
            <w:hideMark/>
          </w:tcPr>
          <w:p w14:paraId="5E5D0951" w14:textId="77777777" w:rsidR="00FF0DE0" w:rsidRPr="00D376CB" w:rsidRDefault="00FF0DE0" w:rsidP="002F38F5">
            <w:pPr>
              <w:jc w:val="center"/>
              <w:rPr>
                <w:sz w:val="18"/>
                <w:szCs w:val="18"/>
              </w:rPr>
            </w:pPr>
            <w:r w:rsidRPr="00D376CB">
              <w:rPr>
                <w:sz w:val="18"/>
                <w:szCs w:val="18"/>
              </w:rPr>
              <w:t>438.330(b)(3)</w:t>
            </w:r>
          </w:p>
          <w:p w14:paraId="323B4F01" w14:textId="77777777" w:rsidR="00FF0DE0" w:rsidRPr="00D376CB" w:rsidRDefault="00FF0DE0" w:rsidP="002F38F5">
            <w:pPr>
              <w:jc w:val="center"/>
              <w:rPr>
                <w:sz w:val="18"/>
                <w:szCs w:val="18"/>
              </w:rPr>
            </w:pPr>
            <w:r w:rsidRPr="00D376CB">
              <w:rPr>
                <w:sz w:val="18"/>
                <w:szCs w:val="18"/>
              </w:rPr>
              <w:t>Create PCCM Utilization Review Policies</w:t>
            </w:r>
          </w:p>
        </w:tc>
        <w:tc>
          <w:tcPr>
            <w:tcW w:w="995" w:type="dxa"/>
            <w:shd w:val="clear" w:color="auto" w:fill="auto"/>
            <w:noWrap/>
            <w:vAlign w:val="center"/>
            <w:hideMark/>
          </w:tcPr>
          <w:p w14:paraId="2852A664" w14:textId="77777777" w:rsidR="00FF0DE0" w:rsidRPr="00D376CB" w:rsidRDefault="00FF0DE0" w:rsidP="002F38F5">
            <w:pPr>
              <w:jc w:val="center"/>
              <w:rPr>
                <w:sz w:val="18"/>
                <w:szCs w:val="18"/>
              </w:rPr>
            </w:pPr>
            <w:r>
              <w:rPr>
                <w:sz w:val="18"/>
                <w:szCs w:val="18"/>
              </w:rPr>
              <w:t>9</w:t>
            </w:r>
          </w:p>
        </w:tc>
        <w:tc>
          <w:tcPr>
            <w:tcW w:w="1008" w:type="dxa"/>
            <w:shd w:val="clear" w:color="auto" w:fill="auto"/>
            <w:noWrap/>
            <w:vAlign w:val="center"/>
            <w:hideMark/>
          </w:tcPr>
          <w:p w14:paraId="05C619AE" w14:textId="77777777" w:rsidR="00FF0DE0" w:rsidRPr="00D376CB" w:rsidRDefault="00FF0DE0" w:rsidP="002F38F5">
            <w:pPr>
              <w:jc w:val="center"/>
              <w:rPr>
                <w:sz w:val="18"/>
                <w:szCs w:val="18"/>
              </w:rPr>
            </w:pPr>
            <w:r>
              <w:rPr>
                <w:sz w:val="18"/>
                <w:szCs w:val="18"/>
              </w:rPr>
              <w:t>9</w:t>
            </w:r>
          </w:p>
        </w:tc>
        <w:tc>
          <w:tcPr>
            <w:tcW w:w="967" w:type="dxa"/>
            <w:shd w:val="clear" w:color="auto" w:fill="auto"/>
            <w:noWrap/>
            <w:vAlign w:val="center"/>
            <w:hideMark/>
          </w:tcPr>
          <w:p w14:paraId="1BD3E967" w14:textId="77777777" w:rsidR="00FF0DE0" w:rsidRPr="00D376CB" w:rsidRDefault="00FF0DE0" w:rsidP="002F38F5">
            <w:pPr>
              <w:jc w:val="center"/>
              <w:rPr>
                <w:sz w:val="18"/>
                <w:szCs w:val="18"/>
              </w:rPr>
            </w:pPr>
            <w:r w:rsidRPr="00D376CB">
              <w:rPr>
                <w:sz w:val="18"/>
                <w:szCs w:val="18"/>
              </w:rPr>
              <w:t>10</w:t>
            </w:r>
          </w:p>
        </w:tc>
        <w:tc>
          <w:tcPr>
            <w:tcW w:w="1013" w:type="dxa"/>
            <w:shd w:val="clear" w:color="auto" w:fill="auto"/>
            <w:noWrap/>
            <w:vAlign w:val="center"/>
            <w:hideMark/>
          </w:tcPr>
          <w:p w14:paraId="2BADC8F2" w14:textId="77777777" w:rsidR="00FF0DE0" w:rsidRPr="00D376CB" w:rsidRDefault="00FF0DE0" w:rsidP="002F38F5">
            <w:pPr>
              <w:jc w:val="center"/>
              <w:rPr>
                <w:sz w:val="18"/>
                <w:szCs w:val="18"/>
              </w:rPr>
            </w:pPr>
            <w:r>
              <w:rPr>
                <w:sz w:val="18"/>
                <w:szCs w:val="18"/>
              </w:rPr>
              <w:t>90.0</w:t>
            </w:r>
          </w:p>
        </w:tc>
        <w:tc>
          <w:tcPr>
            <w:tcW w:w="702" w:type="dxa"/>
            <w:shd w:val="clear" w:color="auto" w:fill="auto"/>
            <w:noWrap/>
            <w:vAlign w:val="center"/>
            <w:hideMark/>
          </w:tcPr>
          <w:p w14:paraId="4502AC0D" w14:textId="77777777" w:rsidR="00FF0DE0" w:rsidRPr="00D376CB" w:rsidRDefault="00FF0DE0" w:rsidP="002F38F5">
            <w:pPr>
              <w:jc w:val="center"/>
              <w:rPr>
                <w:sz w:val="18"/>
                <w:szCs w:val="18"/>
              </w:rPr>
            </w:pPr>
            <w:r w:rsidRPr="00D376CB">
              <w:rPr>
                <w:sz w:val="18"/>
                <w:szCs w:val="18"/>
              </w:rPr>
              <w:t>64.46</w:t>
            </w:r>
          </w:p>
        </w:tc>
        <w:tc>
          <w:tcPr>
            <w:tcW w:w="990" w:type="dxa"/>
            <w:shd w:val="clear" w:color="auto" w:fill="auto"/>
            <w:noWrap/>
            <w:vAlign w:val="center"/>
            <w:hideMark/>
          </w:tcPr>
          <w:p w14:paraId="128F5B26" w14:textId="77777777" w:rsidR="00FF0DE0" w:rsidRPr="00D376CB" w:rsidRDefault="00FF0DE0" w:rsidP="002F38F5">
            <w:pPr>
              <w:jc w:val="center"/>
              <w:rPr>
                <w:sz w:val="18"/>
                <w:szCs w:val="18"/>
              </w:rPr>
            </w:pPr>
            <w:r w:rsidRPr="00D376CB">
              <w:rPr>
                <w:sz w:val="18"/>
                <w:szCs w:val="18"/>
              </w:rPr>
              <w:t>644.60</w:t>
            </w:r>
          </w:p>
        </w:tc>
        <w:tc>
          <w:tcPr>
            <w:tcW w:w="1278" w:type="dxa"/>
            <w:shd w:val="clear" w:color="auto" w:fill="auto"/>
            <w:noWrap/>
            <w:vAlign w:val="center"/>
            <w:hideMark/>
          </w:tcPr>
          <w:p w14:paraId="20A86DEA" w14:textId="77777777" w:rsidR="00FF0DE0" w:rsidRPr="00D376CB" w:rsidRDefault="00FF0DE0" w:rsidP="002F38F5">
            <w:pPr>
              <w:jc w:val="center"/>
              <w:rPr>
                <w:sz w:val="18"/>
                <w:szCs w:val="18"/>
              </w:rPr>
            </w:pPr>
            <w:r>
              <w:rPr>
                <w:sz w:val="18"/>
                <w:szCs w:val="18"/>
              </w:rPr>
              <w:t>5,801.40</w:t>
            </w:r>
          </w:p>
        </w:tc>
        <w:tc>
          <w:tcPr>
            <w:tcW w:w="810" w:type="dxa"/>
            <w:shd w:val="clear" w:color="auto" w:fill="auto"/>
            <w:noWrap/>
            <w:vAlign w:val="center"/>
            <w:hideMark/>
          </w:tcPr>
          <w:p w14:paraId="788D6AD1" w14:textId="77777777" w:rsidR="00FF0DE0" w:rsidRPr="00D376CB" w:rsidRDefault="00FF0DE0" w:rsidP="002F38F5">
            <w:pPr>
              <w:jc w:val="center"/>
              <w:rPr>
                <w:sz w:val="18"/>
                <w:szCs w:val="18"/>
              </w:rPr>
            </w:pPr>
            <w:r w:rsidRPr="00D376CB">
              <w:rPr>
                <w:sz w:val="18"/>
                <w:szCs w:val="18"/>
              </w:rPr>
              <w:t>once</w:t>
            </w:r>
          </w:p>
        </w:tc>
        <w:tc>
          <w:tcPr>
            <w:tcW w:w="1147" w:type="dxa"/>
          </w:tcPr>
          <w:p w14:paraId="6447D8B2" w14:textId="2D9A4E4D" w:rsidR="00FF0DE0" w:rsidRDefault="00E17039" w:rsidP="002F38F5">
            <w:pPr>
              <w:jc w:val="center"/>
              <w:rPr>
                <w:sz w:val="18"/>
                <w:szCs w:val="18"/>
              </w:rPr>
            </w:pPr>
            <w:r>
              <w:rPr>
                <w:sz w:val="18"/>
                <w:szCs w:val="18"/>
              </w:rPr>
              <w:t>TPD</w:t>
            </w:r>
          </w:p>
        </w:tc>
        <w:tc>
          <w:tcPr>
            <w:tcW w:w="1147" w:type="dxa"/>
            <w:shd w:val="clear" w:color="auto" w:fill="auto"/>
            <w:noWrap/>
            <w:vAlign w:val="center"/>
            <w:hideMark/>
          </w:tcPr>
          <w:p w14:paraId="33511FC6" w14:textId="77777777" w:rsidR="00FF0DE0" w:rsidRPr="00D376CB" w:rsidRDefault="00FF0DE0" w:rsidP="002F38F5">
            <w:pPr>
              <w:jc w:val="center"/>
              <w:rPr>
                <w:sz w:val="18"/>
                <w:szCs w:val="18"/>
              </w:rPr>
            </w:pPr>
            <w:r>
              <w:rPr>
                <w:sz w:val="18"/>
                <w:szCs w:val="18"/>
              </w:rPr>
              <w:t>30.0</w:t>
            </w:r>
          </w:p>
        </w:tc>
        <w:tc>
          <w:tcPr>
            <w:tcW w:w="1170" w:type="dxa"/>
            <w:shd w:val="clear" w:color="auto" w:fill="auto"/>
            <w:noWrap/>
            <w:vAlign w:val="center"/>
            <w:hideMark/>
          </w:tcPr>
          <w:p w14:paraId="4A3CB31D" w14:textId="77777777" w:rsidR="00FF0DE0" w:rsidRPr="00D376CB" w:rsidRDefault="00FF0DE0" w:rsidP="002F38F5">
            <w:pPr>
              <w:jc w:val="center"/>
              <w:rPr>
                <w:sz w:val="18"/>
                <w:szCs w:val="18"/>
              </w:rPr>
            </w:pPr>
            <w:r>
              <w:rPr>
                <w:sz w:val="18"/>
                <w:szCs w:val="18"/>
              </w:rPr>
              <w:t>1,933.80</w:t>
            </w:r>
          </w:p>
        </w:tc>
      </w:tr>
      <w:tr w:rsidR="002F38F5" w:rsidRPr="00D376CB" w14:paraId="65CBF28C" w14:textId="77777777" w:rsidTr="002F38F5">
        <w:trPr>
          <w:trHeight w:val="480"/>
        </w:trPr>
        <w:tc>
          <w:tcPr>
            <w:tcW w:w="1435" w:type="dxa"/>
          </w:tcPr>
          <w:p w14:paraId="3F25F7B9" w14:textId="7AEA74AE" w:rsidR="002F38F5" w:rsidRDefault="002F38F5" w:rsidP="002F38F5">
            <w:pPr>
              <w:jc w:val="center"/>
              <w:rPr>
                <w:sz w:val="18"/>
                <w:szCs w:val="18"/>
              </w:rPr>
            </w:pPr>
            <w:r>
              <w:rPr>
                <w:sz w:val="18"/>
                <w:szCs w:val="18"/>
              </w:rPr>
              <w:t>12.10</w:t>
            </w:r>
          </w:p>
        </w:tc>
        <w:tc>
          <w:tcPr>
            <w:tcW w:w="1435" w:type="dxa"/>
            <w:shd w:val="clear" w:color="auto" w:fill="auto"/>
            <w:vAlign w:val="bottom"/>
          </w:tcPr>
          <w:p w14:paraId="0F8B40A2" w14:textId="77777777" w:rsidR="002F38F5" w:rsidRPr="00D376CB" w:rsidRDefault="002F38F5" w:rsidP="002F38F5">
            <w:pPr>
              <w:jc w:val="center"/>
              <w:rPr>
                <w:sz w:val="18"/>
                <w:szCs w:val="18"/>
              </w:rPr>
            </w:pPr>
            <w:r w:rsidRPr="00D376CB">
              <w:rPr>
                <w:sz w:val="18"/>
                <w:szCs w:val="18"/>
              </w:rPr>
              <w:t>438.330(d)(1)-(3)</w:t>
            </w:r>
          </w:p>
          <w:p w14:paraId="2E9D5278" w14:textId="6C3B3F6C" w:rsidR="002F38F5" w:rsidRPr="00D376CB" w:rsidRDefault="002F38F5" w:rsidP="002F38F5">
            <w:pPr>
              <w:jc w:val="center"/>
              <w:rPr>
                <w:sz w:val="18"/>
                <w:szCs w:val="18"/>
              </w:rPr>
            </w:pPr>
            <w:r w:rsidRPr="00D376CB">
              <w:rPr>
                <w:sz w:val="18"/>
                <w:szCs w:val="18"/>
              </w:rPr>
              <w:t>Create PAHP PIP Policies</w:t>
            </w:r>
          </w:p>
        </w:tc>
        <w:tc>
          <w:tcPr>
            <w:tcW w:w="995" w:type="dxa"/>
            <w:shd w:val="clear" w:color="auto" w:fill="auto"/>
            <w:noWrap/>
            <w:vAlign w:val="center"/>
          </w:tcPr>
          <w:p w14:paraId="64718C66" w14:textId="37FCF165" w:rsidR="002F38F5" w:rsidRDefault="002F38F5" w:rsidP="002F38F5">
            <w:pPr>
              <w:jc w:val="center"/>
              <w:rPr>
                <w:sz w:val="18"/>
                <w:szCs w:val="18"/>
              </w:rPr>
            </w:pPr>
            <w:r w:rsidRPr="00D376CB">
              <w:rPr>
                <w:sz w:val="18"/>
                <w:szCs w:val="18"/>
              </w:rPr>
              <w:t>41</w:t>
            </w:r>
          </w:p>
        </w:tc>
        <w:tc>
          <w:tcPr>
            <w:tcW w:w="1008" w:type="dxa"/>
            <w:shd w:val="clear" w:color="auto" w:fill="auto"/>
            <w:noWrap/>
            <w:vAlign w:val="center"/>
          </w:tcPr>
          <w:p w14:paraId="732417D8" w14:textId="7DC57D8A" w:rsidR="002F38F5" w:rsidRDefault="002F38F5" w:rsidP="002F38F5">
            <w:pPr>
              <w:jc w:val="center"/>
              <w:rPr>
                <w:sz w:val="18"/>
                <w:szCs w:val="18"/>
              </w:rPr>
            </w:pPr>
            <w:r w:rsidRPr="00D376CB">
              <w:rPr>
                <w:sz w:val="18"/>
                <w:szCs w:val="18"/>
              </w:rPr>
              <w:t>41</w:t>
            </w:r>
          </w:p>
        </w:tc>
        <w:tc>
          <w:tcPr>
            <w:tcW w:w="967" w:type="dxa"/>
            <w:shd w:val="clear" w:color="auto" w:fill="auto"/>
            <w:noWrap/>
            <w:vAlign w:val="center"/>
          </w:tcPr>
          <w:p w14:paraId="4AB39DCC" w14:textId="1C6E0CC6" w:rsidR="002F38F5" w:rsidRPr="00D376CB" w:rsidRDefault="002F38F5" w:rsidP="002F38F5">
            <w:pPr>
              <w:jc w:val="center"/>
              <w:rPr>
                <w:sz w:val="18"/>
                <w:szCs w:val="18"/>
              </w:rPr>
            </w:pPr>
            <w:r w:rsidRPr="00D376CB">
              <w:rPr>
                <w:sz w:val="18"/>
                <w:szCs w:val="18"/>
              </w:rPr>
              <w:t>2</w:t>
            </w:r>
          </w:p>
        </w:tc>
        <w:tc>
          <w:tcPr>
            <w:tcW w:w="1013" w:type="dxa"/>
            <w:shd w:val="clear" w:color="auto" w:fill="auto"/>
            <w:noWrap/>
            <w:vAlign w:val="center"/>
          </w:tcPr>
          <w:p w14:paraId="67B97D57" w14:textId="44ECC24D" w:rsidR="002F38F5" w:rsidRDefault="002F38F5" w:rsidP="002F38F5">
            <w:pPr>
              <w:jc w:val="center"/>
              <w:rPr>
                <w:sz w:val="18"/>
                <w:szCs w:val="18"/>
              </w:rPr>
            </w:pPr>
            <w:r w:rsidRPr="00D376CB">
              <w:rPr>
                <w:sz w:val="18"/>
                <w:szCs w:val="18"/>
              </w:rPr>
              <w:t>82.0</w:t>
            </w:r>
          </w:p>
        </w:tc>
        <w:tc>
          <w:tcPr>
            <w:tcW w:w="702" w:type="dxa"/>
            <w:shd w:val="clear" w:color="auto" w:fill="auto"/>
            <w:noWrap/>
            <w:vAlign w:val="center"/>
          </w:tcPr>
          <w:p w14:paraId="520A5177" w14:textId="49E6CA8E" w:rsidR="002F38F5" w:rsidRPr="00D376CB" w:rsidRDefault="002F38F5" w:rsidP="002F38F5">
            <w:pPr>
              <w:jc w:val="center"/>
              <w:rPr>
                <w:sz w:val="18"/>
                <w:szCs w:val="18"/>
              </w:rPr>
            </w:pPr>
            <w:r w:rsidRPr="00D376CB">
              <w:rPr>
                <w:sz w:val="18"/>
                <w:szCs w:val="18"/>
              </w:rPr>
              <w:t>64.46</w:t>
            </w:r>
          </w:p>
        </w:tc>
        <w:tc>
          <w:tcPr>
            <w:tcW w:w="990" w:type="dxa"/>
            <w:shd w:val="clear" w:color="auto" w:fill="auto"/>
            <w:noWrap/>
            <w:vAlign w:val="center"/>
          </w:tcPr>
          <w:p w14:paraId="70E41A6B" w14:textId="35F58779" w:rsidR="002F38F5" w:rsidRPr="00D376CB" w:rsidRDefault="002F38F5" w:rsidP="002F38F5">
            <w:pPr>
              <w:jc w:val="center"/>
              <w:rPr>
                <w:sz w:val="18"/>
                <w:szCs w:val="18"/>
              </w:rPr>
            </w:pPr>
            <w:r w:rsidRPr="00D376CB">
              <w:rPr>
                <w:sz w:val="18"/>
                <w:szCs w:val="18"/>
              </w:rPr>
              <w:t>128.92</w:t>
            </w:r>
          </w:p>
        </w:tc>
        <w:tc>
          <w:tcPr>
            <w:tcW w:w="1278" w:type="dxa"/>
            <w:shd w:val="clear" w:color="auto" w:fill="auto"/>
            <w:noWrap/>
            <w:vAlign w:val="center"/>
          </w:tcPr>
          <w:p w14:paraId="79D6730E" w14:textId="275AF74A" w:rsidR="002F38F5" w:rsidRDefault="002F38F5" w:rsidP="002F38F5">
            <w:pPr>
              <w:jc w:val="center"/>
              <w:rPr>
                <w:sz w:val="18"/>
                <w:szCs w:val="18"/>
              </w:rPr>
            </w:pPr>
            <w:r w:rsidRPr="00D376CB">
              <w:rPr>
                <w:sz w:val="18"/>
                <w:szCs w:val="18"/>
              </w:rPr>
              <w:t>5,285.72</w:t>
            </w:r>
          </w:p>
        </w:tc>
        <w:tc>
          <w:tcPr>
            <w:tcW w:w="810" w:type="dxa"/>
            <w:shd w:val="clear" w:color="auto" w:fill="auto"/>
            <w:noWrap/>
            <w:vAlign w:val="center"/>
          </w:tcPr>
          <w:p w14:paraId="3308C76A" w14:textId="67CD8C8D" w:rsidR="002F38F5" w:rsidRPr="00D376CB" w:rsidRDefault="002F38F5" w:rsidP="002F38F5">
            <w:pPr>
              <w:jc w:val="center"/>
              <w:rPr>
                <w:sz w:val="18"/>
                <w:szCs w:val="18"/>
              </w:rPr>
            </w:pPr>
            <w:r w:rsidRPr="00D376CB">
              <w:rPr>
                <w:sz w:val="18"/>
                <w:szCs w:val="18"/>
              </w:rPr>
              <w:t>once</w:t>
            </w:r>
          </w:p>
        </w:tc>
        <w:tc>
          <w:tcPr>
            <w:tcW w:w="1147" w:type="dxa"/>
          </w:tcPr>
          <w:p w14:paraId="72D6F390" w14:textId="5395DFAD" w:rsidR="002F38F5" w:rsidRDefault="002F38F5" w:rsidP="002F38F5">
            <w:pPr>
              <w:jc w:val="center"/>
              <w:rPr>
                <w:sz w:val="18"/>
                <w:szCs w:val="18"/>
              </w:rPr>
            </w:pPr>
            <w:r>
              <w:rPr>
                <w:sz w:val="18"/>
                <w:szCs w:val="18"/>
              </w:rPr>
              <w:t>TPD</w:t>
            </w:r>
          </w:p>
        </w:tc>
        <w:tc>
          <w:tcPr>
            <w:tcW w:w="1147" w:type="dxa"/>
            <w:shd w:val="clear" w:color="auto" w:fill="auto"/>
            <w:noWrap/>
            <w:vAlign w:val="center"/>
          </w:tcPr>
          <w:p w14:paraId="3B4AD526" w14:textId="37B2E39D" w:rsidR="002F38F5" w:rsidRDefault="002F38F5" w:rsidP="002F38F5">
            <w:pPr>
              <w:jc w:val="center"/>
              <w:rPr>
                <w:sz w:val="18"/>
                <w:szCs w:val="18"/>
              </w:rPr>
            </w:pPr>
            <w:r w:rsidRPr="00D376CB">
              <w:rPr>
                <w:sz w:val="18"/>
                <w:szCs w:val="18"/>
              </w:rPr>
              <w:t>27.3</w:t>
            </w:r>
          </w:p>
        </w:tc>
        <w:tc>
          <w:tcPr>
            <w:tcW w:w="1170" w:type="dxa"/>
            <w:shd w:val="clear" w:color="auto" w:fill="auto"/>
            <w:noWrap/>
            <w:vAlign w:val="center"/>
          </w:tcPr>
          <w:p w14:paraId="40DFD3C5" w14:textId="64D2C9DC" w:rsidR="002F38F5" w:rsidRDefault="002F38F5" w:rsidP="002F38F5">
            <w:pPr>
              <w:jc w:val="center"/>
              <w:rPr>
                <w:sz w:val="18"/>
                <w:szCs w:val="18"/>
              </w:rPr>
            </w:pPr>
            <w:r w:rsidRPr="00D376CB">
              <w:rPr>
                <w:sz w:val="18"/>
                <w:szCs w:val="18"/>
              </w:rPr>
              <w:t>1,761.91</w:t>
            </w:r>
          </w:p>
        </w:tc>
      </w:tr>
      <w:tr w:rsidR="00072B66" w:rsidRPr="00D376CB" w14:paraId="4DA95457" w14:textId="77777777" w:rsidTr="00072B66">
        <w:trPr>
          <w:trHeight w:val="480"/>
        </w:trPr>
        <w:tc>
          <w:tcPr>
            <w:tcW w:w="1435" w:type="dxa"/>
            <w:shd w:val="clear" w:color="auto" w:fill="D9D9D9" w:themeFill="background1" w:themeFillShade="D9"/>
          </w:tcPr>
          <w:p w14:paraId="536B6115" w14:textId="77777777" w:rsidR="00072B66" w:rsidRPr="00183428" w:rsidRDefault="00072B66" w:rsidP="00072B66">
            <w:pPr>
              <w:jc w:val="center"/>
              <w:rPr>
                <w:sz w:val="18"/>
                <w:szCs w:val="18"/>
              </w:rPr>
            </w:pPr>
          </w:p>
        </w:tc>
        <w:tc>
          <w:tcPr>
            <w:tcW w:w="1435" w:type="dxa"/>
            <w:shd w:val="clear" w:color="auto" w:fill="D9D9D9" w:themeFill="background1" w:themeFillShade="D9"/>
            <w:vAlign w:val="center"/>
          </w:tcPr>
          <w:p w14:paraId="5978514C" w14:textId="47880FA6" w:rsidR="00072B66" w:rsidRPr="00183428" w:rsidRDefault="00072B66" w:rsidP="00072B66">
            <w:pPr>
              <w:jc w:val="center"/>
              <w:rPr>
                <w:sz w:val="18"/>
                <w:szCs w:val="18"/>
              </w:rPr>
            </w:pPr>
            <w:r w:rsidRPr="00183428">
              <w:rPr>
                <w:i/>
                <w:color w:val="000000"/>
                <w:sz w:val="18"/>
                <w:szCs w:val="18"/>
              </w:rPr>
              <w:t>SUBTOTAL: Third-Party Disclosure</w:t>
            </w:r>
          </w:p>
        </w:tc>
        <w:tc>
          <w:tcPr>
            <w:tcW w:w="995" w:type="dxa"/>
            <w:shd w:val="clear" w:color="auto" w:fill="D9D9D9" w:themeFill="background1" w:themeFillShade="D9"/>
            <w:noWrap/>
            <w:vAlign w:val="center"/>
          </w:tcPr>
          <w:p w14:paraId="77D3B54F" w14:textId="120C36C8" w:rsidR="00072B66" w:rsidRPr="00183428" w:rsidRDefault="00F309B5" w:rsidP="00072B66">
            <w:pPr>
              <w:jc w:val="center"/>
              <w:rPr>
                <w:sz w:val="18"/>
                <w:szCs w:val="18"/>
              </w:rPr>
            </w:pPr>
            <w:r>
              <w:rPr>
                <w:sz w:val="18"/>
                <w:szCs w:val="18"/>
              </w:rPr>
              <w:t>50</w:t>
            </w:r>
          </w:p>
        </w:tc>
        <w:tc>
          <w:tcPr>
            <w:tcW w:w="1008" w:type="dxa"/>
            <w:shd w:val="clear" w:color="auto" w:fill="D9D9D9" w:themeFill="background1" w:themeFillShade="D9"/>
            <w:noWrap/>
            <w:vAlign w:val="center"/>
          </w:tcPr>
          <w:p w14:paraId="0FDF9CB3" w14:textId="799E5871" w:rsidR="00072B66" w:rsidRPr="00183428" w:rsidRDefault="00F309B5" w:rsidP="00072B66">
            <w:pPr>
              <w:jc w:val="center"/>
              <w:rPr>
                <w:sz w:val="18"/>
                <w:szCs w:val="18"/>
              </w:rPr>
            </w:pPr>
            <w:r>
              <w:rPr>
                <w:sz w:val="18"/>
                <w:szCs w:val="18"/>
              </w:rPr>
              <w:t>50</w:t>
            </w:r>
          </w:p>
        </w:tc>
        <w:tc>
          <w:tcPr>
            <w:tcW w:w="967" w:type="dxa"/>
            <w:shd w:val="clear" w:color="auto" w:fill="D9D9D9" w:themeFill="background1" w:themeFillShade="D9"/>
            <w:noWrap/>
            <w:vAlign w:val="center"/>
          </w:tcPr>
          <w:p w14:paraId="108B4264" w14:textId="4AB3D352" w:rsidR="00072B66" w:rsidRPr="00183428" w:rsidRDefault="00F309B5" w:rsidP="00072B66">
            <w:pPr>
              <w:jc w:val="center"/>
              <w:rPr>
                <w:sz w:val="18"/>
                <w:szCs w:val="18"/>
              </w:rPr>
            </w:pPr>
            <w:r>
              <w:rPr>
                <w:sz w:val="18"/>
                <w:szCs w:val="18"/>
              </w:rPr>
              <w:t>varies</w:t>
            </w:r>
          </w:p>
        </w:tc>
        <w:tc>
          <w:tcPr>
            <w:tcW w:w="1013" w:type="dxa"/>
            <w:shd w:val="clear" w:color="auto" w:fill="D9D9D9" w:themeFill="background1" w:themeFillShade="D9"/>
            <w:noWrap/>
            <w:vAlign w:val="center"/>
          </w:tcPr>
          <w:p w14:paraId="497EB51E" w14:textId="6FBEDCC2" w:rsidR="00072B66" w:rsidRPr="00183428" w:rsidRDefault="00F309B5" w:rsidP="00072B66">
            <w:pPr>
              <w:jc w:val="center"/>
              <w:rPr>
                <w:sz w:val="18"/>
                <w:szCs w:val="18"/>
              </w:rPr>
            </w:pPr>
            <w:r>
              <w:rPr>
                <w:sz w:val="18"/>
                <w:szCs w:val="18"/>
              </w:rPr>
              <w:t>172</w:t>
            </w:r>
          </w:p>
        </w:tc>
        <w:tc>
          <w:tcPr>
            <w:tcW w:w="702" w:type="dxa"/>
            <w:shd w:val="clear" w:color="auto" w:fill="D9D9D9" w:themeFill="background1" w:themeFillShade="D9"/>
            <w:noWrap/>
            <w:vAlign w:val="center"/>
          </w:tcPr>
          <w:p w14:paraId="1CF721FB" w14:textId="7FE99BD2" w:rsidR="00072B66" w:rsidRPr="00183428" w:rsidRDefault="00F309B5" w:rsidP="00072B66">
            <w:pPr>
              <w:jc w:val="center"/>
              <w:rPr>
                <w:sz w:val="18"/>
                <w:szCs w:val="18"/>
              </w:rPr>
            </w:pPr>
            <w:r w:rsidRPr="00D376CB">
              <w:rPr>
                <w:sz w:val="18"/>
                <w:szCs w:val="18"/>
              </w:rPr>
              <w:t>64.46</w:t>
            </w:r>
          </w:p>
        </w:tc>
        <w:tc>
          <w:tcPr>
            <w:tcW w:w="990" w:type="dxa"/>
            <w:shd w:val="clear" w:color="auto" w:fill="D9D9D9" w:themeFill="background1" w:themeFillShade="D9"/>
            <w:noWrap/>
            <w:vAlign w:val="center"/>
          </w:tcPr>
          <w:p w14:paraId="4FDF6B1B" w14:textId="400BC9D1" w:rsidR="00072B66" w:rsidRPr="00183428" w:rsidRDefault="00F309B5" w:rsidP="00072B66">
            <w:pPr>
              <w:jc w:val="center"/>
              <w:rPr>
                <w:sz w:val="18"/>
                <w:szCs w:val="18"/>
              </w:rPr>
            </w:pPr>
            <w:r>
              <w:rPr>
                <w:sz w:val="18"/>
                <w:szCs w:val="18"/>
              </w:rPr>
              <w:t>773.52</w:t>
            </w:r>
          </w:p>
        </w:tc>
        <w:tc>
          <w:tcPr>
            <w:tcW w:w="1278" w:type="dxa"/>
            <w:shd w:val="clear" w:color="auto" w:fill="D9D9D9" w:themeFill="background1" w:themeFillShade="D9"/>
            <w:noWrap/>
            <w:vAlign w:val="center"/>
          </w:tcPr>
          <w:p w14:paraId="491CCB3E" w14:textId="78EAC727" w:rsidR="00072B66" w:rsidRPr="00183428" w:rsidRDefault="00F309B5" w:rsidP="00072B66">
            <w:pPr>
              <w:jc w:val="center"/>
              <w:rPr>
                <w:sz w:val="18"/>
                <w:szCs w:val="18"/>
              </w:rPr>
            </w:pPr>
            <w:r>
              <w:rPr>
                <w:sz w:val="18"/>
                <w:szCs w:val="18"/>
              </w:rPr>
              <w:t>11,087.12</w:t>
            </w:r>
          </w:p>
        </w:tc>
        <w:tc>
          <w:tcPr>
            <w:tcW w:w="810" w:type="dxa"/>
            <w:shd w:val="clear" w:color="auto" w:fill="D9D9D9" w:themeFill="background1" w:themeFillShade="D9"/>
            <w:noWrap/>
            <w:vAlign w:val="center"/>
          </w:tcPr>
          <w:p w14:paraId="70ADDA98" w14:textId="61E71B20" w:rsidR="00072B66" w:rsidRPr="00183428" w:rsidRDefault="00F309B5" w:rsidP="00072B66">
            <w:pPr>
              <w:jc w:val="center"/>
              <w:rPr>
                <w:sz w:val="18"/>
                <w:szCs w:val="18"/>
              </w:rPr>
            </w:pPr>
            <w:r>
              <w:rPr>
                <w:sz w:val="18"/>
                <w:szCs w:val="18"/>
              </w:rPr>
              <w:t>once</w:t>
            </w:r>
          </w:p>
        </w:tc>
        <w:tc>
          <w:tcPr>
            <w:tcW w:w="1147" w:type="dxa"/>
            <w:shd w:val="clear" w:color="auto" w:fill="D9D9D9" w:themeFill="background1" w:themeFillShade="D9"/>
          </w:tcPr>
          <w:p w14:paraId="58A7E796" w14:textId="7A08937B" w:rsidR="00072B66" w:rsidRPr="00183428" w:rsidRDefault="00F309B5" w:rsidP="00072B66">
            <w:pPr>
              <w:jc w:val="center"/>
              <w:rPr>
                <w:sz w:val="18"/>
                <w:szCs w:val="18"/>
              </w:rPr>
            </w:pPr>
            <w:r>
              <w:rPr>
                <w:sz w:val="18"/>
                <w:szCs w:val="18"/>
              </w:rPr>
              <w:t>TPD</w:t>
            </w:r>
          </w:p>
        </w:tc>
        <w:tc>
          <w:tcPr>
            <w:tcW w:w="1147" w:type="dxa"/>
            <w:shd w:val="clear" w:color="auto" w:fill="D9D9D9" w:themeFill="background1" w:themeFillShade="D9"/>
            <w:noWrap/>
            <w:vAlign w:val="center"/>
          </w:tcPr>
          <w:p w14:paraId="3C6C54C3" w14:textId="360ED55D" w:rsidR="00072B66" w:rsidRPr="00183428" w:rsidRDefault="00F309B5" w:rsidP="00072B66">
            <w:pPr>
              <w:jc w:val="center"/>
              <w:rPr>
                <w:sz w:val="18"/>
                <w:szCs w:val="18"/>
              </w:rPr>
            </w:pPr>
            <w:r>
              <w:rPr>
                <w:sz w:val="18"/>
                <w:szCs w:val="18"/>
              </w:rPr>
              <w:t>57.3</w:t>
            </w:r>
          </w:p>
        </w:tc>
        <w:tc>
          <w:tcPr>
            <w:tcW w:w="1170" w:type="dxa"/>
            <w:shd w:val="clear" w:color="auto" w:fill="D9D9D9" w:themeFill="background1" w:themeFillShade="D9"/>
            <w:noWrap/>
            <w:vAlign w:val="center"/>
          </w:tcPr>
          <w:p w14:paraId="22FC8C91" w14:textId="3AD32DDF" w:rsidR="00072B66" w:rsidRPr="00183428" w:rsidRDefault="00F309B5" w:rsidP="00072B66">
            <w:pPr>
              <w:jc w:val="center"/>
              <w:rPr>
                <w:sz w:val="18"/>
                <w:szCs w:val="18"/>
              </w:rPr>
            </w:pPr>
            <w:r>
              <w:rPr>
                <w:sz w:val="18"/>
                <w:szCs w:val="18"/>
              </w:rPr>
              <w:t>3,695.71</w:t>
            </w:r>
          </w:p>
        </w:tc>
      </w:tr>
      <w:tr w:rsidR="00072B66" w:rsidRPr="00D376CB" w14:paraId="36439CDC" w14:textId="77777777" w:rsidTr="002F38F5">
        <w:trPr>
          <w:trHeight w:val="480"/>
        </w:trPr>
        <w:tc>
          <w:tcPr>
            <w:tcW w:w="1435" w:type="dxa"/>
          </w:tcPr>
          <w:p w14:paraId="26451626" w14:textId="77777777" w:rsidR="00072B66" w:rsidRPr="00D376CB" w:rsidRDefault="00072B66" w:rsidP="00072B66">
            <w:pPr>
              <w:jc w:val="center"/>
              <w:rPr>
                <w:sz w:val="18"/>
                <w:szCs w:val="18"/>
              </w:rPr>
            </w:pPr>
            <w:r>
              <w:rPr>
                <w:sz w:val="18"/>
                <w:szCs w:val="18"/>
              </w:rPr>
              <w:t>12.5</w:t>
            </w:r>
          </w:p>
        </w:tc>
        <w:tc>
          <w:tcPr>
            <w:tcW w:w="1435" w:type="dxa"/>
            <w:shd w:val="clear" w:color="auto" w:fill="auto"/>
            <w:vAlign w:val="bottom"/>
            <w:hideMark/>
          </w:tcPr>
          <w:p w14:paraId="436F84D9" w14:textId="77777777" w:rsidR="00072B66" w:rsidRPr="00D376CB" w:rsidRDefault="00072B66" w:rsidP="00072B66">
            <w:pPr>
              <w:jc w:val="center"/>
              <w:rPr>
                <w:sz w:val="18"/>
                <w:szCs w:val="18"/>
              </w:rPr>
            </w:pPr>
            <w:r w:rsidRPr="00D376CB">
              <w:rPr>
                <w:sz w:val="18"/>
                <w:szCs w:val="18"/>
              </w:rPr>
              <w:t>438.330(b)(3)</w:t>
            </w:r>
          </w:p>
          <w:p w14:paraId="284858E4" w14:textId="77777777" w:rsidR="00072B66" w:rsidRPr="00D376CB" w:rsidRDefault="00072B66" w:rsidP="00072B66">
            <w:pPr>
              <w:jc w:val="center"/>
              <w:rPr>
                <w:sz w:val="18"/>
                <w:szCs w:val="18"/>
              </w:rPr>
            </w:pPr>
            <w:r w:rsidRPr="00D376CB">
              <w:rPr>
                <w:sz w:val="18"/>
                <w:szCs w:val="18"/>
              </w:rPr>
              <w:t>Operate PCCM Utilization Review Policies</w:t>
            </w:r>
          </w:p>
        </w:tc>
        <w:tc>
          <w:tcPr>
            <w:tcW w:w="995" w:type="dxa"/>
            <w:shd w:val="clear" w:color="auto" w:fill="auto"/>
            <w:noWrap/>
            <w:vAlign w:val="center"/>
            <w:hideMark/>
          </w:tcPr>
          <w:p w14:paraId="7A86F76B" w14:textId="77777777" w:rsidR="00072B66" w:rsidRPr="00D376CB" w:rsidRDefault="00072B66" w:rsidP="00072B66">
            <w:pPr>
              <w:jc w:val="center"/>
              <w:rPr>
                <w:sz w:val="18"/>
                <w:szCs w:val="18"/>
              </w:rPr>
            </w:pPr>
            <w:r>
              <w:rPr>
                <w:sz w:val="18"/>
                <w:szCs w:val="18"/>
              </w:rPr>
              <w:t>9</w:t>
            </w:r>
          </w:p>
        </w:tc>
        <w:tc>
          <w:tcPr>
            <w:tcW w:w="1008" w:type="dxa"/>
            <w:shd w:val="clear" w:color="auto" w:fill="auto"/>
            <w:noWrap/>
            <w:vAlign w:val="center"/>
            <w:hideMark/>
          </w:tcPr>
          <w:p w14:paraId="26CEC6D9" w14:textId="77777777" w:rsidR="00072B66" w:rsidRPr="00D376CB" w:rsidRDefault="00072B66" w:rsidP="00072B66">
            <w:pPr>
              <w:jc w:val="center"/>
              <w:rPr>
                <w:sz w:val="18"/>
                <w:szCs w:val="18"/>
              </w:rPr>
            </w:pPr>
            <w:r>
              <w:rPr>
                <w:sz w:val="18"/>
                <w:szCs w:val="18"/>
              </w:rPr>
              <w:t>9</w:t>
            </w:r>
          </w:p>
        </w:tc>
        <w:tc>
          <w:tcPr>
            <w:tcW w:w="967" w:type="dxa"/>
            <w:shd w:val="clear" w:color="auto" w:fill="auto"/>
            <w:noWrap/>
            <w:vAlign w:val="center"/>
            <w:hideMark/>
          </w:tcPr>
          <w:p w14:paraId="65AF39CA" w14:textId="77777777" w:rsidR="00072B66" w:rsidRPr="00D376CB" w:rsidRDefault="00072B66" w:rsidP="00072B66">
            <w:pPr>
              <w:jc w:val="center"/>
              <w:rPr>
                <w:sz w:val="18"/>
                <w:szCs w:val="18"/>
              </w:rPr>
            </w:pPr>
            <w:r w:rsidRPr="00D376CB">
              <w:rPr>
                <w:sz w:val="18"/>
                <w:szCs w:val="18"/>
              </w:rPr>
              <w:t>10</w:t>
            </w:r>
          </w:p>
        </w:tc>
        <w:tc>
          <w:tcPr>
            <w:tcW w:w="1013" w:type="dxa"/>
            <w:shd w:val="clear" w:color="auto" w:fill="auto"/>
            <w:noWrap/>
            <w:vAlign w:val="center"/>
            <w:hideMark/>
          </w:tcPr>
          <w:p w14:paraId="0E48D4C0" w14:textId="77777777" w:rsidR="00072B66" w:rsidRPr="00D376CB" w:rsidRDefault="00072B66" w:rsidP="00072B66">
            <w:pPr>
              <w:jc w:val="center"/>
              <w:rPr>
                <w:sz w:val="18"/>
                <w:szCs w:val="18"/>
              </w:rPr>
            </w:pPr>
            <w:r>
              <w:rPr>
                <w:sz w:val="18"/>
                <w:szCs w:val="18"/>
              </w:rPr>
              <w:t>90.0</w:t>
            </w:r>
          </w:p>
        </w:tc>
        <w:tc>
          <w:tcPr>
            <w:tcW w:w="702" w:type="dxa"/>
            <w:shd w:val="clear" w:color="auto" w:fill="auto"/>
            <w:noWrap/>
            <w:vAlign w:val="center"/>
            <w:hideMark/>
          </w:tcPr>
          <w:p w14:paraId="1B167F7A" w14:textId="77777777" w:rsidR="00072B66" w:rsidRPr="00D376CB" w:rsidRDefault="00072B66" w:rsidP="00072B66">
            <w:pPr>
              <w:jc w:val="center"/>
              <w:rPr>
                <w:sz w:val="18"/>
                <w:szCs w:val="18"/>
              </w:rPr>
            </w:pPr>
            <w:r w:rsidRPr="00D376CB">
              <w:rPr>
                <w:sz w:val="18"/>
                <w:szCs w:val="18"/>
              </w:rPr>
              <w:t>64.46</w:t>
            </w:r>
          </w:p>
        </w:tc>
        <w:tc>
          <w:tcPr>
            <w:tcW w:w="990" w:type="dxa"/>
            <w:shd w:val="clear" w:color="auto" w:fill="auto"/>
            <w:noWrap/>
            <w:vAlign w:val="center"/>
            <w:hideMark/>
          </w:tcPr>
          <w:p w14:paraId="492527DD" w14:textId="77777777" w:rsidR="00072B66" w:rsidRPr="00D376CB" w:rsidRDefault="00072B66" w:rsidP="00072B66">
            <w:pPr>
              <w:jc w:val="center"/>
              <w:rPr>
                <w:sz w:val="18"/>
                <w:szCs w:val="18"/>
              </w:rPr>
            </w:pPr>
            <w:r w:rsidRPr="00D376CB">
              <w:rPr>
                <w:sz w:val="18"/>
                <w:szCs w:val="18"/>
              </w:rPr>
              <w:t>644.60</w:t>
            </w:r>
          </w:p>
        </w:tc>
        <w:tc>
          <w:tcPr>
            <w:tcW w:w="1278" w:type="dxa"/>
            <w:shd w:val="clear" w:color="auto" w:fill="auto"/>
            <w:noWrap/>
            <w:vAlign w:val="center"/>
            <w:hideMark/>
          </w:tcPr>
          <w:p w14:paraId="31771A22" w14:textId="77777777" w:rsidR="00072B66" w:rsidRPr="00D376CB" w:rsidRDefault="00072B66" w:rsidP="00072B66">
            <w:pPr>
              <w:jc w:val="center"/>
              <w:rPr>
                <w:sz w:val="18"/>
                <w:szCs w:val="18"/>
              </w:rPr>
            </w:pPr>
            <w:r>
              <w:rPr>
                <w:sz w:val="18"/>
                <w:szCs w:val="18"/>
              </w:rPr>
              <w:t>5,801.40</w:t>
            </w:r>
          </w:p>
        </w:tc>
        <w:tc>
          <w:tcPr>
            <w:tcW w:w="810" w:type="dxa"/>
            <w:shd w:val="clear" w:color="auto" w:fill="auto"/>
            <w:noWrap/>
            <w:vAlign w:val="center"/>
            <w:hideMark/>
          </w:tcPr>
          <w:p w14:paraId="413263D1" w14:textId="77777777" w:rsidR="00072B66" w:rsidRPr="00D376CB" w:rsidRDefault="00072B66" w:rsidP="00072B66">
            <w:pPr>
              <w:jc w:val="center"/>
              <w:rPr>
                <w:sz w:val="18"/>
                <w:szCs w:val="18"/>
              </w:rPr>
            </w:pPr>
            <w:r w:rsidRPr="00D376CB">
              <w:rPr>
                <w:sz w:val="18"/>
                <w:szCs w:val="18"/>
              </w:rPr>
              <w:t>annual</w:t>
            </w:r>
          </w:p>
        </w:tc>
        <w:tc>
          <w:tcPr>
            <w:tcW w:w="1147" w:type="dxa"/>
          </w:tcPr>
          <w:p w14:paraId="452C1E1F" w14:textId="13BA9D0B" w:rsidR="00072B66" w:rsidRDefault="00072B66" w:rsidP="00072B66">
            <w:pPr>
              <w:jc w:val="center"/>
              <w:rPr>
                <w:sz w:val="18"/>
                <w:szCs w:val="18"/>
              </w:rPr>
            </w:pPr>
            <w:r>
              <w:rPr>
                <w:sz w:val="18"/>
                <w:szCs w:val="18"/>
              </w:rPr>
              <w:t>R</w:t>
            </w:r>
          </w:p>
        </w:tc>
        <w:tc>
          <w:tcPr>
            <w:tcW w:w="1147" w:type="dxa"/>
            <w:shd w:val="clear" w:color="auto" w:fill="auto"/>
            <w:noWrap/>
            <w:vAlign w:val="center"/>
            <w:hideMark/>
          </w:tcPr>
          <w:p w14:paraId="488C52E5" w14:textId="77777777" w:rsidR="00072B66" w:rsidRPr="00D376CB" w:rsidRDefault="00072B66" w:rsidP="00072B66">
            <w:pPr>
              <w:jc w:val="center"/>
              <w:rPr>
                <w:sz w:val="18"/>
                <w:szCs w:val="18"/>
              </w:rPr>
            </w:pPr>
            <w:r>
              <w:rPr>
                <w:sz w:val="18"/>
                <w:szCs w:val="18"/>
              </w:rPr>
              <w:t>90.0</w:t>
            </w:r>
          </w:p>
        </w:tc>
        <w:tc>
          <w:tcPr>
            <w:tcW w:w="1170" w:type="dxa"/>
            <w:shd w:val="clear" w:color="auto" w:fill="auto"/>
            <w:noWrap/>
            <w:vAlign w:val="center"/>
            <w:hideMark/>
          </w:tcPr>
          <w:p w14:paraId="4A54E78B" w14:textId="77777777" w:rsidR="00072B66" w:rsidRPr="00D376CB" w:rsidRDefault="00072B66" w:rsidP="00072B66">
            <w:pPr>
              <w:jc w:val="center"/>
              <w:rPr>
                <w:sz w:val="18"/>
                <w:szCs w:val="18"/>
              </w:rPr>
            </w:pPr>
            <w:r>
              <w:rPr>
                <w:sz w:val="18"/>
                <w:szCs w:val="18"/>
              </w:rPr>
              <w:t>5,801.40</w:t>
            </w:r>
          </w:p>
        </w:tc>
      </w:tr>
      <w:tr w:rsidR="00072B66" w:rsidRPr="00D376CB" w14:paraId="64A9B003" w14:textId="77777777" w:rsidTr="002F38F5">
        <w:trPr>
          <w:trHeight w:val="480"/>
        </w:trPr>
        <w:tc>
          <w:tcPr>
            <w:tcW w:w="1435" w:type="dxa"/>
          </w:tcPr>
          <w:p w14:paraId="5AE563D6" w14:textId="77777777" w:rsidR="00072B66" w:rsidRPr="00D376CB" w:rsidRDefault="00072B66" w:rsidP="00072B66">
            <w:pPr>
              <w:jc w:val="center"/>
              <w:rPr>
                <w:sz w:val="18"/>
                <w:szCs w:val="18"/>
              </w:rPr>
            </w:pPr>
            <w:r>
              <w:rPr>
                <w:sz w:val="18"/>
                <w:szCs w:val="18"/>
              </w:rPr>
              <w:t>12.6</w:t>
            </w:r>
          </w:p>
        </w:tc>
        <w:tc>
          <w:tcPr>
            <w:tcW w:w="1435" w:type="dxa"/>
            <w:shd w:val="clear" w:color="auto" w:fill="auto"/>
            <w:vAlign w:val="bottom"/>
            <w:hideMark/>
          </w:tcPr>
          <w:p w14:paraId="2D33E043" w14:textId="77777777" w:rsidR="00072B66" w:rsidRPr="00D376CB" w:rsidRDefault="00072B66" w:rsidP="00072B66">
            <w:pPr>
              <w:jc w:val="center"/>
              <w:rPr>
                <w:sz w:val="18"/>
                <w:szCs w:val="18"/>
              </w:rPr>
            </w:pPr>
            <w:r w:rsidRPr="00D376CB">
              <w:rPr>
                <w:sz w:val="18"/>
                <w:szCs w:val="18"/>
              </w:rPr>
              <w:t>438.330(c)(2)</w:t>
            </w:r>
          </w:p>
          <w:p w14:paraId="3A2F23CF" w14:textId="77777777" w:rsidR="00072B66" w:rsidRPr="00D376CB" w:rsidRDefault="00072B66" w:rsidP="00072B66">
            <w:pPr>
              <w:jc w:val="center"/>
              <w:rPr>
                <w:sz w:val="18"/>
                <w:szCs w:val="18"/>
              </w:rPr>
            </w:pPr>
            <w:r w:rsidRPr="00D376CB">
              <w:rPr>
                <w:sz w:val="18"/>
                <w:szCs w:val="18"/>
              </w:rPr>
              <w:t>MCO/PIHP Performance Measures</w:t>
            </w:r>
          </w:p>
        </w:tc>
        <w:tc>
          <w:tcPr>
            <w:tcW w:w="995" w:type="dxa"/>
            <w:shd w:val="clear" w:color="auto" w:fill="auto"/>
            <w:noWrap/>
            <w:vAlign w:val="center"/>
            <w:hideMark/>
          </w:tcPr>
          <w:p w14:paraId="3D7DA241" w14:textId="77777777" w:rsidR="00072B66" w:rsidRPr="00D376CB" w:rsidRDefault="00072B66" w:rsidP="00072B66">
            <w:pPr>
              <w:jc w:val="center"/>
              <w:rPr>
                <w:sz w:val="18"/>
                <w:szCs w:val="18"/>
              </w:rPr>
            </w:pPr>
            <w:r w:rsidRPr="00D376CB">
              <w:rPr>
                <w:sz w:val="18"/>
                <w:szCs w:val="18"/>
              </w:rPr>
              <w:t>511</w:t>
            </w:r>
          </w:p>
        </w:tc>
        <w:tc>
          <w:tcPr>
            <w:tcW w:w="1008" w:type="dxa"/>
            <w:shd w:val="clear" w:color="auto" w:fill="auto"/>
            <w:noWrap/>
            <w:vAlign w:val="center"/>
            <w:hideMark/>
          </w:tcPr>
          <w:p w14:paraId="17C65A3A" w14:textId="77777777" w:rsidR="00072B66" w:rsidRPr="00D376CB" w:rsidRDefault="00072B66" w:rsidP="00072B66">
            <w:pPr>
              <w:jc w:val="center"/>
              <w:rPr>
                <w:sz w:val="18"/>
                <w:szCs w:val="18"/>
              </w:rPr>
            </w:pPr>
            <w:r w:rsidRPr="00D376CB">
              <w:rPr>
                <w:sz w:val="18"/>
                <w:szCs w:val="18"/>
              </w:rPr>
              <w:t>1,533</w:t>
            </w:r>
          </w:p>
        </w:tc>
        <w:tc>
          <w:tcPr>
            <w:tcW w:w="967" w:type="dxa"/>
            <w:shd w:val="clear" w:color="auto" w:fill="auto"/>
            <w:noWrap/>
            <w:vAlign w:val="center"/>
            <w:hideMark/>
          </w:tcPr>
          <w:p w14:paraId="2F8028E8" w14:textId="77777777" w:rsidR="00072B66" w:rsidRPr="00D376CB" w:rsidRDefault="00072B66" w:rsidP="00072B66">
            <w:pPr>
              <w:jc w:val="center"/>
              <w:rPr>
                <w:sz w:val="18"/>
                <w:szCs w:val="18"/>
              </w:rPr>
            </w:pPr>
            <w:r w:rsidRPr="00D376CB">
              <w:rPr>
                <w:sz w:val="18"/>
                <w:szCs w:val="18"/>
              </w:rPr>
              <w:t>0.1</w:t>
            </w:r>
          </w:p>
        </w:tc>
        <w:tc>
          <w:tcPr>
            <w:tcW w:w="1013" w:type="dxa"/>
            <w:shd w:val="clear" w:color="auto" w:fill="auto"/>
            <w:noWrap/>
            <w:vAlign w:val="center"/>
            <w:hideMark/>
          </w:tcPr>
          <w:p w14:paraId="62AE0AD8" w14:textId="77777777" w:rsidR="00072B66" w:rsidRPr="00D376CB" w:rsidRDefault="00072B66" w:rsidP="00072B66">
            <w:pPr>
              <w:jc w:val="center"/>
              <w:rPr>
                <w:sz w:val="18"/>
                <w:szCs w:val="18"/>
              </w:rPr>
            </w:pPr>
            <w:r w:rsidRPr="00D376CB">
              <w:rPr>
                <w:sz w:val="18"/>
                <w:szCs w:val="18"/>
              </w:rPr>
              <w:t>153.3</w:t>
            </w:r>
          </w:p>
        </w:tc>
        <w:tc>
          <w:tcPr>
            <w:tcW w:w="702" w:type="dxa"/>
            <w:shd w:val="clear" w:color="auto" w:fill="auto"/>
            <w:noWrap/>
            <w:vAlign w:val="center"/>
            <w:hideMark/>
          </w:tcPr>
          <w:p w14:paraId="49E2F402" w14:textId="77777777" w:rsidR="00072B66" w:rsidRPr="00D376CB" w:rsidRDefault="00072B66" w:rsidP="00072B66">
            <w:pPr>
              <w:jc w:val="center"/>
              <w:rPr>
                <w:sz w:val="18"/>
                <w:szCs w:val="18"/>
              </w:rPr>
            </w:pPr>
            <w:r w:rsidRPr="00D376CB">
              <w:rPr>
                <w:sz w:val="18"/>
                <w:szCs w:val="18"/>
              </w:rPr>
              <w:t>64.46</w:t>
            </w:r>
          </w:p>
        </w:tc>
        <w:tc>
          <w:tcPr>
            <w:tcW w:w="990" w:type="dxa"/>
            <w:shd w:val="clear" w:color="auto" w:fill="auto"/>
            <w:noWrap/>
            <w:vAlign w:val="center"/>
            <w:hideMark/>
          </w:tcPr>
          <w:p w14:paraId="22B7CE04" w14:textId="77777777" w:rsidR="00072B66" w:rsidRPr="00D376CB" w:rsidRDefault="00072B66" w:rsidP="00072B66">
            <w:pPr>
              <w:jc w:val="center"/>
              <w:rPr>
                <w:sz w:val="18"/>
                <w:szCs w:val="18"/>
              </w:rPr>
            </w:pPr>
            <w:r w:rsidRPr="00D376CB">
              <w:rPr>
                <w:sz w:val="18"/>
                <w:szCs w:val="18"/>
              </w:rPr>
              <w:t>6.45</w:t>
            </w:r>
          </w:p>
        </w:tc>
        <w:tc>
          <w:tcPr>
            <w:tcW w:w="1278" w:type="dxa"/>
            <w:shd w:val="clear" w:color="auto" w:fill="auto"/>
            <w:noWrap/>
            <w:vAlign w:val="center"/>
            <w:hideMark/>
          </w:tcPr>
          <w:p w14:paraId="00672867" w14:textId="77777777" w:rsidR="00072B66" w:rsidRPr="00D376CB" w:rsidRDefault="00072B66" w:rsidP="00072B66">
            <w:pPr>
              <w:jc w:val="center"/>
              <w:rPr>
                <w:sz w:val="18"/>
                <w:szCs w:val="18"/>
              </w:rPr>
            </w:pPr>
            <w:r w:rsidRPr="00D376CB">
              <w:rPr>
                <w:sz w:val="18"/>
                <w:szCs w:val="18"/>
              </w:rPr>
              <w:t>9,881.72</w:t>
            </w:r>
          </w:p>
        </w:tc>
        <w:tc>
          <w:tcPr>
            <w:tcW w:w="810" w:type="dxa"/>
            <w:shd w:val="clear" w:color="auto" w:fill="auto"/>
            <w:noWrap/>
            <w:vAlign w:val="center"/>
            <w:hideMark/>
          </w:tcPr>
          <w:p w14:paraId="1085ACB2" w14:textId="77777777" w:rsidR="00072B66" w:rsidRPr="00D376CB" w:rsidRDefault="00072B66" w:rsidP="00072B66">
            <w:pPr>
              <w:jc w:val="center"/>
              <w:rPr>
                <w:sz w:val="18"/>
                <w:szCs w:val="18"/>
              </w:rPr>
            </w:pPr>
            <w:r w:rsidRPr="00D376CB">
              <w:rPr>
                <w:sz w:val="18"/>
                <w:szCs w:val="18"/>
              </w:rPr>
              <w:t>annual</w:t>
            </w:r>
          </w:p>
        </w:tc>
        <w:tc>
          <w:tcPr>
            <w:tcW w:w="1147" w:type="dxa"/>
          </w:tcPr>
          <w:p w14:paraId="733EE1C2" w14:textId="792763E4" w:rsidR="00072B66" w:rsidRPr="00D376CB" w:rsidRDefault="00072B66" w:rsidP="00072B66">
            <w:pPr>
              <w:jc w:val="center"/>
              <w:rPr>
                <w:sz w:val="18"/>
                <w:szCs w:val="18"/>
              </w:rPr>
            </w:pPr>
            <w:r>
              <w:rPr>
                <w:sz w:val="18"/>
                <w:szCs w:val="18"/>
              </w:rPr>
              <w:t>R</w:t>
            </w:r>
          </w:p>
        </w:tc>
        <w:tc>
          <w:tcPr>
            <w:tcW w:w="1147" w:type="dxa"/>
            <w:shd w:val="clear" w:color="auto" w:fill="auto"/>
            <w:noWrap/>
            <w:vAlign w:val="center"/>
            <w:hideMark/>
          </w:tcPr>
          <w:p w14:paraId="4E67C76B" w14:textId="77777777" w:rsidR="00072B66" w:rsidRPr="00D376CB" w:rsidRDefault="00072B66" w:rsidP="00072B66">
            <w:pPr>
              <w:jc w:val="center"/>
              <w:rPr>
                <w:sz w:val="18"/>
                <w:szCs w:val="18"/>
              </w:rPr>
            </w:pPr>
            <w:r w:rsidRPr="00D376CB">
              <w:rPr>
                <w:sz w:val="18"/>
                <w:szCs w:val="18"/>
              </w:rPr>
              <w:t>153.3</w:t>
            </w:r>
          </w:p>
        </w:tc>
        <w:tc>
          <w:tcPr>
            <w:tcW w:w="1170" w:type="dxa"/>
            <w:shd w:val="clear" w:color="auto" w:fill="auto"/>
            <w:noWrap/>
            <w:vAlign w:val="center"/>
            <w:hideMark/>
          </w:tcPr>
          <w:p w14:paraId="7E5A2E28" w14:textId="77777777" w:rsidR="00072B66" w:rsidRPr="00D376CB" w:rsidRDefault="00072B66" w:rsidP="00072B66">
            <w:pPr>
              <w:jc w:val="center"/>
              <w:rPr>
                <w:sz w:val="18"/>
                <w:szCs w:val="18"/>
              </w:rPr>
            </w:pPr>
            <w:r w:rsidRPr="00D376CB">
              <w:rPr>
                <w:sz w:val="18"/>
                <w:szCs w:val="18"/>
              </w:rPr>
              <w:t>9,881.72</w:t>
            </w:r>
          </w:p>
        </w:tc>
      </w:tr>
      <w:tr w:rsidR="00072B66" w:rsidRPr="00D376CB" w14:paraId="71DB3BF7" w14:textId="77777777" w:rsidTr="002F38F5">
        <w:trPr>
          <w:trHeight w:val="480"/>
        </w:trPr>
        <w:tc>
          <w:tcPr>
            <w:tcW w:w="1435" w:type="dxa"/>
          </w:tcPr>
          <w:p w14:paraId="5CD24A1D" w14:textId="77777777" w:rsidR="00072B66" w:rsidRPr="00D376CB" w:rsidRDefault="00072B66" w:rsidP="00072B66">
            <w:pPr>
              <w:jc w:val="center"/>
              <w:rPr>
                <w:sz w:val="18"/>
                <w:szCs w:val="18"/>
              </w:rPr>
            </w:pPr>
            <w:r>
              <w:rPr>
                <w:sz w:val="18"/>
                <w:szCs w:val="18"/>
              </w:rPr>
              <w:t>12.7</w:t>
            </w:r>
          </w:p>
        </w:tc>
        <w:tc>
          <w:tcPr>
            <w:tcW w:w="1435" w:type="dxa"/>
            <w:shd w:val="clear" w:color="auto" w:fill="auto"/>
            <w:vAlign w:val="bottom"/>
            <w:hideMark/>
          </w:tcPr>
          <w:p w14:paraId="0A723160" w14:textId="77777777" w:rsidR="00072B66" w:rsidRPr="00D376CB" w:rsidRDefault="00072B66" w:rsidP="00072B66">
            <w:pPr>
              <w:jc w:val="center"/>
              <w:rPr>
                <w:sz w:val="18"/>
                <w:szCs w:val="18"/>
              </w:rPr>
            </w:pPr>
            <w:r w:rsidRPr="00D376CB">
              <w:rPr>
                <w:sz w:val="18"/>
                <w:szCs w:val="18"/>
              </w:rPr>
              <w:t>438.330(c)(2)</w:t>
            </w:r>
          </w:p>
          <w:p w14:paraId="59DCE67F" w14:textId="77777777" w:rsidR="00072B66" w:rsidRPr="00D376CB" w:rsidRDefault="00072B66" w:rsidP="00072B66">
            <w:pPr>
              <w:jc w:val="center"/>
              <w:rPr>
                <w:sz w:val="18"/>
                <w:szCs w:val="18"/>
              </w:rPr>
            </w:pPr>
            <w:r w:rsidRPr="00D376CB">
              <w:rPr>
                <w:sz w:val="18"/>
                <w:szCs w:val="18"/>
              </w:rPr>
              <w:t>PAHP/PCCM Performance Measures</w:t>
            </w:r>
          </w:p>
        </w:tc>
        <w:tc>
          <w:tcPr>
            <w:tcW w:w="995" w:type="dxa"/>
            <w:shd w:val="clear" w:color="auto" w:fill="auto"/>
            <w:noWrap/>
            <w:vAlign w:val="center"/>
            <w:hideMark/>
          </w:tcPr>
          <w:p w14:paraId="0A837FF0" w14:textId="77777777" w:rsidR="00072B66" w:rsidRPr="00D376CB" w:rsidRDefault="00072B66" w:rsidP="00072B66">
            <w:pPr>
              <w:jc w:val="center"/>
              <w:rPr>
                <w:sz w:val="18"/>
                <w:szCs w:val="18"/>
              </w:rPr>
            </w:pPr>
            <w:r>
              <w:rPr>
                <w:sz w:val="18"/>
                <w:szCs w:val="18"/>
              </w:rPr>
              <w:t>50</w:t>
            </w:r>
          </w:p>
        </w:tc>
        <w:tc>
          <w:tcPr>
            <w:tcW w:w="1008" w:type="dxa"/>
            <w:shd w:val="clear" w:color="auto" w:fill="auto"/>
            <w:noWrap/>
            <w:vAlign w:val="center"/>
            <w:hideMark/>
          </w:tcPr>
          <w:p w14:paraId="71CFDFF1" w14:textId="77777777" w:rsidR="00072B66" w:rsidRPr="00D376CB" w:rsidRDefault="00072B66" w:rsidP="00072B66">
            <w:pPr>
              <w:jc w:val="center"/>
              <w:rPr>
                <w:sz w:val="18"/>
                <w:szCs w:val="18"/>
              </w:rPr>
            </w:pPr>
            <w:r>
              <w:rPr>
                <w:sz w:val="18"/>
                <w:szCs w:val="18"/>
              </w:rPr>
              <w:t>150</w:t>
            </w:r>
          </w:p>
        </w:tc>
        <w:tc>
          <w:tcPr>
            <w:tcW w:w="967" w:type="dxa"/>
            <w:shd w:val="clear" w:color="auto" w:fill="auto"/>
            <w:noWrap/>
            <w:vAlign w:val="center"/>
            <w:hideMark/>
          </w:tcPr>
          <w:p w14:paraId="4ECF24E0" w14:textId="77777777" w:rsidR="00072B66" w:rsidRPr="00D376CB" w:rsidRDefault="00072B66" w:rsidP="00072B66">
            <w:pPr>
              <w:jc w:val="center"/>
              <w:rPr>
                <w:sz w:val="18"/>
                <w:szCs w:val="18"/>
              </w:rPr>
            </w:pPr>
            <w:r w:rsidRPr="00D376CB">
              <w:rPr>
                <w:sz w:val="18"/>
                <w:szCs w:val="18"/>
              </w:rPr>
              <w:t>4</w:t>
            </w:r>
          </w:p>
        </w:tc>
        <w:tc>
          <w:tcPr>
            <w:tcW w:w="1013" w:type="dxa"/>
            <w:shd w:val="clear" w:color="auto" w:fill="auto"/>
            <w:noWrap/>
            <w:vAlign w:val="center"/>
            <w:hideMark/>
          </w:tcPr>
          <w:p w14:paraId="7BC676D2" w14:textId="77777777" w:rsidR="00072B66" w:rsidRPr="00D376CB" w:rsidRDefault="00072B66" w:rsidP="00072B66">
            <w:pPr>
              <w:jc w:val="center"/>
              <w:rPr>
                <w:sz w:val="18"/>
                <w:szCs w:val="18"/>
              </w:rPr>
            </w:pPr>
            <w:r>
              <w:rPr>
                <w:sz w:val="18"/>
                <w:szCs w:val="18"/>
              </w:rPr>
              <w:t>600.0</w:t>
            </w:r>
          </w:p>
        </w:tc>
        <w:tc>
          <w:tcPr>
            <w:tcW w:w="702" w:type="dxa"/>
            <w:shd w:val="clear" w:color="auto" w:fill="auto"/>
            <w:noWrap/>
            <w:vAlign w:val="center"/>
            <w:hideMark/>
          </w:tcPr>
          <w:p w14:paraId="07C94124" w14:textId="77777777" w:rsidR="00072B66" w:rsidRPr="00D376CB" w:rsidRDefault="00072B66" w:rsidP="00072B66">
            <w:pPr>
              <w:jc w:val="center"/>
              <w:rPr>
                <w:sz w:val="18"/>
                <w:szCs w:val="18"/>
              </w:rPr>
            </w:pPr>
            <w:r w:rsidRPr="00D376CB">
              <w:rPr>
                <w:sz w:val="18"/>
                <w:szCs w:val="18"/>
              </w:rPr>
              <w:t>64.46</w:t>
            </w:r>
          </w:p>
        </w:tc>
        <w:tc>
          <w:tcPr>
            <w:tcW w:w="990" w:type="dxa"/>
            <w:shd w:val="clear" w:color="auto" w:fill="auto"/>
            <w:noWrap/>
            <w:vAlign w:val="center"/>
            <w:hideMark/>
          </w:tcPr>
          <w:p w14:paraId="4ED4B674" w14:textId="77777777" w:rsidR="00072B66" w:rsidRPr="00D376CB" w:rsidRDefault="00072B66" w:rsidP="00072B66">
            <w:pPr>
              <w:jc w:val="center"/>
              <w:rPr>
                <w:sz w:val="18"/>
                <w:szCs w:val="18"/>
              </w:rPr>
            </w:pPr>
            <w:r w:rsidRPr="00D376CB">
              <w:rPr>
                <w:sz w:val="18"/>
                <w:szCs w:val="18"/>
              </w:rPr>
              <w:t>257.84</w:t>
            </w:r>
          </w:p>
        </w:tc>
        <w:tc>
          <w:tcPr>
            <w:tcW w:w="1278" w:type="dxa"/>
            <w:shd w:val="clear" w:color="auto" w:fill="auto"/>
            <w:noWrap/>
            <w:vAlign w:val="center"/>
            <w:hideMark/>
          </w:tcPr>
          <w:p w14:paraId="516858B5" w14:textId="77777777" w:rsidR="00072B66" w:rsidRPr="00D376CB" w:rsidRDefault="00072B66" w:rsidP="00072B66">
            <w:pPr>
              <w:jc w:val="center"/>
              <w:rPr>
                <w:sz w:val="18"/>
                <w:szCs w:val="18"/>
              </w:rPr>
            </w:pPr>
            <w:r>
              <w:rPr>
                <w:sz w:val="18"/>
                <w:szCs w:val="18"/>
              </w:rPr>
              <w:t>38,676.0</w:t>
            </w:r>
          </w:p>
        </w:tc>
        <w:tc>
          <w:tcPr>
            <w:tcW w:w="810" w:type="dxa"/>
            <w:shd w:val="clear" w:color="auto" w:fill="auto"/>
            <w:noWrap/>
            <w:vAlign w:val="center"/>
            <w:hideMark/>
          </w:tcPr>
          <w:p w14:paraId="2B1FE60E" w14:textId="77777777" w:rsidR="00072B66" w:rsidRPr="00D376CB" w:rsidRDefault="00072B66" w:rsidP="00072B66">
            <w:pPr>
              <w:jc w:val="center"/>
              <w:rPr>
                <w:sz w:val="18"/>
                <w:szCs w:val="18"/>
              </w:rPr>
            </w:pPr>
            <w:r w:rsidRPr="00D376CB">
              <w:rPr>
                <w:sz w:val="18"/>
                <w:szCs w:val="18"/>
              </w:rPr>
              <w:t>annual</w:t>
            </w:r>
          </w:p>
        </w:tc>
        <w:tc>
          <w:tcPr>
            <w:tcW w:w="1147" w:type="dxa"/>
          </w:tcPr>
          <w:p w14:paraId="01C979D0" w14:textId="77302B2B" w:rsidR="00072B66" w:rsidRDefault="00072B66" w:rsidP="00072B66">
            <w:pPr>
              <w:jc w:val="center"/>
              <w:rPr>
                <w:sz w:val="18"/>
                <w:szCs w:val="18"/>
              </w:rPr>
            </w:pPr>
            <w:r>
              <w:rPr>
                <w:sz w:val="18"/>
                <w:szCs w:val="18"/>
              </w:rPr>
              <w:t>R</w:t>
            </w:r>
          </w:p>
        </w:tc>
        <w:tc>
          <w:tcPr>
            <w:tcW w:w="1147" w:type="dxa"/>
            <w:shd w:val="clear" w:color="auto" w:fill="auto"/>
            <w:noWrap/>
            <w:vAlign w:val="center"/>
            <w:hideMark/>
          </w:tcPr>
          <w:p w14:paraId="2952C20F" w14:textId="77777777" w:rsidR="00072B66" w:rsidRPr="00D376CB" w:rsidRDefault="00072B66" w:rsidP="00072B66">
            <w:pPr>
              <w:jc w:val="center"/>
              <w:rPr>
                <w:sz w:val="18"/>
                <w:szCs w:val="18"/>
              </w:rPr>
            </w:pPr>
            <w:r>
              <w:rPr>
                <w:sz w:val="18"/>
                <w:szCs w:val="18"/>
              </w:rPr>
              <w:t>600.0</w:t>
            </w:r>
          </w:p>
        </w:tc>
        <w:tc>
          <w:tcPr>
            <w:tcW w:w="1170" w:type="dxa"/>
            <w:shd w:val="clear" w:color="auto" w:fill="auto"/>
            <w:noWrap/>
            <w:vAlign w:val="center"/>
            <w:hideMark/>
          </w:tcPr>
          <w:p w14:paraId="66EB7458" w14:textId="77777777" w:rsidR="00072B66" w:rsidRPr="00D376CB" w:rsidRDefault="00072B66" w:rsidP="00072B66">
            <w:pPr>
              <w:jc w:val="center"/>
              <w:rPr>
                <w:sz w:val="18"/>
                <w:szCs w:val="18"/>
              </w:rPr>
            </w:pPr>
            <w:r>
              <w:rPr>
                <w:sz w:val="18"/>
                <w:szCs w:val="18"/>
              </w:rPr>
              <w:t>38,676.0</w:t>
            </w:r>
          </w:p>
        </w:tc>
      </w:tr>
      <w:tr w:rsidR="00072B66" w:rsidRPr="00D376CB" w14:paraId="2AA6581F" w14:textId="77777777" w:rsidTr="002F38F5">
        <w:trPr>
          <w:trHeight w:val="480"/>
        </w:trPr>
        <w:tc>
          <w:tcPr>
            <w:tcW w:w="1435" w:type="dxa"/>
          </w:tcPr>
          <w:p w14:paraId="0298776F" w14:textId="77777777" w:rsidR="00072B66" w:rsidRPr="00D376CB" w:rsidRDefault="00072B66" w:rsidP="00072B66">
            <w:pPr>
              <w:jc w:val="center"/>
              <w:rPr>
                <w:sz w:val="18"/>
                <w:szCs w:val="18"/>
              </w:rPr>
            </w:pPr>
            <w:r>
              <w:rPr>
                <w:sz w:val="18"/>
                <w:szCs w:val="18"/>
              </w:rPr>
              <w:t>12.8</w:t>
            </w:r>
          </w:p>
        </w:tc>
        <w:tc>
          <w:tcPr>
            <w:tcW w:w="1435" w:type="dxa"/>
            <w:shd w:val="clear" w:color="auto" w:fill="auto"/>
            <w:vAlign w:val="bottom"/>
            <w:hideMark/>
          </w:tcPr>
          <w:p w14:paraId="2E2A84D0" w14:textId="77777777" w:rsidR="00072B66" w:rsidRPr="00D376CB" w:rsidRDefault="00072B66" w:rsidP="00072B66">
            <w:pPr>
              <w:jc w:val="center"/>
              <w:rPr>
                <w:sz w:val="18"/>
                <w:szCs w:val="18"/>
              </w:rPr>
            </w:pPr>
            <w:r w:rsidRPr="00D376CB">
              <w:rPr>
                <w:sz w:val="18"/>
                <w:szCs w:val="18"/>
              </w:rPr>
              <w:t>438.330(c)(2)</w:t>
            </w:r>
          </w:p>
          <w:p w14:paraId="3035EED7" w14:textId="77777777" w:rsidR="00072B66" w:rsidRPr="00D376CB" w:rsidRDefault="00072B66" w:rsidP="00072B66">
            <w:pPr>
              <w:jc w:val="center"/>
              <w:rPr>
                <w:sz w:val="18"/>
                <w:szCs w:val="18"/>
              </w:rPr>
            </w:pPr>
            <w:r w:rsidRPr="00D376CB">
              <w:rPr>
                <w:sz w:val="18"/>
                <w:szCs w:val="18"/>
              </w:rPr>
              <w:t>MLTSS Performance Measures</w:t>
            </w:r>
          </w:p>
        </w:tc>
        <w:tc>
          <w:tcPr>
            <w:tcW w:w="995" w:type="dxa"/>
            <w:shd w:val="clear" w:color="auto" w:fill="auto"/>
            <w:noWrap/>
            <w:vAlign w:val="center"/>
            <w:hideMark/>
          </w:tcPr>
          <w:p w14:paraId="20187F54" w14:textId="77777777" w:rsidR="00072B66" w:rsidRPr="00D376CB" w:rsidRDefault="00072B66" w:rsidP="00072B66">
            <w:pPr>
              <w:jc w:val="center"/>
              <w:rPr>
                <w:sz w:val="18"/>
                <w:szCs w:val="18"/>
              </w:rPr>
            </w:pPr>
            <w:r w:rsidRPr="00D376CB">
              <w:rPr>
                <w:sz w:val="18"/>
                <w:szCs w:val="18"/>
              </w:rPr>
              <w:t>179</w:t>
            </w:r>
          </w:p>
        </w:tc>
        <w:tc>
          <w:tcPr>
            <w:tcW w:w="1008" w:type="dxa"/>
            <w:shd w:val="clear" w:color="auto" w:fill="auto"/>
            <w:noWrap/>
            <w:vAlign w:val="center"/>
            <w:hideMark/>
          </w:tcPr>
          <w:p w14:paraId="66D98F75" w14:textId="77777777" w:rsidR="00072B66" w:rsidRPr="00D376CB" w:rsidRDefault="00072B66" w:rsidP="00072B66">
            <w:pPr>
              <w:jc w:val="center"/>
              <w:rPr>
                <w:sz w:val="18"/>
                <w:szCs w:val="18"/>
              </w:rPr>
            </w:pPr>
            <w:r w:rsidRPr="00D376CB">
              <w:rPr>
                <w:sz w:val="18"/>
                <w:szCs w:val="18"/>
              </w:rPr>
              <w:t>358</w:t>
            </w:r>
          </w:p>
        </w:tc>
        <w:tc>
          <w:tcPr>
            <w:tcW w:w="967" w:type="dxa"/>
            <w:shd w:val="clear" w:color="auto" w:fill="auto"/>
            <w:noWrap/>
            <w:vAlign w:val="center"/>
            <w:hideMark/>
          </w:tcPr>
          <w:p w14:paraId="43616275" w14:textId="77777777" w:rsidR="00072B66" w:rsidRPr="00D376CB" w:rsidRDefault="00072B66" w:rsidP="00072B66">
            <w:pPr>
              <w:jc w:val="center"/>
              <w:rPr>
                <w:sz w:val="18"/>
                <w:szCs w:val="18"/>
              </w:rPr>
            </w:pPr>
            <w:r w:rsidRPr="00D376CB">
              <w:rPr>
                <w:sz w:val="18"/>
                <w:szCs w:val="18"/>
              </w:rPr>
              <w:t>4</w:t>
            </w:r>
          </w:p>
        </w:tc>
        <w:tc>
          <w:tcPr>
            <w:tcW w:w="1013" w:type="dxa"/>
            <w:shd w:val="clear" w:color="auto" w:fill="auto"/>
            <w:noWrap/>
            <w:vAlign w:val="center"/>
            <w:hideMark/>
          </w:tcPr>
          <w:p w14:paraId="0A0AEC03" w14:textId="77777777" w:rsidR="00072B66" w:rsidRPr="00D376CB" w:rsidRDefault="00072B66" w:rsidP="00072B66">
            <w:pPr>
              <w:jc w:val="center"/>
              <w:rPr>
                <w:sz w:val="18"/>
                <w:szCs w:val="18"/>
              </w:rPr>
            </w:pPr>
            <w:r w:rsidRPr="00D376CB">
              <w:rPr>
                <w:sz w:val="18"/>
                <w:szCs w:val="18"/>
              </w:rPr>
              <w:t>1,432.0</w:t>
            </w:r>
          </w:p>
        </w:tc>
        <w:tc>
          <w:tcPr>
            <w:tcW w:w="702" w:type="dxa"/>
            <w:shd w:val="clear" w:color="auto" w:fill="auto"/>
            <w:noWrap/>
            <w:vAlign w:val="center"/>
            <w:hideMark/>
          </w:tcPr>
          <w:p w14:paraId="600CE9D5" w14:textId="77777777" w:rsidR="00072B66" w:rsidRPr="00D376CB" w:rsidRDefault="00072B66" w:rsidP="00072B66">
            <w:pPr>
              <w:jc w:val="center"/>
              <w:rPr>
                <w:sz w:val="18"/>
                <w:szCs w:val="18"/>
              </w:rPr>
            </w:pPr>
            <w:r w:rsidRPr="00D376CB">
              <w:rPr>
                <w:sz w:val="18"/>
                <w:szCs w:val="18"/>
              </w:rPr>
              <w:t>64.46</w:t>
            </w:r>
          </w:p>
        </w:tc>
        <w:tc>
          <w:tcPr>
            <w:tcW w:w="990" w:type="dxa"/>
            <w:shd w:val="clear" w:color="auto" w:fill="auto"/>
            <w:noWrap/>
            <w:vAlign w:val="center"/>
            <w:hideMark/>
          </w:tcPr>
          <w:p w14:paraId="6A7379CD" w14:textId="77777777" w:rsidR="00072B66" w:rsidRPr="00D376CB" w:rsidRDefault="00072B66" w:rsidP="00072B66">
            <w:pPr>
              <w:jc w:val="center"/>
              <w:rPr>
                <w:sz w:val="18"/>
                <w:szCs w:val="18"/>
              </w:rPr>
            </w:pPr>
            <w:r w:rsidRPr="00D376CB">
              <w:rPr>
                <w:sz w:val="18"/>
                <w:szCs w:val="18"/>
              </w:rPr>
              <w:t>257.84</w:t>
            </w:r>
          </w:p>
        </w:tc>
        <w:tc>
          <w:tcPr>
            <w:tcW w:w="1278" w:type="dxa"/>
            <w:shd w:val="clear" w:color="auto" w:fill="auto"/>
            <w:noWrap/>
            <w:vAlign w:val="center"/>
            <w:hideMark/>
          </w:tcPr>
          <w:p w14:paraId="6B149D1D" w14:textId="77777777" w:rsidR="00072B66" w:rsidRPr="00D376CB" w:rsidRDefault="00072B66" w:rsidP="00072B66">
            <w:pPr>
              <w:jc w:val="center"/>
              <w:rPr>
                <w:sz w:val="18"/>
                <w:szCs w:val="18"/>
              </w:rPr>
            </w:pPr>
            <w:r w:rsidRPr="00D376CB">
              <w:rPr>
                <w:sz w:val="18"/>
                <w:szCs w:val="18"/>
              </w:rPr>
              <w:t>92,306.72</w:t>
            </w:r>
          </w:p>
        </w:tc>
        <w:tc>
          <w:tcPr>
            <w:tcW w:w="810" w:type="dxa"/>
            <w:shd w:val="clear" w:color="auto" w:fill="auto"/>
            <w:noWrap/>
            <w:vAlign w:val="center"/>
            <w:hideMark/>
          </w:tcPr>
          <w:p w14:paraId="10DC541B" w14:textId="77777777" w:rsidR="00072B66" w:rsidRPr="00D376CB" w:rsidRDefault="00072B66" w:rsidP="00072B66">
            <w:pPr>
              <w:jc w:val="center"/>
              <w:rPr>
                <w:sz w:val="18"/>
                <w:szCs w:val="18"/>
              </w:rPr>
            </w:pPr>
            <w:r w:rsidRPr="00D376CB">
              <w:rPr>
                <w:sz w:val="18"/>
                <w:szCs w:val="18"/>
              </w:rPr>
              <w:t>annual</w:t>
            </w:r>
          </w:p>
        </w:tc>
        <w:tc>
          <w:tcPr>
            <w:tcW w:w="1147" w:type="dxa"/>
          </w:tcPr>
          <w:p w14:paraId="6F9338F1" w14:textId="0DF50EE1" w:rsidR="00072B66" w:rsidRPr="00D376CB" w:rsidRDefault="00072B66" w:rsidP="00072B66">
            <w:pPr>
              <w:jc w:val="center"/>
              <w:rPr>
                <w:sz w:val="18"/>
                <w:szCs w:val="18"/>
              </w:rPr>
            </w:pPr>
            <w:r>
              <w:rPr>
                <w:sz w:val="18"/>
                <w:szCs w:val="18"/>
              </w:rPr>
              <w:t>R</w:t>
            </w:r>
          </w:p>
        </w:tc>
        <w:tc>
          <w:tcPr>
            <w:tcW w:w="1147" w:type="dxa"/>
            <w:shd w:val="clear" w:color="auto" w:fill="auto"/>
            <w:noWrap/>
            <w:vAlign w:val="center"/>
            <w:hideMark/>
          </w:tcPr>
          <w:p w14:paraId="7DFC6B09" w14:textId="77777777" w:rsidR="00072B66" w:rsidRPr="00D376CB" w:rsidRDefault="00072B66" w:rsidP="00072B66">
            <w:pPr>
              <w:jc w:val="center"/>
              <w:rPr>
                <w:sz w:val="18"/>
                <w:szCs w:val="18"/>
              </w:rPr>
            </w:pPr>
            <w:r w:rsidRPr="00D376CB">
              <w:rPr>
                <w:sz w:val="18"/>
                <w:szCs w:val="18"/>
              </w:rPr>
              <w:t>1,432.0</w:t>
            </w:r>
          </w:p>
        </w:tc>
        <w:tc>
          <w:tcPr>
            <w:tcW w:w="1170" w:type="dxa"/>
            <w:shd w:val="clear" w:color="auto" w:fill="auto"/>
            <w:noWrap/>
            <w:vAlign w:val="center"/>
            <w:hideMark/>
          </w:tcPr>
          <w:p w14:paraId="57A33147" w14:textId="77777777" w:rsidR="00072B66" w:rsidRPr="00D376CB" w:rsidRDefault="00072B66" w:rsidP="00072B66">
            <w:pPr>
              <w:jc w:val="center"/>
              <w:rPr>
                <w:sz w:val="18"/>
                <w:szCs w:val="18"/>
              </w:rPr>
            </w:pPr>
            <w:r w:rsidRPr="00D376CB">
              <w:rPr>
                <w:sz w:val="18"/>
                <w:szCs w:val="18"/>
              </w:rPr>
              <w:t>92,306.72</w:t>
            </w:r>
          </w:p>
        </w:tc>
      </w:tr>
      <w:tr w:rsidR="00072B66" w:rsidRPr="00D376CB" w14:paraId="51726FB3" w14:textId="77777777" w:rsidTr="002F38F5">
        <w:trPr>
          <w:trHeight w:val="480"/>
        </w:trPr>
        <w:tc>
          <w:tcPr>
            <w:tcW w:w="1435" w:type="dxa"/>
          </w:tcPr>
          <w:p w14:paraId="4A8F633F" w14:textId="77777777" w:rsidR="00072B66" w:rsidRPr="00D376CB" w:rsidRDefault="00072B66" w:rsidP="00072B66">
            <w:pPr>
              <w:jc w:val="center"/>
              <w:rPr>
                <w:sz w:val="18"/>
                <w:szCs w:val="18"/>
              </w:rPr>
            </w:pPr>
            <w:r>
              <w:rPr>
                <w:sz w:val="18"/>
                <w:szCs w:val="18"/>
              </w:rPr>
              <w:t>12.9</w:t>
            </w:r>
          </w:p>
        </w:tc>
        <w:tc>
          <w:tcPr>
            <w:tcW w:w="1435" w:type="dxa"/>
            <w:shd w:val="clear" w:color="auto" w:fill="auto"/>
            <w:vAlign w:val="bottom"/>
            <w:hideMark/>
          </w:tcPr>
          <w:p w14:paraId="79DF3463" w14:textId="77777777" w:rsidR="00072B66" w:rsidRPr="00D376CB" w:rsidRDefault="00072B66" w:rsidP="00072B66">
            <w:pPr>
              <w:jc w:val="center"/>
              <w:rPr>
                <w:sz w:val="18"/>
                <w:szCs w:val="18"/>
              </w:rPr>
            </w:pPr>
            <w:r w:rsidRPr="00D376CB">
              <w:rPr>
                <w:sz w:val="18"/>
                <w:szCs w:val="18"/>
              </w:rPr>
              <w:t>438.330(d)(1)-(3)</w:t>
            </w:r>
          </w:p>
          <w:p w14:paraId="02E9A544" w14:textId="77777777" w:rsidR="00072B66" w:rsidRPr="00D376CB" w:rsidRDefault="00072B66" w:rsidP="00072B66">
            <w:pPr>
              <w:jc w:val="center"/>
              <w:rPr>
                <w:sz w:val="18"/>
                <w:szCs w:val="18"/>
              </w:rPr>
            </w:pPr>
            <w:r w:rsidRPr="00D376CB">
              <w:rPr>
                <w:sz w:val="18"/>
                <w:szCs w:val="18"/>
              </w:rPr>
              <w:t>MCO/PIHP PIPs</w:t>
            </w:r>
          </w:p>
        </w:tc>
        <w:tc>
          <w:tcPr>
            <w:tcW w:w="995" w:type="dxa"/>
            <w:shd w:val="clear" w:color="auto" w:fill="auto"/>
            <w:noWrap/>
            <w:vAlign w:val="center"/>
            <w:hideMark/>
          </w:tcPr>
          <w:p w14:paraId="5875D960" w14:textId="77777777" w:rsidR="00072B66" w:rsidRPr="00D376CB" w:rsidRDefault="00072B66" w:rsidP="00072B66">
            <w:pPr>
              <w:jc w:val="center"/>
              <w:rPr>
                <w:sz w:val="18"/>
                <w:szCs w:val="18"/>
              </w:rPr>
            </w:pPr>
            <w:r w:rsidRPr="00D376CB">
              <w:rPr>
                <w:sz w:val="18"/>
                <w:szCs w:val="18"/>
              </w:rPr>
              <w:t>511</w:t>
            </w:r>
          </w:p>
        </w:tc>
        <w:tc>
          <w:tcPr>
            <w:tcW w:w="1008" w:type="dxa"/>
            <w:shd w:val="clear" w:color="auto" w:fill="auto"/>
            <w:noWrap/>
            <w:vAlign w:val="center"/>
            <w:hideMark/>
          </w:tcPr>
          <w:p w14:paraId="3C211025" w14:textId="77777777" w:rsidR="00072B66" w:rsidRPr="00D376CB" w:rsidRDefault="00072B66" w:rsidP="00072B66">
            <w:pPr>
              <w:jc w:val="center"/>
              <w:rPr>
                <w:sz w:val="18"/>
                <w:szCs w:val="18"/>
              </w:rPr>
            </w:pPr>
            <w:r w:rsidRPr="00D376CB">
              <w:rPr>
                <w:sz w:val="18"/>
                <w:szCs w:val="18"/>
              </w:rPr>
              <w:t>1,533</w:t>
            </w:r>
          </w:p>
        </w:tc>
        <w:tc>
          <w:tcPr>
            <w:tcW w:w="967" w:type="dxa"/>
            <w:shd w:val="clear" w:color="auto" w:fill="auto"/>
            <w:noWrap/>
            <w:vAlign w:val="center"/>
            <w:hideMark/>
          </w:tcPr>
          <w:p w14:paraId="5B7524DF" w14:textId="77777777" w:rsidR="00072B66" w:rsidRPr="00D376CB" w:rsidRDefault="00072B66" w:rsidP="00072B66">
            <w:pPr>
              <w:jc w:val="center"/>
              <w:rPr>
                <w:sz w:val="18"/>
                <w:szCs w:val="18"/>
              </w:rPr>
            </w:pPr>
            <w:r w:rsidRPr="00D376CB">
              <w:rPr>
                <w:sz w:val="18"/>
                <w:szCs w:val="18"/>
              </w:rPr>
              <w:t>8</w:t>
            </w:r>
          </w:p>
        </w:tc>
        <w:tc>
          <w:tcPr>
            <w:tcW w:w="1013" w:type="dxa"/>
            <w:shd w:val="clear" w:color="auto" w:fill="auto"/>
            <w:noWrap/>
            <w:vAlign w:val="center"/>
            <w:hideMark/>
          </w:tcPr>
          <w:p w14:paraId="38145927" w14:textId="77777777" w:rsidR="00072B66" w:rsidRPr="00D376CB" w:rsidRDefault="00072B66" w:rsidP="00072B66">
            <w:pPr>
              <w:jc w:val="center"/>
              <w:rPr>
                <w:sz w:val="18"/>
                <w:szCs w:val="18"/>
              </w:rPr>
            </w:pPr>
            <w:r w:rsidRPr="00D376CB">
              <w:rPr>
                <w:sz w:val="18"/>
                <w:szCs w:val="18"/>
              </w:rPr>
              <w:t>12,264.0</w:t>
            </w:r>
          </w:p>
        </w:tc>
        <w:tc>
          <w:tcPr>
            <w:tcW w:w="702" w:type="dxa"/>
            <w:shd w:val="clear" w:color="auto" w:fill="auto"/>
            <w:noWrap/>
            <w:vAlign w:val="center"/>
            <w:hideMark/>
          </w:tcPr>
          <w:p w14:paraId="7FACF459" w14:textId="77777777" w:rsidR="00072B66" w:rsidRPr="00D376CB" w:rsidRDefault="00072B66" w:rsidP="00072B66">
            <w:pPr>
              <w:jc w:val="center"/>
              <w:rPr>
                <w:sz w:val="18"/>
                <w:szCs w:val="18"/>
              </w:rPr>
            </w:pPr>
            <w:r w:rsidRPr="00D376CB">
              <w:rPr>
                <w:sz w:val="18"/>
                <w:szCs w:val="18"/>
              </w:rPr>
              <w:t>64.46</w:t>
            </w:r>
          </w:p>
        </w:tc>
        <w:tc>
          <w:tcPr>
            <w:tcW w:w="990" w:type="dxa"/>
            <w:shd w:val="clear" w:color="auto" w:fill="auto"/>
            <w:noWrap/>
            <w:vAlign w:val="center"/>
            <w:hideMark/>
          </w:tcPr>
          <w:p w14:paraId="2926E99A" w14:textId="77777777" w:rsidR="00072B66" w:rsidRPr="00D376CB" w:rsidRDefault="00072B66" w:rsidP="00072B66">
            <w:pPr>
              <w:jc w:val="center"/>
              <w:rPr>
                <w:sz w:val="18"/>
                <w:szCs w:val="18"/>
              </w:rPr>
            </w:pPr>
            <w:r w:rsidRPr="00D376CB">
              <w:rPr>
                <w:sz w:val="18"/>
                <w:szCs w:val="18"/>
              </w:rPr>
              <w:t>515.68</w:t>
            </w:r>
          </w:p>
        </w:tc>
        <w:tc>
          <w:tcPr>
            <w:tcW w:w="1278" w:type="dxa"/>
            <w:shd w:val="clear" w:color="auto" w:fill="auto"/>
            <w:noWrap/>
            <w:vAlign w:val="center"/>
            <w:hideMark/>
          </w:tcPr>
          <w:p w14:paraId="54DC88BE" w14:textId="77777777" w:rsidR="00072B66" w:rsidRPr="00D376CB" w:rsidRDefault="00072B66" w:rsidP="00072B66">
            <w:pPr>
              <w:jc w:val="center"/>
              <w:rPr>
                <w:sz w:val="18"/>
                <w:szCs w:val="18"/>
              </w:rPr>
            </w:pPr>
            <w:r w:rsidRPr="00D376CB">
              <w:rPr>
                <w:sz w:val="18"/>
                <w:szCs w:val="18"/>
              </w:rPr>
              <w:t>790,537.44</w:t>
            </w:r>
          </w:p>
        </w:tc>
        <w:tc>
          <w:tcPr>
            <w:tcW w:w="810" w:type="dxa"/>
            <w:shd w:val="clear" w:color="auto" w:fill="auto"/>
            <w:noWrap/>
            <w:vAlign w:val="center"/>
            <w:hideMark/>
          </w:tcPr>
          <w:p w14:paraId="2B76CC06" w14:textId="77777777" w:rsidR="00072B66" w:rsidRPr="00D376CB" w:rsidRDefault="00072B66" w:rsidP="00072B66">
            <w:pPr>
              <w:jc w:val="center"/>
              <w:rPr>
                <w:sz w:val="18"/>
                <w:szCs w:val="18"/>
              </w:rPr>
            </w:pPr>
            <w:r w:rsidRPr="00D376CB">
              <w:rPr>
                <w:sz w:val="18"/>
                <w:szCs w:val="18"/>
              </w:rPr>
              <w:t>annual</w:t>
            </w:r>
          </w:p>
        </w:tc>
        <w:tc>
          <w:tcPr>
            <w:tcW w:w="1147" w:type="dxa"/>
          </w:tcPr>
          <w:p w14:paraId="077DC458" w14:textId="0D4883C4" w:rsidR="00072B66" w:rsidRPr="00D376CB" w:rsidRDefault="00072B66" w:rsidP="00072B66">
            <w:pPr>
              <w:jc w:val="center"/>
              <w:rPr>
                <w:sz w:val="18"/>
                <w:szCs w:val="18"/>
              </w:rPr>
            </w:pPr>
            <w:r>
              <w:rPr>
                <w:sz w:val="18"/>
                <w:szCs w:val="18"/>
              </w:rPr>
              <w:t>R</w:t>
            </w:r>
          </w:p>
        </w:tc>
        <w:tc>
          <w:tcPr>
            <w:tcW w:w="1147" w:type="dxa"/>
            <w:shd w:val="clear" w:color="auto" w:fill="auto"/>
            <w:noWrap/>
            <w:vAlign w:val="center"/>
            <w:hideMark/>
          </w:tcPr>
          <w:p w14:paraId="7EE2265A" w14:textId="77777777" w:rsidR="00072B66" w:rsidRPr="00D376CB" w:rsidRDefault="00072B66" w:rsidP="00072B66">
            <w:pPr>
              <w:jc w:val="center"/>
              <w:rPr>
                <w:sz w:val="18"/>
                <w:szCs w:val="18"/>
              </w:rPr>
            </w:pPr>
            <w:r w:rsidRPr="00D376CB">
              <w:rPr>
                <w:sz w:val="18"/>
                <w:szCs w:val="18"/>
              </w:rPr>
              <w:t>12,264.0</w:t>
            </w:r>
          </w:p>
        </w:tc>
        <w:tc>
          <w:tcPr>
            <w:tcW w:w="1170" w:type="dxa"/>
            <w:shd w:val="clear" w:color="auto" w:fill="auto"/>
            <w:noWrap/>
            <w:vAlign w:val="center"/>
            <w:hideMark/>
          </w:tcPr>
          <w:p w14:paraId="44E6485A" w14:textId="77777777" w:rsidR="00072B66" w:rsidRPr="00D376CB" w:rsidRDefault="00072B66" w:rsidP="00072B66">
            <w:pPr>
              <w:jc w:val="center"/>
              <w:rPr>
                <w:sz w:val="18"/>
                <w:szCs w:val="18"/>
              </w:rPr>
            </w:pPr>
            <w:r w:rsidRPr="00D376CB">
              <w:rPr>
                <w:sz w:val="18"/>
                <w:szCs w:val="18"/>
              </w:rPr>
              <w:t>790,537.44</w:t>
            </w:r>
          </w:p>
        </w:tc>
      </w:tr>
      <w:tr w:rsidR="00072B66" w:rsidRPr="00D376CB" w14:paraId="40CBC475" w14:textId="77777777" w:rsidTr="002F38F5">
        <w:trPr>
          <w:trHeight w:val="480"/>
        </w:trPr>
        <w:tc>
          <w:tcPr>
            <w:tcW w:w="1435" w:type="dxa"/>
          </w:tcPr>
          <w:p w14:paraId="3A6B31F0" w14:textId="77777777" w:rsidR="00072B66" w:rsidRPr="00D376CB" w:rsidRDefault="00072B66" w:rsidP="00072B66">
            <w:pPr>
              <w:jc w:val="center"/>
              <w:rPr>
                <w:sz w:val="18"/>
                <w:szCs w:val="18"/>
              </w:rPr>
            </w:pPr>
            <w:r>
              <w:rPr>
                <w:sz w:val="18"/>
                <w:szCs w:val="18"/>
              </w:rPr>
              <w:t>12.11</w:t>
            </w:r>
          </w:p>
        </w:tc>
        <w:tc>
          <w:tcPr>
            <w:tcW w:w="1435" w:type="dxa"/>
            <w:shd w:val="clear" w:color="auto" w:fill="auto"/>
            <w:vAlign w:val="bottom"/>
            <w:hideMark/>
          </w:tcPr>
          <w:p w14:paraId="3D67A6CB" w14:textId="77777777" w:rsidR="00072B66" w:rsidRPr="00D376CB" w:rsidRDefault="00072B66" w:rsidP="00072B66">
            <w:pPr>
              <w:jc w:val="center"/>
              <w:rPr>
                <w:sz w:val="18"/>
                <w:szCs w:val="18"/>
              </w:rPr>
            </w:pPr>
            <w:r w:rsidRPr="00D376CB">
              <w:rPr>
                <w:sz w:val="18"/>
                <w:szCs w:val="18"/>
              </w:rPr>
              <w:t>438.330(d)(1)-(3)</w:t>
            </w:r>
          </w:p>
          <w:p w14:paraId="4C769515" w14:textId="77777777" w:rsidR="00072B66" w:rsidRPr="00D376CB" w:rsidRDefault="00072B66" w:rsidP="00072B66">
            <w:pPr>
              <w:jc w:val="center"/>
              <w:rPr>
                <w:sz w:val="18"/>
                <w:szCs w:val="18"/>
              </w:rPr>
            </w:pPr>
            <w:r w:rsidRPr="00D376CB">
              <w:rPr>
                <w:sz w:val="18"/>
                <w:szCs w:val="18"/>
              </w:rPr>
              <w:t>PAHP PIPs</w:t>
            </w:r>
          </w:p>
        </w:tc>
        <w:tc>
          <w:tcPr>
            <w:tcW w:w="995" w:type="dxa"/>
            <w:shd w:val="clear" w:color="auto" w:fill="auto"/>
            <w:noWrap/>
            <w:vAlign w:val="center"/>
            <w:hideMark/>
          </w:tcPr>
          <w:p w14:paraId="7C423093" w14:textId="77777777" w:rsidR="00072B66" w:rsidRPr="00D376CB" w:rsidRDefault="00072B66" w:rsidP="00072B66">
            <w:pPr>
              <w:jc w:val="center"/>
              <w:rPr>
                <w:sz w:val="18"/>
                <w:szCs w:val="18"/>
              </w:rPr>
            </w:pPr>
            <w:r w:rsidRPr="00D376CB">
              <w:rPr>
                <w:sz w:val="18"/>
                <w:szCs w:val="18"/>
              </w:rPr>
              <w:t>41</w:t>
            </w:r>
          </w:p>
        </w:tc>
        <w:tc>
          <w:tcPr>
            <w:tcW w:w="1008" w:type="dxa"/>
            <w:shd w:val="clear" w:color="auto" w:fill="auto"/>
            <w:noWrap/>
            <w:vAlign w:val="center"/>
            <w:hideMark/>
          </w:tcPr>
          <w:p w14:paraId="124E7177" w14:textId="77777777" w:rsidR="00072B66" w:rsidRPr="00D376CB" w:rsidRDefault="00072B66" w:rsidP="00072B66">
            <w:pPr>
              <w:jc w:val="center"/>
              <w:rPr>
                <w:sz w:val="18"/>
                <w:szCs w:val="18"/>
              </w:rPr>
            </w:pPr>
            <w:r w:rsidRPr="00D376CB">
              <w:rPr>
                <w:sz w:val="18"/>
                <w:szCs w:val="18"/>
              </w:rPr>
              <w:t>41</w:t>
            </w:r>
          </w:p>
        </w:tc>
        <w:tc>
          <w:tcPr>
            <w:tcW w:w="967" w:type="dxa"/>
            <w:shd w:val="clear" w:color="auto" w:fill="auto"/>
            <w:noWrap/>
            <w:vAlign w:val="center"/>
            <w:hideMark/>
          </w:tcPr>
          <w:p w14:paraId="666391A8" w14:textId="77777777" w:rsidR="00072B66" w:rsidRPr="00D376CB" w:rsidRDefault="00072B66" w:rsidP="00072B66">
            <w:pPr>
              <w:jc w:val="center"/>
              <w:rPr>
                <w:sz w:val="18"/>
                <w:szCs w:val="18"/>
              </w:rPr>
            </w:pPr>
            <w:r w:rsidRPr="00D376CB">
              <w:rPr>
                <w:sz w:val="18"/>
                <w:szCs w:val="18"/>
              </w:rPr>
              <w:t>8</w:t>
            </w:r>
          </w:p>
        </w:tc>
        <w:tc>
          <w:tcPr>
            <w:tcW w:w="1013" w:type="dxa"/>
            <w:shd w:val="clear" w:color="auto" w:fill="auto"/>
            <w:noWrap/>
            <w:vAlign w:val="center"/>
            <w:hideMark/>
          </w:tcPr>
          <w:p w14:paraId="14D7D96A" w14:textId="77777777" w:rsidR="00072B66" w:rsidRPr="00D376CB" w:rsidRDefault="00072B66" w:rsidP="00072B66">
            <w:pPr>
              <w:jc w:val="center"/>
              <w:rPr>
                <w:sz w:val="18"/>
                <w:szCs w:val="18"/>
              </w:rPr>
            </w:pPr>
            <w:r w:rsidRPr="00D376CB">
              <w:rPr>
                <w:sz w:val="18"/>
                <w:szCs w:val="18"/>
              </w:rPr>
              <w:t>328.0</w:t>
            </w:r>
          </w:p>
        </w:tc>
        <w:tc>
          <w:tcPr>
            <w:tcW w:w="702" w:type="dxa"/>
            <w:shd w:val="clear" w:color="auto" w:fill="auto"/>
            <w:noWrap/>
            <w:vAlign w:val="center"/>
            <w:hideMark/>
          </w:tcPr>
          <w:p w14:paraId="37BC62E4" w14:textId="77777777" w:rsidR="00072B66" w:rsidRPr="00D376CB" w:rsidRDefault="00072B66" w:rsidP="00072B66">
            <w:pPr>
              <w:jc w:val="center"/>
              <w:rPr>
                <w:sz w:val="18"/>
                <w:szCs w:val="18"/>
              </w:rPr>
            </w:pPr>
            <w:r w:rsidRPr="00D376CB">
              <w:rPr>
                <w:sz w:val="18"/>
                <w:szCs w:val="18"/>
              </w:rPr>
              <w:t>64.46</w:t>
            </w:r>
          </w:p>
        </w:tc>
        <w:tc>
          <w:tcPr>
            <w:tcW w:w="990" w:type="dxa"/>
            <w:shd w:val="clear" w:color="auto" w:fill="auto"/>
            <w:noWrap/>
            <w:vAlign w:val="center"/>
            <w:hideMark/>
          </w:tcPr>
          <w:p w14:paraId="512AA52F" w14:textId="77777777" w:rsidR="00072B66" w:rsidRPr="00D376CB" w:rsidRDefault="00072B66" w:rsidP="00072B66">
            <w:pPr>
              <w:jc w:val="center"/>
              <w:rPr>
                <w:sz w:val="18"/>
                <w:szCs w:val="18"/>
              </w:rPr>
            </w:pPr>
            <w:r w:rsidRPr="00D376CB">
              <w:rPr>
                <w:sz w:val="18"/>
                <w:szCs w:val="18"/>
              </w:rPr>
              <w:t>515.68</w:t>
            </w:r>
          </w:p>
        </w:tc>
        <w:tc>
          <w:tcPr>
            <w:tcW w:w="1278" w:type="dxa"/>
            <w:shd w:val="clear" w:color="auto" w:fill="auto"/>
            <w:noWrap/>
            <w:vAlign w:val="center"/>
            <w:hideMark/>
          </w:tcPr>
          <w:p w14:paraId="6C0FEC8A" w14:textId="77777777" w:rsidR="00072B66" w:rsidRPr="00D376CB" w:rsidRDefault="00072B66" w:rsidP="00072B66">
            <w:pPr>
              <w:jc w:val="center"/>
              <w:rPr>
                <w:sz w:val="18"/>
                <w:szCs w:val="18"/>
              </w:rPr>
            </w:pPr>
            <w:r w:rsidRPr="00D376CB">
              <w:rPr>
                <w:sz w:val="18"/>
                <w:szCs w:val="18"/>
              </w:rPr>
              <w:t>21,142.88</w:t>
            </w:r>
          </w:p>
        </w:tc>
        <w:tc>
          <w:tcPr>
            <w:tcW w:w="810" w:type="dxa"/>
            <w:shd w:val="clear" w:color="auto" w:fill="auto"/>
            <w:noWrap/>
            <w:vAlign w:val="center"/>
            <w:hideMark/>
          </w:tcPr>
          <w:p w14:paraId="39F25CA0" w14:textId="77777777" w:rsidR="00072B66" w:rsidRPr="00D376CB" w:rsidRDefault="00072B66" w:rsidP="00072B66">
            <w:pPr>
              <w:jc w:val="center"/>
              <w:rPr>
                <w:sz w:val="18"/>
                <w:szCs w:val="18"/>
              </w:rPr>
            </w:pPr>
            <w:r w:rsidRPr="00D376CB">
              <w:rPr>
                <w:sz w:val="18"/>
                <w:szCs w:val="18"/>
              </w:rPr>
              <w:t>annual</w:t>
            </w:r>
          </w:p>
        </w:tc>
        <w:tc>
          <w:tcPr>
            <w:tcW w:w="1147" w:type="dxa"/>
          </w:tcPr>
          <w:p w14:paraId="21D82E95" w14:textId="6B8AAC56" w:rsidR="00072B66" w:rsidRPr="00D376CB" w:rsidRDefault="00072B66" w:rsidP="00072B66">
            <w:pPr>
              <w:jc w:val="center"/>
              <w:rPr>
                <w:sz w:val="18"/>
                <w:szCs w:val="18"/>
              </w:rPr>
            </w:pPr>
            <w:r>
              <w:rPr>
                <w:sz w:val="18"/>
                <w:szCs w:val="18"/>
              </w:rPr>
              <w:t>R</w:t>
            </w:r>
          </w:p>
        </w:tc>
        <w:tc>
          <w:tcPr>
            <w:tcW w:w="1147" w:type="dxa"/>
            <w:shd w:val="clear" w:color="auto" w:fill="auto"/>
            <w:noWrap/>
            <w:vAlign w:val="center"/>
            <w:hideMark/>
          </w:tcPr>
          <w:p w14:paraId="7D7FD667" w14:textId="77777777" w:rsidR="00072B66" w:rsidRPr="00D376CB" w:rsidRDefault="00072B66" w:rsidP="00072B66">
            <w:pPr>
              <w:jc w:val="center"/>
              <w:rPr>
                <w:sz w:val="18"/>
                <w:szCs w:val="18"/>
              </w:rPr>
            </w:pPr>
            <w:r w:rsidRPr="00D376CB">
              <w:rPr>
                <w:sz w:val="18"/>
                <w:szCs w:val="18"/>
              </w:rPr>
              <w:t>328.0</w:t>
            </w:r>
          </w:p>
        </w:tc>
        <w:tc>
          <w:tcPr>
            <w:tcW w:w="1170" w:type="dxa"/>
            <w:shd w:val="clear" w:color="auto" w:fill="auto"/>
            <w:noWrap/>
            <w:vAlign w:val="center"/>
            <w:hideMark/>
          </w:tcPr>
          <w:p w14:paraId="2C512A2D" w14:textId="77777777" w:rsidR="00072B66" w:rsidRPr="00D376CB" w:rsidRDefault="00072B66" w:rsidP="00072B66">
            <w:pPr>
              <w:jc w:val="center"/>
              <w:rPr>
                <w:sz w:val="18"/>
                <w:szCs w:val="18"/>
              </w:rPr>
            </w:pPr>
            <w:r w:rsidRPr="00D376CB">
              <w:rPr>
                <w:sz w:val="18"/>
                <w:szCs w:val="18"/>
              </w:rPr>
              <w:t>21,142.88</w:t>
            </w:r>
          </w:p>
        </w:tc>
      </w:tr>
      <w:tr w:rsidR="00072B66" w:rsidRPr="00D376CB" w14:paraId="51CE27E7" w14:textId="77777777" w:rsidTr="00072B66">
        <w:trPr>
          <w:trHeight w:val="290"/>
        </w:trPr>
        <w:tc>
          <w:tcPr>
            <w:tcW w:w="1435" w:type="dxa"/>
            <w:shd w:val="clear" w:color="auto" w:fill="D9D9D9" w:themeFill="background1" w:themeFillShade="D9"/>
          </w:tcPr>
          <w:p w14:paraId="549242D6" w14:textId="2FA1FA72" w:rsidR="00072B66" w:rsidRPr="00352D04" w:rsidRDefault="00072B66" w:rsidP="00072B66">
            <w:pPr>
              <w:jc w:val="center"/>
              <w:rPr>
                <w:sz w:val="18"/>
                <w:szCs w:val="18"/>
              </w:rPr>
            </w:pPr>
          </w:p>
        </w:tc>
        <w:tc>
          <w:tcPr>
            <w:tcW w:w="1435" w:type="dxa"/>
            <w:shd w:val="clear" w:color="auto" w:fill="D9D9D9" w:themeFill="background1" w:themeFillShade="D9"/>
            <w:vAlign w:val="center"/>
          </w:tcPr>
          <w:p w14:paraId="0A1AFB17" w14:textId="3C0F76E1" w:rsidR="00072B66" w:rsidRPr="00352D04" w:rsidRDefault="00BD266D" w:rsidP="00072B66">
            <w:pPr>
              <w:jc w:val="center"/>
              <w:rPr>
                <w:sz w:val="18"/>
                <w:szCs w:val="18"/>
              </w:rPr>
            </w:pPr>
            <w:r>
              <w:rPr>
                <w:i/>
                <w:color w:val="000000"/>
                <w:sz w:val="18"/>
                <w:szCs w:val="18"/>
              </w:rPr>
              <w:t>SUBTOTAL: Reporting</w:t>
            </w:r>
          </w:p>
        </w:tc>
        <w:tc>
          <w:tcPr>
            <w:tcW w:w="995" w:type="dxa"/>
            <w:shd w:val="clear" w:color="auto" w:fill="D9D9D9" w:themeFill="background1" w:themeFillShade="D9"/>
            <w:noWrap/>
            <w:vAlign w:val="center"/>
          </w:tcPr>
          <w:p w14:paraId="481F51AF" w14:textId="297CD14F" w:rsidR="00072B66" w:rsidRPr="00352D04" w:rsidRDefault="00352D04" w:rsidP="00072B66">
            <w:pPr>
              <w:jc w:val="center"/>
              <w:rPr>
                <w:sz w:val="18"/>
                <w:szCs w:val="18"/>
              </w:rPr>
            </w:pPr>
            <w:r w:rsidRPr="00352D04">
              <w:rPr>
                <w:sz w:val="18"/>
                <w:szCs w:val="18"/>
              </w:rPr>
              <w:t>511</w:t>
            </w:r>
          </w:p>
        </w:tc>
        <w:tc>
          <w:tcPr>
            <w:tcW w:w="1008" w:type="dxa"/>
            <w:shd w:val="clear" w:color="auto" w:fill="D9D9D9" w:themeFill="background1" w:themeFillShade="D9"/>
            <w:noWrap/>
            <w:vAlign w:val="center"/>
          </w:tcPr>
          <w:p w14:paraId="748D867B" w14:textId="347685B6" w:rsidR="00072B66" w:rsidRPr="00352D04" w:rsidRDefault="00352D04" w:rsidP="00072B66">
            <w:pPr>
              <w:jc w:val="center"/>
              <w:rPr>
                <w:sz w:val="18"/>
                <w:szCs w:val="18"/>
              </w:rPr>
            </w:pPr>
            <w:r>
              <w:rPr>
                <w:sz w:val="18"/>
                <w:szCs w:val="18"/>
              </w:rPr>
              <w:t>3,624</w:t>
            </w:r>
          </w:p>
        </w:tc>
        <w:tc>
          <w:tcPr>
            <w:tcW w:w="967" w:type="dxa"/>
            <w:shd w:val="clear" w:color="auto" w:fill="D9D9D9" w:themeFill="background1" w:themeFillShade="D9"/>
            <w:noWrap/>
            <w:vAlign w:val="center"/>
          </w:tcPr>
          <w:p w14:paraId="746D09B4" w14:textId="41F471EE" w:rsidR="00072B66" w:rsidRPr="00352D04" w:rsidRDefault="00352D04" w:rsidP="00072B66">
            <w:pPr>
              <w:jc w:val="center"/>
              <w:rPr>
                <w:sz w:val="18"/>
                <w:szCs w:val="18"/>
              </w:rPr>
            </w:pPr>
            <w:r>
              <w:rPr>
                <w:sz w:val="18"/>
                <w:szCs w:val="18"/>
              </w:rPr>
              <w:t>varies</w:t>
            </w:r>
          </w:p>
        </w:tc>
        <w:tc>
          <w:tcPr>
            <w:tcW w:w="1013" w:type="dxa"/>
            <w:shd w:val="clear" w:color="auto" w:fill="D9D9D9" w:themeFill="background1" w:themeFillShade="D9"/>
            <w:noWrap/>
            <w:vAlign w:val="center"/>
          </w:tcPr>
          <w:p w14:paraId="161A2352" w14:textId="3F847ED1" w:rsidR="00072B66" w:rsidRPr="00352D04" w:rsidRDefault="00352D04" w:rsidP="00072B66">
            <w:pPr>
              <w:jc w:val="center"/>
              <w:rPr>
                <w:sz w:val="18"/>
                <w:szCs w:val="18"/>
              </w:rPr>
            </w:pPr>
            <w:r>
              <w:rPr>
                <w:sz w:val="18"/>
                <w:szCs w:val="18"/>
              </w:rPr>
              <w:t>14,867.30</w:t>
            </w:r>
          </w:p>
        </w:tc>
        <w:tc>
          <w:tcPr>
            <w:tcW w:w="702" w:type="dxa"/>
            <w:shd w:val="clear" w:color="auto" w:fill="D9D9D9" w:themeFill="background1" w:themeFillShade="D9"/>
            <w:noWrap/>
            <w:vAlign w:val="center"/>
          </w:tcPr>
          <w:p w14:paraId="03C9CE0B" w14:textId="5901EB05" w:rsidR="00072B66" w:rsidRPr="00352D04" w:rsidRDefault="00352D04" w:rsidP="00072B66">
            <w:pPr>
              <w:jc w:val="center"/>
              <w:rPr>
                <w:sz w:val="18"/>
                <w:szCs w:val="18"/>
              </w:rPr>
            </w:pPr>
            <w:r>
              <w:rPr>
                <w:sz w:val="18"/>
                <w:szCs w:val="18"/>
              </w:rPr>
              <w:t>64.46</w:t>
            </w:r>
          </w:p>
        </w:tc>
        <w:tc>
          <w:tcPr>
            <w:tcW w:w="990" w:type="dxa"/>
            <w:shd w:val="clear" w:color="auto" w:fill="D9D9D9" w:themeFill="background1" w:themeFillShade="D9"/>
            <w:noWrap/>
            <w:vAlign w:val="center"/>
          </w:tcPr>
          <w:p w14:paraId="6FF239E2" w14:textId="1853D99C" w:rsidR="00072B66" w:rsidRPr="00352D04" w:rsidRDefault="00352D04" w:rsidP="00072B66">
            <w:pPr>
              <w:jc w:val="center"/>
              <w:rPr>
                <w:sz w:val="18"/>
                <w:szCs w:val="18"/>
              </w:rPr>
            </w:pPr>
            <w:r>
              <w:rPr>
                <w:sz w:val="18"/>
                <w:szCs w:val="18"/>
              </w:rPr>
              <w:t>2,198.09</w:t>
            </w:r>
          </w:p>
        </w:tc>
        <w:tc>
          <w:tcPr>
            <w:tcW w:w="1278" w:type="dxa"/>
            <w:shd w:val="clear" w:color="auto" w:fill="D9D9D9" w:themeFill="background1" w:themeFillShade="D9"/>
            <w:noWrap/>
            <w:vAlign w:val="center"/>
          </w:tcPr>
          <w:p w14:paraId="3AA394A7" w14:textId="54F931E1" w:rsidR="00072B66" w:rsidRPr="00352D04" w:rsidRDefault="00352D04" w:rsidP="00072B66">
            <w:pPr>
              <w:jc w:val="center"/>
              <w:rPr>
                <w:sz w:val="18"/>
                <w:szCs w:val="18"/>
              </w:rPr>
            </w:pPr>
            <w:r>
              <w:rPr>
                <w:sz w:val="18"/>
                <w:szCs w:val="18"/>
              </w:rPr>
              <w:t>958,346.16</w:t>
            </w:r>
          </w:p>
        </w:tc>
        <w:tc>
          <w:tcPr>
            <w:tcW w:w="810" w:type="dxa"/>
            <w:shd w:val="clear" w:color="auto" w:fill="D9D9D9" w:themeFill="background1" w:themeFillShade="D9"/>
            <w:noWrap/>
            <w:vAlign w:val="center"/>
          </w:tcPr>
          <w:p w14:paraId="308AA6C2" w14:textId="76FB567B" w:rsidR="00072B66" w:rsidRPr="00352D04" w:rsidRDefault="00352D04" w:rsidP="00072B66">
            <w:pPr>
              <w:jc w:val="center"/>
              <w:rPr>
                <w:sz w:val="18"/>
                <w:szCs w:val="18"/>
              </w:rPr>
            </w:pPr>
            <w:r>
              <w:rPr>
                <w:sz w:val="18"/>
                <w:szCs w:val="18"/>
              </w:rPr>
              <w:t>annual</w:t>
            </w:r>
          </w:p>
        </w:tc>
        <w:tc>
          <w:tcPr>
            <w:tcW w:w="1147" w:type="dxa"/>
            <w:shd w:val="clear" w:color="auto" w:fill="D9D9D9" w:themeFill="background1" w:themeFillShade="D9"/>
          </w:tcPr>
          <w:p w14:paraId="522C1D05" w14:textId="2331B368" w:rsidR="00072B66" w:rsidRPr="00352D04" w:rsidRDefault="00352D04" w:rsidP="00072B66">
            <w:pPr>
              <w:jc w:val="center"/>
              <w:rPr>
                <w:sz w:val="18"/>
                <w:szCs w:val="18"/>
              </w:rPr>
            </w:pPr>
            <w:r>
              <w:rPr>
                <w:sz w:val="18"/>
                <w:szCs w:val="18"/>
              </w:rPr>
              <w:t>R</w:t>
            </w:r>
          </w:p>
        </w:tc>
        <w:tc>
          <w:tcPr>
            <w:tcW w:w="1147" w:type="dxa"/>
            <w:shd w:val="clear" w:color="auto" w:fill="D9D9D9" w:themeFill="background1" w:themeFillShade="D9"/>
            <w:noWrap/>
            <w:vAlign w:val="center"/>
          </w:tcPr>
          <w:p w14:paraId="016219AB" w14:textId="73CC0974" w:rsidR="00072B66" w:rsidRPr="00352D04" w:rsidRDefault="00352D04" w:rsidP="00072B66">
            <w:pPr>
              <w:jc w:val="center"/>
              <w:rPr>
                <w:sz w:val="18"/>
                <w:szCs w:val="18"/>
              </w:rPr>
            </w:pPr>
            <w:r>
              <w:rPr>
                <w:sz w:val="18"/>
                <w:szCs w:val="18"/>
              </w:rPr>
              <w:t>14,867.3</w:t>
            </w:r>
          </w:p>
        </w:tc>
        <w:tc>
          <w:tcPr>
            <w:tcW w:w="1170" w:type="dxa"/>
            <w:shd w:val="clear" w:color="auto" w:fill="D9D9D9" w:themeFill="background1" w:themeFillShade="D9"/>
            <w:noWrap/>
            <w:vAlign w:val="center"/>
          </w:tcPr>
          <w:p w14:paraId="2B7F6839" w14:textId="12EE2DBE" w:rsidR="00072B66" w:rsidRPr="00352D04" w:rsidRDefault="00352D04" w:rsidP="00072B66">
            <w:pPr>
              <w:jc w:val="center"/>
              <w:rPr>
                <w:sz w:val="18"/>
                <w:szCs w:val="18"/>
              </w:rPr>
            </w:pPr>
            <w:r>
              <w:rPr>
                <w:sz w:val="18"/>
                <w:szCs w:val="18"/>
              </w:rPr>
              <w:t>958,346.16</w:t>
            </w:r>
          </w:p>
        </w:tc>
      </w:tr>
      <w:tr w:rsidR="00072B66" w:rsidRPr="00FE41E0" w14:paraId="2AA24E48" w14:textId="77777777" w:rsidTr="00072B66">
        <w:trPr>
          <w:trHeight w:val="290"/>
        </w:trPr>
        <w:tc>
          <w:tcPr>
            <w:tcW w:w="1435" w:type="dxa"/>
            <w:shd w:val="clear" w:color="auto" w:fill="D9D9D9" w:themeFill="background1" w:themeFillShade="D9"/>
          </w:tcPr>
          <w:p w14:paraId="2648186D" w14:textId="77777777" w:rsidR="00072B66" w:rsidRPr="00FE41E0" w:rsidRDefault="00072B66" w:rsidP="00072B66">
            <w:pPr>
              <w:jc w:val="center"/>
              <w:rPr>
                <w:b/>
                <w:sz w:val="18"/>
                <w:szCs w:val="18"/>
              </w:rPr>
            </w:pPr>
          </w:p>
        </w:tc>
        <w:tc>
          <w:tcPr>
            <w:tcW w:w="1435" w:type="dxa"/>
            <w:shd w:val="clear" w:color="auto" w:fill="D9D9D9" w:themeFill="background1" w:themeFillShade="D9"/>
            <w:vAlign w:val="center"/>
          </w:tcPr>
          <w:p w14:paraId="36DDD814" w14:textId="6907735A" w:rsidR="00072B66" w:rsidRPr="00FE41E0" w:rsidRDefault="00072B66" w:rsidP="00072B66">
            <w:pPr>
              <w:jc w:val="center"/>
              <w:rPr>
                <w:b/>
                <w:sz w:val="18"/>
                <w:szCs w:val="18"/>
              </w:rPr>
            </w:pPr>
            <w:r w:rsidRPr="00FE41E0">
              <w:rPr>
                <w:b/>
                <w:color w:val="000000"/>
                <w:sz w:val="18"/>
                <w:szCs w:val="18"/>
              </w:rPr>
              <w:t>TOTAL</w:t>
            </w:r>
          </w:p>
        </w:tc>
        <w:tc>
          <w:tcPr>
            <w:tcW w:w="995" w:type="dxa"/>
            <w:shd w:val="clear" w:color="auto" w:fill="D9D9D9" w:themeFill="background1" w:themeFillShade="D9"/>
            <w:noWrap/>
            <w:vAlign w:val="center"/>
          </w:tcPr>
          <w:p w14:paraId="77B73FDE" w14:textId="3DDA063D" w:rsidR="00072B66" w:rsidRPr="00FE41E0" w:rsidRDefault="001029B4" w:rsidP="00072B66">
            <w:pPr>
              <w:jc w:val="center"/>
              <w:rPr>
                <w:b/>
                <w:sz w:val="18"/>
                <w:szCs w:val="18"/>
              </w:rPr>
            </w:pPr>
            <w:r>
              <w:rPr>
                <w:b/>
                <w:sz w:val="18"/>
                <w:szCs w:val="18"/>
              </w:rPr>
              <w:t>561</w:t>
            </w:r>
          </w:p>
        </w:tc>
        <w:tc>
          <w:tcPr>
            <w:tcW w:w="1008" w:type="dxa"/>
            <w:shd w:val="clear" w:color="auto" w:fill="D9D9D9" w:themeFill="background1" w:themeFillShade="D9"/>
            <w:noWrap/>
            <w:vAlign w:val="center"/>
          </w:tcPr>
          <w:p w14:paraId="4C1A283A" w14:textId="649F2216" w:rsidR="00072B66" w:rsidRPr="00FE41E0" w:rsidRDefault="00BF7FB1" w:rsidP="00072B66">
            <w:pPr>
              <w:jc w:val="center"/>
              <w:rPr>
                <w:b/>
                <w:sz w:val="18"/>
                <w:szCs w:val="18"/>
              </w:rPr>
            </w:pPr>
            <w:r w:rsidRPr="00FE41E0">
              <w:rPr>
                <w:b/>
                <w:sz w:val="18"/>
                <w:szCs w:val="18"/>
              </w:rPr>
              <w:t>3,674</w:t>
            </w:r>
          </w:p>
        </w:tc>
        <w:tc>
          <w:tcPr>
            <w:tcW w:w="967" w:type="dxa"/>
            <w:shd w:val="clear" w:color="auto" w:fill="D9D9D9" w:themeFill="background1" w:themeFillShade="D9"/>
            <w:noWrap/>
            <w:vAlign w:val="center"/>
          </w:tcPr>
          <w:p w14:paraId="22860739" w14:textId="47EB9B68" w:rsidR="00072B66" w:rsidRPr="00FE41E0" w:rsidRDefault="00BF7FB1" w:rsidP="00072B66">
            <w:pPr>
              <w:jc w:val="center"/>
              <w:rPr>
                <w:b/>
                <w:sz w:val="18"/>
                <w:szCs w:val="18"/>
              </w:rPr>
            </w:pPr>
            <w:r w:rsidRPr="00FE41E0">
              <w:rPr>
                <w:b/>
                <w:sz w:val="18"/>
                <w:szCs w:val="18"/>
              </w:rPr>
              <w:t>varies</w:t>
            </w:r>
          </w:p>
        </w:tc>
        <w:tc>
          <w:tcPr>
            <w:tcW w:w="1013" w:type="dxa"/>
            <w:shd w:val="clear" w:color="auto" w:fill="D9D9D9" w:themeFill="background1" w:themeFillShade="D9"/>
            <w:noWrap/>
            <w:vAlign w:val="center"/>
          </w:tcPr>
          <w:p w14:paraId="0ACFDA7F" w14:textId="393F63E0" w:rsidR="00072B66" w:rsidRPr="00FE41E0" w:rsidRDefault="00BF7FB1" w:rsidP="00072B66">
            <w:pPr>
              <w:jc w:val="center"/>
              <w:rPr>
                <w:b/>
                <w:sz w:val="18"/>
                <w:szCs w:val="18"/>
              </w:rPr>
            </w:pPr>
            <w:r w:rsidRPr="00FE41E0">
              <w:rPr>
                <w:b/>
                <w:sz w:val="18"/>
                <w:szCs w:val="18"/>
              </w:rPr>
              <w:t>15,039.3</w:t>
            </w:r>
          </w:p>
        </w:tc>
        <w:tc>
          <w:tcPr>
            <w:tcW w:w="702" w:type="dxa"/>
            <w:shd w:val="clear" w:color="auto" w:fill="D9D9D9" w:themeFill="background1" w:themeFillShade="D9"/>
            <w:noWrap/>
            <w:vAlign w:val="center"/>
          </w:tcPr>
          <w:p w14:paraId="62FDE3DF" w14:textId="7498AC34" w:rsidR="00072B66" w:rsidRPr="00FE41E0" w:rsidRDefault="00FE41E0" w:rsidP="00072B66">
            <w:pPr>
              <w:jc w:val="center"/>
              <w:rPr>
                <w:b/>
                <w:sz w:val="18"/>
                <w:szCs w:val="18"/>
              </w:rPr>
            </w:pPr>
            <w:r w:rsidRPr="00FE41E0">
              <w:rPr>
                <w:b/>
                <w:sz w:val="18"/>
                <w:szCs w:val="18"/>
              </w:rPr>
              <w:t>64.46</w:t>
            </w:r>
          </w:p>
        </w:tc>
        <w:tc>
          <w:tcPr>
            <w:tcW w:w="990" w:type="dxa"/>
            <w:shd w:val="clear" w:color="auto" w:fill="D9D9D9" w:themeFill="background1" w:themeFillShade="D9"/>
            <w:noWrap/>
            <w:vAlign w:val="center"/>
          </w:tcPr>
          <w:p w14:paraId="411BC285" w14:textId="1CAFAB82" w:rsidR="00072B66" w:rsidRPr="00FE41E0" w:rsidRDefault="00FE41E0" w:rsidP="00072B66">
            <w:pPr>
              <w:jc w:val="center"/>
              <w:rPr>
                <w:b/>
                <w:sz w:val="18"/>
                <w:szCs w:val="18"/>
              </w:rPr>
            </w:pPr>
            <w:r w:rsidRPr="00FE41E0">
              <w:rPr>
                <w:b/>
                <w:sz w:val="18"/>
                <w:szCs w:val="18"/>
              </w:rPr>
              <w:t>2,971.61</w:t>
            </w:r>
          </w:p>
        </w:tc>
        <w:tc>
          <w:tcPr>
            <w:tcW w:w="1278" w:type="dxa"/>
            <w:shd w:val="clear" w:color="auto" w:fill="D9D9D9" w:themeFill="background1" w:themeFillShade="D9"/>
            <w:noWrap/>
            <w:vAlign w:val="center"/>
          </w:tcPr>
          <w:p w14:paraId="6102405B" w14:textId="456BB539" w:rsidR="00072B66" w:rsidRPr="00FE41E0" w:rsidRDefault="00FE41E0" w:rsidP="00072B66">
            <w:pPr>
              <w:jc w:val="center"/>
              <w:rPr>
                <w:b/>
                <w:sz w:val="18"/>
                <w:szCs w:val="18"/>
              </w:rPr>
            </w:pPr>
            <w:r w:rsidRPr="00FE41E0">
              <w:rPr>
                <w:b/>
                <w:sz w:val="18"/>
                <w:szCs w:val="18"/>
              </w:rPr>
              <w:t>969,433.28</w:t>
            </w:r>
          </w:p>
        </w:tc>
        <w:tc>
          <w:tcPr>
            <w:tcW w:w="810" w:type="dxa"/>
            <w:shd w:val="clear" w:color="auto" w:fill="D9D9D9" w:themeFill="background1" w:themeFillShade="D9"/>
            <w:noWrap/>
            <w:vAlign w:val="center"/>
          </w:tcPr>
          <w:p w14:paraId="2E6BCD4F" w14:textId="50141F2D" w:rsidR="00072B66" w:rsidRPr="00FE41E0" w:rsidRDefault="00FE41E0" w:rsidP="00072B66">
            <w:pPr>
              <w:jc w:val="center"/>
              <w:rPr>
                <w:b/>
                <w:sz w:val="18"/>
                <w:szCs w:val="18"/>
              </w:rPr>
            </w:pPr>
            <w:r w:rsidRPr="00FE41E0">
              <w:rPr>
                <w:b/>
                <w:sz w:val="18"/>
                <w:szCs w:val="18"/>
              </w:rPr>
              <w:t>n/a</w:t>
            </w:r>
          </w:p>
        </w:tc>
        <w:tc>
          <w:tcPr>
            <w:tcW w:w="1147" w:type="dxa"/>
            <w:shd w:val="clear" w:color="auto" w:fill="D9D9D9" w:themeFill="background1" w:themeFillShade="D9"/>
          </w:tcPr>
          <w:p w14:paraId="78B018E7" w14:textId="2EFCE886" w:rsidR="00072B66" w:rsidRPr="00FE41E0" w:rsidRDefault="00FE41E0" w:rsidP="00072B66">
            <w:pPr>
              <w:jc w:val="center"/>
              <w:rPr>
                <w:b/>
                <w:sz w:val="18"/>
                <w:szCs w:val="18"/>
              </w:rPr>
            </w:pPr>
            <w:r w:rsidRPr="00FE41E0">
              <w:rPr>
                <w:b/>
                <w:sz w:val="18"/>
                <w:szCs w:val="18"/>
              </w:rPr>
              <w:t>n/a</w:t>
            </w:r>
          </w:p>
        </w:tc>
        <w:tc>
          <w:tcPr>
            <w:tcW w:w="1147" w:type="dxa"/>
            <w:shd w:val="clear" w:color="auto" w:fill="D9D9D9" w:themeFill="background1" w:themeFillShade="D9"/>
            <w:noWrap/>
            <w:vAlign w:val="center"/>
          </w:tcPr>
          <w:p w14:paraId="16B84185" w14:textId="0DF4B61A" w:rsidR="00072B66" w:rsidRPr="00FE41E0" w:rsidRDefault="00FE41E0" w:rsidP="00072B66">
            <w:pPr>
              <w:jc w:val="center"/>
              <w:rPr>
                <w:b/>
                <w:sz w:val="18"/>
                <w:szCs w:val="18"/>
              </w:rPr>
            </w:pPr>
            <w:r w:rsidRPr="00FE41E0">
              <w:rPr>
                <w:b/>
                <w:sz w:val="18"/>
                <w:szCs w:val="18"/>
              </w:rPr>
              <w:t>14,924.6</w:t>
            </w:r>
          </w:p>
        </w:tc>
        <w:tc>
          <w:tcPr>
            <w:tcW w:w="1170" w:type="dxa"/>
            <w:shd w:val="clear" w:color="auto" w:fill="D9D9D9" w:themeFill="background1" w:themeFillShade="D9"/>
            <w:noWrap/>
            <w:vAlign w:val="center"/>
          </w:tcPr>
          <w:p w14:paraId="35B63880" w14:textId="68FBEB4C" w:rsidR="00072B66" w:rsidRPr="00FE41E0" w:rsidRDefault="00FE41E0" w:rsidP="00072B66">
            <w:pPr>
              <w:jc w:val="center"/>
              <w:rPr>
                <w:b/>
                <w:sz w:val="18"/>
                <w:szCs w:val="18"/>
              </w:rPr>
            </w:pPr>
            <w:r w:rsidRPr="00FE41E0">
              <w:rPr>
                <w:b/>
                <w:sz w:val="18"/>
                <w:szCs w:val="18"/>
              </w:rPr>
              <w:t>962,041.87</w:t>
            </w:r>
          </w:p>
        </w:tc>
      </w:tr>
    </w:tbl>
    <w:p w14:paraId="23ACB09F" w14:textId="77777777" w:rsidR="00F671C4" w:rsidRDefault="00F671C4" w:rsidP="000A366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C426153" w14:textId="77777777" w:rsidR="008B4898" w:rsidRDefault="008B489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sectPr w:rsidR="008B4898" w:rsidSect="008B4898">
          <w:endnotePr>
            <w:numFmt w:val="decimal"/>
          </w:endnotePr>
          <w:pgSz w:w="15840" w:h="12240" w:orient="landscape"/>
          <w:pgMar w:top="1440" w:right="1440" w:bottom="1296" w:left="1440" w:header="1440" w:footer="1440" w:gutter="0"/>
          <w:cols w:space="720"/>
          <w:noEndnote/>
          <w:docGrid w:linePitch="272"/>
        </w:sectPr>
      </w:pPr>
    </w:p>
    <w:p w14:paraId="3300882C" w14:textId="77777777" w:rsidR="00F671C4" w:rsidRDefault="00F671C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14:paraId="3674D39B" w14:textId="3F291819" w:rsidR="00F671C4" w:rsidRPr="00F671C4" w:rsidRDefault="00F671C4" w:rsidP="00137D0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firstLine="18"/>
        <w:rPr>
          <w:i/>
          <w:sz w:val="24"/>
        </w:rPr>
      </w:pPr>
      <w:r w:rsidRPr="00F671C4">
        <w:rPr>
          <w:i/>
          <w:sz w:val="24"/>
        </w:rPr>
        <w:t>Information Collection Instruments and Guidance/Instruction Documents</w:t>
      </w:r>
    </w:p>
    <w:p w14:paraId="3EFD059E" w14:textId="77777777" w:rsidR="00F671C4" w:rsidRDefault="00F671C4" w:rsidP="00137D0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firstLine="18"/>
        <w:rPr>
          <w:sz w:val="24"/>
        </w:rPr>
      </w:pPr>
    </w:p>
    <w:p w14:paraId="5F183555" w14:textId="4BAFD03F" w:rsidR="00F671C4" w:rsidRDefault="00F671C4" w:rsidP="00137D0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firstLine="18"/>
        <w:rPr>
          <w:sz w:val="24"/>
        </w:rPr>
      </w:pPr>
      <w:r>
        <w:rPr>
          <w:sz w:val="24"/>
        </w:rPr>
        <w:t>None</w:t>
      </w:r>
      <w:r w:rsidR="00137D0A">
        <w:rPr>
          <w:sz w:val="24"/>
        </w:rPr>
        <w:t>.</w:t>
      </w:r>
    </w:p>
    <w:p w14:paraId="3AE6B00F" w14:textId="77777777" w:rsidR="00F671C4" w:rsidRDefault="00F671C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14:paraId="6C5B856E" w14:textId="19B1FCF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13.</w:t>
      </w:r>
      <w:r>
        <w:rPr>
          <w:sz w:val="24"/>
        </w:rPr>
        <w:tab/>
      </w:r>
      <w:r>
        <w:rPr>
          <w:sz w:val="24"/>
          <w:u w:val="single"/>
        </w:rPr>
        <w:t>Capital Costs</w:t>
      </w:r>
    </w:p>
    <w:p w14:paraId="6C5B856F"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C5B8570" w14:textId="77777777" w:rsidR="008F1EB4" w:rsidRDefault="008118A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There are no capital costs.</w:t>
      </w:r>
    </w:p>
    <w:p w14:paraId="6C5B8571"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C5B8572"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14.</w:t>
      </w:r>
      <w:r>
        <w:rPr>
          <w:sz w:val="24"/>
        </w:rPr>
        <w:tab/>
      </w:r>
      <w:r>
        <w:rPr>
          <w:sz w:val="24"/>
          <w:u w:val="single"/>
        </w:rPr>
        <w:t>Cost to Federal Government</w:t>
      </w:r>
    </w:p>
    <w:p w14:paraId="6C5B8573"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157E1FF" w14:textId="0BB6AC8C" w:rsidR="00681C5D" w:rsidRDefault="00681C5D" w:rsidP="0068027D">
      <w:pPr>
        <w:pStyle w:val="Header"/>
        <w:widowControl/>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pPr>
      <w:r>
        <w:t xml:space="preserve">This collection involves both private sector (MCOs, PIHPs, PAHPs, and </w:t>
      </w:r>
      <w:r w:rsidR="00F812BA">
        <w:t xml:space="preserve">certain </w:t>
      </w:r>
      <w:r>
        <w:t>PCCM entities)</w:t>
      </w:r>
      <w:r w:rsidRPr="00121780">
        <w:t xml:space="preserve"> </w:t>
      </w:r>
      <w:r>
        <w:t xml:space="preserve">and public sector (state government) costs associated with </w:t>
      </w:r>
      <w:r w:rsidRPr="009C1840">
        <w:t>§§438.310, 438.320, 438.330, 438.332, 438.334 and 438.340</w:t>
      </w:r>
      <w:r>
        <w:t>.</w:t>
      </w:r>
    </w:p>
    <w:p w14:paraId="2764FC2C" w14:textId="77777777" w:rsidR="00681C5D" w:rsidRDefault="00681C5D" w:rsidP="0068027D">
      <w:pPr>
        <w:pStyle w:val="Header"/>
        <w:widowControl/>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pPr>
    </w:p>
    <w:p w14:paraId="67B9F9E0" w14:textId="30AE4AAA" w:rsidR="00681C5D" w:rsidRDefault="00681C5D" w:rsidP="0068027D">
      <w:pPr>
        <w:pStyle w:val="Header"/>
        <w:widowControl/>
        <w:tabs>
          <w:tab w:val="left" w:pos="0"/>
          <w:tab w:val="left" w:pos="36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pPr>
      <w:r>
        <w:t>Total annualized private sector costs are $</w:t>
      </w:r>
      <w:r w:rsidR="00333A67" w:rsidRPr="00333A67">
        <w:t>962,041.87</w:t>
      </w:r>
      <w:r>
        <w:t>.  Consistent with the assumptions used for the private sector match rate in the final rule (</w:t>
      </w:r>
      <w:r w:rsidR="00333A67">
        <w:t xml:space="preserve">RIN 0938-AS25, </w:t>
      </w:r>
      <w:r>
        <w:t>CMS-2390-F), we assume that the private sector will pass long costs to states through their capitation rates and estimate a weighted Federal match rate of 58.44 percent (weighted for enrollment).  Therefore, the Federal share for annualized private sector costs is $</w:t>
      </w:r>
      <w:r w:rsidR="00333A67">
        <w:t>562,217.27</w:t>
      </w:r>
      <w:r>
        <w:t>.</w:t>
      </w:r>
    </w:p>
    <w:p w14:paraId="66A86655" w14:textId="77777777" w:rsidR="00681C5D" w:rsidRDefault="00681C5D" w:rsidP="00681C5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C5B8574" w14:textId="3F89A122" w:rsidR="008F1EB4" w:rsidRDefault="009C184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The </w:t>
      </w:r>
      <w:r w:rsidR="00681C5D">
        <w:rPr>
          <w:sz w:val="24"/>
        </w:rPr>
        <w:t xml:space="preserve">public sector costs associated with these provisions </w:t>
      </w:r>
      <w:r w:rsidR="00BA12B0">
        <w:rPr>
          <w:sz w:val="24"/>
        </w:rPr>
        <w:t xml:space="preserve">are considered to be Medicaid administrative costs, and are therefore eligible for the 50 percent federal financial participation (FFP) matching rate.  Therefore, of the estimated </w:t>
      </w:r>
      <w:r w:rsidR="00681C5D">
        <w:rPr>
          <w:sz w:val="24"/>
        </w:rPr>
        <w:t>$</w:t>
      </w:r>
      <w:r w:rsidR="002E7295" w:rsidRPr="002E7295">
        <w:rPr>
          <w:sz w:val="24"/>
        </w:rPr>
        <w:t>2,424,029</w:t>
      </w:r>
      <w:r w:rsidR="002E7295">
        <w:rPr>
          <w:sz w:val="24"/>
        </w:rPr>
        <w:t xml:space="preserve"> </w:t>
      </w:r>
      <w:r w:rsidR="00503DE9">
        <w:rPr>
          <w:sz w:val="24"/>
        </w:rPr>
        <w:t>t</w:t>
      </w:r>
      <w:r w:rsidR="00C517DB">
        <w:rPr>
          <w:sz w:val="24"/>
        </w:rPr>
        <w:t xml:space="preserve">otal computable </w:t>
      </w:r>
      <w:r w:rsidR="007546A4">
        <w:rPr>
          <w:sz w:val="24"/>
        </w:rPr>
        <w:t xml:space="preserve">annualized </w:t>
      </w:r>
      <w:r w:rsidR="00C517DB" w:rsidRPr="002E7295">
        <w:rPr>
          <w:sz w:val="24"/>
        </w:rPr>
        <w:t>costs, the Federal share is $</w:t>
      </w:r>
      <w:r w:rsidR="002E7295" w:rsidRPr="002E7295">
        <w:rPr>
          <w:sz w:val="24"/>
        </w:rPr>
        <w:t>1,212,014.50</w:t>
      </w:r>
      <w:r w:rsidR="007546A4" w:rsidRPr="002E7295">
        <w:rPr>
          <w:sz w:val="24"/>
        </w:rPr>
        <w:t>.</w:t>
      </w:r>
    </w:p>
    <w:p w14:paraId="6C5B8575"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DF76348" w14:textId="5DE3331D" w:rsidR="002E7295" w:rsidRDefault="002E729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t>TOTAL $1,774,231.77</w:t>
      </w:r>
    </w:p>
    <w:p w14:paraId="36A87109" w14:textId="77777777" w:rsidR="002E7295" w:rsidRDefault="002E729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C5B8576"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15.</w:t>
      </w:r>
      <w:r>
        <w:rPr>
          <w:sz w:val="24"/>
        </w:rPr>
        <w:tab/>
      </w:r>
      <w:r>
        <w:rPr>
          <w:sz w:val="24"/>
          <w:u w:val="single"/>
        </w:rPr>
        <w:t>Changes to Burden</w:t>
      </w:r>
    </w:p>
    <w:p w14:paraId="272287FA" w14:textId="77777777" w:rsidR="00D04F8D" w:rsidRDefault="00D04F8D" w:rsidP="005E4E3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4842946" w14:textId="687C29C2" w:rsidR="005E4E33" w:rsidRPr="005E4E33" w:rsidRDefault="005E4E33" w:rsidP="00D04F8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5E4E33">
        <w:rPr>
          <w:sz w:val="24"/>
        </w:rPr>
        <w:t>Adjustm</w:t>
      </w:r>
      <w:r>
        <w:rPr>
          <w:sz w:val="24"/>
        </w:rPr>
        <w:t>ents have been made to CMS-10553</w:t>
      </w:r>
      <w:r w:rsidRPr="005E4E33">
        <w:rPr>
          <w:sz w:val="24"/>
        </w:rPr>
        <w:t xml:space="preserve"> to account for: (1) changes to the regulations per CMS-2390-F, (2) mathematical errors and estimate revisions in regards to the number of respondents, the type of respondents, annual responses, and annual hour burden, and (3) updated BLS job titles and wages.</w:t>
      </w:r>
    </w:p>
    <w:p w14:paraId="3D305572" w14:textId="77777777" w:rsidR="005E4E33" w:rsidRPr="005E4E33" w:rsidRDefault="005E4E33" w:rsidP="00D04F8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6C5B8577" w14:textId="769B0A25" w:rsidR="008F1EB4" w:rsidRDefault="005E4E33" w:rsidP="00D04F8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5E4E33">
        <w:rPr>
          <w:sz w:val="24"/>
        </w:rPr>
        <w:t>The chart below summarizes, at the section level, the annualized changes to hour and cost burdens for CMS-</w:t>
      </w:r>
      <w:r w:rsidR="0068027D">
        <w:rPr>
          <w:sz w:val="24"/>
        </w:rPr>
        <w:t>10553</w:t>
      </w:r>
      <w:r w:rsidRPr="005E4E33">
        <w:rPr>
          <w:sz w:val="24"/>
        </w:rPr>
        <w:t xml:space="preserve"> </w:t>
      </w:r>
      <w:r w:rsidR="00203AD3">
        <w:rPr>
          <w:sz w:val="24"/>
        </w:rPr>
        <w:t xml:space="preserve">(OMB control number </w:t>
      </w:r>
      <w:r w:rsidR="0068027D">
        <w:rPr>
          <w:sz w:val="24"/>
        </w:rPr>
        <w:t>0938-1281</w:t>
      </w:r>
      <w:r w:rsidR="00203AD3">
        <w:rPr>
          <w:sz w:val="24"/>
        </w:rPr>
        <w:t xml:space="preserve">) </w:t>
      </w:r>
      <w:r w:rsidRPr="005E4E33">
        <w:rPr>
          <w:sz w:val="24"/>
        </w:rPr>
        <w:t>as compared to the most recent available supporting statement estimates.</w:t>
      </w:r>
      <w:r>
        <w:rPr>
          <w:sz w:val="24"/>
        </w:rPr>
        <w:t xml:space="preserve">  </w:t>
      </w:r>
      <w:r w:rsidR="00687942">
        <w:rPr>
          <w:sz w:val="24"/>
        </w:rPr>
        <w:t>While CMS-10553 is a new PRA package associated with the May 6, 2016 final rule, f</w:t>
      </w:r>
      <w:r>
        <w:rPr>
          <w:sz w:val="24"/>
        </w:rPr>
        <w:t>or §</w:t>
      </w:r>
      <w:r w:rsidR="00A01DF8">
        <w:rPr>
          <w:sz w:val="24"/>
        </w:rPr>
        <w:t>§</w:t>
      </w:r>
      <w:r>
        <w:rPr>
          <w:sz w:val="24"/>
        </w:rPr>
        <w:t>438330 and 43</w:t>
      </w:r>
      <w:r w:rsidR="00A01DF8">
        <w:rPr>
          <w:sz w:val="24"/>
        </w:rPr>
        <w:t>8.340, the</w:t>
      </w:r>
      <w:r w:rsidR="0068027D">
        <w:rPr>
          <w:sz w:val="24"/>
        </w:rPr>
        <w:t xml:space="preserve"> most recent available supporting statement estimates</w:t>
      </w:r>
      <w:r w:rsidR="00A01DF8">
        <w:rPr>
          <w:sz w:val="24"/>
        </w:rPr>
        <w:t xml:space="preserve"> come from the 2013-</w:t>
      </w:r>
      <w:r>
        <w:rPr>
          <w:sz w:val="24"/>
        </w:rPr>
        <w:t>approved PRA for CMS-10108</w:t>
      </w:r>
      <w:r w:rsidR="00E34C95">
        <w:rPr>
          <w:sz w:val="24"/>
        </w:rPr>
        <w:t xml:space="preserve"> (OMB control number </w:t>
      </w:r>
      <w:r>
        <w:rPr>
          <w:sz w:val="24"/>
        </w:rPr>
        <w:t>0938-0920</w:t>
      </w:r>
      <w:r w:rsidR="00E34C95">
        <w:rPr>
          <w:sz w:val="24"/>
        </w:rPr>
        <w:t>)</w:t>
      </w:r>
      <w:r>
        <w:rPr>
          <w:sz w:val="24"/>
        </w:rPr>
        <w:t>.  We note that the 2013 PRA package included only estimates of hours, not costs.</w:t>
      </w:r>
    </w:p>
    <w:p w14:paraId="006CD6F3" w14:textId="77777777" w:rsidR="003B50C0" w:rsidRDefault="003B50C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tbl>
      <w:tblPr>
        <w:tblStyle w:val="TableGrid"/>
        <w:tblW w:w="11310" w:type="dxa"/>
        <w:tblInd w:w="-792" w:type="dxa"/>
        <w:tblLayout w:type="fixed"/>
        <w:tblLook w:val="04A0" w:firstRow="1" w:lastRow="0" w:firstColumn="1" w:lastColumn="0" w:noHBand="0" w:noVBand="1"/>
      </w:tblPr>
      <w:tblGrid>
        <w:gridCol w:w="1620"/>
        <w:gridCol w:w="990"/>
        <w:gridCol w:w="990"/>
        <w:gridCol w:w="1080"/>
        <w:gridCol w:w="1440"/>
        <w:gridCol w:w="1530"/>
        <w:gridCol w:w="1620"/>
        <w:gridCol w:w="2040"/>
      </w:tblGrid>
      <w:tr w:rsidR="003B50C0" w:rsidRPr="00E2521E" w14:paraId="25C80A64" w14:textId="77777777" w:rsidTr="002F38F5">
        <w:trPr>
          <w:tblHeader/>
        </w:trPr>
        <w:tc>
          <w:tcPr>
            <w:tcW w:w="1620" w:type="dxa"/>
            <w:vMerge w:val="restart"/>
            <w:shd w:val="pct12" w:color="auto" w:fill="auto"/>
            <w:vAlign w:val="center"/>
          </w:tcPr>
          <w:p w14:paraId="2B36C278" w14:textId="77777777" w:rsidR="003B50C0" w:rsidRPr="00E2521E" w:rsidRDefault="003B50C0" w:rsidP="002F38F5">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E2521E">
              <w:rPr>
                <w:b/>
              </w:rPr>
              <w:lastRenderedPageBreak/>
              <w:t>CFR Section</w:t>
            </w:r>
          </w:p>
        </w:tc>
        <w:tc>
          <w:tcPr>
            <w:tcW w:w="3060" w:type="dxa"/>
            <w:gridSpan w:val="3"/>
            <w:shd w:val="pct12" w:color="auto" w:fill="auto"/>
          </w:tcPr>
          <w:p w14:paraId="6ECF2F83" w14:textId="77777777" w:rsidR="003B50C0" w:rsidRPr="00E2521E" w:rsidRDefault="003B50C0" w:rsidP="002F38F5">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E2521E">
              <w:rPr>
                <w:b/>
              </w:rPr>
              <w:t>Hours</w:t>
            </w:r>
          </w:p>
        </w:tc>
        <w:tc>
          <w:tcPr>
            <w:tcW w:w="4590" w:type="dxa"/>
            <w:gridSpan w:val="3"/>
            <w:shd w:val="pct12" w:color="auto" w:fill="auto"/>
          </w:tcPr>
          <w:p w14:paraId="1D5E9E17" w14:textId="77777777" w:rsidR="003B50C0" w:rsidRPr="00E2521E" w:rsidRDefault="003B50C0" w:rsidP="002F38F5">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E2521E">
              <w:rPr>
                <w:b/>
              </w:rPr>
              <w:t>Costs</w:t>
            </w:r>
          </w:p>
        </w:tc>
        <w:tc>
          <w:tcPr>
            <w:tcW w:w="2040" w:type="dxa"/>
            <w:vMerge w:val="restart"/>
            <w:shd w:val="pct12" w:color="auto" w:fill="auto"/>
            <w:vAlign w:val="center"/>
          </w:tcPr>
          <w:p w14:paraId="51E3A89A" w14:textId="77777777" w:rsidR="003B50C0" w:rsidRPr="00E2521E" w:rsidRDefault="003B50C0" w:rsidP="002F38F5">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E2521E">
              <w:rPr>
                <w:b/>
              </w:rPr>
              <w:t>Reason for Change</w:t>
            </w:r>
          </w:p>
        </w:tc>
      </w:tr>
      <w:tr w:rsidR="003B50C0" w:rsidRPr="00E2521E" w14:paraId="266A44B6" w14:textId="77777777" w:rsidTr="00D93F79">
        <w:trPr>
          <w:tblHeader/>
        </w:trPr>
        <w:tc>
          <w:tcPr>
            <w:tcW w:w="1620" w:type="dxa"/>
            <w:vMerge/>
            <w:shd w:val="pct12" w:color="auto" w:fill="auto"/>
          </w:tcPr>
          <w:p w14:paraId="06436E21" w14:textId="77777777" w:rsidR="003B50C0" w:rsidRPr="001D32EE" w:rsidRDefault="003B50C0" w:rsidP="002F38F5">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990" w:type="dxa"/>
            <w:shd w:val="pct12" w:color="auto" w:fill="auto"/>
            <w:vAlign w:val="center"/>
          </w:tcPr>
          <w:p w14:paraId="63E4AC9F" w14:textId="77777777" w:rsidR="003B50C0" w:rsidRPr="00E2521E" w:rsidRDefault="003B50C0" w:rsidP="002F38F5">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E2521E">
              <w:rPr>
                <w:b/>
              </w:rPr>
              <w:t>Previous</w:t>
            </w:r>
          </w:p>
        </w:tc>
        <w:tc>
          <w:tcPr>
            <w:tcW w:w="990" w:type="dxa"/>
            <w:shd w:val="pct12" w:color="auto" w:fill="auto"/>
            <w:vAlign w:val="center"/>
          </w:tcPr>
          <w:p w14:paraId="56BF3849" w14:textId="77777777" w:rsidR="003B50C0" w:rsidRPr="00E2521E" w:rsidRDefault="003B50C0" w:rsidP="002F38F5">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E2521E">
              <w:rPr>
                <w:b/>
              </w:rPr>
              <w:t>Revised</w:t>
            </w:r>
          </w:p>
        </w:tc>
        <w:tc>
          <w:tcPr>
            <w:tcW w:w="1080" w:type="dxa"/>
            <w:shd w:val="pct12" w:color="auto" w:fill="auto"/>
            <w:vAlign w:val="center"/>
          </w:tcPr>
          <w:p w14:paraId="00DF3146" w14:textId="77777777" w:rsidR="003B50C0" w:rsidRPr="00E2521E" w:rsidRDefault="003B50C0" w:rsidP="002F38F5">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E2521E">
              <w:rPr>
                <w:b/>
              </w:rPr>
              <w:t>Difference</w:t>
            </w:r>
          </w:p>
        </w:tc>
        <w:tc>
          <w:tcPr>
            <w:tcW w:w="1440" w:type="dxa"/>
            <w:shd w:val="pct12" w:color="auto" w:fill="auto"/>
            <w:vAlign w:val="center"/>
          </w:tcPr>
          <w:p w14:paraId="0D71FB5C" w14:textId="77777777" w:rsidR="003B50C0" w:rsidRPr="00E2521E" w:rsidRDefault="003B50C0" w:rsidP="002F38F5">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E2521E">
              <w:rPr>
                <w:b/>
              </w:rPr>
              <w:t>Previous</w:t>
            </w:r>
          </w:p>
        </w:tc>
        <w:tc>
          <w:tcPr>
            <w:tcW w:w="1530" w:type="dxa"/>
            <w:shd w:val="pct12" w:color="auto" w:fill="auto"/>
            <w:vAlign w:val="center"/>
          </w:tcPr>
          <w:p w14:paraId="68C4C359" w14:textId="77777777" w:rsidR="003B50C0" w:rsidRPr="00E2521E" w:rsidRDefault="003B50C0" w:rsidP="002F38F5">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E2521E">
              <w:rPr>
                <w:b/>
              </w:rPr>
              <w:t>Revised</w:t>
            </w:r>
          </w:p>
        </w:tc>
        <w:tc>
          <w:tcPr>
            <w:tcW w:w="1620" w:type="dxa"/>
            <w:shd w:val="pct12" w:color="auto" w:fill="auto"/>
            <w:vAlign w:val="center"/>
          </w:tcPr>
          <w:p w14:paraId="5F872B3F" w14:textId="77777777" w:rsidR="003B50C0" w:rsidRPr="00E2521E" w:rsidRDefault="003B50C0" w:rsidP="002F38F5">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E2521E">
              <w:rPr>
                <w:b/>
              </w:rPr>
              <w:t>Difference</w:t>
            </w:r>
          </w:p>
        </w:tc>
        <w:tc>
          <w:tcPr>
            <w:tcW w:w="2040" w:type="dxa"/>
            <w:vMerge/>
            <w:shd w:val="pct12" w:color="auto" w:fill="auto"/>
          </w:tcPr>
          <w:p w14:paraId="5F93066C" w14:textId="77777777" w:rsidR="003B50C0" w:rsidRPr="00E2521E" w:rsidRDefault="003B50C0" w:rsidP="002F38F5">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c>
      </w:tr>
      <w:tr w:rsidR="00E407C6" w:rsidRPr="00E2521E" w14:paraId="485256CC" w14:textId="77777777" w:rsidTr="00D93F79">
        <w:tc>
          <w:tcPr>
            <w:tcW w:w="1620" w:type="dxa"/>
            <w:shd w:val="pct12" w:color="auto" w:fill="auto"/>
            <w:vAlign w:val="center"/>
          </w:tcPr>
          <w:p w14:paraId="62E90FE9" w14:textId="77777777" w:rsidR="00E407C6" w:rsidRPr="00E2521E" w:rsidRDefault="00E407C6" w:rsidP="00E407C6">
            <w:pPr>
              <w:jc w:val="center"/>
              <w:rPr>
                <w:b/>
                <w:color w:val="000000"/>
              </w:rPr>
            </w:pPr>
            <w:r>
              <w:rPr>
                <w:b/>
                <w:color w:val="000000"/>
              </w:rPr>
              <w:t>438.310</w:t>
            </w:r>
          </w:p>
          <w:p w14:paraId="012D2CE8" w14:textId="22144EA3" w:rsidR="00E407C6" w:rsidRDefault="00E407C6" w:rsidP="00E407C6">
            <w:pPr>
              <w:jc w:val="center"/>
              <w:rPr>
                <w:b/>
                <w:color w:val="000000"/>
              </w:rPr>
            </w:pPr>
            <w:r>
              <w:rPr>
                <w:b/>
                <w:color w:val="000000"/>
              </w:rPr>
              <w:t>Basis and Scope</w:t>
            </w:r>
          </w:p>
        </w:tc>
        <w:tc>
          <w:tcPr>
            <w:tcW w:w="990" w:type="dxa"/>
            <w:vAlign w:val="center"/>
          </w:tcPr>
          <w:p w14:paraId="3D207555" w14:textId="2A00DF18" w:rsidR="00E407C6" w:rsidRDefault="00E407C6" w:rsidP="002F38F5">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0</w:t>
            </w:r>
          </w:p>
        </w:tc>
        <w:tc>
          <w:tcPr>
            <w:tcW w:w="990" w:type="dxa"/>
            <w:vAlign w:val="center"/>
          </w:tcPr>
          <w:p w14:paraId="21420870" w14:textId="0E08D10D" w:rsidR="00E407C6" w:rsidRDefault="00D95696" w:rsidP="002F38F5">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3.3</w:t>
            </w:r>
          </w:p>
        </w:tc>
        <w:tc>
          <w:tcPr>
            <w:tcW w:w="1080" w:type="dxa"/>
            <w:vAlign w:val="center"/>
          </w:tcPr>
          <w:p w14:paraId="7D4A655C" w14:textId="6C040B8F" w:rsidR="00E407C6" w:rsidRPr="00E2521E" w:rsidRDefault="00D95696" w:rsidP="002F38F5">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3.3</w:t>
            </w:r>
          </w:p>
        </w:tc>
        <w:tc>
          <w:tcPr>
            <w:tcW w:w="1440" w:type="dxa"/>
            <w:vAlign w:val="center"/>
          </w:tcPr>
          <w:p w14:paraId="2A1F6EDD" w14:textId="1E29A660" w:rsidR="00E407C6" w:rsidRDefault="00E407C6" w:rsidP="002F38F5">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$0</w:t>
            </w:r>
          </w:p>
        </w:tc>
        <w:tc>
          <w:tcPr>
            <w:tcW w:w="1530" w:type="dxa"/>
            <w:vAlign w:val="center"/>
          </w:tcPr>
          <w:p w14:paraId="12ECD241" w14:textId="1453E813" w:rsidR="00E407C6" w:rsidRDefault="00D93F79" w:rsidP="002F38F5">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w:t>
            </w:r>
            <w:r w:rsidR="00D95696">
              <w:t>214.87</w:t>
            </w:r>
          </w:p>
        </w:tc>
        <w:tc>
          <w:tcPr>
            <w:tcW w:w="1620" w:type="dxa"/>
            <w:vAlign w:val="center"/>
          </w:tcPr>
          <w:p w14:paraId="224AC368" w14:textId="198DF420" w:rsidR="00E407C6" w:rsidRPr="00E2521E" w:rsidRDefault="00D93F79" w:rsidP="002F38F5">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w:t>
            </w:r>
            <w:r w:rsidR="00D95696">
              <w:rPr>
                <w:color w:val="000000"/>
              </w:rPr>
              <w:t>214.87</w:t>
            </w:r>
          </w:p>
        </w:tc>
        <w:tc>
          <w:tcPr>
            <w:tcW w:w="2040" w:type="dxa"/>
            <w:vAlign w:val="center"/>
          </w:tcPr>
          <w:p w14:paraId="293744AD" w14:textId="4A55DE5E" w:rsidR="00E407C6" w:rsidRPr="00BB6243" w:rsidRDefault="00BB6243" w:rsidP="00BB6243">
            <w:pPr>
              <w:pStyle w:val="ListParagraph"/>
              <w:widowControl/>
              <w:numPr>
                <w:ilvl w:val="0"/>
                <w:numId w:val="4"/>
              </w:numPr>
              <w:tabs>
                <w:tab w:val="left" w:pos="2160"/>
                <w:tab w:val="left" w:pos="2880"/>
                <w:tab w:val="left" w:pos="3600"/>
                <w:tab w:val="left" w:pos="4320"/>
                <w:tab w:val="left" w:pos="5040"/>
                <w:tab w:val="left" w:pos="5760"/>
                <w:tab w:val="left" w:pos="6480"/>
                <w:tab w:val="left" w:pos="7200"/>
                <w:tab w:val="left" w:pos="7920"/>
                <w:tab w:val="left" w:pos="8640"/>
                <w:tab w:val="left" w:pos="9360"/>
              </w:tabs>
              <w:ind w:left="252" w:right="42" w:hanging="252"/>
              <w:rPr>
                <w:color w:val="000000"/>
                <w:sz w:val="20"/>
              </w:rPr>
            </w:pPr>
            <w:r w:rsidRPr="00BB6243">
              <w:rPr>
                <w:color w:val="000000"/>
                <w:sz w:val="20"/>
              </w:rPr>
              <w:t>Regulatory Change</w:t>
            </w:r>
            <w:r>
              <w:rPr>
                <w:color w:val="000000"/>
                <w:sz w:val="20"/>
              </w:rPr>
              <w:t>: Applies §§438.330(b)(3), 438.340(e) and 438.350 to PCCM entities</w:t>
            </w:r>
          </w:p>
        </w:tc>
      </w:tr>
      <w:tr w:rsidR="003B50C0" w:rsidRPr="00E2521E" w14:paraId="73D105AD" w14:textId="77777777" w:rsidTr="00D93F79">
        <w:tc>
          <w:tcPr>
            <w:tcW w:w="1620" w:type="dxa"/>
            <w:shd w:val="pct12" w:color="auto" w:fill="auto"/>
            <w:vAlign w:val="center"/>
          </w:tcPr>
          <w:p w14:paraId="55DACE09" w14:textId="62CC81A9" w:rsidR="003B50C0" w:rsidRPr="00E2521E" w:rsidRDefault="003B50C0" w:rsidP="002F38F5">
            <w:pPr>
              <w:jc w:val="center"/>
              <w:rPr>
                <w:b/>
                <w:color w:val="000000"/>
              </w:rPr>
            </w:pPr>
            <w:r>
              <w:rPr>
                <w:b/>
                <w:color w:val="000000"/>
              </w:rPr>
              <w:t>438.3</w:t>
            </w:r>
            <w:r w:rsidR="00E407C6">
              <w:rPr>
                <w:b/>
                <w:color w:val="000000"/>
              </w:rPr>
              <w:t>20</w:t>
            </w:r>
          </w:p>
          <w:p w14:paraId="461F19E4" w14:textId="33AF1ED5" w:rsidR="003B50C0" w:rsidRPr="00E2521E" w:rsidRDefault="00E407C6" w:rsidP="002F38F5">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color w:val="000000"/>
              </w:rPr>
              <w:t>Definitions</w:t>
            </w:r>
          </w:p>
        </w:tc>
        <w:tc>
          <w:tcPr>
            <w:tcW w:w="990" w:type="dxa"/>
            <w:vAlign w:val="center"/>
          </w:tcPr>
          <w:p w14:paraId="32312BE0" w14:textId="77777777" w:rsidR="003B50C0" w:rsidRPr="00E2521E" w:rsidRDefault="003B50C0" w:rsidP="002F38F5">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w:t>
            </w:r>
          </w:p>
        </w:tc>
        <w:tc>
          <w:tcPr>
            <w:tcW w:w="990" w:type="dxa"/>
            <w:vAlign w:val="center"/>
          </w:tcPr>
          <w:p w14:paraId="236D075E" w14:textId="77777777" w:rsidR="003B50C0" w:rsidRPr="00E2521E" w:rsidRDefault="003B50C0" w:rsidP="002F38F5">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w:t>
            </w:r>
          </w:p>
        </w:tc>
        <w:tc>
          <w:tcPr>
            <w:tcW w:w="1080" w:type="dxa"/>
            <w:vAlign w:val="center"/>
          </w:tcPr>
          <w:p w14:paraId="28C07692" w14:textId="77777777" w:rsidR="003B50C0" w:rsidRPr="00E2521E" w:rsidRDefault="003B50C0" w:rsidP="002F38F5">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E2521E">
              <w:rPr>
                <w:color w:val="000000"/>
              </w:rPr>
              <w:t>N/A</w:t>
            </w:r>
          </w:p>
        </w:tc>
        <w:tc>
          <w:tcPr>
            <w:tcW w:w="1440" w:type="dxa"/>
            <w:vAlign w:val="center"/>
          </w:tcPr>
          <w:p w14:paraId="7A917535" w14:textId="77777777" w:rsidR="003B50C0" w:rsidRPr="00E2521E" w:rsidRDefault="003B50C0" w:rsidP="002F38F5">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w:t>
            </w:r>
          </w:p>
        </w:tc>
        <w:tc>
          <w:tcPr>
            <w:tcW w:w="1530" w:type="dxa"/>
            <w:vAlign w:val="center"/>
          </w:tcPr>
          <w:p w14:paraId="394A7EF8" w14:textId="77777777" w:rsidR="003B50C0" w:rsidRPr="00E2521E" w:rsidRDefault="003B50C0" w:rsidP="002F38F5">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w:t>
            </w:r>
          </w:p>
        </w:tc>
        <w:tc>
          <w:tcPr>
            <w:tcW w:w="1620" w:type="dxa"/>
            <w:vAlign w:val="center"/>
          </w:tcPr>
          <w:p w14:paraId="79F5CEBA" w14:textId="77777777" w:rsidR="003B50C0" w:rsidRPr="00E2521E" w:rsidRDefault="003B50C0" w:rsidP="002F38F5">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E2521E">
              <w:rPr>
                <w:color w:val="000000"/>
              </w:rPr>
              <w:t>N/A</w:t>
            </w:r>
          </w:p>
        </w:tc>
        <w:tc>
          <w:tcPr>
            <w:tcW w:w="2040" w:type="dxa"/>
            <w:vAlign w:val="center"/>
          </w:tcPr>
          <w:p w14:paraId="66089F38" w14:textId="77777777" w:rsidR="003B50C0" w:rsidRPr="00E2521E" w:rsidRDefault="003B50C0" w:rsidP="002F38F5">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E2521E">
              <w:rPr>
                <w:color w:val="000000"/>
              </w:rPr>
              <w:t>N/A</w:t>
            </w:r>
          </w:p>
        </w:tc>
      </w:tr>
      <w:tr w:rsidR="003B50C0" w:rsidRPr="00E2521E" w14:paraId="48073421" w14:textId="77777777" w:rsidTr="00D93F79">
        <w:tc>
          <w:tcPr>
            <w:tcW w:w="1620" w:type="dxa"/>
            <w:shd w:val="pct12" w:color="auto" w:fill="auto"/>
            <w:vAlign w:val="center"/>
          </w:tcPr>
          <w:p w14:paraId="34D3B1FD" w14:textId="086A7477" w:rsidR="003B50C0" w:rsidRDefault="00E407C6" w:rsidP="002F38F5">
            <w:pPr>
              <w:jc w:val="center"/>
              <w:rPr>
                <w:b/>
                <w:color w:val="000000"/>
              </w:rPr>
            </w:pPr>
            <w:r>
              <w:rPr>
                <w:b/>
                <w:color w:val="000000"/>
              </w:rPr>
              <w:t>438.330</w:t>
            </w:r>
          </w:p>
          <w:p w14:paraId="7702B4DF" w14:textId="1875DE26" w:rsidR="00E407C6" w:rsidRPr="00E2521E" w:rsidRDefault="00E407C6" w:rsidP="002F38F5">
            <w:pPr>
              <w:jc w:val="center"/>
              <w:rPr>
                <w:b/>
                <w:color w:val="000000"/>
              </w:rPr>
            </w:pPr>
            <w:r>
              <w:rPr>
                <w:b/>
                <w:color w:val="000000"/>
              </w:rPr>
              <w:t>QAPI</w:t>
            </w:r>
          </w:p>
          <w:p w14:paraId="385FFF5E" w14:textId="5C66F637" w:rsidR="003B50C0" w:rsidRPr="00E2521E" w:rsidRDefault="003B50C0" w:rsidP="002F38F5">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tc>
        <w:tc>
          <w:tcPr>
            <w:tcW w:w="990" w:type="dxa"/>
            <w:vAlign w:val="center"/>
          </w:tcPr>
          <w:p w14:paraId="55D4856D" w14:textId="2A327AAC" w:rsidR="003B50C0" w:rsidRPr="00E2521E" w:rsidRDefault="00D93F79" w:rsidP="002F38F5">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12,264</w:t>
            </w:r>
          </w:p>
        </w:tc>
        <w:tc>
          <w:tcPr>
            <w:tcW w:w="990" w:type="dxa"/>
            <w:vAlign w:val="center"/>
          </w:tcPr>
          <w:p w14:paraId="550F7CFD" w14:textId="288B7AE6" w:rsidR="003B50C0" w:rsidRPr="00E2521E" w:rsidRDefault="00D93F79" w:rsidP="002F38F5">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1</w:t>
            </w:r>
            <w:r w:rsidR="00D95696">
              <w:t>5,997</w:t>
            </w:r>
          </w:p>
        </w:tc>
        <w:tc>
          <w:tcPr>
            <w:tcW w:w="1080" w:type="dxa"/>
            <w:vAlign w:val="center"/>
          </w:tcPr>
          <w:p w14:paraId="4E3AE04F" w14:textId="17089ABA" w:rsidR="003B50C0" w:rsidRPr="00E2521E" w:rsidRDefault="00D95696" w:rsidP="002F38F5">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color w:val="000000"/>
              </w:rPr>
              <w:t>3,733</w:t>
            </w:r>
          </w:p>
        </w:tc>
        <w:tc>
          <w:tcPr>
            <w:tcW w:w="1440" w:type="dxa"/>
            <w:vAlign w:val="center"/>
          </w:tcPr>
          <w:p w14:paraId="43BC0DD7" w14:textId="0E8F7A73" w:rsidR="003B50C0" w:rsidRPr="00E2521E" w:rsidRDefault="00D93F79" w:rsidP="00D93F79">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w:t>
            </w:r>
          </w:p>
        </w:tc>
        <w:tc>
          <w:tcPr>
            <w:tcW w:w="1530" w:type="dxa"/>
            <w:vAlign w:val="center"/>
          </w:tcPr>
          <w:p w14:paraId="206BD476" w14:textId="63472CFB" w:rsidR="003B50C0" w:rsidRPr="00E2521E" w:rsidRDefault="003B50C0" w:rsidP="002F38F5">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w:t>
            </w:r>
            <w:r w:rsidR="0099231B">
              <w:t>1,034,430.13</w:t>
            </w:r>
          </w:p>
        </w:tc>
        <w:tc>
          <w:tcPr>
            <w:tcW w:w="1620" w:type="dxa"/>
            <w:vAlign w:val="center"/>
          </w:tcPr>
          <w:p w14:paraId="63C28729" w14:textId="6CC5FE93" w:rsidR="003B50C0" w:rsidRPr="00E2521E" w:rsidRDefault="00D93F79" w:rsidP="005E4E33">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color w:val="000000"/>
              </w:rPr>
              <w:t>$1</w:t>
            </w:r>
            <w:r w:rsidR="0099231B">
              <w:rPr>
                <w:color w:val="000000"/>
              </w:rPr>
              <w:t>,034,430.13</w:t>
            </w:r>
          </w:p>
        </w:tc>
        <w:tc>
          <w:tcPr>
            <w:tcW w:w="2040" w:type="dxa"/>
            <w:vAlign w:val="bottom"/>
          </w:tcPr>
          <w:p w14:paraId="38C816FF" w14:textId="34A64DEF" w:rsidR="003B50C0" w:rsidRPr="00E2521E" w:rsidRDefault="003B50C0" w:rsidP="003B50C0">
            <w:pPr>
              <w:pStyle w:val="ListParagraph"/>
              <w:numPr>
                <w:ilvl w:val="0"/>
                <w:numId w:val="2"/>
              </w:numPr>
              <w:ind w:left="312" w:hanging="270"/>
              <w:rPr>
                <w:color w:val="000000"/>
                <w:sz w:val="20"/>
              </w:rPr>
            </w:pPr>
            <w:r>
              <w:rPr>
                <w:sz w:val="20"/>
              </w:rPr>
              <w:t>Estimate change:</w:t>
            </w:r>
            <w:r w:rsidR="00BB6243">
              <w:rPr>
                <w:sz w:val="20"/>
              </w:rPr>
              <w:t xml:space="preserve"> </w:t>
            </w:r>
            <w:r w:rsidR="00BB6243">
              <w:rPr>
                <w:color w:val="000000"/>
                <w:sz w:val="20"/>
              </w:rPr>
              <w:t>Previous figure overestimated the number of PIHPs and PAHPs</w:t>
            </w:r>
          </w:p>
          <w:p w14:paraId="6F270C13" w14:textId="02C450D5" w:rsidR="003B50C0" w:rsidRPr="00E2521E" w:rsidRDefault="00BB6243" w:rsidP="00681C5D">
            <w:pPr>
              <w:pStyle w:val="ListParagraph"/>
              <w:widowControl/>
              <w:numPr>
                <w:ilvl w:val="0"/>
                <w:numId w:val="2"/>
              </w:numPr>
              <w:tabs>
                <w:tab w:val="left" w:pos="0"/>
                <w:tab w:val="left" w:pos="312"/>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12" w:hanging="270"/>
              <w:rPr>
                <w:sz w:val="20"/>
              </w:rPr>
            </w:pPr>
            <w:r>
              <w:rPr>
                <w:color w:val="000000"/>
                <w:sz w:val="20"/>
              </w:rPr>
              <w:t>Regulatory</w:t>
            </w:r>
            <w:r w:rsidR="003B50C0" w:rsidRPr="00E2521E">
              <w:rPr>
                <w:color w:val="000000"/>
                <w:sz w:val="20"/>
              </w:rPr>
              <w:t xml:space="preserve"> change</w:t>
            </w:r>
            <w:r w:rsidR="003B50C0">
              <w:rPr>
                <w:color w:val="000000"/>
                <w:sz w:val="20"/>
              </w:rPr>
              <w:t>:</w:t>
            </w:r>
            <w:r>
              <w:rPr>
                <w:color w:val="000000"/>
                <w:sz w:val="20"/>
              </w:rPr>
              <w:t xml:space="preserve"> Changes </w:t>
            </w:r>
            <w:r w:rsidR="00665F23">
              <w:rPr>
                <w:color w:val="000000"/>
                <w:sz w:val="20"/>
              </w:rPr>
              <w:t>including changes to QAPI performance measurement and assessment of LTSS.</w:t>
            </w:r>
            <w:r>
              <w:rPr>
                <w:color w:val="000000"/>
                <w:sz w:val="20"/>
              </w:rPr>
              <w:t xml:space="preserve"> </w:t>
            </w:r>
          </w:p>
        </w:tc>
      </w:tr>
      <w:tr w:rsidR="003B50C0" w:rsidRPr="00E2521E" w14:paraId="4C6B48AD" w14:textId="77777777" w:rsidTr="00D93F79">
        <w:tc>
          <w:tcPr>
            <w:tcW w:w="1620" w:type="dxa"/>
            <w:shd w:val="pct12" w:color="auto" w:fill="auto"/>
            <w:vAlign w:val="center"/>
          </w:tcPr>
          <w:p w14:paraId="5767C04F" w14:textId="744D80AA" w:rsidR="003B50C0" w:rsidRPr="00E2521E" w:rsidRDefault="00E407C6" w:rsidP="002F38F5">
            <w:pPr>
              <w:jc w:val="center"/>
              <w:rPr>
                <w:b/>
                <w:color w:val="000000"/>
              </w:rPr>
            </w:pPr>
            <w:r>
              <w:rPr>
                <w:b/>
                <w:color w:val="000000"/>
              </w:rPr>
              <w:t>438.332</w:t>
            </w:r>
          </w:p>
          <w:p w14:paraId="42498D3C" w14:textId="47E9E288" w:rsidR="003B50C0" w:rsidRPr="00E2521E" w:rsidRDefault="00E407C6" w:rsidP="002F38F5">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color w:val="000000"/>
              </w:rPr>
              <w:t>State Review of Accreditation Status</w:t>
            </w:r>
          </w:p>
        </w:tc>
        <w:tc>
          <w:tcPr>
            <w:tcW w:w="990" w:type="dxa"/>
            <w:vAlign w:val="center"/>
          </w:tcPr>
          <w:p w14:paraId="1ABC1E47" w14:textId="77777777" w:rsidR="003B50C0" w:rsidRPr="00E2521E" w:rsidRDefault="003B50C0" w:rsidP="002F38F5">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w:t>
            </w:r>
          </w:p>
        </w:tc>
        <w:tc>
          <w:tcPr>
            <w:tcW w:w="990" w:type="dxa"/>
            <w:vAlign w:val="center"/>
          </w:tcPr>
          <w:p w14:paraId="3DE2375A" w14:textId="15B40603" w:rsidR="003B50C0" w:rsidRPr="00E2521E" w:rsidRDefault="00D93F79" w:rsidP="002F38F5">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184</w:t>
            </w:r>
          </w:p>
        </w:tc>
        <w:tc>
          <w:tcPr>
            <w:tcW w:w="1080" w:type="dxa"/>
            <w:vAlign w:val="center"/>
          </w:tcPr>
          <w:p w14:paraId="2A723BF5" w14:textId="365762E1" w:rsidR="003B50C0" w:rsidRPr="00E2521E" w:rsidRDefault="00D93F79" w:rsidP="00D93F79">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color w:val="000000"/>
              </w:rPr>
              <w:t>184</w:t>
            </w:r>
          </w:p>
        </w:tc>
        <w:tc>
          <w:tcPr>
            <w:tcW w:w="1440" w:type="dxa"/>
            <w:vAlign w:val="center"/>
          </w:tcPr>
          <w:p w14:paraId="7B72EBAF" w14:textId="77777777" w:rsidR="003B50C0" w:rsidRPr="00E2521E" w:rsidRDefault="003B50C0" w:rsidP="002F38F5">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w:t>
            </w:r>
          </w:p>
        </w:tc>
        <w:tc>
          <w:tcPr>
            <w:tcW w:w="1530" w:type="dxa"/>
            <w:vAlign w:val="center"/>
          </w:tcPr>
          <w:p w14:paraId="02C895EF" w14:textId="7476F1A0" w:rsidR="003B50C0" w:rsidRPr="00E2521E" w:rsidRDefault="00D93F79" w:rsidP="00D93F79">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$11,860.64</w:t>
            </w:r>
          </w:p>
        </w:tc>
        <w:tc>
          <w:tcPr>
            <w:tcW w:w="1620" w:type="dxa"/>
            <w:vAlign w:val="center"/>
          </w:tcPr>
          <w:p w14:paraId="642CA0F4" w14:textId="03CC6083" w:rsidR="003B50C0" w:rsidRPr="00E2521E" w:rsidRDefault="00D93F79" w:rsidP="002F38F5">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color w:val="000000"/>
              </w:rPr>
              <w:t>$11,860.64</w:t>
            </w:r>
          </w:p>
        </w:tc>
        <w:tc>
          <w:tcPr>
            <w:tcW w:w="2040" w:type="dxa"/>
            <w:vAlign w:val="center"/>
          </w:tcPr>
          <w:p w14:paraId="1F279426" w14:textId="7D59877F" w:rsidR="003B50C0" w:rsidRPr="00665F23" w:rsidRDefault="00665F23" w:rsidP="00665F23">
            <w:pPr>
              <w:pStyle w:val="ListParagraph"/>
              <w:widowControl/>
              <w:numPr>
                <w:ilvl w:val="0"/>
                <w:numId w:val="4"/>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52"/>
              <w:rPr>
                <w:sz w:val="20"/>
              </w:rPr>
            </w:pPr>
            <w:r w:rsidRPr="00665F23">
              <w:rPr>
                <w:sz w:val="20"/>
              </w:rPr>
              <w:t>Regulatory Change</w:t>
            </w:r>
            <w:r>
              <w:rPr>
                <w:sz w:val="20"/>
              </w:rPr>
              <w:t>: Confirmation of MC plan accreditation status and annual web posting.</w:t>
            </w:r>
          </w:p>
        </w:tc>
      </w:tr>
      <w:tr w:rsidR="003B50C0" w:rsidRPr="00665F23" w14:paraId="7ED7A8D4" w14:textId="77777777" w:rsidTr="00D93F79">
        <w:tc>
          <w:tcPr>
            <w:tcW w:w="1620" w:type="dxa"/>
            <w:shd w:val="pct12" w:color="auto" w:fill="auto"/>
            <w:vAlign w:val="center"/>
          </w:tcPr>
          <w:p w14:paraId="4ACFEAA4" w14:textId="23EC0EC9" w:rsidR="003B50C0" w:rsidRPr="00E2521E" w:rsidRDefault="00E407C6" w:rsidP="002F38F5">
            <w:pPr>
              <w:jc w:val="center"/>
              <w:rPr>
                <w:b/>
                <w:color w:val="000000"/>
              </w:rPr>
            </w:pPr>
            <w:r>
              <w:rPr>
                <w:b/>
                <w:color w:val="000000"/>
              </w:rPr>
              <w:t>438.334</w:t>
            </w:r>
          </w:p>
          <w:p w14:paraId="25696E98" w14:textId="6FE188EB" w:rsidR="003B50C0" w:rsidRPr="00E2521E" w:rsidRDefault="00E407C6" w:rsidP="00E407C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color w:val="000000"/>
              </w:rPr>
              <w:t>Medicaid QRS</w:t>
            </w:r>
          </w:p>
        </w:tc>
        <w:tc>
          <w:tcPr>
            <w:tcW w:w="990" w:type="dxa"/>
            <w:vAlign w:val="center"/>
          </w:tcPr>
          <w:p w14:paraId="58C48EF7" w14:textId="77777777" w:rsidR="003B50C0" w:rsidRPr="00E2521E" w:rsidRDefault="003B50C0" w:rsidP="002F38F5">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w:t>
            </w:r>
          </w:p>
        </w:tc>
        <w:tc>
          <w:tcPr>
            <w:tcW w:w="990" w:type="dxa"/>
            <w:vAlign w:val="center"/>
          </w:tcPr>
          <w:p w14:paraId="07AD7A18" w14:textId="529F3716" w:rsidR="003B50C0" w:rsidRPr="00E2521E" w:rsidRDefault="00D93F79" w:rsidP="002F38F5">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30,196.7</w:t>
            </w:r>
          </w:p>
        </w:tc>
        <w:tc>
          <w:tcPr>
            <w:tcW w:w="1080" w:type="dxa"/>
            <w:vAlign w:val="center"/>
          </w:tcPr>
          <w:p w14:paraId="25318E76" w14:textId="635FAFA1" w:rsidR="003B50C0" w:rsidRPr="00E2521E" w:rsidRDefault="00D93F79" w:rsidP="002F38F5">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color w:val="000000"/>
              </w:rPr>
              <w:t>30,196.7</w:t>
            </w:r>
          </w:p>
        </w:tc>
        <w:tc>
          <w:tcPr>
            <w:tcW w:w="1440" w:type="dxa"/>
            <w:vAlign w:val="center"/>
          </w:tcPr>
          <w:p w14:paraId="793310FE" w14:textId="77777777" w:rsidR="003B50C0" w:rsidRPr="00E2521E" w:rsidRDefault="003B50C0" w:rsidP="002F38F5">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w:t>
            </w:r>
          </w:p>
        </w:tc>
        <w:tc>
          <w:tcPr>
            <w:tcW w:w="1530" w:type="dxa"/>
            <w:vAlign w:val="center"/>
          </w:tcPr>
          <w:p w14:paraId="371FCF18" w14:textId="34DA08EF" w:rsidR="003B50C0" w:rsidRPr="00E2521E" w:rsidRDefault="00D93F79" w:rsidP="002F38F5">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$2,029,928.46</w:t>
            </w:r>
          </w:p>
        </w:tc>
        <w:tc>
          <w:tcPr>
            <w:tcW w:w="1620" w:type="dxa"/>
            <w:vAlign w:val="center"/>
          </w:tcPr>
          <w:p w14:paraId="5A589812" w14:textId="2B957644" w:rsidR="003B50C0" w:rsidRPr="00E2521E" w:rsidRDefault="00D93F79" w:rsidP="005E4E33">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color w:val="000000"/>
              </w:rPr>
              <w:t>$2,029,928.46</w:t>
            </w:r>
          </w:p>
        </w:tc>
        <w:tc>
          <w:tcPr>
            <w:tcW w:w="2040" w:type="dxa"/>
            <w:vAlign w:val="center"/>
          </w:tcPr>
          <w:p w14:paraId="13CEC7E7" w14:textId="3B0318FB" w:rsidR="003B50C0" w:rsidRPr="00665F23" w:rsidRDefault="00665F23" w:rsidP="00665F23">
            <w:pPr>
              <w:pStyle w:val="ListParagraph"/>
              <w:widowControl/>
              <w:numPr>
                <w:ilvl w:val="0"/>
                <w:numId w:val="3"/>
              </w:numPr>
              <w:tabs>
                <w:tab w:val="left" w:pos="0"/>
                <w:tab w:val="left" w:pos="162"/>
                <w:tab w:val="left" w:pos="1782"/>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sz w:val="20"/>
              </w:rPr>
            </w:pPr>
            <w:r>
              <w:rPr>
                <w:sz w:val="20"/>
              </w:rPr>
              <w:t>Regulatory Change: Established Medicaid QRS with option for State development and use of alternative QRS.</w:t>
            </w:r>
          </w:p>
        </w:tc>
      </w:tr>
      <w:tr w:rsidR="003B50C0" w:rsidRPr="00E2521E" w14:paraId="0F5FD79E" w14:textId="77777777" w:rsidTr="00D93F79">
        <w:tc>
          <w:tcPr>
            <w:tcW w:w="1620" w:type="dxa"/>
            <w:shd w:val="pct12" w:color="auto" w:fill="auto"/>
            <w:vAlign w:val="center"/>
          </w:tcPr>
          <w:p w14:paraId="3274CAE5" w14:textId="0A02BF42" w:rsidR="003B50C0" w:rsidRPr="00E2521E" w:rsidRDefault="00E407C6" w:rsidP="002F38F5">
            <w:pPr>
              <w:jc w:val="center"/>
              <w:rPr>
                <w:b/>
                <w:color w:val="000000"/>
              </w:rPr>
            </w:pPr>
            <w:r>
              <w:rPr>
                <w:b/>
                <w:color w:val="000000"/>
              </w:rPr>
              <w:t>438.340</w:t>
            </w:r>
          </w:p>
          <w:p w14:paraId="45989306" w14:textId="7FD070A1" w:rsidR="003B50C0" w:rsidRPr="00E2521E" w:rsidRDefault="00E407C6" w:rsidP="00E407C6">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Quality Strategy</w:t>
            </w:r>
          </w:p>
        </w:tc>
        <w:tc>
          <w:tcPr>
            <w:tcW w:w="990" w:type="dxa"/>
            <w:vAlign w:val="center"/>
          </w:tcPr>
          <w:p w14:paraId="094D333C" w14:textId="6D98EA27" w:rsidR="003B50C0" w:rsidRPr="00E2521E" w:rsidRDefault="00D93F79" w:rsidP="002F38F5">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1,693.3</w:t>
            </w:r>
          </w:p>
        </w:tc>
        <w:tc>
          <w:tcPr>
            <w:tcW w:w="990" w:type="dxa"/>
            <w:vAlign w:val="center"/>
          </w:tcPr>
          <w:p w14:paraId="71B34768" w14:textId="792642FB" w:rsidR="003B50C0" w:rsidRPr="00E2521E" w:rsidRDefault="00BB6243" w:rsidP="002F38F5">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5,528.3</w:t>
            </w:r>
          </w:p>
        </w:tc>
        <w:tc>
          <w:tcPr>
            <w:tcW w:w="1080" w:type="dxa"/>
            <w:vAlign w:val="center"/>
          </w:tcPr>
          <w:p w14:paraId="05C74CFB" w14:textId="4BE49836" w:rsidR="003B50C0" w:rsidRPr="00E2521E" w:rsidRDefault="00BB6243" w:rsidP="002F38F5">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color w:val="000000"/>
              </w:rPr>
              <w:t>3,835</w:t>
            </w:r>
          </w:p>
        </w:tc>
        <w:tc>
          <w:tcPr>
            <w:tcW w:w="1440" w:type="dxa"/>
            <w:vAlign w:val="center"/>
          </w:tcPr>
          <w:p w14:paraId="49E0F7C0" w14:textId="650FCCD9" w:rsidR="003B50C0" w:rsidRPr="00E2521E" w:rsidRDefault="00D93F79" w:rsidP="002F38F5">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w:t>
            </w:r>
          </w:p>
        </w:tc>
        <w:tc>
          <w:tcPr>
            <w:tcW w:w="1530" w:type="dxa"/>
            <w:vAlign w:val="center"/>
          </w:tcPr>
          <w:p w14:paraId="568D4DED" w14:textId="1BB0215E" w:rsidR="003B50C0" w:rsidRPr="00E2521E" w:rsidRDefault="005E4E33" w:rsidP="002F38F5">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w:t>
            </w:r>
            <w:r w:rsidR="00BB6243">
              <w:t>283,124.36</w:t>
            </w:r>
          </w:p>
        </w:tc>
        <w:tc>
          <w:tcPr>
            <w:tcW w:w="1620" w:type="dxa"/>
            <w:vAlign w:val="center"/>
          </w:tcPr>
          <w:p w14:paraId="05F35A63" w14:textId="4EFCCD24" w:rsidR="003B50C0" w:rsidRPr="00E2521E" w:rsidRDefault="005E4E33" w:rsidP="002F38F5">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color w:val="000000"/>
              </w:rPr>
              <w:t>$</w:t>
            </w:r>
            <w:r w:rsidR="00BB6243">
              <w:rPr>
                <w:color w:val="000000"/>
              </w:rPr>
              <w:t>283,124.36</w:t>
            </w:r>
          </w:p>
        </w:tc>
        <w:tc>
          <w:tcPr>
            <w:tcW w:w="2040" w:type="dxa"/>
            <w:vAlign w:val="bottom"/>
          </w:tcPr>
          <w:p w14:paraId="63DF40E9" w14:textId="5A419074" w:rsidR="003B50C0" w:rsidRPr="00E2521E" w:rsidRDefault="003B50C0" w:rsidP="003B50C0">
            <w:pPr>
              <w:pStyle w:val="ListParagraph"/>
              <w:numPr>
                <w:ilvl w:val="0"/>
                <w:numId w:val="1"/>
              </w:numPr>
              <w:ind w:left="312" w:hanging="240"/>
              <w:rPr>
                <w:color w:val="000000"/>
                <w:sz w:val="20"/>
              </w:rPr>
            </w:pPr>
            <w:r w:rsidRPr="00E2521E">
              <w:rPr>
                <w:color w:val="000000"/>
                <w:sz w:val="20"/>
              </w:rPr>
              <w:t>Regulatory change</w:t>
            </w:r>
            <w:r w:rsidR="00665F23">
              <w:rPr>
                <w:color w:val="000000"/>
                <w:sz w:val="20"/>
              </w:rPr>
              <w:t>s</w:t>
            </w:r>
            <w:r>
              <w:rPr>
                <w:color w:val="000000"/>
                <w:sz w:val="20"/>
              </w:rPr>
              <w:t>:</w:t>
            </w:r>
            <w:r w:rsidR="00665F23">
              <w:rPr>
                <w:color w:val="000000"/>
                <w:sz w:val="20"/>
              </w:rPr>
              <w:t xml:space="preserve"> Removed CQS proposal; added quality plan to reduce health disparities; revision of QS at least once per 3 years with evaluation.</w:t>
            </w:r>
          </w:p>
          <w:p w14:paraId="06CA0649" w14:textId="46C9B69D" w:rsidR="003B50C0" w:rsidRPr="00E2521E" w:rsidRDefault="003B50C0" w:rsidP="00681C5D">
            <w:pPr>
              <w:pStyle w:val="ListParagraph"/>
              <w:widowControl/>
              <w:numPr>
                <w:ilvl w:val="0"/>
                <w:numId w:val="1"/>
              </w:numPr>
              <w:tabs>
                <w:tab w:val="left" w:pos="0"/>
                <w:tab w:val="left" w:pos="312"/>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12" w:hanging="270"/>
              <w:rPr>
                <w:sz w:val="20"/>
              </w:rPr>
            </w:pPr>
            <w:r>
              <w:rPr>
                <w:color w:val="000000"/>
                <w:sz w:val="20"/>
              </w:rPr>
              <w:t>Estimate change:</w:t>
            </w:r>
            <w:r w:rsidR="00665F23">
              <w:rPr>
                <w:color w:val="000000"/>
                <w:sz w:val="20"/>
              </w:rPr>
              <w:t xml:space="preserve"> the number of states </w:t>
            </w:r>
            <w:r w:rsidR="00665F23">
              <w:rPr>
                <w:color w:val="000000"/>
                <w:sz w:val="20"/>
              </w:rPr>
              <w:lastRenderedPageBreak/>
              <w:t>communicating demographic data with plans.</w:t>
            </w:r>
          </w:p>
        </w:tc>
      </w:tr>
    </w:tbl>
    <w:p w14:paraId="6C5B8579"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C5B857A"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16.</w:t>
      </w:r>
      <w:r>
        <w:rPr>
          <w:sz w:val="24"/>
        </w:rPr>
        <w:tab/>
      </w:r>
      <w:r>
        <w:rPr>
          <w:sz w:val="24"/>
          <w:u w:val="single"/>
        </w:rPr>
        <w:t>Publication/Tabulation Dates</w:t>
      </w:r>
    </w:p>
    <w:p w14:paraId="6C5B857B"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07E0DEC" w14:textId="5F8B75F5" w:rsidR="003946B9" w:rsidRDefault="003946B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States will </w:t>
      </w:r>
      <w:r w:rsidR="005010EE">
        <w:rPr>
          <w:sz w:val="24"/>
        </w:rPr>
        <w:t xml:space="preserve">at least annually, </w:t>
      </w:r>
      <w:r>
        <w:rPr>
          <w:sz w:val="24"/>
        </w:rPr>
        <w:t>make</w:t>
      </w:r>
      <w:r w:rsidRPr="003946B9">
        <w:rPr>
          <w:sz w:val="24"/>
        </w:rPr>
        <w:t xml:space="preserve"> the accreditation status for each contracted MCO, PIHP, and PAHP available on the website required under §438.10(c)(3), including whether each MCO, PIHP, and PAHP has been accredited and, if applicable, the name of the accrediting entity, accreditation p</w:t>
      </w:r>
      <w:r>
        <w:rPr>
          <w:sz w:val="24"/>
        </w:rPr>
        <w:t xml:space="preserve">rogram, and accreditation level.  </w:t>
      </w:r>
    </w:p>
    <w:p w14:paraId="2A53597B" w14:textId="77777777" w:rsidR="003946B9" w:rsidRDefault="003946B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44B772E8" w14:textId="06BE0F66" w:rsidR="003946B9" w:rsidRPr="003946B9" w:rsidRDefault="003946B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States will </w:t>
      </w:r>
      <w:r w:rsidRPr="003946B9">
        <w:rPr>
          <w:sz w:val="24"/>
        </w:rPr>
        <w:t xml:space="preserve">prominently display the </w:t>
      </w:r>
      <w:r w:rsidR="005010EE">
        <w:rPr>
          <w:sz w:val="24"/>
        </w:rPr>
        <w:t xml:space="preserve">annual </w:t>
      </w:r>
      <w:r w:rsidRPr="003946B9">
        <w:rPr>
          <w:sz w:val="24"/>
        </w:rPr>
        <w:t>quality rating given by the State to</w:t>
      </w:r>
      <w:r>
        <w:rPr>
          <w:sz w:val="24"/>
        </w:rPr>
        <w:t xml:space="preserve"> each MCO, PIHP, or PAHP </w:t>
      </w:r>
      <w:r w:rsidRPr="003946B9">
        <w:rPr>
          <w:sz w:val="24"/>
        </w:rPr>
        <w:t>on the website required under §438.10(c)(3)</w:t>
      </w:r>
      <w:r>
        <w:rPr>
          <w:sz w:val="24"/>
        </w:rPr>
        <w:t>.</w:t>
      </w:r>
      <w:r w:rsidR="009C1840">
        <w:rPr>
          <w:sz w:val="24"/>
        </w:rPr>
        <w:t xml:space="preserve">  States must implement a quality rating system within 3 years of the date of a final notice published in the Federal Register.</w:t>
      </w:r>
    </w:p>
    <w:p w14:paraId="3F051F28" w14:textId="77777777" w:rsidR="003946B9" w:rsidRDefault="003946B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6C5B857C" w14:textId="46496FC0" w:rsidR="00425F8A" w:rsidRDefault="00425F8A" w:rsidP="005010E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States </w:t>
      </w:r>
      <w:r w:rsidR="003946B9">
        <w:rPr>
          <w:sz w:val="24"/>
        </w:rPr>
        <w:t>will post current quality strategies (</w:t>
      </w:r>
      <w:r w:rsidR="005010EE">
        <w:rPr>
          <w:sz w:val="24"/>
        </w:rPr>
        <w:t xml:space="preserve">QS), which include all of the elements required in §438.340(b) </w:t>
      </w:r>
      <w:r>
        <w:rPr>
          <w:sz w:val="24"/>
        </w:rPr>
        <w:t>on their websites</w:t>
      </w:r>
      <w:r w:rsidR="009A1EE4">
        <w:rPr>
          <w:sz w:val="24"/>
        </w:rPr>
        <w:t xml:space="preserve">.  </w:t>
      </w:r>
      <w:r>
        <w:rPr>
          <w:sz w:val="24"/>
        </w:rPr>
        <w:t xml:space="preserve">CMS will maintain a list </w:t>
      </w:r>
      <w:r w:rsidR="003946B9">
        <w:rPr>
          <w:sz w:val="24"/>
        </w:rPr>
        <w:t xml:space="preserve">of hyperlinks to current state </w:t>
      </w:r>
      <w:r>
        <w:rPr>
          <w:sz w:val="24"/>
        </w:rPr>
        <w:t>QS</w:t>
      </w:r>
      <w:r w:rsidR="009A1EE4">
        <w:rPr>
          <w:sz w:val="24"/>
        </w:rPr>
        <w:t xml:space="preserve"> on Medicaid.gov</w:t>
      </w:r>
      <w:r>
        <w:rPr>
          <w:sz w:val="24"/>
        </w:rPr>
        <w:t>.  States will be requi</w:t>
      </w:r>
      <w:r w:rsidR="003946B9">
        <w:rPr>
          <w:sz w:val="24"/>
        </w:rPr>
        <w:t xml:space="preserve">red to review and revise their </w:t>
      </w:r>
      <w:r>
        <w:rPr>
          <w:sz w:val="24"/>
        </w:rPr>
        <w:t>QS at l</w:t>
      </w:r>
      <w:r w:rsidR="009A1EE4">
        <w:rPr>
          <w:sz w:val="24"/>
        </w:rPr>
        <w:t>east once every three years; this process will include an e</w:t>
      </w:r>
      <w:r w:rsidR="003946B9">
        <w:rPr>
          <w:sz w:val="24"/>
        </w:rPr>
        <w:t xml:space="preserve">ffectiveness evaluation of the </w:t>
      </w:r>
      <w:r w:rsidR="009A1EE4">
        <w:rPr>
          <w:sz w:val="24"/>
        </w:rPr>
        <w:t>QS, the results of which must be published on the sta</w:t>
      </w:r>
      <w:r w:rsidR="003946B9">
        <w:rPr>
          <w:sz w:val="24"/>
        </w:rPr>
        <w:t xml:space="preserve">te’s website.  </w:t>
      </w:r>
      <w:r w:rsidR="005010EE">
        <w:rPr>
          <w:sz w:val="24"/>
        </w:rPr>
        <w:t>States must make</w:t>
      </w:r>
      <w:r w:rsidR="005010EE" w:rsidRPr="005010EE">
        <w:rPr>
          <w:sz w:val="24"/>
        </w:rPr>
        <w:t xml:space="preserve"> the strategy available for public comment before submitting the strategy to CMS for review </w:t>
      </w:r>
      <w:r w:rsidR="003946B9">
        <w:rPr>
          <w:sz w:val="24"/>
        </w:rPr>
        <w:t xml:space="preserve">CMS will review </w:t>
      </w:r>
      <w:r w:rsidR="009A1EE4">
        <w:rPr>
          <w:sz w:val="24"/>
        </w:rPr>
        <w:t>QS submitted to the agency by states as a part of its normal oversight activities for the Medicaid program.</w:t>
      </w:r>
      <w:r>
        <w:rPr>
          <w:sz w:val="24"/>
        </w:rPr>
        <w:t xml:space="preserve"> </w:t>
      </w:r>
    </w:p>
    <w:p w14:paraId="6C5B857D"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C5B857E"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17.</w:t>
      </w:r>
      <w:r>
        <w:rPr>
          <w:sz w:val="24"/>
        </w:rPr>
        <w:tab/>
      </w:r>
      <w:r>
        <w:rPr>
          <w:sz w:val="24"/>
          <w:u w:val="single"/>
        </w:rPr>
        <w:t>Expiration Date</w:t>
      </w:r>
    </w:p>
    <w:p w14:paraId="6C5B857F" w14:textId="77777777" w:rsidR="000F3AF4" w:rsidRDefault="000F3A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6C5B8580" w14:textId="6E993C9E" w:rsidR="008F1EB4" w:rsidRDefault="009455EA" w:rsidP="00425F8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jc w:val="both"/>
        <w:rPr>
          <w:sz w:val="24"/>
        </w:rPr>
      </w:pPr>
      <w:r w:rsidRPr="009455EA">
        <w:rPr>
          <w:sz w:val="24"/>
        </w:rPr>
        <w:t>This package effectuates statutory</w:t>
      </w:r>
      <w:r w:rsidR="00BD2962">
        <w:rPr>
          <w:sz w:val="24"/>
        </w:rPr>
        <w:t xml:space="preserve"> and regulatory</w:t>
      </w:r>
      <w:r w:rsidRPr="009455EA">
        <w:rPr>
          <w:sz w:val="24"/>
        </w:rPr>
        <w:t xml:space="preserve"> </w:t>
      </w:r>
      <w:r w:rsidR="00BD2962">
        <w:rPr>
          <w:sz w:val="24"/>
        </w:rPr>
        <w:t>requirements</w:t>
      </w:r>
      <w:r w:rsidR="00687942">
        <w:rPr>
          <w:sz w:val="24"/>
        </w:rPr>
        <w:t xml:space="preserve"> that do not include an expiration date</w:t>
      </w:r>
      <w:r w:rsidRPr="009455EA">
        <w:rPr>
          <w:sz w:val="24"/>
        </w:rPr>
        <w:t>; therefore, we intend to maintain its approval indefinitely.  We will display the expiration date for the current approval.</w:t>
      </w:r>
      <w:r w:rsidR="008F1EB4">
        <w:rPr>
          <w:sz w:val="24"/>
        </w:rPr>
        <w:t>.</w:t>
      </w:r>
    </w:p>
    <w:p w14:paraId="6C5B8581"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C5B8582"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18.</w:t>
      </w:r>
      <w:r>
        <w:rPr>
          <w:sz w:val="24"/>
        </w:rPr>
        <w:tab/>
      </w:r>
      <w:r>
        <w:rPr>
          <w:sz w:val="24"/>
          <w:u w:val="single"/>
        </w:rPr>
        <w:t>Certification Statement</w:t>
      </w:r>
    </w:p>
    <w:p w14:paraId="6C5B8583"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C5B8584" w14:textId="77777777" w:rsidR="008F1EB4" w:rsidRDefault="00425F8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425F8A">
        <w:rPr>
          <w:sz w:val="24"/>
        </w:rPr>
        <w:t>There are no exceptions</w:t>
      </w:r>
      <w:r>
        <w:rPr>
          <w:sz w:val="24"/>
        </w:rPr>
        <w:t xml:space="preserve"> to the certification statement.</w:t>
      </w:r>
    </w:p>
    <w:p w14:paraId="6C5B8585" w14:textId="77777777" w:rsidR="000F3AF4" w:rsidRDefault="000F3A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b/>
          <w:bCs/>
          <w:sz w:val="24"/>
          <w:u w:val="single"/>
        </w:rPr>
      </w:pPr>
    </w:p>
    <w:sectPr w:rsidR="000F3AF4" w:rsidSect="008B4898">
      <w:endnotePr>
        <w:numFmt w:val="decimal"/>
      </w:endnotePr>
      <w:pgSz w:w="12240" w:h="15840"/>
      <w:pgMar w:top="1440" w:right="1296"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5A508" w14:textId="77777777" w:rsidR="00682451" w:rsidRDefault="00682451">
      <w:r>
        <w:separator/>
      </w:r>
    </w:p>
  </w:endnote>
  <w:endnote w:type="continuationSeparator" w:id="0">
    <w:p w14:paraId="751C31C8" w14:textId="77777777" w:rsidR="00682451" w:rsidRDefault="00682451">
      <w:r>
        <w:continuationSeparator/>
      </w:r>
    </w:p>
  </w:endnote>
  <w:endnote w:type="continuationNotice" w:id="1">
    <w:p w14:paraId="2AEC91A3" w14:textId="77777777" w:rsidR="00682451" w:rsidRDefault="006824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Open Sans">
    <w:altName w:val="Open San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B858A" w14:textId="77777777" w:rsidR="00682451" w:rsidRDefault="00682451">
    <w:pPr>
      <w:spacing w:line="240" w:lineRule="exact"/>
    </w:pPr>
  </w:p>
  <w:p w14:paraId="6C5B858B" w14:textId="77777777" w:rsidR="00682451" w:rsidRDefault="00682451">
    <w:pPr>
      <w:framePr w:w="9505"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695270">
      <w:rPr>
        <w:noProof/>
        <w:sz w:val="24"/>
      </w:rPr>
      <w:t>1</w:t>
    </w:r>
    <w:r>
      <w:rPr>
        <w:sz w:val="24"/>
      </w:rPr>
      <w:fldChar w:fldCharType="end"/>
    </w:r>
  </w:p>
  <w:p w14:paraId="6C5B858C" w14:textId="77777777" w:rsidR="00682451" w:rsidRDefault="00682451">
    <w:pPr>
      <w:ind w:right="144"/>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48BF09" w14:textId="77777777" w:rsidR="00682451" w:rsidRDefault="00682451">
      <w:r>
        <w:separator/>
      </w:r>
    </w:p>
  </w:footnote>
  <w:footnote w:type="continuationSeparator" w:id="0">
    <w:p w14:paraId="298D2395" w14:textId="77777777" w:rsidR="00682451" w:rsidRDefault="00682451">
      <w:r>
        <w:continuationSeparator/>
      </w:r>
    </w:p>
  </w:footnote>
  <w:footnote w:type="continuationNotice" w:id="1">
    <w:p w14:paraId="1E745999" w14:textId="77777777" w:rsidR="00682451" w:rsidRDefault="0068245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74CF4"/>
    <w:multiLevelType w:val="hybridMultilevel"/>
    <w:tmpl w:val="60006998"/>
    <w:lvl w:ilvl="0" w:tplc="99F4C738">
      <w:start w:val="15"/>
      <w:numFmt w:val="bullet"/>
      <w:lvlText w:val=""/>
      <w:lvlJc w:val="left"/>
      <w:pPr>
        <w:ind w:left="720" w:hanging="360"/>
      </w:pPr>
      <w:rPr>
        <w:rFonts w:ascii="Symbol" w:eastAsia="Times New Roman" w:hAnsi="Symbol" w:cs="Calibr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35136D"/>
    <w:multiLevelType w:val="hybridMultilevel"/>
    <w:tmpl w:val="BA5E5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B10522"/>
    <w:multiLevelType w:val="hybridMultilevel"/>
    <w:tmpl w:val="D3808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0A27B8"/>
    <w:multiLevelType w:val="hybridMultilevel"/>
    <w:tmpl w:val="B2DA0D62"/>
    <w:lvl w:ilvl="0" w:tplc="A2E6C4F0">
      <w:start w:val="438"/>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AF4"/>
    <w:rsid w:val="00013855"/>
    <w:rsid w:val="00026C09"/>
    <w:rsid w:val="000305D6"/>
    <w:rsid w:val="000328D1"/>
    <w:rsid w:val="000352EE"/>
    <w:rsid w:val="00042526"/>
    <w:rsid w:val="00072B66"/>
    <w:rsid w:val="00085D42"/>
    <w:rsid w:val="000873D0"/>
    <w:rsid w:val="000A3666"/>
    <w:rsid w:val="000B10EA"/>
    <w:rsid w:val="000B763E"/>
    <w:rsid w:val="000C774B"/>
    <w:rsid w:val="000D0786"/>
    <w:rsid w:val="000D3993"/>
    <w:rsid w:val="000D4EE2"/>
    <w:rsid w:val="000E7526"/>
    <w:rsid w:val="000F3AF4"/>
    <w:rsid w:val="001029B4"/>
    <w:rsid w:val="00125310"/>
    <w:rsid w:val="0012682D"/>
    <w:rsid w:val="0013419B"/>
    <w:rsid w:val="00137D0A"/>
    <w:rsid w:val="00150BC9"/>
    <w:rsid w:val="00183428"/>
    <w:rsid w:val="001B0576"/>
    <w:rsid w:val="001C3456"/>
    <w:rsid w:val="001E00FD"/>
    <w:rsid w:val="001E7EC7"/>
    <w:rsid w:val="001F5C5E"/>
    <w:rsid w:val="00203AD3"/>
    <w:rsid w:val="00225B17"/>
    <w:rsid w:val="00237BCF"/>
    <w:rsid w:val="00237DA5"/>
    <w:rsid w:val="00252C92"/>
    <w:rsid w:val="00264037"/>
    <w:rsid w:val="002644A7"/>
    <w:rsid w:val="002671E2"/>
    <w:rsid w:val="00273232"/>
    <w:rsid w:val="00287067"/>
    <w:rsid w:val="00290348"/>
    <w:rsid w:val="002A5884"/>
    <w:rsid w:val="002B5889"/>
    <w:rsid w:val="002C5132"/>
    <w:rsid w:val="002E7295"/>
    <w:rsid w:val="002F38F5"/>
    <w:rsid w:val="00310726"/>
    <w:rsid w:val="0031215E"/>
    <w:rsid w:val="003127A0"/>
    <w:rsid w:val="00313238"/>
    <w:rsid w:val="0031771E"/>
    <w:rsid w:val="0032108C"/>
    <w:rsid w:val="003316C9"/>
    <w:rsid w:val="00333917"/>
    <w:rsid w:val="00333A67"/>
    <w:rsid w:val="003353BE"/>
    <w:rsid w:val="003412EF"/>
    <w:rsid w:val="00352D04"/>
    <w:rsid w:val="0035712B"/>
    <w:rsid w:val="00365E5F"/>
    <w:rsid w:val="00367AC9"/>
    <w:rsid w:val="00372438"/>
    <w:rsid w:val="003753A4"/>
    <w:rsid w:val="00381CA0"/>
    <w:rsid w:val="00383A8B"/>
    <w:rsid w:val="00390373"/>
    <w:rsid w:val="00390596"/>
    <w:rsid w:val="003946B9"/>
    <w:rsid w:val="003963A0"/>
    <w:rsid w:val="003A2139"/>
    <w:rsid w:val="003A72AA"/>
    <w:rsid w:val="003B50C0"/>
    <w:rsid w:val="003C4304"/>
    <w:rsid w:val="003C7AC9"/>
    <w:rsid w:val="003E0C39"/>
    <w:rsid w:val="003E2501"/>
    <w:rsid w:val="00411561"/>
    <w:rsid w:val="00425F8A"/>
    <w:rsid w:val="004301BA"/>
    <w:rsid w:val="00435982"/>
    <w:rsid w:val="004556ED"/>
    <w:rsid w:val="00461E53"/>
    <w:rsid w:val="00462B06"/>
    <w:rsid w:val="00465F56"/>
    <w:rsid w:val="00466416"/>
    <w:rsid w:val="00471404"/>
    <w:rsid w:val="00475340"/>
    <w:rsid w:val="00485B79"/>
    <w:rsid w:val="004D1B4E"/>
    <w:rsid w:val="004F008A"/>
    <w:rsid w:val="004F40C2"/>
    <w:rsid w:val="005010EE"/>
    <w:rsid w:val="00503DE9"/>
    <w:rsid w:val="00503F4B"/>
    <w:rsid w:val="00513F11"/>
    <w:rsid w:val="00523DFC"/>
    <w:rsid w:val="005348CB"/>
    <w:rsid w:val="005356B4"/>
    <w:rsid w:val="00537656"/>
    <w:rsid w:val="005641F8"/>
    <w:rsid w:val="00566F59"/>
    <w:rsid w:val="005769F0"/>
    <w:rsid w:val="005B0BC5"/>
    <w:rsid w:val="005E4E33"/>
    <w:rsid w:val="00600C1A"/>
    <w:rsid w:val="00601BAC"/>
    <w:rsid w:val="006051AC"/>
    <w:rsid w:val="00624FFE"/>
    <w:rsid w:val="00630078"/>
    <w:rsid w:val="00633900"/>
    <w:rsid w:val="006348AF"/>
    <w:rsid w:val="00650512"/>
    <w:rsid w:val="00655C01"/>
    <w:rsid w:val="00665F23"/>
    <w:rsid w:val="0068027D"/>
    <w:rsid w:val="00680AAE"/>
    <w:rsid w:val="00681C5D"/>
    <w:rsid w:val="00682451"/>
    <w:rsid w:val="00687942"/>
    <w:rsid w:val="00695270"/>
    <w:rsid w:val="006A0B9C"/>
    <w:rsid w:val="006C46E5"/>
    <w:rsid w:val="006D151D"/>
    <w:rsid w:val="006F04A7"/>
    <w:rsid w:val="006F6BD8"/>
    <w:rsid w:val="00700BD3"/>
    <w:rsid w:val="00705B7F"/>
    <w:rsid w:val="00706443"/>
    <w:rsid w:val="0071516F"/>
    <w:rsid w:val="00721067"/>
    <w:rsid w:val="007469CC"/>
    <w:rsid w:val="007546A4"/>
    <w:rsid w:val="00764BED"/>
    <w:rsid w:val="00780257"/>
    <w:rsid w:val="00782B57"/>
    <w:rsid w:val="007B30DA"/>
    <w:rsid w:val="007B5D23"/>
    <w:rsid w:val="007B7C81"/>
    <w:rsid w:val="007E4483"/>
    <w:rsid w:val="007F66D4"/>
    <w:rsid w:val="007F6A6E"/>
    <w:rsid w:val="008118AA"/>
    <w:rsid w:val="008244E3"/>
    <w:rsid w:val="00837BF4"/>
    <w:rsid w:val="00843CD0"/>
    <w:rsid w:val="00846861"/>
    <w:rsid w:val="008666F6"/>
    <w:rsid w:val="00870D59"/>
    <w:rsid w:val="00872F37"/>
    <w:rsid w:val="008775FE"/>
    <w:rsid w:val="00895046"/>
    <w:rsid w:val="00896C37"/>
    <w:rsid w:val="008A0AF8"/>
    <w:rsid w:val="008B38D8"/>
    <w:rsid w:val="008B4898"/>
    <w:rsid w:val="008E109C"/>
    <w:rsid w:val="008E4B6B"/>
    <w:rsid w:val="008F1EB4"/>
    <w:rsid w:val="008F4B8B"/>
    <w:rsid w:val="008F587A"/>
    <w:rsid w:val="00905CA4"/>
    <w:rsid w:val="00935901"/>
    <w:rsid w:val="00935B05"/>
    <w:rsid w:val="00937B78"/>
    <w:rsid w:val="0094158A"/>
    <w:rsid w:val="009455EA"/>
    <w:rsid w:val="00957208"/>
    <w:rsid w:val="00957EC5"/>
    <w:rsid w:val="00957FAC"/>
    <w:rsid w:val="00965A3E"/>
    <w:rsid w:val="009660A8"/>
    <w:rsid w:val="00966866"/>
    <w:rsid w:val="00971E6D"/>
    <w:rsid w:val="00973E99"/>
    <w:rsid w:val="00977D56"/>
    <w:rsid w:val="00983913"/>
    <w:rsid w:val="00986451"/>
    <w:rsid w:val="00991A1A"/>
    <w:rsid w:val="0099231B"/>
    <w:rsid w:val="009A1EE4"/>
    <w:rsid w:val="009C1840"/>
    <w:rsid w:val="009D10B5"/>
    <w:rsid w:val="009E35AE"/>
    <w:rsid w:val="009E71EF"/>
    <w:rsid w:val="009F1F4C"/>
    <w:rsid w:val="009F2901"/>
    <w:rsid w:val="00A01DF8"/>
    <w:rsid w:val="00A10FCF"/>
    <w:rsid w:val="00A1600A"/>
    <w:rsid w:val="00A4633B"/>
    <w:rsid w:val="00A516E2"/>
    <w:rsid w:val="00A96FA6"/>
    <w:rsid w:val="00AA5690"/>
    <w:rsid w:val="00AB06BF"/>
    <w:rsid w:val="00AB7437"/>
    <w:rsid w:val="00AC12F6"/>
    <w:rsid w:val="00AD438D"/>
    <w:rsid w:val="00AD49AE"/>
    <w:rsid w:val="00AE57A1"/>
    <w:rsid w:val="00AE58CD"/>
    <w:rsid w:val="00AE63E2"/>
    <w:rsid w:val="00AE6467"/>
    <w:rsid w:val="00AF528F"/>
    <w:rsid w:val="00B07E7C"/>
    <w:rsid w:val="00B25184"/>
    <w:rsid w:val="00B37FE0"/>
    <w:rsid w:val="00B81076"/>
    <w:rsid w:val="00B95712"/>
    <w:rsid w:val="00BA0FCF"/>
    <w:rsid w:val="00BA12B0"/>
    <w:rsid w:val="00BA2312"/>
    <w:rsid w:val="00BA66F4"/>
    <w:rsid w:val="00BB6243"/>
    <w:rsid w:val="00BB7431"/>
    <w:rsid w:val="00BD266D"/>
    <w:rsid w:val="00BD2962"/>
    <w:rsid w:val="00BD601A"/>
    <w:rsid w:val="00BD75FB"/>
    <w:rsid w:val="00BF4030"/>
    <w:rsid w:val="00BF4BF8"/>
    <w:rsid w:val="00BF7FB1"/>
    <w:rsid w:val="00C20794"/>
    <w:rsid w:val="00C21A73"/>
    <w:rsid w:val="00C25EBF"/>
    <w:rsid w:val="00C36EE9"/>
    <w:rsid w:val="00C423AE"/>
    <w:rsid w:val="00C517DB"/>
    <w:rsid w:val="00C7523D"/>
    <w:rsid w:val="00C7549D"/>
    <w:rsid w:val="00C75F86"/>
    <w:rsid w:val="00C85CF9"/>
    <w:rsid w:val="00C9183F"/>
    <w:rsid w:val="00CB1D49"/>
    <w:rsid w:val="00CB2772"/>
    <w:rsid w:val="00CB52C2"/>
    <w:rsid w:val="00CC46D5"/>
    <w:rsid w:val="00CC5ADB"/>
    <w:rsid w:val="00CD5970"/>
    <w:rsid w:val="00CE17E8"/>
    <w:rsid w:val="00CF3BCE"/>
    <w:rsid w:val="00D04F8D"/>
    <w:rsid w:val="00D24E16"/>
    <w:rsid w:val="00D429F7"/>
    <w:rsid w:val="00D5585E"/>
    <w:rsid w:val="00D70582"/>
    <w:rsid w:val="00D745A0"/>
    <w:rsid w:val="00D80528"/>
    <w:rsid w:val="00D93F79"/>
    <w:rsid w:val="00D95696"/>
    <w:rsid w:val="00DA34B7"/>
    <w:rsid w:val="00DB002B"/>
    <w:rsid w:val="00DD53AB"/>
    <w:rsid w:val="00DF56BF"/>
    <w:rsid w:val="00DF631B"/>
    <w:rsid w:val="00E01114"/>
    <w:rsid w:val="00E04760"/>
    <w:rsid w:val="00E17039"/>
    <w:rsid w:val="00E171D6"/>
    <w:rsid w:val="00E33A76"/>
    <w:rsid w:val="00E34C95"/>
    <w:rsid w:val="00E37E4B"/>
    <w:rsid w:val="00E407C6"/>
    <w:rsid w:val="00E41C92"/>
    <w:rsid w:val="00E73802"/>
    <w:rsid w:val="00E742E1"/>
    <w:rsid w:val="00E80BF4"/>
    <w:rsid w:val="00E82D1B"/>
    <w:rsid w:val="00ED40F9"/>
    <w:rsid w:val="00EF6D8B"/>
    <w:rsid w:val="00EF6F26"/>
    <w:rsid w:val="00F27649"/>
    <w:rsid w:val="00F309B5"/>
    <w:rsid w:val="00F341DE"/>
    <w:rsid w:val="00F37304"/>
    <w:rsid w:val="00F378D4"/>
    <w:rsid w:val="00F50C06"/>
    <w:rsid w:val="00F63E8F"/>
    <w:rsid w:val="00F671C4"/>
    <w:rsid w:val="00F74D68"/>
    <w:rsid w:val="00F812BA"/>
    <w:rsid w:val="00F82C86"/>
    <w:rsid w:val="00F852B0"/>
    <w:rsid w:val="00F8771A"/>
    <w:rsid w:val="00F935F0"/>
    <w:rsid w:val="00FB7508"/>
    <w:rsid w:val="00FC03C6"/>
    <w:rsid w:val="00FC1E93"/>
    <w:rsid w:val="00FD1135"/>
    <w:rsid w:val="00FD1AAA"/>
    <w:rsid w:val="00FE41E0"/>
    <w:rsid w:val="00FE4CB6"/>
    <w:rsid w:val="00FF0DE0"/>
    <w:rsid w:val="00FF3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5B84EC"/>
  <w15:docId w15:val="{08A828FF-A7C6-4D54-9866-4D937DE1E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link w:val="Heading1Char"/>
    <w:qFormat/>
    <w:rsid w:val="008B4898"/>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480" w:lineRule="auto"/>
      <w:outlineLvl w:val="0"/>
    </w:pPr>
    <w:rPr>
      <w:rFonts w:ascii="Courier" w:hAnsi="Courier"/>
      <w:b/>
      <w:snapToGrid w:val="0"/>
      <w:sz w:val="24"/>
      <w:szCs w:val="20"/>
    </w:rPr>
  </w:style>
  <w:style w:type="paragraph" w:styleId="Heading2">
    <w:name w:val="heading 2"/>
    <w:next w:val="BodyA"/>
    <w:link w:val="Heading2Char"/>
    <w:qFormat/>
    <w:rsid w:val="008B4898"/>
    <w:pPr>
      <w:keepNext/>
      <w:keepLines/>
      <w:widowControl w:val="0"/>
      <w:pBdr>
        <w:top w:val="nil"/>
        <w:left w:val="nil"/>
        <w:bottom w:val="nil"/>
        <w:right w:val="nil"/>
        <w:between w:val="nil"/>
        <w:bar w:val="nil"/>
      </w:pBdr>
      <w:suppressAutoHyphens/>
      <w:outlineLvl w:val="1"/>
    </w:pPr>
    <w:rPr>
      <w:rFonts w:ascii="Arial Unicode MS" w:eastAsia="Arial Unicode MS" w:hAnsi="Arial Unicode MS" w:cs="Arial Unicode MS"/>
      <w:color w:val="FF0000"/>
      <w:u w:val="single" w:color="FF0000"/>
      <w:bdr w:val="nil"/>
    </w:rPr>
  </w:style>
  <w:style w:type="paragraph" w:styleId="Heading3">
    <w:name w:val="heading 3"/>
    <w:basedOn w:val="Normal"/>
    <w:next w:val="Normal"/>
    <w:link w:val="Heading3Char"/>
    <w:qFormat/>
    <w:rsid w:val="008B4898"/>
    <w:pPr>
      <w:keepNext/>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outlineLvl w:val="2"/>
    </w:pPr>
    <w:rPr>
      <w:snapToGrid w:val="0"/>
      <w:sz w:val="24"/>
      <w:szCs w:val="20"/>
      <w:u w:val="single"/>
    </w:rPr>
  </w:style>
  <w:style w:type="paragraph" w:styleId="Heading4">
    <w:name w:val="heading 4"/>
    <w:basedOn w:val="Normal"/>
    <w:next w:val="Normal"/>
    <w:link w:val="Heading4Char"/>
    <w:qFormat/>
    <w:rsid w:val="008B4898"/>
    <w:pPr>
      <w:keepNext/>
      <w:widowControl/>
      <w:autoSpaceDE/>
      <w:autoSpaceDN/>
      <w:adjustRightInd/>
      <w:spacing w:line="480" w:lineRule="auto"/>
      <w:outlineLvl w:val="3"/>
    </w:pPr>
    <w:rPr>
      <w:b/>
      <w:sz w:val="24"/>
      <w:szCs w:val="20"/>
    </w:rPr>
  </w:style>
  <w:style w:type="paragraph" w:styleId="Heading5">
    <w:name w:val="heading 5"/>
    <w:basedOn w:val="Normal"/>
    <w:next w:val="Normal"/>
    <w:link w:val="Heading5Char"/>
    <w:unhideWhenUsed/>
    <w:qFormat/>
    <w:rsid w:val="008B4898"/>
    <w:pPr>
      <w:autoSpaceDE/>
      <w:autoSpaceDN/>
      <w:adjustRightInd/>
      <w:spacing w:before="240" w:after="60"/>
      <w:outlineLvl w:val="4"/>
    </w:pPr>
    <w:rPr>
      <w:rFonts w:ascii="Calibri" w:hAnsi="Calibri"/>
      <w:b/>
      <w:bCs/>
      <w:i/>
      <w:iCs/>
      <w:snapToGrid w:val="0"/>
      <w:sz w:val="26"/>
      <w:szCs w:val="26"/>
    </w:rPr>
  </w:style>
  <w:style w:type="paragraph" w:styleId="Heading6">
    <w:name w:val="heading 6"/>
    <w:basedOn w:val="Normal"/>
    <w:next w:val="Normal"/>
    <w:link w:val="Heading6Char"/>
    <w:qFormat/>
    <w:rsid w:val="008B4898"/>
    <w:pPr>
      <w:keepNext/>
      <w:widowContro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480" w:lineRule="auto"/>
      <w:ind w:left="-720"/>
      <w:outlineLvl w:val="5"/>
    </w:pPr>
    <w:rPr>
      <w:sz w:val="24"/>
      <w:szCs w:val="20"/>
      <w:u w:val="single"/>
    </w:rPr>
  </w:style>
  <w:style w:type="paragraph" w:styleId="Heading7">
    <w:name w:val="heading 7"/>
    <w:basedOn w:val="Normal"/>
    <w:next w:val="Normal"/>
    <w:link w:val="Heading7Char"/>
    <w:uiPriority w:val="99"/>
    <w:qFormat/>
    <w:rsid w:val="008B4898"/>
    <w:pPr>
      <w:keepNext/>
      <w:widowControl/>
      <w:tabs>
        <w:tab w:val="num" w:pos="360"/>
      </w:tabs>
      <w:autoSpaceDE/>
      <w:autoSpaceDN/>
      <w:adjustRightInd/>
      <w:spacing w:line="480" w:lineRule="auto"/>
      <w:ind w:left="360" w:hanging="360"/>
      <w:outlineLvl w:val="6"/>
    </w:pPr>
    <w:rPr>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character" w:styleId="CommentReference">
    <w:name w:val="annotation reference"/>
    <w:uiPriority w:val="99"/>
    <w:rsid w:val="00425F8A"/>
    <w:rPr>
      <w:sz w:val="16"/>
      <w:szCs w:val="16"/>
    </w:rPr>
  </w:style>
  <w:style w:type="paragraph" w:styleId="CommentText">
    <w:name w:val="annotation text"/>
    <w:basedOn w:val="Normal"/>
    <w:link w:val="CommentTextChar"/>
    <w:uiPriority w:val="99"/>
    <w:rsid w:val="00425F8A"/>
    <w:rPr>
      <w:szCs w:val="20"/>
    </w:rPr>
  </w:style>
  <w:style w:type="character" w:customStyle="1" w:styleId="CommentTextChar">
    <w:name w:val="Comment Text Char"/>
    <w:basedOn w:val="DefaultParagraphFont"/>
    <w:link w:val="CommentText"/>
    <w:uiPriority w:val="99"/>
    <w:rsid w:val="00425F8A"/>
  </w:style>
  <w:style w:type="paragraph" w:styleId="CommentSubject">
    <w:name w:val="annotation subject"/>
    <w:basedOn w:val="CommentText"/>
    <w:next w:val="CommentText"/>
    <w:link w:val="CommentSubjectChar"/>
    <w:uiPriority w:val="99"/>
    <w:rsid w:val="00425F8A"/>
    <w:rPr>
      <w:b/>
      <w:bCs/>
    </w:rPr>
  </w:style>
  <w:style w:type="character" w:customStyle="1" w:styleId="CommentSubjectChar">
    <w:name w:val="Comment Subject Char"/>
    <w:link w:val="CommentSubject"/>
    <w:uiPriority w:val="99"/>
    <w:rsid w:val="00425F8A"/>
    <w:rPr>
      <w:b/>
      <w:bCs/>
    </w:rPr>
  </w:style>
  <w:style w:type="paragraph" w:styleId="BalloonText">
    <w:name w:val="Balloon Text"/>
    <w:basedOn w:val="Normal"/>
    <w:link w:val="BalloonTextChar"/>
    <w:uiPriority w:val="99"/>
    <w:rsid w:val="00425F8A"/>
    <w:rPr>
      <w:rFonts w:ascii="Tahoma" w:hAnsi="Tahoma" w:cs="Tahoma"/>
      <w:sz w:val="16"/>
      <w:szCs w:val="16"/>
    </w:rPr>
  </w:style>
  <w:style w:type="character" w:customStyle="1" w:styleId="BalloonTextChar">
    <w:name w:val="Balloon Text Char"/>
    <w:link w:val="BalloonText"/>
    <w:uiPriority w:val="99"/>
    <w:rsid w:val="00425F8A"/>
    <w:rPr>
      <w:rFonts w:ascii="Tahoma" w:hAnsi="Tahoma" w:cs="Tahoma"/>
      <w:sz w:val="16"/>
      <w:szCs w:val="16"/>
    </w:rPr>
  </w:style>
  <w:style w:type="table" w:styleId="TableGrid">
    <w:name w:val="Table Grid"/>
    <w:basedOn w:val="TableNormal"/>
    <w:rsid w:val="00331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042526"/>
    <w:pPr>
      <w:widowControl w:val="0"/>
      <w:pBdr>
        <w:top w:val="nil"/>
        <w:left w:val="nil"/>
        <w:bottom w:val="nil"/>
        <w:right w:val="nil"/>
        <w:between w:val="nil"/>
        <w:bar w:val="nil"/>
      </w:pBdr>
    </w:pPr>
    <w:rPr>
      <w:rFonts w:ascii="Courier" w:eastAsia="Arial Unicode MS" w:hAnsi="Arial Unicode MS" w:cs="Arial Unicode MS"/>
      <w:color w:val="000000"/>
      <w:sz w:val="24"/>
      <w:szCs w:val="24"/>
      <w:u w:color="000000"/>
      <w:bdr w:val="nil"/>
      <w:lang w:val="pt-PT"/>
    </w:rPr>
  </w:style>
  <w:style w:type="paragraph" w:styleId="ListParagraph">
    <w:name w:val="List Paragraph"/>
    <w:basedOn w:val="Normal"/>
    <w:uiPriority w:val="34"/>
    <w:qFormat/>
    <w:rsid w:val="003B50C0"/>
    <w:pPr>
      <w:autoSpaceDE/>
      <w:autoSpaceDN/>
      <w:adjustRightInd/>
      <w:snapToGrid w:val="0"/>
      <w:ind w:left="720"/>
      <w:contextualSpacing/>
    </w:pPr>
    <w:rPr>
      <w:sz w:val="24"/>
      <w:szCs w:val="20"/>
    </w:rPr>
  </w:style>
  <w:style w:type="paragraph" w:styleId="BodyTextIndent2">
    <w:name w:val="Body Text Indent 2"/>
    <w:basedOn w:val="Normal"/>
    <w:link w:val="BodyTextIndent2Char"/>
    <w:uiPriority w:val="99"/>
    <w:rsid w:val="00991A1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firstLine="432"/>
    </w:pPr>
    <w:rPr>
      <w:sz w:val="24"/>
      <w:szCs w:val="20"/>
    </w:rPr>
  </w:style>
  <w:style w:type="character" w:customStyle="1" w:styleId="BodyTextIndent2Char">
    <w:name w:val="Body Text Indent 2 Char"/>
    <w:basedOn w:val="DefaultParagraphFont"/>
    <w:link w:val="BodyTextIndent2"/>
    <w:uiPriority w:val="99"/>
    <w:rsid w:val="00991A1A"/>
    <w:rPr>
      <w:sz w:val="24"/>
    </w:rPr>
  </w:style>
  <w:style w:type="paragraph" w:styleId="Header">
    <w:name w:val="header"/>
    <w:basedOn w:val="Normal"/>
    <w:link w:val="HeaderChar"/>
    <w:uiPriority w:val="99"/>
    <w:rsid w:val="00681C5D"/>
    <w:pPr>
      <w:tabs>
        <w:tab w:val="center" w:pos="4320"/>
        <w:tab w:val="right" w:pos="8640"/>
      </w:tabs>
      <w:autoSpaceDE/>
      <w:autoSpaceDN/>
      <w:adjustRightInd/>
      <w:snapToGrid w:val="0"/>
    </w:pPr>
    <w:rPr>
      <w:sz w:val="24"/>
      <w:szCs w:val="20"/>
    </w:rPr>
  </w:style>
  <w:style w:type="character" w:customStyle="1" w:styleId="HeaderChar">
    <w:name w:val="Header Char"/>
    <w:basedOn w:val="DefaultParagraphFont"/>
    <w:link w:val="Header"/>
    <w:uiPriority w:val="99"/>
    <w:rsid w:val="00681C5D"/>
    <w:rPr>
      <w:sz w:val="24"/>
    </w:rPr>
  </w:style>
  <w:style w:type="paragraph" w:styleId="Footer">
    <w:name w:val="footer"/>
    <w:basedOn w:val="Normal"/>
    <w:link w:val="FooterChar"/>
    <w:uiPriority w:val="99"/>
    <w:unhideWhenUsed/>
    <w:rsid w:val="00FB7508"/>
    <w:pPr>
      <w:tabs>
        <w:tab w:val="center" w:pos="4680"/>
        <w:tab w:val="right" w:pos="9360"/>
      </w:tabs>
    </w:pPr>
  </w:style>
  <w:style w:type="character" w:customStyle="1" w:styleId="FooterChar">
    <w:name w:val="Footer Char"/>
    <w:basedOn w:val="DefaultParagraphFont"/>
    <w:link w:val="Footer"/>
    <w:uiPriority w:val="99"/>
    <w:rsid w:val="00FB7508"/>
    <w:rPr>
      <w:szCs w:val="24"/>
    </w:rPr>
  </w:style>
  <w:style w:type="paragraph" w:customStyle="1" w:styleId="Body2">
    <w:name w:val="Body2"/>
    <w:basedOn w:val="Normal"/>
    <w:qFormat/>
    <w:rsid w:val="00CB1D49"/>
    <w:pPr>
      <w:widowControl/>
      <w:autoSpaceDE/>
      <w:autoSpaceDN/>
      <w:adjustRightInd/>
    </w:pPr>
    <w:rPr>
      <w:sz w:val="24"/>
    </w:rPr>
  </w:style>
  <w:style w:type="character" w:customStyle="1" w:styleId="Heading1Char">
    <w:name w:val="Heading 1 Char"/>
    <w:basedOn w:val="DefaultParagraphFont"/>
    <w:link w:val="Heading1"/>
    <w:rsid w:val="008B4898"/>
    <w:rPr>
      <w:rFonts w:ascii="Courier" w:hAnsi="Courier"/>
      <w:b/>
      <w:snapToGrid w:val="0"/>
      <w:sz w:val="24"/>
    </w:rPr>
  </w:style>
  <w:style w:type="character" w:customStyle="1" w:styleId="Heading2Char">
    <w:name w:val="Heading 2 Char"/>
    <w:basedOn w:val="DefaultParagraphFont"/>
    <w:link w:val="Heading2"/>
    <w:rsid w:val="008B4898"/>
    <w:rPr>
      <w:rFonts w:ascii="Arial Unicode MS" w:eastAsia="Arial Unicode MS" w:hAnsi="Arial Unicode MS" w:cs="Arial Unicode MS"/>
      <w:color w:val="FF0000"/>
      <w:u w:val="single" w:color="FF0000"/>
      <w:bdr w:val="nil"/>
    </w:rPr>
  </w:style>
  <w:style w:type="character" w:customStyle="1" w:styleId="Heading3Char">
    <w:name w:val="Heading 3 Char"/>
    <w:basedOn w:val="DefaultParagraphFont"/>
    <w:link w:val="Heading3"/>
    <w:rsid w:val="008B4898"/>
    <w:rPr>
      <w:snapToGrid w:val="0"/>
      <w:sz w:val="24"/>
      <w:u w:val="single"/>
    </w:rPr>
  </w:style>
  <w:style w:type="character" w:customStyle="1" w:styleId="Heading4Char">
    <w:name w:val="Heading 4 Char"/>
    <w:basedOn w:val="DefaultParagraphFont"/>
    <w:link w:val="Heading4"/>
    <w:rsid w:val="008B4898"/>
    <w:rPr>
      <w:b/>
      <w:sz w:val="24"/>
    </w:rPr>
  </w:style>
  <w:style w:type="character" w:customStyle="1" w:styleId="Heading5Char">
    <w:name w:val="Heading 5 Char"/>
    <w:basedOn w:val="DefaultParagraphFont"/>
    <w:link w:val="Heading5"/>
    <w:rsid w:val="008B4898"/>
    <w:rPr>
      <w:rFonts w:ascii="Calibri" w:hAnsi="Calibri"/>
      <w:b/>
      <w:bCs/>
      <w:i/>
      <w:iCs/>
      <w:snapToGrid w:val="0"/>
      <w:sz w:val="26"/>
      <w:szCs w:val="26"/>
    </w:rPr>
  </w:style>
  <w:style w:type="character" w:customStyle="1" w:styleId="Heading6Char">
    <w:name w:val="Heading 6 Char"/>
    <w:basedOn w:val="DefaultParagraphFont"/>
    <w:link w:val="Heading6"/>
    <w:rsid w:val="008B4898"/>
    <w:rPr>
      <w:sz w:val="24"/>
      <w:u w:val="single"/>
      <w:shd w:val="clear" w:color="auto" w:fill="FFFFFF"/>
    </w:rPr>
  </w:style>
  <w:style w:type="character" w:customStyle="1" w:styleId="Heading7Char">
    <w:name w:val="Heading 7 Char"/>
    <w:basedOn w:val="DefaultParagraphFont"/>
    <w:link w:val="Heading7"/>
    <w:uiPriority w:val="99"/>
    <w:rsid w:val="008B4898"/>
    <w:rPr>
      <w:sz w:val="24"/>
      <w:u w:val="single"/>
    </w:rPr>
  </w:style>
  <w:style w:type="character" w:styleId="Hyperlink">
    <w:name w:val="Hyperlink"/>
    <w:uiPriority w:val="99"/>
    <w:rsid w:val="008B4898"/>
    <w:rPr>
      <w:u w:val="single"/>
    </w:rPr>
  </w:style>
  <w:style w:type="paragraph" w:customStyle="1" w:styleId="HeaderFooter">
    <w:name w:val="Header &amp; Footer"/>
    <w:rsid w:val="008B4898"/>
    <w:pPr>
      <w:pBdr>
        <w:top w:val="nil"/>
        <w:left w:val="nil"/>
        <w:bottom w:val="nil"/>
        <w:right w:val="nil"/>
        <w:between w:val="nil"/>
        <w:bar w:val="nil"/>
      </w:pBdr>
      <w:tabs>
        <w:tab w:val="right" w:pos="9020"/>
      </w:tabs>
    </w:pPr>
    <w:rPr>
      <w:rFonts w:ascii="Helvetica" w:eastAsia="Helvetica" w:hAnsi="Helvetica" w:cs="Helvetica"/>
      <w:color w:val="000000"/>
      <w:sz w:val="24"/>
      <w:szCs w:val="24"/>
      <w:bdr w:val="nil"/>
    </w:rPr>
  </w:style>
  <w:style w:type="paragraph" w:customStyle="1" w:styleId="Heading">
    <w:name w:val="Heading"/>
    <w:next w:val="BodyA"/>
    <w:rsid w:val="008B4898"/>
    <w:pPr>
      <w:keepNext/>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outlineLvl w:val="0"/>
    </w:pPr>
    <w:rPr>
      <w:rFonts w:ascii="Courier" w:eastAsia="Arial Unicode MS" w:hAnsi="Arial Unicode MS" w:cs="Arial Unicode MS"/>
      <w:b/>
      <w:bCs/>
      <w:color w:val="000000"/>
      <w:sz w:val="24"/>
      <w:szCs w:val="24"/>
      <w:u w:color="000000"/>
      <w:bdr w:val="nil"/>
    </w:rPr>
  </w:style>
  <w:style w:type="character" w:customStyle="1" w:styleId="footnoteref">
    <w:name w:val="footnote ref"/>
    <w:rsid w:val="008B4898"/>
  </w:style>
  <w:style w:type="character" w:customStyle="1" w:styleId="Hyperlink0">
    <w:name w:val="Hyperlink.0"/>
    <w:basedOn w:val="footnoteref"/>
    <w:rsid w:val="008B4898"/>
    <w:rPr>
      <w:color w:val="0000FF"/>
      <w:u w:val="single" w:color="0000FF"/>
      <w:lang w:val="en-US"/>
    </w:rPr>
  </w:style>
  <w:style w:type="character" w:customStyle="1" w:styleId="Hyperlink1">
    <w:name w:val="Hyperlink.1"/>
    <w:basedOn w:val="footnoteref"/>
    <w:rsid w:val="008B4898"/>
    <w:rPr>
      <w:color w:val="0000FF"/>
      <w:sz w:val="20"/>
      <w:szCs w:val="20"/>
      <w:u w:val="single" w:color="0000FF"/>
    </w:rPr>
  </w:style>
  <w:style w:type="paragraph" w:styleId="NormalWeb">
    <w:name w:val="Normal (Web)"/>
    <w:uiPriority w:val="99"/>
    <w:rsid w:val="008B4898"/>
    <w:pPr>
      <w:pBdr>
        <w:top w:val="nil"/>
        <w:left w:val="nil"/>
        <w:bottom w:val="nil"/>
        <w:right w:val="nil"/>
        <w:between w:val="nil"/>
        <w:bar w:val="nil"/>
      </w:pBdr>
      <w:spacing w:before="100" w:after="100"/>
    </w:pPr>
    <w:rPr>
      <w:rFonts w:eastAsia="Arial Unicode MS" w:hAnsi="Arial Unicode MS" w:cs="Arial Unicode MS"/>
      <w:color w:val="000000"/>
      <w:sz w:val="24"/>
      <w:szCs w:val="24"/>
      <w:u w:color="000000"/>
      <w:bdr w:val="nil"/>
    </w:rPr>
  </w:style>
  <w:style w:type="paragraph" w:customStyle="1" w:styleId="BodyAA">
    <w:name w:val="Body A A"/>
    <w:rsid w:val="008B4898"/>
    <w:pPr>
      <w:widowControl w:val="0"/>
      <w:pBdr>
        <w:top w:val="nil"/>
        <w:left w:val="nil"/>
        <w:bottom w:val="nil"/>
        <w:right w:val="nil"/>
        <w:between w:val="nil"/>
        <w:bar w:val="nil"/>
      </w:pBdr>
    </w:pPr>
    <w:rPr>
      <w:rFonts w:ascii="Courier" w:eastAsia="Arial Unicode MS" w:hAnsi="Arial Unicode MS" w:cs="Arial Unicode MS"/>
      <w:color w:val="000000"/>
      <w:sz w:val="24"/>
      <w:szCs w:val="24"/>
      <w:u w:color="000000"/>
      <w:bdr w:val="nil"/>
    </w:rPr>
  </w:style>
  <w:style w:type="paragraph" w:styleId="EndnoteText">
    <w:name w:val="endnote text"/>
    <w:link w:val="EndnoteTextChar"/>
    <w:uiPriority w:val="99"/>
    <w:rsid w:val="008B4898"/>
    <w:pPr>
      <w:widowControl w:val="0"/>
      <w:pBdr>
        <w:top w:val="nil"/>
        <w:left w:val="nil"/>
        <w:bottom w:val="nil"/>
        <w:right w:val="nil"/>
        <w:between w:val="nil"/>
        <w:bar w:val="nil"/>
      </w:pBdr>
    </w:pPr>
    <w:rPr>
      <w:rFonts w:ascii="Courier New" w:eastAsia="Courier New" w:hAnsi="Courier New" w:cs="Courier New"/>
      <w:color w:val="000000"/>
      <w:sz w:val="24"/>
      <w:szCs w:val="24"/>
      <w:u w:color="000000"/>
      <w:bdr w:val="nil"/>
    </w:rPr>
  </w:style>
  <w:style w:type="character" w:customStyle="1" w:styleId="EndnoteTextChar">
    <w:name w:val="Endnote Text Char"/>
    <w:basedOn w:val="DefaultParagraphFont"/>
    <w:link w:val="EndnoteText"/>
    <w:uiPriority w:val="99"/>
    <w:rsid w:val="008B4898"/>
    <w:rPr>
      <w:rFonts w:ascii="Courier New" w:eastAsia="Courier New" w:hAnsi="Courier New" w:cs="Courier New"/>
      <w:color w:val="000000"/>
      <w:sz w:val="24"/>
      <w:szCs w:val="24"/>
      <w:u w:color="000000"/>
      <w:bdr w:val="nil"/>
    </w:rPr>
  </w:style>
  <w:style w:type="paragraph" w:styleId="FootnoteText">
    <w:name w:val="footnote text"/>
    <w:link w:val="FootnoteTextChar"/>
    <w:uiPriority w:val="99"/>
    <w:rsid w:val="008B4898"/>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FootnoteTextChar">
    <w:name w:val="Footnote Text Char"/>
    <w:basedOn w:val="DefaultParagraphFont"/>
    <w:link w:val="FootnoteText"/>
    <w:uiPriority w:val="99"/>
    <w:rsid w:val="008B4898"/>
    <w:rPr>
      <w:rFonts w:ascii="Calibri" w:eastAsia="Calibri" w:hAnsi="Calibri" w:cs="Calibri"/>
      <w:color w:val="000000"/>
      <w:u w:color="000000"/>
      <w:bdr w:val="nil"/>
    </w:rPr>
  </w:style>
  <w:style w:type="character" w:customStyle="1" w:styleId="Hyperlink2">
    <w:name w:val="Hyperlink.2"/>
    <w:basedOn w:val="footnoteref"/>
    <w:rsid w:val="008B4898"/>
    <w:rPr>
      <w:color w:val="0000FF"/>
      <w:u w:val="single" w:color="0000FF"/>
    </w:rPr>
  </w:style>
  <w:style w:type="character" w:customStyle="1" w:styleId="Hyperlink3">
    <w:name w:val="Hyperlink.3"/>
    <w:basedOn w:val="footnoteref"/>
    <w:rsid w:val="008B4898"/>
    <w:rPr>
      <w:color w:val="0000FF"/>
      <w:u w:val="single" w:color="000000"/>
      <w:lang w:val="en-US"/>
    </w:rPr>
  </w:style>
  <w:style w:type="character" w:customStyle="1" w:styleId="Hyperlink4">
    <w:name w:val="Hyperlink.4"/>
    <w:basedOn w:val="footnoteref"/>
    <w:rsid w:val="008B4898"/>
    <w:rPr>
      <w:color w:val="0000FF"/>
      <w:u w:val="single" w:color="0000FF"/>
      <w:lang w:val="nl-NL"/>
    </w:rPr>
  </w:style>
  <w:style w:type="character" w:customStyle="1" w:styleId="Hyperlink5">
    <w:name w:val="Hyperlink.5"/>
    <w:basedOn w:val="footnoteref"/>
    <w:rsid w:val="008B4898"/>
    <w:rPr>
      <w:color w:val="0000FF"/>
      <w:u w:val="single" w:color="0000FF"/>
      <w:lang w:val="it-IT"/>
    </w:rPr>
  </w:style>
  <w:style w:type="paragraph" w:customStyle="1" w:styleId="Default">
    <w:name w:val="Default"/>
    <w:rsid w:val="008B4898"/>
    <w:pPr>
      <w:widowControl w:val="0"/>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character" w:customStyle="1" w:styleId="Hyperlink6">
    <w:name w:val="Hyperlink.6"/>
    <w:basedOn w:val="footnoteref"/>
    <w:rsid w:val="008B4898"/>
    <w:rPr>
      <w:color w:val="0000FF"/>
      <w:u w:val="single" w:color="0000FF"/>
    </w:rPr>
  </w:style>
  <w:style w:type="character" w:customStyle="1" w:styleId="Hyperlink7">
    <w:name w:val="Hyperlink.7"/>
    <w:basedOn w:val="footnoteref"/>
    <w:rsid w:val="008B4898"/>
    <w:rPr>
      <w:color w:val="0000FF"/>
      <w:u w:val="single" w:color="0000FF"/>
    </w:rPr>
  </w:style>
  <w:style w:type="character" w:customStyle="1" w:styleId="Hyperlink8">
    <w:name w:val="Hyperlink.8"/>
    <w:basedOn w:val="footnoteref"/>
    <w:rsid w:val="008B4898"/>
    <w:rPr>
      <w:b w:val="0"/>
      <w:bCs w:val="0"/>
      <w:color w:val="0000FF"/>
      <w:u w:val="single" w:color="0000FF"/>
    </w:rPr>
  </w:style>
  <w:style w:type="paragraph" w:styleId="BlockText">
    <w:name w:val="Block Text"/>
    <w:uiPriority w:val="99"/>
    <w:rsid w:val="008B4898"/>
    <w:pPr>
      <w:widowControl w:val="0"/>
      <w:pBdr>
        <w:top w:val="nil"/>
        <w:left w:val="nil"/>
        <w:bottom w:val="nil"/>
        <w:right w:val="nil"/>
        <w:between w:val="nil"/>
        <w:bar w:val="nil"/>
      </w:pBdr>
      <w:suppressAutoHyphens/>
      <w:ind w:left="720" w:right="720" w:hanging="720"/>
    </w:pPr>
    <w:rPr>
      <w:rFonts w:eastAsia="Arial Unicode MS" w:hAnsi="Arial Unicode MS" w:cs="Arial Unicode MS"/>
      <w:color w:val="000000"/>
      <w:sz w:val="24"/>
      <w:szCs w:val="24"/>
      <w:u w:color="000000"/>
      <w:bdr w:val="nil"/>
    </w:rPr>
  </w:style>
  <w:style w:type="paragraph" w:styleId="BodyTextIndent">
    <w:name w:val="Body Text Indent"/>
    <w:link w:val="BodyTextIndentChar"/>
    <w:uiPriority w:val="99"/>
    <w:rsid w:val="008B4898"/>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rPr>
      <w:rFonts w:ascii="Courier" w:eastAsia="Arial Unicode MS" w:hAnsi="Arial Unicode MS" w:cs="Arial Unicode MS"/>
      <w:b/>
      <w:bCs/>
      <w:color w:val="000000"/>
      <w:sz w:val="24"/>
      <w:szCs w:val="24"/>
      <w:u w:color="000000"/>
      <w:bdr w:val="nil"/>
    </w:rPr>
  </w:style>
  <w:style w:type="character" w:customStyle="1" w:styleId="BodyTextIndentChar">
    <w:name w:val="Body Text Indent Char"/>
    <w:basedOn w:val="DefaultParagraphFont"/>
    <w:link w:val="BodyTextIndent"/>
    <w:uiPriority w:val="99"/>
    <w:rsid w:val="008B4898"/>
    <w:rPr>
      <w:rFonts w:ascii="Courier" w:eastAsia="Arial Unicode MS" w:hAnsi="Arial Unicode MS" w:cs="Arial Unicode MS"/>
      <w:b/>
      <w:bCs/>
      <w:color w:val="000000"/>
      <w:sz w:val="24"/>
      <w:szCs w:val="24"/>
      <w:u w:color="000000"/>
      <w:bdr w:val="nil"/>
    </w:rPr>
  </w:style>
  <w:style w:type="paragraph" w:customStyle="1" w:styleId="Body">
    <w:name w:val="Body"/>
    <w:uiPriority w:val="99"/>
    <w:rsid w:val="008B4898"/>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paragraph" w:styleId="BodyText">
    <w:name w:val="Body Text"/>
    <w:link w:val="BodyTextChar"/>
    <w:uiPriority w:val="99"/>
    <w:rsid w:val="008B4898"/>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Pr>
      <w:rFonts w:eastAsia="Arial Unicode MS" w:hAnsi="Arial Unicode MS" w:cs="Arial Unicode MS"/>
      <w:b/>
      <w:bCs/>
      <w:color w:val="000000"/>
      <w:sz w:val="24"/>
      <w:szCs w:val="24"/>
      <w:u w:color="000000"/>
      <w:bdr w:val="nil"/>
      <w14:shadow w14:blurRad="50800" w14:dist="38100" w14:dir="2700000" w14:sx="100000" w14:sy="100000" w14:kx="0" w14:ky="0" w14:algn="tl">
        <w14:srgbClr w14:val="000000">
          <w14:alpha w14:val="60000"/>
        </w14:srgbClr>
      </w14:shadow>
    </w:rPr>
  </w:style>
  <w:style w:type="character" w:customStyle="1" w:styleId="BodyTextChar">
    <w:name w:val="Body Text Char"/>
    <w:basedOn w:val="DefaultParagraphFont"/>
    <w:link w:val="BodyText"/>
    <w:uiPriority w:val="99"/>
    <w:rsid w:val="008B4898"/>
    <w:rPr>
      <w:rFonts w:eastAsia="Arial Unicode MS" w:hAnsi="Arial Unicode MS" w:cs="Arial Unicode MS"/>
      <w:b/>
      <w:bCs/>
      <w:color w:val="000000"/>
      <w:sz w:val="24"/>
      <w:szCs w:val="24"/>
      <w:u w:color="000000"/>
      <w:bdr w:val="nil"/>
      <w14:shadow w14:blurRad="50800" w14:dist="38100" w14:dir="2700000" w14:sx="100000" w14:sy="100000" w14:kx="0" w14:ky="0" w14:algn="tl">
        <w14:srgbClr w14:val="000000">
          <w14:alpha w14:val="60000"/>
        </w14:srgbClr>
      </w14:shadow>
    </w:rPr>
  </w:style>
  <w:style w:type="character" w:customStyle="1" w:styleId="Hyperlink9">
    <w:name w:val="Hyperlink.9"/>
    <w:basedOn w:val="footnoteref"/>
    <w:rsid w:val="008B4898"/>
    <w:rPr>
      <w:color w:val="000000"/>
      <w:u w:val="none" w:color="000000"/>
      <w:lang w:val="en-US"/>
    </w:rPr>
  </w:style>
  <w:style w:type="paragraph" w:styleId="Revision">
    <w:name w:val="Revision"/>
    <w:hidden/>
    <w:uiPriority w:val="99"/>
    <w:semiHidden/>
    <w:rsid w:val="008B4898"/>
    <w:rPr>
      <w:rFonts w:eastAsia="Arial Unicode MS"/>
      <w:sz w:val="24"/>
      <w:szCs w:val="24"/>
      <w:bdr w:val="nil"/>
    </w:rPr>
  </w:style>
  <w:style w:type="character" w:styleId="PageNumber">
    <w:name w:val="page number"/>
    <w:basedOn w:val="DefaultParagraphFont"/>
    <w:rsid w:val="008B4898"/>
  </w:style>
  <w:style w:type="paragraph" w:styleId="BodyTextIndent3">
    <w:name w:val="Body Text Indent 3"/>
    <w:basedOn w:val="Normal"/>
    <w:link w:val="BodyTextIndent3Char"/>
    <w:uiPriority w:val="99"/>
    <w:rsid w:val="008B4898"/>
    <w:pPr>
      <w:widowControl/>
      <w:autoSpaceDE/>
      <w:autoSpaceDN/>
      <w:adjustRightInd/>
      <w:spacing w:line="480" w:lineRule="auto"/>
      <w:ind w:firstLine="720"/>
    </w:pPr>
    <w:rPr>
      <w:rFonts w:ascii="Courier New" w:hAnsi="Courier New"/>
      <w:b/>
      <w:bCs/>
      <w:color w:val="000000"/>
      <w:sz w:val="24"/>
      <w:u w:val="single"/>
    </w:rPr>
  </w:style>
  <w:style w:type="character" w:customStyle="1" w:styleId="BodyTextIndent3Char">
    <w:name w:val="Body Text Indent 3 Char"/>
    <w:basedOn w:val="DefaultParagraphFont"/>
    <w:link w:val="BodyTextIndent3"/>
    <w:uiPriority w:val="99"/>
    <w:rsid w:val="008B4898"/>
    <w:rPr>
      <w:rFonts w:ascii="Courier New" w:hAnsi="Courier New"/>
      <w:b/>
      <w:bCs/>
      <w:color w:val="000000"/>
      <w:sz w:val="24"/>
      <w:szCs w:val="24"/>
      <w:u w:val="single"/>
    </w:rPr>
  </w:style>
  <w:style w:type="character" w:styleId="FollowedHyperlink">
    <w:name w:val="FollowedHyperlink"/>
    <w:uiPriority w:val="99"/>
    <w:rsid w:val="008B4898"/>
    <w:rPr>
      <w:color w:val="800080"/>
      <w:u w:val="single"/>
    </w:rPr>
  </w:style>
  <w:style w:type="paragraph" w:customStyle="1" w:styleId="ColorfulList-Accent11">
    <w:name w:val="Colorful List - Accent 11"/>
    <w:basedOn w:val="Normal"/>
    <w:uiPriority w:val="34"/>
    <w:qFormat/>
    <w:rsid w:val="008B4898"/>
    <w:pPr>
      <w:widowControl/>
      <w:autoSpaceDE/>
      <w:autoSpaceDN/>
      <w:adjustRightInd/>
      <w:spacing w:after="200" w:line="276" w:lineRule="auto"/>
      <w:ind w:left="720"/>
      <w:contextualSpacing/>
    </w:pPr>
    <w:rPr>
      <w:rFonts w:ascii="Calibri" w:hAnsi="Calibri"/>
      <w:sz w:val="22"/>
      <w:szCs w:val="22"/>
    </w:rPr>
  </w:style>
  <w:style w:type="paragraph" w:customStyle="1" w:styleId="MediumGrid21">
    <w:name w:val="Medium Grid 21"/>
    <w:uiPriority w:val="1"/>
    <w:qFormat/>
    <w:rsid w:val="008B4898"/>
    <w:rPr>
      <w:rFonts w:ascii="Calibri" w:eastAsia="Calibri" w:hAnsi="Calibri"/>
      <w:sz w:val="22"/>
      <w:szCs w:val="22"/>
    </w:rPr>
  </w:style>
  <w:style w:type="paragraph" w:customStyle="1" w:styleId="Pa42">
    <w:name w:val="Pa42"/>
    <w:basedOn w:val="Default"/>
    <w:next w:val="Default"/>
    <w:uiPriority w:val="99"/>
    <w:rsid w:val="008B4898"/>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181" w:lineRule="atLeast"/>
    </w:pPr>
    <w:rPr>
      <w:rFonts w:ascii="Open Sans" w:eastAsia="Calibri" w:hAnsi="Open Sans" w:cs="Times New Roman"/>
      <w:color w:val="auto"/>
      <w:bdr w:val="none" w:sz="0" w:space="0" w:color="auto"/>
    </w:rPr>
  </w:style>
  <w:style w:type="paragraph" w:customStyle="1" w:styleId="Div">
    <w:name w:val="Div"/>
    <w:basedOn w:val="Normal"/>
    <w:uiPriority w:val="99"/>
    <w:rsid w:val="008B4898"/>
    <w:pPr>
      <w:widowControl/>
      <w:shd w:val="solid" w:color="FFFFFF" w:fill="auto"/>
      <w:autoSpaceDE/>
      <w:autoSpaceDN/>
      <w:adjustRightInd/>
    </w:pPr>
    <w:rPr>
      <w:rFonts w:ascii="Courier New" w:eastAsia="Courier New" w:hAnsi="Courier New" w:cs="Courier New"/>
      <w:color w:val="000000"/>
      <w:sz w:val="24"/>
      <w:lang w:val="ru-RU" w:eastAsia="ru-RU"/>
    </w:rPr>
  </w:style>
  <w:style w:type="paragraph" w:customStyle="1" w:styleId="ColorfulShading-Accent11">
    <w:name w:val="Colorful Shading - Accent 11"/>
    <w:hidden/>
    <w:uiPriority w:val="99"/>
    <w:rsid w:val="008B4898"/>
    <w:rPr>
      <w:rFonts w:ascii="Calibri" w:eastAsia="Calibri" w:hAnsi="Calibri"/>
      <w:sz w:val="22"/>
      <w:szCs w:val="22"/>
    </w:rPr>
  </w:style>
  <w:style w:type="character" w:customStyle="1" w:styleId="ptext-41">
    <w:name w:val="ptext-41"/>
    <w:rsid w:val="008B4898"/>
  </w:style>
  <w:style w:type="character" w:styleId="EndnoteReference">
    <w:name w:val="endnote reference"/>
    <w:rsid w:val="008B4898"/>
    <w:rPr>
      <w:vertAlign w:val="superscript"/>
    </w:rPr>
  </w:style>
  <w:style w:type="character" w:customStyle="1" w:styleId="DefaultPara">
    <w:name w:val="Default Para"/>
    <w:basedOn w:val="DefaultParagraphFont"/>
    <w:rsid w:val="008B4898"/>
  </w:style>
  <w:style w:type="paragraph" w:customStyle="1" w:styleId="a">
    <w:name w:val="_"/>
    <w:uiPriority w:val="99"/>
    <w:rsid w:val="008B4898"/>
    <w:pPr>
      <w:widowControl w:val="0"/>
      <w:tabs>
        <w:tab w:val="left" w:pos="-720"/>
      </w:tabs>
      <w:suppressAutoHyphens/>
    </w:pPr>
    <w:rPr>
      <w:rFonts w:ascii="Courier New" w:hAnsi="Courier New"/>
      <w:snapToGrid w:val="0"/>
    </w:rPr>
  </w:style>
  <w:style w:type="paragraph" w:customStyle="1" w:styleId="BodyTextIn">
    <w:name w:val="Body Text In"/>
    <w:uiPriority w:val="99"/>
    <w:rsid w:val="008B4898"/>
    <w:pPr>
      <w:widowControl w:val="0"/>
      <w:tabs>
        <w:tab w:val="left" w:pos="0"/>
      </w:tabs>
      <w:suppressAutoHyphens/>
    </w:pPr>
    <w:rPr>
      <w:rFonts w:ascii="Courier New" w:hAnsi="Courier New"/>
      <w:i/>
      <w:snapToGrid w:val="0"/>
    </w:rPr>
  </w:style>
  <w:style w:type="paragraph" w:styleId="TOC1">
    <w:name w:val="toc 1"/>
    <w:basedOn w:val="Normal"/>
    <w:next w:val="Normal"/>
    <w:autoRedefine/>
    <w:uiPriority w:val="99"/>
    <w:rsid w:val="008B4898"/>
    <w:pPr>
      <w:tabs>
        <w:tab w:val="right" w:leader="dot" w:pos="9360"/>
      </w:tabs>
      <w:suppressAutoHyphens/>
      <w:autoSpaceDE/>
      <w:autoSpaceDN/>
      <w:adjustRightInd/>
      <w:spacing w:before="480"/>
      <w:ind w:left="720" w:right="720" w:hanging="720"/>
    </w:pPr>
    <w:rPr>
      <w:rFonts w:ascii="Courier New" w:hAnsi="Courier New"/>
      <w:snapToGrid w:val="0"/>
      <w:szCs w:val="20"/>
    </w:rPr>
  </w:style>
  <w:style w:type="paragraph" w:styleId="TOC2">
    <w:name w:val="toc 2"/>
    <w:basedOn w:val="Normal"/>
    <w:next w:val="Normal"/>
    <w:autoRedefine/>
    <w:uiPriority w:val="99"/>
    <w:rsid w:val="008B4898"/>
    <w:pPr>
      <w:tabs>
        <w:tab w:val="right" w:leader="dot" w:pos="9360"/>
      </w:tabs>
      <w:suppressAutoHyphens/>
      <w:autoSpaceDE/>
      <w:autoSpaceDN/>
      <w:adjustRightInd/>
      <w:ind w:left="1440" w:right="720" w:hanging="720"/>
    </w:pPr>
    <w:rPr>
      <w:rFonts w:ascii="Courier New" w:hAnsi="Courier New"/>
      <w:snapToGrid w:val="0"/>
      <w:szCs w:val="20"/>
    </w:rPr>
  </w:style>
  <w:style w:type="paragraph" w:styleId="TOC3">
    <w:name w:val="toc 3"/>
    <w:basedOn w:val="Normal"/>
    <w:next w:val="Normal"/>
    <w:autoRedefine/>
    <w:uiPriority w:val="99"/>
    <w:rsid w:val="008B4898"/>
    <w:pPr>
      <w:tabs>
        <w:tab w:val="right" w:leader="dot" w:pos="9360"/>
      </w:tabs>
      <w:suppressAutoHyphens/>
      <w:autoSpaceDE/>
      <w:autoSpaceDN/>
      <w:adjustRightInd/>
      <w:ind w:left="2160" w:right="720" w:hanging="720"/>
    </w:pPr>
    <w:rPr>
      <w:rFonts w:ascii="Courier New" w:hAnsi="Courier New"/>
      <w:snapToGrid w:val="0"/>
      <w:szCs w:val="20"/>
    </w:rPr>
  </w:style>
  <w:style w:type="paragraph" w:styleId="TOC4">
    <w:name w:val="toc 4"/>
    <w:basedOn w:val="Normal"/>
    <w:next w:val="Normal"/>
    <w:autoRedefine/>
    <w:uiPriority w:val="99"/>
    <w:rsid w:val="008B4898"/>
    <w:pPr>
      <w:tabs>
        <w:tab w:val="right" w:leader="dot" w:pos="9360"/>
      </w:tabs>
      <w:suppressAutoHyphens/>
      <w:autoSpaceDE/>
      <w:autoSpaceDN/>
      <w:adjustRightInd/>
      <w:ind w:left="2880" w:right="720" w:hanging="720"/>
    </w:pPr>
    <w:rPr>
      <w:rFonts w:ascii="Courier New" w:hAnsi="Courier New"/>
      <w:snapToGrid w:val="0"/>
      <w:szCs w:val="20"/>
    </w:rPr>
  </w:style>
  <w:style w:type="paragraph" w:styleId="TOC5">
    <w:name w:val="toc 5"/>
    <w:basedOn w:val="Normal"/>
    <w:next w:val="Normal"/>
    <w:autoRedefine/>
    <w:uiPriority w:val="99"/>
    <w:rsid w:val="008B4898"/>
    <w:pPr>
      <w:tabs>
        <w:tab w:val="right" w:leader="dot" w:pos="9360"/>
      </w:tabs>
      <w:suppressAutoHyphens/>
      <w:autoSpaceDE/>
      <w:autoSpaceDN/>
      <w:adjustRightInd/>
      <w:ind w:left="3600" w:right="720" w:hanging="720"/>
    </w:pPr>
    <w:rPr>
      <w:rFonts w:ascii="Courier New" w:hAnsi="Courier New"/>
      <w:snapToGrid w:val="0"/>
      <w:szCs w:val="20"/>
    </w:rPr>
  </w:style>
  <w:style w:type="paragraph" w:styleId="TOC6">
    <w:name w:val="toc 6"/>
    <w:basedOn w:val="Normal"/>
    <w:next w:val="Normal"/>
    <w:autoRedefine/>
    <w:uiPriority w:val="99"/>
    <w:rsid w:val="008B4898"/>
    <w:pPr>
      <w:tabs>
        <w:tab w:val="right" w:pos="9360"/>
      </w:tabs>
      <w:suppressAutoHyphens/>
      <w:autoSpaceDE/>
      <w:autoSpaceDN/>
      <w:adjustRightInd/>
      <w:ind w:left="720" w:hanging="720"/>
    </w:pPr>
    <w:rPr>
      <w:rFonts w:ascii="Courier New" w:hAnsi="Courier New"/>
      <w:snapToGrid w:val="0"/>
      <w:szCs w:val="20"/>
    </w:rPr>
  </w:style>
  <w:style w:type="paragraph" w:styleId="TOC7">
    <w:name w:val="toc 7"/>
    <w:basedOn w:val="Normal"/>
    <w:next w:val="Normal"/>
    <w:autoRedefine/>
    <w:uiPriority w:val="99"/>
    <w:rsid w:val="008B4898"/>
    <w:pPr>
      <w:suppressAutoHyphens/>
      <w:autoSpaceDE/>
      <w:autoSpaceDN/>
      <w:adjustRightInd/>
      <w:ind w:left="720" w:hanging="720"/>
    </w:pPr>
    <w:rPr>
      <w:rFonts w:ascii="Courier New" w:hAnsi="Courier New"/>
      <w:snapToGrid w:val="0"/>
      <w:szCs w:val="20"/>
    </w:rPr>
  </w:style>
  <w:style w:type="paragraph" w:styleId="TOC8">
    <w:name w:val="toc 8"/>
    <w:basedOn w:val="Normal"/>
    <w:next w:val="Normal"/>
    <w:autoRedefine/>
    <w:uiPriority w:val="99"/>
    <w:rsid w:val="008B4898"/>
    <w:pPr>
      <w:tabs>
        <w:tab w:val="right" w:pos="9360"/>
      </w:tabs>
      <w:suppressAutoHyphens/>
      <w:autoSpaceDE/>
      <w:autoSpaceDN/>
      <w:adjustRightInd/>
      <w:ind w:left="720" w:hanging="720"/>
    </w:pPr>
    <w:rPr>
      <w:rFonts w:ascii="Courier New" w:hAnsi="Courier New"/>
      <w:snapToGrid w:val="0"/>
      <w:szCs w:val="20"/>
    </w:rPr>
  </w:style>
  <w:style w:type="paragraph" w:styleId="TOC9">
    <w:name w:val="toc 9"/>
    <w:basedOn w:val="Normal"/>
    <w:next w:val="Normal"/>
    <w:autoRedefine/>
    <w:uiPriority w:val="99"/>
    <w:rsid w:val="008B4898"/>
    <w:pPr>
      <w:tabs>
        <w:tab w:val="right" w:leader="dot" w:pos="9360"/>
      </w:tabs>
      <w:suppressAutoHyphens/>
      <w:autoSpaceDE/>
      <w:autoSpaceDN/>
      <w:adjustRightInd/>
      <w:ind w:left="720" w:hanging="720"/>
    </w:pPr>
    <w:rPr>
      <w:rFonts w:ascii="Courier New" w:hAnsi="Courier New"/>
      <w:snapToGrid w:val="0"/>
      <w:szCs w:val="20"/>
    </w:rPr>
  </w:style>
  <w:style w:type="paragraph" w:styleId="Index1">
    <w:name w:val="index 1"/>
    <w:basedOn w:val="Normal"/>
    <w:next w:val="Normal"/>
    <w:autoRedefine/>
    <w:uiPriority w:val="99"/>
    <w:rsid w:val="008B4898"/>
    <w:pPr>
      <w:tabs>
        <w:tab w:val="right" w:leader="dot" w:pos="9360"/>
      </w:tabs>
      <w:suppressAutoHyphens/>
      <w:autoSpaceDE/>
      <w:autoSpaceDN/>
      <w:adjustRightInd/>
      <w:ind w:left="1440" w:right="720" w:hanging="1440"/>
    </w:pPr>
    <w:rPr>
      <w:rFonts w:ascii="Courier New" w:hAnsi="Courier New"/>
      <w:snapToGrid w:val="0"/>
      <w:szCs w:val="20"/>
    </w:rPr>
  </w:style>
  <w:style w:type="paragraph" w:styleId="Index2">
    <w:name w:val="index 2"/>
    <w:basedOn w:val="Normal"/>
    <w:next w:val="Normal"/>
    <w:autoRedefine/>
    <w:uiPriority w:val="99"/>
    <w:rsid w:val="008B4898"/>
    <w:pPr>
      <w:tabs>
        <w:tab w:val="right" w:leader="dot" w:pos="9360"/>
      </w:tabs>
      <w:suppressAutoHyphens/>
      <w:autoSpaceDE/>
      <w:autoSpaceDN/>
      <w:adjustRightInd/>
      <w:ind w:left="1440" w:right="720" w:hanging="720"/>
    </w:pPr>
    <w:rPr>
      <w:rFonts w:ascii="Courier New" w:hAnsi="Courier New"/>
      <w:snapToGrid w:val="0"/>
      <w:szCs w:val="20"/>
    </w:rPr>
  </w:style>
  <w:style w:type="paragraph" w:styleId="TOAHeading">
    <w:name w:val="toa heading"/>
    <w:basedOn w:val="Normal"/>
    <w:next w:val="Normal"/>
    <w:uiPriority w:val="99"/>
    <w:rsid w:val="008B4898"/>
    <w:pPr>
      <w:tabs>
        <w:tab w:val="right" w:pos="9360"/>
      </w:tabs>
      <w:suppressAutoHyphens/>
      <w:autoSpaceDE/>
      <w:autoSpaceDN/>
      <w:adjustRightInd/>
    </w:pPr>
    <w:rPr>
      <w:rFonts w:ascii="Courier New" w:hAnsi="Courier New"/>
      <w:snapToGrid w:val="0"/>
      <w:szCs w:val="20"/>
    </w:rPr>
  </w:style>
  <w:style w:type="paragraph" w:styleId="Caption">
    <w:name w:val="caption"/>
    <w:basedOn w:val="Normal"/>
    <w:next w:val="Normal"/>
    <w:uiPriority w:val="99"/>
    <w:qFormat/>
    <w:rsid w:val="008B4898"/>
    <w:pPr>
      <w:autoSpaceDE/>
      <w:autoSpaceDN/>
      <w:adjustRightInd/>
    </w:pPr>
    <w:rPr>
      <w:rFonts w:ascii="Courier New" w:hAnsi="Courier New"/>
      <w:snapToGrid w:val="0"/>
      <w:sz w:val="24"/>
      <w:szCs w:val="20"/>
    </w:rPr>
  </w:style>
  <w:style w:type="character" w:customStyle="1" w:styleId="EquationCaption">
    <w:name w:val="_Equation Caption"/>
    <w:rsid w:val="008B4898"/>
  </w:style>
  <w:style w:type="paragraph" w:customStyle="1" w:styleId="Level1">
    <w:name w:val="Level 1"/>
    <w:basedOn w:val="Normal"/>
    <w:link w:val="Level1Char"/>
    <w:qFormat/>
    <w:rsid w:val="008B4898"/>
    <w:pPr>
      <w:tabs>
        <w:tab w:val="num" w:pos="360"/>
      </w:tabs>
      <w:autoSpaceDE/>
      <w:autoSpaceDN/>
      <w:adjustRightInd/>
      <w:ind w:left="720" w:hanging="720"/>
      <w:outlineLvl w:val="0"/>
    </w:pPr>
    <w:rPr>
      <w:snapToGrid w:val="0"/>
      <w:sz w:val="24"/>
      <w:szCs w:val="20"/>
    </w:rPr>
  </w:style>
  <w:style w:type="paragraph" w:customStyle="1" w:styleId="BodyTextI1">
    <w:name w:val="Body Text I1"/>
    <w:basedOn w:val="Normal"/>
    <w:uiPriority w:val="99"/>
    <w:rsid w:val="008B4898"/>
    <w:pPr>
      <w:tabs>
        <w:tab w:val="left" w:pos="0"/>
        <w:tab w:val="left" w:pos="711"/>
        <w:tab w:val="left" w:pos="1584"/>
        <w:tab w:val="left" w:pos="5760"/>
        <w:tab w:val="left" w:pos="6480"/>
        <w:tab w:val="left" w:pos="7200"/>
        <w:tab w:val="left" w:pos="7920"/>
        <w:tab w:val="left" w:pos="8640"/>
        <w:tab w:val="right" w:pos="9360"/>
      </w:tabs>
      <w:autoSpaceDE/>
      <w:autoSpaceDN/>
      <w:adjustRightInd/>
      <w:spacing w:line="480" w:lineRule="auto"/>
      <w:ind w:firstLine="711"/>
    </w:pPr>
    <w:rPr>
      <w:rFonts w:ascii="Courier New" w:hAnsi="Courier New"/>
      <w:snapToGrid w:val="0"/>
      <w:sz w:val="24"/>
      <w:szCs w:val="20"/>
    </w:rPr>
  </w:style>
  <w:style w:type="numbering" w:customStyle="1" w:styleId="NoList1">
    <w:name w:val="No List1"/>
    <w:next w:val="NoList"/>
    <w:uiPriority w:val="99"/>
    <w:semiHidden/>
    <w:unhideWhenUsed/>
    <w:rsid w:val="008B4898"/>
  </w:style>
  <w:style w:type="paragraph" w:customStyle="1" w:styleId="font5">
    <w:name w:val="font5"/>
    <w:basedOn w:val="Normal"/>
    <w:uiPriority w:val="99"/>
    <w:rsid w:val="008B4898"/>
    <w:pPr>
      <w:widowControl/>
      <w:autoSpaceDE/>
      <w:autoSpaceDN/>
      <w:adjustRightInd/>
      <w:spacing w:before="100" w:beforeAutospacing="1" w:after="100" w:afterAutospacing="1"/>
    </w:pPr>
    <w:rPr>
      <w:rFonts w:ascii="Calibri" w:hAnsi="Calibri"/>
      <w:color w:val="000000"/>
      <w:szCs w:val="20"/>
    </w:rPr>
  </w:style>
  <w:style w:type="paragraph" w:customStyle="1" w:styleId="xl65">
    <w:name w:val="xl65"/>
    <w:basedOn w:val="Normal"/>
    <w:rsid w:val="008B4898"/>
    <w:pPr>
      <w:widowControl/>
      <w:autoSpaceDE/>
      <w:autoSpaceDN/>
      <w:adjustRightInd/>
      <w:spacing w:before="100" w:beforeAutospacing="1" w:after="100" w:afterAutospacing="1"/>
    </w:pPr>
    <w:rPr>
      <w:sz w:val="24"/>
    </w:rPr>
  </w:style>
  <w:style w:type="paragraph" w:customStyle="1" w:styleId="xl66">
    <w:name w:val="xl66"/>
    <w:basedOn w:val="Normal"/>
    <w:rsid w:val="008B48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rPr>
  </w:style>
  <w:style w:type="paragraph" w:customStyle="1" w:styleId="xl67">
    <w:name w:val="xl67"/>
    <w:basedOn w:val="Normal"/>
    <w:rsid w:val="008B4898"/>
    <w:pPr>
      <w:widowControl/>
      <w:autoSpaceDE/>
      <w:autoSpaceDN/>
      <w:adjustRightInd/>
      <w:spacing w:before="100" w:beforeAutospacing="1" w:after="100" w:afterAutospacing="1"/>
      <w:jc w:val="center"/>
    </w:pPr>
    <w:rPr>
      <w:sz w:val="24"/>
    </w:rPr>
  </w:style>
  <w:style w:type="paragraph" w:customStyle="1" w:styleId="xl68">
    <w:name w:val="xl68"/>
    <w:basedOn w:val="Normal"/>
    <w:rsid w:val="008B48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Cs w:val="20"/>
    </w:rPr>
  </w:style>
  <w:style w:type="paragraph" w:customStyle="1" w:styleId="xl69">
    <w:name w:val="xl69"/>
    <w:basedOn w:val="Normal"/>
    <w:rsid w:val="008B4898"/>
    <w:pPr>
      <w:widowControl/>
      <w:autoSpaceDE/>
      <w:autoSpaceDN/>
      <w:adjustRightInd/>
      <w:spacing w:before="100" w:beforeAutospacing="1" w:after="100" w:afterAutospacing="1"/>
    </w:pPr>
    <w:rPr>
      <w:szCs w:val="20"/>
    </w:rPr>
  </w:style>
  <w:style w:type="paragraph" w:customStyle="1" w:styleId="xl70">
    <w:name w:val="xl70"/>
    <w:basedOn w:val="Normal"/>
    <w:rsid w:val="008B48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rPr>
  </w:style>
  <w:style w:type="paragraph" w:customStyle="1" w:styleId="xl71">
    <w:name w:val="xl71"/>
    <w:basedOn w:val="Normal"/>
    <w:rsid w:val="008B48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Cs w:val="20"/>
    </w:rPr>
  </w:style>
  <w:style w:type="paragraph" w:customStyle="1" w:styleId="xl72">
    <w:name w:val="xl72"/>
    <w:basedOn w:val="Normal"/>
    <w:rsid w:val="008B4898"/>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rPr>
  </w:style>
  <w:style w:type="paragraph" w:customStyle="1" w:styleId="xl73">
    <w:name w:val="xl73"/>
    <w:basedOn w:val="Normal"/>
    <w:rsid w:val="008B48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rPr>
  </w:style>
  <w:style w:type="paragraph" w:customStyle="1" w:styleId="xl74">
    <w:name w:val="xl74"/>
    <w:basedOn w:val="Normal"/>
    <w:rsid w:val="008B4898"/>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rPr>
  </w:style>
  <w:style w:type="paragraph" w:customStyle="1" w:styleId="xl75">
    <w:name w:val="xl75"/>
    <w:basedOn w:val="Normal"/>
    <w:rsid w:val="008B48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rPr>
  </w:style>
  <w:style w:type="paragraph" w:customStyle="1" w:styleId="xl76">
    <w:name w:val="xl76"/>
    <w:basedOn w:val="Normal"/>
    <w:rsid w:val="008B48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rPr>
  </w:style>
  <w:style w:type="paragraph" w:customStyle="1" w:styleId="xl77">
    <w:name w:val="xl77"/>
    <w:basedOn w:val="Normal"/>
    <w:rsid w:val="008B48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rPr>
  </w:style>
  <w:style w:type="paragraph" w:customStyle="1" w:styleId="xl78">
    <w:name w:val="xl78"/>
    <w:basedOn w:val="Normal"/>
    <w:rsid w:val="008B48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rPr>
  </w:style>
  <w:style w:type="paragraph" w:customStyle="1" w:styleId="xl79">
    <w:name w:val="xl79"/>
    <w:basedOn w:val="Normal"/>
    <w:rsid w:val="008B48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rPr>
  </w:style>
  <w:style w:type="paragraph" w:customStyle="1" w:styleId="xl80">
    <w:name w:val="xl80"/>
    <w:basedOn w:val="Normal"/>
    <w:rsid w:val="008B48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rPr>
  </w:style>
  <w:style w:type="paragraph" w:customStyle="1" w:styleId="xl81">
    <w:name w:val="xl81"/>
    <w:basedOn w:val="Normal"/>
    <w:rsid w:val="008B48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rPr>
  </w:style>
  <w:style w:type="paragraph" w:customStyle="1" w:styleId="xl82">
    <w:name w:val="xl82"/>
    <w:basedOn w:val="Normal"/>
    <w:rsid w:val="008B4898"/>
    <w:pPr>
      <w:widowControl/>
      <w:autoSpaceDE/>
      <w:autoSpaceDN/>
      <w:adjustRightInd/>
      <w:spacing w:before="100" w:beforeAutospacing="1" w:after="100" w:afterAutospacing="1"/>
      <w:jc w:val="center"/>
    </w:pPr>
    <w:rPr>
      <w:sz w:val="24"/>
    </w:rPr>
  </w:style>
  <w:style w:type="paragraph" w:customStyle="1" w:styleId="xl83">
    <w:name w:val="xl83"/>
    <w:basedOn w:val="Normal"/>
    <w:rsid w:val="008B48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rPr>
  </w:style>
  <w:style w:type="paragraph" w:customStyle="1" w:styleId="xl84">
    <w:name w:val="xl84"/>
    <w:basedOn w:val="Normal"/>
    <w:rsid w:val="008B4898"/>
    <w:pPr>
      <w:widowControl/>
      <w:autoSpaceDE/>
      <w:autoSpaceDN/>
      <w:adjustRightInd/>
      <w:spacing w:before="100" w:beforeAutospacing="1" w:after="100" w:afterAutospacing="1"/>
      <w:jc w:val="center"/>
    </w:pPr>
    <w:rPr>
      <w:sz w:val="24"/>
    </w:rPr>
  </w:style>
  <w:style w:type="paragraph" w:customStyle="1" w:styleId="xl85">
    <w:name w:val="xl85"/>
    <w:basedOn w:val="Normal"/>
    <w:rsid w:val="008B48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Cs w:val="20"/>
    </w:rPr>
  </w:style>
  <w:style w:type="paragraph" w:customStyle="1" w:styleId="xl86">
    <w:name w:val="xl86"/>
    <w:basedOn w:val="Normal"/>
    <w:rsid w:val="008B4898"/>
    <w:pPr>
      <w:widowControl/>
      <w:autoSpaceDE/>
      <w:autoSpaceDN/>
      <w:adjustRightInd/>
      <w:spacing w:before="100" w:beforeAutospacing="1" w:after="100" w:afterAutospacing="1"/>
    </w:pPr>
    <w:rPr>
      <w:sz w:val="24"/>
    </w:rPr>
  </w:style>
  <w:style w:type="paragraph" w:customStyle="1" w:styleId="xl87">
    <w:name w:val="xl87"/>
    <w:basedOn w:val="Normal"/>
    <w:rsid w:val="008B4898"/>
    <w:pPr>
      <w:widowControl/>
      <w:autoSpaceDE/>
      <w:autoSpaceDN/>
      <w:adjustRightInd/>
      <w:spacing w:before="100" w:beforeAutospacing="1" w:after="100" w:afterAutospacing="1"/>
      <w:jc w:val="center"/>
    </w:pPr>
    <w:rPr>
      <w:sz w:val="24"/>
    </w:rPr>
  </w:style>
  <w:style w:type="paragraph" w:customStyle="1" w:styleId="fullcenter">
    <w:name w:val="fullcenter"/>
    <w:basedOn w:val="Normal"/>
    <w:uiPriority w:val="99"/>
    <w:rsid w:val="008B4898"/>
    <w:pPr>
      <w:widowControl/>
      <w:autoSpaceDE/>
      <w:autoSpaceDN/>
      <w:adjustRightInd/>
      <w:spacing w:before="100" w:beforeAutospacing="1" w:after="100" w:afterAutospacing="1"/>
      <w:jc w:val="center"/>
    </w:pPr>
    <w:rPr>
      <w:sz w:val="24"/>
    </w:rPr>
  </w:style>
  <w:style w:type="paragraph" w:customStyle="1" w:styleId="linktoamn">
    <w:name w:val="linktoamn"/>
    <w:basedOn w:val="Normal"/>
    <w:uiPriority w:val="99"/>
    <w:rsid w:val="008B4898"/>
    <w:pPr>
      <w:widowControl/>
      <w:autoSpaceDE/>
      <w:autoSpaceDN/>
      <w:adjustRightInd/>
      <w:spacing w:before="100" w:beforeAutospacing="1" w:after="100" w:afterAutospacing="1"/>
      <w:jc w:val="center"/>
    </w:pPr>
    <w:rPr>
      <w:sz w:val="24"/>
    </w:rPr>
  </w:style>
  <w:style w:type="paragraph" w:customStyle="1" w:styleId="bfrpage">
    <w:name w:val="bfrpage"/>
    <w:basedOn w:val="Normal"/>
    <w:uiPriority w:val="99"/>
    <w:rsid w:val="008B4898"/>
    <w:pPr>
      <w:widowControl/>
      <w:autoSpaceDE/>
      <w:autoSpaceDN/>
      <w:adjustRightInd/>
      <w:spacing w:before="100" w:beforeAutospacing="1" w:after="100" w:afterAutospacing="1"/>
      <w:jc w:val="center"/>
    </w:pPr>
    <w:rPr>
      <w:sz w:val="24"/>
    </w:rPr>
  </w:style>
  <w:style w:type="paragraph" w:customStyle="1" w:styleId="breghd">
    <w:name w:val="breghd"/>
    <w:basedOn w:val="Normal"/>
    <w:uiPriority w:val="99"/>
    <w:rsid w:val="008B4898"/>
    <w:pPr>
      <w:widowControl/>
      <w:autoSpaceDE/>
      <w:autoSpaceDN/>
      <w:adjustRightInd/>
      <w:spacing w:before="100" w:beforeAutospacing="1" w:after="100" w:afterAutospacing="1"/>
    </w:pPr>
    <w:rPr>
      <w:sz w:val="24"/>
    </w:rPr>
  </w:style>
  <w:style w:type="paragraph" w:customStyle="1" w:styleId="effdates">
    <w:name w:val="effdates"/>
    <w:basedOn w:val="Normal"/>
    <w:uiPriority w:val="99"/>
    <w:rsid w:val="008B4898"/>
    <w:pPr>
      <w:widowControl/>
      <w:autoSpaceDE/>
      <w:autoSpaceDN/>
      <w:adjustRightInd/>
      <w:spacing w:before="100" w:beforeAutospacing="1" w:after="100" w:afterAutospacing="1"/>
      <w:ind w:firstLine="480"/>
    </w:pPr>
    <w:rPr>
      <w:smallCaps/>
      <w:sz w:val="24"/>
    </w:rPr>
  </w:style>
  <w:style w:type="paragraph" w:customStyle="1" w:styleId="updated">
    <w:name w:val="updated"/>
    <w:basedOn w:val="Normal"/>
    <w:uiPriority w:val="99"/>
    <w:rsid w:val="008B4898"/>
    <w:pPr>
      <w:widowControl/>
      <w:autoSpaceDE/>
      <w:autoSpaceDN/>
      <w:adjustRightInd/>
      <w:spacing w:before="100" w:beforeAutospacing="1" w:after="100" w:afterAutospacing="1"/>
      <w:jc w:val="center"/>
    </w:pPr>
    <w:rPr>
      <w:rFonts w:ascii="Arial" w:hAnsi="Arial" w:cs="Arial"/>
      <w:b/>
      <w:bCs/>
      <w:color w:val="FF0000"/>
      <w:sz w:val="27"/>
      <w:szCs w:val="27"/>
    </w:rPr>
  </w:style>
  <w:style w:type="paragraph" w:customStyle="1" w:styleId="contact">
    <w:name w:val="contact"/>
    <w:basedOn w:val="Normal"/>
    <w:uiPriority w:val="99"/>
    <w:rsid w:val="008B4898"/>
    <w:pPr>
      <w:widowControl/>
      <w:autoSpaceDE/>
      <w:autoSpaceDN/>
      <w:adjustRightInd/>
      <w:spacing w:before="100" w:beforeAutospacing="1" w:after="100" w:afterAutospacing="1"/>
    </w:pPr>
    <w:rPr>
      <w:sz w:val="17"/>
      <w:szCs w:val="17"/>
    </w:rPr>
  </w:style>
  <w:style w:type="paragraph" w:customStyle="1" w:styleId="top-menu">
    <w:name w:val="top-menu"/>
    <w:basedOn w:val="Normal"/>
    <w:uiPriority w:val="99"/>
    <w:rsid w:val="008B4898"/>
    <w:pPr>
      <w:widowControl/>
      <w:autoSpaceDE/>
      <w:autoSpaceDN/>
      <w:adjustRightInd/>
      <w:spacing w:before="100" w:beforeAutospacing="1" w:after="100" w:afterAutospacing="1"/>
      <w:ind w:firstLine="480"/>
    </w:pPr>
    <w:rPr>
      <w:sz w:val="24"/>
    </w:rPr>
  </w:style>
  <w:style w:type="paragraph" w:customStyle="1" w:styleId="top-menu-pipe">
    <w:name w:val="top-menu-pipe"/>
    <w:basedOn w:val="Normal"/>
    <w:uiPriority w:val="99"/>
    <w:rsid w:val="008B4898"/>
    <w:pPr>
      <w:widowControl/>
      <w:autoSpaceDE/>
      <w:autoSpaceDN/>
      <w:adjustRightInd/>
      <w:ind w:firstLine="480"/>
    </w:pPr>
    <w:rPr>
      <w:sz w:val="24"/>
    </w:rPr>
  </w:style>
  <w:style w:type="paragraph" w:customStyle="1" w:styleId="clear">
    <w:name w:val="clear"/>
    <w:basedOn w:val="Normal"/>
    <w:uiPriority w:val="99"/>
    <w:rsid w:val="008B4898"/>
    <w:pPr>
      <w:widowControl/>
      <w:autoSpaceDE/>
      <w:autoSpaceDN/>
      <w:adjustRightInd/>
      <w:spacing w:before="100" w:beforeAutospacing="1" w:after="100" w:afterAutospacing="1"/>
      <w:ind w:firstLine="480"/>
    </w:pPr>
    <w:rPr>
      <w:sz w:val="24"/>
    </w:rPr>
  </w:style>
  <w:style w:type="paragraph" w:customStyle="1" w:styleId="hits">
    <w:name w:val="hits"/>
    <w:basedOn w:val="Normal"/>
    <w:uiPriority w:val="99"/>
    <w:rsid w:val="008B4898"/>
    <w:pPr>
      <w:widowControl/>
      <w:autoSpaceDE/>
      <w:autoSpaceDN/>
      <w:adjustRightInd/>
      <w:spacing w:before="100" w:beforeAutospacing="1" w:after="100" w:afterAutospacing="1"/>
      <w:ind w:firstLine="480"/>
    </w:pPr>
    <w:rPr>
      <w:color w:val="FF0000"/>
      <w:sz w:val="24"/>
    </w:rPr>
  </w:style>
  <w:style w:type="paragraph" w:customStyle="1" w:styleId="noticelink">
    <w:name w:val="noticelink"/>
    <w:basedOn w:val="Normal"/>
    <w:uiPriority w:val="99"/>
    <w:rsid w:val="008B4898"/>
    <w:pPr>
      <w:widowControl/>
      <w:autoSpaceDE/>
      <w:autoSpaceDN/>
      <w:adjustRightInd/>
      <w:spacing w:before="100" w:beforeAutospacing="1" w:after="100" w:afterAutospacing="1"/>
      <w:ind w:firstLine="480"/>
    </w:pPr>
    <w:rPr>
      <w:color w:val="0000FF"/>
      <w:sz w:val="21"/>
      <w:szCs w:val="21"/>
      <w:u w:val="single"/>
    </w:rPr>
  </w:style>
  <w:style w:type="paragraph" w:customStyle="1" w:styleId="menu-home-title">
    <w:name w:val="menu-home-title"/>
    <w:basedOn w:val="Normal"/>
    <w:uiPriority w:val="99"/>
    <w:rsid w:val="008B4898"/>
    <w:pPr>
      <w:widowControl/>
      <w:autoSpaceDE/>
      <w:autoSpaceDN/>
      <w:adjustRightInd/>
      <w:spacing w:before="100" w:beforeAutospacing="1" w:after="100" w:afterAutospacing="1"/>
      <w:ind w:firstLine="480"/>
    </w:pPr>
    <w:rPr>
      <w:color w:val="000000"/>
      <w:sz w:val="24"/>
    </w:rPr>
  </w:style>
  <w:style w:type="paragraph" w:customStyle="1" w:styleId="menu-customers-title">
    <w:name w:val="menu-customers-title"/>
    <w:basedOn w:val="Normal"/>
    <w:uiPriority w:val="99"/>
    <w:rsid w:val="008B4898"/>
    <w:pPr>
      <w:widowControl/>
      <w:autoSpaceDE/>
      <w:autoSpaceDN/>
      <w:adjustRightInd/>
      <w:spacing w:before="100" w:beforeAutospacing="1" w:after="100" w:afterAutospacing="1"/>
      <w:ind w:firstLine="480"/>
    </w:pPr>
    <w:rPr>
      <w:color w:val="666633"/>
      <w:sz w:val="24"/>
    </w:rPr>
  </w:style>
  <w:style w:type="paragraph" w:customStyle="1" w:styleId="menu-vendors-title">
    <w:name w:val="menu-vendors-title"/>
    <w:basedOn w:val="Normal"/>
    <w:uiPriority w:val="99"/>
    <w:rsid w:val="008B4898"/>
    <w:pPr>
      <w:widowControl/>
      <w:autoSpaceDE/>
      <w:autoSpaceDN/>
      <w:adjustRightInd/>
      <w:spacing w:before="100" w:beforeAutospacing="1" w:after="100" w:afterAutospacing="1"/>
      <w:ind w:firstLine="480"/>
    </w:pPr>
    <w:rPr>
      <w:color w:val="333366"/>
      <w:sz w:val="24"/>
    </w:rPr>
  </w:style>
  <w:style w:type="paragraph" w:customStyle="1" w:styleId="menu-libraries-title">
    <w:name w:val="menu-libraries-title"/>
    <w:basedOn w:val="Normal"/>
    <w:uiPriority w:val="99"/>
    <w:rsid w:val="008B4898"/>
    <w:pPr>
      <w:widowControl/>
      <w:autoSpaceDE/>
      <w:autoSpaceDN/>
      <w:adjustRightInd/>
      <w:spacing w:before="100" w:beforeAutospacing="1" w:after="100" w:afterAutospacing="1"/>
      <w:ind w:firstLine="480"/>
    </w:pPr>
    <w:rPr>
      <w:color w:val="006666"/>
      <w:sz w:val="24"/>
    </w:rPr>
  </w:style>
  <w:style w:type="paragraph" w:customStyle="1" w:styleId="two-col-layout-table">
    <w:name w:val="two-col-layout-table"/>
    <w:basedOn w:val="Normal"/>
    <w:uiPriority w:val="99"/>
    <w:rsid w:val="008B4898"/>
    <w:pPr>
      <w:widowControl/>
      <w:pBdr>
        <w:top w:val="single" w:sz="36" w:space="0" w:color="FFFFFF"/>
      </w:pBdr>
      <w:shd w:val="clear" w:color="auto" w:fill="FFFFFF"/>
      <w:autoSpaceDE/>
      <w:autoSpaceDN/>
      <w:adjustRightInd/>
      <w:spacing w:before="100" w:beforeAutospacing="1" w:after="100" w:afterAutospacing="1"/>
      <w:ind w:firstLine="480"/>
    </w:pPr>
    <w:rPr>
      <w:sz w:val="24"/>
    </w:rPr>
  </w:style>
  <w:style w:type="paragraph" w:customStyle="1" w:styleId="two-col-layout-left">
    <w:name w:val="two-col-layout-left"/>
    <w:basedOn w:val="Normal"/>
    <w:uiPriority w:val="99"/>
    <w:rsid w:val="008B4898"/>
    <w:pPr>
      <w:widowControl/>
      <w:pBdr>
        <w:right w:val="single" w:sz="6" w:space="4" w:color="CCCCCC"/>
      </w:pBdr>
      <w:autoSpaceDE/>
      <w:autoSpaceDN/>
      <w:adjustRightInd/>
      <w:spacing w:before="100" w:beforeAutospacing="1" w:after="100" w:afterAutospacing="1"/>
      <w:ind w:firstLine="480"/>
    </w:pPr>
    <w:rPr>
      <w:sz w:val="24"/>
    </w:rPr>
  </w:style>
  <w:style w:type="paragraph" w:customStyle="1" w:styleId="menu-search-title">
    <w:name w:val="menu-search-title"/>
    <w:basedOn w:val="Normal"/>
    <w:uiPriority w:val="99"/>
    <w:rsid w:val="008B4898"/>
    <w:pPr>
      <w:widowControl/>
      <w:autoSpaceDE/>
      <w:autoSpaceDN/>
      <w:adjustRightInd/>
      <w:spacing w:before="100" w:beforeAutospacing="1" w:after="100" w:afterAutospacing="1"/>
      <w:ind w:firstLine="480"/>
    </w:pPr>
    <w:rPr>
      <w:color w:val="990033"/>
      <w:sz w:val="24"/>
    </w:rPr>
  </w:style>
  <w:style w:type="paragraph" w:customStyle="1" w:styleId="left-menu-title">
    <w:name w:val="left-menu-title"/>
    <w:basedOn w:val="Normal"/>
    <w:uiPriority w:val="99"/>
    <w:rsid w:val="008B4898"/>
    <w:pPr>
      <w:widowControl/>
      <w:autoSpaceDE/>
      <w:autoSpaceDN/>
      <w:adjustRightInd/>
      <w:spacing w:before="100" w:beforeAutospacing="1" w:after="100" w:afterAutospacing="1" w:line="210" w:lineRule="atLeast"/>
      <w:ind w:firstLine="480"/>
    </w:pPr>
    <w:rPr>
      <w:b/>
      <w:bCs/>
      <w:spacing w:val="15"/>
      <w:sz w:val="17"/>
      <w:szCs w:val="17"/>
    </w:rPr>
  </w:style>
  <w:style w:type="paragraph" w:customStyle="1" w:styleId="left-menu-sublinks">
    <w:name w:val="left-menu-sublinks"/>
    <w:basedOn w:val="Normal"/>
    <w:uiPriority w:val="99"/>
    <w:rsid w:val="008B4898"/>
    <w:pPr>
      <w:widowControl/>
      <w:autoSpaceDE/>
      <w:autoSpaceDN/>
      <w:adjustRightInd/>
      <w:spacing w:before="100" w:beforeAutospacing="1" w:after="100" w:afterAutospacing="1"/>
      <w:ind w:left="150" w:firstLine="480"/>
    </w:pPr>
    <w:rPr>
      <w:sz w:val="24"/>
    </w:rPr>
  </w:style>
  <w:style w:type="paragraph" w:customStyle="1" w:styleId="sidebar-title-bar">
    <w:name w:val="sidebar-title-bar"/>
    <w:basedOn w:val="Normal"/>
    <w:uiPriority w:val="99"/>
    <w:rsid w:val="008B4898"/>
    <w:pPr>
      <w:widowControl/>
      <w:shd w:val="clear" w:color="auto" w:fill="999999"/>
      <w:autoSpaceDE/>
      <w:autoSpaceDN/>
      <w:adjustRightInd/>
      <w:spacing w:before="100" w:beforeAutospacing="1" w:after="100" w:afterAutospacing="1"/>
      <w:ind w:firstLine="480"/>
    </w:pPr>
    <w:rPr>
      <w:color w:val="FFFFFF"/>
      <w:spacing w:val="20"/>
      <w:sz w:val="17"/>
      <w:szCs w:val="17"/>
    </w:rPr>
  </w:style>
  <w:style w:type="paragraph" w:customStyle="1" w:styleId="collection-latest-resources-mask">
    <w:name w:val="collection-latest-resources-mask"/>
    <w:basedOn w:val="Normal"/>
    <w:uiPriority w:val="99"/>
    <w:rsid w:val="008B4898"/>
    <w:pPr>
      <w:widowControl/>
      <w:autoSpaceDE/>
      <w:autoSpaceDN/>
      <w:adjustRightInd/>
      <w:spacing w:before="150" w:after="100" w:afterAutospacing="1"/>
      <w:ind w:firstLine="480"/>
    </w:pPr>
    <w:rPr>
      <w:sz w:val="24"/>
    </w:rPr>
  </w:style>
  <w:style w:type="paragraph" w:customStyle="1" w:styleId="vert-spacer-450">
    <w:name w:val="vert-spacer-450"/>
    <w:basedOn w:val="Normal"/>
    <w:uiPriority w:val="99"/>
    <w:rsid w:val="008B4898"/>
    <w:pPr>
      <w:widowControl/>
      <w:autoSpaceDE/>
      <w:autoSpaceDN/>
      <w:adjustRightInd/>
      <w:spacing w:before="100" w:beforeAutospacing="1" w:after="100" w:afterAutospacing="1"/>
      <w:ind w:firstLine="480"/>
    </w:pPr>
    <w:rPr>
      <w:sz w:val="24"/>
    </w:rPr>
  </w:style>
  <w:style w:type="paragraph" w:customStyle="1" w:styleId="page-title">
    <w:name w:val="page-title"/>
    <w:basedOn w:val="Normal"/>
    <w:uiPriority w:val="99"/>
    <w:rsid w:val="008B4898"/>
    <w:pPr>
      <w:widowControl/>
      <w:autoSpaceDE/>
      <w:autoSpaceDN/>
      <w:adjustRightInd/>
      <w:ind w:firstLine="480"/>
    </w:pPr>
    <w:rPr>
      <w:caps/>
      <w:sz w:val="27"/>
      <w:szCs w:val="27"/>
    </w:rPr>
  </w:style>
  <w:style w:type="paragraph" w:customStyle="1" w:styleId="hd1">
    <w:name w:val="hd1"/>
    <w:basedOn w:val="Normal"/>
    <w:uiPriority w:val="99"/>
    <w:rsid w:val="008B4898"/>
    <w:pPr>
      <w:widowControl/>
      <w:autoSpaceDE/>
      <w:autoSpaceDN/>
      <w:adjustRightInd/>
      <w:spacing w:before="100" w:beforeAutospacing="1" w:after="100" w:afterAutospacing="1"/>
      <w:ind w:firstLine="480"/>
      <w:jc w:val="center"/>
    </w:pPr>
    <w:rPr>
      <w:smallCaps/>
      <w:sz w:val="24"/>
    </w:rPr>
  </w:style>
  <w:style w:type="paragraph" w:customStyle="1" w:styleId="hd2">
    <w:name w:val="hd2"/>
    <w:basedOn w:val="Normal"/>
    <w:uiPriority w:val="99"/>
    <w:rsid w:val="008B4898"/>
    <w:pPr>
      <w:widowControl/>
      <w:autoSpaceDE/>
      <w:autoSpaceDN/>
      <w:adjustRightInd/>
      <w:spacing w:before="100" w:beforeAutospacing="1" w:after="100" w:afterAutospacing="1"/>
      <w:ind w:firstLine="480"/>
      <w:jc w:val="center"/>
    </w:pPr>
    <w:rPr>
      <w:i/>
      <w:iCs/>
      <w:sz w:val="24"/>
    </w:rPr>
  </w:style>
  <w:style w:type="paragraph" w:customStyle="1" w:styleId="hd3">
    <w:name w:val="hd3"/>
    <w:basedOn w:val="Normal"/>
    <w:uiPriority w:val="99"/>
    <w:rsid w:val="008B4898"/>
    <w:pPr>
      <w:widowControl/>
      <w:autoSpaceDE/>
      <w:autoSpaceDN/>
      <w:adjustRightInd/>
      <w:spacing w:before="100" w:beforeAutospacing="1" w:after="100" w:afterAutospacing="1"/>
      <w:ind w:firstLine="480"/>
      <w:jc w:val="center"/>
    </w:pPr>
    <w:rPr>
      <w:sz w:val="24"/>
    </w:rPr>
  </w:style>
  <w:style w:type="paragraph" w:customStyle="1" w:styleId="hd4">
    <w:name w:val="hd4"/>
    <w:basedOn w:val="Normal"/>
    <w:uiPriority w:val="99"/>
    <w:rsid w:val="008B4898"/>
    <w:pPr>
      <w:widowControl/>
      <w:autoSpaceDE/>
      <w:autoSpaceDN/>
      <w:adjustRightInd/>
      <w:spacing w:before="100" w:beforeAutospacing="1" w:after="100" w:afterAutospacing="1"/>
      <w:ind w:firstLine="480"/>
      <w:jc w:val="center"/>
    </w:pPr>
    <w:rPr>
      <w:sz w:val="24"/>
    </w:rPr>
  </w:style>
  <w:style w:type="paragraph" w:customStyle="1" w:styleId="hd5">
    <w:name w:val="hd5"/>
    <w:basedOn w:val="Normal"/>
    <w:uiPriority w:val="99"/>
    <w:rsid w:val="008B4898"/>
    <w:pPr>
      <w:widowControl/>
      <w:autoSpaceDE/>
      <w:autoSpaceDN/>
      <w:adjustRightInd/>
      <w:spacing w:before="100" w:beforeAutospacing="1" w:after="100" w:afterAutospacing="1"/>
      <w:ind w:firstLine="480"/>
      <w:jc w:val="center"/>
    </w:pPr>
    <w:rPr>
      <w:b/>
      <w:bCs/>
      <w:sz w:val="23"/>
      <w:szCs w:val="23"/>
    </w:rPr>
  </w:style>
  <w:style w:type="paragraph" w:customStyle="1" w:styleId="hed1">
    <w:name w:val="hed1"/>
    <w:basedOn w:val="Normal"/>
    <w:uiPriority w:val="99"/>
    <w:rsid w:val="008B4898"/>
    <w:pPr>
      <w:widowControl/>
      <w:autoSpaceDE/>
      <w:autoSpaceDN/>
      <w:adjustRightInd/>
      <w:spacing w:before="100" w:beforeAutospacing="1" w:after="100" w:afterAutospacing="1"/>
      <w:ind w:firstLine="480"/>
      <w:jc w:val="center"/>
    </w:pPr>
    <w:rPr>
      <w:b/>
      <w:bCs/>
      <w:szCs w:val="20"/>
    </w:rPr>
  </w:style>
  <w:style w:type="paragraph" w:customStyle="1" w:styleId="frp">
    <w:name w:val="frp"/>
    <w:basedOn w:val="Normal"/>
    <w:uiPriority w:val="99"/>
    <w:rsid w:val="008B4898"/>
    <w:pPr>
      <w:widowControl/>
      <w:autoSpaceDE/>
      <w:autoSpaceDN/>
      <w:adjustRightInd/>
      <w:spacing w:before="100" w:beforeAutospacing="1" w:after="100" w:afterAutospacing="1"/>
      <w:ind w:right="480"/>
      <w:jc w:val="right"/>
    </w:pPr>
    <w:rPr>
      <w:sz w:val="24"/>
    </w:rPr>
  </w:style>
  <w:style w:type="paragraph" w:customStyle="1" w:styleId="frp0">
    <w:name w:val="frp0"/>
    <w:basedOn w:val="Normal"/>
    <w:uiPriority w:val="99"/>
    <w:rsid w:val="008B4898"/>
    <w:pPr>
      <w:widowControl/>
      <w:autoSpaceDE/>
      <w:autoSpaceDN/>
      <w:adjustRightInd/>
      <w:spacing w:before="100" w:beforeAutospacing="1" w:after="100" w:afterAutospacing="1"/>
      <w:jc w:val="right"/>
    </w:pPr>
    <w:rPr>
      <w:sz w:val="24"/>
    </w:rPr>
  </w:style>
  <w:style w:type="paragraph" w:customStyle="1" w:styleId="p1">
    <w:name w:val="p1"/>
    <w:basedOn w:val="Normal"/>
    <w:uiPriority w:val="99"/>
    <w:rsid w:val="008B4898"/>
    <w:pPr>
      <w:widowControl/>
      <w:autoSpaceDE/>
      <w:autoSpaceDN/>
      <w:adjustRightInd/>
      <w:spacing w:before="100" w:beforeAutospacing="1" w:after="100" w:afterAutospacing="1"/>
      <w:ind w:left="1440" w:hanging="480"/>
    </w:pPr>
    <w:rPr>
      <w:sz w:val="24"/>
    </w:rPr>
  </w:style>
  <w:style w:type="paragraph" w:customStyle="1" w:styleId="p-1">
    <w:name w:val="p-1"/>
    <w:basedOn w:val="Normal"/>
    <w:uiPriority w:val="99"/>
    <w:rsid w:val="008B4898"/>
    <w:pPr>
      <w:widowControl/>
      <w:autoSpaceDE/>
      <w:autoSpaceDN/>
      <w:adjustRightInd/>
      <w:spacing w:before="100" w:beforeAutospacing="1" w:after="100" w:afterAutospacing="1"/>
      <w:ind w:left="480"/>
    </w:pPr>
    <w:rPr>
      <w:sz w:val="24"/>
    </w:rPr>
  </w:style>
  <w:style w:type="paragraph" w:customStyle="1" w:styleId="p2">
    <w:name w:val="p2"/>
    <w:basedOn w:val="Normal"/>
    <w:uiPriority w:val="99"/>
    <w:rsid w:val="008B4898"/>
    <w:pPr>
      <w:widowControl/>
      <w:autoSpaceDE/>
      <w:autoSpaceDN/>
      <w:adjustRightInd/>
      <w:spacing w:before="100" w:beforeAutospacing="1" w:after="100" w:afterAutospacing="1"/>
      <w:ind w:left="480" w:firstLine="480"/>
    </w:pPr>
    <w:rPr>
      <w:sz w:val="24"/>
    </w:rPr>
  </w:style>
  <w:style w:type="paragraph" w:customStyle="1" w:styleId="p-2">
    <w:name w:val="p-2"/>
    <w:basedOn w:val="Normal"/>
    <w:uiPriority w:val="99"/>
    <w:rsid w:val="008B4898"/>
    <w:pPr>
      <w:widowControl/>
      <w:autoSpaceDE/>
      <w:autoSpaceDN/>
      <w:adjustRightInd/>
      <w:spacing w:before="100" w:beforeAutospacing="1" w:after="100" w:afterAutospacing="1"/>
      <w:ind w:left="960"/>
    </w:pPr>
    <w:rPr>
      <w:sz w:val="24"/>
    </w:rPr>
  </w:style>
  <w:style w:type="paragraph" w:customStyle="1" w:styleId="p-3">
    <w:name w:val="p-3"/>
    <w:basedOn w:val="Normal"/>
    <w:uiPriority w:val="99"/>
    <w:rsid w:val="008B4898"/>
    <w:pPr>
      <w:widowControl/>
      <w:autoSpaceDE/>
      <w:autoSpaceDN/>
      <w:adjustRightInd/>
      <w:spacing w:before="100" w:beforeAutospacing="1" w:after="100" w:afterAutospacing="1"/>
      <w:ind w:left="960" w:hanging="480"/>
    </w:pPr>
    <w:rPr>
      <w:sz w:val="24"/>
    </w:rPr>
  </w:style>
  <w:style w:type="paragraph" w:customStyle="1" w:styleId="fp">
    <w:name w:val="fp"/>
    <w:basedOn w:val="Normal"/>
    <w:uiPriority w:val="99"/>
    <w:rsid w:val="008B4898"/>
    <w:pPr>
      <w:widowControl/>
      <w:autoSpaceDE/>
      <w:autoSpaceDN/>
      <w:adjustRightInd/>
      <w:spacing w:before="200" w:after="100" w:afterAutospacing="1"/>
    </w:pPr>
    <w:rPr>
      <w:sz w:val="24"/>
    </w:rPr>
  </w:style>
  <w:style w:type="paragraph" w:customStyle="1" w:styleId="contentsp">
    <w:name w:val="contentsp"/>
    <w:basedOn w:val="Normal"/>
    <w:uiPriority w:val="99"/>
    <w:rsid w:val="008B4898"/>
    <w:pPr>
      <w:widowControl/>
      <w:autoSpaceDE/>
      <w:autoSpaceDN/>
      <w:adjustRightInd/>
      <w:spacing w:before="200" w:after="100" w:afterAutospacing="1"/>
    </w:pPr>
    <w:rPr>
      <w:b/>
      <w:bCs/>
      <w:szCs w:val="20"/>
    </w:rPr>
  </w:style>
  <w:style w:type="paragraph" w:customStyle="1" w:styleId="contentsg">
    <w:name w:val="contentsg"/>
    <w:basedOn w:val="Normal"/>
    <w:uiPriority w:val="99"/>
    <w:rsid w:val="008B4898"/>
    <w:pPr>
      <w:widowControl/>
      <w:autoSpaceDE/>
      <w:autoSpaceDN/>
      <w:adjustRightInd/>
      <w:spacing w:before="200" w:after="100" w:afterAutospacing="1"/>
    </w:pPr>
    <w:rPr>
      <w:smallCaps/>
      <w:szCs w:val="20"/>
    </w:rPr>
  </w:style>
  <w:style w:type="paragraph" w:customStyle="1" w:styleId="updatetitle">
    <w:name w:val="updatetitle"/>
    <w:basedOn w:val="Normal"/>
    <w:uiPriority w:val="99"/>
    <w:rsid w:val="008B4898"/>
    <w:pPr>
      <w:widowControl/>
      <w:autoSpaceDE/>
      <w:autoSpaceDN/>
      <w:adjustRightInd/>
      <w:spacing w:before="200" w:after="100" w:afterAutospacing="1"/>
    </w:pPr>
    <w:rPr>
      <w:sz w:val="24"/>
    </w:rPr>
  </w:style>
  <w:style w:type="paragraph" w:customStyle="1" w:styleId="updatebold">
    <w:name w:val="updatebold"/>
    <w:basedOn w:val="Normal"/>
    <w:uiPriority w:val="99"/>
    <w:rsid w:val="008B4898"/>
    <w:pPr>
      <w:widowControl/>
      <w:autoSpaceDE/>
      <w:autoSpaceDN/>
      <w:adjustRightInd/>
      <w:spacing w:before="100" w:beforeAutospacing="1" w:after="100" w:afterAutospacing="1"/>
    </w:pPr>
    <w:rPr>
      <w:b/>
      <w:bCs/>
      <w:sz w:val="24"/>
    </w:rPr>
  </w:style>
  <w:style w:type="paragraph" w:customStyle="1" w:styleId="updatebodytest">
    <w:name w:val="updatebodytest"/>
    <w:basedOn w:val="Normal"/>
    <w:uiPriority w:val="99"/>
    <w:rsid w:val="008B4898"/>
    <w:pPr>
      <w:widowControl/>
      <w:autoSpaceDE/>
      <w:autoSpaceDN/>
      <w:adjustRightInd/>
      <w:spacing w:before="100" w:beforeAutospacing="1" w:after="100" w:afterAutospacing="1"/>
    </w:pPr>
    <w:rPr>
      <w:sz w:val="24"/>
    </w:rPr>
  </w:style>
  <w:style w:type="paragraph" w:customStyle="1" w:styleId="source">
    <w:name w:val="source"/>
    <w:basedOn w:val="Normal"/>
    <w:uiPriority w:val="99"/>
    <w:rsid w:val="008B4898"/>
    <w:pPr>
      <w:widowControl/>
      <w:autoSpaceDE/>
      <w:autoSpaceDN/>
      <w:adjustRightInd/>
      <w:spacing w:before="200" w:after="100" w:afterAutospacing="1"/>
      <w:ind w:firstLine="480"/>
    </w:pPr>
    <w:rPr>
      <w:sz w:val="18"/>
      <w:szCs w:val="18"/>
    </w:rPr>
  </w:style>
  <w:style w:type="paragraph" w:customStyle="1" w:styleId="ednote">
    <w:name w:val="ednote"/>
    <w:basedOn w:val="Normal"/>
    <w:uiPriority w:val="99"/>
    <w:rsid w:val="008B4898"/>
    <w:pPr>
      <w:widowControl/>
      <w:autoSpaceDE/>
      <w:autoSpaceDN/>
      <w:adjustRightInd/>
      <w:spacing w:before="200" w:after="100" w:afterAutospacing="1"/>
      <w:ind w:firstLine="480"/>
    </w:pPr>
    <w:rPr>
      <w:sz w:val="18"/>
      <w:szCs w:val="18"/>
    </w:rPr>
  </w:style>
  <w:style w:type="paragraph" w:customStyle="1" w:styleId="effdnot">
    <w:name w:val="effdnot"/>
    <w:basedOn w:val="Normal"/>
    <w:uiPriority w:val="99"/>
    <w:rsid w:val="008B4898"/>
    <w:pPr>
      <w:widowControl/>
      <w:autoSpaceDE/>
      <w:autoSpaceDN/>
      <w:adjustRightInd/>
      <w:spacing w:before="200" w:after="100" w:afterAutospacing="1"/>
      <w:ind w:firstLine="480"/>
    </w:pPr>
    <w:rPr>
      <w:sz w:val="18"/>
      <w:szCs w:val="18"/>
    </w:rPr>
  </w:style>
  <w:style w:type="paragraph" w:customStyle="1" w:styleId="example">
    <w:name w:val="example"/>
    <w:basedOn w:val="Normal"/>
    <w:uiPriority w:val="99"/>
    <w:rsid w:val="008B4898"/>
    <w:pPr>
      <w:widowControl/>
      <w:autoSpaceDE/>
      <w:autoSpaceDN/>
      <w:adjustRightInd/>
      <w:spacing w:before="200" w:after="100" w:afterAutospacing="1"/>
      <w:ind w:firstLine="480"/>
    </w:pPr>
    <w:rPr>
      <w:sz w:val="18"/>
      <w:szCs w:val="18"/>
    </w:rPr>
  </w:style>
  <w:style w:type="paragraph" w:customStyle="1" w:styleId="crossref">
    <w:name w:val="crossref"/>
    <w:basedOn w:val="Normal"/>
    <w:uiPriority w:val="99"/>
    <w:rsid w:val="008B4898"/>
    <w:pPr>
      <w:widowControl/>
      <w:autoSpaceDE/>
      <w:autoSpaceDN/>
      <w:adjustRightInd/>
      <w:spacing w:before="200" w:after="100" w:afterAutospacing="1"/>
      <w:ind w:firstLine="480"/>
    </w:pPr>
    <w:rPr>
      <w:sz w:val="18"/>
      <w:szCs w:val="18"/>
    </w:rPr>
  </w:style>
  <w:style w:type="paragraph" w:customStyle="1" w:styleId="note">
    <w:name w:val="note"/>
    <w:basedOn w:val="Normal"/>
    <w:uiPriority w:val="99"/>
    <w:rsid w:val="008B4898"/>
    <w:pPr>
      <w:widowControl/>
      <w:autoSpaceDE/>
      <w:autoSpaceDN/>
      <w:adjustRightInd/>
      <w:spacing w:before="200" w:after="100" w:afterAutospacing="1"/>
      <w:ind w:firstLine="480"/>
    </w:pPr>
    <w:rPr>
      <w:sz w:val="18"/>
      <w:szCs w:val="18"/>
    </w:rPr>
  </w:style>
  <w:style w:type="paragraph" w:customStyle="1" w:styleId="cita">
    <w:name w:val="cita"/>
    <w:basedOn w:val="Normal"/>
    <w:uiPriority w:val="99"/>
    <w:rsid w:val="008B4898"/>
    <w:pPr>
      <w:widowControl/>
      <w:autoSpaceDE/>
      <w:autoSpaceDN/>
      <w:adjustRightInd/>
      <w:spacing w:before="200" w:after="100" w:afterAutospacing="1"/>
    </w:pPr>
    <w:rPr>
      <w:sz w:val="18"/>
      <w:szCs w:val="18"/>
    </w:rPr>
  </w:style>
  <w:style w:type="paragraph" w:customStyle="1" w:styleId="appro">
    <w:name w:val="appro"/>
    <w:basedOn w:val="Normal"/>
    <w:uiPriority w:val="99"/>
    <w:rsid w:val="008B4898"/>
    <w:pPr>
      <w:widowControl/>
      <w:autoSpaceDE/>
      <w:autoSpaceDN/>
      <w:adjustRightInd/>
      <w:spacing w:before="200" w:after="100" w:afterAutospacing="1"/>
    </w:pPr>
    <w:rPr>
      <w:sz w:val="18"/>
      <w:szCs w:val="18"/>
    </w:rPr>
  </w:style>
  <w:style w:type="paragraph" w:customStyle="1" w:styleId="auth">
    <w:name w:val="auth"/>
    <w:basedOn w:val="Normal"/>
    <w:uiPriority w:val="99"/>
    <w:rsid w:val="008B4898"/>
    <w:pPr>
      <w:widowControl/>
      <w:autoSpaceDE/>
      <w:autoSpaceDN/>
      <w:adjustRightInd/>
      <w:spacing w:before="200" w:after="100" w:afterAutospacing="1"/>
      <w:ind w:firstLine="480"/>
    </w:pPr>
    <w:rPr>
      <w:sz w:val="18"/>
      <w:szCs w:val="18"/>
    </w:rPr>
  </w:style>
  <w:style w:type="paragraph" w:customStyle="1" w:styleId="parauth">
    <w:name w:val="parauth"/>
    <w:basedOn w:val="Normal"/>
    <w:uiPriority w:val="99"/>
    <w:rsid w:val="008B4898"/>
    <w:pPr>
      <w:widowControl/>
      <w:autoSpaceDE/>
      <w:autoSpaceDN/>
      <w:adjustRightInd/>
      <w:spacing w:before="200" w:after="100" w:afterAutospacing="1"/>
    </w:pPr>
    <w:rPr>
      <w:sz w:val="18"/>
      <w:szCs w:val="18"/>
    </w:rPr>
  </w:style>
  <w:style w:type="paragraph" w:customStyle="1" w:styleId="secauth">
    <w:name w:val="secauth"/>
    <w:basedOn w:val="Normal"/>
    <w:uiPriority w:val="99"/>
    <w:rsid w:val="008B4898"/>
    <w:pPr>
      <w:widowControl/>
      <w:autoSpaceDE/>
      <w:autoSpaceDN/>
      <w:adjustRightInd/>
      <w:spacing w:before="200" w:after="100" w:afterAutospacing="1"/>
    </w:pPr>
    <w:rPr>
      <w:sz w:val="18"/>
      <w:szCs w:val="18"/>
    </w:rPr>
  </w:style>
  <w:style w:type="paragraph" w:customStyle="1" w:styleId="Title1">
    <w:name w:val="Title1"/>
    <w:basedOn w:val="Normal"/>
    <w:uiPriority w:val="99"/>
    <w:rsid w:val="008B4898"/>
    <w:pPr>
      <w:widowControl/>
      <w:autoSpaceDE/>
      <w:autoSpaceDN/>
      <w:adjustRightInd/>
      <w:spacing w:before="200" w:after="100" w:afterAutospacing="1"/>
    </w:pPr>
    <w:rPr>
      <w:sz w:val="24"/>
    </w:rPr>
  </w:style>
  <w:style w:type="paragraph" w:customStyle="1" w:styleId="Subtitle1">
    <w:name w:val="Subtitle1"/>
    <w:basedOn w:val="Normal"/>
    <w:uiPriority w:val="99"/>
    <w:rsid w:val="008B4898"/>
    <w:pPr>
      <w:widowControl/>
      <w:autoSpaceDE/>
      <w:autoSpaceDN/>
      <w:adjustRightInd/>
      <w:spacing w:before="200" w:after="100" w:afterAutospacing="1"/>
    </w:pPr>
    <w:rPr>
      <w:sz w:val="24"/>
    </w:rPr>
  </w:style>
  <w:style w:type="paragraph" w:customStyle="1" w:styleId="chapter">
    <w:name w:val="chapter"/>
    <w:basedOn w:val="Normal"/>
    <w:uiPriority w:val="99"/>
    <w:rsid w:val="008B4898"/>
    <w:pPr>
      <w:widowControl/>
      <w:autoSpaceDE/>
      <w:autoSpaceDN/>
      <w:adjustRightInd/>
      <w:spacing w:before="200" w:after="100" w:afterAutospacing="1"/>
    </w:pPr>
    <w:rPr>
      <w:sz w:val="24"/>
    </w:rPr>
  </w:style>
  <w:style w:type="paragraph" w:customStyle="1" w:styleId="subchapter">
    <w:name w:val="subchapter"/>
    <w:basedOn w:val="Normal"/>
    <w:uiPriority w:val="99"/>
    <w:rsid w:val="008B4898"/>
    <w:pPr>
      <w:widowControl/>
      <w:autoSpaceDE/>
      <w:autoSpaceDN/>
      <w:adjustRightInd/>
      <w:spacing w:before="200" w:after="100" w:afterAutospacing="1"/>
    </w:pPr>
    <w:rPr>
      <w:sz w:val="24"/>
    </w:rPr>
  </w:style>
  <w:style w:type="paragraph" w:customStyle="1" w:styleId="part">
    <w:name w:val="part"/>
    <w:basedOn w:val="Normal"/>
    <w:uiPriority w:val="99"/>
    <w:rsid w:val="008B4898"/>
    <w:pPr>
      <w:widowControl/>
      <w:autoSpaceDE/>
      <w:autoSpaceDN/>
      <w:adjustRightInd/>
      <w:spacing w:before="200" w:after="100" w:afterAutospacing="1"/>
    </w:pPr>
    <w:rPr>
      <w:sz w:val="24"/>
    </w:rPr>
  </w:style>
  <w:style w:type="paragraph" w:customStyle="1" w:styleId="subpart">
    <w:name w:val="subpart"/>
    <w:basedOn w:val="Normal"/>
    <w:uiPriority w:val="99"/>
    <w:rsid w:val="008B4898"/>
    <w:pPr>
      <w:widowControl/>
      <w:autoSpaceDE/>
      <w:autoSpaceDN/>
      <w:adjustRightInd/>
      <w:spacing w:before="200" w:after="100" w:afterAutospacing="1"/>
    </w:pPr>
    <w:rPr>
      <w:sz w:val="24"/>
    </w:rPr>
  </w:style>
  <w:style w:type="paragraph" w:customStyle="1" w:styleId="apphead">
    <w:name w:val="apphead"/>
    <w:basedOn w:val="Normal"/>
    <w:uiPriority w:val="99"/>
    <w:rsid w:val="008B4898"/>
    <w:pPr>
      <w:widowControl/>
      <w:autoSpaceDE/>
      <w:autoSpaceDN/>
      <w:adjustRightInd/>
      <w:spacing w:before="200" w:after="100"/>
      <w:ind w:firstLine="480"/>
      <w:jc w:val="center"/>
    </w:pPr>
    <w:rPr>
      <w:smallCaps/>
      <w:szCs w:val="20"/>
    </w:rPr>
  </w:style>
  <w:style w:type="paragraph" w:customStyle="1" w:styleId="sphead">
    <w:name w:val="sphead"/>
    <w:basedOn w:val="Normal"/>
    <w:uiPriority w:val="99"/>
    <w:rsid w:val="008B4898"/>
    <w:pPr>
      <w:widowControl/>
      <w:autoSpaceDE/>
      <w:autoSpaceDN/>
      <w:adjustRightInd/>
      <w:spacing w:before="200" w:after="100"/>
    </w:pPr>
    <w:rPr>
      <w:b/>
      <w:bCs/>
      <w:sz w:val="27"/>
      <w:szCs w:val="27"/>
    </w:rPr>
  </w:style>
  <w:style w:type="paragraph" w:customStyle="1" w:styleId="cpsghead">
    <w:name w:val="cpsghead"/>
    <w:basedOn w:val="Normal"/>
    <w:uiPriority w:val="99"/>
    <w:rsid w:val="008B4898"/>
    <w:pPr>
      <w:widowControl/>
      <w:autoSpaceDE/>
      <w:autoSpaceDN/>
      <w:adjustRightInd/>
      <w:spacing w:before="100"/>
    </w:pPr>
    <w:rPr>
      <w:smallCaps/>
      <w:sz w:val="18"/>
      <w:szCs w:val="18"/>
    </w:rPr>
  </w:style>
  <w:style w:type="paragraph" w:customStyle="1" w:styleId="tsghead">
    <w:name w:val="tsghead"/>
    <w:basedOn w:val="Normal"/>
    <w:uiPriority w:val="99"/>
    <w:rsid w:val="008B4898"/>
    <w:pPr>
      <w:widowControl/>
      <w:autoSpaceDE/>
      <w:autoSpaceDN/>
      <w:adjustRightInd/>
      <w:spacing w:before="200" w:after="100"/>
    </w:pPr>
    <w:rPr>
      <w:b/>
      <w:bCs/>
      <w:smallCaps/>
      <w:sz w:val="27"/>
      <w:szCs w:val="27"/>
    </w:rPr>
  </w:style>
  <w:style w:type="paragraph" w:customStyle="1" w:styleId="sghead">
    <w:name w:val="sghead"/>
    <w:basedOn w:val="Normal"/>
    <w:uiPriority w:val="99"/>
    <w:rsid w:val="008B4898"/>
    <w:pPr>
      <w:widowControl/>
      <w:autoSpaceDE/>
      <w:autoSpaceDN/>
      <w:adjustRightInd/>
      <w:spacing w:before="200" w:after="100"/>
      <w:jc w:val="center"/>
    </w:pPr>
    <w:rPr>
      <w:smallCaps/>
      <w:szCs w:val="20"/>
    </w:rPr>
  </w:style>
  <w:style w:type="paragraph" w:customStyle="1" w:styleId="stars">
    <w:name w:val="stars"/>
    <w:basedOn w:val="Normal"/>
    <w:uiPriority w:val="99"/>
    <w:rsid w:val="008B4898"/>
    <w:pPr>
      <w:widowControl/>
      <w:autoSpaceDE/>
      <w:autoSpaceDN/>
      <w:adjustRightInd/>
      <w:spacing w:before="100" w:beforeAutospacing="1" w:after="100" w:afterAutospacing="1"/>
      <w:ind w:firstLine="480"/>
    </w:pPr>
    <w:rPr>
      <w:sz w:val="24"/>
    </w:rPr>
  </w:style>
  <w:style w:type="paragraph" w:customStyle="1" w:styleId="tcap">
    <w:name w:val="tcap"/>
    <w:basedOn w:val="Normal"/>
    <w:uiPriority w:val="99"/>
    <w:rsid w:val="008B4898"/>
    <w:pPr>
      <w:widowControl/>
      <w:autoSpaceDE/>
      <w:autoSpaceDN/>
      <w:adjustRightInd/>
      <w:spacing w:before="100" w:beforeAutospacing="1" w:after="100" w:afterAutospacing="1"/>
      <w:ind w:firstLine="480"/>
      <w:jc w:val="center"/>
    </w:pPr>
    <w:rPr>
      <w:sz w:val="24"/>
    </w:rPr>
  </w:style>
  <w:style w:type="paragraph" w:customStyle="1" w:styleId="bcap">
    <w:name w:val="bcap"/>
    <w:basedOn w:val="Normal"/>
    <w:uiPriority w:val="99"/>
    <w:rsid w:val="008B4898"/>
    <w:pPr>
      <w:widowControl/>
      <w:autoSpaceDE/>
      <w:autoSpaceDN/>
      <w:adjustRightInd/>
      <w:spacing w:before="100" w:beforeAutospacing="1" w:after="100" w:afterAutospacing="1"/>
      <w:ind w:firstLine="480"/>
    </w:pPr>
    <w:rPr>
      <w:sz w:val="24"/>
    </w:rPr>
  </w:style>
  <w:style w:type="paragraph" w:customStyle="1" w:styleId="fp-1">
    <w:name w:val="fp-1"/>
    <w:basedOn w:val="Normal"/>
    <w:uiPriority w:val="99"/>
    <w:rsid w:val="008B4898"/>
    <w:pPr>
      <w:widowControl/>
      <w:autoSpaceDE/>
      <w:autoSpaceDN/>
      <w:adjustRightInd/>
      <w:spacing w:before="200" w:after="100"/>
      <w:ind w:left="480" w:hanging="480"/>
    </w:pPr>
    <w:rPr>
      <w:sz w:val="24"/>
    </w:rPr>
  </w:style>
  <w:style w:type="paragraph" w:customStyle="1" w:styleId="fp-2">
    <w:name w:val="fp-2"/>
    <w:basedOn w:val="Normal"/>
    <w:uiPriority w:val="99"/>
    <w:rsid w:val="008B4898"/>
    <w:pPr>
      <w:widowControl/>
      <w:autoSpaceDE/>
      <w:autoSpaceDN/>
      <w:adjustRightInd/>
      <w:spacing w:before="200" w:after="100"/>
      <w:ind w:left="960" w:hanging="960"/>
    </w:pPr>
    <w:rPr>
      <w:sz w:val="24"/>
    </w:rPr>
  </w:style>
  <w:style w:type="paragraph" w:customStyle="1" w:styleId="fp1-2">
    <w:name w:val="fp1-2"/>
    <w:basedOn w:val="Normal"/>
    <w:uiPriority w:val="99"/>
    <w:rsid w:val="008B4898"/>
    <w:pPr>
      <w:widowControl/>
      <w:autoSpaceDE/>
      <w:autoSpaceDN/>
      <w:adjustRightInd/>
      <w:spacing w:before="200" w:after="100"/>
      <w:ind w:left="960" w:hanging="480"/>
    </w:pPr>
    <w:rPr>
      <w:sz w:val="24"/>
    </w:rPr>
  </w:style>
  <w:style w:type="paragraph" w:customStyle="1" w:styleId="fp2-2">
    <w:name w:val="fp2-2"/>
    <w:basedOn w:val="Normal"/>
    <w:uiPriority w:val="99"/>
    <w:rsid w:val="008B4898"/>
    <w:pPr>
      <w:widowControl/>
      <w:autoSpaceDE/>
      <w:autoSpaceDN/>
      <w:adjustRightInd/>
      <w:spacing w:before="200" w:after="100"/>
      <w:ind w:left="960"/>
    </w:pPr>
    <w:rPr>
      <w:sz w:val="24"/>
    </w:rPr>
  </w:style>
  <w:style w:type="paragraph" w:customStyle="1" w:styleId="fp2-3">
    <w:name w:val="fp2-3"/>
    <w:basedOn w:val="Normal"/>
    <w:uiPriority w:val="99"/>
    <w:rsid w:val="008B4898"/>
    <w:pPr>
      <w:widowControl/>
      <w:autoSpaceDE/>
      <w:autoSpaceDN/>
      <w:adjustRightInd/>
      <w:spacing w:before="200" w:after="100"/>
      <w:ind w:left="1440" w:hanging="480"/>
    </w:pPr>
    <w:rPr>
      <w:sz w:val="24"/>
    </w:rPr>
  </w:style>
  <w:style w:type="paragraph" w:customStyle="1" w:styleId="contents">
    <w:name w:val="contents"/>
    <w:basedOn w:val="Normal"/>
    <w:uiPriority w:val="99"/>
    <w:rsid w:val="008B4898"/>
    <w:pPr>
      <w:widowControl/>
      <w:autoSpaceDE/>
      <w:autoSpaceDN/>
      <w:adjustRightInd/>
      <w:spacing w:before="200" w:after="100"/>
    </w:pPr>
    <w:rPr>
      <w:sz w:val="24"/>
    </w:rPr>
  </w:style>
  <w:style w:type="paragraph" w:customStyle="1" w:styleId="three-col-layout-middle">
    <w:name w:val="three-col-layout-middle"/>
    <w:basedOn w:val="Normal"/>
    <w:uiPriority w:val="99"/>
    <w:rsid w:val="008B4898"/>
    <w:pPr>
      <w:widowControl/>
      <w:pBdr>
        <w:left w:val="single" w:sz="6" w:space="0" w:color="CCCCCC"/>
      </w:pBdr>
      <w:autoSpaceDE/>
      <w:autoSpaceDN/>
      <w:adjustRightInd/>
      <w:spacing w:before="100" w:beforeAutospacing="1" w:after="100" w:afterAutospacing="1"/>
      <w:ind w:firstLine="480"/>
    </w:pPr>
    <w:rPr>
      <w:sz w:val="24"/>
    </w:rPr>
  </w:style>
  <w:style w:type="paragraph" w:customStyle="1" w:styleId="three-col-layout-right">
    <w:name w:val="three-col-layout-right"/>
    <w:basedOn w:val="Normal"/>
    <w:uiPriority w:val="99"/>
    <w:rsid w:val="008B4898"/>
    <w:pPr>
      <w:widowControl/>
      <w:pBdr>
        <w:left w:val="single" w:sz="6" w:space="0" w:color="CCCCCC"/>
      </w:pBdr>
      <w:autoSpaceDE/>
      <w:autoSpaceDN/>
      <w:adjustRightInd/>
      <w:spacing w:before="100" w:beforeAutospacing="1" w:after="100" w:afterAutospacing="1"/>
      <w:ind w:firstLine="480"/>
    </w:pPr>
    <w:rPr>
      <w:sz w:val="24"/>
    </w:rPr>
  </w:style>
  <w:style w:type="paragraph" w:customStyle="1" w:styleId="extract">
    <w:name w:val="extract"/>
    <w:basedOn w:val="Normal"/>
    <w:uiPriority w:val="99"/>
    <w:rsid w:val="008B4898"/>
    <w:pPr>
      <w:widowControl/>
      <w:autoSpaceDE/>
      <w:autoSpaceDN/>
      <w:adjustRightInd/>
      <w:spacing w:before="100" w:beforeAutospacing="1" w:after="100" w:afterAutospacing="1"/>
      <w:ind w:firstLine="480"/>
    </w:pPr>
    <w:rPr>
      <w:sz w:val="18"/>
      <w:szCs w:val="18"/>
    </w:rPr>
  </w:style>
  <w:style w:type="paragraph" w:customStyle="1" w:styleId="ftnt">
    <w:name w:val="ftnt"/>
    <w:basedOn w:val="Normal"/>
    <w:uiPriority w:val="99"/>
    <w:rsid w:val="008B4898"/>
    <w:pPr>
      <w:widowControl/>
      <w:autoSpaceDE/>
      <w:autoSpaceDN/>
      <w:adjustRightInd/>
      <w:spacing w:before="100" w:beforeAutospacing="1" w:after="100" w:afterAutospacing="1"/>
      <w:ind w:firstLine="480"/>
    </w:pPr>
    <w:rPr>
      <w:sz w:val="18"/>
      <w:szCs w:val="18"/>
    </w:rPr>
  </w:style>
  <w:style w:type="paragraph" w:customStyle="1" w:styleId="tpl">
    <w:name w:val="tpl"/>
    <w:basedOn w:val="Normal"/>
    <w:uiPriority w:val="99"/>
    <w:rsid w:val="008B4898"/>
    <w:pPr>
      <w:widowControl/>
      <w:autoSpaceDE/>
      <w:autoSpaceDN/>
      <w:adjustRightInd/>
      <w:spacing w:before="100" w:beforeAutospacing="1" w:after="100" w:afterAutospacing="1"/>
      <w:ind w:firstLine="480"/>
    </w:pPr>
    <w:rPr>
      <w:szCs w:val="20"/>
    </w:rPr>
  </w:style>
  <w:style w:type="paragraph" w:customStyle="1" w:styleId="sechd">
    <w:name w:val="sechd"/>
    <w:basedOn w:val="Normal"/>
    <w:uiPriority w:val="99"/>
    <w:rsid w:val="008B4898"/>
    <w:pPr>
      <w:widowControl/>
      <w:autoSpaceDE/>
      <w:autoSpaceDN/>
      <w:adjustRightInd/>
      <w:spacing w:after="100" w:afterAutospacing="1"/>
    </w:pPr>
    <w:rPr>
      <w:sz w:val="24"/>
    </w:rPr>
  </w:style>
  <w:style w:type="paragraph" w:customStyle="1" w:styleId="centry">
    <w:name w:val="c_entry"/>
    <w:basedOn w:val="Normal"/>
    <w:uiPriority w:val="99"/>
    <w:rsid w:val="008B4898"/>
    <w:pPr>
      <w:widowControl/>
      <w:autoSpaceDE/>
      <w:autoSpaceDN/>
      <w:adjustRightInd/>
      <w:spacing w:after="100" w:afterAutospacing="1"/>
    </w:pPr>
    <w:rPr>
      <w:sz w:val="24"/>
    </w:rPr>
  </w:style>
  <w:style w:type="paragraph" w:customStyle="1" w:styleId="su">
    <w:name w:val="su"/>
    <w:basedOn w:val="Normal"/>
    <w:uiPriority w:val="99"/>
    <w:rsid w:val="008B4898"/>
    <w:pPr>
      <w:widowControl/>
      <w:autoSpaceDE/>
      <w:autoSpaceDN/>
      <w:adjustRightInd/>
      <w:spacing w:before="100" w:beforeAutospacing="1" w:after="100" w:afterAutospacing="1"/>
      <w:ind w:firstLine="480"/>
    </w:pPr>
    <w:rPr>
      <w:sz w:val="17"/>
      <w:szCs w:val="17"/>
      <w:vertAlign w:val="superscript"/>
    </w:rPr>
  </w:style>
  <w:style w:type="paragraph" w:customStyle="1" w:styleId="gpotblhang">
    <w:name w:val="gpotbl_hang"/>
    <w:basedOn w:val="Normal"/>
    <w:uiPriority w:val="99"/>
    <w:rsid w:val="008B4898"/>
    <w:pPr>
      <w:widowControl/>
      <w:autoSpaceDE/>
      <w:autoSpaceDN/>
      <w:adjustRightInd/>
      <w:spacing w:before="100" w:beforeAutospacing="1" w:after="100" w:afterAutospacing="1"/>
      <w:ind w:hanging="480"/>
    </w:pPr>
    <w:rPr>
      <w:sz w:val="24"/>
    </w:rPr>
  </w:style>
  <w:style w:type="paragraph" w:customStyle="1" w:styleId="gpotbltable">
    <w:name w:val="gpotbl_table"/>
    <w:basedOn w:val="Normal"/>
    <w:uiPriority w:val="99"/>
    <w:rsid w:val="008B4898"/>
    <w:pPr>
      <w:widowControl/>
      <w:autoSpaceDE/>
      <w:autoSpaceDN/>
      <w:adjustRightInd/>
      <w:spacing w:before="100" w:beforeAutospacing="1" w:after="100" w:afterAutospacing="1"/>
      <w:ind w:firstLine="480"/>
    </w:pPr>
    <w:rPr>
      <w:sz w:val="24"/>
    </w:rPr>
  </w:style>
  <w:style w:type="paragraph" w:customStyle="1" w:styleId="gpotbldiv">
    <w:name w:val="gpotbl_div"/>
    <w:basedOn w:val="Normal"/>
    <w:uiPriority w:val="99"/>
    <w:rsid w:val="008B4898"/>
    <w:pPr>
      <w:widowControl/>
      <w:pBdr>
        <w:top w:val="single" w:sz="12" w:space="0" w:color="000000"/>
        <w:left w:val="single" w:sz="12" w:space="0" w:color="000000"/>
        <w:bottom w:val="single" w:sz="12" w:space="0" w:color="000000"/>
        <w:right w:val="single" w:sz="12" w:space="0" w:color="000000"/>
      </w:pBdr>
      <w:autoSpaceDE/>
      <w:autoSpaceDN/>
      <w:adjustRightInd/>
      <w:spacing w:before="100" w:beforeAutospacing="1" w:after="100" w:afterAutospacing="1"/>
      <w:ind w:firstLine="480"/>
    </w:pPr>
    <w:rPr>
      <w:sz w:val="24"/>
    </w:rPr>
  </w:style>
  <w:style w:type="paragraph" w:customStyle="1" w:styleId="gpotbltitle">
    <w:name w:val="gpotbl_title"/>
    <w:basedOn w:val="Normal"/>
    <w:uiPriority w:val="99"/>
    <w:rsid w:val="008B4898"/>
    <w:pPr>
      <w:widowControl/>
      <w:autoSpaceDE/>
      <w:autoSpaceDN/>
      <w:adjustRightInd/>
      <w:spacing w:before="100" w:beforeAutospacing="1" w:after="100" w:afterAutospacing="1"/>
      <w:ind w:firstLine="480"/>
      <w:jc w:val="center"/>
    </w:pPr>
    <w:rPr>
      <w:b/>
      <w:bCs/>
      <w:smallCaps/>
      <w:sz w:val="24"/>
    </w:rPr>
  </w:style>
  <w:style w:type="paragraph" w:customStyle="1" w:styleId="gpotbldescription">
    <w:name w:val="gpotbl_description"/>
    <w:basedOn w:val="Normal"/>
    <w:uiPriority w:val="99"/>
    <w:rsid w:val="008B4898"/>
    <w:pPr>
      <w:widowControl/>
      <w:autoSpaceDE/>
      <w:autoSpaceDN/>
      <w:adjustRightInd/>
      <w:spacing w:before="100" w:beforeAutospacing="1" w:after="100" w:afterAutospacing="1"/>
      <w:ind w:firstLine="480"/>
      <w:jc w:val="center"/>
    </w:pPr>
    <w:rPr>
      <w:sz w:val="24"/>
    </w:rPr>
  </w:style>
  <w:style w:type="paragraph" w:customStyle="1" w:styleId="gpotblcell">
    <w:name w:val="gpotbl_cell"/>
    <w:basedOn w:val="Normal"/>
    <w:uiPriority w:val="99"/>
    <w:rsid w:val="008B4898"/>
    <w:pPr>
      <w:widowControl/>
      <w:pBdr>
        <w:top w:val="single" w:sz="6" w:space="0" w:color="000000"/>
        <w:left w:val="single" w:sz="6" w:space="0" w:color="000000"/>
        <w:bottom w:val="single" w:sz="6" w:space="0" w:color="000000"/>
        <w:right w:val="single" w:sz="6" w:space="0" w:color="000000"/>
      </w:pBdr>
      <w:autoSpaceDE/>
      <w:autoSpaceDN/>
      <w:adjustRightInd/>
      <w:spacing w:before="100" w:beforeAutospacing="1" w:after="100" w:afterAutospacing="1"/>
      <w:ind w:firstLine="480"/>
      <w:textAlignment w:val="top"/>
    </w:pPr>
    <w:rPr>
      <w:sz w:val="24"/>
    </w:rPr>
  </w:style>
  <w:style w:type="paragraph" w:customStyle="1" w:styleId="gpotblcolhed">
    <w:name w:val="gpotbl_colhed"/>
    <w:basedOn w:val="Normal"/>
    <w:uiPriority w:val="99"/>
    <w:rsid w:val="008B4898"/>
    <w:pPr>
      <w:widowControl/>
      <w:pBdr>
        <w:top w:val="single" w:sz="6" w:space="0" w:color="000000"/>
        <w:left w:val="single" w:sz="6" w:space="0" w:color="000000"/>
        <w:bottom w:val="single" w:sz="6" w:space="0" w:color="000000"/>
        <w:right w:val="single" w:sz="6" w:space="0" w:color="000000"/>
      </w:pBdr>
      <w:autoSpaceDE/>
      <w:autoSpaceDN/>
      <w:adjustRightInd/>
      <w:spacing w:before="100" w:beforeAutospacing="1" w:after="100" w:afterAutospacing="1"/>
      <w:ind w:firstLine="480"/>
      <w:textAlignment w:val="bottom"/>
    </w:pPr>
    <w:rPr>
      <w:sz w:val="24"/>
    </w:rPr>
  </w:style>
  <w:style w:type="character" w:customStyle="1" w:styleId="fpdash">
    <w:name w:val="fpdash"/>
    <w:rsid w:val="008B4898"/>
    <w:rPr>
      <w:shd w:val="clear" w:color="auto" w:fill="FFFFFF"/>
    </w:rPr>
  </w:style>
  <w:style w:type="character" w:customStyle="1" w:styleId="pdash">
    <w:name w:val="pdash"/>
    <w:rsid w:val="008B4898"/>
    <w:rPr>
      <w:shd w:val="clear" w:color="auto" w:fill="FFFFFF"/>
    </w:rPr>
  </w:style>
  <w:style w:type="character" w:customStyle="1" w:styleId="ptext-27">
    <w:name w:val="ptext-27"/>
    <w:rsid w:val="008B4898"/>
  </w:style>
  <w:style w:type="numbering" w:customStyle="1" w:styleId="NoList2">
    <w:name w:val="No List2"/>
    <w:next w:val="NoList"/>
    <w:uiPriority w:val="99"/>
    <w:semiHidden/>
    <w:unhideWhenUsed/>
    <w:rsid w:val="008B4898"/>
  </w:style>
  <w:style w:type="table" w:customStyle="1" w:styleId="TableGrid1">
    <w:name w:val="Table Grid1"/>
    <w:basedOn w:val="TableNormal"/>
    <w:next w:val="TableGrid"/>
    <w:uiPriority w:val="59"/>
    <w:rsid w:val="008B489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B4898"/>
    <w:pPr>
      <w:widowControl/>
      <w:autoSpaceDE/>
      <w:autoSpaceDN/>
      <w:adjustRightInd/>
      <w:spacing w:before="100" w:beforeAutospacing="1" w:after="100" w:afterAutospacing="1"/>
      <w:jc w:val="center"/>
    </w:pPr>
    <w:rPr>
      <w:sz w:val="18"/>
      <w:szCs w:val="18"/>
    </w:rPr>
  </w:style>
  <w:style w:type="numbering" w:customStyle="1" w:styleId="NoList3">
    <w:name w:val="No List3"/>
    <w:next w:val="NoList"/>
    <w:uiPriority w:val="99"/>
    <w:semiHidden/>
    <w:unhideWhenUsed/>
    <w:rsid w:val="008B4898"/>
  </w:style>
  <w:style w:type="paragraph" w:customStyle="1" w:styleId="xl89">
    <w:name w:val="xl89"/>
    <w:basedOn w:val="Normal"/>
    <w:rsid w:val="008B4898"/>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18"/>
      <w:szCs w:val="18"/>
    </w:rPr>
  </w:style>
  <w:style w:type="paragraph" w:customStyle="1" w:styleId="xl90">
    <w:name w:val="xl90"/>
    <w:basedOn w:val="Normal"/>
    <w:rsid w:val="008B48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18"/>
      <w:szCs w:val="18"/>
    </w:rPr>
  </w:style>
  <w:style w:type="paragraph" w:customStyle="1" w:styleId="xl91">
    <w:name w:val="xl91"/>
    <w:basedOn w:val="Normal"/>
    <w:rsid w:val="008B48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18"/>
      <w:szCs w:val="18"/>
    </w:rPr>
  </w:style>
  <w:style w:type="paragraph" w:customStyle="1" w:styleId="xl92">
    <w:name w:val="xl92"/>
    <w:basedOn w:val="Normal"/>
    <w:rsid w:val="008B48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18"/>
      <w:szCs w:val="18"/>
    </w:rPr>
  </w:style>
  <w:style w:type="paragraph" w:customStyle="1" w:styleId="xl93">
    <w:name w:val="xl93"/>
    <w:basedOn w:val="Normal"/>
    <w:rsid w:val="008B48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18"/>
      <w:szCs w:val="18"/>
    </w:rPr>
  </w:style>
  <w:style w:type="paragraph" w:customStyle="1" w:styleId="xl94">
    <w:name w:val="xl94"/>
    <w:basedOn w:val="Normal"/>
    <w:rsid w:val="008B48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18"/>
      <w:szCs w:val="18"/>
    </w:rPr>
  </w:style>
  <w:style w:type="paragraph" w:customStyle="1" w:styleId="xl95">
    <w:name w:val="xl95"/>
    <w:basedOn w:val="Normal"/>
    <w:rsid w:val="008B48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18"/>
      <w:szCs w:val="18"/>
    </w:rPr>
  </w:style>
  <w:style w:type="paragraph" w:customStyle="1" w:styleId="xl96">
    <w:name w:val="xl96"/>
    <w:basedOn w:val="Normal"/>
    <w:rsid w:val="008B48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0000"/>
      <w:sz w:val="18"/>
      <w:szCs w:val="18"/>
    </w:rPr>
  </w:style>
  <w:style w:type="paragraph" w:customStyle="1" w:styleId="xl97">
    <w:name w:val="xl97"/>
    <w:basedOn w:val="Normal"/>
    <w:rsid w:val="008B48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0000"/>
      <w:sz w:val="18"/>
      <w:szCs w:val="18"/>
    </w:rPr>
  </w:style>
  <w:style w:type="paragraph" w:customStyle="1" w:styleId="xl98">
    <w:name w:val="xl98"/>
    <w:basedOn w:val="Normal"/>
    <w:rsid w:val="008B48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99">
    <w:name w:val="xl99"/>
    <w:basedOn w:val="Normal"/>
    <w:rsid w:val="008B4898"/>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0000"/>
      <w:sz w:val="18"/>
      <w:szCs w:val="18"/>
    </w:rPr>
  </w:style>
  <w:style w:type="paragraph" w:customStyle="1" w:styleId="xl100">
    <w:name w:val="xl100"/>
    <w:basedOn w:val="Normal"/>
    <w:rsid w:val="008B48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01">
    <w:name w:val="xl101"/>
    <w:basedOn w:val="Normal"/>
    <w:rsid w:val="008B48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02">
    <w:name w:val="xl102"/>
    <w:basedOn w:val="Normal"/>
    <w:rsid w:val="008B48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03">
    <w:name w:val="xl103"/>
    <w:basedOn w:val="Normal"/>
    <w:rsid w:val="008B48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04">
    <w:name w:val="xl104"/>
    <w:basedOn w:val="Normal"/>
    <w:rsid w:val="008B48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0000"/>
      <w:sz w:val="18"/>
      <w:szCs w:val="18"/>
    </w:rPr>
  </w:style>
  <w:style w:type="paragraph" w:customStyle="1" w:styleId="xl105">
    <w:name w:val="xl105"/>
    <w:basedOn w:val="Normal"/>
    <w:rsid w:val="008B4898"/>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color w:val="000000"/>
      <w:sz w:val="18"/>
      <w:szCs w:val="18"/>
    </w:rPr>
  </w:style>
  <w:style w:type="paragraph" w:customStyle="1" w:styleId="xl106">
    <w:name w:val="xl106"/>
    <w:basedOn w:val="Normal"/>
    <w:rsid w:val="008B48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0000"/>
      <w:sz w:val="18"/>
      <w:szCs w:val="18"/>
    </w:rPr>
  </w:style>
  <w:style w:type="paragraph" w:customStyle="1" w:styleId="xl107">
    <w:name w:val="xl107"/>
    <w:basedOn w:val="Normal"/>
    <w:rsid w:val="008B48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08">
    <w:name w:val="xl108"/>
    <w:basedOn w:val="Normal"/>
    <w:rsid w:val="008B4898"/>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09">
    <w:name w:val="xl109"/>
    <w:basedOn w:val="Normal"/>
    <w:rsid w:val="008B4898"/>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10">
    <w:name w:val="xl110"/>
    <w:basedOn w:val="Normal"/>
    <w:rsid w:val="008B4898"/>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11">
    <w:name w:val="xl111"/>
    <w:basedOn w:val="Normal"/>
    <w:rsid w:val="008B4898"/>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12">
    <w:name w:val="xl112"/>
    <w:basedOn w:val="Normal"/>
    <w:rsid w:val="008B4898"/>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0000"/>
      <w:sz w:val="18"/>
      <w:szCs w:val="18"/>
    </w:rPr>
  </w:style>
  <w:style w:type="paragraph" w:customStyle="1" w:styleId="xl113">
    <w:name w:val="xl113"/>
    <w:basedOn w:val="Normal"/>
    <w:rsid w:val="008B4898"/>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14">
    <w:name w:val="xl114"/>
    <w:basedOn w:val="Normal"/>
    <w:rsid w:val="008B4898"/>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0000"/>
      <w:sz w:val="18"/>
      <w:szCs w:val="18"/>
    </w:rPr>
  </w:style>
  <w:style w:type="paragraph" w:customStyle="1" w:styleId="xl115">
    <w:name w:val="xl115"/>
    <w:basedOn w:val="Normal"/>
    <w:rsid w:val="008B4898"/>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0000"/>
      <w:sz w:val="18"/>
      <w:szCs w:val="18"/>
    </w:rPr>
  </w:style>
  <w:style w:type="paragraph" w:customStyle="1" w:styleId="xl116">
    <w:name w:val="xl116"/>
    <w:basedOn w:val="Normal"/>
    <w:rsid w:val="008B48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0000"/>
      <w:sz w:val="18"/>
      <w:szCs w:val="18"/>
    </w:rPr>
  </w:style>
  <w:style w:type="paragraph" w:customStyle="1" w:styleId="xl117">
    <w:name w:val="xl117"/>
    <w:basedOn w:val="Normal"/>
    <w:rsid w:val="008B48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18">
    <w:name w:val="xl118"/>
    <w:basedOn w:val="Normal"/>
    <w:rsid w:val="008B4898"/>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19">
    <w:name w:val="xl119"/>
    <w:basedOn w:val="Normal"/>
    <w:rsid w:val="008B4898"/>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0000"/>
      <w:sz w:val="18"/>
      <w:szCs w:val="18"/>
    </w:rPr>
  </w:style>
  <w:style w:type="paragraph" w:customStyle="1" w:styleId="xl120">
    <w:name w:val="xl120"/>
    <w:basedOn w:val="Normal"/>
    <w:rsid w:val="008B4898"/>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18"/>
      <w:szCs w:val="18"/>
    </w:rPr>
  </w:style>
  <w:style w:type="paragraph" w:customStyle="1" w:styleId="xl121">
    <w:name w:val="xl121"/>
    <w:basedOn w:val="Normal"/>
    <w:rsid w:val="008B4898"/>
    <w:pPr>
      <w:widowControl/>
      <w:pBdr>
        <w:top w:val="single" w:sz="4" w:space="0" w:color="auto"/>
        <w:bottom w:val="single" w:sz="4" w:space="0" w:color="auto"/>
      </w:pBdr>
      <w:autoSpaceDE/>
      <w:autoSpaceDN/>
      <w:adjustRightInd/>
      <w:spacing w:before="100" w:beforeAutospacing="1" w:after="100" w:afterAutospacing="1"/>
      <w:jc w:val="center"/>
    </w:pPr>
    <w:rPr>
      <w:sz w:val="18"/>
      <w:szCs w:val="18"/>
    </w:rPr>
  </w:style>
  <w:style w:type="paragraph" w:customStyle="1" w:styleId="xl122">
    <w:name w:val="xl122"/>
    <w:basedOn w:val="Normal"/>
    <w:rsid w:val="008B4898"/>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18"/>
      <w:szCs w:val="18"/>
    </w:rPr>
  </w:style>
  <w:style w:type="paragraph" w:customStyle="1" w:styleId="xl123">
    <w:name w:val="xl123"/>
    <w:basedOn w:val="Normal"/>
    <w:rsid w:val="008B4898"/>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color w:val="000000"/>
      <w:sz w:val="18"/>
      <w:szCs w:val="18"/>
    </w:rPr>
  </w:style>
  <w:style w:type="paragraph" w:customStyle="1" w:styleId="xl124">
    <w:name w:val="xl124"/>
    <w:basedOn w:val="Normal"/>
    <w:rsid w:val="008B4898"/>
    <w:pPr>
      <w:widowControl/>
      <w:pBdr>
        <w:top w:val="single" w:sz="4" w:space="0" w:color="auto"/>
        <w:bottom w:val="single" w:sz="4" w:space="0" w:color="auto"/>
      </w:pBdr>
      <w:autoSpaceDE/>
      <w:autoSpaceDN/>
      <w:adjustRightInd/>
      <w:spacing w:before="100" w:beforeAutospacing="1" w:after="100" w:afterAutospacing="1"/>
      <w:jc w:val="center"/>
      <w:textAlignment w:val="top"/>
    </w:pPr>
    <w:rPr>
      <w:color w:val="000000"/>
      <w:sz w:val="18"/>
      <w:szCs w:val="18"/>
    </w:rPr>
  </w:style>
  <w:style w:type="paragraph" w:customStyle="1" w:styleId="xl125">
    <w:name w:val="xl125"/>
    <w:basedOn w:val="Normal"/>
    <w:rsid w:val="008B4898"/>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0000"/>
      <w:sz w:val="18"/>
      <w:szCs w:val="18"/>
    </w:rPr>
  </w:style>
  <w:style w:type="paragraph" w:customStyle="1" w:styleId="xl126">
    <w:name w:val="xl126"/>
    <w:basedOn w:val="Normal"/>
    <w:rsid w:val="008B48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127">
    <w:name w:val="xl127"/>
    <w:basedOn w:val="Normal"/>
    <w:rsid w:val="008B48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128">
    <w:name w:val="xl128"/>
    <w:basedOn w:val="Normal"/>
    <w:rsid w:val="008B48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129">
    <w:name w:val="xl129"/>
    <w:basedOn w:val="Normal"/>
    <w:rsid w:val="008B4898"/>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18"/>
      <w:szCs w:val="18"/>
    </w:rPr>
  </w:style>
  <w:style w:type="paragraph" w:customStyle="1" w:styleId="xl130">
    <w:name w:val="xl130"/>
    <w:basedOn w:val="Normal"/>
    <w:rsid w:val="008B48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18"/>
      <w:szCs w:val="18"/>
    </w:rPr>
  </w:style>
  <w:style w:type="paragraph" w:customStyle="1" w:styleId="xl131">
    <w:name w:val="xl131"/>
    <w:basedOn w:val="Normal"/>
    <w:rsid w:val="008B48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18"/>
      <w:szCs w:val="18"/>
    </w:rPr>
  </w:style>
  <w:style w:type="paragraph" w:customStyle="1" w:styleId="xl132">
    <w:name w:val="xl132"/>
    <w:basedOn w:val="Normal"/>
    <w:rsid w:val="008B4898"/>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sz w:val="18"/>
      <w:szCs w:val="18"/>
    </w:rPr>
  </w:style>
  <w:style w:type="paragraph" w:customStyle="1" w:styleId="xl133">
    <w:name w:val="xl133"/>
    <w:basedOn w:val="Normal"/>
    <w:rsid w:val="008B4898"/>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18"/>
      <w:szCs w:val="18"/>
    </w:rPr>
  </w:style>
  <w:style w:type="paragraph" w:customStyle="1" w:styleId="xl134">
    <w:name w:val="xl134"/>
    <w:basedOn w:val="Normal"/>
    <w:rsid w:val="008B4898"/>
    <w:pPr>
      <w:widowControl/>
      <w:autoSpaceDE/>
      <w:autoSpaceDN/>
      <w:adjustRightInd/>
      <w:spacing w:before="100" w:beforeAutospacing="1" w:after="100" w:afterAutospacing="1"/>
    </w:pPr>
    <w:rPr>
      <w:sz w:val="18"/>
      <w:szCs w:val="18"/>
    </w:rPr>
  </w:style>
  <w:style w:type="character" w:styleId="PlaceholderText">
    <w:name w:val="Placeholder Text"/>
    <w:basedOn w:val="DefaultParagraphFont"/>
    <w:uiPriority w:val="99"/>
    <w:semiHidden/>
    <w:rsid w:val="008B4898"/>
    <w:rPr>
      <w:color w:val="808080"/>
    </w:rPr>
  </w:style>
  <w:style w:type="paragraph" w:customStyle="1" w:styleId="Level2">
    <w:name w:val="Level 2"/>
    <w:basedOn w:val="TOC2"/>
    <w:link w:val="Level2Char"/>
    <w:qFormat/>
    <w:rsid w:val="008B4898"/>
    <w:pPr>
      <w:widowControl/>
      <w:tabs>
        <w:tab w:val="clear" w:pos="9360"/>
        <w:tab w:val="right" w:leader="dot" w:pos="8630"/>
      </w:tabs>
      <w:suppressAutoHyphens w:val="0"/>
      <w:ind w:left="200" w:right="0" w:firstLine="0"/>
    </w:pPr>
    <w:rPr>
      <w:rFonts w:asciiTheme="majorHAnsi" w:hAnsiTheme="majorHAnsi"/>
      <w:smallCaps/>
      <w:snapToGrid/>
      <w:color w:val="000000"/>
    </w:rPr>
  </w:style>
  <w:style w:type="character" w:customStyle="1" w:styleId="Level2Char">
    <w:name w:val="Level 2 Char"/>
    <w:basedOn w:val="DefaultParagraphFont"/>
    <w:link w:val="Level2"/>
    <w:rsid w:val="008B4898"/>
    <w:rPr>
      <w:rFonts w:asciiTheme="majorHAnsi" w:hAnsiTheme="majorHAnsi"/>
      <w:smallCaps/>
      <w:color w:val="000000"/>
    </w:rPr>
  </w:style>
  <w:style w:type="character" w:customStyle="1" w:styleId="Level1Char">
    <w:name w:val="Level 1 Char"/>
    <w:basedOn w:val="DefaultParagraphFont"/>
    <w:link w:val="Level1"/>
    <w:rsid w:val="008B4898"/>
    <w:rPr>
      <w:snapToGrid w:val="0"/>
      <w:sz w:val="24"/>
    </w:rPr>
  </w:style>
  <w:style w:type="paragraph" w:styleId="NoSpacing">
    <w:name w:val="No Spacing"/>
    <w:uiPriority w:val="1"/>
    <w:qFormat/>
    <w:rsid w:val="008B4898"/>
    <w:rPr>
      <w:rFonts w:ascii="Calibri" w:eastAsia="Calibri" w:hAnsi="Calibri"/>
      <w:sz w:val="22"/>
      <w:szCs w:val="22"/>
    </w:rPr>
  </w:style>
  <w:style w:type="character" w:customStyle="1" w:styleId="StyleFootnoteReferenceBlack">
    <w:name w:val="Style Footnote Reference + Black"/>
    <w:basedOn w:val="FootnoteReference"/>
    <w:rsid w:val="008B4898"/>
    <w:rPr>
      <w:color w:val="000000"/>
      <w:vertAlign w:val="superscript"/>
    </w:rPr>
  </w:style>
  <w:style w:type="paragraph" w:customStyle="1" w:styleId="xl135">
    <w:name w:val="xl135"/>
    <w:basedOn w:val="Normal"/>
    <w:rsid w:val="008B4898"/>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sz w:val="18"/>
      <w:szCs w:val="18"/>
    </w:rPr>
  </w:style>
  <w:style w:type="paragraph" w:customStyle="1" w:styleId="xl136">
    <w:name w:val="xl136"/>
    <w:basedOn w:val="Normal"/>
    <w:rsid w:val="008B4898"/>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sz w:val="18"/>
      <w:szCs w:val="18"/>
    </w:rPr>
  </w:style>
  <w:style w:type="paragraph" w:customStyle="1" w:styleId="xl137">
    <w:name w:val="xl137"/>
    <w:basedOn w:val="Normal"/>
    <w:rsid w:val="008B4898"/>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sz w:val="18"/>
      <w:szCs w:val="18"/>
    </w:rPr>
  </w:style>
  <w:style w:type="paragraph" w:customStyle="1" w:styleId="xl138">
    <w:name w:val="xl138"/>
    <w:basedOn w:val="Normal"/>
    <w:rsid w:val="008B4898"/>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color w:val="000000"/>
      <w:sz w:val="18"/>
      <w:szCs w:val="18"/>
    </w:rPr>
  </w:style>
  <w:style w:type="paragraph" w:customStyle="1" w:styleId="xl139">
    <w:name w:val="xl139"/>
    <w:basedOn w:val="Normal"/>
    <w:rsid w:val="008B4898"/>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8"/>
      <w:szCs w:val="18"/>
    </w:rPr>
  </w:style>
  <w:style w:type="paragraph" w:customStyle="1" w:styleId="xl140">
    <w:name w:val="xl140"/>
    <w:basedOn w:val="Normal"/>
    <w:rsid w:val="008B4898"/>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color w:val="000000"/>
      <w:sz w:val="18"/>
      <w:szCs w:val="18"/>
    </w:rPr>
  </w:style>
  <w:style w:type="paragraph" w:customStyle="1" w:styleId="xl141">
    <w:name w:val="xl141"/>
    <w:basedOn w:val="Normal"/>
    <w:rsid w:val="008B4898"/>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color w:val="000000"/>
      <w:sz w:val="18"/>
      <w:szCs w:val="18"/>
    </w:rPr>
  </w:style>
  <w:style w:type="paragraph" w:customStyle="1" w:styleId="xl142">
    <w:name w:val="xl142"/>
    <w:basedOn w:val="Normal"/>
    <w:rsid w:val="008B4898"/>
    <w:pPr>
      <w:widowControl/>
      <w:pBdr>
        <w:bottom w:val="single" w:sz="4" w:space="0" w:color="auto"/>
      </w:pBdr>
      <w:autoSpaceDE/>
      <w:autoSpaceDN/>
      <w:adjustRightInd/>
      <w:spacing w:before="100" w:beforeAutospacing="1" w:after="100" w:afterAutospacing="1"/>
      <w:jc w:val="center"/>
    </w:pPr>
    <w:rPr>
      <w:sz w:val="18"/>
      <w:szCs w:val="18"/>
    </w:rPr>
  </w:style>
  <w:style w:type="paragraph" w:customStyle="1" w:styleId="xl143">
    <w:name w:val="xl143"/>
    <w:basedOn w:val="Normal"/>
    <w:rsid w:val="008B48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rPr>
  </w:style>
  <w:style w:type="paragraph" w:customStyle="1" w:styleId="xl144">
    <w:name w:val="xl144"/>
    <w:basedOn w:val="Normal"/>
    <w:rsid w:val="008B48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rPr>
  </w:style>
  <w:style w:type="paragraph" w:customStyle="1" w:styleId="xl145">
    <w:name w:val="xl145"/>
    <w:basedOn w:val="Normal"/>
    <w:rsid w:val="008B48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rPr>
  </w:style>
  <w:style w:type="paragraph" w:customStyle="1" w:styleId="xl146">
    <w:name w:val="xl146"/>
    <w:basedOn w:val="Normal"/>
    <w:rsid w:val="008B48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147">
    <w:name w:val="xl147"/>
    <w:basedOn w:val="Normal"/>
    <w:rsid w:val="008B48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16"/>
      <w:szCs w:val="16"/>
    </w:rPr>
  </w:style>
  <w:style w:type="paragraph" w:customStyle="1" w:styleId="xl148">
    <w:name w:val="xl148"/>
    <w:basedOn w:val="Normal"/>
    <w:rsid w:val="008B48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18"/>
      <w:szCs w:val="18"/>
    </w:rPr>
  </w:style>
  <w:style w:type="paragraph" w:customStyle="1" w:styleId="xl149">
    <w:name w:val="xl149"/>
    <w:basedOn w:val="Normal"/>
    <w:rsid w:val="008B48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16"/>
      <w:szCs w:val="16"/>
    </w:rPr>
  </w:style>
  <w:style w:type="paragraph" w:customStyle="1" w:styleId="xl150">
    <w:name w:val="xl150"/>
    <w:basedOn w:val="Normal"/>
    <w:rsid w:val="008B48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18"/>
      <w:szCs w:val="18"/>
    </w:rPr>
  </w:style>
  <w:style w:type="paragraph" w:customStyle="1" w:styleId="xl151">
    <w:name w:val="xl151"/>
    <w:basedOn w:val="Normal"/>
    <w:rsid w:val="008B48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16"/>
      <w:szCs w:val="16"/>
    </w:rPr>
  </w:style>
  <w:style w:type="paragraph" w:customStyle="1" w:styleId="xl152">
    <w:name w:val="xl152"/>
    <w:basedOn w:val="Normal"/>
    <w:rsid w:val="008B4898"/>
    <w:pPr>
      <w:widowControl/>
      <w:pBdr>
        <w:bottom w:val="single" w:sz="4" w:space="0" w:color="auto"/>
      </w:pBdr>
      <w:autoSpaceDE/>
      <w:autoSpaceDN/>
      <w:adjustRightInd/>
      <w:spacing w:before="100" w:beforeAutospacing="1" w:after="100" w:afterAutospacing="1"/>
      <w:jc w:val="center"/>
    </w:pPr>
    <w:rPr>
      <w:sz w:val="24"/>
    </w:rPr>
  </w:style>
  <w:style w:type="paragraph" w:customStyle="1" w:styleId="xl153">
    <w:name w:val="xl153"/>
    <w:basedOn w:val="Normal"/>
    <w:rsid w:val="008B4898"/>
    <w:pPr>
      <w:widowControl/>
      <w:pBdr>
        <w:left w:val="single" w:sz="8" w:space="0" w:color="auto"/>
        <w:right w:val="single" w:sz="8" w:space="0" w:color="auto"/>
      </w:pBdr>
      <w:autoSpaceDE/>
      <w:autoSpaceDN/>
      <w:adjustRightInd/>
      <w:spacing w:before="100" w:beforeAutospacing="1" w:after="100" w:afterAutospacing="1"/>
      <w:jc w:val="center"/>
      <w:textAlignment w:val="center"/>
    </w:pPr>
    <w:rPr>
      <w:color w:val="000000"/>
      <w:sz w:val="18"/>
      <w:szCs w:val="18"/>
    </w:rPr>
  </w:style>
  <w:style w:type="paragraph" w:customStyle="1" w:styleId="xl154">
    <w:name w:val="xl154"/>
    <w:basedOn w:val="Normal"/>
    <w:rsid w:val="008B4898"/>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color w:val="000000"/>
      <w:sz w:val="18"/>
      <w:szCs w:val="18"/>
    </w:rPr>
  </w:style>
  <w:style w:type="paragraph" w:customStyle="1" w:styleId="xl155">
    <w:name w:val="xl155"/>
    <w:basedOn w:val="Normal"/>
    <w:rsid w:val="008B4898"/>
    <w:pPr>
      <w:widowControl/>
      <w:pBdr>
        <w:top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156">
    <w:name w:val="xl156"/>
    <w:basedOn w:val="Normal"/>
    <w:rsid w:val="008B4898"/>
    <w:pPr>
      <w:widowControl/>
      <w:pBdr>
        <w:top w:val="single" w:sz="8" w:space="0" w:color="auto"/>
      </w:pBdr>
      <w:autoSpaceDE/>
      <w:autoSpaceDN/>
      <w:adjustRightInd/>
      <w:spacing w:before="100" w:beforeAutospacing="1" w:after="100" w:afterAutospacing="1"/>
      <w:jc w:val="center"/>
      <w:textAlignment w:val="center"/>
    </w:pPr>
    <w:rPr>
      <w:color w:val="000000"/>
      <w:sz w:val="18"/>
      <w:szCs w:val="18"/>
    </w:rPr>
  </w:style>
  <w:style w:type="paragraph" w:customStyle="1" w:styleId="xl157">
    <w:name w:val="xl157"/>
    <w:basedOn w:val="Normal"/>
    <w:rsid w:val="008B4898"/>
    <w:pPr>
      <w:widowControl/>
      <w:pBdr>
        <w:top w:val="single" w:sz="8" w:space="0" w:color="auto"/>
      </w:pBdr>
      <w:autoSpaceDE/>
      <w:autoSpaceDN/>
      <w:adjustRightInd/>
      <w:spacing w:before="100" w:beforeAutospacing="1" w:after="100" w:afterAutospacing="1"/>
      <w:jc w:val="center"/>
      <w:textAlignment w:val="center"/>
    </w:pPr>
    <w:rPr>
      <w:color w:val="000000"/>
      <w:sz w:val="18"/>
      <w:szCs w:val="18"/>
    </w:rPr>
  </w:style>
  <w:style w:type="paragraph" w:customStyle="1" w:styleId="xl158">
    <w:name w:val="xl158"/>
    <w:basedOn w:val="Normal"/>
    <w:rsid w:val="008B4898"/>
    <w:pPr>
      <w:widowControl/>
      <w:pBdr>
        <w:top w:val="single" w:sz="8" w:space="0" w:color="auto"/>
      </w:pBdr>
      <w:autoSpaceDE/>
      <w:autoSpaceDN/>
      <w:adjustRightInd/>
      <w:spacing w:before="100" w:beforeAutospacing="1" w:after="100" w:afterAutospacing="1"/>
      <w:jc w:val="center"/>
      <w:textAlignment w:val="center"/>
    </w:pPr>
    <w:rPr>
      <w:color w:val="000000"/>
      <w:sz w:val="18"/>
      <w:szCs w:val="18"/>
    </w:rPr>
  </w:style>
  <w:style w:type="paragraph" w:customStyle="1" w:styleId="xl159">
    <w:name w:val="xl159"/>
    <w:basedOn w:val="Normal"/>
    <w:rsid w:val="008B4898"/>
    <w:pPr>
      <w:widowControl/>
      <w:pBdr>
        <w:top w:val="single" w:sz="8" w:space="0" w:color="auto"/>
      </w:pBdr>
      <w:autoSpaceDE/>
      <w:autoSpaceDN/>
      <w:adjustRightInd/>
      <w:spacing w:before="100" w:beforeAutospacing="1" w:after="100" w:afterAutospacing="1"/>
      <w:jc w:val="center"/>
      <w:textAlignment w:val="center"/>
    </w:pPr>
    <w:rPr>
      <w:color w:val="000000"/>
      <w:sz w:val="18"/>
      <w:szCs w:val="18"/>
    </w:rPr>
  </w:style>
  <w:style w:type="paragraph" w:customStyle="1" w:styleId="xl160">
    <w:name w:val="xl160"/>
    <w:basedOn w:val="Normal"/>
    <w:rsid w:val="008B4898"/>
    <w:pPr>
      <w:widowControl/>
      <w:autoSpaceDE/>
      <w:autoSpaceDN/>
      <w:adjustRightInd/>
      <w:spacing w:before="100" w:beforeAutospacing="1" w:after="100" w:afterAutospacing="1"/>
      <w:jc w:val="center"/>
      <w:textAlignment w:val="center"/>
    </w:pPr>
    <w:rPr>
      <w:color w:val="000000"/>
      <w:sz w:val="18"/>
      <w:szCs w:val="18"/>
    </w:rPr>
  </w:style>
  <w:style w:type="paragraph" w:customStyle="1" w:styleId="xl161">
    <w:name w:val="xl161"/>
    <w:basedOn w:val="Normal"/>
    <w:rsid w:val="008B4898"/>
    <w:pPr>
      <w:widowControl/>
      <w:autoSpaceDE/>
      <w:autoSpaceDN/>
      <w:adjustRightInd/>
      <w:spacing w:before="100" w:beforeAutospacing="1" w:after="100" w:afterAutospacing="1"/>
      <w:jc w:val="center"/>
      <w:textAlignment w:val="center"/>
    </w:pPr>
    <w:rPr>
      <w:color w:val="000000"/>
      <w:sz w:val="18"/>
      <w:szCs w:val="18"/>
    </w:rPr>
  </w:style>
  <w:style w:type="paragraph" w:customStyle="1" w:styleId="xl162">
    <w:name w:val="xl162"/>
    <w:basedOn w:val="Normal"/>
    <w:rsid w:val="008B4898"/>
    <w:pPr>
      <w:widowControl/>
      <w:autoSpaceDE/>
      <w:autoSpaceDN/>
      <w:adjustRightInd/>
      <w:spacing w:before="100" w:beforeAutospacing="1" w:after="100" w:afterAutospacing="1"/>
      <w:jc w:val="center"/>
      <w:textAlignment w:val="center"/>
    </w:pPr>
    <w:rPr>
      <w:color w:val="000000"/>
      <w:sz w:val="18"/>
      <w:szCs w:val="18"/>
    </w:rPr>
  </w:style>
  <w:style w:type="paragraph" w:customStyle="1" w:styleId="xl163">
    <w:name w:val="xl163"/>
    <w:basedOn w:val="Normal"/>
    <w:rsid w:val="008B4898"/>
    <w:pPr>
      <w:widowControl/>
      <w:autoSpaceDE/>
      <w:autoSpaceDN/>
      <w:adjustRightInd/>
      <w:spacing w:before="100" w:beforeAutospacing="1" w:after="100" w:afterAutospacing="1"/>
      <w:jc w:val="center"/>
      <w:textAlignment w:val="center"/>
    </w:pPr>
    <w:rPr>
      <w:color w:val="000000"/>
      <w:sz w:val="18"/>
      <w:szCs w:val="18"/>
    </w:rPr>
  </w:style>
  <w:style w:type="paragraph" w:customStyle="1" w:styleId="xl164">
    <w:name w:val="xl164"/>
    <w:basedOn w:val="Normal"/>
    <w:rsid w:val="008B4898"/>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color w:val="000000"/>
      <w:sz w:val="18"/>
      <w:szCs w:val="18"/>
    </w:rPr>
  </w:style>
  <w:style w:type="paragraph" w:customStyle="1" w:styleId="xl165">
    <w:name w:val="xl165"/>
    <w:basedOn w:val="Normal"/>
    <w:rsid w:val="008B4898"/>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color w:val="000000"/>
      <w:sz w:val="18"/>
      <w:szCs w:val="18"/>
    </w:rPr>
  </w:style>
  <w:style w:type="paragraph" w:customStyle="1" w:styleId="xl166">
    <w:name w:val="xl166"/>
    <w:basedOn w:val="Normal"/>
    <w:rsid w:val="008B4898"/>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color w:val="000000"/>
      <w:sz w:val="18"/>
      <w:szCs w:val="18"/>
    </w:rPr>
  </w:style>
  <w:style w:type="paragraph" w:customStyle="1" w:styleId="xl167">
    <w:name w:val="xl167"/>
    <w:basedOn w:val="Normal"/>
    <w:rsid w:val="008B4898"/>
    <w:pPr>
      <w:widowControl/>
      <w:pBdr>
        <w:top w:val="single" w:sz="8"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color w:val="000000"/>
      <w:sz w:val="18"/>
      <w:szCs w:val="18"/>
    </w:rPr>
  </w:style>
  <w:style w:type="paragraph" w:customStyle="1" w:styleId="xl168">
    <w:name w:val="xl168"/>
    <w:basedOn w:val="Normal"/>
    <w:rsid w:val="008B4898"/>
    <w:pPr>
      <w:widowControl/>
      <w:pBdr>
        <w:top w:val="single" w:sz="8" w:space="0" w:color="auto"/>
        <w:bottom w:val="single" w:sz="8" w:space="0" w:color="auto"/>
      </w:pBdr>
      <w:autoSpaceDE/>
      <w:autoSpaceDN/>
      <w:adjustRightInd/>
      <w:spacing w:before="100" w:beforeAutospacing="1" w:after="100" w:afterAutospacing="1"/>
      <w:jc w:val="center"/>
      <w:textAlignment w:val="center"/>
    </w:pPr>
    <w:rPr>
      <w:b/>
      <w:bCs/>
      <w:color w:val="000000"/>
      <w:sz w:val="18"/>
      <w:szCs w:val="18"/>
    </w:rPr>
  </w:style>
  <w:style w:type="paragraph" w:customStyle="1" w:styleId="xl169">
    <w:name w:val="xl169"/>
    <w:basedOn w:val="Normal"/>
    <w:rsid w:val="008B4898"/>
    <w:pPr>
      <w:widowControl/>
      <w:pBdr>
        <w:top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00985">
      <w:bodyDiv w:val="1"/>
      <w:marLeft w:val="0"/>
      <w:marRight w:val="0"/>
      <w:marTop w:val="0"/>
      <w:marBottom w:val="0"/>
      <w:divBdr>
        <w:top w:val="none" w:sz="0" w:space="0" w:color="auto"/>
        <w:left w:val="none" w:sz="0" w:space="0" w:color="auto"/>
        <w:bottom w:val="none" w:sz="0" w:space="0" w:color="auto"/>
        <w:right w:val="none" w:sz="0" w:space="0" w:color="auto"/>
      </w:divBdr>
    </w:div>
    <w:div w:id="889264082">
      <w:bodyDiv w:val="1"/>
      <w:marLeft w:val="0"/>
      <w:marRight w:val="0"/>
      <w:marTop w:val="0"/>
      <w:marBottom w:val="0"/>
      <w:divBdr>
        <w:top w:val="none" w:sz="0" w:space="0" w:color="auto"/>
        <w:left w:val="none" w:sz="0" w:space="0" w:color="auto"/>
        <w:bottom w:val="none" w:sz="0" w:space="0" w:color="auto"/>
        <w:right w:val="none" w:sz="0" w:space="0" w:color="auto"/>
      </w:divBdr>
    </w:div>
    <w:div w:id="1024791469">
      <w:bodyDiv w:val="1"/>
      <w:marLeft w:val="0"/>
      <w:marRight w:val="0"/>
      <w:marTop w:val="0"/>
      <w:marBottom w:val="0"/>
      <w:divBdr>
        <w:top w:val="none" w:sz="0" w:space="0" w:color="auto"/>
        <w:left w:val="none" w:sz="0" w:space="0" w:color="auto"/>
        <w:bottom w:val="none" w:sz="0" w:space="0" w:color="auto"/>
        <w:right w:val="none" w:sz="0" w:space="0" w:color="auto"/>
      </w:divBdr>
    </w:div>
    <w:div w:id="195181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C6E7C9108470409868AFD661107E3B" ma:contentTypeVersion="" ma:contentTypeDescription="Create a new document." ma:contentTypeScope="" ma:versionID="56be38c69d940493d00550fa6a0e7cc2">
  <xsd:schema xmlns:xsd="http://www.w3.org/2001/XMLSchema" xmlns:xs="http://www.w3.org/2001/XMLSchema" xmlns:p="http://schemas.microsoft.com/office/2006/metadata/properties" targetNamespace="http://schemas.microsoft.com/office/2006/metadata/properties" ma:root="true" ma:fieldsID="09c34520ff7b78b8939da045ead5dd0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D913E-EE20-4B34-A7F7-A7E411A180D2}">
  <ds:schemaRefs>
    <ds:schemaRef ds:uri="http://schemas.microsoft.com/sharepoint/v3/contenttype/forms"/>
  </ds:schemaRefs>
</ds:datastoreItem>
</file>

<file path=customXml/itemProps2.xml><?xml version="1.0" encoding="utf-8"?>
<ds:datastoreItem xmlns:ds="http://schemas.openxmlformats.org/officeDocument/2006/customXml" ds:itemID="{A63FDFC5-9705-4FC0-BAD9-A1BD6FE08DF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A37D3F1-5043-44F2-997D-6874DDAEE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ADA465A-962C-403F-94FF-5F9311BDC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8484</Words>
  <Characters>45844</Characters>
  <Application>Microsoft Office Word</Application>
  <DocSecurity>0</DocSecurity>
  <Lines>382</Lines>
  <Paragraphs>108</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54220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Mitch Bryman</cp:lastModifiedBy>
  <cp:revision>2</cp:revision>
  <cp:lastPrinted>2016-09-21T14:02:00Z</cp:lastPrinted>
  <dcterms:created xsi:type="dcterms:W3CDTF">2016-09-21T16:29:00Z</dcterms:created>
  <dcterms:modified xsi:type="dcterms:W3CDTF">2016-09-21T16:29:00Z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2036130661</vt:i4>
  </property>
  <property fmtid="{D5CDD505-2E9C-101B-9397-08002B2CF9AE}" pid="4" name="_EmailSubject">
    <vt:lpwstr>OMB Action Needed - CMS-10553 (OMB 0938-1281) State Review of Accreditation Status, Medicaid Managed Care Quality Rating System, and Quality Strategy (QS) and Supporting Regulations</vt:lpwstr>
  </property>
  <property fmtid="{D5CDD505-2E9C-101B-9397-08002B2CF9AE}" pid="5" name="_AuthorEmail">
    <vt:lpwstr>Heather.Hostetler@cms.hhs.gov</vt:lpwstr>
  </property>
  <property fmtid="{D5CDD505-2E9C-101B-9397-08002B2CF9AE}" pid="6" name="_AuthorEmailDisplayName">
    <vt:lpwstr>Hostetler, Heather C. (CMS/CMCS)</vt:lpwstr>
  </property>
  <property fmtid="{D5CDD505-2E9C-101B-9397-08002B2CF9AE}" pid="7" name="_PreviousAdHocReviewCycleID">
    <vt:i4>147711855</vt:i4>
  </property>
</Properties>
</file>