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3777B">
      <w:pPr>
        <w:pStyle w:val="Title"/>
        <w:rPr>
          <w:color w:val="000000"/>
        </w:rPr>
      </w:pPr>
      <w:r>
        <w:rPr>
          <w:color w:val="000000"/>
        </w:rPr>
        <w:t>INTRODUCTION</w:t>
      </w:r>
    </w:p>
    <w:p w:rsidR="00000000" w:rsidRDefault="0033777B">
      <w:pPr>
        <w:pStyle w:val="Title"/>
        <w:rPr>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 xml:space="preserve">This User Guide is designed to assist lenders using the Federal Housing Administration’s (FHA) </w:t>
      </w:r>
      <w:r>
        <w:rPr>
          <w:rFonts w:ascii="Times New Roman" w:hAnsi="Times New Roman"/>
          <w:i/>
          <w:color w:val="000000"/>
        </w:rPr>
        <w:t>Technology Open To Approved Lenders</w:t>
      </w:r>
      <w:r>
        <w:rPr>
          <w:rFonts w:ascii="Times New Roman" w:hAnsi="Times New Roman"/>
          <w:color w:val="000000"/>
        </w:rPr>
        <w:t xml:space="preserve"> (TOTAL) Mortgage Scorecard deployed in conjunction with various automated underwriting systems (AUS).  FHA’s TO</w:t>
      </w:r>
      <w:r>
        <w:rPr>
          <w:rFonts w:ascii="Times New Roman" w:hAnsi="Times New Roman"/>
          <w:color w:val="000000"/>
        </w:rPr>
        <w:t>TAL Mortgage Scorecard evaluates the overall creditworthiness of the applicants based on a number of credit variables and, when combined with the functionalities of the AUS, indicates a recommended level of underwriting and documentation to determine a loa</w:t>
      </w:r>
      <w:r>
        <w:rPr>
          <w:rFonts w:ascii="Times New Roman" w:hAnsi="Times New Roman"/>
          <w:color w:val="000000"/>
        </w:rPr>
        <w:t>n’s eligibility for insurance by FHA.  Taken together, TOTAL and the AUS either conclude that the borrowers’ credit and capacity for repayment of the mortgage are acceptable or will refer the loan application to a Direct Endorsement (DE) underwriter for fu</w:t>
      </w:r>
      <w:r>
        <w:rPr>
          <w:rFonts w:ascii="Times New Roman" w:hAnsi="Times New Roman"/>
          <w:color w:val="000000"/>
        </w:rPr>
        <w:t>rther consideration and review.  It is FHA’s policy that no borrower be denied a FHA-insured mortgage solely on the basis of a risk assessment generated by the TOTAL mortgage scorecard.</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The mortgage credit portion of loan applications that receive an acce</w:t>
      </w:r>
      <w:r>
        <w:rPr>
          <w:rFonts w:ascii="Times New Roman" w:hAnsi="Times New Roman"/>
          <w:color w:val="000000"/>
        </w:rPr>
        <w:t>pt or approve recommendation (competing AUSs may use either term) need not be reviewed by a DE underwriter, and neither the mortgage credit analysis worksheet nor the DE Approval (HUD-92900-A, page 3) need indicate the individual underwriter’s Computerized</w:t>
      </w:r>
      <w:r>
        <w:rPr>
          <w:rFonts w:ascii="Times New Roman" w:hAnsi="Times New Roman"/>
          <w:color w:val="000000"/>
        </w:rPr>
        <w:t xml:space="preserve"> Homes Underwriting Management System (CHUMS) identification number.  Instead, these documents will show the identification number assigned by FHA for its TOTAL Mortgage Scorecard and provide feedback to the lender.  A DE underwriter must underwrite the ap</w:t>
      </w:r>
      <w:r>
        <w:rPr>
          <w:rFonts w:ascii="Times New Roman" w:hAnsi="Times New Roman"/>
          <w:color w:val="000000"/>
        </w:rPr>
        <w:t>praisal according to standard FHA requirements regardless of the mortgage credit risk score determined by the scorecard.</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Each AUS using FHA’s Mortgage Scorecard produces a document that provides feedback to the lender.  The feedback document upon which th</w:t>
      </w:r>
      <w:r>
        <w:rPr>
          <w:rFonts w:ascii="Times New Roman" w:hAnsi="Times New Roman"/>
          <w:color w:val="000000"/>
        </w:rPr>
        <w:t>e lender makes its credit decision (typically, the result from the last scoring event) must be included in the binder submitted to FHA for insurance purposes even if the loan application is referred to a DE underwriter for manual underwriting.  It is to be</w:t>
      </w:r>
      <w:r>
        <w:rPr>
          <w:rFonts w:ascii="Times New Roman" w:hAnsi="Times New Roman"/>
          <w:color w:val="000000"/>
        </w:rPr>
        <w:t xml:space="preserve"> placed on the right-hand side of the endorsement binder, top sheets.  </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Regardless of the risk assessment provided, the lender remains accountable for compliance with FHA eligibility requirements, as well as for any credit, capacity, and documentation req</w:t>
      </w:r>
      <w:r>
        <w:rPr>
          <w:rFonts w:ascii="Times New Roman" w:hAnsi="Times New Roman"/>
          <w:color w:val="000000"/>
        </w:rPr>
        <w:t>uirements not covered in this user guide.  A registered DE underwriter must fully underwrite those applications where the AUS refers the loan application to an underwriter for review and comply with the underwriting requirements described in Handbook HUD 4</w:t>
      </w:r>
      <w:r>
        <w:rPr>
          <w:rFonts w:ascii="Times New Roman" w:hAnsi="Times New Roman"/>
          <w:color w:val="000000"/>
        </w:rPr>
        <w:t>155.1 REV-5, Mortgage Credit Analysis, and applicable mortgagee letters and other policy directives.</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Chapter 1 of this User Guide describes the process for submitting loans, the programs and property types eligible for risk assessment by FHA’s Mortgage Sc</w:t>
      </w:r>
      <w:r>
        <w:rPr>
          <w:rFonts w:ascii="Times New Roman" w:hAnsi="Times New Roman"/>
          <w:color w:val="000000"/>
        </w:rPr>
        <w:t>orecard, and data integrity issues.  Chapter 2 describes underwriting issues and contrasts the documentation requirements between loans rated as accept/approve and those rated as refer, and details system overrides and manual downgrades.  Chapter 3 briefly</w:t>
      </w:r>
      <w:r>
        <w:rPr>
          <w:rFonts w:ascii="Times New Roman" w:hAnsi="Times New Roman"/>
          <w:color w:val="000000"/>
        </w:rPr>
        <w:t xml:space="preserve"> describes mortgage endorsement procedures.</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b/>
          <w:color w:val="000000"/>
        </w:rPr>
      </w:pPr>
      <w:r>
        <w:rPr>
          <w:rFonts w:ascii="Times New Roman" w:hAnsi="Times New Roman"/>
          <w:b/>
          <w:color w:val="000000"/>
        </w:rPr>
        <w:lastRenderedPageBreak/>
        <w:t xml:space="preserve">Summary of Credit Policy Revisions and Documentation Reductions  </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 xml:space="preserve">As described in greater detail in Chapter 2 in this guide, borrowers </w:t>
      </w:r>
      <w:r>
        <w:rPr>
          <w:rFonts w:ascii="Times New Roman" w:hAnsi="Times New Roman"/>
          <w:i/>
          <w:color w:val="000000"/>
        </w:rPr>
        <w:t>may</w:t>
      </w:r>
      <w:r>
        <w:rPr>
          <w:rFonts w:ascii="Times New Roman" w:hAnsi="Times New Roman"/>
          <w:color w:val="000000"/>
        </w:rPr>
        <w:t xml:space="preserve"> be eligible for some or all of the reduced documentation and credit p</w:t>
      </w:r>
      <w:r>
        <w:rPr>
          <w:rFonts w:ascii="Times New Roman" w:hAnsi="Times New Roman"/>
          <w:color w:val="000000"/>
        </w:rPr>
        <w:t>olicy revisions in the following categories, depending on the risk class of the mortgage.  Most of the credit policy revisions to the underwriting requirements of the mortgage credit analysis handbook and documentation reductions are available only on loan</w:t>
      </w:r>
      <w:r>
        <w:rPr>
          <w:rFonts w:ascii="Times New Roman" w:hAnsi="Times New Roman"/>
          <w:color w:val="000000"/>
        </w:rPr>
        <w:t>s scored as accept or approve.</w:t>
      </w:r>
    </w:p>
    <w:p w:rsidR="00000000" w:rsidRDefault="0033777B">
      <w:pPr>
        <w:tabs>
          <w:tab w:val="center" w:pos="4590"/>
        </w:tabs>
        <w:suppressAutoHyphens/>
        <w:rPr>
          <w:rFonts w:ascii="Times New Roman" w:hAnsi="Times New Roman"/>
          <w:color w:val="000000"/>
        </w:rPr>
      </w:pPr>
    </w:p>
    <w:p w:rsidR="00000000" w:rsidRDefault="0033777B">
      <w:pPr>
        <w:pStyle w:val="EndnoteText"/>
        <w:tabs>
          <w:tab w:val="center" w:pos="4590"/>
        </w:tabs>
        <w:suppressAutoHyphens/>
        <w:rPr>
          <w:rFonts w:ascii="Times New Roman" w:hAnsi="Times New Roman"/>
          <w:color w:val="000000"/>
          <w:szCs w:val="22"/>
        </w:rPr>
      </w:pPr>
      <w:r>
        <w:rPr>
          <w:rFonts w:ascii="Times New Roman" w:hAnsi="Times New Roman"/>
          <w:color w:val="000000"/>
          <w:szCs w:val="22"/>
        </w:rPr>
        <w:t>For ease of reading, we have chosen to use “lender” in lieu of “mortgagee” throughout this user guide.  However, lender is to be interpreted as a FHA-approved mortgagee as described in 24 CFR § 202.10.</w:t>
      </w:r>
    </w:p>
    <w:p w:rsidR="00000000" w:rsidRDefault="0033777B">
      <w:pPr>
        <w:tabs>
          <w:tab w:val="center" w:pos="4590"/>
        </w:tabs>
        <w:suppressAutoHyphens/>
        <w:rPr>
          <w:rFonts w:ascii="Times New Roman" w:hAnsi="Times New Roman"/>
          <w:color w:val="000000"/>
          <w:sz w:val="28"/>
        </w:rPr>
      </w:pPr>
      <w:r>
        <w:rPr>
          <w:rFonts w:ascii="Times New Roman" w:hAnsi="Times New Roman"/>
          <w:b/>
          <w:color w:val="000000"/>
          <w:sz w:val="28"/>
        </w:rPr>
        <w:br w:type="page"/>
      </w:r>
      <w:r>
        <w:rPr>
          <w:rFonts w:ascii="Times New Roman" w:hAnsi="Times New Roman"/>
          <w:b/>
          <w:color w:val="000000"/>
          <w:sz w:val="28"/>
        </w:rPr>
        <w:lastRenderedPageBreak/>
        <w:tab/>
        <w:t>CHAPTER 1</w:t>
      </w:r>
    </w:p>
    <w:p w:rsidR="00000000" w:rsidRDefault="0033777B">
      <w:pPr>
        <w:tabs>
          <w:tab w:val="center" w:pos="4590"/>
        </w:tabs>
        <w:suppressAutoHyphens/>
        <w:rPr>
          <w:rFonts w:ascii="Times New Roman" w:hAnsi="Times New Roman"/>
          <w:b/>
          <w:color w:val="000000"/>
          <w:sz w:val="28"/>
        </w:rPr>
      </w:pPr>
    </w:p>
    <w:p w:rsidR="00000000" w:rsidRDefault="0033777B">
      <w:pPr>
        <w:tabs>
          <w:tab w:val="center" w:pos="4590"/>
        </w:tabs>
        <w:suppressAutoHyphens/>
        <w:rPr>
          <w:rFonts w:ascii="Times New Roman" w:hAnsi="Times New Roman"/>
          <w:color w:val="000000"/>
          <w:sz w:val="28"/>
        </w:rPr>
      </w:pPr>
      <w:r>
        <w:rPr>
          <w:rFonts w:ascii="Times New Roman" w:hAnsi="Times New Roman"/>
          <w:b/>
          <w:color w:val="000000"/>
          <w:sz w:val="28"/>
        </w:rPr>
        <w:tab/>
      </w:r>
      <w:r>
        <w:rPr>
          <w:rFonts w:ascii="Times New Roman" w:hAnsi="Times New Roman"/>
          <w:b/>
          <w:color w:val="000000"/>
          <w:sz w:val="28"/>
          <w:u w:val="single"/>
        </w:rPr>
        <w:t>LOAN SUB</w:t>
      </w:r>
      <w:r>
        <w:rPr>
          <w:rFonts w:ascii="Times New Roman" w:hAnsi="Times New Roman"/>
          <w:b/>
          <w:color w:val="000000"/>
          <w:sz w:val="28"/>
          <w:u w:val="single"/>
        </w:rPr>
        <w:t>MISSION REQUIREMENTS</w:t>
      </w:r>
    </w:p>
    <w:p w:rsidR="00000000" w:rsidRDefault="0033777B">
      <w:pPr>
        <w:pBdr>
          <w:bottom w:val="single" w:sz="6" w:space="1" w:color="auto"/>
        </w:pBdr>
        <w:tabs>
          <w:tab w:val="left" w:pos="1530"/>
        </w:tabs>
        <w:rPr>
          <w:rFonts w:ascii="Times New Roman" w:hAnsi="Times New Roman"/>
          <w:color w:val="000000"/>
        </w:rPr>
      </w:pPr>
    </w:p>
    <w:p w:rsidR="00000000" w:rsidRDefault="0033777B">
      <w:pPr>
        <w:tabs>
          <w:tab w:val="left" w:pos="1530"/>
        </w:tabs>
        <w:rPr>
          <w:rFonts w:ascii="Times New Roman" w:hAnsi="Times New Roman"/>
          <w:color w:val="000000"/>
        </w:rPr>
      </w:pPr>
    </w:p>
    <w:p w:rsidR="00000000" w:rsidRDefault="0033777B">
      <w:pPr>
        <w:tabs>
          <w:tab w:val="left" w:pos="1530"/>
        </w:tabs>
        <w:rPr>
          <w:rFonts w:ascii="Times New Roman" w:hAnsi="Times New Roman"/>
          <w:color w:val="000000"/>
        </w:rPr>
      </w:pPr>
      <w:r>
        <w:rPr>
          <w:rFonts w:ascii="Times New Roman" w:hAnsi="Times New Roman"/>
          <w:color w:val="000000"/>
        </w:rPr>
        <w:t xml:space="preserve">The Loan Origination System (LOS) being used, as well as the AUS vendor or platform, will determine the manner in which data are entered into the AUS, including the field names, which may vary across systems.  The instructions below </w:t>
      </w:r>
      <w:r>
        <w:rPr>
          <w:rFonts w:ascii="Times New Roman" w:hAnsi="Times New Roman"/>
          <w:color w:val="000000"/>
        </w:rPr>
        <w:t>are designed to provide lenders with basic information on FHA standards and definitions.</w:t>
      </w:r>
    </w:p>
    <w:p w:rsidR="00000000" w:rsidRDefault="0033777B">
      <w:pPr>
        <w:pBdr>
          <w:bottom w:val="single" w:sz="6" w:space="1" w:color="auto"/>
        </w:pBdr>
        <w:tabs>
          <w:tab w:val="left" w:pos="1440"/>
        </w:tabs>
        <w:rPr>
          <w:rFonts w:ascii="Times New Roman" w:hAnsi="Times New Roman"/>
          <w:color w:val="000000"/>
        </w:rPr>
      </w:pPr>
    </w:p>
    <w:p w:rsidR="00000000" w:rsidRDefault="0033777B">
      <w:pPr>
        <w:pBdr>
          <w:bottom w:val="single" w:sz="6" w:space="1" w:color="auto"/>
        </w:pBdr>
        <w:tabs>
          <w:tab w:val="left" w:pos="1440"/>
        </w:tabs>
        <w:rPr>
          <w:rFonts w:ascii="Times New Roman" w:hAnsi="Times New Roman"/>
          <w:color w:val="000000"/>
        </w:rPr>
      </w:pPr>
      <w:r>
        <w:rPr>
          <w:rFonts w:ascii="Times New Roman" w:hAnsi="Times New Roman"/>
          <w:color w:val="000000"/>
        </w:rPr>
        <w:t>Please note that although all of the following products and programs are eligible for risk assessment using FHA’s TOTAL Mortgage Scorecard, it is possible that not al</w:t>
      </w:r>
      <w:r>
        <w:rPr>
          <w:rFonts w:ascii="Times New Roman" w:hAnsi="Times New Roman"/>
          <w:color w:val="000000"/>
        </w:rPr>
        <w:t>l are supported by the AUS.  Mortgage lenders will need to check the AUS vendor’s user guide for details.  The AUS’s proprietary user guide will provide the requirements for data input specific to that AUS.</w:t>
      </w:r>
    </w:p>
    <w:p w:rsidR="00000000" w:rsidRDefault="0033777B">
      <w:pPr>
        <w:pBdr>
          <w:bottom w:val="single" w:sz="6" w:space="1" w:color="auto"/>
        </w:pBdr>
        <w:tabs>
          <w:tab w:val="left" w:pos="1440"/>
        </w:tabs>
        <w:rPr>
          <w:rFonts w:ascii="Times New Roman" w:hAnsi="Times New Roman"/>
          <w:color w:val="000000"/>
        </w:rPr>
      </w:pP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b/>
          <w:color w:val="000000"/>
        </w:rPr>
        <w:t>Property and Program Eligibility</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To obtain a c</w:t>
      </w:r>
      <w:r>
        <w:rPr>
          <w:rFonts w:ascii="Times New Roman" w:hAnsi="Times New Roman"/>
          <w:color w:val="000000"/>
        </w:rPr>
        <w:t>redit risk assessment from FHA’s TOTAL Mortgage Scorecard, the loan must meet the following FHA eligibility criteria:</w:t>
      </w:r>
    </w:p>
    <w:p w:rsidR="00000000" w:rsidRDefault="0033777B">
      <w:pPr>
        <w:rPr>
          <w:rFonts w:ascii="Times New Roman" w:hAnsi="Times New Roman"/>
          <w:color w:val="000000"/>
        </w:rPr>
      </w:pPr>
    </w:p>
    <w:p w:rsidR="00000000" w:rsidRDefault="0033777B">
      <w:pPr>
        <w:numPr>
          <w:ilvl w:val="0"/>
          <w:numId w:val="2"/>
        </w:numPr>
        <w:rPr>
          <w:rFonts w:ascii="Times New Roman" w:hAnsi="Times New Roman"/>
          <w:color w:val="000000"/>
        </w:rPr>
      </w:pPr>
      <w:r>
        <w:rPr>
          <w:rFonts w:ascii="Times New Roman" w:hAnsi="Times New Roman"/>
          <w:b/>
          <w:color w:val="000000"/>
        </w:rPr>
        <w:t>Loan Purpose</w:t>
      </w:r>
    </w:p>
    <w:p w:rsidR="00000000" w:rsidRDefault="0033777B">
      <w:pPr>
        <w:numPr>
          <w:ilvl w:val="0"/>
          <w:numId w:val="2"/>
        </w:numPr>
        <w:ind w:left="1080"/>
        <w:rPr>
          <w:rFonts w:ascii="Times New Roman" w:hAnsi="Times New Roman"/>
          <w:color w:val="000000"/>
        </w:rPr>
      </w:pPr>
      <w:r>
        <w:rPr>
          <w:rFonts w:ascii="Times New Roman" w:hAnsi="Times New Roman"/>
          <w:color w:val="000000"/>
        </w:rPr>
        <w:t>Purchase Money Mortgage</w:t>
      </w:r>
    </w:p>
    <w:p w:rsidR="00000000" w:rsidRDefault="0033777B">
      <w:pPr>
        <w:numPr>
          <w:ilvl w:val="0"/>
          <w:numId w:val="2"/>
        </w:numPr>
        <w:ind w:left="1080"/>
        <w:rPr>
          <w:rFonts w:ascii="Times New Roman" w:hAnsi="Times New Roman"/>
          <w:color w:val="000000"/>
        </w:rPr>
      </w:pPr>
      <w:r>
        <w:rPr>
          <w:rFonts w:ascii="Times New Roman" w:hAnsi="Times New Roman"/>
          <w:color w:val="000000"/>
        </w:rPr>
        <w:t>Construction-to-Permanent Mortgages</w:t>
      </w:r>
    </w:p>
    <w:p w:rsidR="00000000" w:rsidRDefault="0033777B">
      <w:pPr>
        <w:numPr>
          <w:ilvl w:val="0"/>
          <w:numId w:val="2"/>
        </w:numPr>
        <w:ind w:left="1080"/>
        <w:rPr>
          <w:rFonts w:ascii="Times New Roman" w:hAnsi="Times New Roman"/>
          <w:color w:val="000000"/>
        </w:rPr>
      </w:pPr>
      <w:r>
        <w:rPr>
          <w:rFonts w:ascii="Times New Roman" w:hAnsi="Times New Roman"/>
          <w:color w:val="000000"/>
        </w:rPr>
        <w:t>Regular Refinance with Credit Qualifying</w:t>
      </w:r>
    </w:p>
    <w:p w:rsidR="00000000" w:rsidRDefault="0033777B">
      <w:pPr>
        <w:numPr>
          <w:ilvl w:val="0"/>
          <w:numId w:val="2"/>
        </w:numPr>
        <w:ind w:left="1080"/>
        <w:rPr>
          <w:rFonts w:ascii="Times New Roman" w:hAnsi="Times New Roman"/>
          <w:color w:val="000000"/>
        </w:rPr>
      </w:pPr>
      <w:r>
        <w:rPr>
          <w:rFonts w:ascii="Times New Roman" w:hAnsi="Times New Roman"/>
          <w:color w:val="000000"/>
        </w:rPr>
        <w:t xml:space="preserve">Cash-Out Refinances up </w:t>
      </w:r>
      <w:r>
        <w:rPr>
          <w:rFonts w:ascii="Times New Roman" w:hAnsi="Times New Roman"/>
          <w:color w:val="000000"/>
        </w:rPr>
        <w:t>to 85 percent of the appraised value</w:t>
      </w:r>
    </w:p>
    <w:p w:rsidR="00000000" w:rsidRDefault="0033777B">
      <w:pPr>
        <w:numPr>
          <w:ilvl w:val="0"/>
          <w:numId w:val="2"/>
        </w:numPr>
        <w:ind w:left="1080"/>
        <w:rPr>
          <w:rFonts w:ascii="Times New Roman" w:hAnsi="Times New Roman"/>
          <w:color w:val="000000"/>
        </w:rPr>
      </w:pPr>
      <w:r>
        <w:rPr>
          <w:rFonts w:ascii="Times New Roman" w:hAnsi="Times New Roman"/>
          <w:color w:val="000000"/>
        </w:rPr>
        <w:t>Streamline Refinance (both credit qualifying and non-credit qualifying, provided sufficient data is entered and verified to obtain a risk analysis)</w:t>
      </w:r>
    </w:p>
    <w:p w:rsidR="00000000" w:rsidRDefault="0033777B">
      <w:pPr>
        <w:numPr>
          <w:ilvl w:val="0"/>
          <w:numId w:val="2"/>
        </w:numPr>
        <w:ind w:left="1080"/>
        <w:rPr>
          <w:rFonts w:ascii="Times New Roman" w:hAnsi="Times New Roman"/>
          <w:color w:val="000000"/>
        </w:rPr>
      </w:pPr>
      <w:r>
        <w:rPr>
          <w:rFonts w:ascii="Times New Roman" w:hAnsi="Times New Roman"/>
          <w:color w:val="000000"/>
        </w:rPr>
        <w:t>Credit Qualifying Assumptions</w:t>
      </w:r>
    </w:p>
    <w:p w:rsidR="00000000" w:rsidRDefault="0033777B">
      <w:pPr>
        <w:numPr>
          <w:ilvl w:val="12"/>
          <w:numId w:val="0"/>
        </w:numPr>
        <w:ind w:left="1080" w:hanging="360"/>
        <w:rPr>
          <w:rFonts w:ascii="Times New Roman" w:hAnsi="Times New Roman"/>
          <w:color w:val="000000"/>
        </w:rPr>
      </w:pPr>
    </w:p>
    <w:p w:rsidR="00000000" w:rsidRDefault="0033777B">
      <w:pPr>
        <w:numPr>
          <w:ilvl w:val="0"/>
          <w:numId w:val="2"/>
        </w:numPr>
        <w:rPr>
          <w:rFonts w:ascii="Times New Roman" w:hAnsi="Times New Roman"/>
          <w:color w:val="000000"/>
        </w:rPr>
      </w:pPr>
      <w:r>
        <w:rPr>
          <w:rFonts w:ascii="Times New Roman" w:hAnsi="Times New Roman"/>
          <w:b/>
          <w:color w:val="000000"/>
        </w:rPr>
        <w:t>FHA Insurance Product</w:t>
      </w:r>
    </w:p>
    <w:p w:rsidR="00000000" w:rsidRDefault="0033777B">
      <w:pPr>
        <w:numPr>
          <w:ilvl w:val="0"/>
          <w:numId w:val="2"/>
        </w:numPr>
        <w:ind w:left="1080"/>
        <w:rPr>
          <w:rFonts w:ascii="Times New Roman" w:hAnsi="Times New Roman"/>
          <w:color w:val="000000"/>
        </w:rPr>
      </w:pPr>
      <w:r>
        <w:rPr>
          <w:rFonts w:ascii="Times New Roman" w:hAnsi="Times New Roman"/>
          <w:color w:val="000000"/>
        </w:rPr>
        <w:t xml:space="preserve">203(b)---Standard </w:t>
      </w:r>
      <w:r>
        <w:rPr>
          <w:rFonts w:ascii="Times New Roman" w:hAnsi="Times New Roman"/>
          <w:color w:val="000000"/>
        </w:rPr>
        <w:t>FHA product for detached dwellings</w:t>
      </w:r>
    </w:p>
    <w:p w:rsidR="00000000" w:rsidRDefault="0033777B">
      <w:pPr>
        <w:numPr>
          <w:ilvl w:val="0"/>
          <w:numId w:val="2"/>
        </w:numPr>
        <w:ind w:left="1080"/>
        <w:rPr>
          <w:rFonts w:ascii="Times New Roman" w:hAnsi="Times New Roman"/>
          <w:color w:val="000000"/>
        </w:rPr>
      </w:pPr>
      <w:r>
        <w:rPr>
          <w:rFonts w:ascii="Times New Roman" w:hAnsi="Times New Roman"/>
          <w:color w:val="000000"/>
        </w:rPr>
        <w:t>203(h)---Mortgages for Disaster Victims</w:t>
      </w:r>
    </w:p>
    <w:p w:rsidR="00000000" w:rsidRDefault="0033777B">
      <w:pPr>
        <w:numPr>
          <w:ilvl w:val="0"/>
          <w:numId w:val="2"/>
        </w:numPr>
        <w:ind w:left="1080"/>
        <w:rPr>
          <w:rFonts w:ascii="Times New Roman" w:hAnsi="Times New Roman"/>
          <w:color w:val="000000"/>
        </w:rPr>
      </w:pPr>
      <w:r>
        <w:rPr>
          <w:rFonts w:ascii="Times New Roman" w:hAnsi="Times New Roman"/>
          <w:color w:val="000000"/>
        </w:rPr>
        <w:t>234(c)---Unit Mortgages in Condominium Projects</w:t>
      </w:r>
    </w:p>
    <w:p w:rsidR="00000000" w:rsidRDefault="0033777B">
      <w:pPr>
        <w:numPr>
          <w:ilvl w:val="0"/>
          <w:numId w:val="2"/>
        </w:numPr>
        <w:ind w:left="1080"/>
        <w:rPr>
          <w:rFonts w:ascii="Times New Roman" w:hAnsi="Times New Roman"/>
          <w:color w:val="000000"/>
        </w:rPr>
      </w:pPr>
      <w:r>
        <w:rPr>
          <w:rFonts w:ascii="Times New Roman" w:hAnsi="Times New Roman"/>
          <w:color w:val="000000"/>
        </w:rPr>
        <w:t>203(k)---Rehabilitation Mortgage Insurance</w:t>
      </w:r>
    </w:p>
    <w:p w:rsidR="00000000" w:rsidRDefault="0033777B">
      <w:pPr>
        <w:numPr>
          <w:ilvl w:val="0"/>
          <w:numId w:val="2"/>
        </w:numPr>
        <w:ind w:left="1080"/>
        <w:rPr>
          <w:rFonts w:ascii="Times New Roman" w:hAnsi="Times New Roman"/>
          <w:color w:val="000000"/>
        </w:rPr>
      </w:pPr>
      <w:r>
        <w:rPr>
          <w:rFonts w:ascii="Times New Roman" w:hAnsi="Times New Roman"/>
          <w:color w:val="000000"/>
        </w:rPr>
        <w:t xml:space="preserve">251---Adjustable Rate Mortgages (ARMs) on single family Detached and Condominium Units </w:t>
      </w:r>
    </w:p>
    <w:p w:rsidR="00000000" w:rsidRDefault="0033777B">
      <w:pPr>
        <w:numPr>
          <w:ilvl w:val="0"/>
          <w:numId w:val="2"/>
        </w:numPr>
        <w:ind w:left="1080"/>
        <w:rPr>
          <w:rFonts w:ascii="Times New Roman" w:hAnsi="Times New Roman"/>
          <w:color w:val="000000"/>
        </w:rPr>
      </w:pPr>
      <w:r>
        <w:rPr>
          <w:rFonts w:ascii="Times New Roman" w:hAnsi="Times New Roman"/>
          <w:color w:val="000000"/>
        </w:rPr>
        <w:t>En</w:t>
      </w:r>
      <w:r>
        <w:rPr>
          <w:rFonts w:ascii="Times New Roman" w:hAnsi="Times New Roman"/>
          <w:color w:val="000000"/>
        </w:rPr>
        <w:t>ergy Efficient Mortgages (EEMs) (see instructions under “Income and PITI Information,” below)</w:t>
      </w:r>
    </w:p>
    <w:p w:rsidR="00000000" w:rsidRDefault="0033777B">
      <w:pPr>
        <w:numPr>
          <w:ilvl w:val="0"/>
          <w:numId w:val="2"/>
        </w:numPr>
        <w:ind w:left="1080"/>
        <w:rPr>
          <w:rFonts w:ascii="Times New Roman" w:hAnsi="Times New Roman"/>
          <w:color w:val="000000"/>
        </w:rPr>
      </w:pPr>
      <w:r>
        <w:rPr>
          <w:rFonts w:ascii="Times New Roman" w:hAnsi="Times New Roman"/>
          <w:color w:val="000000"/>
        </w:rPr>
        <w:t>Section 247---Hawaiian Home Land mortgages</w:t>
      </w:r>
    </w:p>
    <w:p w:rsidR="00000000" w:rsidRDefault="0033777B">
      <w:pPr>
        <w:ind w:left="720"/>
        <w:rPr>
          <w:rFonts w:ascii="Times New Roman" w:hAnsi="Times New Roman"/>
          <w:color w:val="000000"/>
        </w:rPr>
      </w:pPr>
    </w:p>
    <w:p w:rsidR="00000000" w:rsidRDefault="0033777B">
      <w:pPr>
        <w:ind w:left="720"/>
        <w:rPr>
          <w:rFonts w:ascii="Times New Roman" w:hAnsi="Times New Roman"/>
          <w:color w:val="000000"/>
        </w:rPr>
      </w:pPr>
    </w:p>
    <w:p w:rsidR="00000000" w:rsidRDefault="0033777B">
      <w:pPr>
        <w:ind w:left="720"/>
        <w:rPr>
          <w:rFonts w:ascii="Times New Roman" w:hAnsi="Times New Roman"/>
          <w:color w:val="000000"/>
        </w:rPr>
      </w:pPr>
    </w:p>
    <w:p w:rsidR="00000000" w:rsidRDefault="0033777B">
      <w:pPr>
        <w:numPr>
          <w:ilvl w:val="0"/>
          <w:numId w:val="2"/>
        </w:numPr>
        <w:rPr>
          <w:rFonts w:ascii="Times New Roman" w:hAnsi="Times New Roman"/>
          <w:color w:val="000000"/>
        </w:rPr>
      </w:pPr>
      <w:r>
        <w:rPr>
          <w:rFonts w:ascii="Times New Roman" w:hAnsi="Times New Roman"/>
          <w:b/>
          <w:color w:val="000000"/>
        </w:rPr>
        <w:lastRenderedPageBreak/>
        <w:t>Property Types</w:t>
      </w:r>
    </w:p>
    <w:p w:rsidR="00000000" w:rsidRDefault="0033777B">
      <w:pPr>
        <w:rPr>
          <w:rFonts w:ascii="Times New Roman" w:hAnsi="Times New Roman"/>
          <w:color w:val="000000"/>
        </w:rPr>
      </w:pPr>
    </w:p>
    <w:p w:rsidR="00000000" w:rsidRDefault="0033777B">
      <w:pPr>
        <w:numPr>
          <w:ilvl w:val="0"/>
          <w:numId w:val="2"/>
        </w:numPr>
        <w:ind w:left="1080"/>
        <w:rPr>
          <w:rFonts w:ascii="Times New Roman" w:hAnsi="Times New Roman"/>
          <w:color w:val="000000"/>
        </w:rPr>
      </w:pPr>
      <w:r>
        <w:rPr>
          <w:rFonts w:ascii="Times New Roman" w:hAnsi="Times New Roman"/>
          <w:color w:val="000000"/>
        </w:rPr>
        <w:t>Single family dwellings of 1- to 4-living units  [Note: 3- and 4-unit properties have additional und</w:t>
      </w:r>
      <w:r>
        <w:rPr>
          <w:rFonts w:ascii="Times New Roman" w:hAnsi="Times New Roman"/>
          <w:color w:val="000000"/>
        </w:rPr>
        <w:t>erwriting requirements as described in Handbook HUD 4155.1 REV-5 which may or may not be supported by the AUS]</w:t>
      </w:r>
    </w:p>
    <w:p w:rsidR="00000000" w:rsidRDefault="0033777B">
      <w:pPr>
        <w:numPr>
          <w:ilvl w:val="0"/>
          <w:numId w:val="2"/>
        </w:numPr>
        <w:ind w:left="1080"/>
        <w:rPr>
          <w:rFonts w:ascii="Times New Roman" w:hAnsi="Times New Roman"/>
          <w:color w:val="000000"/>
        </w:rPr>
      </w:pPr>
      <w:r>
        <w:rPr>
          <w:rFonts w:ascii="Times New Roman" w:hAnsi="Times New Roman"/>
          <w:color w:val="000000"/>
        </w:rPr>
        <w:t>Manufactured homes meeting FHA’s property requirements for Title II mortgage insurance</w:t>
      </w:r>
    </w:p>
    <w:p w:rsidR="00000000" w:rsidRDefault="0033777B">
      <w:pPr>
        <w:numPr>
          <w:ilvl w:val="0"/>
          <w:numId w:val="2"/>
        </w:numPr>
        <w:ind w:left="1080"/>
        <w:rPr>
          <w:rFonts w:ascii="Times New Roman" w:hAnsi="Times New Roman"/>
          <w:color w:val="000000"/>
        </w:rPr>
      </w:pPr>
      <w:r>
        <w:rPr>
          <w:rFonts w:ascii="Times New Roman" w:hAnsi="Times New Roman"/>
          <w:color w:val="000000"/>
        </w:rPr>
        <w:t>Units in Low- and High-Rise Condominium Projects [Note: Pr</w:t>
      </w:r>
      <w:r>
        <w:rPr>
          <w:rFonts w:ascii="Times New Roman" w:hAnsi="Times New Roman"/>
          <w:color w:val="000000"/>
        </w:rPr>
        <w:t>oject must be FHA approved or individual unit must be eligible using “spot condo” processing]</w:t>
      </w:r>
    </w:p>
    <w:p w:rsidR="00000000" w:rsidRDefault="0033777B">
      <w:pPr>
        <w:numPr>
          <w:ilvl w:val="12"/>
          <w:numId w:val="0"/>
        </w:numPr>
        <w:ind w:left="360" w:hanging="360"/>
        <w:rPr>
          <w:rFonts w:ascii="Times New Roman" w:hAnsi="Times New Roman"/>
          <w:color w:val="000000"/>
        </w:rPr>
      </w:pPr>
    </w:p>
    <w:p w:rsidR="00000000" w:rsidRDefault="0033777B">
      <w:pPr>
        <w:numPr>
          <w:ilvl w:val="0"/>
          <w:numId w:val="2"/>
        </w:numPr>
        <w:rPr>
          <w:rFonts w:ascii="Times New Roman" w:hAnsi="Times New Roman"/>
          <w:color w:val="000000"/>
        </w:rPr>
      </w:pPr>
      <w:r>
        <w:rPr>
          <w:rFonts w:ascii="Times New Roman" w:hAnsi="Times New Roman"/>
          <w:b/>
          <w:color w:val="000000"/>
        </w:rPr>
        <w:t>Plan Type</w:t>
      </w:r>
    </w:p>
    <w:p w:rsidR="00000000" w:rsidRDefault="0033777B">
      <w:pPr>
        <w:numPr>
          <w:ilvl w:val="0"/>
          <w:numId w:val="2"/>
        </w:numPr>
        <w:ind w:left="1080"/>
        <w:rPr>
          <w:rFonts w:ascii="Times New Roman" w:hAnsi="Times New Roman"/>
          <w:color w:val="000000"/>
        </w:rPr>
      </w:pPr>
      <w:r>
        <w:rPr>
          <w:rFonts w:ascii="Times New Roman" w:hAnsi="Times New Roman"/>
          <w:color w:val="000000"/>
        </w:rPr>
        <w:t>Fixed Rate Mortgages</w:t>
      </w:r>
    </w:p>
    <w:p w:rsidR="00000000" w:rsidRDefault="0033777B">
      <w:pPr>
        <w:numPr>
          <w:ilvl w:val="0"/>
          <w:numId w:val="2"/>
        </w:numPr>
        <w:ind w:left="1080"/>
        <w:rPr>
          <w:rFonts w:ascii="Times New Roman" w:hAnsi="Times New Roman"/>
          <w:strike/>
          <w:color w:val="000000"/>
        </w:rPr>
      </w:pPr>
      <w:r>
        <w:rPr>
          <w:rFonts w:ascii="Times New Roman" w:hAnsi="Times New Roman"/>
          <w:color w:val="000000"/>
        </w:rPr>
        <w:t>Adjustable Rate Mortgages, including 1-year ARMs and FHA’s hybrid ARMs of 3-, 5-, 7-, and 10-years</w:t>
      </w:r>
    </w:p>
    <w:p w:rsidR="00000000" w:rsidRDefault="0033777B">
      <w:pPr>
        <w:rPr>
          <w:rFonts w:ascii="Times New Roman" w:hAnsi="Times New Roman"/>
          <w:strike/>
          <w:color w:val="000000"/>
        </w:rPr>
      </w:pPr>
    </w:p>
    <w:p w:rsidR="00000000" w:rsidRDefault="0033777B">
      <w:pPr>
        <w:rPr>
          <w:rFonts w:ascii="Times New Roman" w:hAnsi="Times New Roman"/>
          <w:color w:val="000000"/>
        </w:rPr>
      </w:pPr>
      <w:r>
        <w:rPr>
          <w:rFonts w:ascii="Times New Roman" w:hAnsi="Times New Roman"/>
          <w:b/>
          <w:color w:val="000000"/>
        </w:rPr>
        <w:t>Loan Application Information a</w:t>
      </w:r>
      <w:r>
        <w:rPr>
          <w:rFonts w:ascii="Times New Roman" w:hAnsi="Times New Roman"/>
          <w:b/>
          <w:color w:val="000000"/>
        </w:rPr>
        <w:t>nd Definitions</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The Uniform Residential Loan Application (URLA) captures most of the information needed to obtain a risk assessment from an AUS, and a completed URLA is required for all FHA insured mortgages.  The following guidance is to ensure that infor</w:t>
      </w:r>
      <w:r>
        <w:rPr>
          <w:rFonts w:ascii="Times New Roman" w:hAnsi="Times New Roman"/>
          <w:color w:val="000000"/>
        </w:rPr>
        <w:t xml:space="preserve">mation entered into the LOS/AUS meets FHA eligibility criteria.  Income, assets, debts, and other credit variables entered into the AUS to obtain a risk assessment evaluation using FHA’s TOTAL Mortgage Scorecard must meet FHA’s </w:t>
      </w:r>
      <w:r>
        <w:rPr>
          <w:rFonts w:ascii="Times New Roman" w:hAnsi="Times New Roman"/>
          <w:i/>
          <w:color w:val="000000"/>
        </w:rPr>
        <w:t>eligibility</w:t>
      </w:r>
      <w:r>
        <w:rPr>
          <w:rFonts w:ascii="Times New Roman" w:hAnsi="Times New Roman"/>
          <w:color w:val="000000"/>
        </w:rPr>
        <w:t xml:space="preserve"> for that loan ap</w:t>
      </w:r>
      <w:r>
        <w:rPr>
          <w:rFonts w:ascii="Times New Roman" w:hAnsi="Times New Roman"/>
          <w:color w:val="000000"/>
        </w:rPr>
        <w:t>plication element.</w:t>
      </w:r>
    </w:p>
    <w:p w:rsidR="00000000" w:rsidRDefault="0033777B">
      <w:pPr>
        <w:rPr>
          <w:rFonts w:ascii="Times New Roman" w:hAnsi="Times New Roman"/>
          <w:color w:val="000000"/>
        </w:rPr>
      </w:pPr>
    </w:p>
    <w:p w:rsidR="00000000" w:rsidRDefault="0033777B">
      <w:pPr>
        <w:rPr>
          <w:rFonts w:ascii="Times New Roman" w:hAnsi="Times New Roman"/>
          <w:i/>
          <w:color w:val="000000"/>
        </w:rPr>
      </w:pPr>
      <w:r>
        <w:rPr>
          <w:rFonts w:ascii="Times New Roman" w:hAnsi="Times New Roman"/>
          <w:i/>
          <w:color w:val="000000"/>
        </w:rPr>
        <w:t>Type of Mortgage and Terms of Loan</w:t>
      </w:r>
    </w:p>
    <w:p w:rsidR="00000000" w:rsidRDefault="0033777B">
      <w:pPr>
        <w:rPr>
          <w:rFonts w:ascii="Times New Roman" w:hAnsi="Times New Roman"/>
          <w:color w:val="000000"/>
        </w:rPr>
      </w:pPr>
    </w:p>
    <w:p w:rsidR="00000000" w:rsidRDefault="0033777B">
      <w:pPr>
        <w:pStyle w:val="BodyTextIndent"/>
        <w:rPr>
          <w:color w:val="000000"/>
        </w:rPr>
      </w:pPr>
      <w:r>
        <w:rPr>
          <w:color w:val="000000"/>
        </w:rPr>
        <w:t>Section I of the URLA captures data on the Type of Mortgage and Terms of the Loan, including interest rate, etc.  The interest rate at which the loan will close is to be entered in the AUS for qualify</w:t>
      </w:r>
      <w:r>
        <w:rPr>
          <w:color w:val="000000"/>
        </w:rPr>
        <w:t>ing purposes; any increase requires a resubmission.  Borrowers using 1-year ARMs are to be qualified at an interest rate one percentage point above the initial rate if the loan-to-value equals or exceeds 95 percent.  FHA’s 3-year, 5-year, 7-year, and 10-ye</w:t>
      </w:r>
      <w:r>
        <w:rPr>
          <w:color w:val="000000"/>
        </w:rPr>
        <w:t>ar ARMs are to be underwritten at the loan’s initial interest rate.</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i/>
          <w:color w:val="000000"/>
        </w:rPr>
        <w:t>Property Information/Section II</w:t>
      </w:r>
    </w:p>
    <w:p w:rsidR="00000000" w:rsidRDefault="0033777B">
      <w:pPr>
        <w:rPr>
          <w:rFonts w:ascii="Times New Roman" w:hAnsi="Times New Roman"/>
          <w:color w:val="000000"/>
        </w:rPr>
      </w:pPr>
    </w:p>
    <w:p w:rsidR="00000000" w:rsidRDefault="0033777B">
      <w:pPr>
        <w:pStyle w:val="BodyTextIndent"/>
        <w:rPr>
          <w:color w:val="000000"/>
        </w:rPr>
      </w:pPr>
      <w:r>
        <w:rPr>
          <w:color w:val="000000"/>
        </w:rPr>
        <w:t>This captures information on the property and purpose of the loan.  Because the maximum insured mortgage is a function of location and the number of units</w:t>
      </w:r>
      <w:r>
        <w:rPr>
          <w:color w:val="000000"/>
        </w:rPr>
        <w:t>, accurately enter the property county and property state as listed in the AUS vendor’s Maximum Mortgage Limit Table (if provided by the AUS vendor).</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i/>
          <w:color w:val="000000"/>
        </w:rPr>
        <w:t>Borrower Information/Section III</w:t>
      </w:r>
    </w:p>
    <w:p w:rsidR="00000000" w:rsidRDefault="0033777B">
      <w:pPr>
        <w:rPr>
          <w:rFonts w:ascii="Times New Roman" w:hAnsi="Times New Roman"/>
          <w:color w:val="000000"/>
        </w:rPr>
      </w:pPr>
    </w:p>
    <w:p w:rsidR="00000000" w:rsidRDefault="0033777B">
      <w:pPr>
        <w:pStyle w:val="BodyTextIndent"/>
        <w:rPr>
          <w:color w:val="000000"/>
        </w:rPr>
      </w:pPr>
      <w:r>
        <w:rPr>
          <w:color w:val="000000"/>
        </w:rPr>
        <w:t>Must include a two-year residency history for each borrower (except for</w:t>
      </w:r>
      <w:r>
        <w:rPr>
          <w:color w:val="000000"/>
        </w:rPr>
        <w:t xml:space="preserve"> streamline refinances of FHA-insured mortgages).  </w:t>
      </w:r>
    </w:p>
    <w:p w:rsidR="00000000" w:rsidRDefault="0033777B">
      <w:pPr>
        <w:pStyle w:val="BodyTextIndent"/>
        <w:rPr>
          <w:color w:val="000000"/>
        </w:rPr>
      </w:pPr>
    </w:p>
    <w:p w:rsidR="00000000" w:rsidRDefault="0033777B">
      <w:pPr>
        <w:rPr>
          <w:rFonts w:ascii="Times New Roman" w:hAnsi="Times New Roman"/>
          <w:color w:val="000000"/>
        </w:rPr>
      </w:pPr>
      <w:r>
        <w:rPr>
          <w:rFonts w:ascii="Times New Roman" w:hAnsi="Times New Roman"/>
          <w:i/>
          <w:color w:val="000000"/>
        </w:rPr>
        <w:t>Employment Information/Section IV</w:t>
      </w:r>
    </w:p>
    <w:p w:rsidR="00000000" w:rsidRDefault="0033777B">
      <w:pPr>
        <w:rPr>
          <w:rFonts w:ascii="Times New Roman" w:hAnsi="Times New Roman"/>
          <w:color w:val="000000"/>
        </w:rPr>
      </w:pPr>
    </w:p>
    <w:p w:rsidR="00000000" w:rsidRDefault="0033777B">
      <w:pPr>
        <w:pStyle w:val="BodyTextIndent"/>
        <w:rPr>
          <w:color w:val="000000"/>
        </w:rPr>
      </w:pPr>
      <w:r>
        <w:rPr>
          <w:color w:val="000000"/>
        </w:rPr>
        <w:t xml:space="preserve">Must include a two-year employment history for each borrower (except for streamline refinances of FHA-insured mortgages).  </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i/>
          <w:color w:val="000000"/>
        </w:rPr>
        <w:t>Income and Principal, Interest, Taxes and I</w:t>
      </w:r>
      <w:r>
        <w:rPr>
          <w:rFonts w:ascii="Times New Roman" w:hAnsi="Times New Roman"/>
          <w:i/>
          <w:color w:val="000000"/>
        </w:rPr>
        <w:t>nsurance (PITI) Information/Section V</w:t>
      </w:r>
    </w:p>
    <w:p w:rsidR="00000000" w:rsidRDefault="0033777B">
      <w:pPr>
        <w:rPr>
          <w:rFonts w:ascii="Times New Roman" w:hAnsi="Times New Roman"/>
          <w:color w:val="000000"/>
        </w:rPr>
      </w:pPr>
    </w:p>
    <w:p w:rsidR="00000000" w:rsidRDefault="0033777B">
      <w:pPr>
        <w:pStyle w:val="BodyTextIndent"/>
        <w:rPr>
          <w:color w:val="000000"/>
        </w:rPr>
      </w:pPr>
      <w:r>
        <w:rPr>
          <w:color w:val="000000"/>
        </w:rPr>
        <w:t>All income entered into the AUS for risk assessment purposes must meet FHA’s requirements for qualifying income (as explained in Handbook HUD4155.1 REV-5 and applicable mortgagee letters).  The lender is responsible f</w:t>
      </w:r>
      <w:r>
        <w:rPr>
          <w:color w:val="000000"/>
        </w:rPr>
        <w:t>or ascertaining that the income used in qualifying the applicant meets FHA’s criteria for inclusion in the qualifying ratios.</w:t>
      </w:r>
    </w:p>
    <w:p w:rsidR="00000000" w:rsidRDefault="0033777B">
      <w:pPr>
        <w:rPr>
          <w:rFonts w:ascii="Times New Roman" w:hAnsi="Times New Roman"/>
          <w:color w:val="000000"/>
        </w:rPr>
      </w:pPr>
    </w:p>
    <w:p w:rsidR="00000000" w:rsidRDefault="0033777B">
      <w:pPr>
        <w:pStyle w:val="BodyTextIndent"/>
        <w:rPr>
          <w:color w:val="000000"/>
        </w:rPr>
      </w:pPr>
      <w:r>
        <w:rPr>
          <w:color w:val="000000"/>
        </w:rPr>
        <w:t>PITI consists of the items listed below (as well as any other real estate owned):</w:t>
      </w:r>
    </w:p>
    <w:p w:rsidR="00000000" w:rsidRDefault="0033777B">
      <w:pPr>
        <w:rPr>
          <w:rFonts w:ascii="Times New Roman" w:hAnsi="Times New Roman"/>
          <w:color w:val="000000"/>
        </w:rPr>
      </w:pPr>
    </w:p>
    <w:p w:rsidR="00000000" w:rsidRDefault="0033777B">
      <w:pPr>
        <w:numPr>
          <w:ilvl w:val="0"/>
          <w:numId w:val="2"/>
        </w:numPr>
        <w:ind w:left="1080"/>
        <w:rPr>
          <w:rFonts w:ascii="Times New Roman" w:hAnsi="Times New Roman"/>
          <w:color w:val="000000"/>
        </w:rPr>
      </w:pPr>
      <w:r>
        <w:rPr>
          <w:rFonts w:ascii="Times New Roman" w:hAnsi="Times New Roman"/>
          <w:color w:val="000000"/>
        </w:rPr>
        <w:t>Principal and Interest</w:t>
      </w:r>
    </w:p>
    <w:p w:rsidR="00000000" w:rsidRDefault="0033777B">
      <w:pPr>
        <w:numPr>
          <w:ilvl w:val="0"/>
          <w:numId w:val="2"/>
        </w:numPr>
        <w:ind w:left="1080"/>
        <w:rPr>
          <w:rFonts w:ascii="Times New Roman" w:hAnsi="Times New Roman"/>
          <w:color w:val="000000"/>
        </w:rPr>
      </w:pPr>
      <w:r>
        <w:rPr>
          <w:rFonts w:ascii="Times New Roman" w:hAnsi="Times New Roman"/>
          <w:color w:val="000000"/>
        </w:rPr>
        <w:t>Real Estate Taxes (if p</w:t>
      </w:r>
      <w:r>
        <w:rPr>
          <w:rFonts w:ascii="Times New Roman" w:hAnsi="Times New Roman"/>
          <w:color w:val="000000"/>
        </w:rPr>
        <w:t>roposed construction, base estimate on property being completed and valued/reassessed by the taxing authority)</w:t>
      </w:r>
    </w:p>
    <w:p w:rsidR="00000000" w:rsidRDefault="0033777B">
      <w:pPr>
        <w:numPr>
          <w:ilvl w:val="0"/>
          <w:numId w:val="2"/>
        </w:numPr>
        <w:ind w:left="1080"/>
        <w:rPr>
          <w:rFonts w:ascii="Times New Roman" w:hAnsi="Times New Roman"/>
          <w:color w:val="000000"/>
        </w:rPr>
      </w:pPr>
      <w:r>
        <w:rPr>
          <w:rFonts w:ascii="Times New Roman" w:hAnsi="Times New Roman"/>
          <w:color w:val="000000"/>
        </w:rPr>
        <w:t>Hazard Insurance Premiums</w:t>
      </w:r>
    </w:p>
    <w:p w:rsidR="00000000" w:rsidRDefault="0033777B">
      <w:pPr>
        <w:numPr>
          <w:ilvl w:val="0"/>
          <w:numId w:val="2"/>
        </w:numPr>
        <w:ind w:left="1080"/>
        <w:rPr>
          <w:rFonts w:ascii="Times New Roman" w:hAnsi="Times New Roman"/>
          <w:color w:val="000000"/>
        </w:rPr>
      </w:pPr>
      <w:r>
        <w:rPr>
          <w:rFonts w:ascii="Times New Roman" w:hAnsi="Times New Roman"/>
          <w:color w:val="000000"/>
        </w:rPr>
        <w:t>Monthly FHA Mortgage Insurance Premiums</w:t>
      </w:r>
    </w:p>
    <w:p w:rsidR="00000000" w:rsidRDefault="0033777B">
      <w:pPr>
        <w:numPr>
          <w:ilvl w:val="0"/>
          <w:numId w:val="2"/>
        </w:numPr>
        <w:ind w:left="1080"/>
        <w:rPr>
          <w:rFonts w:ascii="Times New Roman" w:hAnsi="Times New Roman"/>
          <w:color w:val="000000"/>
        </w:rPr>
      </w:pPr>
      <w:r>
        <w:rPr>
          <w:rFonts w:ascii="Times New Roman" w:hAnsi="Times New Roman"/>
          <w:color w:val="000000"/>
        </w:rPr>
        <w:t>Flood Insurance</w:t>
      </w:r>
    </w:p>
    <w:p w:rsidR="00000000" w:rsidRDefault="0033777B">
      <w:pPr>
        <w:numPr>
          <w:ilvl w:val="0"/>
          <w:numId w:val="2"/>
        </w:numPr>
        <w:ind w:left="1080"/>
        <w:rPr>
          <w:rFonts w:ascii="Times New Roman" w:hAnsi="Times New Roman"/>
          <w:color w:val="000000"/>
        </w:rPr>
      </w:pPr>
      <w:r>
        <w:rPr>
          <w:rFonts w:ascii="Times New Roman" w:hAnsi="Times New Roman"/>
          <w:color w:val="000000"/>
        </w:rPr>
        <w:t>Ground Rent</w:t>
      </w:r>
    </w:p>
    <w:p w:rsidR="00000000" w:rsidRDefault="0033777B">
      <w:pPr>
        <w:numPr>
          <w:ilvl w:val="0"/>
          <w:numId w:val="2"/>
        </w:numPr>
        <w:ind w:left="1080"/>
        <w:rPr>
          <w:rFonts w:ascii="Times New Roman" w:hAnsi="Times New Roman"/>
          <w:color w:val="000000"/>
        </w:rPr>
      </w:pPr>
      <w:r>
        <w:rPr>
          <w:rFonts w:ascii="Times New Roman" w:hAnsi="Times New Roman"/>
          <w:color w:val="000000"/>
        </w:rPr>
        <w:t>Homeowner’s Association Dues/Condominium Fees</w:t>
      </w:r>
    </w:p>
    <w:p w:rsidR="00000000" w:rsidRDefault="0033777B">
      <w:pPr>
        <w:numPr>
          <w:ilvl w:val="0"/>
          <w:numId w:val="2"/>
        </w:numPr>
        <w:ind w:left="1080"/>
        <w:rPr>
          <w:rFonts w:ascii="Times New Roman" w:hAnsi="Times New Roman"/>
          <w:color w:val="000000"/>
        </w:rPr>
      </w:pPr>
      <w:r>
        <w:rPr>
          <w:rFonts w:ascii="Times New Roman" w:hAnsi="Times New Roman"/>
          <w:color w:val="000000"/>
        </w:rPr>
        <w:t>Other</w:t>
      </w:r>
      <w:r>
        <w:rPr>
          <w:rFonts w:ascii="Times New Roman" w:hAnsi="Times New Roman"/>
          <w:color w:val="000000"/>
        </w:rPr>
        <w:t xml:space="preserve"> property related special assessments</w:t>
      </w:r>
    </w:p>
    <w:p w:rsidR="00000000" w:rsidRDefault="0033777B">
      <w:pPr>
        <w:numPr>
          <w:ilvl w:val="0"/>
          <w:numId w:val="2"/>
        </w:numPr>
        <w:ind w:left="1080"/>
        <w:rPr>
          <w:rFonts w:ascii="Times New Roman" w:hAnsi="Times New Roman"/>
          <w:color w:val="000000"/>
        </w:rPr>
      </w:pPr>
      <w:r>
        <w:rPr>
          <w:rFonts w:ascii="Times New Roman" w:hAnsi="Times New Roman"/>
          <w:color w:val="000000"/>
        </w:rPr>
        <w:t>Subordinate Financing payments scheduled to begin within three years of loan closing</w:t>
      </w:r>
    </w:p>
    <w:p w:rsidR="00000000" w:rsidRDefault="0033777B">
      <w:pPr>
        <w:rPr>
          <w:rFonts w:ascii="Times New Roman" w:hAnsi="Times New Roman"/>
          <w:color w:val="000000"/>
        </w:rPr>
      </w:pPr>
    </w:p>
    <w:p w:rsidR="00000000" w:rsidRDefault="0033777B">
      <w:pPr>
        <w:ind w:left="720"/>
        <w:rPr>
          <w:rFonts w:ascii="Times New Roman" w:hAnsi="Times New Roman"/>
          <w:color w:val="000000"/>
        </w:rPr>
      </w:pPr>
      <w:r>
        <w:rPr>
          <w:rFonts w:ascii="Times New Roman" w:hAnsi="Times New Roman"/>
          <w:color w:val="000000"/>
        </w:rPr>
        <w:t xml:space="preserve">If the mortgage being underwritten is a one-year </w:t>
      </w:r>
      <w:r>
        <w:rPr>
          <w:rFonts w:ascii="Times New Roman" w:hAnsi="Times New Roman"/>
          <w:i/>
          <w:iCs/>
          <w:color w:val="000000"/>
          <w:u w:val="single"/>
        </w:rPr>
        <w:t>ARM</w:t>
      </w:r>
      <w:r>
        <w:rPr>
          <w:rFonts w:ascii="Times New Roman" w:hAnsi="Times New Roman"/>
          <w:color w:val="000000"/>
        </w:rPr>
        <w:t xml:space="preserve"> with a loan-to-value (LTV) ratio equal to or greater than 95 percent, calculate</w:t>
      </w:r>
      <w:r>
        <w:rPr>
          <w:rFonts w:ascii="Times New Roman" w:hAnsi="Times New Roman"/>
          <w:color w:val="000000"/>
        </w:rPr>
        <w:t xml:space="preserve"> the Principal and Interest using a rate one percentage point above the loan’s initial interest rate.  FHA’s 3-, 5-, 7-, and 10-year ARMs are to be underwritten at the loan’s initial interest rate. </w:t>
      </w:r>
    </w:p>
    <w:p w:rsidR="00000000" w:rsidRDefault="0033777B">
      <w:pPr>
        <w:rPr>
          <w:rFonts w:ascii="Times New Roman" w:hAnsi="Times New Roman"/>
          <w:color w:val="000000"/>
        </w:rPr>
      </w:pPr>
    </w:p>
    <w:p w:rsidR="00000000" w:rsidRDefault="0033777B">
      <w:pPr>
        <w:tabs>
          <w:tab w:val="left" w:pos="720"/>
        </w:tabs>
        <w:ind w:left="720"/>
        <w:rPr>
          <w:rFonts w:ascii="Times New Roman" w:hAnsi="Times New Roman"/>
          <w:color w:val="000000"/>
        </w:rPr>
      </w:pPr>
      <w:r>
        <w:rPr>
          <w:rFonts w:ascii="Times New Roman" w:hAnsi="Times New Roman"/>
          <w:color w:val="000000"/>
        </w:rPr>
        <w:t xml:space="preserve">If the mortgage being underwritten is an </w:t>
      </w:r>
      <w:r>
        <w:rPr>
          <w:rFonts w:ascii="Times New Roman" w:hAnsi="Times New Roman"/>
          <w:i/>
          <w:color w:val="000000"/>
          <w:u w:val="single"/>
        </w:rPr>
        <w:t>Energy Efficien</w:t>
      </w:r>
      <w:r>
        <w:rPr>
          <w:rFonts w:ascii="Times New Roman" w:hAnsi="Times New Roman"/>
          <w:i/>
          <w:color w:val="000000"/>
          <w:u w:val="single"/>
        </w:rPr>
        <w:t>t Mortgage</w:t>
      </w:r>
      <w:r>
        <w:rPr>
          <w:rFonts w:ascii="Times New Roman" w:hAnsi="Times New Roman"/>
          <w:color w:val="000000"/>
        </w:rPr>
        <w:t xml:space="preserve"> (EEM), and the AUS does not separately accommodate such mortgages, use the following instructions for underwriting these loans.  If the lender obtains an “accept” or “approve” on a mortgage loan application prior to adding the energy efficient i</w:t>
      </w:r>
      <w:r>
        <w:rPr>
          <w:rFonts w:ascii="Times New Roman" w:hAnsi="Times New Roman"/>
          <w:color w:val="000000"/>
        </w:rPr>
        <w:t xml:space="preserve">mprovements, FHA will recognize the risk rating from the AUS and permit the increased mortgage payments without re-underwriting or re-scoring </w:t>
      </w:r>
      <w:r>
        <w:rPr>
          <w:rFonts w:ascii="Times New Roman" w:hAnsi="Times New Roman"/>
          <w:i/>
          <w:color w:val="000000"/>
        </w:rPr>
        <w:t>provided</w:t>
      </w:r>
      <w:r>
        <w:rPr>
          <w:rFonts w:ascii="Times New Roman" w:hAnsi="Times New Roman"/>
          <w:color w:val="000000"/>
        </w:rPr>
        <w:t xml:space="preserve"> that the lender’s DE underwriter certifies that he or she has reviewed the calculations associated with t</w:t>
      </w:r>
      <w:r>
        <w:rPr>
          <w:rFonts w:ascii="Times New Roman" w:hAnsi="Times New Roman"/>
          <w:color w:val="000000"/>
        </w:rPr>
        <w:t>he energy efficient improvements, and found the mortgage and the property to be in compliance with FHA’s underwriting instructions.  This language must appear either in the remarks section of the mortgage credit analysis worksheet or on a separate document</w:t>
      </w:r>
      <w:r>
        <w:rPr>
          <w:rFonts w:ascii="Times New Roman" w:hAnsi="Times New Roman"/>
          <w:color w:val="000000"/>
        </w:rPr>
        <w:t xml:space="preserve"> in the case binder.</w:t>
      </w:r>
    </w:p>
    <w:p w:rsidR="00000000" w:rsidRDefault="0033777B">
      <w:pPr>
        <w:rPr>
          <w:rFonts w:ascii="Times New Roman" w:hAnsi="Times New Roman"/>
          <w:color w:val="000000"/>
        </w:rPr>
      </w:pP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i/>
          <w:color w:val="000000"/>
        </w:rPr>
        <w:lastRenderedPageBreak/>
        <w:t>Assets/Section VI</w:t>
      </w:r>
      <w:r>
        <w:rPr>
          <w:rFonts w:ascii="Times New Roman" w:hAnsi="Times New Roman"/>
          <w:color w:val="000000"/>
        </w:rPr>
        <w:t xml:space="preserve"> </w:t>
      </w:r>
    </w:p>
    <w:p w:rsidR="00000000" w:rsidRDefault="0033777B">
      <w:pPr>
        <w:rPr>
          <w:rFonts w:ascii="Times New Roman" w:hAnsi="Times New Roman"/>
          <w:color w:val="000000"/>
        </w:rPr>
      </w:pPr>
    </w:p>
    <w:p w:rsidR="00000000" w:rsidRDefault="0033777B">
      <w:pPr>
        <w:pStyle w:val="BodyTextIndent"/>
        <w:rPr>
          <w:color w:val="000000"/>
        </w:rPr>
      </w:pPr>
      <w:r>
        <w:rPr>
          <w:color w:val="000000"/>
        </w:rPr>
        <w:t>Asset documentation must comply with FHA requirements.  All asset information entered into the AUS must be verifiable and meet FHA requirements for eligibility.</w:t>
      </w:r>
    </w:p>
    <w:p w:rsidR="00000000" w:rsidRDefault="0033777B">
      <w:pPr>
        <w:rPr>
          <w:rFonts w:ascii="Times New Roman" w:hAnsi="Times New Roman"/>
          <w:color w:val="000000"/>
        </w:rPr>
      </w:pPr>
    </w:p>
    <w:p w:rsidR="00000000" w:rsidRDefault="0033777B">
      <w:pPr>
        <w:ind w:left="720"/>
        <w:rPr>
          <w:rFonts w:ascii="Times New Roman" w:hAnsi="Times New Roman"/>
          <w:color w:val="000000"/>
        </w:rPr>
      </w:pPr>
      <w:r>
        <w:rPr>
          <w:rFonts w:ascii="Times New Roman" w:hAnsi="Times New Roman"/>
          <w:color w:val="000000"/>
        </w:rPr>
        <w:t>Verified</w:t>
      </w:r>
      <w:r>
        <w:rPr>
          <w:rFonts w:ascii="Times New Roman" w:hAnsi="Times New Roman"/>
          <w:b/>
          <w:color w:val="000000"/>
        </w:rPr>
        <w:t xml:space="preserve"> </w:t>
      </w:r>
      <w:r>
        <w:rPr>
          <w:rFonts w:ascii="Times New Roman" w:hAnsi="Times New Roman"/>
          <w:bCs/>
          <w:color w:val="000000"/>
        </w:rPr>
        <w:t>Reserves After Closing</w:t>
      </w:r>
      <w:r>
        <w:rPr>
          <w:rFonts w:ascii="Times New Roman" w:hAnsi="Times New Roman"/>
          <w:b/>
          <w:color w:val="000000"/>
        </w:rPr>
        <w:t xml:space="preserve"> </w:t>
      </w:r>
      <w:r>
        <w:rPr>
          <w:rFonts w:ascii="Times New Roman" w:hAnsi="Times New Roman"/>
          <w:color w:val="000000"/>
        </w:rPr>
        <w:t>are not a requireme</w:t>
      </w:r>
      <w:r>
        <w:rPr>
          <w:rFonts w:ascii="Times New Roman" w:hAnsi="Times New Roman"/>
          <w:color w:val="000000"/>
        </w:rPr>
        <w:t>nt for FHA underwriting (except on 3- and 4-unit properties), but are nevertheless considered in the mortgage evaluation.  If not already calculated by the LOS, this information should be entered in the appropriate field for the automated underwriting data</w:t>
      </w:r>
      <w:r>
        <w:rPr>
          <w:rFonts w:ascii="Times New Roman" w:hAnsi="Times New Roman"/>
          <w:color w:val="000000"/>
        </w:rPr>
        <w:t>base.  See Chapter 2 of this User Guide for information on what assets may be considered as Reserves for qualifying purposes.</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i/>
          <w:color w:val="000000"/>
        </w:rPr>
        <w:t>Liabilities Section VI</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 xml:space="preserve">Include the following amounts, if applicable, in </w:t>
      </w:r>
      <w:r>
        <w:rPr>
          <w:rFonts w:ascii="Times New Roman" w:hAnsi="Times New Roman"/>
          <w:bCs/>
          <w:color w:val="000000"/>
        </w:rPr>
        <w:t>Total Debt</w:t>
      </w:r>
      <w:r>
        <w:rPr>
          <w:rFonts w:ascii="Times New Roman" w:hAnsi="Times New Roman"/>
          <w:color w:val="000000"/>
        </w:rPr>
        <w:t xml:space="preserve">: </w:t>
      </w:r>
    </w:p>
    <w:p w:rsidR="00000000" w:rsidRDefault="0033777B">
      <w:pPr>
        <w:rPr>
          <w:rFonts w:ascii="Times New Roman" w:hAnsi="Times New Roman"/>
          <w:color w:val="000000"/>
        </w:rPr>
      </w:pPr>
    </w:p>
    <w:p w:rsidR="00000000" w:rsidRDefault="0033777B">
      <w:pPr>
        <w:pStyle w:val="BodyTextIndent2"/>
        <w:rPr>
          <w:color w:val="000000"/>
        </w:rPr>
      </w:pPr>
      <w:r>
        <w:rPr>
          <w:color w:val="000000"/>
        </w:rPr>
        <w:t>All debts listed on credit report that are</w:t>
      </w:r>
      <w:r>
        <w:rPr>
          <w:color w:val="000000"/>
        </w:rPr>
        <w:t xml:space="preserve"> not excludable under the conditions described below.</w:t>
      </w:r>
    </w:p>
    <w:p w:rsidR="00000000" w:rsidRDefault="0033777B">
      <w:pPr>
        <w:pStyle w:val="BodyTextIndent2"/>
        <w:rPr>
          <w:color w:val="000000"/>
        </w:rPr>
      </w:pPr>
      <w:r>
        <w:rPr>
          <w:color w:val="000000"/>
        </w:rPr>
        <w:t xml:space="preserve">Alimony, child support, separate maintenance agreements (Note: Because of the tax treatment of </w:t>
      </w:r>
      <w:r>
        <w:rPr>
          <w:bCs/>
          <w:color w:val="000000"/>
        </w:rPr>
        <w:t>alimony,</w:t>
      </w:r>
      <w:r>
        <w:rPr>
          <w:b/>
          <w:color w:val="000000"/>
        </w:rPr>
        <w:t xml:space="preserve"> </w:t>
      </w:r>
      <w:r>
        <w:rPr>
          <w:bCs/>
          <w:color w:val="000000"/>
        </w:rPr>
        <w:t>the lender</w:t>
      </w:r>
      <w:r>
        <w:rPr>
          <w:color w:val="000000"/>
        </w:rPr>
        <w:t xml:space="preserve"> may reduce the borrower’s monthly gross income by the amount of the alimony payments ra</w:t>
      </w:r>
      <w:r>
        <w:rPr>
          <w:color w:val="000000"/>
        </w:rPr>
        <w:t>ther than include it as a debt obligation under Total Debt.  If this option is chosen, do not also include the alimony payment in the data field that calculates Total Debt.)</w:t>
      </w:r>
    </w:p>
    <w:p w:rsidR="00000000" w:rsidRDefault="0033777B">
      <w:pPr>
        <w:numPr>
          <w:ilvl w:val="0"/>
          <w:numId w:val="2"/>
        </w:numPr>
        <w:ind w:left="1080"/>
        <w:rPr>
          <w:rFonts w:ascii="Times New Roman" w:hAnsi="Times New Roman"/>
          <w:color w:val="000000"/>
        </w:rPr>
      </w:pPr>
      <w:r>
        <w:rPr>
          <w:rFonts w:ascii="Times New Roman" w:hAnsi="Times New Roman"/>
          <w:color w:val="000000"/>
        </w:rPr>
        <w:t>Negative Rent on other real estate owned</w:t>
      </w:r>
    </w:p>
    <w:p w:rsidR="00000000" w:rsidRDefault="0033777B">
      <w:pPr>
        <w:numPr>
          <w:ilvl w:val="0"/>
          <w:numId w:val="2"/>
        </w:numPr>
        <w:ind w:left="1080"/>
        <w:rPr>
          <w:rFonts w:ascii="Times New Roman" w:hAnsi="Times New Roman"/>
          <w:color w:val="000000"/>
        </w:rPr>
      </w:pPr>
      <w:r>
        <w:rPr>
          <w:rFonts w:ascii="Times New Roman" w:hAnsi="Times New Roman"/>
          <w:color w:val="000000"/>
        </w:rPr>
        <w:t>Mortgage Debt (PITI) on other real estate</w:t>
      </w:r>
      <w:r>
        <w:rPr>
          <w:rFonts w:ascii="Times New Roman" w:hAnsi="Times New Roman"/>
          <w:color w:val="000000"/>
        </w:rPr>
        <w:t xml:space="preserve"> owned</w:t>
      </w:r>
    </w:p>
    <w:p w:rsidR="00000000" w:rsidRDefault="0033777B">
      <w:pPr>
        <w:numPr>
          <w:ilvl w:val="0"/>
          <w:numId w:val="2"/>
        </w:numPr>
        <w:ind w:left="1080"/>
        <w:rPr>
          <w:rFonts w:ascii="Times New Roman" w:hAnsi="Times New Roman"/>
          <w:color w:val="000000"/>
        </w:rPr>
      </w:pPr>
      <w:r>
        <w:rPr>
          <w:rFonts w:ascii="Times New Roman" w:hAnsi="Times New Roman"/>
          <w:color w:val="000000"/>
        </w:rPr>
        <w:t>Installment debt (Note: Installment debts with fewer than ten payments remaining may be excluded from the ratio calculations.  However, if the AUS indicates that manual underwriting is required, then the DE underwriter must determine that short-term</w:t>
      </w:r>
      <w:r>
        <w:rPr>
          <w:rFonts w:ascii="Times New Roman" w:hAnsi="Times New Roman"/>
          <w:color w:val="000000"/>
        </w:rPr>
        <w:t xml:space="preserve"> debt will not negatively affect the borrower’s ability to make mortgage payments during the early months following loan settlement.  See Handbook HUD 4155.1 REV-5 for additional information.)</w:t>
      </w:r>
    </w:p>
    <w:p w:rsidR="00000000" w:rsidRDefault="0033777B">
      <w:pPr>
        <w:numPr>
          <w:ilvl w:val="0"/>
          <w:numId w:val="2"/>
        </w:numPr>
        <w:ind w:left="1080"/>
        <w:rPr>
          <w:rFonts w:ascii="Times New Roman" w:hAnsi="Times New Roman"/>
          <w:color w:val="000000"/>
        </w:rPr>
      </w:pPr>
      <w:r>
        <w:rPr>
          <w:rFonts w:ascii="Times New Roman" w:hAnsi="Times New Roman"/>
          <w:color w:val="000000"/>
        </w:rPr>
        <w:t>Significant (greater than $100 per month) debt payment not show</w:t>
      </w:r>
      <w:r>
        <w:rPr>
          <w:rFonts w:ascii="Times New Roman" w:hAnsi="Times New Roman"/>
          <w:color w:val="000000"/>
        </w:rPr>
        <w:t xml:space="preserve">n on the credit report and all debts disclosed by the borrower. </w:t>
      </w:r>
    </w:p>
    <w:p w:rsidR="00000000" w:rsidRDefault="0033777B">
      <w:pPr>
        <w:numPr>
          <w:ilvl w:val="0"/>
          <w:numId w:val="2"/>
        </w:numPr>
        <w:ind w:left="1080"/>
        <w:rPr>
          <w:rFonts w:ascii="Times New Roman" w:hAnsi="Times New Roman"/>
          <w:color w:val="000000"/>
        </w:rPr>
      </w:pPr>
      <w:r>
        <w:rPr>
          <w:rFonts w:ascii="Times New Roman" w:hAnsi="Times New Roman"/>
          <w:color w:val="000000"/>
        </w:rPr>
        <w:t xml:space="preserve">Payment from new debt resulting from material inquiries on credit report within 90 days of application.  </w:t>
      </w:r>
      <w:r>
        <w:rPr>
          <w:rFonts w:ascii="Times New Roman" w:hAnsi="Times New Roman"/>
          <w:i/>
          <w:color w:val="000000"/>
        </w:rPr>
        <w:t>Material inquiries</w:t>
      </w:r>
      <w:r>
        <w:rPr>
          <w:rFonts w:ascii="Times New Roman" w:hAnsi="Times New Roman"/>
          <w:color w:val="000000"/>
        </w:rPr>
        <w:t xml:space="preserve"> result in obligations incurred by the mortgage borrowers and may in</w:t>
      </w:r>
      <w:r>
        <w:rPr>
          <w:rFonts w:ascii="Times New Roman" w:hAnsi="Times New Roman"/>
          <w:color w:val="000000"/>
        </w:rPr>
        <w:t>clude other mortgages, auto loans and leases, or other installment loans and must be considered in the underwriting analysis.  Inquiries from department stores, credit bureaus, and insurance companies are not considered as “material.”</w:t>
      </w:r>
    </w:p>
    <w:p w:rsidR="00000000" w:rsidRDefault="0033777B">
      <w:pPr>
        <w:numPr>
          <w:ilvl w:val="0"/>
          <w:numId w:val="2"/>
        </w:numPr>
        <w:ind w:left="1080"/>
        <w:rPr>
          <w:rFonts w:ascii="Times New Roman" w:hAnsi="Times New Roman"/>
          <w:color w:val="000000"/>
        </w:rPr>
      </w:pPr>
      <w:r>
        <w:rPr>
          <w:rFonts w:ascii="Times New Roman" w:hAnsi="Times New Roman"/>
          <w:color w:val="000000"/>
        </w:rPr>
        <w:t>Those debts that must</w:t>
      </w:r>
      <w:r>
        <w:rPr>
          <w:rFonts w:ascii="Times New Roman" w:hAnsi="Times New Roman"/>
          <w:color w:val="000000"/>
        </w:rPr>
        <w:t xml:space="preserve"> be considered in the qualifying ratios if the borrower resides in or the property is located in a community property state, per Handbook HUD 4155.1 REV-5.</w:t>
      </w:r>
    </w:p>
    <w:p w:rsidR="00000000" w:rsidRDefault="0033777B">
      <w:pPr>
        <w:rPr>
          <w:rFonts w:ascii="Times New Roman" w:hAnsi="Times New Roman"/>
          <w:color w:val="000000"/>
        </w:rPr>
      </w:pPr>
    </w:p>
    <w:p w:rsidR="00000000" w:rsidRDefault="0033777B">
      <w:pPr>
        <w:rPr>
          <w:rFonts w:ascii="Times New Roman" w:hAnsi="Times New Roman"/>
          <w:color w:val="000000"/>
        </w:rPr>
      </w:pPr>
    </w:p>
    <w:p w:rsidR="00000000" w:rsidRDefault="0033777B">
      <w:pPr>
        <w:pStyle w:val="Heading9"/>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color w:val="000000"/>
        </w:rPr>
      </w:pPr>
      <w:r>
        <w:rPr>
          <w:color w:val="000000"/>
        </w:rPr>
        <w:lastRenderedPageBreak/>
        <w:t>Loan Resubmission Requirements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The lender is responsible for the integrity of the data used to ob</w:t>
      </w:r>
      <w:r>
        <w:rPr>
          <w:rFonts w:ascii="Times New Roman" w:hAnsi="Times New Roman"/>
          <w:color w:val="000000"/>
        </w:rPr>
        <w:t>tain the risk assessment, and for resubmitting the loan when material changes are discovered or otherwise occur during loan processing.  The lender is required to resubmit the loan through the automated underwriting system for an updated evaluation under a</w:t>
      </w:r>
      <w:r>
        <w:rPr>
          <w:rFonts w:ascii="Times New Roman" w:hAnsi="Times New Roman"/>
          <w:color w:val="000000"/>
        </w:rPr>
        <w:t>ny of the conditions described below.</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Borrowers were either added to or deleted from the loan application.  Those borrowers shown on the most recent submission into the AUS must be the same borrowers who sign the mortgage note/deed of trust.</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Borrower’s in</w:t>
      </w:r>
      <w:r>
        <w:rPr>
          <w:rFonts w:ascii="Times New Roman" w:hAnsi="Times New Roman"/>
          <w:color w:val="000000"/>
        </w:rPr>
        <w:t>come and/or cash assets/reserves decrease.</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There were changes to the sales price or terms and conditions of the mortgage.</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Any changes are discovered that would negatively affect the borrowers’ ability to repay the mortgage.</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Information about the property v</w:t>
      </w:r>
      <w:r>
        <w:rPr>
          <w:rFonts w:ascii="Times New Roman" w:hAnsi="Times New Roman"/>
          <w:color w:val="000000"/>
        </w:rPr>
        <w:t>aluation changes (e.g., the appraised value is determined to be less than the sales price).</w:t>
      </w:r>
    </w:p>
    <w:p w:rsidR="00000000" w:rsidRDefault="0033777B">
      <w:pPr>
        <w:tabs>
          <w:tab w:val="center" w:pos="4590"/>
        </w:tabs>
        <w:suppressAutoHyphens/>
        <w:rPr>
          <w:rFonts w:ascii="Times New Roman" w:hAnsi="Times New Roman"/>
          <w:color w:val="000000"/>
          <w:sz w:val="28"/>
        </w:rPr>
      </w:pPr>
      <w:r>
        <w:rPr>
          <w:rFonts w:ascii="Times New Roman" w:hAnsi="Times New Roman"/>
          <w:b/>
          <w:color w:val="000000"/>
          <w:sz w:val="28"/>
        </w:rPr>
        <w:br w:type="page"/>
      </w:r>
      <w:r>
        <w:rPr>
          <w:rFonts w:ascii="Times New Roman" w:hAnsi="Times New Roman"/>
          <w:b/>
          <w:color w:val="000000"/>
          <w:sz w:val="28"/>
        </w:rPr>
        <w:lastRenderedPageBreak/>
        <w:tab/>
        <w:t>CHAPTER 2</w:t>
      </w:r>
    </w:p>
    <w:p w:rsidR="00000000" w:rsidRDefault="0033777B">
      <w:pPr>
        <w:tabs>
          <w:tab w:val="center" w:pos="4590"/>
        </w:tabs>
        <w:suppressAutoHyphens/>
        <w:rPr>
          <w:rFonts w:ascii="Times New Roman" w:hAnsi="Times New Roman"/>
          <w:b/>
          <w:color w:val="000000"/>
          <w:sz w:val="28"/>
        </w:rPr>
      </w:pPr>
    </w:p>
    <w:p w:rsidR="00000000" w:rsidRDefault="0033777B">
      <w:pPr>
        <w:tabs>
          <w:tab w:val="center" w:pos="4590"/>
        </w:tabs>
        <w:suppressAutoHyphens/>
        <w:rPr>
          <w:rFonts w:ascii="Times New Roman" w:hAnsi="Times New Roman"/>
          <w:color w:val="000000"/>
          <w:sz w:val="28"/>
        </w:rPr>
      </w:pPr>
      <w:r>
        <w:rPr>
          <w:rFonts w:ascii="Times New Roman" w:hAnsi="Times New Roman"/>
          <w:b/>
          <w:color w:val="000000"/>
          <w:sz w:val="28"/>
        </w:rPr>
        <w:tab/>
      </w:r>
      <w:r>
        <w:rPr>
          <w:rFonts w:ascii="Times New Roman" w:hAnsi="Times New Roman"/>
          <w:b/>
          <w:color w:val="000000"/>
          <w:sz w:val="28"/>
          <w:u w:val="single"/>
        </w:rPr>
        <w:t>UNDERWRITING REQUIREMENTS</w:t>
      </w:r>
    </w:p>
    <w:p w:rsidR="00000000" w:rsidRDefault="0033777B">
      <w:pPr>
        <w:pBdr>
          <w:bottom w:val="single" w:sz="6" w:space="1" w:color="auto"/>
        </w:pBdr>
        <w:tabs>
          <w:tab w:val="left" w:pos="1530"/>
        </w:tabs>
        <w:rPr>
          <w:rFonts w:ascii="Times New Roman" w:hAnsi="Times New Roman"/>
          <w:color w:val="000000"/>
        </w:rPr>
      </w:pPr>
    </w:p>
    <w:p w:rsidR="00000000" w:rsidRDefault="0033777B">
      <w:pPr>
        <w:tabs>
          <w:tab w:val="left" w:pos="1530"/>
        </w:tabs>
        <w:rPr>
          <w:rFonts w:ascii="Times New Roman" w:hAnsi="Times New Roman"/>
          <w:color w:val="000000"/>
        </w:rPr>
      </w:pPr>
    </w:p>
    <w:p w:rsidR="00000000" w:rsidRDefault="0033777B">
      <w:pPr>
        <w:tabs>
          <w:tab w:val="left" w:pos="1530"/>
        </w:tabs>
        <w:rPr>
          <w:rFonts w:ascii="Times New Roman" w:hAnsi="Times New Roman"/>
          <w:color w:val="000000"/>
        </w:rPr>
      </w:pPr>
      <w:r>
        <w:rPr>
          <w:rFonts w:ascii="Times New Roman" w:hAnsi="Times New Roman"/>
          <w:color w:val="000000"/>
        </w:rPr>
        <w:t>The underwriting and documentation instructions contained throughout this chapter are designed only for lenders using FHA’</w:t>
      </w:r>
      <w:r>
        <w:rPr>
          <w:rFonts w:ascii="Times New Roman" w:hAnsi="Times New Roman"/>
          <w:color w:val="000000"/>
        </w:rPr>
        <w:t xml:space="preserve">s TOTAL Mortgage Scorecard in conjunction with an AUS.  For mortgage loans scored as “accept” or “approve,” FHA has granted a number of credit policy revisions and documentation relief from the instructions in Handbook HUD 4155.1 REV-5 as described below. </w:t>
      </w:r>
      <w:r>
        <w:rPr>
          <w:rFonts w:ascii="Times New Roman" w:hAnsi="Times New Roman"/>
          <w:color w:val="000000"/>
        </w:rPr>
        <w:t>Lenders must still comply with outstanding eligibility requirements and ensure the integrity and accuracy of the data used to render a decision.  Loan applications receiving a “refer” risk classification are remanded to a DE underwriter and FHA’s credit po</w:t>
      </w:r>
      <w:r>
        <w:rPr>
          <w:rFonts w:ascii="Times New Roman" w:hAnsi="Times New Roman"/>
          <w:color w:val="000000"/>
        </w:rPr>
        <w:t xml:space="preserve">licies as described in HUD Handbook 4155.1 REV-5 apply, subject to certain specific modifications as detailed below.  </w:t>
      </w:r>
    </w:p>
    <w:p w:rsidR="00000000" w:rsidRDefault="0033777B">
      <w:pPr>
        <w:pBdr>
          <w:bottom w:val="single" w:sz="6" w:space="1" w:color="auto"/>
        </w:pBdr>
        <w:tabs>
          <w:tab w:val="left" w:pos="1440"/>
        </w:tabs>
        <w:rPr>
          <w:rFonts w:ascii="Times New Roman" w:hAnsi="Times New Roman"/>
          <w:color w:val="000000"/>
        </w:rPr>
      </w:pPr>
    </w:p>
    <w:p w:rsidR="00000000" w:rsidRDefault="0033777B">
      <w:pPr>
        <w:rPr>
          <w:rFonts w:ascii="Times New Roman" w:hAnsi="Times New Roman"/>
          <w:color w:val="000000"/>
        </w:rPr>
      </w:pPr>
    </w:p>
    <w:p w:rsidR="00000000" w:rsidRDefault="0033777B">
      <w:pPr>
        <w:rPr>
          <w:rFonts w:ascii="Times New Roman" w:hAnsi="Times New Roman"/>
          <w:b/>
          <w:color w:val="000000"/>
        </w:rPr>
      </w:pPr>
      <w:r>
        <w:rPr>
          <w:rFonts w:ascii="Times New Roman" w:hAnsi="Times New Roman"/>
          <w:b/>
          <w:color w:val="000000"/>
        </w:rPr>
        <w:t>Credit and Capacity to Repay Evaluation</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FHA’s Mortgage Scorecard evaluates the borrower’s credit history, income, cash reserves, and o</w:t>
      </w:r>
      <w:r>
        <w:rPr>
          <w:rFonts w:ascii="Times New Roman" w:hAnsi="Times New Roman"/>
          <w:color w:val="000000"/>
        </w:rPr>
        <w:t>ther components of creditworthiness and either determines that the borrower is acceptable as a mortgage credit risk and may be processed with reduced documentation, or refers the loan application to a DE underwriter for his or her personal review and evalu</w:t>
      </w:r>
      <w:r>
        <w:rPr>
          <w:rFonts w:ascii="Times New Roman" w:hAnsi="Times New Roman"/>
          <w:color w:val="000000"/>
        </w:rPr>
        <w:t>ation.  This chapter describes how lenders may use FHA’s TOTAL Mortgage Scorecard deployed through an approved AUS in evaluating the borrower’s credit and capacity to repay the mortgage including:</w:t>
      </w: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Adequacy of Income;</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Funds to Close and Cash Reserves; and</w:t>
      </w:r>
    </w:p>
    <w:p w:rsidR="00000000" w:rsidRDefault="0033777B">
      <w:pPr>
        <w:numPr>
          <w:ilvl w:val="0"/>
          <w:numId w:val="2"/>
        </w:numPr>
        <w:ind w:left="1242"/>
        <w:rPr>
          <w:rFonts w:ascii="Times New Roman" w:hAnsi="Times New Roman"/>
          <w:color w:val="000000"/>
        </w:rPr>
      </w:pPr>
      <w:r>
        <w:rPr>
          <w:rFonts w:ascii="Times New Roman" w:hAnsi="Times New Roman"/>
          <w:color w:val="000000"/>
        </w:rPr>
        <w:t>Credit History</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b/>
          <w:color w:val="000000"/>
        </w:rPr>
        <w:t>Risk Classification and Related Responsibilities</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Lenders should also refer to the user guides developed by the AUS vendor.  However, feedback messages provided by the AUS vendor do not supersede the written guidelines issued by FHA in this</w:t>
      </w:r>
      <w:r>
        <w:rPr>
          <w:rFonts w:ascii="Times New Roman" w:hAnsi="Times New Roman"/>
          <w:color w:val="000000"/>
        </w:rPr>
        <w:t xml:space="preserve"> User Guide.</w:t>
      </w:r>
    </w:p>
    <w:p w:rsidR="00000000" w:rsidRDefault="0033777B">
      <w:pPr>
        <w:rPr>
          <w:rFonts w:ascii="Times New Roman" w:hAnsi="Times New Roman"/>
          <w:color w:val="000000"/>
        </w:rPr>
      </w:pPr>
    </w:p>
    <w:p w:rsidR="00000000" w:rsidRDefault="0033777B">
      <w:pPr>
        <w:rPr>
          <w:rFonts w:ascii="Times New Roman" w:hAnsi="Times New Roman"/>
          <w:b/>
          <w:color w:val="000000"/>
        </w:rPr>
      </w:pPr>
      <w:r>
        <w:rPr>
          <w:rFonts w:ascii="Times New Roman" w:hAnsi="Times New Roman"/>
          <w:b/>
          <w:color w:val="000000"/>
        </w:rPr>
        <w:t>“Accept/Approve”</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If the AUS using the TOTAL Mortgage Scorecard rates the mortgage loan application as an accept or approve, based on the analysis of the credit and capacity to repay and certain other loan characteristics, the loan is eligibl</w:t>
      </w:r>
      <w:r>
        <w:rPr>
          <w:rFonts w:ascii="Times New Roman" w:hAnsi="Times New Roman"/>
          <w:color w:val="000000"/>
        </w:rPr>
        <w:t>e for FHA’s insurance endorsement provided:</w:t>
      </w:r>
    </w:p>
    <w:p w:rsidR="00000000" w:rsidRDefault="0033777B">
      <w:pPr>
        <w:rPr>
          <w:rFonts w:ascii="Times New Roman" w:hAnsi="Times New Roman"/>
          <w:color w:val="000000"/>
        </w:rPr>
      </w:pPr>
    </w:p>
    <w:p w:rsidR="00000000" w:rsidRDefault="0033777B">
      <w:pPr>
        <w:numPr>
          <w:ilvl w:val="0"/>
          <w:numId w:val="2"/>
        </w:numPr>
        <w:ind w:left="1080"/>
        <w:rPr>
          <w:rFonts w:ascii="Times New Roman" w:hAnsi="Times New Roman"/>
          <w:color w:val="000000"/>
        </w:rPr>
      </w:pPr>
      <w:r>
        <w:rPr>
          <w:rFonts w:ascii="Times New Roman" w:hAnsi="Times New Roman"/>
          <w:color w:val="000000"/>
        </w:rPr>
        <w:t>The data entered into the AUS are true, complete, properly documented, and accurate; and</w:t>
      </w:r>
    </w:p>
    <w:p w:rsidR="00000000" w:rsidRDefault="0033777B">
      <w:pPr>
        <w:numPr>
          <w:ilvl w:val="0"/>
          <w:numId w:val="2"/>
        </w:numPr>
        <w:ind w:left="1080"/>
        <w:rPr>
          <w:rFonts w:ascii="Times New Roman" w:hAnsi="Times New Roman"/>
          <w:color w:val="000000"/>
        </w:rPr>
      </w:pPr>
      <w:r>
        <w:rPr>
          <w:rFonts w:ascii="Times New Roman" w:hAnsi="Times New Roman"/>
          <w:color w:val="000000"/>
        </w:rPr>
        <w:lastRenderedPageBreak/>
        <w:t xml:space="preserve">The entire loan package meets all other FHA requirements (except for those specifically not required because the loan was </w:t>
      </w:r>
      <w:r>
        <w:rPr>
          <w:rFonts w:ascii="Times New Roman" w:hAnsi="Times New Roman"/>
          <w:color w:val="000000"/>
        </w:rPr>
        <w:t>evaluated by an AUS).  FHA requires adherence to all eligibility rules and the documentation requirements described elsewhere in this User Guide and Handbook HUD 4155.1 REV-5.  The DE underwriter need not use his or her personal CHUMS identification number</w:t>
      </w:r>
      <w:r>
        <w:rPr>
          <w:rFonts w:ascii="Times New Roman" w:hAnsi="Times New Roman"/>
          <w:color w:val="000000"/>
        </w:rPr>
        <w:t xml:space="preserve"> on forms HUD-92900-WS, 92900-PUR, loan information summary sheet, or 92900-A and must substitute the CHUMS identifier provided as feedback by TOTAL.</w:t>
      </w:r>
    </w:p>
    <w:p w:rsidR="00000000" w:rsidRDefault="0033777B">
      <w:pPr>
        <w:rPr>
          <w:rFonts w:ascii="Times New Roman" w:hAnsi="Times New Roman"/>
          <w:color w:val="000000"/>
        </w:rPr>
      </w:pPr>
    </w:p>
    <w:p w:rsidR="00000000" w:rsidRDefault="0033777B">
      <w:pPr>
        <w:pStyle w:val="Heading9"/>
        <w:rPr>
          <w:color w:val="000000"/>
        </w:rPr>
      </w:pPr>
      <w:r>
        <w:rPr>
          <w:color w:val="000000"/>
        </w:rPr>
        <w:t>“Approve/Ineligible” Recommendations</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The AUS vendor may also provide “approve/ineligible” recommendation</w:t>
      </w:r>
      <w:r>
        <w:rPr>
          <w:rFonts w:ascii="Times New Roman" w:hAnsi="Times New Roman"/>
          <w:color w:val="000000"/>
        </w:rPr>
        <w:t>s.  Loans receiving this recommendation have been determined to have met FHA’s Mortgage Scorecard threshold but do not meet certain FHA eligibility requirements.  The vendor will provide detailed information advising why the loan did not meet FHA’s eligibi</w:t>
      </w:r>
      <w:r>
        <w:rPr>
          <w:rFonts w:ascii="Times New Roman" w:hAnsi="Times New Roman"/>
          <w:color w:val="000000"/>
        </w:rPr>
        <w:t>lity requirements.  Typical reasons for an “approve/ineligible” recommendation include:</w:t>
      </w:r>
    </w:p>
    <w:p w:rsidR="00000000" w:rsidRDefault="0033777B">
      <w:pPr>
        <w:pStyle w:val="EndnoteText"/>
        <w:rPr>
          <w:rFonts w:ascii="Times New Roman" w:hAnsi="Times New Roman"/>
          <w:color w:val="000000"/>
        </w:rPr>
      </w:pPr>
    </w:p>
    <w:p w:rsidR="00000000" w:rsidRDefault="0033777B">
      <w:pPr>
        <w:numPr>
          <w:ilvl w:val="0"/>
          <w:numId w:val="4"/>
        </w:numPr>
        <w:rPr>
          <w:rFonts w:ascii="Times New Roman" w:hAnsi="Times New Roman"/>
          <w:color w:val="000000"/>
        </w:rPr>
      </w:pPr>
      <w:r>
        <w:rPr>
          <w:rFonts w:ascii="Times New Roman" w:hAnsi="Times New Roman"/>
          <w:color w:val="000000"/>
        </w:rPr>
        <w:t>Loan amount exceeds the FHA maximum;</w:t>
      </w:r>
    </w:p>
    <w:p w:rsidR="00000000" w:rsidRDefault="0033777B">
      <w:pPr>
        <w:numPr>
          <w:ilvl w:val="0"/>
          <w:numId w:val="4"/>
        </w:numPr>
        <w:rPr>
          <w:rFonts w:ascii="Times New Roman" w:hAnsi="Times New Roman"/>
          <w:strike/>
          <w:color w:val="000000"/>
        </w:rPr>
      </w:pPr>
      <w:r>
        <w:rPr>
          <w:rFonts w:ascii="Times New Roman" w:hAnsi="Times New Roman"/>
          <w:color w:val="000000"/>
        </w:rPr>
        <w:t>Property type submitted does not correspond to the Section of the Act selected in the AUS;</w:t>
      </w:r>
    </w:p>
    <w:p w:rsidR="00000000" w:rsidRDefault="0033777B">
      <w:pPr>
        <w:numPr>
          <w:ilvl w:val="0"/>
          <w:numId w:val="4"/>
        </w:numPr>
        <w:rPr>
          <w:rFonts w:ascii="Times New Roman" w:hAnsi="Times New Roman"/>
          <w:color w:val="000000"/>
        </w:rPr>
      </w:pPr>
      <w:r>
        <w:rPr>
          <w:rFonts w:ascii="Times New Roman" w:hAnsi="Times New Roman"/>
          <w:color w:val="000000"/>
        </w:rPr>
        <w:t>Insufficient reserves on a 3- or 4-unit</w:t>
      </w:r>
      <w:r>
        <w:rPr>
          <w:rFonts w:ascii="Times New Roman" w:hAnsi="Times New Roman"/>
          <w:color w:val="000000"/>
        </w:rPr>
        <w:t xml:space="preserve"> property; and</w:t>
      </w:r>
    </w:p>
    <w:p w:rsidR="00000000" w:rsidRDefault="0033777B">
      <w:pPr>
        <w:numPr>
          <w:ilvl w:val="0"/>
          <w:numId w:val="4"/>
        </w:numPr>
        <w:rPr>
          <w:rFonts w:ascii="Times New Roman" w:hAnsi="Times New Roman"/>
          <w:color w:val="000000"/>
        </w:rPr>
      </w:pPr>
      <w:r>
        <w:rPr>
          <w:rFonts w:ascii="Times New Roman" w:hAnsi="Times New Roman"/>
          <w:color w:val="000000"/>
        </w:rPr>
        <w:t>Insufficient funds for closing.</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Loans that receive a recommendation of “approve/ineligible” may still be eligible for FHA insurance.  To achieve eligibility status, the lender must analyze the findings report and determine that the reason f</w:t>
      </w:r>
      <w:r>
        <w:rPr>
          <w:rFonts w:ascii="Times New Roman" w:hAnsi="Times New Roman"/>
          <w:color w:val="000000"/>
        </w:rPr>
        <w:t>or the ineligibility is one that can be resolved in a manner complying with FHA underwriting requirements.  The lender must document the circumstances or other reasons that were evaluated in making the decision to approve the loan in the remarks section of</w:t>
      </w:r>
      <w:r>
        <w:rPr>
          <w:rFonts w:ascii="Times New Roman" w:hAnsi="Times New Roman"/>
          <w:color w:val="000000"/>
        </w:rPr>
        <w:t xml:space="preserve"> the mortgage credit analysis worksheet (MCAW).  The lender is not required to re-underwrite the entire loan, but must address each reason the loan received an ineligible recommendation and document and explain why it is now eligible for FHA insurance.  Lo</w:t>
      </w:r>
      <w:r>
        <w:rPr>
          <w:rFonts w:ascii="Times New Roman" w:hAnsi="Times New Roman"/>
          <w:color w:val="000000"/>
        </w:rPr>
        <w:t>ans that receive a recommendation of “approve/ineligible” will receive the benefit of all other accept or approve documentation and credit policy revisions.  The CHUMS identifier issued by TOTAL (currently ZFHA) may be used as the underwriter on the MCAW f</w:t>
      </w:r>
      <w:r>
        <w:rPr>
          <w:rFonts w:ascii="Times New Roman" w:hAnsi="Times New Roman"/>
          <w:color w:val="000000"/>
        </w:rPr>
        <w:t>or mortgages risk classified as “approve/ineligible.”</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The lender may also need to correct the issue(s) that caused the loan to be ineligible and resubmit the loan to attempt to obtain an “accept/approve” recommendation such as when a mortgage amount excee</w:t>
      </w:r>
      <w:r>
        <w:rPr>
          <w:rFonts w:ascii="Times New Roman" w:hAnsi="Times New Roman"/>
          <w:color w:val="000000"/>
        </w:rPr>
        <w:t>ds statutory limits.</w:t>
      </w:r>
    </w:p>
    <w:p w:rsidR="00000000" w:rsidRDefault="0033777B">
      <w:pPr>
        <w:rPr>
          <w:rFonts w:ascii="Times New Roman" w:hAnsi="Times New Roman"/>
          <w:color w:val="000000"/>
        </w:rPr>
      </w:pPr>
    </w:p>
    <w:p w:rsidR="00000000" w:rsidRDefault="0033777B">
      <w:pPr>
        <w:rPr>
          <w:rFonts w:ascii="Times New Roman" w:hAnsi="Times New Roman"/>
          <w:color w:val="000000"/>
        </w:rPr>
      </w:pPr>
    </w:p>
    <w:p w:rsidR="00000000" w:rsidRDefault="0033777B">
      <w:pPr>
        <w:rPr>
          <w:rFonts w:ascii="Times New Roman" w:hAnsi="Times New Roman"/>
          <w:b/>
          <w:color w:val="000000"/>
        </w:rPr>
      </w:pPr>
      <w:r>
        <w:rPr>
          <w:rFonts w:ascii="Times New Roman" w:hAnsi="Times New Roman"/>
          <w:b/>
          <w:color w:val="000000"/>
        </w:rPr>
        <w:t>“Refer”</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 xml:space="preserve">The lender using the TOTAL Mortgage Scorecard must conduct a manual underwriting review according to FHA requirements for all loan applications that generate a “refer” rating.  The DE </w:t>
      </w:r>
      <w:r>
        <w:rPr>
          <w:rFonts w:ascii="Times New Roman" w:hAnsi="Times New Roman"/>
          <w:color w:val="000000"/>
        </w:rPr>
        <w:lastRenderedPageBreak/>
        <w:t>underwriter must determine if the borrow</w:t>
      </w:r>
      <w:r>
        <w:rPr>
          <w:rFonts w:ascii="Times New Roman" w:hAnsi="Times New Roman"/>
          <w:color w:val="000000"/>
        </w:rPr>
        <w:t xml:space="preserve">er is creditworthy in accordance with FHA standard credit policies and requirements. </w:t>
      </w:r>
      <w:r>
        <w:rPr>
          <w:rFonts w:ascii="Tms Rmn" w:hAnsi="Tms Rmn"/>
          <w:color w:val="000000"/>
          <w:szCs w:val="24"/>
        </w:rPr>
        <w:t xml:space="preserve"> </w:t>
      </w:r>
      <w:r>
        <w:rPr>
          <w:rFonts w:ascii="Times New Roman" w:hAnsi="Times New Roman"/>
          <w:color w:val="000000"/>
          <w:szCs w:val="24"/>
        </w:rPr>
        <w:t xml:space="preserve">It is FHA policy that no borrower will be denied a FHA insured mortgage loan solely on the basis of a risk assessment generated by the TOTAL Mortgage Scorecard.  </w:t>
      </w:r>
    </w:p>
    <w:p w:rsidR="00000000" w:rsidRDefault="0033777B">
      <w:pPr>
        <w:pStyle w:val="Heading9"/>
        <w:rPr>
          <w:bCs w:val="0"/>
          <w:color w:val="000000"/>
        </w:rPr>
      </w:pPr>
    </w:p>
    <w:p w:rsidR="00000000" w:rsidRDefault="0033777B">
      <w:pPr>
        <w:pStyle w:val="Heading9"/>
        <w:rPr>
          <w:bCs w:val="0"/>
          <w:color w:val="000000"/>
        </w:rPr>
      </w:pPr>
      <w:r>
        <w:rPr>
          <w:bCs w:val="0"/>
          <w:color w:val="000000"/>
        </w:rPr>
        <w:t>System</w:t>
      </w:r>
      <w:r>
        <w:rPr>
          <w:bCs w:val="0"/>
          <w:color w:val="000000"/>
        </w:rPr>
        <w:t xml:space="preserve"> Overrides and Manual Downgrades</w:t>
      </w:r>
    </w:p>
    <w:p w:rsidR="00000000" w:rsidRDefault="0033777B">
      <w:pPr>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A system override and/or manual downgrade of an “accept/approve” to a “refer” classification may be required if a particular loan application variable is revealed during loan processing.  Loan processors and underwriters m</w:t>
      </w:r>
      <w:r>
        <w:rPr>
          <w:rFonts w:ascii="Times New Roman" w:hAnsi="Times New Roman"/>
          <w:color w:val="000000"/>
        </w:rPr>
        <w:t xml:space="preserve">ust be aware of the variables detailed later in this User Guide that otherwise require an accept/approve mortgage loan application to be remanded to an underwriter for his or her personal review and decision.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color w:val="000000"/>
          <w:sz w:val="28"/>
          <w:u w:val="single"/>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color w:val="000000"/>
          <w:sz w:val="28"/>
        </w:rPr>
      </w:pPr>
      <w:r>
        <w:rPr>
          <w:rFonts w:ascii="Times New Roman" w:hAnsi="Times New Roman"/>
          <w:b/>
          <w:color w:val="000000"/>
        </w:rPr>
        <w:t>Documentation Requirements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rPr>
          <w:rFonts w:ascii="Times New Roman" w:hAnsi="Times New Roman"/>
          <w:b/>
          <w:color w:val="000000"/>
          <w:sz w:val="28"/>
          <w:u w:val="single"/>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All standard FHA </w:t>
      </w:r>
      <w:r>
        <w:rPr>
          <w:rFonts w:ascii="Times New Roman" w:hAnsi="Times New Roman"/>
          <w:color w:val="000000"/>
        </w:rPr>
        <w:t>documentation requirements must be met, with the exception of those described below which may allow for reduced documentation sets based upon the risk classification of the loan.  The lender must also document any situation not addressed in this User Guide</w:t>
      </w:r>
      <w:r>
        <w:rPr>
          <w:rFonts w:ascii="Times New Roman" w:hAnsi="Times New Roman"/>
          <w:color w:val="000000"/>
        </w:rPr>
        <w:t xml:space="preserve"> in accordance with the applicable HUD Handbook or Mortgagee Letter.</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widowControl/>
        <w:rPr>
          <w:rFonts w:ascii="Times New Roman" w:hAnsi="Times New Roman"/>
          <w:color w:val="000000"/>
        </w:rPr>
      </w:pPr>
      <w:r>
        <w:rPr>
          <w:rFonts w:ascii="Times New Roman" w:hAnsi="Times New Roman"/>
          <w:color w:val="000000"/>
          <w:u w:val="single"/>
        </w:rPr>
        <w:t>“Faxed” Documents</w:t>
      </w:r>
      <w:r>
        <w:rPr>
          <w:rFonts w:ascii="Times New Roman" w:hAnsi="Times New Roman"/>
          <w:color w:val="000000"/>
        </w:rPr>
        <w:t>—If income/employment, asset, or other documents including various disclosures are “faxed” to and from the lender, the documents must clearly identify the employer, depo</w:t>
      </w:r>
      <w:r>
        <w:rPr>
          <w:rFonts w:ascii="Times New Roman" w:hAnsi="Times New Roman"/>
          <w:color w:val="000000"/>
        </w:rPr>
        <w:t xml:space="preserve">sitory/investment firm’s name, etc., and source of information.  The lender is accountable for ascertaining the authenticity of the document by examining, among other things, the information included at the top or banner portion of the fax received by the </w:t>
      </w:r>
      <w:r>
        <w:rPr>
          <w:rFonts w:ascii="Times New Roman" w:hAnsi="Times New Roman"/>
          <w:color w:val="000000"/>
        </w:rPr>
        <w:t xml:space="preserve">lender.  The document itself must also include a name and telephone number of the individual with the employer or financial institution that can verify the accuracy of the data. </w:t>
      </w:r>
    </w:p>
    <w:p w:rsidR="00000000" w:rsidRDefault="0033777B">
      <w:pPr>
        <w:widowControl/>
        <w:ind w:firstLine="720"/>
        <w:rPr>
          <w:rFonts w:ascii="Times New Roman" w:hAnsi="Times New Roman"/>
          <w:color w:val="000000"/>
        </w:rPr>
      </w:pPr>
    </w:p>
    <w:p w:rsidR="00000000" w:rsidRDefault="0033777B">
      <w:pPr>
        <w:pBdr>
          <w:bottom w:val="single" w:sz="6" w:space="1" w:color="auto"/>
        </w:pBd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u w:val="single"/>
        </w:rPr>
        <w:t>Internet Downloads</w:t>
      </w:r>
      <w:r>
        <w:rPr>
          <w:rFonts w:ascii="Times New Roman" w:hAnsi="Times New Roman"/>
          <w:color w:val="000000"/>
        </w:rPr>
        <w:t>—Income/employment or asset documents downloaded from an I</w:t>
      </w:r>
      <w:r>
        <w:rPr>
          <w:rFonts w:ascii="Times New Roman" w:hAnsi="Times New Roman"/>
          <w:color w:val="000000"/>
        </w:rPr>
        <w:t xml:space="preserve">nternet website must be placed in the case binder in paper form.  The documents must clearly identify the employer or depository/investment firm’s name and source of information.  The lender is accountable for ascertaining the authenticity of the document </w:t>
      </w:r>
      <w:r>
        <w:rPr>
          <w:rFonts w:ascii="Times New Roman" w:hAnsi="Times New Roman"/>
          <w:color w:val="000000"/>
        </w:rPr>
        <w:t>by examining the information included on any headers, footers, and the banner portion of the printouts of the downloaded web page(s).  The printed web page(s) must also show its Uniform Resource Locator (URL) address and the date and time printed.</w:t>
      </w:r>
    </w:p>
    <w:p w:rsidR="00000000" w:rsidRDefault="0033777B">
      <w:pPr>
        <w:pBdr>
          <w:bottom w:val="single" w:sz="6" w:space="1" w:color="auto"/>
        </w:pBd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u w:val="single"/>
        </w:rPr>
      </w:pPr>
      <w:r>
        <w:rPr>
          <w:rFonts w:ascii="Times New Roman" w:hAnsi="Times New Roman"/>
          <w:b/>
          <w:color w:val="000000"/>
          <w:u w:val="single"/>
        </w:rPr>
        <w:t>Employ</w:t>
      </w:r>
      <w:r>
        <w:rPr>
          <w:rFonts w:ascii="Times New Roman" w:hAnsi="Times New Roman"/>
          <w:b/>
          <w:color w:val="000000"/>
          <w:u w:val="single"/>
        </w:rPr>
        <w:t>ment /Income</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Specific underwriting requirements for what constitutes acceptable types and sources of income, as well as stability of income requirements are described in Chapter 2 of Handbook HUD 4155.1 REV-5.  The lender is responsible for documenting an</w:t>
      </w:r>
      <w:r>
        <w:rPr>
          <w:rFonts w:ascii="Times New Roman" w:hAnsi="Times New Roman"/>
          <w:color w:val="000000"/>
        </w:rPr>
        <w:t xml:space="preserve">d verifying the accuracy of the amount of income being reported, and for determining if it can be considered as effective income in determining the payment-to-income and debt-to-income ratios.  If any information regarding a </w:t>
      </w:r>
      <w:r>
        <w:rPr>
          <w:rFonts w:ascii="Times New Roman" w:hAnsi="Times New Roman"/>
          <w:color w:val="000000"/>
        </w:rPr>
        <w:lastRenderedPageBreak/>
        <w:t>borrower’s income or employment</w:t>
      </w:r>
      <w:r>
        <w:rPr>
          <w:rFonts w:ascii="Times New Roman" w:hAnsi="Times New Roman"/>
          <w:color w:val="000000"/>
        </w:rPr>
        <w:t xml:space="preserve"> changes during loan processing, the lender must resubmit current, corrected information through the AUS to determine if the risk classification changes.  Additional documentation may be required for borrowers who work for family-owned businesses, as per t</w:t>
      </w:r>
      <w:r>
        <w:rPr>
          <w:rFonts w:ascii="Times New Roman" w:hAnsi="Times New Roman"/>
          <w:color w:val="000000"/>
        </w:rPr>
        <w:t>he mortgage credit handbook.</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bl>
      <w:tblPr>
        <w:tblW w:w="0" w:type="auto"/>
        <w:tblLayout w:type="fixed"/>
        <w:tblLook w:val="0000"/>
      </w:tblPr>
      <w:tblGrid>
        <w:gridCol w:w="4788"/>
        <w:gridCol w:w="4788"/>
      </w:tblGrid>
      <w:tr w:rsidR="00000000">
        <w:tblPrEx>
          <w:tblCellMar>
            <w:top w:w="0" w:type="dxa"/>
            <w:bottom w:w="0" w:type="dxa"/>
          </w:tblCellMar>
        </w:tblPrEx>
        <w:tc>
          <w:tcPr>
            <w:tcW w:w="4788" w:type="dxa"/>
            <w:tcBorders>
              <w:top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For loan applications rated as “</w:t>
            </w:r>
            <w:r>
              <w:rPr>
                <w:rFonts w:ascii="Times New Roman" w:hAnsi="Times New Roman"/>
                <w:b/>
                <w:i/>
                <w:color w:val="000000"/>
              </w:rPr>
              <w:t>Accept/Approve”</w:t>
            </w:r>
            <w:r>
              <w:rPr>
                <w:rFonts w:ascii="Times New Roman" w:hAnsi="Times New Roman"/>
                <w:b/>
                <w:color w:val="000000"/>
              </w:rPr>
              <w:t>, use the following to verify employment for employed borrowers:</w:t>
            </w:r>
          </w:p>
        </w:tc>
        <w:tc>
          <w:tcPr>
            <w:tcW w:w="4788" w:type="dxa"/>
            <w:tcBorders>
              <w:top w:val="single" w:sz="6" w:space="0" w:color="auto"/>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For loan applications rated as “</w:t>
            </w:r>
            <w:r>
              <w:rPr>
                <w:rFonts w:ascii="Times New Roman" w:hAnsi="Times New Roman"/>
                <w:b/>
                <w:i/>
                <w:color w:val="000000"/>
              </w:rPr>
              <w:t>Refer”</w:t>
            </w:r>
            <w:r>
              <w:rPr>
                <w:rFonts w:ascii="Times New Roman" w:hAnsi="Times New Roman"/>
                <w:b/>
                <w:color w:val="000000"/>
              </w:rPr>
              <w:t>, use the following to verify employment for employed borrowers:</w:t>
            </w:r>
          </w:p>
        </w:tc>
      </w:tr>
      <w:tr w:rsidR="00000000">
        <w:tblPrEx>
          <w:tblCellMar>
            <w:top w:w="0" w:type="dxa"/>
            <w:bottom w:w="0" w:type="dxa"/>
          </w:tblCellMar>
        </w:tblPrEx>
        <w:tc>
          <w:tcPr>
            <w:tcW w:w="4788" w:type="dxa"/>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 xml:space="preserve">Current </w:t>
            </w:r>
            <w:r>
              <w:rPr>
                <w:rFonts w:ascii="Times New Roman" w:hAnsi="Times New Roman"/>
                <w:b/>
                <w:color w:val="000000"/>
              </w:rPr>
              <w:t>Employment</w:t>
            </w:r>
            <w:r>
              <w:rPr>
                <w:rFonts w:ascii="Times New Roman" w:hAnsi="Times New Roman"/>
                <w:color w:val="000000"/>
              </w:rPr>
              <w:t xml:space="preserve">---The lender must obtain the single most recent pay stub (showing year-to-date earnings of at least one month) </w:t>
            </w:r>
            <w:r>
              <w:rPr>
                <w:rFonts w:ascii="Times New Roman" w:hAnsi="Times New Roman"/>
                <w:b/>
                <w:color w:val="000000"/>
              </w:rPr>
              <w:t>and</w:t>
            </w:r>
            <w:r>
              <w:rPr>
                <w:rFonts w:ascii="Times New Roman" w:hAnsi="Times New Roman"/>
                <w:color w:val="000000"/>
              </w:rPr>
              <w:t xml:space="preserve"> any one of the following to verify current employment: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Written Verification of Employment (VOE)</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Verbal verification of employme</w:t>
            </w:r>
            <w:r>
              <w:rPr>
                <w:rFonts w:ascii="Times New Roman" w:hAnsi="Times New Roman"/>
                <w:color w:val="000000"/>
              </w:rPr>
              <w:t>nt (Lender or service provider must document individual verifying the employment.)</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Electronic verification acceptable to FHA</w:t>
            </w: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hanging="360"/>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Employment History</w:t>
            </w:r>
            <w:r>
              <w:rPr>
                <w:rFonts w:ascii="Times New Roman" w:hAnsi="Times New Roman"/>
                <w:color w:val="000000"/>
              </w:rPr>
              <w:t>---The lender is required to verify the applicant’s employment history for the previous two years.  However, dir</w:t>
            </w:r>
            <w:r>
              <w:rPr>
                <w:rFonts w:ascii="Times New Roman" w:hAnsi="Times New Roman"/>
                <w:color w:val="000000"/>
              </w:rPr>
              <w:t xml:space="preserve">ect verification is </w:t>
            </w:r>
            <w:r>
              <w:rPr>
                <w:rFonts w:ascii="Times New Roman" w:hAnsi="Times New Roman"/>
                <w:i/>
                <w:color w:val="000000"/>
              </w:rPr>
              <w:t>not</w:t>
            </w:r>
            <w:r>
              <w:rPr>
                <w:rFonts w:ascii="Times New Roman" w:hAnsi="Times New Roman"/>
                <w:color w:val="000000"/>
              </w:rPr>
              <w:t xml:space="preserve"> required if </w:t>
            </w:r>
            <w:r>
              <w:rPr>
                <w:rFonts w:ascii="Times New Roman" w:hAnsi="Times New Roman"/>
                <w:i/>
                <w:color w:val="000000"/>
              </w:rPr>
              <w:t>all</w:t>
            </w:r>
            <w:r>
              <w:rPr>
                <w:rFonts w:ascii="Times New Roman" w:hAnsi="Times New Roman"/>
                <w:color w:val="000000"/>
              </w:rPr>
              <w:t xml:space="preserve"> of the following conditions are met:</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The current employer confirms a two-year employment history (this may include a paystub indicating a hiring date)</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Only base pay is used to qualify (no overtime or bonuses)</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The bor</w:t>
            </w:r>
            <w:r>
              <w:rPr>
                <w:rFonts w:ascii="Times New Roman" w:hAnsi="Times New Roman"/>
                <w:color w:val="000000"/>
              </w:rPr>
              <w:t>rower signs form IRS 4506 or 8821 for the previous two tax years.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color w:val="000000"/>
              </w:rPr>
            </w:pPr>
          </w:p>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42"/>
              <w:rPr>
                <w:rFonts w:ascii="Times New Roman" w:hAnsi="Times New Roman"/>
                <w:color w:val="000000"/>
              </w:rPr>
            </w:pPr>
            <w:r>
              <w:rPr>
                <w:rFonts w:ascii="Times New Roman" w:hAnsi="Times New Roman"/>
                <w:color w:val="000000"/>
              </w:rPr>
              <w:t xml:space="preserve">If the applicant has not been employed with the same employer for the previous two years and/or all conditions immediately </w:t>
            </w:r>
            <w:r>
              <w:rPr>
                <w:rFonts w:ascii="Times New Roman" w:hAnsi="Times New Roman"/>
                <w:color w:val="000000"/>
              </w:rPr>
              <w:lastRenderedPageBreak/>
              <w:t>above cannot be met, then the lender must obtain one of the follow</w:t>
            </w:r>
            <w:r>
              <w:rPr>
                <w:rFonts w:ascii="Times New Roman" w:hAnsi="Times New Roman"/>
                <w:color w:val="000000"/>
              </w:rPr>
              <w:t>ing for the most recent two years to verify the applicant’s employment history:</w:t>
            </w: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firstLine="0"/>
              <w:rPr>
                <w:rFonts w:ascii="Times New Roman" w:hAnsi="Times New Roman"/>
                <w:color w:val="000000"/>
              </w:rPr>
            </w:pPr>
            <w:r>
              <w:rPr>
                <w:rFonts w:ascii="Times New Roman" w:hAnsi="Times New Roman"/>
                <w:color w:val="000000"/>
              </w:rPr>
              <w:t>W-2(s)</w:t>
            </w: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firstLine="0"/>
              <w:rPr>
                <w:rFonts w:ascii="Times New Roman" w:hAnsi="Times New Roman"/>
                <w:color w:val="000000"/>
              </w:rPr>
            </w:pPr>
            <w:r>
              <w:rPr>
                <w:rFonts w:ascii="Times New Roman" w:hAnsi="Times New Roman"/>
                <w:color w:val="000000"/>
              </w:rPr>
              <w:t>VOE(s)</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Electronic verification acceptable to FHA</w:t>
            </w:r>
          </w:p>
        </w:tc>
        <w:tc>
          <w:tcPr>
            <w:tcW w:w="4788" w:type="dxa"/>
            <w:tcBorders>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Current Employment</w:t>
            </w:r>
            <w:r>
              <w:rPr>
                <w:rFonts w:ascii="Times New Roman" w:hAnsi="Times New Roman"/>
                <w:color w:val="000000"/>
              </w:rPr>
              <w:t xml:space="preserve">---The lender must obtain the single most recent pay stub (showing year-to-date earnings of at least </w:t>
            </w:r>
            <w:r>
              <w:rPr>
                <w:rFonts w:ascii="Times New Roman" w:hAnsi="Times New Roman"/>
                <w:color w:val="000000"/>
              </w:rPr>
              <w:t xml:space="preserve">one month) </w:t>
            </w:r>
            <w:r>
              <w:rPr>
                <w:rFonts w:ascii="Times New Roman" w:hAnsi="Times New Roman"/>
                <w:b/>
                <w:color w:val="000000"/>
              </w:rPr>
              <w:t>and</w:t>
            </w:r>
            <w:r>
              <w:rPr>
                <w:rFonts w:ascii="Times New Roman" w:hAnsi="Times New Roman"/>
                <w:color w:val="000000"/>
              </w:rPr>
              <w:t xml:space="preserve"> any one of the following to verify current employment:</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Written Verification of Employment (VOE)</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Verbal verification of employment (Lender or service provider must document individual verifying the employment.)</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Electronic verification accept</w:t>
            </w:r>
            <w:r>
              <w:rPr>
                <w:rFonts w:ascii="Times New Roman" w:hAnsi="Times New Roman"/>
                <w:color w:val="000000"/>
              </w:rPr>
              <w:t>able to FHA</w:t>
            </w: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hanging="360"/>
              <w:rPr>
                <w:rFonts w:ascii="Times New Roman" w:hAnsi="Times New Roman"/>
                <w:color w:val="000000"/>
              </w:rPr>
            </w:pPr>
          </w:p>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42"/>
              <w:rPr>
                <w:rFonts w:ascii="Times New Roman" w:hAnsi="Times New Roman"/>
                <w:color w:val="000000"/>
              </w:rPr>
            </w:pPr>
            <w:r>
              <w:rPr>
                <w:rFonts w:ascii="Times New Roman" w:hAnsi="Times New Roman"/>
                <w:b/>
                <w:color w:val="000000"/>
              </w:rPr>
              <w:t>Employment History</w:t>
            </w:r>
            <w:r>
              <w:rPr>
                <w:rFonts w:ascii="Times New Roman" w:hAnsi="Times New Roman"/>
                <w:color w:val="000000"/>
              </w:rPr>
              <w:t>---The lender is required to verify the applicant’s employment history for the previous two years.  Obtain one of the following for the most recent two years to verify the applicant’s employment history:</w:t>
            </w: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firstLine="0"/>
              <w:rPr>
                <w:rFonts w:ascii="Times New Roman" w:hAnsi="Times New Roman"/>
                <w:color w:val="000000"/>
              </w:rPr>
            </w:pPr>
            <w:r>
              <w:rPr>
                <w:rFonts w:ascii="Times New Roman" w:hAnsi="Times New Roman"/>
                <w:color w:val="000000"/>
              </w:rPr>
              <w:t>W-2(s)</w:t>
            </w: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firstLine="0"/>
              <w:rPr>
                <w:rFonts w:ascii="Times New Roman" w:hAnsi="Times New Roman"/>
                <w:color w:val="000000"/>
              </w:rPr>
            </w:pPr>
            <w:r>
              <w:rPr>
                <w:rFonts w:ascii="Times New Roman" w:hAnsi="Times New Roman"/>
                <w:color w:val="000000"/>
              </w:rPr>
              <w:t>VOE(s)</w:t>
            </w:r>
          </w:p>
          <w:p w:rsidR="00000000" w:rsidRDefault="0033777B">
            <w:pPr>
              <w:numPr>
                <w:ilvl w:val="0"/>
                <w:numId w:val="2"/>
              </w:numPr>
              <w:tabs>
                <w:tab w:val="left" w:pos="-1440"/>
                <w:tab w:val="left" w:pos="-720"/>
                <w:tab w:val="left" w:pos="0"/>
                <w:tab w:val="left" w:pos="864"/>
                <w:tab w:val="left" w:pos="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Electro</w:t>
            </w:r>
            <w:r>
              <w:rPr>
                <w:rFonts w:ascii="Times New Roman" w:hAnsi="Times New Roman"/>
                <w:color w:val="000000"/>
              </w:rPr>
              <w:t>nic verification acceptable to FHA</w:t>
            </w:r>
          </w:p>
        </w:tc>
      </w:tr>
    </w:tbl>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u w:val="single"/>
        </w:rPr>
      </w:pPr>
      <w:r>
        <w:rPr>
          <w:rFonts w:ascii="Times New Roman" w:hAnsi="Times New Roman"/>
          <w:b/>
          <w:color w:val="000000"/>
          <w:u w:val="single"/>
        </w:rPr>
        <w:t>Commissioned Individuals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 commissioned applicant is defined as one who receives more than 25 percent of his or her annual income from commissions.  For these individuals, obtain and analyze signed federal income tax r</w:t>
      </w:r>
      <w:r>
        <w:rPr>
          <w:rFonts w:ascii="Times New Roman" w:hAnsi="Times New Roman"/>
          <w:color w:val="000000"/>
        </w:rPr>
        <w:t xml:space="preserve">eturns, including all schedules, for the most recent two years and subtract unreimbursed business expenses in underwriting.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u w:val="single"/>
        </w:rPr>
      </w:pPr>
      <w:r>
        <w:rPr>
          <w:rFonts w:ascii="Times New Roman" w:hAnsi="Times New Roman"/>
          <w:b/>
          <w:color w:val="000000"/>
          <w:u w:val="single"/>
        </w:rPr>
        <w:t>Self-Employed Borrowers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FHA considers a borrower owning 25 percent or more of a business as being self-employed.  The minimum le</w:t>
      </w:r>
      <w:r>
        <w:rPr>
          <w:rFonts w:ascii="Times New Roman" w:hAnsi="Times New Roman"/>
          <w:color w:val="000000"/>
        </w:rPr>
        <w:t>ngth of self-employment that a borrower must exhibit to have that income considered stable and effective for qualifying is discussed in Handbook HUD 4155.1 REV-5.  Unless the self-employed borrower’s income information is obtained directly from the Interna</w:t>
      </w:r>
      <w:r>
        <w:rPr>
          <w:rFonts w:ascii="Times New Roman" w:hAnsi="Times New Roman"/>
          <w:color w:val="000000"/>
        </w:rPr>
        <w:t>l Revenue Service (IRS), as a quality control measure, all other self-employed borrowers must sign form IRS 4506 or 8821 and lenders must routinely verify through IRS the income being reported for the mortgage application.</w:t>
      </w:r>
    </w:p>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bl>
      <w:tblPr>
        <w:tblW w:w="0" w:type="auto"/>
        <w:tblLayout w:type="fixed"/>
        <w:tblLook w:val="0000"/>
      </w:tblPr>
      <w:tblGrid>
        <w:gridCol w:w="4788"/>
        <w:gridCol w:w="4788"/>
      </w:tblGrid>
      <w:tr w:rsidR="00000000">
        <w:tblPrEx>
          <w:tblCellMar>
            <w:top w:w="0" w:type="dxa"/>
            <w:bottom w:w="0" w:type="dxa"/>
          </w:tblCellMar>
        </w:tblPrEx>
        <w:tc>
          <w:tcPr>
            <w:tcW w:w="4788" w:type="dxa"/>
            <w:tcBorders>
              <w:top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 xml:space="preserve">Use the following to verify the </w:t>
            </w:r>
            <w:r>
              <w:rPr>
                <w:rFonts w:ascii="Times New Roman" w:hAnsi="Times New Roman"/>
                <w:b/>
                <w:color w:val="000000"/>
              </w:rPr>
              <w:t>income for self-employed borrowers rated as “</w:t>
            </w:r>
            <w:r>
              <w:rPr>
                <w:rFonts w:ascii="Times New Roman" w:hAnsi="Times New Roman"/>
                <w:b/>
                <w:i/>
                <w:color w:val="000000"/>
              </w:rPr>
              <w:t>Accept/Approve”</w:t>
            </w:r>
            <w:r>
              <w:rPr>
                <w:rFonts w:ascii="Times New Roman" w:hAnsi="Times New Roman"/>
                <w:b/>
                <w:color w:val="000000"/>
              </w:rPr>
              <w:t xml:space="preserve"> by TOTAL:</w:t>
            </w:r>
          </w:p>
        </w:tc>
        <w:tc>
          <w:tcPr>
            <w:tcW w:w="4788" w:type="dxa"/>
            <w:tcBorders>
              <w:top w:val="single" w:sz="6" w:space="0" w:color="auto"/>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Use the following to verify the income for self-employed borrowers rated as “</w:t>
            </w:r>
            <w:r>
              <w:rPr>
                <w:rFonts w:ascii="Times New Roman" w:hAnsi="Times New Roman"/>
                <w:b/>
                <w:i/>
                <w:color w:val="000000"/>
              </w:rPr>
              <w:t>Refer”</w:t>
            </w:r>
            <w:r>
              <w:rPr>
                <w:rFonts w:ascii="Times New Roman" w:hAnsi="Times New Roman"/>
                <w:b/>
                <w:color w:val="000000"/>
              </w:rPr>
              <w:t xml:space="preserve"> by TOTAL:</w:t>
            </w:r>
          </w:p>
        </w:tc>
      </w:tr>
      <w:tr w:rsidR="00000000">
        <w:tblPrEx>
          <w:tblCellMar>
            <w:top w:w="0" w:type="dxa"/>
            <w:bottom w:w="0" w:type="dxa"/>
          </w:tblCellMar>
        </w:tblPrEx>
        <w:tc>
          <w:tcPr>
            <w:tcW w:w="4788" w:type="dxa"/>
          </w:tcPr>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Individual Tax Returns</w:t>
            </w:r>
            <w:r>
              <w:rPr>
                <w:rFonts w:ascii="Times New Roman" w:hAnsi="Times New Roman"/>
                <w:color w:val="000000"/>
              </w:rPr>
              <w:t>---The lender must obtain signed individual federal tax returns, in</w:t>
            </w:r>
            <w:r>
              <w:rPr>
                <w:rFonts w:ascii="Times New Roman" w:hAnsi="Times New Roman"/>
                <w:color w:val="000000"/>
              </w:rPr>
              <w:t>cluding all schedules, or income information directly from the IRS for the most recent two years and subtract unreimbursed business expenses in underwriting.</w:t>
            </w:r>
          </w:p>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Business Tax Returns</w:t>
            </w:r>
            <w:r>
              <w:rPr>
                <w:rFonts w:ascii="Times New Roman" w:hAnsi="Times New Roman"/>
                <w:color w:val="000000"/>
              </w:rPr>
              <w:t>---The lender must obtain signed federal business tax returns, with all appli</w:t>
            </w:r>
            <w:r>
              <w:rPr>
                <w:rFonts w:ascii="Times New Roman" w:hAnsi="Times New Roman"/>
                <w:color w:val="000000"/>
              </w:rPr>
              <w:t xml:space="preserve">cable schedules, if the business is a corporation, an “S” corporation, or a partnership.  Also obtain business income information directly from </w:t>
            </w:r>
            <w:r>
              <w:rPr>
                <w:rFonts w:ascii="Times New Roman" w:hAnsi="Times New Roman"/>
                <w:color w:val="000000"/>
              </w:rPr>
              <w:lastRenderedPageBreak/>
              <w:t>the IRS for the most recent two years for each business.  However, for accepts/approves, no business tax returns</w:t>
            </w:r>
            <w:r>
              <w:rPr>
                <w:rFonts w:ascii="Times New Roman" w:hAnsi="Times New Roman"/>
                <w:color w:val="000000"/>
              </w:rPr>
              <w:t xml:space="preserve"> are required if </w:t>
            </w:r>
            <w:r>
              <w:rPr>
                <w:rFonts w:ascii="Times New Roman" w:hAnsi="Times New Roman"/>
                <w:i/>
                <w:color w:val="000000"/>
              </w:rPr>
              <w:t>all</w:t>
            </w:r>
            <w:r>
              <w:rPr>
                <w:rFonts w:ascii="Times New Roman" w:hAnsi="Times New Roman"/>
                <w:color w:val="000000"/>
              </w:rPr>
              <w:t xml:space="preserve"> of the following are met:</w:t>
            </w: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rPr>
                <w:rFonts w:ascii="Times New Roman" w:hAnsi="Times New Roman"/>
                <w:color w:val="000000"/>
              </w:rPr>
            </w:pPr>
            <w:r>
              <w:rPr>
                <w:rFonts w:ascii="Times New Roman" w:hAnsi="Times New Roman"/>
                <w:color w:val="000000"/>
              </w:rPr>
              <w:t>Individual federal income tax returns show increasing self-employed income over the past two years.</w:t>
            </w: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rPr>
                <w:rFonts w:ascii="Times New Roman" w:hAnsi="Times New Roman"/>
                <w:color w:val="000000"/>
              </w:rPr>
            </w:pPr>
            <w:r>
              <w:rPr>
                <w:rFonts w:ascii="Times New Roman" w:hAnsi="Times New Roman"/>
                <w:color w:val="000000"/>
              </w:rPr>
              <w:t>Funds to close are not coming from business accounts</w:t>
            </w: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rPr>
                <w:rFonts w:ascii="Times New Roman" w:hAnsi="Times New Roman"/>
                <w:color w:val="000000"/>
              </w:rPr>
            </w:pPr>
            <w:r>
              <w:rPr>
                <w:rFonts w:ascii="Times New Roman" w:hAnsi="Times New Roman"/>
                <w:color w:val="000000"/>
              </w:rPr>
              <w:t>The FHA insured mortgage is not a cash-out refinance</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numPr>
                <w:ilvl w:val="0"/>
                <w:numId w:val="2"/>
              </w:num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Profit and Loss (P&amp;L) Statements and Balance Sheets</w:t>
            </w:r>
            <w:r>
              <w:rPr>
                <w:rFonts w:ascii="Times New Roman" w:hAnsi="Times New Roman"/>
                <w:color w:val="000000"/>
              </w:rPr>
              <w:t xml:space="preserve">---These documents are not required on mortgages rated “accept/approve” by FHA’s Mortgage Scorecard </w:t>
            </w:r>
            <w:r>
              <w:rPr>
                <w:rFonts w:ascii="Times New Roman" w:hAnsi="Times New Roman"/>
                <w:i/>
                <w:iCs/>
                <w:color w:val="000000"/>
              </w:rPr>
              <w:t>provided</w:t>
            </w:r>
            <w:r>
              <w:rPr>
                <w:rFonts w:ascii="Times New Roman" w:hAnsi="Times New Roman"/>
                <w:color w:val="000000"/>
              </w:rPr>
              <w:t xml:space="preserve"> that the income used in qualifying was based on the previous two years’ tax returns.  However, i</w:t>
            </w:r>
            <w:r>
              <w:rPr>
                <w:rFonts w:ascii="Times New Roman" w:hAnsi="Times New Roman"/>
                <w:color w:val="000000"/>
              </w:rPr>
              <w:t>f income used to qualify the borrower exceeds that of the two-year average based on tax returns, then either an audited P&amp;L statement or signed quarterly tax returns are to be used to support the greater income stream.</w:t>
            </w:r>
          </w:p>
          <w:p w:rsidR="00000000" w:rsidRDefault="0033777B">
            <w:p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c>
        <w:tc>
          <w:tcPr>
            <w:tcW w:w="4788" w:type="dxa"/>
            <w:tcBorders>
              <w:left w:val="single" w:sz="6" w:space="0" w:color="auto"/>
            </w:tcBorders>
          </w:tcPr>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Individual Tax Returns</w:t>
            </w:r>
            <w:r>
              <w:rPr>
                <w:rFonts w:ascii="Times New Roman" w:hAnsi="Times New Roman"/>
                <w:color w:val="000000"/>
              </w:rPr>
              <w:t>---The lende</w:t>
            </w:r>
            <w:r>
              <w:rPr>
                <w:rFonts w:ascii="Times New Roman" w:hAnsi="Times New Roman"/>
                <w:color w:val="000000"/>
              </w:rPr>
              <w:t>r must obtain signed individual federal tax returns, including all schedules, or income information directly from the IRS for the most recent two years and subtract unreimbursed business expenses in underwriting.</w:t>
            </w:r>
          </w:p>
          <w:p w:rsidR="00000000" w:rsidRDefault="0033777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Business Tax Returns</w:t>
            </w:r>
            <w:r>
              <w:rPr>
                <w:rFonts w:ascii="Times New Roman" w:hAnsi="Times New Roman"/>
                <w:color w:val="000000"/>
              </w:rPr>
              <w:t>---The lender must obt</w:t>
            </w:r>
            <w:r>
              <w:rPr>
                <w:rFonts w:ascii="Times New Roman" w:hAnsi="Times New Roman"/>
                <w:color w:val="000000"/>
              </w:rPr>
              <w:t xml:space="preserve">ain signed federal business tax returns, with all applicable schedules, if the business is a corporation, an “S” corporation, or a partnership.  Also obtain business income information directly from </w:t>
            </w:r>
            <w:r>
              <w:rPr>
                <w:rFonts w:ascii="Times New Roman" w:hAnsi="Times New Roman"/>
                <w:color w:val="000000"/>
              </w:rPr>
              <w:lastRenderedPageBreak/>
              <w:t xml:space="preserve">the IRS for the most recent two years for each business.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rPr>
                <w:rFonts w:ascii="Times New Roman" w:hAnsi="Times New Roman"/>
                <w:b/>
                <w:color w:val="000000"/>
              </w:rPr>
            </w:pPr>
          </w:p>
          <w:p w:rsidR="00000000" w:rsidRDefault="0033777B">
            <w:pPr>
              <w:numPr>
                <w:ilvl w:val="0"/>
                <w:numId w:val="2"/>
              </w:num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Profit and Loss (P&amp;L) Statements and Balance Sheets</w:t>
            </w:r>
            <w:r>
              <w:rPr>
                <w:rFonts w:ascii="Times New Roman" w:hAnsi="Times New Roman"/>
                <w:color w:val="000000"/>
              </w:rPr>
              <w:t>---Obtain profit and loss and balance sheet or income information directly from the IRS if all of the following occur:</w:t>
            </w:r>
          </w:p>
          <w:p w:rsidR="00000000" w:rsidRDefault="0033777B">
            <w:pPr>
              <w:numPr>
                <w:ilvl w:val="0"/>
                <w:numId w:val="2"/>
              </w:num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rPr>
                <w:rFonts w:ascii="Times New Roman" w:hAnsi="Times New Roman"/>
                <w:color w:val="000000"/>
              </w:rPr>
            </w:pPr>
            <w:r>
              <w:rPr>
                <w:rFonts w:ascii="Times New Roman" w:hAnsi="Times New Roman"/>
                <w:color w:val="000000"/>
              </w:rPr>
              <w:t>More than seven (7) months have elapsed since the business tax year’s end</w:t>
            </w:r>
            <w:r>
              <w:rPr>
                <w:rFonts w:ascii="Times New Roman" w:hAnsi="Times New Roman"/>
                <w:color w:val="000000"/>
              </w:rPr>
              <w:t>ing date.</w:t>
            </w:r>
          </w:p>
          <w:p w:rsidR="00000000" w:rsidRDefault="0033777B">
            <w:pPr>
              <w:numPr>
                <w:ilvl w:val="0"/>
                <w:numId w:val="2"/>
              </w:numPr>
              <w:tabs>
                <w:tab w:val="left" w:pos="-1440"/>
                <w:tab w:val="left" w:pos="-720"/>
                <w:tab w:val="left" w:pos="0"/>
                <w:tab w:val="left" w:pos="6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82"/>
              <w:rPr>
                <w:rFonts w:ascii="Times New Roman" w:hAnsi="Times New Roman"/>
                <w:color w:val="000000"/>
              </w:rPr>
            </w:pPr>
            <w:r>
              <w:rPr>
                <w:rFonts w:ascii="Times New Roman" w:hAnsi="Times New Roman"/>
                <w:color w:val="000000"/>
              </w:rPr>
              <w:t>Income to the self-employed borrower from each individual business is greater than five (5) percent of his or her stable monthly income.</w:t>
            </w:r>
          </w:p>
          <w:p w:rsidR="00000000" w:rsidRDefault="0033777B">
            <w:pPr>
              <w:tabs>
                <w:tab w:val="left" w:pos="-1440"/>
                <w:tab w:val="left" w:pos="-720"/>
                <w:tab w:val="left" w:pos="0"/>
                <w:tab w:val="left" w:pos="6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5"/>
              </w:numPr>
              <w:tabs>
                <w:tab w:val="left" w:pos="-1440"/>
                <w:tab w:val="left" w:pos="-720"/>
                <w:tab w:val="left" w:pos="0"/>
                <w:tab w:val="left" w:pos="6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bCs/>
                <w:color w:val="000000"/>
              </w:rPr>
              <w:t>Business Credit Reports</w:t>
            </w:r>
            <w:r>
              <w:rPr>
                <w:rFonts w:ascii="Times New Roman" w:hAnsi="Times New Roman"/>
                <w:color w:val="000000"/>
              </w:rPr>
              <w:t>---Obtain a business credit report on corporations and “S” corporations.</w:t>
            </w:r>
          </w:p>
        </w:tc>
      </w:tr>
    </w:tbl>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u w:val="single"/>
        </w:rPr>
      </w:pPr>
      <w:r>
        <w:rPr>
          <w:rFonts w:ascii="Times New Roman" w:hAnsi="Times New Roman"/>
          <w:b/>
          <w:color w:val="000000"/>
          <w:u w:val="single"/>
        </w:rPr>
        <w:t>“Deminimu</w:t>
      </w:r>
      <w:r>
        <w:rPr>
          <w:rFonts w:ascii="Times New Roman" w:hAnsi="Times New Roman"/>
          <w:b/>
          <w:color w:val="000000"/>
          <w:u w:val="single"/>
        </w:rPr>
        <w:t>s” Self-employed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bl>
      <w:tblPr>
        <w:tblW w:w="0" w:type="auto"/>
        <w:tblBorders>
          <w:top w:val="single" w:sz="6" w:space="0" w:color="auto"/>
          <w:insideV w:val="single" w:sz="6" w:space="0" w:color="auto"/>
        </w:tblBorders>
        <w:tblLayout w:type="fixed"/>
        <w:tblLook w:val="0000"/>
      </w:tblPr>
      <w:tblGrid>
        <w:gridCol w:w="4788"/>
        <w:gridCol w:w="4788"/>
      </w:tblGrid>
      <w:tr w:rsidR="00000000">
        <w:tblPrEx>
          <w:tblCellMar>
            <w:top w:w="0" w:type="dxa"/>
            <w:bottom w:w="0" w:type="dxa"/>
          </w:tblCellMar>
        </w:tblPrEx>
        <w:tc>
          <w:tcPr>
            <w:tcW w:w="4788" w:type="dxa"/>
          </w:tcPr>
          <w:p w:rsidR="00000000" w:rsidRDefault="0033777B">
            <w:p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If a borrower receives less than five percent of his or her stable monthly income as a result of being self-employed, and the loan application receives an “a</w:t>
            </w:r>
            <w:r>
              <w:rPr>
                <w:rFonts w:ascii="Times New Roman" w:hAnsi="Times New Roman"/>
                <w:iCs/>
                <w:color w:val="000000"/>
              </w:rPr>
              <w:t>ccept/approve”</w:t>
            </w:r>
            <w:r>
              <w:rPr>
                <w:rFonts w:ascii="Times New Roman" w:hAnsi="Times New Roman"/>
                <w:color w:val="000000"/>
              </w:rPr>
              <w:t>, there is no need to obtain individual or business tax returns, no</w:t>
            </w:r>
            <w:r>
              <w:rPr>
                <w:rFonts w:ascii="Times New Roman" w:hAnsi="Times New Roman"/>
                <w:color w:val="000000"/>
              </w:rPr>
              <w:t>r is it necessary to obtain balance sheets or P&amp;L statements.  Verify the existence of the business through telephone listings, business cards, etc.</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c>
        <w:tc>
          <w:tcPr>
            <w:tcW w:w="4788" w:type="dxa"/>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If a borrower receives less than five percent of his or her stable monthly income as a result of being sel</w:t>
            </w:r>
            <w:r>
              <w:rPr>
                <w:rFonts w:ascii="Times New Roman" w:hAnsi="Times New Roman"/>
                <w:color w:val="000000"/>
              </w:rPr>
              <w:t>f-employed, and the loan application receives a r</w:t>
            </w:r>
            <w:r>
              <w:rPr>
                <w:rFonts w:ascii="Times New Roman" w:hAnsi="Times New Roman"/>
                <w:iCs/>
                <w:color w:val="000000"/>
              </w:rPr>
              <w:t>efer</w:t>
            </w:r>
            <w:r>
              <w:rPr>
                <w:rFonts w:ascii="Times New Roman" w:hAnsi="Times New Roman"/>
                <w:color w:val="000000"/>
              </w:rPr>
              <w:t>, there is no need to obtain individual or business tax returns, nor is it necessary to obtain balance sheets or P&amp;L statements.  Verify the existence of the business through telephone listings, business</w:t>
            </w:r>
            <w:r>
              <w:rPr>
                <w:rFonts w:ascii="Times New Roman" w:hAnsi="Times New Roman"/>
                <w:color w:val="000000"/>
              </w:rPr>
              <w:t xml:space="preserve"> cards, etc.</w:t>
            </w:r>
          </w:p>
        </w:tc>
      </w:tr>
    </w:tbl>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u w:val="single"/>
        </w:rPr>
      </w:pPr>
      <w:r>
        <w:rPr>
          <w:rFonts w:ascii="Times New Roman" w:hAnsi="Times New Roman"/>
          <w:b/>
          <w:color w:val="000000"/>
          <w:u w:val="single"/>
        </w:rPr>
        <w:lastRenderedPageBreak/>
        <w:t>Other Income Information</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bl>
      <w:tblPr>
        <w:tblW w:w="0" w:type="auto"/>
        <w:tblLayout w:type="fixed"/>
        <w:tblLook w:val="0000"/>
      </w:tblPr>
      <w:tblGrid>
        <w:gridCol w:w="4788"/>
        <w:gridCol w:w="4788"/>
      </w:tblGrid>
      <w:tr w:rsidR="00000000">
        <w:tblPrEx>
          <w:tblCellMar>
            <w:top w:w="0" w:type="dxa"/>
            <w:bottom w:w="0" w:type="dxa"/>
          </w:tblCellMar>
        </w:tblPrEx>
        <w:tc>
          <w:tcPr>
            <w:tcW w:w="4788" w:type="dxa"/>
            <w:tcBorders>
              <w:top w:val="single" w:sz="6" w:space="0" w:color="auto"/>
            </w:tcBorders>
          </w:tcPr>
          <w:p w:rsidR="00000000" w:rsidRDefault="0033777B">
            <w:p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If the loan application is rated as “</w:t>
            </w:r>
            <w:r>
              <w:rPr>
                <w:rFonts w:ascii="Times New Roman" w:hAnsi="Times New Roman"/>
                <w:b/>
                <w:i/>
                <w:color w:val="000000"/>
              </w:rPr>
              <w:t>Accept/Approve”</w:t>
            </w:r>
            <w:r>
              <w:rPr>
                <w:rFonts w:ascii="Times New Roman" w:hAnsi="Times New Roman"/>
                <w:b/>
                <w:color w:val="000000"/>
              </w:rPr>
              <w:t>, the lender must abide by the following if there are employment gaps or if alimony or child support are being used in qualifying:</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c>
        <w:tc>
          <w:tcPr>
            <w:tcW w:w="4788" w:type="dxa"/>
            <w:tcBorders>
              <w:top w:val="single" w:sz="6" w:space="0" w:color="auto"/>
              <w:left w:val="single" w:sz="6" w:space="0" w:color="auto"/>
            </w:tcBorders>
          </w:tcPr>
          <w:p w:rsidR="00000000" w:rsidRDefault="0033777B">
            <w:p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If the loan application is rated</w:t>
            </w:r>
            <w:r>
              <w:rPr>
                <w:rFonts w:ascii="Times New Roman" w:hAnsi="Times New Roman"/>
                <w:b/>
                <w:color w:val="000000"/>
              </w:rPr>
              <w:t xml:space="preserve"> as “</w:t>
            </w:r>
            <w:r>
              <w:rPr>
                <w:rFonts w:ascii="Times New Roman" w:hAnsi="Times New Roman"/>
                <w:b/>
                <w:i/>
                <w:color w:val="000000"/>
              </w:rPr>
              <w:t>Refer”</w:t>
            </w:r>
            <w:r>
              <w:rPr>
                <w:rFonts w:ascii="Times New Roman" w:hAnsi="Times New Roman"/>
                <w:b/>
                <w:color w:val="000000"/>
              </w:rPr>
              <w:t>, the lender must abide by the following if there are employment gaps or if alimony or child support are being used in qualifying</w:t>
            </w:r>
            <w:r>
              <w:rPr>
                <w:rFonts w:ascii="Times New Roman" w:hAnsi="Times New Roman"/>
                <w:color w:val="000000"/>
              </w:rPr>
              <w:t>:</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c>
      </w:tr>
      <w:tr w:rsidR="00000000">
        <w:tblPrEx>
          <w:tblCellMar>
            <w:top w:w="0" w:type="dxa"/>
            <w:bottom w:w="0" w:type="dxa"/>
          </w:tblCellMar>
        </w:tblPrEx>
        <w:tc>
          <w:tcPr>
            <w:tcW w:w="4788" w:type="dxa"/>
          </w:tcPr>
          <w:p w:rsidR="00000000" w:rsidRDefault="0033777B">
            <w:pPr>
              <w:numPr>
                <w:ilvl w:val="0"/>
                <w:numId w:val="2"/>
              </w:num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Employment Gaps</w:t>
            </w:r>
            <w:r>
              <w:rPr>
                <w:rFonts w:ascii="Times New Roman" w:hAnsi="Times New Roman"/>
                <w:color w:val="000000"/>
              </w:rPr>
              <w:t xml:space="preserve">---Obtain an explanation for employment gaps of greater than </w:t>
            </w:r>
            <w:r>
              <w:rPr>
                <w:rFonts w:ascii="Times New Roman" w:hAnsi="Times New Roman"/>
                <w:b/>
                <w:color w:val="000000"/>
              </w:rPr>
              <w:t>60</w:t>
            </w:r>
            <w:r>
              <w:rPr>
                <w:rFonts w:ascii="Times New Roman" w:hAnsi="Times New Roman"/>
                <w:color w:val="000000"/>
              </w:rPr>
              <w:t xml:space="preserve"> days if it occurred within the la</w:t>
            </w:r>
            <w:r>
              <w:rPr>
                <w:rFonts w:ascii="Times New Roman" w:hAnsi="Times New Roman"/>
                <w:color w:val="000000"/>
              </w:rPr>
              <w:t>st two years.</w:t>
            </w:r>
          </w:p>
          <w:p w:rsidR="00000000" w:rsidRDefault="0033777B">
            <w:p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Alimony and/or Child Support</w:t>
            </w:r>
            <w:r>
              <w:rPr>
                <w:rFonts w:ascii="Times New Roman" w:hAnsi="Times New Roman"/>
                <w:color w:val="000000"/>
              </w:rPr>
              <w:t xml:space="preserve">---Obtain evidence of receipt using deposits on bank statements or canceled checks for the most recent </w:t>
            </w:r>
            <w:r>
              <w:rPr>
                <w:rFonts w:ascii="Times New Roman" w:hAnsi="Times New Roman"/>
                <w:iCs/>
                <w:color w:val="000000"/>
              </w:rPr>
              <w:t xml:space="preserve">three (3) months </w:t>
            </w:r>
            <w:r>
              <w:rPr>
                <w:rFonts w:ascii="Times New Roman" w:hAnsi="Times New Roman"/>
                <w:color w:val="000000"/>
              </w:rPr>
              <w:t>that support the amount used in qualifying</w:t>
            </w:r>
            <w:r>
              <w:rPr>
                <w:rFonts w:ascii="Times New Roman" w:hAnsi="Times New Roman"/>
                <w:i/>
                <w:color w:val="000000"/>
              </w:rPr>
              <w:t>.</w:t>
            </w:r>
            <w:r>
              <w:rPr>
                <w:rFonts w:ascii="Times New Roman" w:hAnsi="Times New Roman"/>
                <w:color w:val="000000"/>
              </w:rPr>
              <w:t xml:space="preserve">  Provide evidence that the claimed income will co</w:t>
            </w:r>
            <w:r>
              <w:rPr>
                <w:rFonts w:ascii="Times New Roman" w:hAnsi="Times New Roman"/>
                <w:color w:val="000000"/>
              </w:rPr>
              <w:t xml:space="preserve">ntinue for at least three years.  Use the front and pertinent pages of the divorce decree/settlement agreement showing financial details. </w:t>
            </w:r>
          </w:p>
        </w:tc>
        <w:tc>
          <w:tcPr>
            <w:tcW w:w="4788" w:type="dxa"/>
            <w:tcBorders>
              <w:left w:val="single" w:sz="6" w:space="0" w:color="auto"/>
            </w:tcBorders>
          </w:tcPr>
          <w:p w:rsidR="00000000" w:rsidRDefault="0033777B">
            <w:pPr>
              <w:numPr>
                <w:ilvl w:val="0"/>
                <w:numId w:val="2"/>
              </w:num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Employment Gaps</w:t>
            </w:r>
            <w:r>
              <w:rPr>
                <w:rFonts w:ascii="Times New Roman" w:hAnsi="Times New Roman"/>
                <w:color w:val="000000"/>
              </w:rPr>
              <w:t xml:space="preserve">---Obtain an explanation for employment gaps of greater than </w:t>
            </w:r>
            <w:r>
              <w:rPr>
                <w:rFonts w:ascii="Times New Roman" w:hAnsi="Times New Roman"/>
                <w:b/>
                <w:color w:val="000000"/>
              </w:rPr>
              <w:t>30</w:t>
            </w:r>
            <w:r>
              <w:rPr>
                <w:rFonts w:ascii="Times New Roman" w:hAnsi="Times New Roman"/>
                <w:color w:val="000000"/>
              </w:rPr>
              <w:t xml:space="preserve"> days in duration if it occurred within</w:t>
            </w:r>
            <w:r>
              <w:rPr>
                <w:rFonts w:ascii="Times New Roman" w:hAnsi="Times New Roman"/>
                <w:color w:val="000000"/>
              </w:rPr>
              <w:t xml:space="preserve"> the last two years.</w:t>
            </w:r>
          </w:p>
          <w:p w:rsidR="00000000" w:rsidRDefault="0033777B">
            <w:pPr>
              <w:tabs>
                <w:tab w:val="left" w:pos="-1440"/>
                <w:tab w:val="left" w:pos="-720"/>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Alimony and/or Child Support</w:t>
            </w:r>
            <w:r>
              <w:rPr>
                <w:rFonts w:ascii="Times New Roman" w:hAnsi="Times New Roman"/>
                <w:color w:val="000000"/>
              </w:rPr>
              <w:t xml:space="preserve">---Obtain evidence of receipt using deposits on bank statements or canceled checks for the most recent </w:t>
            </w:r>
            <w:r>
              <w:rPr>
                <w:rFonts w:ascii="Times New Roman" w:hAnsi="Times New Roman"/>
                <w:iCs/>
                <w:color w:val="000000"/>
              </w:rPr>
              <w:t>three (3) months</w:t>
            </w:r>
            <w:r>
              <w:rPr>
                <w:rFonts w:ascii="Times New Roman" w:hAnsi="Times New Roman"/>
                <w:i/>
                <w:color w:val="000000"/>
              </w:rPr>
              <w:t xml:space="preserve"> </w:t>
            </w:r>
            <w:r>
              <w:rPr>
                <w:rFonts w:ascii="Times New Roman" w:hAnsi="Times New Roman"/>
                <w:color w:val="000000"/>
              </w:rPr>
              <w:t>that support the amount used in qualifying</w:t>
            </w:r>
            <w:r>
              <w:rPr>
                <w:rFonts w:ascii="Times New Roman" w:hAnsi="Times New Roman"/>
                <w:i/>
                <w:color w:val="000000"/>
              </w:rPr>
              <w:t>.</w:t>
            </w:r>
            <w:r>
              <w:rPr>
                <w:rFonts w:ascii="Times New Roman" w:hAnsi="Times New Roman"/>
                <w:color w:val="000000"/>
              </w:rPr>
              <w:t xml:space="preserve">  Provide evidence that the claimed income </w:t>
            </w:r>
            <w:r>
              <w:rPr>
                <w:rFonts w:ascii="Times New Roman" w:hAnsi="Times New Roman"/>
                <w:color w:val="000000"/>
              </w:rPr>
              <w:t>will continue for at least three years.  Use the front and pertinent pages of the divorce decree/settlement agreement showing financial details.</w:t>
            </w:r>
          </w:p>
        </w:tc>
      </w:tr>
    </w:tbl>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u w:val="single"/>
        </w:rPr>
      </w:pPr>
      <w:r>
        <w:rPr>
          <w:rFonts w:ascii="Times New Roman" w:hAnsi="Times New Roman"/>
          <w:b/>
          <w:color w:val="000000"/>
          <w:u w:val="single"/>
        </w:rPr>
        <w:t>Asset Information</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bl>
      <w:tblPr>
        <w:tblW w:w="0" w:type="auto"/>
        <w:tblLayout w:type="fixed"/>
        <w:tblLook w:val="0000"/>
      </w:tblPr>
      <w:tblGrid>
        <w:gridCol w:w="4788"/>
        <w:gridCol w:w="4788"/>
      </w:tblGrid>
      <w:tr w:rsidR="00000000">
        <w:tblPrEx>
          <w:tblCellMar>
            <w:top w:w="0" w:type="dxa"/>
            <w:bottom w:w="0" w:type="dxa"/>
          </w:tblCellMar>
        </w:tblPrEx>
        <w:tc>
          <w:tcPr>
            <w:tcW w:w="4788" w:type="dxa"/>
            <w:tcBorders>
              <w:top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 xml:space="preserve">If the loan application is rated as an </w:t>
            </w:r>
            <w:r>
              <w:rPr>
                <w:rFonts w:ascii="Times New Roman" w:hAnsi="Times New Roman"/>
                <w:b/>
                <w:i/>
                <w:iCs/>
                <w:color w:val="000000"/>
              </w:rPr>
              <w:t>“Accept/Approve”</w:t>
            </w:r>
            <w:r>
              <w:rPr>
                <w:rFonts w:ascii="Times New Roman" w:hAnsi="Times New Roman"/>
                <w:b/>
                <w:color w:val="000000"/>
              </w:rPr>
              <w:t>, document the borrower’s assets to</w:t>
            </w:r>
            <w:r>
              <w:rPr>
                <w:rFonts w:ascii="Times New Roman" w:hAnsi="Times New Roman"/>
                <w:b/>
                <w:color w:val="000000"/>
              </w:rPr>
              <w:t xml:space="preserve"> close and cash reserves, if any, using the following:</w:t>
            </w:r>
          </w:p>
        </w:tc>
        <w:tc>
          <w:tcPr>
            <w:tcW w:w="4788" w:type="dxa"/>
            <w:tcBorders>
              <w:top w:val="single" w:sz="6" w:space="0" w:color="auto"/>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 xml:space="preserve">If the loan application is rated as a </w:t>
            </w:r>
            <w:r>
              <w:rPr>
                <w:rFonts w:ascii="Times New Roman" w:hAnsi="Times New Roman"/>
                <w:b/>
                <w:i/>
                <w:iCs/>
                <w:color w:val="000000"/>
              </w:rPr>
              <w:t>“Refer</w:t>
            </w:r>
            <w:r>
              <w:rPr>
                <w:rFonts w:ascii="Times New Roman" w:hAnsi="Times New Roman"/>
                <w:b/>
                <w:i/>
                <w:color w:val="000000"/>
              </w:rPr>
              <w:t>”</w:t>
            </w:r>
            <w:r>
              <w:rPr>
                <w:rFonts w:ascii="Times New Roman" w:hAnsi="Times New Roman"/>
                <w:b/>
                <w:color w:val="000000"/>
              </w:rPr>
              <w:t>, document the borrower’s assets to close and cash reserves, if any, using the following:</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c>
      </w:tr>
      <w:tr w:rsidR="00000000">
        <w:tblPrEx>
          <w:tblCellMar>
            <w:top w:w="0" w:type="dxa"/>
            <w:bottom w:w="0" w:type="dxa"/>
          </w:tblCellMar>
        </w:tblPrEx>
        <w:tc>
          <w:tcPr>
            <w:tcW w:w="4788" w:type="dxa"/>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Depository Accounts</w:t>
            </w:r>
            <w:r>
              <w:rPr>
                <w:rFonts w:ascii="Times New Roman" w:hAnsi="Times New Roman"/>
                <w:color w:val="000000"/>
              </w:rPr>
              <w:t>---If a Verification of Deposit (VOD) is not</w:t>
            </w:r>
            <w:r>
              <w:rPr>
                <w:rFonts w:ascii="Times New Roman" w:hAnsi="Times New Roman"/>
                <w:color w:val="000000"/>
              </w:rPr>
              <w:t xml:space="preserve"> obtained, then provide a statement showing the previous month’s ending balance for the most recent month.  If the previous month’s balance is not shown, then obtain statement(s) for the most recent </w:t>
            </w:r>
            <w:r>
              <w:rPr>
                <w:rFonts w:ascii="Times New Roman" w:hAnsi="Times New Roman"/>
                <w:bCs/>
                <w:color w:val="000000"/>
              </w:rPr>
              <w:t>two</w:t>
            </w:r>
            <w:r>
              <w:rPr>
                <w:rFonts w:ascii="Times New Roman" w:hAnsi="Times New Roman"/>
                <w:color w:val="000000"/>
              </w:rPr>
              <w:t xml:space="preserve"> months to verify sufficient funds to close. </w:t>
            </w: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Cash Re</w:t>
            </w:r>
            <w:r>
              <w:rPr>
                <w:rFonts w:ascii="Times New Roman" w:hAnsi="Times New Roman"/>
                <w:b/>
                <w:color w:val="000000"/>
              </w:rPr>
              <w:t>serves</w:t>
            </w:r>
            <w:r>
              <w:rPr>
                <w:rFonts w:ascii="Times New Roman" w:hAnsi="Times New Roman"/>
                <w:color w:val="000000"/>
              </w:rPr>
              <w:t xml:space="preserve">---Verify all cash reserves available after closing that are submitted to the AUS.  Note that cash reserves after closing are not required on FHA mortgages </w:t>
            </w:r>
            <w:r>
              <w:rPr>
                <w:rFonts w:ascii="Times New Roman" w:hAnsi="Times New Roman"/>
                <w:color w:val="000000"/>
              </w:rPr>
              <w:lastRenderedPageBreak/>
              <w:t>(except when purchasing 3- or 4-unit properties) but are evaluated in determining the risk cla</w:t>
            </w:r>
            <w:r>
              <w:rPr>
                <w:rFonts w:ascii="Times New Roman" w:hAnsi="Times New Roman"/>
                <w:color w:val="000000"/>
              </w:rPr>
              <w:t xml:space="preserve">ssification of the loan.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00"/>
                <w:sz w:val="20"/>
              </w:rPr>
            </w:pPr>
          </w:p>
          <w:p w:rsidR="00000000" w:rsidRDefault="0033777B">
            <w:pPr>
              <w:pStyle w:val="BodyTextIndent3"/>
              <w:rPr>
                <w:color w:val="000000"/>
                <w:shd w:val="clear" w:color="auto" w:fill="FFFFFF"/>
              </w:rPr>
            </w:pPr>
            <w:r>
              <w:rPr>
                <w:rFonts w:ascii="Times New Roman" w:hAnsi="Times New Roman"/>
                <w:color w:val="000000"/>
                <w:sz w:val="24"/>
              </w:rPr>
              <w:t>Cash reserves may include certain retirement accounts.  To account for withdrawal penalties and taxes, only 60% of the vested amount of the account may be used.  The lender must document the existence of the account with the mos</w:t>
            </w:r>
            <w:r>
              <w:rPr>
                <w:rFonts w:ascii="Times New Roman" w:hAnsi="Times New Roman"/>
                <w:color w:val="000000"/>
                <w:sz w:val="24"/>
              </w:rPr>
              <w:t>t recent depository or brokerage account statement.  In addition, evidence must be provided that the retirement account allows for withdrawals for conditions other than in connection with the borrower's employment termination, retirement, or death.  If wit</w:t>
            </w:r>
            <w:r>
              <w:rPr>
                <w:rFonts w:ascii="Times New Roman" w:hAnsi="Times New Roman"/>
                <w:color w:val="000000"/>
                <w:sz w:val="24"/>
              </w:rPr>
              <w:t>hdrawals can only be made under these circumstances, the retirement account may not be included as cash reserves.  If any of these funds are also to be used for loan settlement, that amount must be subtracted from the amount included as cash reserves.</w:t>
            </w:r>
          </w:p>
          <w:p w:rsidR="00000000" w:rsidRDefault="0033777B">
            <w:pPr>
              <w:pStyle w:val="BodyTextIndent3"/>
              <w:rPr>
                <w:color w:val="000000"/>
              </w:rPr>
            </w:pPr>
          </w:p>
          <w:p w:rsidR="00000000" w:rsidRDefault="0033777B">
            <w:pPr>
              <w:pStyle w:val="BodyTextIndent3"/>
              <w:rPr>
                <w:color w:val="000000"/>
              </w:rPr>
            </w:pPr>
          </w:p>
          <w:p w:rsidR="00000000" w:rsidRDefault="0033777B">
            <w:pPr>
              <w:pStyle w:val="BodyTextIndent3"/>
              <w:rPr>
                <w:color w:val="000000"/>
              </w:rPr>
            </w:pPr>
          </w:p>
          <w:p w:rsidR="00000000" w:rsidRDefault="0033777B">
            <w:pPr>
              <w:pStyle w:val="BodyTextIndent3"/>
              <w:rPr>
                <w:color w:val="000000"/>
              </w:rPr>
            </w:pPr>
          </w:p>
          <w:p w:rsidR="00000000" w:rsidRDefault="0033777B">
            <w:pPr>
              <w:pStyle w:val="BodyTextIndent3"/>
              <w:rPr>
                <w:color w:val="000000"/>
              </w:rPr>
            </w:pPr>
          </w:p>
          <w:p w:rsidR="00000000" w:rsidRDefault="0033777B">
            <w:pPr>
              <w:pStyle w:val="BodyTextIndent3"/>
              <w:numPr>
                <w:ilvl w:val="0"/>
                <w:numId w:val="5"/>
              </w:numPr>
              <w:rPr>
                <w:rFonts w:ascii="Times New Roman" w:hAnsi="Times New Roman"/>
                <w:color w:val="000000"/>
                <w:sz w:val="24"/>
              </w:rPr>
            </w:pPr>
            <w:r>
              <w:rPr>
                <w:rFonts w:ascii="Times New Roman" w:hAnsi="Times New Roman"/>
                <w:b/>
                <w:color w:val="000000"/>
                <w:sz w:val="24"/>
              </w:rPr>
              <w:t>Gift Funds</w:t>
            </w:r>
            <w:r>
              <w:rPr>
                <w:rFonts w:ascii="Times New Roman" w:hAnsi="Times New Roman"/>
                <w:color w:val="000000"/>
                <w:sz w:val="24"/>
              </w:rPr>
              <w:t>---The borrower must list the name, address, telephone number, relationship to the homebuyer, and the dollar amount of the gift on the loan application or in a gift letter for each cash gift received.  If sufficient funds required for closing ar</w:t>
            </w:r>
            <w:r>
              <w:rPr>
                <w:rFonts w:ascii="Times New Roman" w:hAnsi="Times New Roman"/>
                <w:color w:val="000000"/>
                <w:sz w:val="24"/>
              </w:rPr>
              <w:t>e not already verified in the borrower’s accounts, document the transfer of the gift funds to the homebuyer in accordance with instructions described in Handbook HUD 4155.1 REV-5.  [Note: No form of secondary financing, with or without required payments, i</w:t>
            </w:r>
            <w:r>
              <w:rPr>
                <w:rFonts w:ascii="Times New Roman" w:hAnsi="Times New Roman"/>
                <w:color w:val="000000"/>
                <w:sz w:val="24"/>
              </w:rPr>
              <w:t>s to be shown as “gifts” in any AUS.]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Stock and/or Bond Accounts—</w:t>
            </w:r>
            <w:r>
              <w:rPr>
                <w:rFonts w:ascii="Times New Roman" w:hAnsi="Times New Roman"/>
                <w:color w:val="000000"/>
              </w:rPr>
              <w:t xml:space="preserve">Obtain brokerage statement(s) for each account for </w:t>
            </w:r>
            <w:r>
              <w:rPr>
                <w:rFonts w:ascii="Times New Roman" w:hAnsi="Times New Roman"/>
                <w:color w:val="000000"/>
              </w:rPr>
              <w:lastRenderedPageBreak/>
              <w:t xml:space="preserve">the most recent two months.  Evidence of liquidation is </w:t>
            </w:r>
            <w:r>
              <w:rPr>
                <w:rFonts w:ascii="Times New Roman" w:hAnsi="Times New Roman"/>
                <w:i/>
                <w:color w:val="000000"/>
              </w:rPr>
              <w:t>not</w:t>
            </w:r>
            <w:r>
              <w:rPr>
                <w:rFonts w:ascii="Times New Roman" w:hAnsi="Times New Roman"/>
                <w:color w:val="000000"/>
              </w:rPr>
              <w:t xml:space="preserve"> required.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Retirement Accounts</w:t>
            </w:r>
            <w:r>
              <w:rPr>
                <w:rFonts w:ascii="Times New Roman" w:hAnsi="Times New Roman"/>
                <w:color w:val="000000"/>
              </w:rPr>
              <w:t>---Obtain the most recent statements for each ac</w:t>
            </w:r>
            <w:r>
              <w:rPr>
                <w:rFonts w:ascii="Times New Roman" w:hAnsi="Times New Roman"/>
                <w:color w:val="000000"/>
              </w:rPr>
              <w:t>count to verify sufficient funds to close.  Document the terms and conditions for withdrawal and/or borrowing and that the borrower is eligible for these withdrawals.  Use only 60 percent of the amount in the account unless the borrower presents documentat</w:t>
            </w:r>
            <w:r>
              <w:rPr>
                <w:rFonts w:ascii="Times New Roman" w:hAnsi="Times New Roman"/>
                <w:color w:val="000000"/>
              </w:rPr>
              <w:t xml:space="preserve">ion supporting a greater amount after subtracting any taxes or penalties for early withdrawal.  Evidence of liquidation is </w:t>
            </w:r>
            <w:r>
              <w:rPr>
                <w:rFonts w:ascii="Times New Roman" w:hAnsi="Times New Roman"/>
                <w:i/>
                <w:color w:val="000000"/>
              </w:rPr>
              <w:t>not</w:t>
            </w:r>
            <w:r>
              <w:rPr>
                <w:rFonts w:ascii="Times New Roman" w:hAnsi="Times New Roman"/>
                <w:color w:val="000000"/>
              </w:rPr>
              <w:t xml:space="preserve"> required.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Sale of Home</w:t>
            </w:r>
            <w:r>
              <w:rPr>
                <w:rFonts w:ascii="Times New Roman" w:hAnsi="Times New Roman"/>
                <w:color w:val="000000"/>
              </w:rPr>
              <w:t>---Obtain a HUD-1 or equivalent closing statement.  If the borrower is being transferred by his or her com</w:t>
            </w:r>
            <w:r>
              <w:rPr>
                <w:rFonts w:ascii="Times New Roman" w:hAnsi="Times New Roman"/>
                <w:color w:val="000000"/>
              </w:rPr>
              <w:t>pany under a guaranteed sales plan, obtain an executed buyout agreement and accompanying settlement statement indicating that the employer or relocation service takes responsibility for the outstanding mortgage debt.</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Sale of Assets</w:t>
            </w:r>
            <w:r>
              <w:rPr>
                <w:rFonts w:ascii="Times New Roman" w:hAnsi="Times New Roman"/>
                <w:color w:val="000000"/>
              </w:rPr>
              <w:t>---If an asset other tha</w:t>
            </w:r>
            <w:r>
              <w:rPr>
                <w:rFonts w:ascii="Times New Roman" w:hAnsi="Times New Roman"/>
                <w:color w:val="000000"/>
              </w:rPr>
              <w:t xml:space="preserve">n real estate or exchange-traded securities is sold to accumulate funds to close the mortgage, obtain a bill of sale and evidence of proceeds, or document the existence, value, and buyer’s intention to purchase.  Evidence of liquidation is </w:t>
            </w:r>
            <w:r>
              <w:rPr>
                <w:rFonts w:ascii="Times New Roman" w:hAnsi="Times New Roman"/>
                <w:i/>
                <w:color w:val="000000"/>
              </w:rPr>
              <w:t>not</w:t>
            </w:r>
            <w:r>
              <w:rPr>
                <w:rFonts w:ascii="Times New Roman" w:hAnsi="Times New Roman"/>
                <w:color w:val="000000"/>
              </w:rPr>
              <w:t xml:space="preserve"> required.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E</w:t>
            </w:r>
            <w:r>
              <w:rPr>
                <w:rFonts w:ascii="Times New Roman" w:hAnsi="Times New Roman"/>
                <w:b/>
                <w:color w:val="000000"/>
              </w:rPr>
              <w:t>arnest Money and Other Large Deposits</w:t>
            </w:r>
            <w:r>
              <w:rPr>
                <w:rFonts w:ascii="Times New Roman" w:hAnsi="Times New Roman"/>
                <w:color w:val="000000"/>
              </w:rPr>
              <w:t>---Obtain an explanation and documentation for recent large deposits in excess of 2 percent of the property’s sales price, including the earnest money deposit. Also verify that any recent debts were not incurred to obta</w:t>
            </w:r>
            <w:r>
              <w:rPr>
                <w:rFonts w:ascii="Times New Roman" w:hAnsi="Times New Roman"/>
                <w:color w:val="000000"/>
              </w:rPr>
              <w:t>in part or all of the required cash investment on the property being purchased.</w:t>
            </w:r>
          </w:p>
        </w:tc>
        <w:tc>
          <w:tcPr>
            <w:tcW w:w="4788" w:type="dxa"/>
            <w:tcBorders>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Depository Accounts</w:t>
            </w:r>
            <w:r>
              <w:rPr>
                <w:rFonts w:ascii="Times New Roman" w:hAnsi="Times New Roman"/>
                <w:color w:val="000000"/>
              </w:rPr>
              <w:t xml:space="preserve">---If a Verification of Deposit (VOD) is not obtained, then provide a statement showing the previous month’s ending balance for the most recent two months. </w:t>
            </w:r>
            <w:r>
              <w:rPr>
                <w:rFonts w:ascii="Times New Roman" w:hAnsi="Times New Roman"/>
                <w:color w:val="000000"/>
              </w:rPr>
              <w:t xml:space="preserve"> If the previous month’s balance is not shown, then obtain statement(s) for the most recent </w:t>
            </w:r>
            <w:r>
              <w:rPr>
                <w:rFonts w:ascii="Times New Roman" w:hAnsi="Times New Roman"/>
                <w:bCs/>
                <w:color w:val="000000"/>
              </w:rPr>
              <w:t>three</w:t>
            </w:r>
            <w:r>
              <w:rPr>
                <w:rFonts w:ascii="Times New Roman" w:hAnsi="Times New Roman"/>
                <w:color w:val="000000"/>
              </w:rPr>
              <w:t xml:space="preserve"> months to verify sufficient funds to close.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Cash Reserves</w:t>
            </w:r>
            <w:r>
              <w:rPr>
                <w:rFonts w:ascii="Times New Roman" w:hAnsi="Times New Roman"/>
                <w:color w:val="000000"/>
              </w:rPr>
              <w:t xml:space="preserve">---Verify all cash reserves available after closing that are submitted to the AUS.  Note that cash </w:t>
            </w:r>
            <w:r>
              <w:rPr>
                <w:rFonts w:ascii="Times New Roman" w:hAnsi="Times New Roman"/>
                <w:color w:val="000000"/>
              </w:rPr>
              <w:t xml:space="preserve">reserves after closing are not required on FHA mortgages </w:t>
            </w:r>
            <w:r>
              <w:rPr>
                <w:rFonts w:ascii="Times New Roman" w:hAnsi="Times New Roman"/>
                <w:color w:val="000000"/>
              </w:rPr>
              <w:lastRenderedPageBreak/>
              <w:t xml:space="preserve">(except when purchasing 3- or 4-unit properties) but are evaluated in determining the risk classification of the loan.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00"/>
                <w:sz w:val="20"/>
              </w:rPr>
            </w:pPr>
          </w:p>
          <w:p w:rsidR="00000000" w:rsidRDefault="0033777B">
            <w:pPr>
              <w:pStyle w:val="BodyTextIndent3"/>
              <w:rPr>
                <w:rFonts w:ascii="Times New Roman" w:hAnsi="Times New Roman"/>
                <w:color w:val="000000"/>
              </w:rPr>
            </w:pPr>
            <w:r>
              <w:rPr>
                <w:rFonts w:ascii="Times New Roman" w:hAnsi="Times New Roman"/>
                <w:color w:val="000000"/>
                <w:sz w:val="24"/>
              </w:rPr>
              <w:t>Cash reserves may include certain retirement accounts.  To account for withdr</w:t>
            </w:r>
            <w:r>
              <w:rPr>
                <w:rFonts w:ascii="Times New Roman" w:hAnsi="Times New Roman"/>
                <w:color w:val="000000"/>
                <w:sz w:val="24"/>
              </w:rPr>
              <w:t>awal penalties and taxes, only 60% of the vested amount of the account may be used.  The lender must document the existence of the account with the most recent depository or brokerage account statement.  In addition, evidence must be provided that the reti</w:t>
            </w:r>
            <w:r>
              <w:rPr>
                <w:rFonts w:ascii="Times New Roman" w:hAnsi="Times New Roman"/>
                <w:color w:val="000000"/>
                <w:sz w:val="24"/>
              </w:rPr>
              <w:t>rement account allows for withdrawals for conditions other than in connection with the borrower's employment termination, retirement, or death.  If withdrawals can only be made under these circumstances, the retirement account may not be included as cash r</w:t>
            </w:r>
            <w:r>
              <w:rPr>
                <w:rFonts w:ascii="Times New Roman" w:hAnsi="Times New Roman"/>
                <w:color w:val="000000"/>
                <w:sz w:val="24"/>
              </w:rPr>
              <w:t>eserves.  If any of these funds are also to be used for loan settlement, that amount must be subtracted from the amount included as cash reserves.  Note: To be considered as a compensating factor when manually underwriting, there must be three months’ wort</w:t>
            </w:r>
            <w:r>
              <w:rPr>
                <w:rFonts w:ascii="Times New Roman" w:hAnsi="Times New Roman"/>
                <w:color w:val="000000"/>
                <w:sz w:val="24"/>
              </w:rPr>
              <w:t>h of such reserves.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Gift Funds</w:t>
            </w:r>
            <w:r>
              <w:rPr>
                <w:rFonts w:ascii="Times New Roman" w:hAnsi="Times New Roman"/>
                <w:color w:val="000000"/>
              </w:rPr>
              <w:t>---The borrower must list the name, address, telephone number, relationship to the homebuyer, and the dollar amount of the gift on the loan application or in a gift letter for each cash gift received.  If sufficient funds req</w:t>
            </w:r>
            <w:r>
              <w:rPr>
                <w:rFonts w:ascii="Times New Roman" w:hAnsi="Times New Roman"/>
                <w:color w:val="000000"/>
              </w:rPr>
              <w:t xml:space="preserve">uired for closing are not already verified in the borrower’s accounts, document the transfer of the gift funds to the homebuyer in accordance with instructions described in Handbook HUD 4155.1 REV-5.  [Note: No form of secondary financing, with or without </w:t>
            </w:r>
            <w:r>
              <w:rPr>
                <w:rFonts w:ascii="Times New Roman" w:hAnsi="Times New Roman"/>
                <w:color w:val="000000"/>
              </w:rPr>
              <w:t>required payments, is to be shown as “gifts” in any AUS.]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Stock and/or Bond Accounts—</w:t>
            </w:r>
            <w:r>
              <w:rPr>
                <w:rFonts w:ascii="Times New Roman" w:hAnsi="Times New Roman"/>
                <w:color w:val="000000"/>
              </w:rPr>
              <w:t xml:space="preserve">Obtain brokerage statement(s) for each account for </w:t>
            </w:r>
            <w:r>
              <w:rPr>
                <w:rFonts w:ascii="Times New Roman" w:hAnsi="Times New Roman"/>
                <w:color w:val="000000"/>
              </w:rPr>
              <w:lastRenderedPageBreak/>
              <w:t>the most recent three months.  Evidence of liquidation is required if used for cash to close.</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Retirement Accounts</w:t>
            </w:r>
            <w:r>
              <w:rPr>
                <w:rFonts w:ascii="Times New Roman" w:hAnsi="Times New Roman"/>
                <w:color w:val="000000"/>
              </w:rPr>
              <w:t>---Ob</w:t>
            </w:r>
            <w:r>
              <w:rPr>
                <w:rFonts w:ascii="Times New Roman" w:hAnsi="Times New Roman"/>
                <w:color w:val="000000"/>
              </w:rPr>
              <w:t>tain the most recent statements for each account to verify sufficient funds to close.  Document the terms and conditions for withdrawal and/or borrowing and that the borrower is eligible for these withdrawals.  Use only 60 percent of the amount in the acco</w:t>
            </w:r>
            <w:r>
              <w:rPr>
                <w:rFonts w:ascii="Times New Roman" w:hAnsi="Times New Roman"/>
                <w:color w:val="000000"/>
              </w:rPr>
              <w:t xml:space="preserve">unt unless the borrower presents documentation supporting a greater amount after subtracting any taxes or penalties for early withdrawal.  Evidence of liquidation is </w:t>
            </w:r>
            <w:r>
              <w:rPr>
                <w:rFonts w:ascii="Times New Roman" w:hAnsi="Times New Roman"/>
                <w:i/>
                <w:color w:val="000000"/>
              </w:rPr>
              <w:t>not</w:t>
            </w:r>
            <w:r>
              <w:rPr>
                <w:rFonts w:ascii="Times New Roman" w:hAnsi="Times New Roman"/>
                <w:color w:val="000000"/>
              </w:rPr>
              <w:t xml:space="preserve"> required.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Sale of Home</w:t>
            </w:r>
            <w:r>
              <w:rPr>
                <w:rFonts w:ascii="Times New Roman" w:hAnsi="Times New Roman"/>
                <w:color w:val="000000"/>
              </w:rPr>
              <w:t>---Obtain a HUD-1 or equivalent closing statement.  If the borr</w:t>
            </w:r>
            <w:r>
              <w:rPr>
                <w:rFonts w:ascii="Times New Roman" w:hAnsi="Times New Roman"/>
                <w:color w:val="000000"/>
              </w:rPr>
              <w:t>ower is being transferred by his or her company under a guaranteed sales plan, obtain an executed buyout agreement and accompanying settlement statement indicating that the employer or relocation service takes responsibility for the outstanding mortgage de</w:t>
            </w:r>
            <w:r>
              <w:rPr>
                <w:rFonts w:ascii="Times New Roman" w:hAnsi="Times New Roman"/>
                <w:color w:val="000000"/>
              </w:rPr>
              <w:t>bt.</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Sale of Assets</w:t>
            </w:r>
            <w:r>
              <w:rPr>
                <w:rFonts w:ascii="Times New Roman" w:hAnsi="Times New Roman"/>
                <w:color w:val="000000"/>
              </w:rPr>
              <w:t xml:space="preserve">---If an asset other than real estate or exchange-traded securities is sold to accumulate funds to close the mortgage, obtain a bill of sale and evidence of liquidation.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Earnest Money and Other Large Deposits</w:t>
            </w:r>
            <w:r>
              <w:rPr>
                <w:rFonts w:ascii="Times New Roman" w:hAnsi="Times New Roman"/>
                <w:color w:val="000000"/>
              </w:rPr>
              <w:t xml:space="preserve">---Obtain an explanation </w:t>
            </w:r>
            <w:r>
              <w:rPr>
                <w:rFonts w:ascii="Times New Roman" w:hAnsi="Times New Roman"/>
                <w:color w:val="000000"/>
              </w:rPr>
              <w:t>and documentation for recent large deposits in excess of 2 percent of the property’s sales price, including the earnest money deposit. Also verify that any recent debts were not incurred to obtain part or all of the required cash investment on the property</w:t>
            </w:r>
            <w:r>
              <w:rPr>
                <w:rFonts w:ascii="Times New Roman" w:hAnsi="Times New Roman"/>
                <w:color w:val="000000"/>
              </w:rPr>
              <w:t xml:space="preserve"> being purchased.</w:t>
            </w:r>
          </w:p>
        </w:tc>
      </w:tr>
    </w:tbl>
    <w:p w:rsidR="00000000" w:rsidRDefault="0033777B">
      <w:pPr>
        <w:pBdr>
          <w:bottom w:val="single" w:sz="6" w:space="1" w:color="auto"/>
        </w:pBd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u w:val="single"/>
        </w:rPr>
      </w:pPr>
      <w:r>
        <w:rPr>
          <w:rFonts w:ascii="Times New Roman" w:hAnsi="Times New Roman"/>
          <w:b/>
          <w:color w:val="000000"/>
          <w:u w:val="single"/>
        </w:rPr>
        <w:t>Credit Report Processing and Reconciliation Information</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pStyle w:val="BodyText"/>
        <w:rPr>
          <w:color w:val="000000"/>
        </w:rPr>
      </w:pPr>
      <w:r>
        <w:rPr>
          <w:color w:val="000000"/>
        </w:rPr>
        <w:t>The lender is responsible for reviewing all credit reports for all borrowers.  Lenders may choose to document each borrower’s credit history by obtaining credit reports through th</w:t>
      </w:r>
      <w:r>
        <w:rPr>
          <w:color w:val="000000"/>
        </w:rPr>
        <w:t xml:space="preserve">e AUS vendor, or separately through an independent source, depending on the chosen AUS.  The vendor will determine the options available to the lender, including use of in-file credit reports, merged credit reports, and Residential Mortgage Credit Reports </w:t>
      </w:r>
      <w:r>
        <w:rPr>
          <w:color w:val="000000"/>
        </w:rPr>
        <w:t>(RMCRs).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In the event that derogatory or delinquent credit items are revealed during processing that are not reflected on the credit report and, thus, were </w:t>
      </w:r>
      <w:r>
        <w:rPr>
          <w:rFonts w:ascii="Times New Roman" w:hAnsi="Times New Roman"/>
          <w:b/>
          <w:bCs/>
          <w:i/>
          <w:color w:val="000000"/>
        </w:rPr>
        <w:t>not</w:t>
      </w:r>
      <w:r>
        <w:rPr>
          <w:rFonts w:ascii="Times New Roman" w:hAnsi="Times New Roman"/>
          <w:color w:val="000000"/>
        </w:rPr>
        <w:t xml:space="preserve"> considered by the scorecard, downgrade to a </w:t>
      </w:r>
      <w:r>
        <w:rPr>
          <w:rFonts w:ascii="Times New Roman" w:hAnsi="Times New Roman"/>
          <w:i/>
          <w:color w:val="000000"/>
        </w:rPr>
        <w:t>Refer</w:t>
      </w:r>
      <w:r>
        <w:rPr>
          <w:rFonts w:ascii="Times New Roman" w:hAnsi="Times New Roman"/>
          <w:color w:val="000000"/>
        </w:rPr>
        <w:t xml:space="preserve"> and manually underwrite the loan.  Derogatory</w:t>
      </w:r>
      <w:r>
        <w:rPr>
          <w:rFonts w:ascii="Times New Roman" w:hAnsi="Times New Roman"/>
          <w:color w:val="000000"/>
        </w:rPr>
        <w:t xml:space="preserve"> credit items that could conceivably not appear on the credit report and must result in a downgrade include but are not limited to:</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30"/>
        <w:rPr>
          <w:rFonts w:ascii="Times New Roman" w:hAnsi="Times New Roman"/>
          <w:color w:val="000000"/>
        </w:rPr>
      </w:pPr>
      <w:r>
        <w:rPr>
          <w:rFonts w:ascii="Times New Roman" w:hAnsi="Times New Roman"/>
          <w:color w:val="000000"/>
        </w:rPr>
        <w:t>Bankruptcy, foreclosure, collection account, charge-off, tax lien, or judgment; and</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30"/>
        <w:rPr>
          <w:rFonts w:ascii="Times New Roman" w:hAnsi="Times New Roman"/>
          <w:color w:val="000000"/>
        </w:rPr>
      </w:pPr>
      <w:r>
        <w:rPr>
          <w:rFonts w:ascii="Times New Roman" w:hAnsi="Times New Roman"/>
          <w:color w:val="000000"/>
        </w:rPr>
        <w:t>Any mortgage trade line including mortg</w:t>
      </w:r>
      <w:r>
        <w:rPr>
          <w:rFonts w:ascii="Times New Roman" w:hAnsi="Times New Roman"/>
          <w:color w:val="000000"/>
        </w:rPr>
        <w:t>age line-of-credit payments, during the most recent 12 months, consisting of:</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b/>
      </w:r>
      <w:r>
        <w:rPr>
          <w:rFonts w:ascii="Times New Roman" w:hAnsi="Times New Roman"/>
          <w:color w:val="000000"/>
        </w:rPr>
        <w:tab/>
        <w:t>3 or more late payments of greater than 30 days, or</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b/>
      </w:r>
      <w:r>
        <w:rPr>
          <w:rFonts w:ascii="Times New Roman" w:hAnsi="Times New Roman"/>
          <w:color w:val="000000"/>
        </w:rPr>
        <w:tab/>
        <w:t>1 or more late payments of 60 days plus 1 or more 30-day late payments, or</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b/>
      </w:r>
      <w:r>
        <w:rPr>
          <w:rFonts w:ascii="Times New Roman" w:hAnsi="Times New Roman"/>
          <w:color w:val="000000"/>
        </w:rPr>
        <w:tab/>
        <w:t>1 payment greater than 90 days late.</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bl>
      <w:tblPr>
        <w:tblW w:w="0" w:type="auto"/>
        <w:tblLayout w:type="fixed"/>
        <w:tblLook w:val="0000"/>
      </w:tblPr>
      <w:tblGrid>
        <w:gridCol w:w="4788"/>
        <w:gridCol w:w="4788"/>
      </w:tblGrid>
      <w:tr w:rsidR="00000000">
        <w:tblPrEx>
          <w:tblCellMar>
            <w:top w:w="0" w:type="dxa"/>
            <w:bottom w:w="0" w:type="dxa"/>
          </w:tblCellMar>
        </w:tblPrEx>
        <w:tc>
          <w:tcPr>
            <w:tcW w:w="4788" w:type="dxa"/>
            <w:tcBorders>
              <w:top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Use the</w:t>
            </w:r>
            <w:r>
              <w:rPr>
                <w:rFonts w:ascii="Times New Roman" w:hAnsi="Times New Roman"/>
                <w:b/>
                <w:color w:val="000000"/>
              </w:rPr>
              <w:t xml:space="preserve"> following to document the borrower’s credit history for loans receiving an </w:t>
            </w:r>
            <w:r>
              <w:rPr>
                <w:rFonts w:ascii="Times New Roman" w:hAnsi="Times New Roman"/>
                <w:b/>
                <w:i/>
                <w:iCs/>
                <w:color w:val="000000"/>
              </w:rPr>
              <w:t>“</w:t>
            </w:r>
            <w:r>
              <w:rPr>
                <w:rFonts w:ascii="Times New Roman" w:hAnsi="Times New Roman"/>
                <w:b/>
                <w:i/>
                <w:color w:val="000000"/>
              </w:rPr>
              <w:t>Accept/Approve”</w:t>
            </w:r>
            <w:r>
              <w:rPr>
                <w:rFonts w:ascii="Times New Roman" w:hAnsi="Times New Roman"/>
                <w:b/>
                <w:color w:val="000000"/>
              </w:rPr>
              <w:t>:</w:t>
            </w:r>
          </w:p>
        </w:tc>
        <w:tc>
          <w:tcPr>
            <w:tcW w:w="4788" w:type="dxa"/>
            <w:tcBorders>
              <w:top w:val="single" w:sz="6" w:space="0" w:color="auto"/>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 xml:space="preserve">Use the following to document the borrower’s credit history for loans receiving a </w:t>
            </w:r>
            <w:r>
              <w:rPr>
                <w:rFonts w:ascii="Times New Roman" w:hAnsi="Times New Roman"/>
                <w:b/>
                <w:i/>
                <w:iCs/>
                <w:color w:val="000000"/>
              </w:rPr>
              <w:t>“</w:t>
            </w:r>
            <w:r>
              <w:rPr>
                <w:rFonts w:ascii="Times New Roman" w:hAnsi="Times New Roman"/>
                <w:b/>
                <w:i/>
                <w:color w:val="000000"/>
              </w:rPr>
              <w:t>Refer”</w:t>
            </w:r>
            <w:r>
              <w:rPr>
                <w:rFonts w:ascii="Times New Roman" w:hAnsi="Times New Roman"/>
                <w:b/>
                <w:color w:val="000000"/>
              </w:rPr>
              <w:t>:</w:t>
            </w:r>
          </w:p>
        </w:tc>
      </w:tr>
      <w:tr w:rsidR="00000000">
        <w:tblPrEx>
          <w:tblCellMar>
            <w:top w:w="0" w:type="dxa"/>
            <w:bottom w:w="0" w:type="dxa"/>
          </w:tblCellMar>
        </w:tblPrEx>
        <w:tc>
          <w:tcPr>
            <w:tcW w:w="4788" w:type="dxa"/>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Significant Inaccuracy/Undisclosed Debt</w:t>
            </w:r>
            <w:r>
              <w:rPr>
                <w:rFonts w:ascii="Times New Roman" w:hAnsi="Times New Roman"/>
                <w:color w:val="000000"/>
              </w:rPr>
              <w:t>—When a debt or obligation (ot</w:t>
            </w:r>
            <w:r>
              <w:rPr>
                <w:rFonts w:ascii="Times New Roman" w:hAnsi="Times New Roman"/>
                <w:color w:val="000000"/>
              </w:rPr>
              <w:t xml:space="preserve">her than a mortgage) is revealed during the application process that was not listed on the loan application and/or credit report and was </w:t>
            </w:r>
            <w:r>
              <w:rPr>
                <w:rFonts w:ascii="Times New Roman" w:hAnsi="Times New Roman"/>
                <w:i/>
                <w:color w:val="000000"/>
              </w:rPr>
              <w:t>not</w:t>
            </w:r>
            <w:r>
              <w:rPr>
                <w:rFonts w:ascii="Times New Roman" w:hAnsi="Times New Roman"/>
                <w:color w:val="000000"/>
              </w:rPr>
              <w:t xml:space="preserve"> considered by the AUS, the lender must:</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b/>
                <w:color w:val="000000"/>
              </w:rPr>
            </w:pPr>
            <w:r>
              <w:rPr>
                <w:rFonts w:ascii="Times New Roman" w:hAnsi="Times New Roman"/>
                <w:color w:val="000000"/>
              </w:rPr>
              <w:t>Verify the actual monthly payment amount; and</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Include the monthly payment a</w:t>
            </w:r>
            <w:r>
              <w:rPr>
                <w:rFonts w:ascii="Times New Roman" w:hAnsi="Times New Roman"/>
                <w:color w:val="000000"/>
              </w:rPr>
              <w:t>mount and re-submit the loan if the liability is greater than $100 per month.  Direct verification of the debt is not required.</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Determine that any funds borrowed were not/will not be used for the homebuyer’s cash investment into the transaction.</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Continge</w:t>
            </w:r>
            <w:r>
              <w:rPr>
                <w:rFonts w:ascii="Times New Roman" w:hAnsi="Times New Roman"/>
                <w:b/>
                <w:color w:val="000000"/>
              </w:rPr>
              <w:t>nt Liability on Mortgage Debt</w:t>
            </w:r>
            <w:r>
              <w:rPr>
                <w:rFonts w:ascii="Times New Roman" w:hAnsi="Times New Roman"/>
                <w:color w:val="000000"/>
              </w:rPr>
              <w:t>--If the credit report indicates a mortgage debt that has been assumed by an unrelated party, with or without a release of liability, or the title has been transferred because of divorce, lenders need not include the debt in th</w:t>
            </w:r>
            <w:r>
              <w:rPr>
                <w:rFonts w:ascii="Times New Roman" w:hAnsi="Times New Roman"/>
                <w:color w:val="000000"/>
              </w:rPr>
              <w:t>e qualifying ratios.  Obtain either a) a copy of the divorce decree ordering the other spouse to make payments or b) the assumption agreement and the deed showing transfer of title out of the borrower’s name.  There is no 12-month payment history requireme</w:t>
            </w:r>
            <w:r>
              <w:rPr>
                <w:rFonts w:ascii="Times New Roman" w:hAnsi="Times New Roman"/>
                <w:color w:val="000000"/>
              </w:rPr>
              <w:t>nt.</w:t>
            </w: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b/>
                <w:color w:val="000000"/>
              </w:rPr>
            </w:pP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b/>
                <w:color w:val="000000"/>
              </w:rPr>
            </w:pP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b/>
                <w:color w:val="000000"/>
              </w:rPr>
            </w:pP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b/>
                <w:color w:val="000000"/>
              </w:rPr>
            </w:pP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b/>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Mortgage Reference</w:t>
            </w:r>
            <w:r>
              <w:rPr>
                <w:rFonts w:ascii="Times New Roman" w:hAnsi="Times New Roman"/>
                <w:color w:val="000000"/>
              </w:rPr>
              <w:t>--- If a mortgage debt does not appear on the credit report, the credit report does not have a 12-month history, or if no rating is available, obtain the most recent 12-month history and include the payment in the qualifying rati</w:t>
            </w:r>
            <w:r>
              <w:rPr>
                <w:rFonts w:ascii="Times New Roman" w:hAnsi="Times New Roman"/>
                <w:color w:val="000000"/>
              </w:rPr>
              <w:t>os.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Rental Reference</w:t>
            </w:r>
            <w:r>
              <w:rPr>
                <w:rFonts w:ascii="Times New Roman" w:hAnsi="Times New Roman"/>
                <w:color w:val="000000"/>
              </w:rPr>
              <w:t>---A separate rental reference is not required.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Credit Report Inquiries</w:t>
            </w:r>
            <w:r>
              <w:rPr>
                <w:rFonts w:ascii="Times New Roman" w:hAnsi="Times New Roman"/>
                <w:color w:val="000000"/>
              </w:rPr>
              <w:t>---Include new debt payment resulting from material inquiries listed on the credit report in the debt ratios.  Also determine that any recent debts were not incur</w:t>
            </w:r>
            <w:r>
              <w:rPr>
                <w:rFonts w:ascii="Times New Roman" w:hAnsi="Times New Roman"/>
                <w:color w:val="000000"/>
              </w:rPr>
              <w:t xml:space="preserve">red to obtain any part of the required cash investment on the property being purchased.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rPr>
              <w:t>Derogatory Credit Information and Judgments</w:t>
            </w:r>
            <w:r>
              <w:rPr>
                <w:rFonts w:ascii="Times New Roman" w:hAnsi="Times New Roman"/>
                <w:color w:val="000000"/>
              </w:rPr>
              <w:t>---Obtain evidence of payoff for any outstanding judgments shown on the credit report.  No other explanation is required fo</w:t>
            </w:r>
            <w:r>
              <w:rPr>
                <w:rFonts w:ascii="Times New Roman" w:hAnsi="Times New Roman"/>
                <w:color w:val="000000"/>
              </w:rPr>
              <w:t xml:space="preserve">r adverse credit or other </w:t>
            </w:r>
            <w:r>
              <w:rPr>
                <w:rFonts w:ascii="Times New Roman" w:hAnsi="Times New Roman"/>
                <w:color w:val="000000"/>
              </w:rPr>
              <w:lastRenderedPageBreak/>
              <w:t>derogatory information.</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c>
        <w:tc>
          <w:tcPr>
            <w:tcW w:w="4788" w:type="dxa"/>
            <w:tcBorders>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Significant Inaccuracy/Undisclosed Debt</w:t>
            </w:r>
            <w:r>
              <w:rPr>
                <w:rFonts w:ascii="Times New Roman" w:hAnsi="Times New Roman"/>
                <w:color w:val="000000"/>
              </w:rPr>
              <w:t xml:space="preserve">—When a debt or obligation (other than a mortgage) is revealed during the application process that was not listed on the loan application and/or credit report and </w:t>
            </w:r>
            <w:r>
              <w:rPr>
                <w:rFonts w:ascii="Times New Roman" w:hAnsi="Times New Roman"/>
                <w:color w:val="000000"/>
              </w:rPr>
              <w:t xml:space="preserve">was </w:t>
            </w:r>
            <w:r>
              <w:rPr>
                <w:rFonts w:ascii="Times New Roman" w:hAnsi="Times New Roman"/>
                <w:i/>
                <w:color w:val="000000"/>
              </w:rPr>
              <w:t>not</w:t>
            </w:r>
            <w:r>
              <w:rPr>
                <w:rFonts w:ascii="Times New Roman" w:hAnsi="Times New Roman"/>
                <w:color w:val="000000"/>
              </w:rPr>
              <w:t xml:space="preserve"> considered by the AUS, the lender must:</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b/>
                <w:color w:val="000000"/>
              </w:rPr>
            </w:pPr>
            <w:r>
              <w:rPr>
                <w:rFonts w:ascii="Times New Roman" w:hAnsi="Times New Roman"/>
                <w:color w:val="000000"/>
              </w:rPr>
              <w:t>Verify the actual monthly payment amount; and</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Include the monthly payment amount and manually underwrite the mortgage using standard qualifying criteria. Direct verification of the debt is not required.</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224"/>
              <w:rPr>
                <w:rFonts w:ascii="Times New Roman" w:hAnsi="Times New Roman"/>
                <w:color w:val="000000"/>
              </w:rPr>
            </w:pPr>
            <w:r>
              <w:rPr>
                <w:rFonts w:ascii="Times New Roman" w:hAnsi="Times New Roman"/>
                <w:color w:val="000000"/>
              </w:rPr>
              <w:t>Deter</w:t>
            </w:r>
            <w:r>
              <w:rPr>
                <w:rFonts w:ascii="Times New Roman" w:hAnsi="Times New Roman"/>
                <w:color w:val="000000"/>
              </w:rPr>
              <w:t>mine that any funds borrowed were not/will not be used for the homebuyer’s cash investment into the transaction.</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Contingent Liability on Mortgage Debt</w:t>
            </w:r>
            <w:r>
              <w:rPr>
                <w:rFonts w:ascii="Times New Roman" w:hAnsi="Times New Roman"/>
                <w:color w:val="000000"/>
              </w:rPr>
              <w:t>--If the credit report indicates a mortgage debt that has been assumed by an unrelated party, with or wit</w:t>
            </w:r>
            <w:r>
              <w:rPr>
                <w:rFonts w:ascii="Times New Roman" w:hAnsi="Times New Roman"/>
                <w:color w:val="000000"/>
              </w:rPr>
              <w:t xml:space="preserve">hout a release of liability, or the title has been transferred because of divorce, lenders need not include the debt in the qualifying ratios </w:t>
            </w:r>
            <w:r>
              <w:rPr>
                <w:rFonts w:ascii="Times New Roman" w:hAnsi="Times New Roman"/>
                <w:i/>
                <w:iCs/>
                <w:color w:val="000000"/>
              </w:rPr>
              <w:t>provided</w:t>
            </w:r>
            <w:r>
              <w:rPr>
                <w:rFonts w:ascii="Times New Roman" w:hAnsi="Times New Roman"/>
                <w:color w:val="000000"/>
              </w:rPr>
              <w:t xml:space="preserve"> that evidence is obtained that the mortgage has been current during the previous 12 months or that the lo</w:t>
            </w:r>
            <w:r>
              <w:rPr>
                <w:rFonts w:ascii="Times New Roman" w:hAnsi="Times New Roman"/>
                <w:color w:val="000000"/>
              </w:rPr>
              <w:t>an-to-value ratio is at or below 75%.  Also obtain either a) a copy of the divorce decree ordering the other spouse to make payments or b) the assumption agreement and the deed showing transfer of title out of the borrower’s name.  Further instructions are</w:t>
            </w:r>
            <w:r>
              <w:rPr>
                <w:rFonts w:ascii="Times New Roman" w:hAnsi="Times New Roman"/>
                <w:color w:val="000000"/>
              </w:rPr>
              <w:t xml:space="preserve"> in Handbook HUD 4155.1 REV-5.</w:t>
            </w:r>
          </w:p>
          <w:p w:rsidR="00000000" w:rsidRDefault="0033777B">
            <w:pPr>
              <w:numPr>
                <w:ilvl w:val="12"/>
                <w:numId w:val="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hanging="360"/>
              <w:rPr>
                <w:rFonts w:ascii="Times New Roman" w:hAnsi="Times New Roman"/>
                <w:b/>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Mortgage Reference</w:t>
            </w:r>
            <w:r>
              <w:rPr>
                <w:rFonts w:ascii="Times New Roman" w:hAnsi="Times New Roman"/>
                <w:color w:val="000000"/>
              </w:rPr>
              <w:t xml:space="preserve">---If a mortgage debt does not appear on the credit report, the credit report does not have a 12-month history, or if no rating is available, obtain the most recent 12-month history and include the payment </w:t>
            </w:r>
            <w:r>
              <w:rPr>
                <w:rFonts w:ascii="Times New Roman" w:hAnsi="Times New Roman"/>
                <w:color w:val="000000"/>
              </w:rPr>
              <w:t>in the qualifying ratios.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Rental Reference</w:t>
            </w:r>
            <w:r>
              <w:rPr>
                <w:rFonts w:ascii="Times New Roman" w:hAnsi="Times New Roman"/>
                <w:color w:val="000000"/>
              </w:rPr>
              <w:t>---If a rental reference does not appear on the credit report, obtain the most recent 12-month history.</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Credit Report Inquiries</w:t>
            </w:r>
            <w:r>
              <w:rPr>
                <w:rFonts w:ascii="Times New Roman" w:hAnsi="Times New Roman"/>
                <w:color w:val="000000"/>
              </w:rPr>
              <w:t>---Include new debt payment resulting from material inquiries listed on the credit re</w:t>
            </w:r>
            <w:r>
              <w:rPr>
                <w:rFonts w:ascii="Times New Roman" w:hAnsi="Times New Roman"/>
                <w:color w:val="000000"/>
              </w:rPr>
              <w:t xml:space="preserve">port in the debt ratios.  Also determine that any recent debts were not incurred to obtain any part of the required cash investment on the property being purchased.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r>
              <w:rPr>
                <w:rFonts w:ascii="Times New Roman" w:hAnsi="Times New Roman"/>
                <w:b/>
                <w:color w:val="000000"/>
              </w:rPr>
              <w:t>Derogatory Credit Information and Judgments</w:t>
            </w:r>
            <w:r>
              <w:rPr>
                <w:rFonts w:ascii="Times New Roman" w:hAnsi="Times New Roman"/>
                <w:color w:val="000000"/>
              </w:rPr>
              <w:t>---Obtain evidence of payoff for any outstandi</w:t>
            </w:r>
            <w:r>
              <w:rPr>
                <w:rFonts w:ascii="Times New Roman" w:hAnsi="Times New Roman"/>
                <w:color w:val="000000"/>
              </w:rPr>
              <w:t xml:space="preserve">ng judgments shown on the credit report.  Obtain an explanation for major indications of derogatory credit, such </w:t>
            </w:r>
            <w:r>
              <w:rPr>
                <w:rFonts w:ascii="Times New Roman" w:hAnsi="Times New Roman"/>
                <w:color w:val="000000"/>
              </w:rPr>
              <w:lastRenderedPageBreak/>
              <w:t>as judgments and collections, as well as any minor indications within the past two years.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tc>
      </w:tr>
    </w:tbl>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864" w:hanging="864"/>
        <w:rPr>
          <w:rFonts w:ascii="Times New Roman" w:hAnsi="Times New Roman"/>
          <w:b/>
          <w:color w:val="000000"/>
          <w:sz w:val="28"/>
        </w:rPr>
      </w:pPr>
      <w:r>
        <w:rPr>
          <w:rFonts w:ascii="Times New Roman" w:hAnsi="Times New Roman"/>
          <w:b/>
          <w:color w:val="000000"/>
          <w:sz w:val="28"/>
          <w:u w:val="single"/>
        </w:rPr>
        <w:t>SYSTEM OVERRIDES AND MANUAL DOWNGRADES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sz w:val="28"/>
        </w:rPr>
      </w:pPr>
    </w:p>
    <w:p w:rsidR="00000000" w:rsidRDefault="0033777B">
      <w:pPr>
        <w:pStyle w:val="BodyText2"/>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color w:val="000000"/>
        </w:rPr>
      </w:pPr>
      <w:r>
        <w:rPr>
          <w:color w:val="000000"/>
        </w:rPr>
        <w:t>A system o</w:t>
      </w:r>
      <w:r>
        <w:rPr>
          <w:color w:val="000000"/>
        </w:rPr>
        <w:t>verride occurs when a loan application variable triggers a requirement (a “review rule”) that an underwriter review the loan file.  A manual downgrade becomes necessary if additional information, not considered in the AUS decision, affects the overall insu</w:t>
      </w:r>
      <w:r>
        <w:rPr>
          <w:color w:val="000000"/>
        </w:rPr>
        <w:t>rability or eligibility of a mortgage otherwise rated as an accept or approve.  Both system overrides and manual downgrades may be triggered by inaccuracies in credit reporting, by eligibility issues, and for other reasons including the unlikely failure of</w:t>
      </w:r>
      <w:r>
        <w:rPr>
          <w:color w:val="000000"/>
        </w:rPr>
        <w:t xml:space="preserve"> the TOTAL Mortgage Scorecard or AUS to recognize a derogatory credit variable.  Unless specifically permitted to continue to use the “accept/approve” documentation class, such as following a favorable resolution of a credit issue due to an error in report</w:t>
      </w:r>
      <w:r>
        <w:rPr>
          <w:color w:val="000000"/>
        </w:rPr>
        <w:t>ing, the lender must document as a “refer” risk class and is accountable for the credit and ratio warranties on these loans.  If the AUS the lender is using does not provide for a system override for any of the conditions shown below, then the lender is re</w:t>
      </w:r>
      <w:r>
        <w:rPr>
          <w:color w:val="000000"/>
        </w:rPr>
        <w:t>quired to manually downgrade the loan to a “refer” under any of the following conditions: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color w:val="000000"/>
          <w:position w:val="-6"/>
        </w:rPr>
        <w:t>FEDERAL ELIGIBILITY</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Certain individuals may not be eligible for federal benefits due to delinquent federally-related obligations or actions taken by a federal gove</w:t>
      </w:r>
      <w:r>
        <w:rPr>
          <w:rFonts w:ascii="Times New Roman" w:hAnsi="Times New Roman"/>
          <w:color w:val="000000"/>
        </w:rPr>
        <w:t>rnment agency.  If a borrower is discovered to be ineligible due to any of the conditions described below, the lender must downgrade the loan to a Refer status (if the AUS does not do so) and determine what actions—if any—may be taken to allow the borrower</w:t>
      </w:r>
      <w:r>
        <w:rPr>
          <w:rFonts w:ascii="Times New Roman" w:hAnsi="Times New Roman"/>
          <w:color w:val="000000"/>
        </w:rPr>
        <w:t xml:space="preserve"> to qualify for the mortgage.  If it is determined that the information originally relied on to determine a borrower to be ineligible was erroneous, the lender may document the file accordingly and if the loan application is rated as an “accept/approve,” u</w:t>
      </w:r>
      <w:r>
        <w:rPr>
          <w:rFonts w:ascii="Times New Roman" w:hAnsi="Times New Roman"/>
          <w:color w:val="000000"/>
        </w:rPr>
        <w:t>se the credit waivers and reduced documentation accordingly.</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position w:val="-6"/>
        </w:rPr>
      </w:pPr>
      <w:r>
        <w:rPr>
          <w:rFonts w:ascii="Times New Roman" w:hAnsi="Times New Roman"/>
          <w:b/>
          <w:i/>
          <w:color w:val="000000"/>
          <w:position w:val="-6"/>
        </w:rPr>
        <w:t>Delinquent Federal Debt</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position w:val="-6"/>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If the borrower, as revealed by public records, credit information, or HUD’s Credit Alert Interactive Voice Response System (CAIVRS), is presently delinquent on any fede</w:t>
      </w:r>
      <w:r>
        <w:rPr>
          <w:rFonts w:ascii="Times New Roman" w:hAnsi="Times New Roman"/>
          <w:color w:val="000000"/>
        </w:rPr>
        <w:t>ral debt, the borrower is not eligible for a mortgage insured by FHA.  See Chapter 2 of Handbook HUD 4155.1 REV-5 for details.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pStyle w:val="Heading9"/>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bCs w:val="0"/>
          <w:i/>
          <w:color w:val="000000"/>
          <w:position w:val="-6"/>
        </w:rPr>
      </w:pPr>
      <w:r>
        <w:rPr>
          <w:bCs w:val="0"/>
          <w:i/>
          <w:color w:val="000000"/>
          <w:position w:val="-6"/>
        </w:rPr>
        <w:t>CAIVRS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position w:val="-6"/>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If CAIVRS indicates a federal delinquency, default, claim payment, or lien, the borrower is not eligible for additional </w:t>
      </w:r>
      <w:r>
        <w:rPr>
          <w:rFonts w:ascii="Times New Roman" w:hAnsi="Times New Roman"/>
          <w:color w:val="000000"/>
        </w:rPr>
        <w:t xml:space="preserve">federally related credit.  Exceptions and error resolution are discussed in Chapter 2 of Handbook HUD 4155.1 REV-5.  A check of CAIVRS is not required for streamline </w:t>
      </w:r>
      <w:r>
        <w:rPr>
          <w:rFonts w:ascii="Times New Roman" w:hAnsi="Times New Roman"/>
          <w:color w:val="000000"/>
        </w:rPr>
        <w:lastRenderedPageBreak/>
        <w:t>refinances.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We do not require a "clear" CAIVRS access number as a condition for mortgage </w:t>
      </w:r>
      <w:r>
        <w:rPr>
          <w:rFonts w:ascii="Times New Roman" w:hAnsi="Times New Roman"/>
          <w:color w:val="000000"/>
        </w:rPr>
        <w:t>endorsement, but the lender must document and justify its approval based on the exceptions described in the handbook or otherwise provide documentation proving erroneous or outdated information residing in CAIVRS.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position w:val="-6"/>
        </w:rPr>
      </w:pPr>
      <w:r>
        <w:rPr>
          <w:rFonts w:ascii="Times New Roman" w:hAnsi="Times New Roman"/>
          <w:b/>
          <w:i/>
          <w:color w:val="000000"/>
          <w:position w:val="-6"/>
        </w:rPr>
        <w:t>Suspended and Debarred Individuals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 bor</w:t>
      </w:r>
      <w:r>
        <w:rPr>
          <w:rFonts w:ascii="Times New Roman" w:hAnsi="Times New Roman"/>
          <w:color w:val="000000"/>
        </w:rPr>
        <w:t>rower suspended, debarred, or otherwise excluded from participation in the Department's programs is not eligible for a FHA-insured mortgage.  Both the General Services Administration (GSA) “List of Parties Excluded from Federal Procurement and Non-Procurem</w:t>
      </w:r>
      <w:r>
        <w:rPr>
          <w:rFonts w:ascii="Times New Roman" w:hAnsi="Times New Roman"/>
          <w:color w:val="000000"/>
        </w:rPr>
        <w:t xml:space="preserve">ent Programs” and HUD’s Limited Denial of Participation (LDP) list are available through the FHA Connection.  </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position w:val="-6"/>
        </w:rPr>
      </w:pPr>
      <w:r>
        <w:rPr>
          <w:rFonts w:ascii="Times New Roman" w:hAnsi="Times New Roman"/>
          <w:b/>
          <w:color w:val="000000"/>
          <w:position w:val="-6"/>
        </w:rPr>
        <w:t>CREDIT ISSUES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position w:val="-6"/>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i/>
          <w:color w:val="000000"/>
          <w:position w:val="-6"/>
        </w:rPr>
        <w:t>Previous mortgage foreclosure</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 borrower whose previous residence or other real property was foreclosed on or has given a deed-i</w:t>
      </w:r>
      <w:r>
        <w:rPr>
          <w:rFonts w:ascii="Times New Roman" w:hAnsi="Times New Roman"/>
          <w:color w:val="000000"/>
        </w:rPr>
        <w:t>n-lieu of foreclosure within the previous three years is generally not eligible for an insured mortgage.  If the lender chooses to continue processing and manually underwrite the loan application, it must refer to Handbook HUD 4155.1 REV-5 for exceptions a</w:t>
      </w:r>
      <w:r>
        <w:rPr>
          <w:rFonts w:ascii="Times New Roman" w:hAnsi="Times New Roman"/>
          <w:color w:val="000000"/>
        </w:rPr>
        <w:t>nd additional underwriting requirements.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Provided that the foreclosure was completed at least three years previously </w:t>
      </w:r>
      <w:r>
        <w:rPr>
          <w:rFonts w:ascii="Times New Roman" w:hAnsi="Times New Roman"/>
          <w:i/>
          <w:iCs/>
          <w:color w:val="000000"/>
        </w:rPr>
        <w:t>and</w:t>
      </w:r>
      <w:r>
        <w:rPr>
          <w:rFonts w:ascii="Times New Roman" w:hAnsi="Times New Roman"/>
          <w:color w:val="000000"/>
        </w:rPr>
        <w:t xml:space="preserve"> the risk-classification from TOTAL is an “accept/approve,” no further documentation regarding the foreclosure is required.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position w:val="-6"/>
        </w:rPr>
      </w:pPr>
      <w:r>
        <w:rPr>
          <w:rFonts w:ascii="Times New Roman" w:hAnsi="Times New Roman"/>
          <w:b/>
          <w:i/>
          <w:color w:val="000000"/>
          <w:position w:val="-6"/>
        </w:rPr>
        <w:t>Bankruptcy</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position w:val="-6"/>
        </w:rPr>
      </w:pPr>
    </w:p>
    <w:p w:rsidR="00000000" w:rsidRDefault="0033777B">
      <w:pPr>
        <w:tabs>
          <w:tab w:val="left" w:pos="-1440"/>
          <w:tab w:val="left" w:pos="-720"/>
          <w:tab w:val="left" w:pos="-18"/>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Both Chapter 7 liquidations and Chapter 13 bankruptcies discharged within two years of loan application require a referral to an underwriter and compliance with the instructions regarding bankruptcies described in Handbook HUD 4155.1 REV-5.  A borrower w</w:t>
      </w:r>
      <w:r>
        <w:rPr>
          <w:rFonts w:ascii="Times New Roman" w:hAnsi="Times New Roman"/>
          <w:color w:val="000000"/>
        </w:rPr>
        <w:t>hose bankruptcy has been discharged less than one year is not eligible for FHA mortgage insurance (except on non-credit qualifying streamline refinances).</w:t>
      </w:r>
    </w:p>
    <w:p w:rsidR="00000000" w:rsidRDefault="0033777B">
      <w:pPr>
        <w:tabs>
          <w:tab w:val="left" w:pos="-1440"/>
          <w:tab w:val="left" w:pos="-720"/>
          <w:tab w:val="left" w:pos="-18"/>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18"/>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Provided that the bankruptcy was discharged at least two years previously </w:t>
      </w:r>
      <w:r>
        <w:rPr>
          <w:rFonts w:ascii="Times New Roman" w:hAnsi="Times New Roman"/>
          <w:i/>
          <w:iCs/>
          <w:color w:val="000000"/>
        </w:rPr>
        <w:t>and</w:t>
      </w:r>
      <w:r>
        <w:rPr>
          <w:rFonts w:ascii="Times New Roman" w:hAnsi="Times New Roman"/>
          <w:color w:val="000000"/>
        </w:rPr>
        <w:t xml:space="preserve"> the risk-classificatio</w:t>
      </w:r>
      <w:r>
        <w:rPr>
          <w:rFonts w:ascii="Times New Roman" w:hAnsi="Times New Roman"/>
          <w:color w:val="000000"/>
        </w:rPr>
        <w:t>n from TOTAL is an “accept/approve,” no further documentation regarding the bankruptcy is required.</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rPr>
      </w:pPr>
      <w:r>
        <w:rPr>
          <w:rFonts w:ascii="Times New Roman" w:hAnsi="Times New Roman"/>
          <w:b/>
          <w:i/>
          <w:color w:val="000000"/>
        </w:rPr>
        <w:t>Late Mortgage Payments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If any mortgage trade line including mortgage line-of-credit payments, during the most recent 12 </w:t>
      </w:r>
      <w:r>
        <w:rPr>
          <w:rFonts w:ascii="Times New Roman" w:hAnsi="Times New Roman"/>
          <w:color w:val="000000"/>
        </w:rPr>
        <w:lastRenderedPageBreak/>
        <w:t>months, shows: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b/>
        <w:t>3 or more late pay</w:t>
      </w:r>
      <w:r>
        <w:rPr>
          <w:rFonts w:ascii="Times New Roman" w:hAnsi="Times New Roman"/>
          <w:color w:val="000000"/>
        </w:rPr>
        <w:t>ments of greater than 30 days; or</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b/>
        <w:t>1 or more late payments of 60 days plus one or more 30-day late payments; or</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ab/>
        <w:t>1 payment greater than 90 days late,</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the loan application must be referred to a DE underwriter for review.</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b/>
          <w:bCs/>
          <w:i/>
          <w:iCs/>
          <w:color w:val="000000"/>
        </w:rPr>
        <w:t>Disputed Accounts</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If the credit re</w:t>
      </w:r>
      <w:r>
        <w:rPr>
          <w:rFonts w:ascii="Times New Roman" w:hAnsi="Times New Roman"/>
          <w:color w:val="000000"/>
        </w:rPr>
        <w:t>port reveals that the borrower is disputing any credit accounts or public records, the mortgage application must be referred to a DE underwriter for review.</w:t>
      </w:r>
    </w:p>
    <w:p w:rsidR="00000000" w:rsidRDefault="0033777B">
      <w:pPr>
        <w:tabs>
          <w:tab w:val="center" w:pos="4590"/>
        </w:tabs>
        <w:suppressAutoHyphens/>
        <w:jc w:val="center"/>
        <w:rPr>
          <w:rFonts w:ascii="Times New Roman" w:hAnsi="Times New Roman"/>
          <w:color w:val="000000"/>
          <w:sz w:val="28"/>
        </w:rPr>
      </w:pPr>
      <w:r>
        <w:rPr>
          <w:rFonts w:ascii="Times New Roman" w:hAnsi="Times New Roman"/>
          <w:color w:val="000000"/>
        </w:rPr>
        <w:br w:type="page"/>
      </w:r>
      <w:r>
        <w:rPr>
          <w:rFonts w:ascii="Times New Roman" w:hAnsi="Times New Roman"/>
          <w:b/>
          <w:color w:val="000000"/>
          <w:sz w:val="28"/>
        </w:rPr>
        <w:lastRenderedPageBreak/>
        <w:t>CHAPTER 3</w:t>
      </w:r>
    </w:p>
    <w:p w:rsidR="00000000" w:rsidRDefault="0033777B">
      <w:pPr>
        <w:tabs>
          <w:tab w:val="center" w:pos="4590"/>
        </w:tabs>
        <w:suppressAutoHyphens/>
        <w:rPr>
          <w:rFonts w:ascii="Times New Roman" w:hAnsi="Times New Roman"/>
          <w:b/>
          <w:color w:val="000000"/>
          <w:sz w:val="28"/>
        </w:rPr>
      </w:pPr>
    </w:p>
    <w:p w:rsidR="00000000" w:rsidRDefault="0033777B">
      <w:pPr>
        <w:tabs>
          <w:tab w:val="center" w:pos="4590"/>
        </w:tabs>
        <w:suppressAutoHyphens/>
        <w:rPr>
          <w:rFonts w:ascii="Times New Roman" w:hAnsi="Times New Roman"/>
          <w:color w:val="000000"/>
        </w:rPr>
      </w:pPr>
      <w:r>
        <w:rPr>
          <w:rFonts w:ascii="Times New Roman" w:hAnsi="Times New Roman"/>
          <w:b/>
          <w:color w:val="000000"/>
          <w:sz w:val="28"/>
        </w:rPr>
        <w:tab/>
      </w:r>
      <w:r>
        <w:rPr>
          <w:rFonts w:ascii="Times New Roman" w:hAnsi="Times New Roman"/>
          <w:b/>
          <w:color w:val="000000"/>
          <w:sz w:val="28"/>
          <w:u w:val="single"/>
        </w:rPr>
        <w:t>ENDORSEMENT PROCEDURES</w:t>
      </w:r>
    </w:p>
    <w:p w:rsidR="00000000" w:rsidRDefault="0033777B">
      <w:pPr>
        <w:tabs>
          <w:tab w:val="center" w:pos="4590"/>
        </w:tabs>
        <w:suppressAutoHyphens/>
        <w:rPr>
          <w:rFonts w:ascii="Times New Roman" w:hAnsi="Times New Roman"/>
          <w:color w:val="000000"/>
        </w:rPr>
      </w:pPr>
    </w:p>
    <w:p w:rsidR="00000000" w:rsidRDefault="0033777B">
      <w:pPr>
        <w:rPr>
          <w:rFonts w:ascii="Times New Roman" w:hAnsi="Times New Roman"/>
          <w:color w:val="000000"/>
        </w:rPr>
      </w:pPr>
      <w:r>
        <w:rPr>
          <w:rFonts w:ascii="Times New Roman" w:hAnsi="Times New Roman"/>
          <w:color w:val="000000"/>
        </w:rPr>
        <w:t>The loan is eligible for FHA insurance endorsement if:</w:t>
      </w:r>
    </w:p>
    <w:p w:rsidR="00000000" w:rsidRDefault="0033777B">
      <w:pPr>
        <w:rPr>
          <w:rFonts w:ascii="Times New Roman" w:hAnsi="Times New Roman"/>
          <w:color w:val="000000"/>
        </w:rPr>
      </w:pPr>
    </w:p>
    <w:p w:rsidR="00000000" w:rsidRDefault="0033777B">
      <w:pPr>
        <w:numPr>
          <w:ilvl w:val="0"/>
          <w:numId w:val="2"/>
        </w:numPr>
        <w:rPr>
          <w:rFonts w:ascii="Times New Roman" w:hAnsi="Times New Roman"/>
          <w:color w:val="000000"/>
        </w:rPr>
      </w:pPr>
      <w:r>
        <w:rPr>
          <w:rFonts w:ascii="Times New Roman" w:hAnsi="Times New Roman"/>
          <w:color w:val="000000"/>
        </w:rPr>
        <w:t>The TO</w:t>
      </w:r>
      <w:r>
        <w:rPr>
          <w:rFonts w:ascii="Times New Roman" w:hAnsi="Times New Roman"/>
          <w:color w:val="000000"/>
        </w:rPr>
        <w:t>TAL Mortgage Scorecard rated the mortgage loan application as an “accept” or “approve”, or if a “refer”, the DE Underwriter manually underwrote and approved the mortgage application; and</w:t>
      </w:r>
    </w:p>
    <w:p w:rsidR="00000000" w:rsidRDefault="0033777B">
      <w:pPr>
        <w:numPr>
          <w:ilvl w:val="0"/>
          <w:numId w:val="2"/>
        </w:numPr>
        <w:rPr>
          <w:rFonts w:ascii="Times New Roman" w:hAnsi="Times New Roman"/>
          <w:color w:val="000000"/>
        </w:rPr>
      </w:pPr>
      <w:r>
        <w:rPr>
          <w:rFonts w:ascii="Times New Roman" w:hAnsi="Times New Roman"/>
          <w:color w:val="000000"/>
        </w:rPr>
        <w:t>The data entered into the AUS are true, complete, and accurate; and</w:t>
      </w:r>
    </w:p>
    <w:p w:rsidR="00000000" w:rsidRDefault="0033777B">
      <w:pPr>
        <w:numPr>
          <w:ilvl w:val="0"/>
          <w:numId w:val="2"/>
        </w:numPr>
        <w:tabs>
          <w:tab w:val="center" w:pos="4590"/>
        </w:tabs>
        <w:suppressAutoHyphens/>
        <w:rPr>
          <w:rFonts w:ascii="Times New Roman" w:hAnsi="Times New Roman"/>
          <w:color w:val="000000"/>
        </w:rPr>
      </w:pPr>
      <w:r>
        <w:rPr>
          <w:rFonts w:ascii="Times New Roman" w:hAnsi="Times New Roman"/>
          <w:color w:val="000000"/>
        </w:rPr>
        <w:t>T</w:t>
      </w:r>
      <w:r>
        <w:rPr>
          <w:rFonts w:ascii="Times New Roman" w:hAnsi="Times New Roman"/>
          <w:color w:val="000000"/>
        </w:rPr>
        <w:t>he entire loan package meets all other FHA requirements (except for those specifically not required because the loan was evaluated by TOTAL).</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 xml:space="preserve">Loan-level data in the AUS used to render a risk assessment must match that data also entered into CHUMS (if the </w:t>
      </w:r>
      <w:r>
        <w:rPr>
          <w:rFonts w:ascii="Times New Roman" w:hAnsi="Times New Roman"/>
          <w:color w:val="000000"/>
        </w:rPr>
        <w:t>lender has manually updated any of the fields used by TOTAL for scoring the mortgage).  If data entered by the lender into CHUMS indicate a degradation of loan quality when compared with the AUS data used to obtain the risk assessment, FHA reserves the rig</w:t>
      </w:r>
      <w:r>
        <w:rPr>
          <w:rFonts w:ascii="Times New Roman" w:hAnsi="Times New Roman"/>
          <w:color w:val="000000"/>
        </w:rPr>
        <w:t xml:space="preserve">ht to return the case binder to the lender unendorsed until such time as the lender corrects its data.  FHA may also score the mortgage using FHA’s TOTAL Mortgage Scorecard emulator.  If the results of this re-scoring indicate that an “accept/approve” has </w:t>
      </w:r>
      <w:r>
        <w:rPr>
          <w:rFonts w:ascii="Times New Roman" w:hAnsi="Times New Roman"/>
          <w:color w:val="000000"/>
        </w:rPr>
        <w:t>been downgraded to a “refer” risk classification, the case binder may be returned for traditional manual underwriting.</w:t>
      </w:r>
    </w:p>
    <w:p w:rsidR="00000000" w:rsidRDefault="0033777B">
      <w:pPr>
        <w:tabs>
          <w:tab w:val="center" w:pos="4590"/>
        </w:tabs>
        <w:suppressAutoHyphens/>
        <w:rPr>
          <w:rFonts w:ascii="Times New Roman" w:hAnsi="Times New Roman"/>
          <w:color w:val="000000"/>
        </w:rPr>
      </w:pPr>
    </w:p>
    <w:p w:rsidR="00000000" w:rsidRDefault="0033777B">
      <w:pPr>
        <w:pStyle w:val="BodyText2"/>
        <w:tabs>
          <w:tab w:val="center" w:pos="4590"/>
        </w:tabs>
        <w:suppressAutoHyphens/>
        <w:rPr>
          <w:color w:val="000000"/>
        </w:rPr>
      </w:pPr>
      <w:r>
        <w:rPr>
          <w:color w:val="000000"/>
        </w:rPr>
        <w:t xml:space="preserve">It is imperative that lenders make certain that they enter the FHA case number into their LOS or AUS as soon as it is known.  This will </w:t>
      </w:r>
      <w:r>
        <w:rPr>
          <w:color w:val="000000"/>
        </w:rPr>
        <w:t>ensure a more efficient endorsement process.  Mortgage loans that FHA’s system of records cannot identify as having been risk-assessed by FHA’s TOTAL Mortgage Scorecard will not receive the benefits of documentation reduction and credit policy revisions an</w:t>
      </w:r>
      <w:r>
        <w:rPr>
          <w:color w:val="000000"/>
        </w:rPr>
        <w:t>d may be returned to the lender for manual underwriting.</w:t>
      </w:r>
    </w:p>
    <w:p w:rsidR="00000000" w:rsidRDefault="0033777B">
      <w:pPr>
        <w:tabs>
          <w:tab w:val="center" w:pos="4590"/>
        </w:tabs>
        <w:suppressAutoHyphens/>
        <w:rPr>
          <w:rFonts w:ascii="Times New Roman" w:hAnsi="Times New Roman"/>
          <w:color w:val="000000"/>
        </w:rPr>
      </w:pPr>
    </w:p>
    <w:p w:rsidR="00000000" w:rsidRDefault="0033777B">
      <w:pPr>
        <w:pStyle w:val="Heading9"/>
        <w:tabs>
          <w:tab w:val="center" w:pos="4590"/>
        </w:tabs>
        <w:suppressAutoHyphens/>
        <w:rPr>
          <w:color w:val="000000"/>
        </w:rPr>
      </w:pPr>
      <w:r>
        <w:rPr>
          <w:color w:val="000000"/>
        </w:rPr>
        <w:t>Scorecard Version Issues</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r>
        <w:rPr>
          <w:rFonts w:ascii="Times New Roman" w:hAnsi="Times New Roman"/>
          <w:color w:val="000000"/>
        </w:rPr>
        <w:t>From time to time, FHA will revise the TOTAL Mortgage Scorecard.  FHA will announce the date that the new version of the scorecard will be available and from that date forw</w:t>
      </w:r>
      <w:r>
        <w:rPr>
          <w:rFonts w:ascii="Times New Roman" w:hAnsi="Times New Roman"/>
          <w:color w:val="000000"/>
        </w:rPr>
        <w:t>ard all new, first-time risk assessments will be based on the new scorecard.  Loan applications that were scored under the previous version of the scorecard will be “grandfathered” and eligible for re-scoring under the earlier version for 90 days.  Once th</w:t>
      </w:r>
      <w:r>
        <w:rPr>
          <w:rFonts w:ascii="Times New Roman" w:hAnsi="Times New Roman"/>
          <w:color w:val="000000"/>
        </w:rPr>
        <w:t>at period has lapsed, all re-scores will be subject to the new version of the TOTAL Mortgage Scorecard.  Lenders and vendors are also advised that the version number must be passed back to the TOTAL Mortgage Scorecard to allow for this grandfathering featu</w:t>
      </w:r>
      <w:r>
        <w:rPr>
          <w:rFonts w:ascii="Times New Roman" w:hAnsi="Times New Roman"/>
          <w:color w:val="000000"/>
        </w:rPr>
        <w:t>re to operate.</w:t>
      </w: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color w:val="000000"/>
        </w:rPr>
      </w:pPr>
    </w:p>
    <w:p w:rsidR="00000000" w:rsidRDefault="0033777B">
      <w:pPr>
        <w:tabs>
          <w:tab w:val="center" w:pos="4590"/>
        </w:tabs>
        <w:suppressAutoHyphens/>
        <w:rPr>
          <w:rFonts w:ascii="Times New Roman" w:hAnsi="Times New Roman"/>
          <w:b/>
          <w:color w:val="000000"/>
        </w:rPr>
      </w:pPr>
      <w:r>
        <w:rPr>
          <w:rFonts w:ascii="Times New Roman" w:hAnsi="Times New Roman"/>
          <w:b/>
          <w:color w:val="000000"/>
        </w:rPr>
        <w:lastRenderedPageBreak/>
        <w:t>Underwriter Responsibilities</w:t>
      </w:r>
    </w:p>
    <w:p w:rsidR="00000000" w:rsidRDefault="0033777B">
      <w:pPr>
        <w:tabs>
          <w:tab w:val="center" w:pos="4590"/>
        </w:tabs>
        <w:suppressAutoHyphens/>
        <w:rPr>
          <w:rFonts w:ascii="Times New Roman" w:hAnsi="Times New Roman"/>
          <w:color w:val="000000"/>
        </w:rPr>
      </w:pPr>
    </w:p>
    <w:tbl>
      <w:tblPr>
        <w:tblW w:w="0" w:type="auto"/>
        <w:tblLayout w:type="fixed"/>
        <w:tblLook w:val="0000"/>
      </w:tblPr>
      <w:tblGrid>
        <w:gridCol w:w="4788"/>
        <w:gridCol w:w="4788"/>
      </w:tblGrid>
      <w:tr w:rsidR="00000000">
        <w:tblPrEx>
          <w:tblCellMar>
            <w:top w:w="0" w:type="dxa"/>
            <w:bottom w:w="0" w:type="dxa"/>
          </w:tblCellMar>
        </w:tblPrEx>
        <w:tc>
          <w:tcPr>
            <w:tcW w:w="4788" w:type="dxa"/>
            <w:tcBorders>
              <w:top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rPr>
            </w:pPr>
            <w:r>
              <w:rPr>
                <w:rFonts w:ascii="Times New Roman" w:hAnsi="Times New Roman"/>
                <w:b/>
                <w:color w:val="000000"/>
              </w:rPr>
              <w:t xml:space="preserve">For mortgages receiving an </w:t>
            </w:r>
            <w:r>
              <w:rPr>
                <w:rFonts w:ascii="Times New Roman" w:hAnsi="Times New Roman"/>
                <w:b/>
                <w:i/>
                <w:iCs/>
                <w:color w:val="000000"/>
              </w:rPr>
              <w:t>“Acc</w:t>
            </w:r>
            <w:r>
              <w:rPr>
                <w:rFonts w:ascii="Times New Roman" w:hAnsi="Times New Roman"/>
                <w:b/>
                <w:i/>
                <w:color w:val="000000"/>
              </w:rPr>
              <w:t>ept/Approve”:</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rPr>
                <w:rFonts w:ascii="Times New Roman" w:hAnsi="Times New Roman"/>
                <w:color w:val="000000"/>
              </w:rPr>
            </w:pPr>
            <w:r>
              <w:rPr>
                <w:rFonts w:ascii="Times New Roman" w:hAnsi="Times New Roman"/>
                <w:color w:val="000000"/>
              </w:rPr>
              <w:t xml:space="preserve">The DE underwriter is </w:t>
            </w:r>
            <w:r>
              <w:rPr>
                <w:rFonts w:ascii="Times New Roman" w:hAnsi="Times New Roman"/>
                <w:i/>
                <w:color w:val="000000"/>
              </w:rPr>
              <w:t>not</w:t>
            </w:r>
            <w:r>
              <w:rPr>
                <w:rFonts w:ascii="Times New Roman" w:hAnsi="Times New Roman"/>
                <w:color w:val="000000"/>
              </w:rPr>
              <w:t xml:space="preserve"> required to personally review the credit and/or qualifying ratios;</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rPr>
                <w:rFonts w:ascii="Times New Roman" w:hAnsi="Times New Roman"/>
                <w:color w:val="000000"/>
              </w:rPr>
            </w:pPr>
            <w:r>
              <w:rPr>
                <w:rFonts w:ascii="Times New Roman" w:hAnsi="Times New Roman"/>
                <w:color w:val="000000"/>
              </w:rPr>
              <w:t xml:space="preserve">The DE underwriter is </w:t>
            </w:r>
            <w:r>
              <w:rPr>
                <w:rFonts w:ascii="Times New Roman" w:hAnsi="Times New Roman"/>
                <w:i/>
                <w:iCs/>
                <w:color w:val="000000"/>
              </w:rPr>
              <w:t>n</w:t>
            </w:r>
            <w:r>
              <w:rPr>
                <w:rFonts w:ascii="Times New Roman" w:hAnsi="Times New Roman"/>
                <w:color w:val="000000"/>
              </w:rPr>
              <w:t>o</w:t>
            </w:r>
            <w:r>
              <w:rPr>
                <w:rFonts w:ascii="Times New Roman" w:hAnsi="Times New Roman"/>
                <w:i/>
                <w:iCs/>
                <w:color w:val="000000"/>
              </w:rPr>
              <w:t xml:space="preserve">t </w:t>
            </w:r>
            <w:r>
              <w:rPr>
                <w:rFonts w:ascii="Times New Roman" w:hAnsi="Times New Roman"/>
                <w:color w:val="000000"/>
              </w:rPr>
              <w:t xml:space="preserve">required to certify that the borrower’s </w:t>
            </w:r>
            <w:r>
              <w:rPr>
                <w:rFonts w:ascii="Times New Roman" w:hAnsi="Times New Roman"/>
                <w:color w:val="000000"/>
              </w:rPr>
              <w:t>credit and capacity meets standard FHA requirements;</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rPr>
                <w:rFonts w:ascii="Times New Roman" w:hAnsi="Times New Roman"/>
                <w:color w:val="000000"/>
              </w:rPr>
            </w:pPr>
            <w:r>
              <w:rPr>
                <w:rFonts w:ascii="Times New Roman" w:hAnsi="Times New Roman"/>
                <w:color w:val="000000"/>
              </w:rPr>
              <w:t>The TOTAL Mortgage Scorecard CHUMS number is to be recorded on form HUD-92900-A and the mortgage credit analysis worksheet; and</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rPr>
                <w:rFonts w:ascii="Times New Roman" w:hAnsi="Times New Roman"/>
                <w:color w:val="000000"/>
              </w:rPr>
            </w:pPr>
            <w:r>
              <w:rPr>
                <w:rFonts w:ascii="Times New Roman" w:hAnsi="Times New Roman"/>
                <w:color w:val="000000"/>
              </w:rPr>
              <w:t xml:space="preserve">The DE underwriter must underwrite the appraisal according to standard FHA </w:t>
            </w:r>
            <w:r>
              <w:rPr>
                <w:rFonts w:ascii="Times New Roman" w:hAnsi="Times New Roman"/>
                <w:color w:val="000000"/>
              </w:rPr>
              <w:t>requirements.</w:t>
            </w:r>
          </w:p>
        </w:tc>
        <w:tc>
          <w:tcPr>
            <w:tcW w:w="4788" w:type="dxa"/>
            <w:tcBorders>
              <w:top w:val="single" w:sz="6" w:space="0" w:color="auto"/>
              <w:left w:val="single" w:sz="6" w:space="0" w:color="auto"/>
            </w:tcBorders>
          </w:tcPr>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i/>
                <w:color w:val="000000"/>
              </w:rPr>
            </w:pPr>
            <w:r>
              <w:rPr>
                <w:rFonts w:ascii="Times New Roman" w:hAnsi="Times New Roman"/>
                <w:b/>
                <w:color w:val="000000"/>
              </w:rPr>
              <w:t xml:space="preserve">For mortgages receiving a </w:t>
            </w:r>
            <w:r>
              <w:rPr>
                <w:rFonts w:ascii="Times New Roman" w:hAnsi="Times New Roman"/>
                <w:b/>
                <w:i/>
                <w:iCs/>
                <w:color w:val="000000"/>
              </w:rPr>
              <w:t>“</w:t>
            </w:r>
            <w:r>
              <w:rPr>
                <w:rFonts w:ascii="Times New Roman" w:hAnsi="Times New Roman"/>
                <w:b/>
                <w:i/>
                <w:color w:val="000000"/>
              </w:rPr>
              <w:t>Refer”</w:t>
            </w: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p>
          <w:p w:rsidR="00000000" w:rsidRDefault="0033777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b/>
                <w:color w:val="000000"/>
              </w:rPr>
            </w:pP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The DE underwriter is required to underwrite both credit and capacity according to standard FHA guidelines;</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The DE underwriter is required to certify that the borrower’s credit and capacity meet standard FH</w:t>
            </w:r>
            <w:r>
              <w:rPr>
                <w:rFonts w:ascii="Times New Roman" w:hAnsi="Times New Roman"/>
                <w:color w:val="000000"/>
              </w:rPr>
              <w:t>A requirements;</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The CHUMS number of the DE underwriter is to be recorded on form HUD-92900-A and the mortgage credit analysis worksheet;</w:t>
            </w:r>
          </w:p>
          <w:p w:rsidR="00000000" w:rsidRDefault="0033777B">
            <w:pPr>
              <w:numPr>
                <w:ilvl w:val="0"/>
                <w:numId w:val="2"/>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color w:val="000000"/>
              </w:rPr>
            </w:pPr>
            <w:r>
              <w:rPr>
                <w:rFonts w:ascii="Times New Roman" w:hAnsi="Times New Roman"/>
                <w:color w:val="000000"/>
              </w:rPr>
              <w:t xml:space="preserve">The DE underwriter must underwrite the appraisal according to standard FHA requirements. </w:t>
            </w:r>
          </w:p>
        </w:tc>
      </w:tr>
    </w:tbl>
    <w:p w:rsidR="00000000" w:rsidRDefault="0033777B">
      <w:pPr>
        <w:tabs>
          <w:tab w:val="center" w:pos="4590"/>
        </w:tabs>
        <w:suppressAutoHyphens/>
        <w:rPr>
          <w:rFonts w:ascii="Times New Roman" w:hAnsi="Times New Roman"/>
          <w:color w:val="000000"/>
          <w:u w:val="single"/>
        </w:rPr>
      </w:pPr>
    </w:p>
    <w:sectPr w:rsidR="00000000">
      <w:headerReference w:type="even" r:id="rId7"/>
      <w:headerReference w:type="default" r:id="rId8"/>
      <w:footerReference w:type="even" r:id="rId9"/>
      <w:footerReference w:type="default" r:id="rId10"/>
      <w:endnotePr>
        <w:numFmt w:val="decimal"/>
      </w:endnotePr>
      <w:pgSz w:w="12240" w:h="15840"/>
      <w:pgMar w:top="1944" w:right="1440" w:bottom="360" w:left="1440" w:header="504"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3777B">
      <w:pPr>
        <w:spacing w:line="20" w:lineRule="exact"/>
      </w:pPr>
    </w:p>
  </w:endnote>
  <w:endnote w:type="continuationSeparator" w:id="0">
    <w:p w:rsidR="00000000" w:rsidRDefault="0033777B">
      <w:r>
        <w:t xml:space="preserve"> </w:t>
      </w:r>
    </w:p>
  </w:endnote>
  <w:endnote w:type="continuationNotice" w:id="1">
    <w:p w:rsidR="00000000" w:rsidRDefault="0033777B">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Dutch Bold 14pt">
    <w:altName w:val="Times New Roman"/>
    <w:panose1 w:val="00000000000000000000"/>
    <w:charset w:val="00"/>
    <w:family w:val="roman"/>
    <w:notTrueType/>
    <w:pitch w:val="default"/>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777B">
    <w:pPr>
      <w:spacing w:before="140" w:line="100" w:lineRule="exact"/>
      <w:rPr>
        <w:sz w:val="10"/>
      </w:rPr>
    </w:pPr>
  </w:p>
  <w:p w:rsidR="00000000" w:rsidRDefault="0033777B">
    <w:pPr>
      <w:tabs>
        <w:tab w:val="left" w:pos="-720"/>
      </w:tabs>
      <w:suppressAutoHyphens/>
      <w:spacing w:line="19" w:lineRule="exact"/>
      <w:rPr>
        <w:rFonts w:ascii="Dutch Roman 12pt" w:hAnsi="Dutch Roman 12pt"/>
      </w:rPr>
    </w:pPr>
    <w:r>
      <w:rPr>
        <w:noProof/>
      </w:rPr>
      <w:pict>
        <v:rect id="_x0000_s1027" style="position:absolute;margin-left:0;margin-top:0;width:468pt;height:.95pt;z-index:-251658240;mso-position-horizontal-relative:margin" o:allowincell="f" fillcolor="black" stroked="f" strokeweight=".05pt">
          <v:fill color2="black"/>
          <w10:wrap anchorx="margin"/>
        </v:rect>
      </w:pict>
    </w:r>
  </w:p>
  <w:p w:rsidR="00000000" w:rsidRDefault="0033777B">
    <w:pPr>
      <w:tabs>
        <w:tab w:val="left" w:pos="-720"/>
      </w:tabs>
      <w:suppressAutoHyphens/>
      <w:rPr>
        <w:rFonts w:ascii="Dutch Roman 12pt" w:hAnsi="Dutch Roman 12pt"/>
      </w:rPr>
    </w:pPr>
  </w:p>
  <w:p w:rsidR="00000000" w:rsidRDefault="0033777B">
    <w:pPr>
      <w:tabs>
        <w:tab w:val="left" w:pos="-720"/>
      </w:tabs>
      <w:suppressAutoHyphens/>
      <w:rPr>
        <w:rFonts w:ascii="Dutch Roman 12pt" w:hAnsi="Dutch Roman 12pt"/>
      </w:rPr>
    </w:pPr>
  </w:p>
  <w:p w:rsidR="00000000" w:rsidRDefault="0033777B">
    <w:pPr>
      <w:tabs>
        <w:tab w:val="center" w:pos="4590"/>
      </w:tabs>
      <w:suppressAutoHyphens/>
      <w:rPr>
        <w:rFonts w:ascii="Dutch Roman 12pt" w:hAnsi="Dutch Roman 12pt"/>
      </w:rPr>
    </w:pPr>
    <w:r>
      <w:rPr>
        <w:rFonts w:ascii="Dutch Roman 12pt" w:hAnsi="Dutch Roman 12pt"/>
      </w:rPr>
      <w:t xml:space="preserve">September 1995                </w:t>
    </w:r>
    <w:r>
      <w:rPr>
        <w:rFonts w:ascii="Dutch Roman 12pt" w:hAnsi="Dutch Roman 12pt"/>
      </w:rPr>
      <w:tab/>
      <w:t>2</w:t>
    </w:r>
    <w:r>
      <w:rPr>
        <w:rFonts w:ascii="Dutch Roman 12pt" w:hAnsi="Dutch Roman 12pt"/>
      </w:rPr>
      <w:noBreakHyphen/>
    </w:r>
    <w:r>
      <w:rPr>
        <w:rFonts w:ascii="Dutch Roman 12pt" w:hAnsi="Dutch Roman 12pt"/>
      </w:rPr>
      <w:fldChar w:fldCharType="begin"/>
    </w:r>
    <w:r>
      <w:rPr>
        <w:rFonts w:ascii="Dutch Roman 12pt" w:hAnsi="Dutch Roman 12pt"/>
      </w:rPr>
      <w:instrText>page \* arabic</w:instrText>
    </w:r>
    <w:r>
      <w:rPr>
        <w:rFonts w:ascii="Dutch Roman 12pt" w:hAnsi="Dutch Roman 12pt"/>
      </w:rPr>
      <w:fldChar w:fldCharType="separate"/>
    </w:r>
    <w:r>
      <w:rPr>
        <w:rFonts w:ascii="Dutch Roman 12pt" w:hAnsi="Dutch Roman 12pt"/>
        <w:noProof/>
      </w:rPr>
      <w:t>42</w:t>
    </w:r>
    <w:r>
      <w:rPr>
        <w:rFonts w:ascii="Dutch Roman 12pt" w:hAnsi="Dutch Roman 12pt"/>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777B">
    <w:pPr>
      <w:spacing w:before="140" w:line="100" w:lineRule="exact"/>
      <w:rPr>
        <w:sz w:val="10"/>
      </w:rPr>
    </w:pPr>
  </w:p>
  <w:p w:rsidR="00000000" w:rsidRDefault="0033777B">
    <w:pPr>
      <w:tabs>
        <w:tab w:val="left" w:pos="-720"/>
      </w:tabs>
      <w:suppressAutoHyphens/>
      <w:spacing w:line="19" w:lineRule="exact"/>
      <w:rPr>
        <w:rFonts w:ascii="Dutch Roman 12pt" w:hAnsi="Dutch Roman 12pt"/>
      </w:rPr>
    </w:pPr>
    <w:r>
      <w:rPr>
        <w:noProof/>
      </w:rPr>
      <w:pict>
        <v:rect id="_x0000_s1028" style="position:absolute;margin-left:0;margin-top:0;width:468pt;height:.95pt;z-index:-251657216;mso-position-horizontal-relative:margin" o:allowincell="f" fillcolor="black" stroked="f" strokeweight=".05pt">
          <v:fill color2="black"/>
          <w10:wrap anchorx="margin"/>
        </v:rect>
      </w:pict>
    </w:r>
  </w:p>
  <w:p w:rsidR="00000000" w:rsidRDefault="0033777B">
    <w:pPr>
      <w:tabs>
        <w:tab w:val="left" w:pos="-720"/>
      </w:tabs>
      <w:suppressAutoHyphens/>
      <w:rPr>
        <w:rFonts w:ascii="Dutch Roman 12pt" w:hAnsi="Dutch Roman 12pt"/>
      </w:rPr>
    </w:pPr>
  </w:p>
  <w:p w:rsidR="00000000" w:rsidRDefault="0033777B">
    <w:pPr>
      <w:tabs>
        <w:tab w:val="left" w:pos="-720"/>
      </w:tabs>
      <w:suppressAutoHyphens/>
      <w:rPr>
        <w:rFonts w:ascii="Dutch Roman 12pt" w:hAnsi="Dutch Roman 12pt"/>
      </w:rPr>
    </w:pPr>
  </w:p>
  <w:p w:rsidR="00000000" w:rsidRDefault="0033777B">
    <w:pPr>
      <w:tabs>
        <w:tab w:val="center" w:pos="4590"/>
      </w:tabs>
      <w:suppressAutoHyphens/>
      <w:rPr>
        <w:rFonts w:ascii="Times New Roman" w:hAnsi="Times New Roman"/>
      </w:rPr>
    </w:pPr>
    <w:r>
      <w:rPr>
        <w:rFonts w:ascii="Times New Roman" w:hAnsi="Times New Roman"/>
      </w:rPr>
      <w:t>December 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3777B">
      <w:r>
        <w:separator/>
      </w:r>
    </w:p>
  </w:footnote>
  <w:footnote w:type="continuationSeparator" w:id="0">
    <w:p w:rsidR="00000000" w:rsidRDefault="00337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777B">
    <w:pPr>
      <w:tabs>
        <w:tab w:val="left" w:pos="-720"/>
      </w:tabs>
      <w:suppressAutoHyphens/>
      <w:jc w:val="both"/>
      <w:rPr>
        <w:spacing w:val="-3"/>
      </w:rPr>
    </w:pPr>
    <w:r>
      <w:rPr>
        <w:noProof/>
      </w:rPr>
      <w:pict>
        <v:rect id="_x0000_s1025" style="position:absolute;left:0;text-align:left;margin-left:12pt;margin-top:0;width:127.2pt;height:36pt;z-index:-251660288;mso-position-horizontal-relative:margin" o:allowincell="f" filled="f" stroked="f" strokeweight="0">
          <v:textbox inset="0,0,0,0">
            <w:txbxContent>
              <w:p w:rsidR="00000000" w:rsidRDefault="0033777B">
                <w:pPr>
                  <w:pBdr>
                    <w:top w:val="single" w:sz="6" w:space="11" w:color="auto"/>
                    <w:left w:val="single" w:sz="6" w:space="10" w:color="auto"/>
                    <w:bottom w:val="single" w:sz="6" w:space="9" w:color="auto"/>
                    <w:right w:val="single" w:sz="6" w:space="10" w:color="auto"/>
                  </w:pBdr>
                  <w:tabs>
                    <w:tab w:val="center" w:pos="1272"/>
                  </w:tabs>
                  <w:suppressAutoHyphens/>
                  <w:jc w:val="both"/>
                  <w:rPr>
                    <w:rFonts w:ascii="Dutch Bold 14pt" w:hAnsi="Dutch Bold 14pt"/>
                    <w:b/>
                    <w:spacing w:val="-3"/>
                    <w:sz w:val="28"/>
                  </w:rPr>
                </w:pPr>
                <w:r>
                  <w:rPr>
                    <w:rFonts w:ascii="Dutch Bold 14pt" w:hAnsi="Dutch Bold 14pt"/>
                    <w:b/>
                    <w:spacing w:val="-3"/>
                    <w:sz w:val="28"/>
                  </w:rPr>
                  <w:tab/>
                  <w:t xml:space="preserve">4155.1 REV-4 </w:t>
                </w:r>
                <w:r>
                  <w:rPr>
                    <w:rFonts w:ascii="Dutch Bold 14pt" w:hAnsi="Dutch Bold 14pt"/>
                    <w:b/>
                    <w:spacing w:val="-2"/>
                    <w:sz w:val="22"/>
                  </w:rPr>
                  <w:t>CHG 1</w:t>
                </w:r>
              </w:p>
            </w:txbxContent>
          </v:textbox>
          <w10:wrap anchorx="margin"/>
        </v:rect>
      </w:pict>
    </w:r>
  </w:p>
  <w:p w:rsidR="00000000" w:rsidRDefault="0033777B">
    <w:pPr>
      <w:tabs>
        <w:tab w:val="left" w:pos="-720"/>
      </w:tabs>
      <w:suppressAutoHyphens/>
      <w:jc w:val="both"/>
      <w:rPr>
        <w:spacing w:val="-3"/>
      </w:rPr>
    </w:pPr>
  </w:p>
  <w:p w:rsidR="00000000" w:rsidRDefault="0033777B">
    <w:pPr>
      <w:tabs>
        <w:tab w:val="left" w:pos="-720"/>
      </w:tabs>
      <w:suppressAutoHyphens/>
      <w:jc w:val="both"/>
      <w:rPr>
        <w:spacing w:val="-3"/>
      </w:rPr>
    </w:pPr>
  </w:p>
  <w:p w:rsidR="00000000" w:rsidRDefault="0033777B">
    <w:pPr>
      <w:tabs>
        <w:tab w:val="left" w:pos="-720"/>
      </w:tabs>
      <w:suppressAutoHyphens/>
      <w:jc w:val="both"/>
      <w:rPr>
        <w:spacing w:val="-3"/>
      </w:rPr>
    </w:pPr>
  </w:p>
  <w:p w:rsidR="00000000" w:rsidRDefault="0033777B">
    <w:pPr>
      <w:tabs>
        <w:tab w:val="left" w:pos="-720"/>
      </w:tabs>
      <w:suppressAutoHyphens/>
      <w:jc w:val="both"/>
      <w:rPr>
        <w:spacing w:val="-3"/>
      </w:rPr>
    </w:pPr>
    <w:r>
      <w:rPr>
        <w:noProof/>
      </w:rPr>
      <w:pict>
        <v:rect id="_x0000_s1026" style="position:absolute;left:0;text-align:left;margin-left:0;margin-top:66pt;width:468pt;height:.95pt;z-index:-251659264;mso-position-horizontal-relative:margin;mso-position-vertical-relative:page" o:allowincell="f" fillcolor="black" stroked="f" strokeweight=".1pt">
          <v:fill color2="black"/>
          <w10:wrap anchorx="margin"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777B">
    <w:pPr>
      <w:pStyle w:val="Header"/>
      <w:jc w:val="center"/>
      <w:rPr>
        <w:rFonts w:ascii="Times New Roman" w:hAnsi="Times New Roman"/>
      </w:rPr>
    </w:pPr>
  </w:p>
  <w:p w:rsidR="00000000" w:rsidRDefault="0033777B">
    <w:pPr>
      <w:pStyle w:val="Header"/>
      <w:jc w:val="center"/>
      <w:rPr>
        <w:rFonts w:ascii="Times New Roman" w:hAnsi="Times New Roman"/>
      </w:rPr>
    </w:pPr>
  </w:p>
  <w:p w:rsidR="00000000" w:rsidRDefault="0033777B">
    <w:pPr>
      <w:pStyle w:val="Header"/>
      <w:jc w:val="center"/>
    </w:pPr>
    <w:r>
      <w:rPr>
        <w:rFonts w:ascii="Times New Roman" w:hAnsi="Times New Roman"/>
      </w:rPr>
      <w:t>FHA TO</w:t>
    </w:r>
    <w:r>
      <w:rPr>
        <w:rFonts w:ascii="Times New Roman" w:hAnsi="Times New Roman"/>
      </w:rPr>
      <w:t>TAL Mortgage Scorecard User Guide</w:t>
    </w:r>
  </w:p>
  <w:p w:rsidR="00000000" w:rsidRDefault="0033777B">
    <w:pPr>
      <w:pStyle w:val="Header"/>
    </w:pPr>
  </w:p>
  <w:p w:rsidR="00000000" w:rsidRDefault="0033777B">
    <w:pPr>
      <w:pStyle w:val="Header"/>
      <w:pBdr>
        <w:bottom w:val="single" w:sz="6"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AE299F4"/>
    <w:lvl w:ilvl="0">
      <w:start w:val="1"/>
      <w:numFmt w:val="decimal"/>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FFFFFFFE"/>
    <w:multiLevelType w:val="singleLevel"/>
    <w:tmpl w:val="CA7A4D00"/>
    <w:lvl w:ilvl="0">
      <w:numFmt w:val="decimal"/>
      <w:lvlText w:val="*"/>
      <w:lvlJc w:val="left"/>
    </w:lvl>
  </w:abstractNum>
  <w:abstractNum w:abstractNumId="2">
    <w:nsid w:val="2E2505FA"/>
    <w:multiLevelType w:val="hybridMultilevel"/>
    <w:tmpl w:val="0562C8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F341798"/>
    <w:multiLevelType w:val="hybridMultilevel"/>
    <w:tmpl w:val="CF986E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1763B56"/>
    <w:multiLevelType w:val="hybridMultilevel"/>
    <w:tmpl w:val="2AD0C864"/>
    <w:lvl w:ilvl="0" w:tplc="32B0DF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FE130F"/>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932"/>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33777B"/>
    <w:rsid w:val="00337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keepNext/>
      <w:outlineLvl w:val="8"/>
    </w:pPr>
    <w:rPr>
      <w:rFonts w:ascii="Times New Roman" w:hAnsi="Times New Roman"/>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pos="9173"/>
      </w:tabs>
      <w:ind w:left="240" w:hanging="240"/>
    </w:pPr>
    <w:rPr>
      <w:rFonts w:ascii="Times New Roman" w:hAnsi="Times New Roman"/>
      <w:sz w:val="18"/>
    </w:rPr>
  </w:style>
  <w:style w:type="paragraph" w:styleId="Index2">
    <w:name w:val="index 2"/>
    <w:basedOn w:val="Normal"/>
    <w:next w:val="Normal"/>
    <w:semiHidden/>
    <w:pPr>
      <w:tabs>
        <w:tab w:val="right" w:pos="9173"/>
      </w:tabs>
      <w:ind w:left="480" w:hanging="240"/>
    </w:pPr>
    <w:rPr>
      <w:rFonts w:ascii="Times New Roman" w:hAnsi="Times New Roman"/>
      <w:sz w:val="18"/>
    </w:r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Index3">
    <w:name w:val="index 3"/>
    <w:basedOn w:val="Normal"/>
    <w:next w:val="Normal"/>
    <w:semiHidden/>
    <w:pPr>
      <w:tabs>
        <w:tab w:val="right" w:pos="9173"/>
      </w:tabs>
      <w:ind w:left="720" w:hanging="240"/>
    </w:pPr>
    <w:rPr>
      <w:rFonts w:ascii="Times New Roman" w:hAnsi="Times New Roman"/>
      <w:sz w:val="18"/>
    </w:rPr>
  </w:style>
  <w:style w:type="paragraph" w:styleId="Index4">
    <w:name w:val="index 4"/>
    <w:basedOn w:val="Normal"/>
    <w:next w:val="Normal"/>
    <w:semiHidden/>
    <w:pPr>
      <w:tabs>
        <w:tab w:val="right" w:pos="9173"/>
      </w:tabs>
      <w:ind w:left="960" w:hanging="240"/>
    </w:pPr>
    <w:rPr>
      <w:rFonts w:ascii="Times New Roman" w:hAnsi="Times New Roman"/>
      <w:sz w:val="18"/>
    </w:rPr>
  </w:style>
  <w:style w:type="paragraph" w:styleId="Index5">
    <w:name w:val="index 5"/>
    <w:basedOn w:val="Normal"/>
    <w:next w:val="Normal"/>
    <w:semiHidden/>
    <w:pPr>
      <w:tabs>
        <w:tab w:val="right" w:pos="9173"/>
      </w:tabs>
      <w:ind w:left="1200" w:hanging="240"/>
    </w:pPr>
    <w:rPr>
      <w:rFonts w:ascii="Times New Roman" w:hAnsi="Times New Roman"/>
      <w:sz w:val="18"/>
    </w:rPr>
  </w:style>
  <w:style w:type="paragraph" w:styleId="Index6">
    <w:name w:val="index 6"/>
    <w:basedOn w:val="Normal"/>
    <w:next w:val="Normal"/>
    <w:semiHidden/>
    <w:pPr>
      <w:tabs>
        <w:tab w:val="right" w:pos="9173"/>
      </w:tabs>
      <w:ind w:left="1440" w:hanging="240"/>
    </w:pPr>
    <w:rPr>
      <w:rFonts w:ascii="Times New Roman" w:hAnsi="Times New Roman"/>
      <w:sz w:val="18"/>
    </w:rPr>
  </w:style>
  <w:style w:type="paragraph" w:styleId="Index7">
    <w:name w:val="index 7"/>
    <w:basedOn w:val="Normal"/>
    <w:next w:val="Normal"/>
    <w:semiHidden/>
    <w:pPr>
      <w:tabs>
        <w:tab w:val="right" w:pos="9173"/>
      </w:tabs>
      <w:ind w:left="1680" w:hanging="240"/>
    </w:pPr>
    <w:rPr>
      <w:rFonts w:ascii="Times New Roman" w:hAnsi="Times New Roman"/>
      <w:sz w:val="18"/>
    </w:rPr>
  </w:style>
  <w:style w:type="paragraph" w:styleId="Index8">
    <w:name w:val="index 8"/>
    <w:basedOn w:val="Normal"/>
    <w:next w:val="Normal"/>
    <w:semiHidden/>
    <w:pPr>
      <w:tabs>
        <w:tab w:val="right" w:pos="9173"/>
      </w:tabs>
      <w:ind w:left="1920" w:hanging="240"/>
    </w:pPr>
    <w:rPr>
      <w:rFonts w:ascii="Times New Roman" w:hAnsi="Times New Roman"/>
      <w:sz w:val="18"/>
    </w:rPr>
  </w:style>
  <w:style w:type="paragraph" w:styleId="Index9">
    <w:name w:val="index 9"/>
    <w:basedOn w:val="Normal"/>
    <w:next w:val="Normal"/>
    <w:semiHidden/>
    <w:pPr>
      <w:tabs>
        <w:tab w:val="right" w:pos="9173"/>
      </w:tabs>
      <w:ind w:left="2160" w:hanging="240"/>
    </w:pPr>
    <w:rPr>
      <w:rFonts w:ascii="Times New Roman" w:hAnsi="Times New Roman"/>
      <w:sz w:val="18"/>
    </w:rPr>
  </w:style>
  <w:style w:type="paragraph" w:styleId="IndexHeading">
    <w:name w:val="index heading"/>
    <w:basedOn w:val="Normal"/>
    <w:next w:val="Index1"/>
    <w:semiHidden/>
    <w:pPr>
      <w:pBdr>
        <w:top w:val="single" w:sz="12" w:space="0" w:color="auto"/>
      </w:pBdr>
      <w:spacing w:before="360" w:after="240"/>
    </w:pPr>
    <w:rPr>
      <w:rFonts w:ascii="Times New Roman" w:hAnsi="Times New Roman"/>
      <w:b/>
      <w:i/>
      <w:sz w:val="26"/>
    </w:rPr>
  </w:style>
  <w:style w:type="paragraph" w:styleId="Title">
    <w:name w:val="Title"/>
    <w:basedOn w:val="Normal"/>
    <w:qFormat/>
    <w:pPr>
      <w:tabs>
        <w:tab w:val="center" w:pos="4590"/>
      </w:tabs>
      <w:suppressAutoHyphens/>
      <w:jc w:val="center"/>
    </w:pPr>
    <w:rPr>
      <w:rFonts w:ascii="Times New Roman" w:hAnsi="Times New Roman"/>
      <w:b/>
      <w:sz w:val="28"/>
    </w:rPr>
  </w:style>
  <w:style w:type="character" w:styleId="PageNumber">
    <w:name w:val="page number"/>
    <w:basedOn w:val="DefaultParagraphFont"/>
    <w:semiHidden/>
  </w:style>
  <w:style w:type="paragraph" w:styleId="BodyText">
    <w:name w:val="Body Text"/>
    <w:basedOn w:val="Normal"/>
    <w:semiHidden/>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Pr>
      <w:rFonts w:ascii="Times New Roman" w:hAnsi="Times New Roman"/>
      <w:color w:val="333333"/>
    </w:rPr>
  </w:style>
  <w:style w:type="paragraph" w:styleId="BodyTextIndent">
    <w:name w:val="Body Text Indent"/>
    <w:basedOn w:val="Normal"/>
    <w:semiHidden/>
    <w:pPr>
      <w:ind w:left="720"/>
    </w:pPr>
    <w:rPr>
      <w:rFonts w:ascii="Times New Roman" w:hAnsi="Times New Roman"/>
      <w:color w:val="333333"/>
    </w:rPr>
  </w:style>
  <w:style w:type="paragraph" w:styleId="BodyText2">
    <w:name w:val="Body Text 2"/>
    <w:basedOn w:val="Normal"/>
    <w:semiHidden/>
    <w:rPr>
      <w:rFonts w:ascii="Times New Roman" w:hAnsi="Times New Roman"/>
      <w:color w:val="0000FF"/>
    </w:rPr>
  </w:style>
  <w:style w:type="paragraph" w:styleId="BodyTextIndent2">
    <w:name w:val="Body Text Indent 2"/>
    <w:basedOn w:val="Normal"/>
    <w:semiHidden/>
    <w:pPr>
      <w:ind w:left="720"/>
    </w:pPr>
    <w:rPr>
      <w:rFonts w:ascii="Times New Roman" w:hAnsi="Times New Roman"/>
      <w:color w:val="0000FF"/>
    </w:rPr>
  </w:style>
  <w:style w:type="paragraph" w:styleId="BodyTextIndent3">
    <w:name w:val="Body Text Indent 3"/>
    <w:basedOn w:val="Normal"/>
    <w:semiHidden/>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pPr>
    <w:rPr>
      <w:rFonts w:ascii="Arial" w:hAnsi="Arial" w:cs="Arial"/>
      <w:color w:val="0000FF"/>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7523</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CHAPTER 2</vt:lpstr>
    </vt:vector>
  </TitlesOfParts>
  <Company>HUD</Company>
  <LinksUpToDate>false</LinksUpToDate>
  <CharactersWithSpaces>50305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CHAPTER 2</dc:title>
  <dc:subject/>
  <dc:creator>James A. Beavers</dc:creator>
  <cp:keywords/>
  <dc:description/>
  <cp:lastModifiedBy>H45351</cp:lastModifiedBy>
  <cp:revision>2</cp:revision>
  <cp:lastPrinted>2004-05-27T14:46:00Z</cp:lastPrinted>
  <dcterms:created xsi:type="dcterms:W3CDTF">2010-07-21T15:35:00Z</dcterms:created>
  <dcterms:modified xsi:type="dcterms:W3CDTF">2010-07-21T15:35:00Z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1090503796</vt:i4>
  </property>
  <property fmtid="{D5CDD505-2E9C-101B-9397-08002B2CF9AE}" pid="3" name="_NewReviewCycle">
    <vt:lpwstr/>
  </property>
  <property fmtid="{D5CDD505-2E9C-101B-9397-08002B2CF9AE}" pid="4" name="_EmailSubject">
    <vt:lpwstr>2502-0556 Total ScoreCard Guides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ReviewingToolsShownOnce">
    <vt:lpwstr/>
  </property>
</Properties>
</file>