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A7" w:rsidRPr="00C30CEB" w:rsidRDefault="00040CA7" w:rsidP="00293475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C30CEB">
        <w:rPr>
          <w:rFonts w:ascii="Arial" w:hAnsi="Arial" w:cs="Arial"/>
          <w:b/>
        </w:rPr>
        <w:t>WHITE PAPER</w:t>
      </w:r>
    </w:p>
    <w:p w:rsidR="00040CA7" w:rsidRPr="00C30CEB" w:rsidRDefault="00040CA7" w:rsidP="00293475">
      <w:pPr>
        <w:jc w:val="center"/>
        <w:rPr>
          <w:rFonts w:ascii="Arial" w:hAnsi="Arial" w:cs="Arial"/>
          <w:b/>
        </w:rPr>
      </w:pPr>
      <w:r w:rsidRPr="00C30CEB">
        <w:rPr>
          <w:rFonts w:ascii="Arial" w:hAnsi="Arial" w:cs="Arial"/>
          <w:b/>
        </w:rPr>
        <w:t>DEPARTMENT OF VETERANS AFFAIRS</w:t>
      </w:r>
    </w:p>
    <w:p w:rsidR="00040CA7" w:rsidRPr="00C30CEB" w:rsidRDefault="0021406F" w:rsidP="00293475">
      <w:pPr>
        <w:jc w:val="center"/>
        <w:rPr>
          <w:rFonts w:ascii="Arial" w:hAnsi="Arial" w:cs="Arial"/>
          <w:b/>
        </w:rPr>
      </w:pPr>
      <w:r w:rsidRPr="00C30CEB">
        <w:rPr>
          <w:rFonts w:ascii="Arial" w:hAnsi="Arial" w:cs="Arial"/>
          <w:b/>
        </w:rPr>
        <w:t xml:space="preserve">VA FORM 10-2065 - </w:t>
      </w:r>
      <w:r w:rsidR="00704277" w:rsidRPr="00C30CEB">
        <w:rPr>
          <w:rFonts w:ascii="Arial" w:hAnsi="Arial" w:cs="Arial"/>
          <w:b/>
        </w:rPr>
        <w:t>FUNERAL ARRANGEMENTS</w:t>
      </w:r>
    </w:p>
    <w:p w:rsidR="00040CA7" w:rsidRDefault="00BE309B" w:rsidP="00293475">
      <w:pPr>
        <w:jc w:val="center"/>
        <w:rPr>
          <w:rFonts w:ascii="Arial" w:hAnsi="Arial" w:cs="Arial"/>
          <w:b/>
        </w:rPr>
      </w:pPr>
      <w:r w:rsidRPr="00C30CEB">
        <w:rPr>
          <w:rFonts w:ascii="Arial" w:hAnsi="Arial" w:cs="Arial"/>
          <w:b/>
        </w:rPr>
        <w:t xml:space="preserve">REVISIONS TO </w:t>
      </w:r>
      <w:r w:rsidR="00472906" w:rsidRPr="00C30CEB">
        <w:rPr>
          <w:rFonts w:ascii="Arial" w:hAnsi="Arial" w:cs="Arial"/>
          <w:b/>
        </w:rPr>
        <w:t xml:space="preserve">INITIAL </w:t>
      </w:r>
      <w:r w:rsidR="0005210D" w:rsidRPr="00C30CEB">
        <w:rPr>
          <w:rFonts w:ascii="Arial" w:hAnsi="Arial" w:cs="Arial"/>
          <w:b/>
        </w:rPr>
        <w:t>APPLICATION</w:t>
      </w:r>
      <w:r w:rsidR="003E764B">
        <w:rPr>
          <w:rFonts w:ascii="Arial" w:hAnsi="Arial" w:cs="Arial"/>
          <w:b/>
        </w:rPr>
        <w:t xml:space="preserve"> FOR BURIAL AND PLOT INTERNMENT ALLOWANCE</w:t>
      </w:r>
      <w:r w:rsidR="0005210D" w:rsidRPr="00C30CEB">
        <w:rPr>
          <w:rFonts w:ascii="Arial" w:hAnsi="Arial" w:cs="Arial"/>
          <w:b/>
        </w:rPr>
        <w:t xml:space="preserve"> </w:t>
      </w:r>
      <w:r w:rsidR="00040CA7" w:rsidRPr="00C30CEB">
        <w:rPr>
          <w:rFonts w:ascii="Arial" w:hAnsi="Arial" w:cs="Arial"/>
          <w:b/>
        </w:rPr>
        <w:t xml:space="preserve"> </w:t>
      </w:r>
    </w:p>
    <w:p w:rsidR="00040CA7" w:rsidRPr="00C30CEB" w:rsidRDefault="00040CA7">
      <w:pPr>
        <w:rPr>
          <w:rFonts w:ascii="Arial" w:hAnsi="Arial" w:cs="Arial"/>
        </w:rPr>
      </w:pPr>
    </w:p>
    <w:p w:rsidR="00B412F3" w:rsidRPr="00C30CEB" w:rsidRDefault="00040CA7" w:rsidP="00B412F3">
      <w:pPr>
        <w:rPr>
          <w:rFonts w:ascii="Arial" w:hAnsi="Arial" w:cs="Arial"/>
        </w:rPr>
      </w:pPr>
      <w:r w:rsidRPr="00C30CEB">
        <w:rPr>
          <w:rFonts w:ascii="Arial" w:hAnsi="Arial" w:cs="Arial"/>
          <w:b/>
        </w:rPr>
        <w:t xml:space="preserve">ISSUE:  </w:t>
      </w:r>
      <w:r w:rsidR="00E714E8" w:rsidRPr="00C30CEB">
        <w:rPr>
          <w:rFonts w:ascii="Arial" w:hAnsi="Arial" w:cs="Arial"/>
        </w:rPr>
        <w:t xml:space="preserve">Complete minor </w:t>
      </w:r>
      <w:r w:rsidR="0005210D" w:rsidRPr="00C30CEB">
        <w:rPr>
          <w:rFonts w:ascii="Arial" w:hAnsi="Arial" w:cs="Arial"/>
        </w:rPr>
        <w:t>c</w:t>
      </w:r>
      <w:r w:rsidR="00E714E8" w:rsidRPr="00C30CEB">
        <w:rPr>
          <w:rFonts w:ascii="Arial" w:hAnsi="Arial" w:cs="Arial"/>
        </w:rPr>
        <w:t xml:space="preserve">hanges to the content on VA </w:t>
      </w:r>
      <w:r w:rsidR="00BE309B" w:rsidRPr="00C30CEB">
        <w:rPr>
          <w:rFonts w:ascii="Arial" w:hAnsi="Arial" w:cs="Arial"/>
        </w:rPr>
        <w:t xml:space="preserve">Form 10-2065, which is used by dependents and survivors to </w:t>
      </w:r>
      <w:r w:rsidR="00204C6D" w:rsidRPr="00C30CEB">
        <w:rPr>
          <w:rFonts w:ascii="Arial" w:hAnsi="Arial" w:cs="Arial"/>
        </w:rPr>
        <w:t xml:space="preserve">request </w:t>
      </w:r>
      <w:r w:rsidR="00BE309B" w:rsidRPr="00C30CEB">
        <w:rPr>
          <w:rFonts w:ascii="Arial" w:hAnsi="Arial" w:cs="Arial"/>
        </w:rPr>
        <w:t xml:space="preserve">initial benefits </w:t>
      </w:r>
      <w:r w:rsidR="00863E09" w:rsidRPr="00C30CEB">
        <w:rPr>
          <w:rFonts w:ascii="Arial" w:hAnsi="Arial" w:cs="Arial"/>
        </w:rPr>
        <w:t>for funeral arrangement</w:t>
      </w:r>
      <w:r w:rsidR="0073401F">
        <w:rPr>
          <w:rFonts w:ascii="Arial" w:hAnsi="Arial" w:cs="Arial"/>
        </w:rPr>
        <w:t>s</w:t>
      </w:r>
      <w:r w:rsidR="00BE309B" w:rsidRPr="00C30CEB">
        <w:rPr>
          <w:rFonts w:ascii="Arial" w:hAnsi="Arial" w:cs="Arial"/>
        </w:rPr>
        <w:t>.</w:t>
      </w:r>
    </w:p>
    <w:p w:rsidR="00B412F3" w:rsidRPr="00C30CEB" w:rsidRDefault="00B412F3" w:rsidP="00B412F3">
      <w:pPr>
        <w:rPr>
          <w:rFonts w:ascii="Arial" w:hAnsi="Arial" w:cs="Arial"/>
        </w:rPr>
      </w:pPr>
    </w:p>
    <w:p w:rsidR="00040CA7" w:rsidRPr="00C30CEB" w:rsidRDefault="00040CA7" w:rsidP="002F03AD">
      <w:pPr>
        <w:rPr>
          <w:rFonts w:ascii="Arial" w:hAnsi="Arial" w:cs="Arial"/>
        </w:rPr>
      </w:pPr>
      <w:r w:rsidRPr="00C30CEB">
        <w:rPr>
          <w:rFonts w:ascii="Arial" w:hAnsi="Arial" w:cs="Arial"/>
          <w:b/>
        </w:rPr>
        <w:t>BACKGROUND:</w:t>
      </w:r>
      <w:r w:rsidRPr="00C30CEB">
        <w:rPr>
          <w:rFonts w:ascii="Arial" w:hAnsi="Arial" w:cs="Arial"/>
        </w:rPr>
        <w:t xml:space="preserve">  </w:t>
      </w:r>
      <w:r w:rsidR="002F03AD" w:rsidRPr="00C30CEB">
        <w:rPr>
          <w:rFonts w:ascii="Arial" w:hAnsi="Arial" w:cs="Arial"/>
        </w:rPr>
        <w:t>VA burial allowances are flat-rate monetary benefits that are generally paid at the maximum amount authorized by law for an eligible Veteran’s burial and funeral costs. A VA regulation change in 2014 simplified the program to pay eligible survivors quickly and efficiently. Eligible surviving spouses of record are paid automatically upon notification of a Veteran’s death, without the need to submit a claim. VA may grant additional benefits, including the plot or internment allowance and transportation allowance, if it receives a claim for these benefits.</w:t>
      </w:r>
    </w:p>
    <w:p w:rsidR="00040CA7" w:rsidRPr="00C30CEB" w:rsidRDefault="00040CA7" w:rsidP="00C67187">
      <w:pPr>
        <w:rPr>
          <w:rFonts w:ascii="Arial" w:hAnsi="Arial" w:cs="Arial"/>
        </w:rPr>
      </w:pPr>
    </w:p>
    <w:p w:rsidR="002345ED" w:rsidRPr="00C30CEB" w:rsidRDefault="00040CA7" w:rsidP="002345ED">
      <w:pPr>
        <w:rPr>
          <w:rFonts w:ascii="Arial" w:hAnsi="Arial" w:cs="Arial"/>
        </w:rPr>
      </w:pPr>
      <w:r w:rsidRPr="00C30CEB">
        <w:rPr>
          <w:rFonts w:ascii="Arial" w:hAnsi="Arial" w:cs="Arial"/>
          <w:b/>
        </w:rPr>
        <w:t xml:space="preserve">DISCUSSION:  </w:t>
      </w:r>
      <w:r w:rsidR="00865255" w:rsidRPr="00C30CEB">
        <w:rPr>
          <w:rFonts w:ascii="Arial" w:hAnsi="Arial" w:cs="Arial"/>
        </w:rPr>
        <w:t xml:space="preserve">The dollar </w:t>
      </w:r>
      <w:r w:rsidR="002345ED" w:rsidRPr="00C30CEB">
        <w:rPr>
          <w:rFonts w:ascii="Arial" w:hAnsi="Arial" w:cs="Arial"/>
        </w:rPr>
        <w:t xml:space="preserve">amounts </w:t>
      </w:r>
      <w:r w:rsidR="00CF6191" w:rsidRPr="00C30CEB">
        <w:rPr>
          <w:rFonts w:ascii="Arial" w:hAnsi="Arial" w:cs="Arial"/>
        </w:rPr>
        <w:t xml:space="preserve">for these benefits are set </w:t>
      </w:r>
      <w:r w:rsidR="00865255" w:rsidRPr="00C30CEB">
        <w:rPr>
          <w:rFonts w:ascii="Arial" w:hAnsi="Arial" w:cs="Arial"/>
        </w:rPr>
        <w:t xml:space="preserve">in statue </w:t>
      </w:r>
      <w:r w:rsidR="00CF6191" w:rsidRPr="00C30CEB">
        <w:rPr>
          <w:rFonts w:ascii="Arial" w:hAnsi="Arial" w:cs="Arial"/>
        </w:rPr>
        <w:t>by the Veterans Benefits Administ</w:t>
      </w:r>
      <w:r w:rsidR="00865255" w:rsidRPr="00C30CEB">
        <w:rPr>
          <w:rFonts w:ascii="Arial" w:hAnsi="Arial" w:cs="Arial"/>
        </w:rPr>
        <w:t>ration (VBA)</w:t>
      </w:r>
      <w:r w:rsidR="002345ED" w:rsidRPr="00C30CEB">
        <w:rPr>
          <w:rFonts w:ascii="Arial" w:hAnsi="Arial" w:cs="Arial"/>
        </w:rPr>
        <w:t>.</w:t>
      </w:r>
      <w:r w:rsidR="00CF6191" w:rsidRPr="00C30CEB">
        <w:rPr>
          <w:rFonts w:ascii="Arial" w:hAnsi="Arial" w:cs="Arial"/>
        </w:rPr>
        <w:t xml:space="preserve">  </w:t>
      </w:r>
      <w:r w:rsidR="00865255" w:rsidRPr="00C30CEB">
        <w:rPr>
          <w:rFonts w:ascii="Arial" w:hAnsi="Arial" w:cs="Arial"/>
        </w:rPr>
        <w:t xml:space="preserve">In the past, </w:t>
      </w:r>
      <w:r w:rsidR="00500588" w:rsidRPr="00C30CEB">
        <w:rPr>
          <w:rFonts w:ascii="Arial" w:hAnsi="Arial" w:cs="Arial"/>
        </w:rPr>
        <w:t xml:space="preserve">these pre-determined </w:t>
      </w:r>
      <w:r w:rsidR="00865255" w:rsidRPr="00C30CEB">
        <w:rPr>
          <w:rFonts w:ascii="Arial" w:hAnsi="Arial" w:cs="Arial"/>
        </w:rPr>
        <w:t xml:space="preserve">amounts have been listed on VA Form 10-2065 to provide real-time guidance to </w:t>
      </w:r>
      <w:r w:rsidR="00500588" w:rsidRPr="00C30CEB">
        <w:rPr>
          <w:rFonts w:ascii="Arial" w:hAnsi="Arial" w:cs="Arial"/>
        </w:rPr>
        <w:t xml:space="preserve">those </w:t>
      </w:r>
      <w:r w:rsidR="00865255" w:rsidRPr="00C30CEB">
        <w:rPr>
          <w:rFonts w:ascii="Arial" w:hAnsi="Arial" w:cs="Arial"/>
        </w:rPr>
        <w:t>completing the form on behalf of the deceased Veteran.  However, these amounts are constant</w:t>
      </w:r>
      <w:r w:rsidR="002110C0" w:rsidRPr="00C30CEB">
        <w:rPr>
          <w:rFonts w:ascii="Arial" w:hAnsi="Arial" w:cs="Arial"/>
        </w:rPr>
        <w:t>ly changing which could present</w:t>
      </w:r>
      <w:r w:rsidR="00483842" w:rsidRPr="00C30CEB">
        <w:rPr>
          <w:rFonts w:ascii="Arial" w:hAnsi="Arial" w:cs="Arial"/>
        </w:rPr>
        <w:t xml:space="preserve"> a </w:t>
      </w:r>
      <w:r w:rsidR="002110C0" w:rsidRPr="00C30CEB">
        <w:rPr>
          <w:rFonts w:ascii="Arial" w:hAnsi="Arial" w:cs="Arial"/>
        </w:rPr>
        <w:t xml:space="preserve">situation </w:t>
      </w:r>
      <w:r w:rsidR="00483842" w:rsidRPr="00C30CEB">
        <w:rPr>
          <w:rFonts w:ascii="Arial" w:hAnsi="Arial" w:cs="Arial"/>
        </w:rPr>
        <w:t xml:space="preserve">where the validity of the data is in question.  </w:t>
      </w:r>
      <w:r w:rsidR="00337776" w:rsidRPr="00C30CEB">
        <w:rPr>
          <w:rFonts w:ascii="Arial" w:hAnsi="Arial" w:cs="Arial"/>
        </w:rPr>
        <w:t>A viable solution would be to completely remove the dollars amounts from the form and refer the dependents and/or survivors to</w:t>
      </w:r>
      <w:r w:rsidR="002345ED" w:rsidRPr="00C30CEB">
        <w:rPr>
          <w:rFonts w:ascii="Arial" w:hAnsi="Arial" w:cs="Arial"/>
        </w:rPr>
        <w:t xml:space="preserve"> the website where these amounts ar</w:t>
      </w:r>
      <w:r w:rsidR="00337776" w:rsidRPr="00C30CEB">
        <w:rPr>
          <w:rFonts w:ascii="Arial" w:hAnsi="Arial" w:cs="Arial"/>
        </w:rPr>
        <w:t xml:space="preserve">e listed.  Since this information is updated on a regular basis, the individual completing the form should always have access to the most current information.  </w:t>
      </w:r>
    </w:p>
    <w:p w:rsidR="00040CA7" w:rsidRPr="00C30CEB" w:rsidRDefault="00040CA7" w:rsidP="00C67187">
      <w:pPr>
        <w:rPr>
          <w:rFonts w:ascii="Arial" w:hAnsi="Arial" w:cs="Arial"/>
          <w:b/>
        </w:rPr>
      </w:pPr>
    </w:p>
    <w:p w:rsidR="0005210D" w:rsidRPr="00C30CEB" w:rsidRDefault="00040CA7" w:rsidP="0005210D">
      <w:r w:rsidRPr="00C30CEB">
        <w:rPr>
          <w:rFonts w:ascii="Arial" w:hAnsi="Arial" w:cs="Arial"/>
          <w:b/>
        </w:rPr>
        <w:t xml:space="preserve">ACTIONS:  </w:t>
      </w:r>
      <w:r w:rsidR="00A76264" w:rsidRPr="00C30CEB">
        <w:rPr>
          <w:rFonts w:ascii="Arial" w:hAnsi="Arial" w:cs="Arial"/>
        </w:rPr>
        <w:t>On June XX, 2016, the VHA O</w:t>
      </w:r>
      <w:r w:rsidR="0005210D" w:rsidRPr="00C30CEB">
        <w:rPr>
          <w:rFonts w:ascii="Arial" w:hAnsi="Arial" w:cs="Arial"/>
        </w:rPr>
        <w:t>ffice</w:t>
      </w:r>
      <w:r w:rsidR="00594B09">
        <w:rPr>
          <w:rFonts w:ascii="Arial" w:hAnsi="Arial" w:cs="Arial"/>
        </w:rPr>
        <w:t xml:space="preserve"> of Community C</w:t>
      </w:r>
      <w:r w:rsidR="00A76264" w:rsidRPr="00C30CEB">
        <w:rPr>
          <w:rFonts w:ascii="Arial" w:hAnsi="Arial" w:cs="Arial"/>
        </w:rPr>
        <w:t xml:space="preserve">are submitted a revised </w:t>
      </w:r>
      <w:r w:rsidR="0005210D" w:rsidRPr="00C30CEB">
        <w:rPr>
          <w:rFonts w:ascii="Arial" w:hAnsi="Arial" w:cs="Arial"/>
        </w:rPr>
        <w:t>application form for approval</w:t>
      </w:r>
      <w:r w:rsidR="00A76264" w:rsidRPr="00C30CEB">
        <w:rPr>
          <w:rFonts w:ascii="Arial" w:hAnsi="Arial" w:cs="Arial"/>
        </w:rPr>
        <w:t xml:space="preserve"> from VHA CO PRA</w:t>
      </w:r>
      <w:r w:rsidR="000B4A78">
        <w:rPr>
          <w:rFonts w:ascii="Arial" w:hAnsi="Arial" w:cs="Arial"/>
        </w:rPr>
        <w:t xml:space="preserve">. The proposed changes </w:t>
      </w:r>
      <w:r w:rsidR="00FB3E58" w:rsidRPr="00C30CEB">
        <w:rPr>
          <w:rFonts w:ascii="Arial" w:hAnsi="Arial" w:cs="Arial"/>
        </w:rPr>
        <w:t>would</w:t>
      </w:r>
      <w:r w:rsidR="0005210D" w:rsidRPr="00C30CEB">
        <w:t xml:space="preserve"> </w:t>
      </w:r>
      <w:r w:rsidR="00A76264" w:rsidRPr="00C30CEB">
        <w:rPr>
          <w:rFonts w:ascii="Arial" w:hAnsi="Arial" w:cs="Arial"/>
        </w:rPr>
        <w:t xml:space="preserve">make minor </w:t>
      </w:r>
      <w:r w:rsidR="001D2BB1">
        <w:rPr>
          <w:rFonts w:ascii="Arial" w:hAnsi="Arial" w:cs="Arial"/>
        </w:rPr>
        <w:t xml:space="preserve">revisions </w:t>
      </w:r>
      <w:r w:rsidR="00E714E8" w:rsidRPr="00C30CEB">
        <w:rPr>
          <w:rFonts w:ascii="Arial" w:hAnsi="Arial" w:cs="Arial"/>
        </w:rPr>
        <w:t xml:space="preserve">to </w:t>
      </w:r>
      <w:r w:rsidR="0005210D" w:rsidRPr="00C30CEB">
        <w:rPr>
          <w:rFonts w:ascii="Arial" w:hAnsi="Arial" w:cs="Arial"/>
        </w:rPr>
        <w:t>the app</w:t>
      </w:r>
      <w:r w:rsidR="00642FDB">
        <w:rPr>
          <w:rFonts w:ascii="Arial" w:hAnsi="Arial" w:cs="Arial"/>
        </w:rPr>
        <w:t xml:space="preserve">lication.  A statement would </w:t>
      </w:r>
      <w:r w:rsidR="00642FDB" w:rsidRPr="00642FDB">
        <w:rPr>
          <w:rFonts w:ascii="Arial" w:hAnsi="Arial" w:cs="Arial"/>
        </w:rPr>
        <w:t>be added to inform that since the monetary amounts are constantly changing</w:t>
      </w:r>
      <w:r w:rsidR="00642FDB">
        <w:rPr>
          <w:rFonts w:ascii="Arial" w:hAnsi="Arial" w:cs="Arial"/>
        </w:rPr>
        <w:t xml:space="preserve">, they </w:t>
      </w:r>
      <w:r w:rsidR="00642FDB" w:rsidRPr="00642FDB">
        <w:rPr>
          <w:rFonts w:ascii="Arial" w:hAnsi="Arial" w:cs="Arial"/>
        </w:rPr>
        <w:t xml:space="preserve">would no longer be included on the form.  </w:t>
      </w:r>
      <w:r w:rsidR="000B4A78">
        <w:rPr>
          <w:rFonts w:ascii="Arial" w:hAnsi="Arial" w:cs="Arial"/>
        </w:rPr>
        <w:t xml:space="preserve">The </w:t>
      </w:r>
      <w:r w:rsidR="0026223F" w:rsidRPr="00C30CEB">
        <w:rPr>
          <w:rFonts w:ascii="Arial" w:hAnsi="Arial" w:cs="Arial"/>
        </w:rPr>
        <w:t xml:space="preserve">dollar amounts </w:t>
      </w:r>
      <w:r w:rsidR="000B4A78">
        <w:rPr>
          <w:rFonts w:ascii="Arial" w:hAnsi="Arial" w:cs="Arial"/>
        </w:rPr>
        <w:t xml:space="preserve">would be removed from the form and </w:t>
      </w:r>
      <w:r w:rsidR="0026223F" w:rsidRPr="00C30CEB">
        <w:rPr>
          <w:rFonts w:ascii="Arial" w:hAnsi="Arial" w:cs="Arial"/>
        </w:rPr>
        <w:t xml:space="preserve">the </w:t>
      </w:r>
      <w:r w:rsidR="000B4A78">
        <w:rPr>
          <w:rFonts w:ascii="Arial" w:hAnsi="Arial" w:cs="Arial"/>
        </w:rPr>
        <w:t>dependent/</w:t>
      </w:r>
      <w:r w:rsidR="000B4A78" w:rsidRPr="00C30CEB">
        <w:rPr>
          <w:rFonts w:ascii="Arial" w:hAnsi="Arial" w:cs="Arial"/>
        </w:rPr>
        <w:t xml:space="preserve">survivor </w:t>
      </w:r>
      <w:proofErr w:type="gramStart"/>
      <w:r w:rsidR="000B4A78">
        <w:rPr>
          <w:rFonts w:ascii="Arial" w:hAnsi="Arial" w:cs="Arial"/>
        </w:rPr>
        <w:t>would</w:t>
      </w:r>
      <w:proofErr w:type="gramEnd"/>
      <w:r w:rsidR="000B4A78">
        <w:rPr>
          <w:rFonts w:ascii="Arial" w:hAnsi="Arial" w:cs="Arial"/>
        </w:rPr>
        <w:t xml:space="preserve"> be referred </w:t>
      </w:r>
      <w:r w:rsidR="0026223F" w:rsidRPr="00C30CEB">
        <w:rPr>
          <w:rFonts w:ascii="Arial" w:hAnsi="Arial" w:cs="Arial"/>
        </w:rPr>
        <w:t xml:space="preserve">to the </w:t>
      </w:r>
      <w:r w:rsidR="000B4A78">
        <w:rPr>
          <w:rFonts w:ascii="Arial" w:hAnsi="Arial" w:cs="Arial"/>
        </w:rPr>
        <w:t xml:space="preserve">website where these amounts are </w:t>
      </w:r>
      <w:r w:rsidR="0026223F" w:rsidRPr="00C30CEB">
        <w:rPr>
          <w:rFonts w:ascii="Arial" w:hAnsi="Arial" w:cs="Arial"/>
        </w:rPr>
        <w:t xml:space="preserve">listed.  </w:t>
      </w:r>
      <w:r w:rsidR="0005210D" w:rsidRPr="00C30CEB">
        <w:rPr>
          <w:rFonts w:ascii="Arial" w:hAnsi="Arial" w:cs="Arial"/>
        </w:rPr>
        <w:t xml:space="preserve">The overall burden </w:t>
      </w:r>
      <w:r w:rsidR="0026223F" w:rsidRPr="00C30CEB">
        <w:rPr>
          <w:rFonts w:ascii="Arial" w:hAnsi="Arial" w:cs="Arial"/>
        </w:rPr>
        <w:t xml:space="preserve">to those completing the form </w:t>
      </w:r>
      <w:r w:rsidR="00B0708E" w:rsidRPr="00C30CEB">
        <w:rPr>
          <w:rFonts w:ascii="Arial" w:hAnsi="Arial" w:cs="Arial"/>
        </w:rPr>
        <w:t>should be unchanged.  A summary of the proposed</w:t>
      </w:r>
      <w:r w:rsidR="00FB3E58" w:rsidRPr="00C30CEB">
        <w:rPr>
          <w:rFonts w:ascii="Arial" w:hAnsi="Arial" w:cs="Arial"/>
        </w:rPr>
        <w:t xml:space="preserve"> changes are as follows.</w:t>
      </w:r>
    </w:p>
    <w:p w:rsidR="0005210D" w:rsidRPr="00C30CEB" w:rsidRDefault="0005210D" w:rsidP="0005210D"/>
    <w:tbl>
      <w:tblPr>
        <w:tblW w:w="10710" w:type="dxa"/>
        <w:tblInd w:w="-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2414"/>
        <w:gridCol w:w="6930"/>
      </w:tblGrid>
      <w:tr w:rsidR="00B0708E" w:rsidRPr="00C30CEB" w:rsidTr="00910F54">
        <w:trPr>
          <w:trHeight w:val="310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0D" w:rsidRPr="00C30CEB" w:rsidRDefault="0005210D">
            <w:pPr>
              <w:jc w:val="center"/>
              <w:rPr>
                <w:rFonts w:ascii="Arial" w:eastAsiaTheme="minorHAnsi" w:hAnsi="Arial" w:cs="Arial"/>
                <w:b/>
                <w:bCs/>
              </w:rPr>
            </w:pPr>
            <w:r w:rsidRPr="00C30CEB">
              <w:rPr>
                <w:rFonts w:ascii="Arial" w:hAnsi="Arial" w:cs="Arial"/>
                <w:b/>
                <w:bCs/>
              </w:rPr>
              <w:t>Section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0D" w:rsidRPr="00C30CEB" w:rsidRDefault="0005210D">
            <w:pPr>
              <w:jc w:val="center"/>
              <w:rPr>
                <w:rFonts w:ascii="Arial" w:eastAsiaTheme="minorHAnsi" w:hAnsi="Arial" w:cs="Arial"/>
                <w:b/>
                <w:bCs/>
              </w:rPr>
            </w:pPr>
            <w:r w:rsidRPr="00C30CEB">
              <w:rPr>
                <w:rFonts w:ascii="Arial" w:hAnsi="Arial" w:cs="Arial"/>
                <w:b/>
                <w:bCs/>
              </w:rPr>
              <w:t>Old application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0D" w:rsidRPr="00C30CEB" w:rsidRDefault="0005210D">
            <w:pPr>
              <w:jc w:val="center"/>
              <w:rPr>
                <w:rFonts w:ascii="Arial" w:eastAsiaTheme="minorHAnsi" w:hAnsi="Arial" w:cs="Arial"/>
                <w:b/>
                <w:bCs/>
              </w:rPr>
            </w:pPr>
            <w:r w:rsidRPr="00C30CEB">
              <w:rPr>
                <w:rFonts w:ascii="Arial" w:hAnsi="Arial" w:cs="Arial"/>
                <w:b/>
                <w:bCs/>
              </w:rPr>
              <w:t>New application</w:t>
            </w:r>
          </w:p>
        </w:tc>
      </w:tr>
      <w:tr w:rsidR="00B0708E" w:rsidRPr="00C30CEB" w:rsidTr="00910F54">
        <w:trPr>
          <w:trHeight w:val="1671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0D" w:rsidRPr="00C30CEB" w:rsidRDefault="00B0708E">
            <w:pPr>
              <w:jc w:val="center"/>
              <w:rPr>
                <w:rFonts w:ascii="Arial" w:eastAsiaTheme="minorHAnsi" w:hAnsi="Arial" w:cs="Arial"/>
              </w:rPr>
            </w:pPr>
            <w:r w:rsidRPr="00C30CEB">
              <w:rPr>
                <w:rFonts w:ascii="Arial" w:hAnsi="Arial" w:cs="Arial"/>
              </w:rPr>
              <w:t>Remarks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0D" w:rsidRPr="00C30CEB" w:rsidRDefault="00B0708E">
            <w:pPr>
              <w:rPr>
                <w:rFonts w:ascii="Arial" w:eastAsiaTheme="minorHAnsi" w:hAnsi="Arial" w:cs="Arial"/>
              </w:rPr>
            </w:pPr>
            <w:r w:rsidRPr="00C30CEB">
              <w:rPr>
                <w:rFonts w:ascii="Arial" w:eastAsiaTheme="minorHAnsi" w:hAnsi="Arial" w:cs="Arial"/>
              </w:rPr>
              <w:t>Display monetary amount(s) for burial benefits.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08E" w:rsidRPr="00526670" w:rsidRDefault="00B0708E" w:rsidP="00526670">
            <w:pPr>
              <w:pStyle w:val="ListParagraph"/>
              <w:numPr>
                <w:ilvl w:val="0"/>
                <w:numId w:val="13"/>
              </w:numPr>
              <w:rPr>
                <w:rFonts w:ascii="Arial" w:eastAsiaTheme="minorHAnsi" w:hAnsi="Arial" w:cs="Arial"/>
              </w:rPr>
            </w:pPr>
            <w:r w:rsidRPr="00526670">
              <w:rPr>
                <w:rFonts w:ascii="Arial" w:eastAsiaTheme="minorHAnsi" w:hAnsi="Arial" w:cs="Arial"/>
              </w:rPr>
              <w:t xml:space="preserve">Remove benefit amounts </w:t>
            </w:r>
            <w:r w:rsidR="001A44C8" w:rsidRPr="00526670">
              <w:rPr>
                <w:rFonts w:ascii="Arial" w:eastAsiaTheme="minorHAnsi" w:hAnsi="Arial" w:cs="Arial"/>
              </w:rPr>
              <w:t xml:space="preserve">and </w:t>
            </w:r>
            <w:r w:rsidR="00526670">
              <w:rPr>
                <w:rFonts w:ascii="Arial" w:eastAsiaTheme="minorHAnsi" w:hAnsi="Arial" w:cs="Arial"/>
              </w:rPr>
              <w:t>explanations from form.</w:t>
            </w:r>
            <w:r w:rsidR="00A7669A" w:rsidRPr="00526670">
              <w:rPr>
                <w:rFonts w:ascii="Arial" w:eastAsiaTheme="minorHAnsi" w:hAnsi="Arial" w:cs="Arial"/>
              </w:rPr>
              <w:t xml:space="preserve"> </w:t>
            </w:r>
            <w:r w:rsidRPr="00526670">
              <w:rPr>
                <w:rFonts w:ascii="Arial" w:eastAsiaTheme="minorHAnsi" w:hAnsi="Arial" w:cs="Arial"/>
              </w:rPr>
              <w:t xml:space="preserve"> </w:t>
            </w:r>
          </w:p>
          <w:p w:rsidR="007F0CB8" w:rsidRPr="007F0CB8" w:rsidRDefault="00F66904" w:rsidP="007F0CB8">
            <w:pPr>
              <w:pStyle w:val="ListParagraph"/>
              <w:numPr>
                <w:ilvl w:val="0"/>
                <w:numId w:val="13"/>
              </w:numPr>
              <w:rPr>
                <w:rFonts w:ascii="Arial" w:eastAsiaTheme="minorHAnsi" w:hAnsi="Arial" w:cs="Arial"/>
                <w:i/>
              </w:rPr>
            </w:pPr>
            <w:r w:rsidRPr="00526670">
              <w:rPr>
                <w:rFonts w:ascii="Arial" w:eastAsiaTheme="minorHAnsi" w:hAnsi="Arial" w:cs="Arial"/>
                <w:b/>
              </w:rPr>
              <w:t>Add</w:t>
            </w:r>
            <w:r w:rsidR="00526670" w:rsidRPr="00526670">
              <w:rPr>
                <w:rFonts w:ascii="Arial" w:eastAsiaTheme="minorHAnsi" w:hAnsi="Arial" w:cs="Arial"/>
                <w:b/>
              </w:rPr>
              <w:t xml:space="preserve"> statement</w:t>
            </w:r>
            <w:r w:rsidRPr="00526670">
              <w:rPr>
                <w:rFonts w:ascii="Arial" w:eastAsiaTheme="minorHAnsi" w:hAnsi="Arial" w:cs="Arial"/>
                <w:b/>
              </w:rPr>
              <w:t>:</w:t>
            </w:r>
            <w:r w:rsidRPr="00526670">
              <w:rPr>
                <w:rFonts w:ascii="Arial" w:eastAsiaTheme="minorHAnsi" w:hAnsi="Arial" w:cs="Arial"/>
              </w:rPr>
              <w:t xml:space="preserve"> </w:t>
            </w:r>
            <w:r w:rsidR="00204CDB" w:rsidRPr="00526670">
              <w:rPr>
                <w:rFonts w:ascii="Arial" w:eastAsiaTheme="minorHAnsi" w:hAnsi="Arial" w:cs="Arial"/>
                <w:i/>
              </w:rPr>
              <w:t xml:space="preserve">“The </w:t>
            </w:r>
            <w:r w:rsidR="00526670">
              <w:rPr>
                <w:rFonts w:ascii="Arial" w:eastAsiaTheme="minorHAnsi" w:hAnsi="Arial" w:cs="Arial"/>
                <w:i/>
              </w:rPr>
              <w:t xml:space="preserve">monetary </w:t>
            </w:r>
            <w:r w:rsidR="00526670" w:rsidRPr="00526670">
              <w:rPr>
                <w:rFonts w:ascii="Arial" w:eastAsiaTheme="minorHAnsi" w:hAnsi="Arial" w:cs="Arial"/>
                <w:i/>
              </w:rPr>
              <w:t>amount</w:t>
            </w:r>
            <w:r w:rsidR="00526670">
              <w:rPr>
                <w:rFonts w:ascii="Arial" w:eastAsiaTheme="minorHAnsi" w:hAnsi="Arial" w:cs="Arial"/>
                <w:i/>
              </w:rPr>
              <w:t>s</w:t>
            </w:r>
            <w:r w:rsidR="00526670" w:rsidRPr="00526670">
              <w:rPr>
                <w:rFonts w:ascii="Arial" w:eastAsiaTheme="minorHAnsi" w:hAnsi="Arial" w:cs="Arial"/>
                <w:i/>
              </w:rPr>
              <w:t xml:space="preserve"> awar</w:t>
            </w:r>
            <w:r w:rsidR="003C2A20">
              <w:rPr>
                <w:rFonts w:ascii="Arial" w:eastAsiaTheme="minorHAnsi" w:hAnsi="Arial" w:cs="Arial"/>
                <w:i/>
              </w:rPr>
              <w:t xml:space="preserve">ded for funeral arrangements </w:t>
            </w:r>
            <w:r w:rsidR="00751548">
              <w:rPr>
                <w:rFonts w:ascii="Arial" w:eastAsiaTheme="minorHAnsi" w:hAnsi="Arial" w:cs="Arial"/>
                <w:i/>
              </w:rPr>
              <w:t xml:space="preserve">are regulated by </w:t>
            </w:r>
            <w:r w:rsidR="00585844">
              <w:rPr>
                <w:rFonts w:ascii="Arial" w:eastAsiaTheme="minorHAnsi" w:hAnsi="Arial" w:cs="Arial"/>
                <w:i/>
              </w:rPr>
              <w:t>38 U.S.C</w:t>
            </w:r>
            <w:r w:rsidR="00EB2778">
              <w:rPr>
                <w:rFonts w:ascii="Arial" w:eastAsiaTheme="minorHAnsi" w:hAnsi="Arial" w:cs="Arial"/>
                <w:i/>
              </w:rPr>
              <w:t>.</w:t>
            </w:r>
            <w:r w:rsidR="00652E49">
              <w:rPr>
                <w:rFonts w:ascii="Arial" w:eastAsiaTheme="minorHAnsi" w:hAnsi="Arial" w:cs="Arial"/>
                <w:i/>
              </w:rPr>
              <w:t xml:space="preserve"> </w:t>
            </w:r>
            <w:r w:rsidR="00751548">
              <w:rPr>
                <w:rFonts w:ascii="Arial" w:eastAsiaTheme="minorHAnsi" w:hAnsi="Arial" w:cs="Arial"/>
                <w:i/>
              </w:rPr>
              <w:t>Chapter 23</w:t>
            </w:r>
            <w:r w:rsidR="00652E49">
              <w:rPr>
                <w:rFonts w:ascii="Arial" w:eastAsiaTheme="minorHAnsi" w:hAnsi="Arial" w:cs="Arial"/>
                <w:i/>
              </w:rPr>
              <w:t xml:space="preserve"> and may change periodically.  </w:t>
            </w:r>
            <w:r w:rsidR="00A7669A" w:rsidRPr="00526670">
              <w:rPr>
                <w:rFonts w:ascii="Arial" w:eastAsiaTheme="minorHAnsi" w:hAnsi="Arial" w:cs="Arial"/>
                <w:i/>
              </w:rPr>
              <w:t xml:space="preserve">In light of this, </w:t>
            </w:r>
            <w:r w:rsidR="00CD6C18" w:rsidRPr="00526670">
              <w:rPr>
                <w:rFonts w:ascii="Arial" w:eastAsiaTheme="minorHAnsi" w:hAnsi="Arial" w:cs="Arial"/>
                <w:i/>
              </w:rPr>
              <w:t>please refer to the link below where the most current information concerning VA burial and plot internment allowance</w:t>
            </w:r>
            <w:r w:rsidR="00204CDB" w:rsidRPr="00526670">
              <w:rPr>
                <w:rFonts w:ascii="Arial" w:eastAsiaTheme="minorHAnsi" w:hAnsi="Arial" w:cs="Arial"/>
                <w:i/>
              </w:rPr>
              <w:t>s</w:t>
            </w:r>
            <w:r w:rsidR="00CD6C18" w:rsidRPr="00526670">
              <w:rPr>
                <w:rFonts w:ascii="Arial" w:eastAsiaTheme="minorHAnsi" w:hAnsi="Arial" w:cs="Arial"/>
                <w:i/>
              </w:rPr>
              <w:t xml:space="preserve"> can be obtained.</w:t>
            </w:r>
            <w:r w:rsidRPr="00526670">
              <w:rPr>
                <w:rFonts w:ascii="Arial" w:eastAsiaTheme="minorHAnsi" w:hAnsi="Arial" w:cs="Arial"/>
                <w:i/>
              </w:rPr>
              <w:t>”</w:t>
            </w:r>
          </w:p>
          <w:p w:rsidR="007F0CB8" w:rsidRPr="007F0CB8" w:rsidRDefault="00894327" w:rsidP="00652E49">
            <w:pPr>
              <w:pStyle w:val="ListParagraph"/>
              <w:numPr>
                <w:ilvl w:val="0"/>
                <w:numId w:val="13"/>
              </w:numPr>
              <w:rPr>
                <w:rFonts w:ascii="Arial" w:eastAsiaTheme="minorHAnsi" w:hAnsi="Arial" w:cs="Arial"/>
              </w:rPr>
            </w:pPr>
            <w:hyperlink r:id="rId9" w:history="1">
              <w:r w:rsidR="00C21D89">
                <w:rPr>
                  <w:rStyle w:val="Hyperlink"/>
                  <w:rFonts w:ascii="Arial" w:hAnsi="Arial"/>
                </w:rPr>
                <w:t>http://www.benefits.va.gov/BENEFITS/factsheets/burials/Burial.pdf</w:t>
              </w:r>
            </w:hyperlink>
          </w:p>
        </w:tc>
      </w:tr>
    </w:tbl>
    <w:p w:rsidR="004062D9" w:rsidRDefault="004062D9" w:rsidP="004A5F49">
      <w:pPr>
        <w:rPr>
          <w:rFonts w:ascii="Arial" w:hAnsi="Arial" w:cs="Arial"/>
          <w:b/>
        </w:rPr>
      </w:pPr>
    </w:p>
    <w:p w:rsidR="00B86803" w:rsidRPr="00C30CEB" w:rsidRDefault="00040CA7" w:rsidP="004A5F49">
      <w:pPr>
        <w:rPr>
          <w:rFonts w:ascii="Arial" w:hAnsi="Arial" w:cs="Arial"/>
        </w:rPr>
      </w:pPr>
      <w:r w:rsidRPr="00C30CEB">
        <w:rPr>
          <w:rFonts w:ascii="Arial" w:hAnsi="Arial" w:cs="Arial"/>
          <w:b/>
        </w:rPr>
        <w:t xml:space="preserve">IMPLICATIONS: </w:t>
      </w:r>
      <w:r w:rsidRPr="00C30CEB">
        <w:rPr>
          <w:rFonts w:ascii="Arial" w:hAnsi="Arial" w:cs="Arial"/>
        </w:rPr>
        <w:t xml:space="preserve"> </w:t>
      </w:r>
      <w:r w:rsidR="00FB3E58" w:rsidRPr="00C30CEB">
        <w:rPr>
          <w:rFonts w:ascii="Arial" w:hAnsi="Arial" w:cs="Arial"/>
        </w:rPr>
        <w:t xml:space="preserve">Goal is to target </w:t>
      </w:r>
      <w:r w:rsidR="00211514" w:rsidRPr="00C30CEB">
        <w:rPr>
          <w:rFonts w:ascii="Arial" w:hAnsi="Arial" w:cs="Arial"/>
        </w:rPr>
        <w:t>these changes</w:t>
      </w:r>
      <w:r w:rsidR="00FB3E58" w:rsidRPr="00C30CEB">
        <w:rPr>
          <w:rFonts w:ascii="Arial" w:hAnsi="Arial" w:cs="Arial"/>
        </w:rPr>
        <w:t xml:space="preserve"> for approval </w:t>
      </w:r>
      <w:r w:rsidR="00B0542B" w:rsidRPr="00C30CEB">
        <w:rPr>
          <w:rFonts w:ascii="Arial" w:hAnsi="Arial" w:cs="Arial"/>
        </w:rPr>
        <w:t xml:space="preserve">as soon as practical </w:t>
      </w:r>
      <w:r w:rsidR="00AE2213" w:rsidRPr="00C30CEB">
        <w:rPr>
          <w:rFonts w:ascii="Arial" w:hAnsi="Arial" w:cs="Arial"/>
        </w:rPr>
        <w:t xml:space="preserve">to ensure </w:t>
      </w:r>
      <w:r w:rsidR="00B0542B" w:rsidRPr="00C30CEB">
        <w:rPr>
          <w:rFonts w:ascii="Arial" w:hAnsi="Arial" w:cs="Arial"/>
        </w:rPr>
        <w:t>proper guidance can be provided.</w:t>
      </w:r>
    </w:p>
    <w:sectPr w:rsidR="00B86803" w:rsidRPr="00C30CEB" w:rsidSect="00637D6A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7C9" w:rsidRDefault="000F57C9">
      <w:r>
        <w:separator/>
      </w:r>
    </w:p>
  </w:endnote>
  <w:endnote w:type="continuationSeparator" w:id="0">
    <w:p w:rsidR="000F57C9" w:rsidRDefault="000F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CA7" w:rsidRDefault="00040CA7" w:rsidP="00C012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0CA7" w:rsidRDefault="00040CA7" w:rsidP="000B00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CA7" w:rsidRPr="00FB3095" w:rsidRDefault="00040CA7" w:rsidP="00C0124E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FB3095">
      <w:rPr>
        <w:rStyle w:val="PageNumber"/>
        <w:rFonts w:ascii="Arial" w:hAnsi="Arial" w:cs="Arial"/>
      </w:rPr>
      <w:fldChar w:fldCharType="begin"/>
    </w:r>
    <w:r w:rsidRPr="00FB3095">
      <w:rPr>
        <w:rStyle w:val="PageNumber"/>
        <w:rFonts w:ascii="Arial" w:hAnsi="Arial" w:cs="Arial"/>
      </w:rPr>
      <w:instrText xml:space="preserve">PAGE  </w:instrText>
    </w:r>
    <w:r w:rsidRPr="00FB3095">
      <w:rPr>
        <w:rStyle w:val="PageNumber"/>
        <w:rFonts w:ascii="Arial" w:hAnsi="Arial" w:cs="Arial"/>
      </w:rPr>
      <w:fldChar w:fldCharType="separate"/>
    </w:r>
    <w:r w:rsidR="00894327">
      <w:rPr>
        <w:rStyle w:val="PageNumber"/>
        <w:rFonts w:ascii="Arial" w:hAnsi="Arial" w:cs="Arial"/>
        <w:noProof/>
      </w:rPr>
      <w:t>1</w:t>
    </w:r>
    <w:r w:rsidRPr="00FB3095">
      <w:rPr>
        <w:rStyle w:val="PageNumber"/>
        <w:rFonts w:ascii="Arial" w:hAnsi="Arial" w:cs="Arial"/>
      </w:rPr>
      <w:fldChar w:fldCharType="end"/>
    </w:r>
  </w:p>
  <w:p w:rsidR="00040CA7" w:rsidRDefault="00040CA7" w:rsidP="000B00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7C9" w:rsidRDefault="000F57C9">
      <w:r>
        <w:separator/>
      </w:r>
    </w:p>
  </w:footnote>
  <w:footnote w:type="continuationSeparator" w:id="0">
    <w:p w:rsidR="000F57C9" w:rsidRDefault="000F5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BA5F"/>
    <w:multiLevelType w:val="singleLevel"/>
    <w:tmpl w:val="53B17E70"/>
    <w:lvl w:ilvl="0">
      <w:start w:val="1"/>
      <w:numFmt w:val="decimal"/>
      <w:lvlText w:val="%1."/>
      <w:lvlJc w:val="left"/>
      <w:pPr>
        <w:tabs>
          <w:tab w:val="num" w:pos="216"/>
        </w:tabs>
        <w:ind w:firstLine="216"/>
      </w:pPr>
      <w:rPr>
        <w:rFonts w:cs="Times New Roman"/>
        <w:snapToGrid/>
        <w:spacing w:val="14"/>
        <w:sz w:val="19"/>
        <w:szCs w:val="19"/>
      </w:rPr>
    </w:lvl>
  </w:abstractNum>
  <w:abstractNum w:abstractNumId="1">
    <w:nsid w:val="1263248B"/>
    <w:multiLevelType w:val="hybridMultilevel"/>
    <w:tmpl w:val="3E7A2F70"/>
    <w:lvl w:ilvl="0" w:tplc="59DA690C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F000862">
      <w:start w:val="1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81E6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F0E42C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5D8A2C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5A2EAD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8684AE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B9E057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8E862E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2E2A65"/>
    <w:multiLevelType w:val="multilevel"/>
    <w:tmpl w:val="63B0B29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cs="Cambria" w:hint="default"/>
        <w:b/>
        <w:bCs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792"/>
        </w:tabs>
        <w:ind w:firstLine="360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(%3)"/>
      <w:lvlJc w:val="left"/>
      <w:pPr>
        <w:tabs>
          <w:tab w:val="num" w:pos="1008"/>
        </w:tabs>
        <w:ind w:left="360" w:firstLine="288"/>
      </w:pPr>
      <w:rPr>
        <w:rFonts w:cs="Times New Roman" w:hint="default"/>
        <w:b w:val="0"/>
        <w:bCs/>
        <w:i w:val="0"/>
        <w:sz w:val="24"/>
        <w:szCs w:val="24"/>
      </w:rPr>
    </w:lvl>
    <w:lvl w:ilvl="3">
      <w:start w:val="1"/>
      <w:numFmt w:val="lowerRoman"/>
      <w:lvlText w:val="%4."/>
      <w:lvlJc w:val="right"/>
      <w:pPr>
        <w:tabs>
          <w:tab w:val="num" w:pos="1512"/>
        </w:tabs>
        <w:ind w:left="1512" w:hanging="360"/>
      </w:pPr>
      <w:rPr>
        <w:rFonts w:cs="Times New Roman" w:hint="default"/>
        <w:b w:val="0"/>
        <w:bCs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bCs/>
      </w:rPr>
    </w:lvl>
    <w:lvl w:ilvl="5">
      <w:start w:val="1"/>
      <w:numFmt w:val="lowerLetter"/>
      <w:pStyle w:val="Heading6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27786072"/>
    <w:multiLevelType w:val="hybridMultilevel"/>
    <w:tmpl w:val="9B941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224747"/>
    <w:multiLevelType w:val="hybridMultilevel"/>
    <w:tmpl w:val="56A0C000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1554503"/>
    <w:multiLevelType w:val="hybridMultilevel"/>
    <w:tmpl w:val="8618AE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B81945"/>
    <w:multiLevelType w:val="hybridMultilevel"/>
    <w:tmpl w:val="CAA253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13007F9"/>
    <w:multiLevelType w:val="hybridMultilevel"/>
    <w:tmpl w:val="27925F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95805B4"/>
    <w:multiLevelType w:val="hybridMultilevel"/>
    <w:tmpl w:val="4136286A"/>
    <w:lvl w:ilvl="0" w:tplc="3E00F39C">
      <w:start w:val="30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874A4"/>
    <w:multiLevelType w:val="hybridMultilevel"/>
    <w:tmpl w:val="3668B4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BA44F2"/>
    <w:multiLevelType w:val="hybridMultilevel"/>
    <w:tmpl w:val="72BE5C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E1885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FF41C7"/>
    <w:multiLevelType w:val="hybridMultilevel"/>
    <w:tmpl w:val="13F610B2"/>
    <w:lvl w:ilvl="0" w:tplc="D77EBEF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7CFD4F69"/>
    <w:multiLevelType w:val="hybridMultilevel"/>
    <w:tmpl w:val="C4522FBE"/>
    <w:lvl w:ilvl="0" w:tplc="02500742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12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618161E-039A-4CF7-AB13-762D645DFD6D}"/>
    <w:docVar w:name="dgnword-eventsink" w:val="99388656"/>
  </w:docVars>
  <w:rsids>
    <w:rsidRoot w:val="00510E9B"/>
    <w:rsid w:val="0000249C"/>
    <w:rsid w:val="00003653"/>
    <w:rsid w:val="00004EF3"/>
    <w:rsid w:val="00005441"/>
    <w:rsid w:val="00005839"/>
    <w:rsid w:val="00007080"/>
    <w:rsid w:val="00013A0E"/>
    <w:rsid w:val="00016BC4"/>
    <w:rsid w:val="000173ED"/>
    <w:rsid w:val="0002063F"/>
    <w:rsid w:val="00020942"/>
    <w:rsid w:val="000213D5"/>
    <w:rsid w:val="0002261D"/>
    <w:rsid w:val="00025BA8"/>
    <w:rsid w:val="00032E97"/>
    <w:rsid w:val="00033D7B"/>
    <w:rsid w:val="00040CA7"/>
    <w:rsid w:val="000431BC"/>
    <w:rsid w:val="000468FF"/>
    <w:rsid w:val="0005039D"/>
    <w:rsid w:val="0005210D"/>
    <w:rsid w:val="00064E14"/>
    <w:rsid w:val="0006558F"/>
    <w:rsid w:val="00070219"/>
    <w:rsid w:val="0007603A"/>
    <w:rsid w:val="00085DA6"/>
    <w:rsid w:val="000861C9"/>
    <w:rsid w:val="00091DBF"/>
    <w:rsid w:val="00095902"/>
    <w:rsid w:val="000A05DD"/>
    <w:rsid w:val="000A17DE"/>
    <w:rsid w:val="000A1899"/>
    <w:rsid w:val="000A528B"/>
    <w:rsid w:val="000A65DC"/>
    <w:rsid w:val="000B0037"/>
    <w:rsid w:val="000B4A78"/>
    <w:rsid w:val="000C1FE2"/>
    <w:rsid w:val="000C29E1"/>
    <w:rsid w:val="000D02AF"/>
    <w:rsid w:val="000D393F"/>
    <w:rsid w:val="000E1FF8"/>
    <w:rsid w:val="000E4CA9"/>
    <w:rsid w:val="000E7249"/>
    <w:rsid w:val="000F13A2"/>
    <w:rsid w:val="000F1D4C"/>
    <w:rsid w:val="000F22FC"/>
    <w:rsid w:val="000F4DED"/>
    <w:rsid w:val="000F57C9"/>
    <w:rsid w:val="00113035"/>
    <w:rsid w:val="0011611C"/>
    <w:rsid w:val="00116A24"/>
    <w:rsid w:val="001178EC"/>
    <w:rsid w:val="00121574"/>
    <w:rsid w:val="00123E78"/>
    <w:rsid w:val="001264A0"/>
    <w:rsid w:val="00134951"/>
    <w:rsid w:val="00136515"/>
    <w:rsid w:val="00140FE6"/>
    <w:rsid w:val="00142F7E"/>
    <w:rsid w:val="001471C0"/>
    <w:rsid w:val="00160B9B"/>
    <w:rsid w:val="001640E4"/>
    <w:rsid w:val="0017439E"/>
    <w:rsid w:val="00185AF9"/>
    <w:rsid w:val="0019273A"/>
    <w:rsid w:val="001967AD"/>
    <w:rsid w:val="00197B6A"/>
    <w:rsid w:val="001A44C8"/>
    <w:rsid w:val="001A5103"/>
    <w:rsid w:val="001A7AC1"/>
    <w:rsid w:val="001B3848"/>
    <w:rsid w:val="001B4323"/>
    <w:rsid w:val="001C0D8A"/>
    <w:rsid w:val="001C33EF"/>
    <w:rsid w:val="001D0059"/>
    <w:rsid w:val="001D2BB1"/>
    <w:rsid w:val="001D2F96"/>
    <w:rsid w:val="001D7B25"/>
    <w:rsid w:val="001F491E"/>
    <w:rsid w:val="002010D4"/>
    <w:rsid w:val="00202198"/>
    <w:rsid w:val="00203585"/>
    <w:rsid w:val="00203BF7"/>
    <w:rsid w:val="0020464F"/>
    <w:rsid w:val="00204C6D"/>
    <w:rsid w:val="00204CDB"/>
    <w:rsid w:val="002106FC"/>
    <w:rsid w:val="00211087"/>
    <w:rsid w:val="002110C0"/>
    <w:rsid w:val="00211514"/>
    <w:rsid w:val="00213E4E"/>
    <w:rsid w:val="0021406F"/>
    <w:rsid w:val="002158BE"/>
    <w:rsid w:val="002216E9"/>
    <w:rsid w:val="002223F0"/>
    <w:rsid w:val="002341F6"/>
    <w:rsid w:val="002345ED"/>
    <w:rsid w:val="00234D41"/>
    <w:rsid w:val="00240C43"/>
    <w:rsid w:val="0026223F"/>
    <w:rsid w:val="00262C5F"/>
    <w:rsid w:val="0027413B"/>
    <w:rsid w:val="00276A21"/>
    <w:rsid w:val="00283E9B"/>
    <w:rsid w:val="00285C81"/>
    <w:rsid w:val="00287E49"/>
    <w:rsid w:val="00291FAD"/>
    <w:rsid w:val="00293475"/>
    <w:rsid w:val="002B0594"/>
    <w:rsid w:val="002C0424"/>
    <w:rsid w:val="002C07A3"/>
    <w:rsid w:val="002C2DD0"/>
    <w:rsid w:val="002D313B"/>
    <w:rsid w:val="002D6919"/>
    <w:rsid w:val="002E0DC4"/>
    <w:rsid w:val="002E6614"/>
    <w:rsid w:val="002F008A"/>
    <w:rsid w:val="002F03AD"/>
    <w:rsid w:val="002F0EB2"/>
    <w:rsid w:val="002F39CF"/>
    <w:rsid w:val="002F5753"/>
    <w:rsid w:val="002F5FFA"/>
    <w:rsid w:val="00304178"/>
    <w:rsid w:val="00304A35"/>
    <w:rsid w:val="00321006"/>
    <w:rsid w:val="00323399"/>
    <w:rsid w:val="00323EC4"/>
    <w:rsid w:val="00325E11"/>
    <w:rsid w:val="00332650"/>
    <w:rsid w:val="00332BA7"/>
    <w:rsid w:val="00332BCF"/>
    <w:rsid w:val="00337776"/>
    <w:rsid w:val="00341860"/>
    <w:rsid w:val="00344356"/>
    <w:rsid w:val="0034437D"/>
    <w:rsid w:val="00351213"/>
    <w:rsid w:val="003523B6"/>
    <w:rsid w:val="003553D8"/>
    <w:rsid w:val="00357582"/>
    <w:rsid w:val="0036089F"/>
    <w:rsid w:val="003616A7"/>
    <w:rsid w:val="00361B91"/>
    <w:rsid w:val="00363A95"/>
    <w:rsid w:val="00367387"/>
    <w:rsid w:val="00372A79"/>
    <w:rsid w:val="003739AF"/>
    <w:rsid w:val="00374CCD"/>
    <w:rsid w:val="00375484"/>
    <w:rsid w:val="00380044"/>
    <w:rsid w:val="0038061F"/>
    <w:rsid w:val="00381AB8"/>
    <w:rsid w:val="003833F4"/>
    <w:rsid w:val="0038446F"/>
    <w:rsid w:val="00386EF4"/>
    <w:rsid w:val="00390077"/>
    <w:rsid w:val="00390D25"/>
    <w:rsid w:val="00393CFE"/>
    <w:rsid w:val="00394E09"/>
    <w:rsid w:val="0039603F"/>
    <w:rsid w:val="0039734B"/>
    <w:rsid w:val="003A0655"/>
    <w:rsid w:val="003A4BCC"/>
    <w:rsid w:val="003B0D08"/>
    <w:rsid w:val="003B30A9"/>
    <w:rsid w:val="003B3243"/>
    <w:rsid w:val="003B720B"/>
    <w:rsid w:val="003C2A20"/>
    <w:rsid w:val="003C2C5D"/>
    <w:rsid w:val="003C46B4"/>
    <w:rsid w:val="003C5E47"/>
    <w:rsid w:val="003D258E"/>
    <w:rsid w:val="003D4589"/>
    <w:rsid w:val="003D7A83"/>
    <w:rsid w:val="003E0B6C"/>
    <w:rsid w:val="003E1DE0"/>
    <w:rsid w:val="003E50F8"/>
    <w:rsid w:val="003E764B"/>
    <w:rsid w:val="003F2910"/>
    <w:rsid w:val="003F3E20"/>
    <w:rsid w:val="003F3F32"/>
    <w:rsid w:val="004023DE"/>
    <w:rsid w:val="004062D9"/>
    <w:rsid w:val="00412041"/>
    <w:rsid w:val="00417270"/>
    <w:rsid w:val="004259A9"/>
    <w:rsid w:val="00425FE2"/>
    <w:rsid w:val="004323FF"/>
    <w:rsid w:val="00440CD5"/>
    <w:rsid w:val="00441380"/>
    <w:rsid w:val="00446262"/>
    <w:rsid w:val="00446C4B"/>
    <w:rsid w:val="00446FB0"/>
    <w:rsid w:val="00455722"/>
    <w:rsid w:val="0045673F"/>
    <w:rsid w:val="00457E20"/>
    <w:rsid w:val="00472906"/>
    <w:rsid w:val="0047518E"/>
    <w:rsid w:val="004772C8"/>
    <w:rsid w:val="00481DB7"/>
    <w:rsid w:val="00483842"/>
    <w:rsid w:val="00485547"/>
    <w:rsid w:val="00491E4B"/>
    <w:rsid w:val="0049257E"/>
    <w:rsid w:val="004932A6"/>
    <w:rsid w:val="004A282E"/>
    <w:rsid w:val="004A5F49"/>
    <w:rsid w:val="004B495C"/>
    <w:rsid w:val="004B6473"/>
    <w:rsid w:val="004C0A72"/>
    <w:rsid w:val="004D074F"/>
    <w:rsid w:val="004D1CD6"/>
    <w:rsid w:val="004D3139"/>
    <w:rsid w:val="004D396A"/>
    <w:rsid w:val="004D7D52"/>
    <w:rsid w:val="004E13BE"/>
    <w:rsid w:val="004E2928"/>
    <w:rsid w:val="004E49BD"/>
    <w:rsid w:val="004E72C6"/>
    <w:rsid w:val="004F2F0E"/>
    <w:rsid w:val="00500588"/>
    <w:rsid w:val="00510E9B"/>
    <w:rsid w:val="005146BD"/>
    <w:rsid w:val="005236CF"/>
    <w:rsid w:val="00523D13"/>
    <w:rsid w:val="00525BF8"/>
    <w:rsid w:val="00526670"/>
    <w:rsid w:val="00527A10"/>
    <w:rsid w:val="00532883"/>
    <w:rsid w:val="00541825"/>
    <w:rsid w:val="00542D58"/>
    <w:rsid w:val="00547005"/>
    <w:rsid w:val="00547533"/>
    <w:rsid w:val="0055261F"/>
    <w:rsid w:val="005545DF"/>
    <w:rsid w:val="0055686A"/>
    <w:rsid w:val="00556EB5"/>
    <w:rsid w:val="00556FA0"/>
    <w:rsid w:val="005572FC"/>
    <w:rsid w:val="005629F8"/>
    <w:rsid w:val="0056437E"/>
    <w:rsid w:val="0056584B"/>
    <w:rsid w:val="005821E9"/>
    <w:rsid w:val="00585844"/>
    <w:rsid w:val="00587862"/>
    <w:rsid w:val="005936FD"/>
    <w:rsid w:val="00594B09"/>
    <w:rsid w:val="00596084"/>
    <w:rsid w:val="005A7C65"/>
    <w:rsid w:val="005C05BE"/>
    <w:rsid w:val="005C0B7E"/>
    <w:rsid w:val="005D03EE"/>
    <w:rsid w:val="005D18CE"/>
    <w:rsid w:val="005D68E8"/>
    <w:rsid w:val="005E15DF"/>
    <w:rsid w:val="005E42FA"/>
    <w:rsid w:val="005F0972"/>
    <w:rsid w:val="005F48B4"/>
    <w:rsid w:val="005F6739"/>
    <w:rsid w:val="0060333A"/>
    <w:rsid w:val="00603F63"/>
    <w:rsid w:val="00605ABD"/>
    <w:rsid w:val="00607AFF"/>
    <w:rsid w:val="006169D3"/>
    <w:rsid w:val="006253A0"/>
    <w:rsid w:val="006278B9"/>
    <w:rsid w:val="006334B5"/>
    <w:rsid w:val="00637D6A"/>
    <w:rsid w:val="00642FDB"/>
    <w:rsid w:val="00645390"/>
    <w:rsid w:val="00650F54"/>
    <w:rsid w:val="00652458"/>
    <w:rsid w:val="00652E49"/>
    <w:rsid w:val="0066539B"/>
    <w:rsid w:val="00665EF2"/>
    <w:rsid w:val="00666335"/>
    <w:rsid w:val="0068107B"/>
    <w:rsid w:val="0068439E"/>
    <w:rsid w:val="00686463"/>
    <w:rsid w:val="00694E6D"/>
    <w:rsid w:val="006A0126"/>
    <w:rsid w:val="006A5ACB"/>
    <w:rsid w:val="006A6261"/>
    <w:rsid w:val="006A7099"/>
    <w:rsid w:val="006B7407"/>
    <w:rsid w:val="006B77C6"/>
    <w:rsid w:val="006B7B4F"/>
    <w:rsid w:val="006C15F3"/>
    <w:rsid w:val="006C19BF"/>
    <w:rsid w:val="006C2141"/>
    <w:rsid w:val="006C6F3A"/>
    <w:rsid w:val="006D0702"/>
    <w:rsid w:val="006D3977"/>
    <w:rsid w:val="006D56D3"/>
    <w:rsid w:val="006E102F"/>
    <w:rsid w:val="006E17A2"/>
    <w:rsid w:val="006E2409"/>
    <w:rsid w:val="006F4B67"/>
    <w:rsid w:val="006F5924"/>
    <w:rsid w:val="00700359"/>
    <w:rsid w:val="00704277"/>
    <w:rsid w:val="00704826"/>
    <w:rsid w:val="00710308"/>
    <w:rsid w:val="007129CC"/>
    <w:rsid w:val="007130B8"/>
    <w:rsid w:val="00716F05"/>
    <w:rsid w:val="0072410A"/>
    <w:rsid w:val="00724CCA"/>
    <w:rsid w:val="0073026D"/>
    <w:rsid w:val="00731350"/>
    <w:rsid w:val="00731BC4"/>
    <w:rsid w:val="0073401F"/>
    <w:rsid w:val="00747EF4"/>
    <w:rsid w:val="00751548"/>
    <w:rsid w:val="00751F1B"/>
    <w:rsid w:val="0075334F"/>
    <w:rsid w:val="0075568E"/>
    <w:rsid w:val="0075647C"/>
    <w:rsid w:val="00757DB4"/>
    <w:rsid w:val="007713A8"/>
    <w:rsid w:val="00772A73"/>
    <w:rsid w:val="007756FB"/>
    <w:rsid w:val="007763E8"/>
    <w:rsid w:val="00777791"/>
    <w:rsid w:val="0078191B"/>
    <w:rsid w:val="00782EE7"/>
    <w:rsid w:val="00785E45"/>
    <w:rsid w:val="00791457"/>
    <w:rsid w:val="007A02D0"/>
    <w:rsid w:val="007B4193"/>
    <w:rsid w:val="007C3C99"/>
    <w:rsid w:val="007C4480"/>
    <w:rsid w:val="007D26CE"/>
    <w:rsid w:val="007E3AA6"/>
    <w:rsid w:val="007E4A04"/>
    <w:rsid w:val="007E5D90"/>
    <w:rsid w:val="007E6714"/>
    <w:rsid w:val="007E730D"/>
    <w:rsid w:val="007F0CB8"/>
    <w:rsid w:val="007F4751"/>
    <w:rsid w:val="007F5298"/>
    <w:rsid w:val="007F621D"/>
    <w:rsid w:val="007F6637"/>
    <w:rsid w:val="008008B7"/>
    <w:rsid w:val="00813FB3"/>
    <w:rsid w:val="00823A16"/>
    <w:rsid w:val="008254F1"/>
    <w:rsid w:val="00827C00"/>
    <w:rsid w:val="0083071B"/>
    <w:rsid w:val="00830E84"/>
    <w:rsid w:val="00833C7B"/>
    <w:rsid w:val="008348B9"/>
    <w:rsid w:val="00836377"/>
    <w:rsid w:val="0084019E"/>
    <w:rsid w:val="00845967"/>
    <w:rsid w:val="008515A4"/>
    <w:rsid w:val="0085628F"/>
    <w:rsid w:val="008616D3"/>
    <w:rsid w:val="008622CA"/>
    <w:rsid w:val="00863E09"/>
    <w:rsid w:val="00864618"/>
    <w:rsid w:val="00865255"/>
    <w:rsid w:val="00866DE2"/>
    <w:rsid w:val="0086713E"/>
    <w:rsid w:val="00871C9B"/>
    <w:rsid w:val="00874E93"/>
    <w:rsid w:val="00874F4C"/>
    <w:rsid w:val="0088499A"/>
    <w:rsid w:val="00892CE2"/>
    <w:rsid w:val="00894327"/>
    <w:rsid w:val="00897804"/>
    <w:rsid w:val="008A2168"/>
    <w:rsid w:val="008A4C1D"/>
    <w:rsid w:val="008A4FD5"/>
    <w:rsid w:val="008B1979"/>
    <w:rsid w:val="008B5133"/>
    <w:rsid w:val="008B6185"/>
    <w:rsid w:val="008B747C"/>
    <w:rsid w:val="008C3ABA"/>
    <w:rsid w:val="008C3DD7"/>
    <w:rsid w:val="008C4C74"/>
    <w:rsid w:val="008C5E94"/>
    <w:rsid w:val="008D041C"/>
    <w:rsid w:val="008D32BF"/>
    <w:rsid w:val="008D6F5A"/>
    <w:rsid w:val="008D75CB"/>
    <w:rsid w:val="008E6EC7"/>
    <w:rsid w:val="008F3925"/>
    <w:rsid w:val="008F4E45"/>
    <w:rsid w:val="008F5521"/>
    <w:rsid w:val="008F58BC"/>
    <w:rsid w:val="008F5916"/>
    <w:rsid w:val="008F62F2"/>
    <w:rsid w:val="00904EE3"/>
    <w:rsid w:val="00910F54"/>
    <w:rsid w:val="00922EE0"/>
    <w:rsid w:val="00927B46"/>
    <w:rsid w:val="00933BBD"/>
    <w:rsid w:val="00950F62"/>
    <w:rsid w:val="00952A49"/>
    <w:rsid w:val="00955071"/>
    <w:rsid w:val="00955F49"/>
    <w:rsid w:val="009624C6"/>
    <w:rsid w:val="00963DCC"/>
    <w:rsid w:val="0097074A"/>
    <w:rsid w:val="00992A5D"/>
    <w:rsid w:val="0099495B"/>
    <w:rsid w:val="009B227C"/>
    <w:rsid w:val="009B3F22"/>
    <w:rsid w:val="009B5DAE"/>
    <w:rsid w:val="009C0EE1"/>
    <w:rsid w:val="009C3B22"/>
    <w:rsid w:val="009C7737"/>
    <w:rsid w:val="009C7B3B"/>
    <w:rsid w:val="009D0198"/>
    <w:rsid w:val="009D03F1"/>
    <w:rsid w:val="009E467D"/>
    <w:rsid w:val="009E78B8"/>
    <w:rsid w:val="009F0DA9"/>
    <w:rsid w:val="009F7C18"/>
    <w:rsid w:val="00A04A4C"/>
    <w:rsid w:val="00A056C5"/>
    <w:rsid w:val="00A0647D"/>
    <w:rsid w:val="00A10EC7"/>
    <w:rsid w:val="00A13AB8"/>
    <w:rsid w:val="00A15D6F"/>
    <w:rsid w:val="00A2148F"/>
    <w:rsid w:val="00A268FB"/>
    <w:rsid w:val="00A3143A"/>
    <w:rsid w:val="00A31A2B"/>
    <w:rsid w:val="00A41722"/>
    <w:rsid w:val="00A43A17"/>
    <w:rsid w:val="00A47E9D"/>
    <w:rsid w:val="00A50DA6"/>
    <w:rsid w:val="00A50F52"/>
    <w:rsid w:val="00A51B19"/>
    <w:rsid w:val="00A52D0D"/>
    <w:rsid w:val="00A6030D"/>
    <w:rsid w:val="00A6210E"/>
    <w:rsid w:val="00A66076"/>
    <w:rsid w:val="00A70014"/>
    <w:rsid w:val="00A7018C"/>
    <w:rsid w:val="00A76264"/>
    <w:rsid w:val="00A7669A"/>
    <w:rsid w:val="00A9334C"/>
    <w:rsid w:val="00A945B8"/>
    <w:rsid w:val="00A948B5"/>
    <w:rsid w:val="00A95795"/>
    <w:rsid w:val="00A973F7"/>
    <w:rsid w:val="00AA47E2"/>
    <w:rsid w:val="00AB5489"/>
    <w:rsid w:val="00AC0388"/>
    <w:rsid w:val="00AC17F6"/>
    <w:rsid w:val="00AC24F8"/>
    <w:rsid w:val="00AC2555"/>
    <w:rsid w:val="00AC5EC0"/>
    <w:rsid w:val="00AD13ED"/>
    <w:rsid w:val="00AD1519"/>
    <w:rsid w:val="00AD294C"/>
    <w:rsid w:val="00AD6688"/>
    <w:rsid w:val="00AE165E"/>
    <w:rsid w:val="00AE2213"/>
    <w:rsid w:val="00AE30CC"/>
    <w:rsid w:val="00AE34E8"/>
    <w:rsid w:val="00AE3ED5"/>
    <w:rsid w:val="00AE7E78"/>
    <w:rsid w:val="00AF056B"/>
    <w:rsid w:val="00AF0B76"/>
    <w:rsid w:val="00AF10AF"/>
    <w:rsid w:val="00AF24DF"/>
    <w:rsid w:val="00B0542B"/>
    <w:rsid w:val="00B0708E"/>
    <w:rsid w:val="00B100E0"/>
    <w:rsid w:val="00B108DC"/>
    <w:rsid w:val="00B31AE6"/>
    <w:rsid w:val="00B32A21"/>
    <w:rsid w:val="00B412F3"/>
    <w:rsid w:val="00B52ADB"/>
    <w:rsid w:val="00B538F3"/>
    <w:rsid w:val="00B54986"/>
    <w:rsid w:val="00B55338"/>
    <w:rsid w:val="00B666E7"/>
    <w:rsid w:val="00B66C84"/>
    <w:rsid w:val="00B70468"/>
    <w:rsid w:val="00B70790"/>
    <w:rsid w:val="00B70F65"/>
    <w:rsid w:val="00B73B3F"/>
    <w:rsid w:val="00B74B5B"/>
    <w:rsid w:val="00B86803"/>
    <w:rsid w:val="00B87829"/>
    <w:rsid w:val="00B939B0"/>
    <w:rsid w:val="00B976A2"/>
    <w:rsid w:val="00BA0077"/>
    <w:rsid w:val="00BA234B"/>
    <w:rsid w:val="00BA3152"/>
    <w:rsid w:val="00BA7431"/>
    <w:rsid w:val="00BB63D8"/>
    <w:rsid w:val="00BB6CC1"/>
    <w:rsid w:val="00BC2051"/>
    <w:rsid w:val="00BC39E4"/>
    <w:rsid w:val="00BC3BA4"/>
    <w:rsid w:val="00BD1D94"/>
    <w:rsid w:val="00BE309B"/>
    <w:rsid w:val="00BE4184"/>
    <w:rsid w:val="00BE5218"/>
    <w:rsid w:val="00BF346A"/>
    <w:rsid w:val="00BF3F6F"/>
    <w:rsid w:val="00BF4D47"/>
    <w:rsid w:val="00BF62D0"/>
    <w:rsid w:val="00C0124E"/>
    <w:rsid w:val="00C0281F"/>
    <w:rsid w:val="00C03CC6"/>
    <w:rsid w:val="00C03E15"/>
    <w:rsid w:val="00C06B77"/>
    <w:rsid w:val="00C10091"/>
    <w:rsid w:val="00C104ED"/>
    <w:rsid w:val="00C12DAB"/>
    <w:rsid w:val="00C14DD0"/>
    <w:rsid w:val="00C154C7"/>
    <w:rsid w:val="00C16584"/>
    <w:rsid w:val="00C17E8B"/>
    <w:rsid w:val="00C17F81"/>
    <w:rsid w:val="00C21D89"/>
    <w:rsid w:val="00C22866"/>
    <w:rsid w:val="00C2309A"/>
    <w:rsid w:val="00C2537E"/>
    <w:rsid w:val="00C30CEB"/>
    <w:rsid w:val="00C336C8"/>
    <w:rsid w:val="00C358DE"/>
    <w:rsid w:val="00C36E64"/>
    <w:rsid w:val="00C4023B"/>
    <w:rsid w:val="00C4270A"/>
    <w:rsid w:val="00C44B26"/>
    <w:rsid w:val="00C44C54"/>
    <w:rsid w:val="00C60439"/>
    <w:rsid w:val="00C613D1"/>
    <w:rsid w:val="00C6179F"/>
    <w:rsid w:val="00C62696"/>
    <w:rsid w:val="00C6281D"/>
    <w:rsid w:val="00C65415"/>
    <w:rsid w:val="00C67187"/>
    <w:rsid w:val="00C70F35"/>
    <w:rsid w:val="00C7195A"/>
    <w:rsid w:val="00C749A7"/>
    <w:rsid w:val="00C763B6"/>
    <w:rsid w:val="00C8718D"/>
    <w:rsid w:val="00C91C6E"/>
    <w:rsid w:val="00CA4228"/>
    <w:rsid w:val="00CA562C"/>
    <w:rsid w:val="00CA6730"/>
    <w:rsid w:val="00CA6DB6"/>
    <w:rsid w:val="00CB185A"/>
    <w:rsid w:val="00CB5372"/>
    <w:rsid w:val="00CB7210"/>
    <w:rsid w:val="00CC14C4"/>
    <w:rsid w:val="00CC501E"/>
    <w:rsid w:val="00CD1617"/>
    <w:rsid w:val="00CD23B8"/>
    <w:rsid w:val="00CD3EF4"/>
    <w:rsid w:val="00CD6483"/>
    <w:rsid w:val="00CD6C18"/>
    <w:rsid w:val="00CE65B0"/>
    <w:rsid w:val="00CE7897"/>
    <w:rsid w:val="00CF200E"/>
    <w:rsid w:val="00CF3930"/>
    <w:rsid w:val="00CF3DC1"/>
    <w:rsid w:val="00CF45CB"/>
    <w:rsid w:val="00CF531D"/>
    <w:rsid w:val="00CF6191"/>
    <w:rsid w:val="00CF6799"/>
    <w:rsid w:val="00D0271F"/>
    <w:rsid w:val="00D0500F"/>
    <w:rsid w:val="00D06E80"/>
    <w:rsid w:val="00D07A35"/>
    <w:rsid w:val="00D1569E"/>
    <w:rsid w:val="00D20519"/>
    <w:rsid w:val="00D2086F"/>
    <w:rsid w:val="00D2578B"/>
    <w:rsid w:val="00D27848"/>
    <w:rsid w:val="00D30E34"/>
    <w:rsid w:val="00D41A8B"/>
    <w:rsid w:val="00D520EE"/>
    <w:rsid w:val="00D53EE9"/>
    <w:rsid w:val="00D67DD9"/>
    <w:rsid w:val="00D70237"/>
    <w:rsid w:val="00D722B4"/>
    <w:rsid w:val="00D72DF7"/>
    <w:rsid w:val="00D74D43"/>
    <w:rsid w:val="00D76E5E"/>
    <w:rsid w:val="00D84D26"/>
    <w:rsid w:val="00D85B61"/>
    <w:rsid w:val="00D86B8F"/>
    <w:rsid w:val="00D8779F"/>
    <w:rsid w:val="00D93802"/>
    <w:rsid w:val="00DA0909"/>
    <w:rsid w:val="00DA30FE"/>
    <w:rsid w:val="00DA514F"/>
    <w:rsid w:val="00DA53DF"/>
    <w:rsid w:val="00DA60D4"/>
    <w:rsid w:val="00DA7DE0"/>
    <w:rsid w:val="00DB4972"/>
    <w:rsid w:val="00DB5449"/>
    <w:rsid w:val="00DB7F1A"/>
    <w:rsid w:val="00DC0062"/>
    <w:rsid w:val="00DC4A36"/>
    <w:rsid w:val="00DE1C9F"/>
    <w:rsid w:val="00DE32D4"/>
    <w:rsid w:val="00DE4093"/>
    <w:rsid w:val="00DE5ED5"/>
    <w:rsid w:val="00DE64D1"/>
    <w:rsid w:val="00DF1F3F"/>
    <w:rsid w:val="00DF3639"/>
    <w:rsid w:val="00DF5ACC"/>
    <w:rsid w:val="00DF6BDC"/>
    <w:rsid w:val="00E0302F"/>
    <w:rsid w:val="00E17560"/>
    <w:rsid w:val="00E30288"/>
    <w:rsid w:val="00E30472"/>
    <w:rsid w:val="00E42441"/>
    <w:rsid w:val="00E43820"/>
    <w:rsid w:val="00E4410F"/>
    <w:rsid w:val="00E4426A"/>
    <w:rsid w:val="00E50312"/>
    <w:rsid w:val="00E52DF8"/>
    <w:rsid w:val="00E70C2E"/>
    <w:rsid w:val="00E714E8"/>
    <w:rsid w:val="00E76CF0"/>
    <w:rsid w:val="00E83099"/>
    <w:rsid w:val="00E843FC"/>
    <w:rsid w:val="00E916E4"/>
    <w:rsid w:val="00E955E1"/>
    <w:rsid w:val="00E97D46"/>
    <w:rsid w:val="00EA1FAA"/>
    <w:rsid w:val="00EA446B"/>
    <w:rsid w:val="00EA6368"/>
    <w:rsid w:val="00EB03DD"/>
    <w:rsid w:val="00EB2778"/>
    <w:rsid w:val="00EB7192"/>
    <w:rsid w:val="00EC14F0"/>
    <w:rsid w:val="00ED301E"/>
    <w:rsid w:val="00ED6A45"/>
    <w:rsid w:val="00EE5E37"/>
    <w:rsid w:val="00EF5C75"/>
    <w:rsid w:val="00EF6EAF"/>
    <w:rsid w:val="00EF7991"/>
    <w:rsid w:val="00F02D01"/>
    <w:rsid w:val="00F0408C"/>
    <w:rsid w:val="00F0438D"/>
    <w:rsid w:val="00F14AF2"/>
    <w:rsid w:val="00F22D01"/>
    <w:rsid w:val="00F23D33"/>
    <w:rsid w:val="00F25363"/>
    <w:rsid w:val="00F2554C"/>
    <w:rsid w:val="00F30416"/>
    <w:rsid w:val="00F32096"/>
    <w:rsid w:val="00F3536B"/>
    <w:rsid w:val="00F43ED8"/>
    <w:rsid w:val="00F46A0C"/>
    <w:rsid w:val="00F5060A"/>
    <w:rsid w:val="00F5102A"/>
    <w:rsid w:val="00F516CA"/>
    <w:rsid w:val="00F55DFF"/>
    <w:rsid w:val="00F61AC0"/>
    <w:rsid w:val="00F66904"/>
    <w:rsid w:val="00F67932"/>
    <w:rsid w:val="00F722B5"/>
    <w:rsid w:val="00F731FB"/>
    <w:rsid w:val="00F7470B"/>
    <w:rsid w:val="00F84E2C"/>
    <w:rsid w:val="00F9292E"/>
    <w:rsid w:val="00FA0BEB"/>
    <w:rsid w:val="00FB0294"/>
    <w:rsid w:val="00FB03E9"/>
    <w:rsid w:val="00FB0410"/>
    <w:rsid w:val="00FB0F95"/>
    <w:rsid w:val="00FB3095"/>
    <w:rsid w:val="00FB3E58"/>
    <w:rsid w:val="00FB4EBC"/>
    <w:rsid w:val="00FB7952"/>
    <w:rsid w:val="00FC011F"/>
    <w:rsid w:val="00FC3A6E"/>
    <w:rsid w:val="00FC5E5C"/>
    <w:rsid w:val="00FD7860"/>
    <w:rsid w:val="00FE14CE"/>
    <w:rsid w:val="00FF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A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0D25"/>
    <w:pPr>
      <w:keepNext/>
      <w:numPr>
        <w:numId w:val="1"/>
      </w:numPr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0D25"/>
    <w:pPr>
      <w:keepNext/>
      <w:numPr>
        <w:ilvl w:val="1"/>
        <w:numId w:val="1"/>
      </w:numPr>
      <w:outlineLvl w:val="1"/>
    </w:pPr>
    <w:rPr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90D2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0D25"/>
    <w:rPr>
      <w:rFonts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90D25"/>
    <w:rPr>
      <w:rFonts w:cs="Times New Roman"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90D25"/>
    <w:rPr>
      <w:rFonts w:cs="Times New Roman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7564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CommentText">
    <w:name w:val="annotation text"/>
    <w:basedOn w:val="Normal"/>
    <w:link w:val="CommentTextChar"/>
    <w:uiPriority w:val="99"/>
    <w:rsid w:val="00874F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74F4C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874F4C"/>
    <w:rPr>
      <w:rFonts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0B00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B003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E3A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02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NoSpacing">
    <w:name w:val="No Spacing"/>
    <w:uiPriority w:val="99"/>
    <w:qFormat/>
    <w:rsid w:val="00E52DF8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E52DF8"/>
    <w:pPr>
      <w:ind w:left="720"/>
      <w:contextualSpacing/>
    </w:pPr>
  </w:style>
  <w:style w:type="paragraph" w:customStyle="1" w:styleId="Default">
    <w:name w:val="Default"/>
    <w:uiPriority w:val="99"/>
    <w:rsid w:val="00085D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DA30F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A30FE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7D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7D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7D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A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0D25"/>
    <w:pPr>
      <w:keepNext/>
      <w:numPr>
        <w:numId w:val="1"/>
      </w:numPr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0D25"/>
    <w:pPr>
      <w:keepNext/>
      <w:numPr>
        <w:ilvl w:val="1"/>
        <w:numId w:val="1"/>
      </w:numPr>
      <w:outlineLvl w:val="1"/>
    </w:pPr>
    <w:rPr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90D2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0D25"/>
    <w:rPr>
      <w:rFonts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90D25"/>
    <w:rPr>
      <w:rFonts w:cs="Times New Roman"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90D25"/>
    <w:rPr>
      <w:rFonts w:cs="Times New Roman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7564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CommentText">
    <w:name w:val="annotation text"/>
    <w:basedOn w:val="Normal"/>
    <w:link w:val="CommentTextChar"/>
    <w:uiPriority w:val="99"/>
    <w:rsid w:val="00874F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74F4C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874F4C"/>
    <w:rPr>
      <w:rFonts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0B00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B003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E3A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02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NoSpacing">
    <w:name w:val="No Spacing"/>
    <w:uiPriority w:val="99"/>
    <w:qFormat/>
    <w:rsid w:val="00E52DF8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E52DF8"/>
    <w:pPr>
      <w:ind w:left="720"/>
      <w:contextualSpacing/>
    </w:pPr>
  </w:style>
  <w:style w:type="paragraph" w:customStyle="1" w:styleId="Default">
    <w:name w:val="Default"/>
    <w:uiPriority w:val="99"/>
    <w:rsid w:val="00085D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DA30F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A30FE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7D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7D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7D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enefits.va.gov/BENEFITS/factsheets/burials/Buri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AD3A6-C79D-4845-A6FC-CC17EA030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2518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ISSUE:  Report language in Senate Appropriations Committee (SAC) Conference Report 108-353 called for VA to provide a detailed</vt:lpstr>
    </vt:vector>
  </TitlesOfParts>
  <Company>Veterans Affiars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ISSUE:  Report language in Senate Appropriations Committee (SAC) Conference Report 108-353 called for VA to provide a detailed</dc:title>
  <dc:creator>Southcott, Linda J.</dc:creator>
  <cp:lastModifiedBy>Mixon, Joni</cp:lastModifiedBy>
  <cp:revision>2</cp:revision>
  <cp:lastPrinted>2016-06-02T18:46:00Z</cp:lastPrinted>
  <dcterms:created xsi:type="dcterms:W3CDTF">2016-06-28T18:12:00Z</dcterms:created>
  <dcterms:modified xsi:type="dcterms:W3CDTF">2016-06-28T18:12:00Z</dcterms:modified>
</cp:coreProperties>
</file>