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870E4" w14:textId="2FCEE42B" w:rsidR="007705DA" w:rsidRPr="007705DA" w:rsidRDefault="00051C60" w:rsidP="007705DA">
      <w:pPr>
        <w:pStyle w:val="ListParagraph"/>
        <w:tabs>
          <w:tab w:val="num" w:pos="450"/>
        </w:tabs>
        <w:ind w:left="446" w:hanging="360"/>
        <w:jc w:val="center"/>
        <w:rPr>
          <w:bCs/>
        </w:rPr>
      </w:pPr>
      <w:bookmarkStart w:id="0" w:name="_GoBack"/>
      <w:bookmarkEnd w:id="0"/>
      <w:r>
        <w:rPr>
          <w:bCs/>
        </w:rPr>
        <w:t>SUPPORTING STATEMENT</w:t>
      </w:r>
    </w:p>
    <w:p w14:paraId="44F0363D" w14:textId="77777777" w:rsidR="007705DA" w:rsidRDefault="007705DA" w:rsidP="007705DA">
      <w:pPr>
        <w:pStyle w:val="ListParagraph"/>
        <w:tabs>
          <w:tab w:val="num" w:pos="450"/>
        </w:tabs>
        <w:ind w:left="446" w:hanging="360"/>
        <w:jc w:val="center"/>
        <w:rPr>
          <w:bCs/>
        </w:rPr>
      </w:pPr>
      <w:r w:rsidRPr="007705DA">
        <w:rPr>
          <w:bCs/>
        </w:rPr>
        <w:t>National Credit Union Administration</w:t>
      </w:r>
    </w:p>
    <w:p w14:paraId="2423A47D" w14:textId="77777777" w:rsidR="00051C60" w:rsidRPr="007705DA" w:rsidRDefault="00051C60" w:rsidP="007705DA">
      <w:pPr>
        <w:pStyle w:val="ListParagraph"/>
        <w:tabs>
          <w:tab w:val="num" w:pos="450"/>
        </w:tabs>
        <w:ind w:left="446" w:hanging="360"/>
        <w:jc w:val="center"/>
        <w:rPr>
          <w:bCs/>
        </w:rPr>
      </w:pPr>
    </w:p>
    <w:p w14:paraId="074A0193" w14:textId="0B660F16" w:rsidR="003A0D60" w:rsidRPr="007705DA" w:rsidRDefault="008A6517" w:rsidP="007705DA">
      <w:pPr>
        <w:pStyle w:val="ListParagraph"/>
        <w:tabs>
          <w:tab w:val="num" w:pos="450"/>
        </w:tabs>
        <w:ind w:left="446" w:hanging="360"/>
        <w:jc w:val="center"/>
        <w:rPr>
          <w:b/>
          <w:bCs/>
        </w:rPr>
      </w:pPr>
      <w:r w:rsidRPr="007705DA">
        <w:rPr>
          <w:b/>
          <w:bCs/>
        </w:rPr>
        <w:t>Purchase, Sale and Pledge of Eligible Obligations</w:t>
      </w:r>
      <w:r w:rsidR="00AD6D14" w:rsidRPr="007705DA">
        <w:rPr>
          <w:b/>
          <w:bCs/>
        </w:rPr>
        <w:t>, 12 CFR 701.23</w:t>
      </w:r>
    </w:p>
    <w:p w14:paraId="663D4CBD" w14:textId="76F48C27" w:rsidR="00AD6D14" w:rsidRDefault="007705DA" w:rsidP="003A0D60">
      <w:pPr>
        <w:pStyle w:val="ListParagraph"/>
        <w:tabs>
          <w:tab w:val="num" w:pos="450"/>
        </w:tabs>
        <w:ind w:left="446" w:hanging="360"/>
        <w:jc w:val="center"/>
        <w:rPr>
          <w:b/>
          <w:bCs/>
        </w:rPr>
      </w:pPr>
      <w:r>
        <w:rPr>
          <w:b/>
          <w:bCs/>
        </w:rPr>
        <w:t xml:space="preserve">OMB No. </w:t>
      </w:r>
      <w:r w:rsidR="00AD6D14">
        <w:rPr>
          <w:b/>
          <w:bCs/>
        </w:rPr>
        <w:t>3133-0127</w:t>
      </w:r>
    </w:p>
    <w:p w14:paraId="2B458EFB" w14:textId="77777777" w:rsidR="003A0D60" w:rsidRDefault="003A0D60" w:rsidP="003A0D60">
      <w:pPr>
        <w:pStyle w:val="ListParagraph"/>
        <w:ind w:left="0"/>
        <w:rPr>
          <w:b/>
        </w:rPr>
      </w:pPr>
    </w:p>
    <w:p w14:paraId="268AFAF7" w14:textId="77777777" w:rsidR="003A0D60" w:rsidRPr="00A13B41" w:rsidRDefault="003A0D60" w:rsidP="003A0D60">
      <w:pPr>
        <w:pStyle w:val="ListParagraph"/>
        <w:ind w:left="0"/>
        <w:rPr>
          <w:b/>
        </w:rPr>
      </w:pPr>
    </w:p>
    <w:p w14:paraId="3CCAB005" w14:textId="77777777" w:rsidR="003A0D60" w:rsidRPr="00E44F63" w:rsidRDefault="003A0D60" w:rsidP="00051C60">
      <w:pPr>
        <w:pStyle w:val="ListParagraph"/>
        <w:numPr>
          <w:ilvl w:val="0"/>
          <w:numId w:val="2"/>
        </w:numPr>
        <w:tabs>
          <w:tab w:val="left" w:pos="540"/>
        </w:tabs>
        <w:ind w:left="540" w:hanging="540"/>
        <w:rPr>
          <w:b/>
        </w:rPr>
      </w:pPr>
      <w:r w:rsidRPr="00E44F63">
        <w:rPr>
          <w:b/>
        </w:rPr>
        <w:t>JUSTIFICATION</w:t>
      </w:r>
    </w:p>
    <w:p w14:paraId="46CF84EF" w14:textId="77777777" w:rsidR="003A0D60" w:rsidRPr="00E44F63" w:rsidRDefault="003A0D60" w:rsidP="00051C60">
      <w:pPr>
        <w:pStyle w:val="ListParagraph"/>
        <w:tabs>
          <w:tab w:val="left" w:pos="540"/>
        </w:tabs>
        <w:ind w:left="540" w:hanging="540"/>
        <w:rPr>
          <w:b/>
        </w:rPr>
      </w:pPr>
    </w:p>
    <w:p w14:paraId="222BABDA" w14:textId="77777777" w:rsidR="003A0D60" w:rsidRPr="00E44F63" w:rsidRDefault="003A0D60" w:rsidP="00051C60">
      <w:pPr>
        <w:pStyle w:val="ListParagraph"/>
        <w:numPr>
          <w:ilvl w:val="0"/>
          <w:numId w:val="3"/>
        </w:numPr>
        <w:tabs>
          <w:tab w:val="left" w:pos="540"/>
        </w:tabs>
        <w:ind w:left="540" w:hanging="540"/>
        <w:rPr>
          <w:b/>
        </w:rPr>
      </w:pPr>
      <w:r>
        <w:rPr>
          <w:b/>
        </w:rPr>
        <w:t>Necessity of</w:t>
      </w:r>
      <w:r w:rsidRPr="00E44F63">
        <w:rPr>
          <w:b/>
        </w:rPr>
        <w:t xml:space="preserve"> Information</w:t>
      </w:r>
      <w:r>
        <w:rPr>
          <w:b/>
        </w:rPr>
        <w:t xml:space="preserve"> Collection</w:t>
      </w:r>
    </w:p>
    <w:p w14:paraId="006C9AAC" w14:textId="061535C3" w:rsidR="003A0D60" w:rsidRDefault="00051C60" w:rsidP="00051C60">
      <w:pPr>
        <w:pStyle w:val="ListParagraph"/>
        <w:suppressAutoHyphens/>
        <w:ind w:left="547" w:hanging="547"/>
      </w:pPr>
      <w:r>
        <w:tab/>
      </w:r>
      <w:r w:rsidR="00503F20">
        <w:t>The Federal Credit Union Act limits the amount of eligible obligations a federal credit union is permitted to purchase, sell, pledge, discount, receive or dispose of under Section 107(13).  NCUA’s rules and regulations further govern this limitation by prescribing additional requirements under §701.23.  Specifically, a federal credit union must comply with the following information collections to purchase or sell eligible obligations:</w:t>
      </w:r>
    </w:p>
    <w:p w14:paraId="7B6B74D3" w14:textId="77777777" w:rsidR="00503F20" w:rsidRDefault="00503F20" w:rsidP="00051C60">
      <w:pPr>
        <w:pStyle w:val="ListParagraph"/>
        <w:suppressAutoHyphens/>
        <w:ind w:left="1080" w:hanging="540"/>
      </w:pPr>
    </w:p>
    <w:p w14:paraId="62129AB8" w14:textId="44E58F1E" w:rsidR="00503F20" w:rsidRDefault="00503F20" w:rsidP="00051C60">
      <w:pPr>
        <w:pStyle w:val="ListParagraph"/>
        <w:numPr>
          <w:ilvl w:val="0"/>
          <w:numId w:val="13"/>
        </w:numPr>
        <w:suppressAutoHyphens/>
        <w:ind w:left="1080" w:hanging="540"/>
      </w:pPr>
      <w:r>
        <w:t>Develop written policies to purchase, sell, or pledge eligible obligations.</w:t>
      </w:r>
    </w:p>
    <w:p w14:paraId="3CEFAF85" w14:textId="78D7686C" w:rsidR="00503F20" w:rsidRDefault="00503F20" w:rsidP="00051C60">
      <w:pPr>
        <w:pStyle w:val="ListParagraph"/>
        <w:numPr>
          <w:ilvl w:val="0"/>
          <w:numId w:val="13"/>
        </w:numPr>
        <w:suppressAutoHyphens/>
        <w:ind w:left="1080" w:hanging="540"/>
      </w:pPr>
      <w:r>
        <w:t>Retain a written agreement and schedule of eligible obligations purchased in the purchasers office, when purchasing eligible obligations.</w:t>
      </w:r>
    </w:p>
    <w:p w14:paraId="3E78EE47" w14:textId="13A528EB" w:rsidR="00503F20" w:rsidRDefault="00503F20" w:rsidP="00051C60">
      <w:pPr>
        <w:pStyle w:val="ListParagraph"/>
        <w:numPr>
          <w:ilvl w:val="0"/>
          <w:numId w:val="13"/>
        </w:numPr>
        <w:suppressAutoHyphens/>
        <w:ind w:left="1080" w:hanging="540"/>
      </w:pPr>
      <w:r>
        <w:t>Request written approval prior to purchasing eligible obligations of a liquidating credit union.</w:t>
      </w:r>
    </w:p>
    <w:p w14:paraId="56519A9C" w14:textId="5D2CEE9B" w:rsidR="00503F20" w:rsidRDefault="00503F20" w:rsidP="00051C60">
      <w:pPr>
        <w:pStyle w:val="ListParagraph"/>
        <w:numPr>
          <w:ilvl w:val="0"/>
          <w:numId w:val="13"/>
        </w:numPr>
        <w:suppressAutoHyphens/>
        <w:ind w:left="1080" w:hanging="540"/>
      </w:pPr>
      <w:r>
        <w:t>Retain a written agreement and schedule of eligible obligations sold in the seller’s officer, when selling eligible obligations.</w:t>
      </w:r>
    </w:p>
    <w:p w14:paraId="07121E9C" w14:textId="46033298" w:rsidR="00503F20" w:rsidRDefault="00503F20" w:rsidP="00051C60">
      <w:pPr>
        <w:pStyle w:val="ListParagraph"/>
        <w:numPr>
          <w:ilvl w:val="0"/>
          <w:numId w:val="13"/>
        </w:numPr>
        <w:suppressAutoHyphens/>
        <w:ind w:left="1080" w:hanging="540"/>
      </w:pPr>
      <w:r>
        <w:t>Retain copies of the original loan documents when pledging eligible obligations.</w:t>
      </w:r>
    </w:p>
    <w:p w14:paraId="35B042E6" w14:textId="2EBA47DD" w:rsidR="00503F20" w:rsidRDefault="00503F20" w:rsidP="00051C60">
      <w:pPr>
        <w:pStyle w:val="ListParagraph"/>
        <w:numPr>
          <w:ilvl w:val="0"/>
          <w:numId w:val="13"/>
        </w:numPr>
        <w:suppressAutoHyphens/>
        <w:ind w:left="1080" w:hanging="540"/>
      </w:pPr>
      <w:r>
        <w:t xml:space="preserve">Retain a written agreement and schedule of eligible obligations pledged in the credit union’s office, when pledging eligible obligations. </w:t>
      </w:r>
    </w:p>
    <w:p w14:paraId="6EB4F224" w14:textId="1B280538" w:rsidR="00503F20" w:rsidRDefault="00503F20" w:rsidP="00051C60">
      <w:pPr>
        <w:pStyle w:val="ListParagraph"/>
        <w:numPr>
          <w:ilvl w:val="0"/>
          <w:numId w:val="13"/>
        </w:numPr>
        <w:suppressAutoHyphens/>
        <w:ind w:left="1080"/>
      </w:pPr>
      <w:r>
        <w:t>Establish a written policy for an incentive and bonus program if the credit union provides such bonuses and incentives related to the purchase, sale, and/or pledge of eligible obligations.</w:t>
      </w:r>
    </w:p>
    <w:p w14:paraId="6F1531E5" w14:textId="61BB89EC" w:rsidR="00503F20" w:rsidRDefault="001037A0" w:rsidP="00051C60">
      <w:pPr>
        <w:pStyle w:val="ListParagraph"/>
        <w:numPr>
          <w:ilvl w:val="0"/>
          <w:numId w:val="13"/>
        </w:numPr>
        <w:suppressAutoHyphens/>
        <w:ind w:left="1080"/>
      </w:pPr>
      <w:r>
        <w:t xml:space="preserve">Submit a written request to NCUA seeking expanded authority related to the purchase of eligible obligations from another federally insured credit union. </w:t>
      </w:r>
    </w:p>
    <w:p w14:paraId="792A2ADE" w14:textId="26B3E3E0" w:rsidR="001037A0" w:rsidRPr="00631257" w:rsidRDefault="001037A0" w:rsidP="00051C60">
      <w:pPr>
        <w:pStyle w:val="ListParagraph"/>
        <w:numPr>
          <w:ilvl w:val="0"/>
          <w:numId w:val="13"/>
        </w:numPr>
        <w:suppressAutoHyphens/>
        <w:ind w:left="1080"/>
      </w:pPr>
      <w:r>
        <w:t xml:space="preserve">Submit an appeal to the NCUA Board regarding a regional director’s determination of the expanded authority request. </w:t>
      </w:r>
    </w:p>
    <w:p w14:paraId="61766F1B" w14:textId="77777777" w:rsidR="003A0D60" w:rsidRPr="00631257" w:rsidRDefault="003A0D60" w:rsidP="00051C60">
      <w:pPr>
        <w:pStyle w:val="ListParagraph"/>
        <w:suppressAutoHyphens/>
        <w:ind w:left="540" w:hanging="540"/>
      </w:pPr>
    </w:p>
    <w:p w14:paraId="1791489C" w14:textId="77777777" w:rsidR="003A0D60" w:rsidRDefault="003A0D60" w:rsidP="00051C60">
      <w:pPr>
        <w:pStyle w:val="ListParagraph"/>
        <w:numPr>
          <w:ilvl w:val="0"/>
          <w:numId w:val="3"/>
        </w:numPr>
        <w:ind w:left="540" w:hanging="540"/>
        <w:rPr>
          <w:b/>
        </w:rPr>
      </w:pPr>
      <w:r w:rsidRPr="00E44F63">
        <w:rPr>
          <w:b/>
        </w:rPr>
        <w:t>Purpose and Use of the Information Collection</w:t>
      </w:r>
    </w:p>
    <w:p w14:paraId="3B9B59E5" w14:textId="72296159" w:rsidR="003A0D60" w:rsidRPr="00E44F63" w:rsidRDefault="00051C60" w:rsidP="00051C60">
      <w:pPr>
        <w:pStyle w:val="ListParagraph"/>
        <w:ind w:left="540" w:hanging="540"/>
        <w:rPr>
          <w:b/>
        </w:rPr>
      </w:pPr>
      <w:r>
        <w:tab/>
      </w:r>
      <w:r w:rsidR="00884ECC">
        <w:t xml:space="preserve">The information collections will be used to ensure a credit union has instituted a safe and sound program related to the purchase, sale, and pledge of eligible obligations.  </w:t>
      </w:r>
    </w:p>
    <w:p w14:paraId="51D47C22" w14:textId="77777777" w:rsidR="003A0D60" w:rsidRPr="00E44F63" w:rsidRDefault="003A0D60" w:rsidP="00051C60">
      <w:pPr>
        <w:ind w:left="540" w:hanging="540"/>
      </w:pPr>
    </w:p>
    <w:p w14:paraId="5FAB0B4D" w14:textId="77777777" w:rsidR="003A0D60" w:rsidRDefault="003A0D60" w:rsidP="00051C60">
      <w:pPr>
        <w:pStyle w:val="ListParagraph"/>
        <w:numPr>
          <w:ilvl w:val="0"/>
          <w:numId w:val="3"/>
        </w:numPr>
        <w:ind w:left="540" w:hanging="540"/>
        <w:rPr>
          <w:b/>
        </w:rPr>
      </w:pPr>
      <w:r w:rsidRPr="00E44F63">
        <w:rPr>
          <w:b/>
        </w:rPr>
        <w:t>Consideration Given to Information Technology</w:t>
      </w:r>
    </w:p>
    <w:p w14:paraId="3FDD78D7" w14:textId="38888C7E" w:rsidR="003A0D60" w:rsidRPr="00631257" w:rsidRDefault="00051C60" w:rsidP="00051C60">
      <w:pPr>
        <w:pStyle w:val="ListParagraph"/>
        <w:suppressAutoHyphens/>
        <w:ind w:left="540" w:hanging="540"/>
      </w:pPr>
      <w:r>
        <w:tab/>
      </w:r>
      <w:r w:rsidR="005601F3">
        <w:t xml:space="preserve">Credit unions can use any method available to develop, retain, and submit the information collections. </w:t>
      </w:r>
    </w:p>
    <w:p w14:paraId="2E71B137" w14:textId="77777777" w:rsidR="003A0D60" w:rsidRPr="00E44F63" w:rsidRDefault="003A0D60" w:rsidP="00051C60">
      <w:pPr>
        <w:ind w:left="540" w:hanging="540"/>
      </w:pPr>
    </w:p>
    <w:p w14:paraId="5AA84E0A" w14:textId="3714AE8E" w:rsidR="003A0D60" w:rsidRPr="00E44F63" w:rsidRDefault="003A0D60" w:rsidP="00051C60">
      <w:pPr>
        <w:pStyle w:val="ListParagraph"/>
        <w:numPr>
          <w:ilvl w:val="0"/>
          <w:numId w:val="3"/>
        </w:numPr>
        <w:ind w:left="540" w:hanging="540"/>
        <w:rPr>
          <w:b/>
        </w:rPr>
      </w:pPr>
      <w:r w:rsidRPr="00E44F63">
        <w:rPr>
          <w:b/>
        </w:rPr>
        <w:t xml:space="preserve">Duplication </w:t>
      </w:r>
    </w:p>
    <w:p w14:paraId="05C6C548" w14:textId="69828CAC" w:rsidR="003A0D60" w:rsidRDefault="00051C60" w:rsidP="00051C60">
      <w:pPr>
        <w:pStyle w:val="ListParagraph"/>
        <w:suppressAutoHyphens/>
        <w:ind w:left="540" w:hanging="540"/>
      </w:pPr>
      <w:r>
        <w:tab/>
      </w:r>
      <w:r w:rsidR="005601F3">
        <w:t xml:space="preserve">These information collections are not duplicated anywhere else. </w:t>
      </w:r>
    </w:p>
    <w:p w14:paraId="7E47D5E0" w14:textId="77777777" w:rsidR="00875F2F" w:rsidRPr="00631257" w:rsidRDefault="00875F2F" w:rsidP="00051C60">
      <w:pPr>
        <w:pStyle w:val="ListParagraph"/>
        <w:suppressAutoHyphens/>
        <w:ind w:left="540" w:hanging="540"/>
      </w:pPr>
    </w:p>
    <w:p w14:paraId="30B20610" w14:textId="77777777" w:rsidR="003A0D60" w:rsidRPr="00E44F63" w:rsidRDefault="003A0D60" w:rsidP="00051C60">
      <w:pPr>
        <w:pStyle w:val="ListParagraph"/>
        <w:numPr>
          <w:ilvl w:val="0"/>
          <w:numId w:val="3"/>
        </w:numPr>
        <w:ind w:left="540" w:hanging="540"/>
        <w:rPr>
          <w:b/>
        </w:rPr>
      </w:pPr>
      <w:r w:rsidRPr="00E44F63">
        <w:rPr>
          <w:b/>
        </w:rPr>
        <w:t xml:space="preserve"> </w:t>
      </w:r>
      <w:r>
        <w:rPr>
          <w:b/>
        </w:rPr>
        <w:t xml:space="preserve">Effect </w:t>
      </w:r>
      <w:r w:rsidRPr="00E44F63">
        <w:rPr>
          <w:b/>
        </w:rPr>
        <w:t>on Small Entities</w:t>
      </w:r>
    </w:p>
    <w:p w14:paraId="389F5BF8" w14:textId="136D9CD8" w:rsidR="003A0D60" w:rsidRPr="00631257" w:rsidRDefault="00051C60" w:rsidP="00051C60">
      <w:pPr>
        <w:pStyle w:val="ListParagraph"/>
        <w:suppressAutoHyphens/>
        <w:ind w:left="547" w:hanging="547"/>
      </w:pPr>
      <w:r>
        <w:tab/>
      </w:r>
      <w:r w:rsidR="00884ECC">
        <w:t xml:space="preserve">These information collections will not have a significant burden on small entities.  While all federal credit unions are able to engage in the purchase, sale, and pledge of eligible </w:t>
      </w:r>
      <w:r w:rsidR="00884ECC">
        <w:lastRenderedPageBreak/>
        <w:t>obligations, most small entities will not participate in this activity.  Those that elect to</w:t>
      </w:r>
      <w:r w:rsidR="00D55F1D">
        <w:t xml:space="preserve"> engage in this activity</w:t>
      </w:r>
      <w:r w:rsidR="00884ECC">
        <w:t xml:space="preserve"> will be subject to the same requirements to ensure safety and soundness. </w:t>
      </w:r>
    </w:p>
    <w:p w14:paraId="54980FDC" w14:textId="77777777" w:rsidR="003A0D60" w:rsidRPr="00631257" w:rsidRDefault="003A0D60" w:rsidP="00051C60">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540" w:hanging="540"/>
      </w:pPr>
    </w:p>
    <w:p w14:paraId="68A551CC" w14:textId="77777777" w:rsidR="003A0D60" w:rsidRPr="00E44F63" w:rsidRDefault="003A0D60" w:rsidP="00051C60">
      <w:pPr>
        <w:pStyle w:val="ListParagraph"/>
        <w:numPr>
          <w:ilvl w:val="0"/>
          <w:numId w:val="3"/>
        </w:numPr>
        <w:ind w:left="540" w:hanging="540"/>
        <w:rPr>
          <w:b/>
        </w:rPr>
      </w:pPr>
      <w:r w:rsidRPr="00E44F63">
        <w:rPr>
          <w:b/>
        </w:rPr>
        <w:t xml:space="preserve">Consequences of Not Conducting Collection </w:t>
      </w:r>
    </w:p>
    <w:p w14:paraId="293FE803" w14:textId="027571D4" w:rsidR="003A0D60" w:rsidRPr="00631257" w:rsidRDefault="00575B0E" w:rsidP="00575B0E">
      <w:pPr>
        <w:pStyle w:val="ListParagraph"/>
        <w:suppressAutoHyphens/>
        <w:ind w:left="547" w:hanging="547"/>
      </w:pPr>
      <w:r>
        <w:tab/>
      </w:r>
      <w:r w:rsidR="00884ECC">
        <w:t xml:space="preserve">If the information collection in not conducted, credit unions will not have documentation to show that the eligible obligation transactions are compliant with the regulations and are conducted in a safe and sound manner with credit union board approval. </w:t>
      </w:r>
    </w:p>
    <w:p w14:paraId="13B479F5" w14:textId="77777777" w:rsidR="003A0D60" w:rsidRPr="00E44F63" w:rsidRDefault="003A0D60" w:rsidP="00051C60">
      <w:pPr>
        <w:ind w:left="540" w:hanging="540"/>
      </w:pPr>
    </w:p>
    <w:p w14:paraId="0DB76EB2" w14:textId="77777777" w:rsidR="003A0D60" w:rsidRDefault="003A0D60" w:rsidP="00051C60">
      <w:pPr>
        <w:pStyle w:val="ListParagraph"/>
        <w:numPr>
          <w:ilvl w:val="0"/>
          <w:numId w:val="3"/>
        </w:numPr>
        <w:ind w:left="540" w:hanging="540"/>
        <w:rPr>
          <w:b/>
        </w:rPr>
      </w:pPr>
      <w:r>
        <w:rPr>
          <w:b/>
        </w:rPr>
        <w:t>Inconsistencies with Guidelines in 5 CFR 1320.5(d)(2)</w:t>
      </w:r>
    </w:p>
    <w:p w14:paraId="11E74B41" w14:textId="6E9C7621" w:rsidR="003A0D60" w:rsidRDefault="00575B0E" w:rsidP="00051C60">
      <w:pPr>
        <w:pStyle w:val="ListParagraph"/>
        <w:ind w:left="540" w:hanging="540"/>
      </w:pPr>
      <w:r>
        <w:tab/>
      </w:r>
      <w:r w:rsidR="003A0D60">
        <w:t xml:space="preserve">There are no special circumstances. This collection is consistent with the guidelines in 5 CFR </w:t>
      </w:r>
      <w:r w:rsidR="00884ECC">
        <w:t>1320.5(d)(2).</w:t>
      </w:r>
    </w:p>
    <w:p w14:paraId="3881AF09" w14:textId="36BA2ABD" w:rsidR="003A0D60" w:rsidRPr="00E44F63" w:rsidRDefault="003A0D60" w:rsidP="00051C60">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540" w:hanging="540"/>
        <w:rPr>
          <w:b/>
        </w:rPr>
      </w:pPr>
      <w:r>
        <w:tab/>
      </w:r>
    </w:p>
    <w:p w14:paraId="6224C5A8" w14:textId="77777777" w:rsidR="003A0D60" w:rsidRDefault="003A0D60" w:rsidP="00051C60">
      <w:pPr>
        <w:pStyle w:val="ListParagraph"/>
        <w:numPr>
          <w:ilvl w:val="0"/>
          <w:numId w:val="3"/>
        </w:numPr>
        <w:ind w:left="540" w:hanging="540"/>
        <w:rPr>
          <w:b/>
        </w:rPr>
      </w:pPr>
      <w:r w:rsidRPr="00E44F63">
        <w:rPr>
          <w:b/>
        </w:rPr>
        <w:t>Consultations Outside the Agency</w:t>
      </w:r>
    </w:p>
    <w:p w14:paraId="4B865B7D" w14:textId="036CBEF7" w:rsidR="003A0D60" w:rsidRDefault="00575B0E" w:rsidP="00051C60">
      <w:pPr>
        <w:ind w:left="540" w:hanging="540"/>
      </w:pPr>
      <w:r>
        <w:tab/>
      </w:r>
      <w:r w:rsidR="00AD6D14">
        <w:t xml:space="preserve">Notice and request for comment was published in the Federal Register on </w:t>
      </w:r>
      <w:r w:rsidR="00875F2F">
        <w:t>April 18, 2016 (81 FR 22649)</w:t>
      </w:r>
      <w:r w:rsidR="003A0D60">
        <w:t>.  No</w:t>
      </w:r>
      <w:r w:rsidR="00884ECC">
        <w:t xml:space="preserve"> public comments were received.</w:t>
      </w:r>
    </w:p>
    <w:p w14:paraId="0970D062" w14:textId="77777777" w:rsidR="003A0D60" w:rsidRDefault="003A0D60" w:rsidP="00051C60">
      <w:pPr>
        <w:ind w:left="540" w:hanging="540"/>
        <w:rPr>
          <w:bCs/>
          <w:i/>
        </w:rPr>
      </w:pPr>
    </w:p>
    <w:p w14:paraId="444596BE" w14:textId="77777777" w:rsidR="003A0D60" w:rsidRPr="00E44F63" w:rsidRDefault="003A0D60" w:rsidP="00051C60">
      <w:pPr>
        <w:pStyle w:val="ListParagraph"/>
        <w:numPr>
          <w:ilvl w:val="0"/>
          <w:numId w:val="3"/>
        </w:numPr>
        <w:ind w:left="540" w:hanging="540"/>
        <w:rPr>
          <w:b/>
        </w:rPr>
      </w:pPr>
      <w:r w:rsidRPr="00E44F63">
        <w:rPr>
          <w:b/>
        </w:rPr>
        <w:t>Payment or Gift</w:t>
      </w:r>
    </w:p>
    <w:p w14:paraId="1C3C5D2C" w14:textId="7DE6AE38" w:rsidR="006923ED" w:rsidRDefault="00575B0E" w:rsidP="009B3D81">
      <w:pPr>
        <w:suppressAutoHyphens/>
        <w:ind w:left="547" w:hanging="547"/>
      </w:pPr>
      <w:r>
        <w:tab/>
      </w:r>
      <w:r w:rsidR="006923ED">
        <w:t>There is no intent by NCUA to provide payment or gi</w:t>
      </w:r>
      <w:r w:rsidR="00884ECC">
        <w:t>fts for information collected.</w:t>
      </w:r>
    </w:p>
    <w:p w14:paraId="702DC38F" w14:textId="77777777" w:rsidR="003A0D60" w:rsidRPr="00E44F63" w:rsidRDefault="003A0D60" w:rsidP="00051C60">
      <w:pPr>
        <w:ind w:left="540" w:hanging="540"/>
      </w:pPr>
    </w:p>
    <w:p w14:paraId="26B435A5" w14:textId="77777777" w:rsidR="003A0D60" w:rsidRPr="00E44F63" w:rsidRDefault="003A0D60" w:rsidP="00051C60">
      <w:pPr>
        <w:pStyle w:val="ListParagraph"/>
        <w:numPr>
          <w:ilvl w:val="0"/>
          <w:numId w:val="3"/>
        </w:numPr>
        <w:ind w:left="540" w:hanging="540"/>
        <w:rPr>
          <w:b/>
        </w:rPr>
      </w:pPr>
      <w:r w:rsidRPr="00E44F63">
        <w:rPr>
          <w:b/>
        </w:rPr>
        <w:t xml:space="preserve">Confidentiality </w:t>
      </w:r>
    </w:p>
    <w:p w14:paraId="68D25544" w14:textId="15B685CB" w:rsidR="003A0D60" w:rsidRPr="00A26D19" w:rsidRDefault="00575B0E" w:rsidP="00575B0E">
      <w:pPr>
        <w:suppressAutoHyphens/>
        <w:ind w:left="547" w:hanging="547"/>
      </w:pPr>
      <w:r>
        <w:tab/>
      </w:r>
      <w:r w:rsidR="006923ED" w:rsidRPr="006923ED">
        <w:t>Credit union examination reports and any documents related thereto are exempt from the Freedom of Information Act disclosure, pursuant to exemption 8, 5 U.S.C. 552(b)(8).</w:t>
      </w:r>
    </w:p>
    <w:p w14:paraId="681DFDD3" w14:textId="77777777" w:rsidR="003A0D60" w:rsidRPr="00E44F63" w:rsidRDefault="003A0D60" w:rsidP="00051C60">
      <w:pPr>
        <w:tabs>
          <w:tab w:val="left" w:pos="6187"/>
        </w:tabs>
        <w:ind w:left="540" w:hanging="540"/>
      </w:pPr>
      <w:r>
        <w:tab/>
      </w:r>
    </w:p>
    <w:p w14:paraId="619F659C" w14:textId="77777777" w:rsidR="003A0D60" w:rsidRPr="00E44F63" w:rsidRDefault="003A0D60" w:rsidP="00051C60">
      <w:pPr>
        <w:pStyle w:val="ListParagraph"/>
        <w:numPr>
          <w:ilvl w:val="0"/>
          <w:numId w:val="3"/>
        </w:numPr>
        <w:ind w:left="540" w:hanging="540"/>
        <w:rPr>
          <w:b/>
        </w:rPr>
      </w:pPr>
      <w:r w:rsidRPr="00E44F63">
        <w:rPr>
          <w:b/>
        </w:rPr>
        <w:t xml:space="preserve">Sensitive </w:t>
      </w:r>
      <w:r>
        <w:rPr>
          <w:b/>
        </w:rPr>
        <w:t>Questions</w:t>
      </w:r>
    </w:p>
    <w:p w14:paraId="191E1E83" w14:textId="41FEECEB" w:rsidR="003A0D60" w:rsidRDefault="003A0D60" w:rsidP="00575B0E">
      <w:pPr>
        <w:pStyle w:val="ListParagraph"/>
        <w:suppressAutoHyphens/>
        <w:ind w:left="547" w:hanging="547"/>
      </w:pPr>
      <w:r>
        <w:tab/>
      </w:r>
      <w:r w:rsidRPr="00891304">
        <w:rPr>
          <w:spacing w:val="-3"/>
        </w:rPr>
        <w:t>No questions of a sensitive nature are asked.</w:t>
      </w:r>
      <w:r>
        <w:rPr>
          <w:spacing w:val="-3"/>
        </w:rPr>
        <w:t xml:space="preserve">  </w:t>
      </w:r>
      <w:r>
        <w:t xml:space="preserve">The information collection does not collect any Personally </w:t>
      </w:r>
      <w:r w:rsidR="00884ECC">
        <w:t>Identifiable Information (PII).</w:t>
      </w:r>
    </w:p>
    <w:p w14:paraId="3385360C" w14:textId="77777777" w:rsidR="003A0D60" w:rsidRDefault="003A0D60" w:rsidP="00051C60">
      <w:pPr>
        <w:ind w:left="540" w:hanging="540"/>
      </w:pPr>
    </w:p>
    <w:p w14:paraId="6C1B02F0" w14:textId="77777777" w:rsidR="003A0D60" w:rsidRDefault="003A0D60" w:rsidP="00051C60">
      <w:pPr>
        <w:pStyle w:val="ListParagraph"/>
        <w:numPr>
          <w:ilvl w:val="0"/>
          <w:numId w:val="3"/>
        </w:numPr>
        <w:ind w:left="540" w:hanging="540"/>
        <w:rPr>
          <w:b/>
        </w:rPr>
      </w:pPr>
      <w:r w:rsidRPr="00E44F63">
        <w:rPr>
          <w:b/>
        </w:rPr>
        <w:t>Burden of Information Collection</w:t>
      </w:r>
    </w:p>
    <w:p w14:paraId="5D99A3FD" w14:textId="75F26D1D" w:rsidR="003A0D60" w:rsidRDefault="00884ECC" w:rsidP="00575B0E">
      <w:pPr>
        <w:suppressAutoHyphens/>
        <w:ind w:left="540"/>
      </w:pPr>
      <w:r>
        <w:t xml:space="preserve">NCUA estimates that no more than 25 percent of federal credit unions are engaged in the purchase, sale, and/or pledge of eligible obligations.  This results in approximately 954 potential federal credit union respondents.  </w:t>
      </w:r>
      <w:r w:rsidR="00DD60B5">
        <w:t xml:space="preserve">The specific number of respondents and estimated hour burden is outlined in more detail below. </w:t>
      </w:r>
    </w:p>
    <w:p w14:paraId="53FCBAC8" w14:textId="77777777" w:rsidR="00DD60B5" w:rsidRDefault="00DD60B5" w:rsidP="00575B0E">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540"/>
      </w:pPr>
    </w:p>
    <w:p w14:paraId="1ADDDD25" w14:textId="7050DB68" w:rsidR="00DD60B5" w:rsidRDefault="00DD60B5" w:rsidP="00575B0E">
      <w:pPr>
        <w:tabs>
          <w:tab w:val="left" w:pos="-720"/>
          <w:tab w:val="left" w:pos="286"/>
          <w:tab w:val="left" w:pos="403"/>
        </w:tabs>
        <w:suppressAutoHyphens/>
        <w:ind w:left="540"/>
        <w:rPr>
          <w:i/>
        </w:rPr>
      </w:pPr>
      <w:r>
        <w:rPr>
          <w:i/>
        </w:rPr>
        <w:t xml:space="preserve">Information Collection 1: </w:t>
      </w:r>
      <w:r w:rsidRPr="00DD60B5">
        <w:rPr>
          <w:i/>
        </w:rPr>
        <w:t>Develop written policies to purchase, sell, or pledge eligible obligations.</w:t>
      </w:r>
    </w:p>
    <w:p w14:paraId="7BBF7652" w14:textId="04B8FA40" w:rsidR="00871223" w:rsidRDefault="00DD60B5" w:rsidP="00575B0E">
      <w:pPr>
        <w:tabs>
          <w:tab w:val="left" w:pos="-720"/>
          <w:tab w:val="left" w:pos="286"/>
          <w:tab w:val="left" w:pos="403"/>
        </w:tabs>
        <w:suppressAutoHyphens/>
        <w:ind w:left="540"/>
      </w:pPr>
      <w:r>
        <w:t>Federal credit union respondents that already engage in this activity have existing policies in place.  NCUA expects that no more than 50 federal credit unions per year will begin these transactions</w:t>
      </w:r>
      <w:r w:rsidR="00B014F9">
        <w:t xml:space="preserve"> or make significant changes in how they make such transactions</w:t>
      </w:r>
      <w:r>
        <w:t xml:space="preserve">, necessitating development of a policy.  The estimated time to develop a policy is 6 hours. </w:t>
      </w:r>
    </w:p>
    <w:p w14:paraId="4292E278" w14:textId="77777777" w:rsidR="00871223" w:rsidRDefault="00871223" w:rsidP="00575B0E">
      <w:pPr>
        <w:tabs>
          <w:tab w:val="left" w:pos="-720"/>
          <w:tab w:val="left" w:pos="286"/>
          <w:tab w:val="left" w:pos="403"/>
        </w:tabs>
        <w:suppressAutoHyphens/>
        <w:ind w:left="540"/>
      </w:pPr>
    </w:p>
    <w:p w14:paraId="4C798CC9" w14:textId="5EC5B3DB" w:rsidR="00DD60B5" w:rsidRDefault="00871223" w:rsidP="00575B0E">
      <w:pPr>
        <w:tabs>
          <w:tab w:val="left" w:pos="-720"/>
          <w:tab w:val="left" w:pos="286"/>
          <w:tab w:val="left" w:pos="403"/>
        </w:tabs>
        <w:suppressAutoHyphens/>
        <w:ind w:left="540"/>
        <w:rPr>
          <w:i/>
        </w:rPr>
      </w:pPr>
      <w:r>
        <w:rPr>
          <w:i/>
        </w:rPr>
        <w:t xml:space="preserve">Information Collection 2: </w:t>
      </w:r>
      <w:r w:rsidR="00DD60B5" w:rsidRPr="00871223">
        <w:rPr>
          <w:i/>
        </w:rPr>
        <w:t>Retain a written agreement and schedule of eligible obligations purchased in the purchasers office, when purchasing eligible obligations.</w:t>
      </w:r>
    </w:p>
    <w:p w14:paraId="6191B5D8" w14:textId="4020B739" w:rsidR="00871223" w:rsidRPr="00871223" w:rsidRDefault="00871223" w:rsidP="00575B0E">
      <w:pPr>
        <w:suppressAutoHyphens/>
        <w:ind w:left="540"/>
      </w:pPr>
      <w:r>
        <w:t xml:space="preserve">Of the approximately 954 federal credit unions that may engage in this activity, all will need to retain written agreements.  NCUA estimates that federal credit unions conduct, on average, 10 transactions per year.  The estimated time to retain the written agreement and schedule is 0.25 hours. </w:t>
      </w:r>
    </w:p>
    <w:p w14:paraId="2DF9FEC7" w14:textId="77777777" w:rsidR="00871223" w:rsidRDefault="00871223" w:rsidP="00575B0E">
      <w:pPr>
        <w:suppressAutoHyphens/>
        <w:ind w:left="540"/>
      </w:pPr>
    </w:p>
    <w:p w14:paraId="6E1AEBA2" w14:textId="793095B7" w:rsidR="00DD60B5" w:rsidRDefault="00871223" w:rsidP="00575B0E">
      <w:pPr>
        <w:suppressAutoHyphens/>
        <w:ind w:left="540"/>
        <w:rPr>
          <w:i/>
        </w:rPr>
      </w:pPr>
      <w:r>
        <w:rPr>
          <w:i/>
        </w:rPr>
        <w:lastRenderedPageBreak/>
        <w:t xml:space="preserve">Information Collection 3: </w:t>
      </w:r>
      <w:r w:rsidR="00DD60B5" w:rsidRPr="00871223">
        <w:rPr>
          <w:i/>
        </w:rPr>
        <w:t>Request written approval prior to purchasing eligible obligations of a liquidating credit union.</w:t>
      </w:r>
    </w:p>
    <w:p w14:paraId="57EC89EF" w14:textId="4095C7C3" w:rsidR="00871223" w:rsidRPr="00871223" w:rsidRDefault="00871223" w:rsidP="00575B0E">
      <w:pPr>
        <w:suppressAutoHyphens/>
        <w:ind w:left="540"/>
      </w:pPr>
      <w:r>
        <w:t xml:space="preserve">NCUA estimates that approximately 35 credit unions will request written approval to purchase eligible obligations of a liquidating credit union per year.  The average time to complete and submit a request is 8 hours. </w:t>
      </w:r>
    </w:p>
    <w:p w14:paraId="28748ACA" w14:textId="77777777" w:rsidR="00871223" w:rsidRDefault="00871223" w:rsidP="00575B0E">
      <w:pPr>
        <w:suppressAutoHyphens/>
        <w:ind w:left="540"/>
      </w:pPr>
    </w:p>
    <w:p w14:paraId="19CEA648" w14:textId="4D1D5284" w:rsidR="00DD60B5" w:rsidRDefault="00871223" w:rsidP="00575B0E">
      <w:pPr>
        <w:suppressAutoHyphens/>
        <w:ind w:left="540"/>
        <w:rPr>
          <w:i/>
        </w:rPr>
      </w:pPr>
      <w:r>
        <w:rPr>
          <w:i/>
        </w:rPr>
        <w:t xml:space="preserve">Information Collection 4: </w:t>
      </w:r>
      <w:r w:rsidR="00DD60B5" w:rsidRPr="00871223">
        <w:rPr>
          <w:i/>
        </w:rPr>
        <w:t>Retain a written agreement and schedule of eligible obligations sold in the seller’s officer, when selling eligible obligations.</w:t>
      </w:r>
    </w:p>
    <w:p w14:paraId="672171C5" w14:textId="09168609" w:rsidR="00871223" w:rsidRPr="00871223" w:rsidRDefault="00871223" w:rsidP="00575B0E">
      <w:pPr>
        <w:suppressAutoHyphens/>
        <w:ind w:left="540"/>
      </w:pPr>
      <w:r>
        <w:t xml:space="preserve">Of the approximately 954 federal credit unions that may engage in this activity, all will need to retain written agreements.  NCUA estimates that federal credit unions conduct, on average, 10 transactions per year.  The estimated time to retain the written agreement and schedule is 0.25 hours. </w:t>
      </w:r>
    </w:p>
    <w:p w14:paraId="78F36126" w14:textId="77777777" w:rsidR="00871223" w:rsidRPr="00871223" w:rsidRDefault="00871223" w:rsidP="00575B0E">
      <w:pPr>
        <w:suppressAutoHyphens/>
        <w:ind w:left="540"/>
      </w:pPr>
    </w:p>
    <w:p w14:paraId="27CDD885" w14:textId="4221E923" w:rsidR="00DD60B5" w:rsidRPr="00871223" w:rsidRDefault="00871223" w:rsidP="00575B0E">
      <w:pPr>
        <w:suppressAutoHyphens/>
        <w:ind w:left="540"/>
        <w:rPr>
          <w:i/>
        </w:rPr>
      </w:pPr>
      <w:r>
        <w:rPr>
          <w:i/>
        </w:rPr>
        <w:t xml:space="preserve">Information Collection 5: </w:t>
      </w:r>
      <w:r w:rsidR="00DD60B5" w:rsidRPr="00871223">
        <w:rPr>
          <w:i/>
        </w:rPr>
        <w:t>Retain copies of the original loan documents when pledging eligible obligations.</w:t>
      </w:r>
    </w:p>
    <w:p w14:paraId="66D8D339" w14:textId="748A2E0B" w:rsidR="00871223" w:rsidRPr="00871223" w:rsidRDefault="00871223" w:rsidP="00575B0E">
      <w:pPr>
        <w:suppressAutoHyphens/>
        <w:ind w:left="540"/>
      </w:pPr>
      <w:r>
        <w:t xml:space="preserve">Of the approximately 954 federal credit unions that may engage in this activity, all will need to retain original loan documents.  NCUA estimates that federal credit unions conduct, on average, 10 transactions per year.  The estimated time to retain the written agreement and schedule is 0.25 hours. </w:t>
      </w:r>
    </w:p>
    <w:p w14:paraId="29F9BEFB" w14:textId="77777777" w:rsidR="00871223" w:rsidRDefault="00871223" w:rsidP="00575B0E">
      <w:pPr>
        <w:suppressAutoHyphens/>
        <w:ind w:left="540"/>
      </w:pPr>
    </w:p>
    <w:p w14:paraId="1EF84148" w14:textId="74156197" w:rsidR="00DD60B5" w:rsidRDefault="00871223" w:rsidP="00575B0E">
      <w:pPr>
        <w:suppressAutoHyphens/>
        <w:ind w:left="540"/>
        <w:rPr>
          <w:i/>
        </w:rPr>
      </w:pPr>
      <w:r>
        <w:rPr>
          <w:i/>
        </w:rPr>
        <w:t xml:space="preserve">Information Collection 6: </w:t>
      </w:r>
      <w:r w:rsidR="00DD60B5" w:rsidRPr="00871223">
        <w:rPr>
          <w:i/>
        </w:rPr>
        <w:t xml:space="preserve">Retain a written agreement and schedule of eligible obligations pledged in the credit union’s office, when pledging eligible obligations. </w:t>
      </w:r>
    </w:p>
    <w:p w14:paraId="0868B909" w14:textId="77777777" w:rsidR="00871223" w:rsidRPr="00871223" w:rsidRDefault="00871223" w:rsidP="00575B0E">
      <w:pPr>
        <w:suppressAutoHyphens/>
        <w:ind w:left="540"/>
      </w:pPr>
      <w:r>
        <w:t xml:space="preserve">Of the approximately 954 federal credit unions that may engage in this activity, all will need to retain written agreements.  NCUA estimates that federal credit unions conduct, on average, 10 transactions per year.  The estimated time to retain the written agreement and schedule is 0.25 hours. </w:t>
      </w:r>
    </w:p>
    <w:p w14:paraId="734DD8F6" w14:textId="77777777" w:rsidR="00871223" w:rsidRPr="00871223" w:rsidRDefault="00871223" w:rsidP="00575B0E">
      <w:pPr>
        <w:suppressAutoHyphens/>
        <w:ind w:left="540"/>
        <w:rPr>
          <w:i/>
        </w:rPr>
      </w:pPr>
    </w:p>
    <w:p w14:paraId="34ED2E44" w14:textId="348F45DE" w:rsidR="00DD60B5" w:rsidRDefault="00871223" w:rsidP="00575B0E">
      <w:pPr>
        <w:suppressAutoHyphens/>
        <w:ind w:left="540"/>
        <w:rPr>
          <w:i/>
        </w:rPr>
      </w:pPr>
      <w:r>
        <w:rPr>
          <w:i/>
        </w:rPr>
        <w:t xml:space="preserve">Information Collection 7: </w:t>
      </w:r>
      <w:r w:rsidR="00DD60B5" w:rsidRPr="00871223">
        <w:rPr>
          <w:i/>
        </w:rPr>
        <w:t>Establish a written policy for an incentive and bonus program if the credit union provides such bonuses and incentives related to the purchase, sale, and/or pledge of eligible obligations.</w:t>
      </w:r>
    </w:p>
    <w:p w14:paraId="777826F1" w14:textId="0F47E382" w:rsidR="00871223" w:rsidRDefault="00871223" w:rsidP="00575B0E">
      <w:pPr>
        <w:suppressAutoHyphens/>
        <w:ind w:left="540"/>
      </w:pPr>
      <w:r>
        <w:t>NCUA estimates that no more than 50 federal credit unions will begin conducting these transactions each year</w:t>
      </w:r>
      <w:r w:rsidR="00B014F9">
        <w:t xml:space="preserve"> or make significant modifications to their incentive plans relating to these transactions</w:t>
      </w:r>
      <w:r>
        <w:t xml:space="preserve">, necessitating a </w:t>
      </w:r>
      <w:r w:rsidR="00B014F9">
        <w:t xml:space="preserve">new or revised </w:t>
      </w:r>
      <w:r>
        <w:t xml:space="preserve">policy.  The estimated time to develop a policy is 2 hours. </w:t>
      </w:r>
    </w:p>
    <w:p w14:paraId="2228F77C" w14:textId="77777777" w:rsidR="00871223" w:rsidRDefault="00871223" w:rsidP="00575B0E">
      <w:pPr>
        <w:suppressAutoHyphens/>
        <w:ind w:left="540"/>
      </w:pPr>
    </w:p>
    <w:p w14:paraId="0A14A8A5" w14:textId="66F85A99" w:rsidR="00DD60B5" w:rsidRDefault="00871223" w:rsidP="00575B0E">
      <w:pPr>
        <w:suppressAutoHyphens/>
        <w:ind w:left="540"/>
      </w:pPr>
      <w:r>
        <w:rPr>
          <w:i/>
        </w:rPr>
        <w:t>Information Collection 8</w:t>
      </w:r>
      <w:r w:rsidRPr="00871223">
        <w:rPr>
          <w:i/>
        </w:rPr>
        <w:t xml:space="preserve">: </w:t>
      </w:r>
      <w:r w:rsidR="00DD60B5" w:rsidRPr="00871223">
        <w:rPr>
          <w:i/>
        </w:rPr>
        <w:t>Submit a written request to NCUA seeking expanded authority related to the purchase of eligible obligations from another federally insured credit union.</w:t>
      </w:r>
      <w:r w:rsidR="00DD60B5">
        <w:t xml:space="preserve"> </w:t>
      </w:r>
    </w:p>
    <w:p w14:paraId="60B87C91" w14:textId="091CD60A" w:rsidR="00871223" w:rsidRDefault="00871223" w:rsidP="00575B0E">
      <w:pPr>
        <w:suppressAutoHyphens/>
        <w:ind w:left="540"/>
      </w:pPr>
      <w:r>
        <w:t xml:space="preserve">Based on historical data, less than 35 federal credit unions per year request expanded authority related to the purchase of eligible obligations from another federally insured credit union.  The estimated burden to complete and submit this request is 8 hours. </w:t>
      </w:r>
    </w:p>
    <w:p w14:paraId="208FB07A" w14:textId="77777777" w:rsidR="00871223" w:rsidRDefault="00871223" w:rsidP="00575B0E">
      <w:pPr>
        <w:suppressAutoHyphens/>
        <w:ind w:left="540"/>
      </w:pPr>
    </w:p>
    <w:p w14:paraId="55966F6C" w14:textId="324BF4DB" w:rsidR="00DD60B5" w:rsidRDefault="00871223" w:rsidP="00575B0E">
      <w:pPr>
        <w:suppressAutoHyphens/>
        <w:ind w:left="540"/>
      </w:pPr>
      <w:r>
        <w:rPr>
          <w:i/>
        </w:rPr>
        <w:t xml:space="preserve">Information Collection 9: </w:t>
      </w:r>
      <w:r w:rsidR="00DD60B5" w:rsidRPr="00871223">
        <w:rPr>
          <w:i/>
        </w:rPr>
        <w:t>Submit an appeal to the NCUA Board regarding a regional director’s determination of the expanded authority request.</w:t>
      </w:r>
      <w:r w:rsidR="00DD60B5">
        <w:t xml:space="preserve"> </w:t>
      </w:r>
    </w:p>
    <w:p w14:paraId="26FD4A61" w14:textId="5E1B3664" w:rsidR="00871223" w:rsidRDefault="00871223" w:rsidP="00575B0E">
      <w:pPr>
        <w:suppressAutoHyphens/>
        <w:ind w:left="540"/>
      </w:pPr>
      <w:r>
        <w:t xml:space="preserve">Less than 2 federal credit unions submit an appeal related to the expanded authority request per year.  The estimated burden for completing and submitting an appeal is 20 hours. </w:t>
      </w:r>
    </w:p>
    <w:p w14:paraId="378E34F1" w14:textId="77777777" w:rsidR="00A43121" w:rsidRDefault="00A43121" w:rsidP="00575B0E">
      <w:pPr>
        <w:suppressAutoHyphens/>
        <w:ind w:left="540"/>
      </w:pPr>
    </w:p>
    <w:p w14:paraId="517CB08F" w14:textId="77777777" w:rsidR="00A43121" w:rsidRDefault="00A43121" w:rsidP="00575B0E">
      <w:pPr>
        <w:suppressAutoHyphens/>
        <w:ind w:left="540"/>
      </w:pPr>
    </w:p>
    <w:p w14:paraId="1E4A7E5A" w14:textId="77777777" w:rsidR="00A43121" w:rsidRDefault="00A43121" w:rsidP="00575B0E">
      <w:pPr>
        <w:suppressAutoHyphens/>
        <w:ind w:left="540"/>
        <w:sectPr w:rsidR="00A43121" w:rsidSect="009B3D81">
          <w:footerReference w:type="default" r:id="rId9"/>
          <w:pgSz w:w="12240" w:h="15840"/>
          <w:pgMar w:top="900" w:right="1440" w:bottom="1440" w:left="1440" w:header="720" w:footer="720" w:gutter="0"/>
          <w:cols w:space="720"/>
          <w:docGrid w:linePitch="360"/>
        </w:sectPr>
      </w:pPr>
    </w:p>
    <w:p w14:paraId="4DC87A7D" w14:textId="77777777" w:rsidR="00DD60B5" w:rsidRDefault="00DD60B5" w:rsidP="00DC0E0B">
      <w:pPr>
        <w:suppressAutoHyphens/>
      </w:pPr>
    </w:p>
    <w:tbl>
      <w:tblPr>
        <w:tblStyle w:val="TableGrid"/>
        <w:tblW w:w="14398" w:type="dxa"/>
        <w:tblInd w:w="-725" w:type="dxa"/>
        <w:tblLook w:val="04A0" w:firstRow="1" w:lastRow="0" w:firstColumn="1" w:lastColumn="0" w:noHBand="0" w:noVBand="1"/>
      </w:tblPr>
      <w:tblGrid>
        <w:gridCol w:w="355"/>
        <w:gridCol w:w="972"/>
        <w:gridCol w:w="3623"/>
        <w:gridCol w:w="995"/>
        <w:gridCol w:w="1075"/>
        <w:gridCol w:w="1057"/>
        <w:gridCol w:w="1036"/>
        <w:gridCol w:w="1057"/>
        <w:gridCol w:w="1057"/>
        <w:gridCol w:w="1057"/>
        <w:gridCol w:w="1057"/>
        <w:gridCol w:w="1057"/>
      </w:tblGrid>
      <w:tr w:rsidR="00A43121" w:rsidRPr="00A43121" w14:paraId="362BDF65" w14:textId="77777777" w:rsidTr="00AA4569">
        <w:trPr>
          <w:gridBefore w:val="4"/>
          <w:wBefore w:w="5945" w:type="dxa"/>
        </w:trPr>
        <w:tc>
          <w:tcPr>
            <w:tcW w:w="4225" w:type="dxa"/>
            <w:gridSpan w:val="4"/>
            <w:tcBorders>
              <w:right w:val="single" w:sz="12" w:space="0" w:color="auto"/>
            </w:tcBorders>
          </w:tcPr>
          <w:p w14:paraId="7DF74CFD" w14:textId="4C25EDC6" w:rsidR="00A43121" w:rsidRPr="00A43121" w:rsidRDefault="00A43121" w:rsidP="00A43121">
            <w:pPr>
              <w:suppressAutoHyphens/>
              <w:jc w:val="center"/>
              <w:rPr>
                <w:rFonts w:ascii="Arial" w:hAnsi="Arial" w:cs="Arial"/>
                <w:sz w:val="20"/>
                <w:szCs w:val="20"/>
              </w:rPr>
            </w:pPr>
            <w:r w:rsidRPr="00A43121">
              <w:rPr>
                <w:rFonts w:ascii="Arial" w:hAnsi="Arial" w:cs="Arial"/>
                <w:sz w:val="20"/>
                <w:szCs w:val="20"/>
              </w:rPr>
              <w:t>Reporting</w:t>
            </w:r>
          </w:p>
        </w:tc>
        <w:tc>
          <w:tcPr>
            <w:tcW w:w="4228" w:type="dxa"/>
            <w:gridSpan w:val="4"/>
            <w:tcBorders>
              <w:left w:val="single" w:sz="12" w:space="0" w:color="auto"/>
            </w:tcBorders>
          </w:tcPr>
          <w:p w14:paraId="13516F6A" w14:textId="7F5668E8" w:rsidR="00A43121" w:rsidRPr="00A43121" w:rsidRDefault="00A43121" w:rsidP="00A43121">
            <w:pPr>
              <w:suppressAutoHyphens/>
              <w:jc w:val="center"/>
              <w:rPr>
                <w:rFonts w:ascii="Arial" w:hAnsi="Arial" w:cs="Arial"/>
                <w:sz w:val="20"/>
                <w:szCs w:val="20"/>
              </w:rPr>
            </w:pPr>
            <w:r w:rsidRPr="00A43121">
              <w:rPr>
                <w:rFonts w:ascii="Arial" w:hAnsi="Arial" w:cs="Arial"/>
                <w:sz w:val="20"/>
                <w:szCs w:val="20"/>
              </w:rPr>
              <w:t>Recordkeeping</w:t>
            </w:r>
            <w:r w:rsidR="00AA4569">
              <w:rPr>
                <w:rFonts w:ascii="Arial" w:hAnsi="Arial" w:cs="Arial"/>
                <w:sz w:val="20"/>
                <w:szCs w:val="20"/>
              </w:rPr>
              <w:t>*</w:t>
            </w:r>
          </w:p>
        </w:tc>
      </w:tr>
      <w:tr w:rsidR="00A43121" w:rsidRPr="00A43121" w14:paraId="57797C4B" w14:textId="0B6663A0" w:rsidTr="00AA4569">
        <w:tc>
          <w:tcPr>
            <w:tcW w:w="355" w:type="dxa"/>
          </w:tcPr>
          <w:p w14:paraId="31D13311" w14:textId="77777777" w:rsidR="00A43121" w:rsidRPr="00A43121" w:rsidRDefault="00A43121" w:rsidP="00A43121">
            <w:pPr>
              <w:suppressAutoHyphens/>
              <w:rPr>
                <w:rFonts w:ascii="Arial" w:hAnsi="Arial" w:cs="Arial"/>
                <w:sz w:val="20"/>
                <w:szCs w:val="20"/>
              </w:rPr>
            </w:pPr>
          </w:p>
        </w:tc>
        <w:tc>
          <w:tcPr>
            <w:tcW w:w="972" w:type="dxa"/>
            <w:vAlign w:val="center"/>
          </w:tcPr>
          <w:p w14:paraId="2C6E9D64" w14:textId="3E166F94" w:rsidR="00A43121" w:rsidRPr="00A43121" w:rsidRDefault="00A43121" w:rsidP="00A43121">
            <w:pPr>
              <w:suppressAutoHyphens/>
              <w:jc w:val="center"/>
              <w:rPr>
                <w:rFonts w:ascii="Arial Narrow" w:hAnsi="Arial Narrow" w:cs="Arial"/>
                <w:sz w:val="20"/>
                <w:szCs w:val="20"/>
              </w:rPr>
            </w:pPr>
            <w:r w:rsidRPr="00A43121">
              <w:rPr>
                <w:rFonts w:ascii="Arial Narrow" w:hAnsi="Arial Narrow" w:cs="Arial"/>
                <w:sz w:val="20"/>
                <w:szCs w:val="20"/>
              </w:rPr>
              <w:t>12 CFR 701.23</w:t>
            </w:r>
          </w:p>
        </w:tc>
        <w:tc>
          <w:tcPr>
            <w:tcW w:w="3623" w:type="dxa"/>
            <w:vAlign w:val="center"/>
          </w:tcPr>
          <w:p w14:paraId="2A98DA99" w14:textId="52E95C54" w:rsidR="00A43121" w:rsidRPr="00A43121" w:rsidRDefault="00A43121" w:rsidP="00A43121">
            <w:pPr>
              <w:suppressAutoHyphens/>
              <w:jc w:val="center"/>
              <w:rPr>
                <w:rFonts w:ascii="Arial Narrow" w:hAnsi="Arial Narrow" w:cs="Arial"/>
                <w:sz w:val="20"/>
                <w:szCs w:val="20"/>
              </w:rPr>
            </w:pPr>
            <w:r w:rsidRPr="00A43121">
              <w:rPr>
                <w:rFonts w:ascii="Arial Narrow" w:hAnsi="Arial Narrow" w:cs="Arial"/>
                <w:sz w:val="20"/>
                <w:szCs w:val="20"/>
              </w:rPr>
              <w:t>Information Collection Activity</w:t>
            </w:r>
          </w:p>
        </w:tc>
        <w:tc>
          <w:tcPr>
            <w:tcW w:w="995" w:type="dxa"/>
            <w:vAlign w:val="center"/>
          </w:tcPr>
          <w:p w14:paraId="4506EE2F" w14:textId="3B87E5A5" w:rsidR="00A43121" w:rsidRPr="00A43121"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No. Respon-dents</w:t>
            </w:r>
          </w:p>
        </w:tc>
        <w:tc>
          <w:tcPr>
            <w:tcW w:w="1075" w:type="dxa"/>
            <w:vAlign w:val="center"/>
          </w:tcPr>
          <w:p w14:paraId="7BFF443D" w14:textId="77777777" w:rsidR="00AA4569"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 xml:space="preserve">No. Response per </w:t>
            </w:r>
          </w:p>
          <w:p w14:paraId="35EC494E" w14:textId="48D9110D" w:rsidR="00A43121" w:rsidRPr="00A43121"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Respondent (Frequency)</w:t>
            </w:r>
          </w:p>
        </w:tc>
        <w:tc>
          <w:tcPr>
            <w:tcW w:w="1057" w:type="dxa"/>
            <w:vAlign w:val="center"/>
          </w:tcPr>
          <w:p w14:paraId="45A58357" w14:textId="782988B4" w:rsidR="00A43121" w:rsidRPr="00A43121"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Annual Responses</w:t>
            </w:r>
          </w:p>
        </w:tc>
        <w:tc>
          <w:tcPr>
            <w:tcW w:w="1036" w:type="dxa"/>
            <w:vAlign w:val="center"/>
          </w:tcPr>
          <w:p w14:paraId="44C51312" w14:textId="6C6E609E" w:rsidR="00A43121" w:rsidRPr="00A43121"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Hours per Response</w:t>
            </w:r>
          </w:p>
        </w:tc>
        <w:tc>
          <w:tcPr>
            <w:tcW w:w="1057" w:type="dxa"/>
            <w:tcBorders>
              <w:right w:val="single" w:sz="12" w:space="0" w:color="auto"/>
            </w:tcBorders>
            <w:vAlign w:val="center"/>
          </w:tcPr>
          <w:p w14:paraId="26B79404" w14:textId="70193A54" w:rsidR="00A43121" w:rsidRPr="00A43121"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Total Burden</w:t>
            </w:r>
          </w:p>
        </w:tc>
        <w:tc>
          <w:tcPr>
            <w:tcW w:w="1057" w:type="dxa"/>
            <w:tcBorders>
              <w:left w:val="single" w:sz="12" w:space="0" w:color="auto"/>
            </w:tcBorders>
            <w:shd w:val="clear" w:color="auto" w:fill="auto"/>
            <w:vAlign w:val="center"/>
          </w:tcPr>
          <w:p w14:paraId="4A6FF9C9" w14:textId="77777777" w:rsidR="00AA4569"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 xml:space="preserve">No. Response per </w:t>
            </w:r>
          </w:p>
          <w:p w14:paraId="0A5961C5" w14:textId="40420C9C" w:rsidR="00A43121" w:rsidRPr="00A43121"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Respondent (Frequency)</w:t>
            </w:r>
          </w:p>
        </w:tc>
        <w:tc>
          <w:tcPr>
            <w:tcW w:w="1057" w:type="dxa"/>
            <w:shd w:val="clear" w:color="auto" w:fill="auto"/>
            <w:vAlign w:val="center"/>
          </w:tcPr>
          <w:p w14:paraId="326FC50A" w14:textId="77E32E13" w:rsidR="00A43121" w:rsidRPr="00A43121"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Annual Responses</w:t>
            </w:r>
          </w:p>
        </w:tc>
        <w:tc>
          <w:tcPr>
            <w:tcW w:w="1057" w:type="dxa"/>
            <w:shd w:val="clear" w:color="auto" w:fill="auto"/>
            <w:vAlign w:val="center"/>
          </w:tcPr>
          <w:p w14:paraId="5A3043CB" w14:textId="616B81EA" w:rsidR="00A43121" w:rsidRPr="00A43121"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Hours per Response</w:t>
            </w:r>
          </w:p>
        </w:tc>
        <w:tc>
          <w:tcPr>
            <w:tcW w:w="1057" w:type="dxa"/>
            <w:shd w:val="clear" w:color="auto" w:fill="auto"/>
            <w:vAlign w:val="center"/>
          </w:tcPr>
          <w:p w14:paraId="7208B7A1" w14:textId="7463E750" w:rsidR="00A43121" w:rsidRPr="00A43121" w:rsidRDefault="00A43121" w:rsidP="00A43121">
            <w:pPr>
              <w:suppressAutoHyphens/>
              <w:jc w:val="center"/>
              <w:rPr>
                <w:rFonts w:ascii="Arial Narrow" w:hAnsi="Arial Narrow" w:cs="Arial"/>
                <w:sz w:val="18"/>
                <w:szCs w:val="18"/>
              </w:rPr>
            </w:pPr>
            <w:r w:rsidRPr="00A43121">
              <w:rPr>
                <w:rFonts w:ascii="Arial Narrow" w:hAnsi="Arial Narrow" w:cs="Arial"/>
                <w:sz w:val="18"/>
                <w:szCs w:val="18"/>
              </w:rPr>
              <w:t>Total Burden</w:t>
            </w:r>
          </w:p>
        </w:tc>
      </w:tr>
      <w:tr w:rsidR="00AA4569" w:rsidRPr="00A43121" w14:paraId="46BED8FD" w14:textId="537998C4" w:rsidTr="00AA4569">
        <w:tc>
          <w:tcPr>
            <w:tcW w:w="355" w:type="dxa"/>
            <w:vAlign w:val="center"/>
          </w:tcPr>
          <w:p w14:paraId="51255880" w14:textId="3648A72E" w:rsidR="00AA4569" w:rsidRPr="00A43121" w:rsidRDefault="00AA4569" w:rsidP="00AA4569">
            <w:pPr>
              <w:suppressAutoHyphens/>
              <w:rPr>
                <w:rFonts w:ascii="Arial Narrow" w:hAnsi="Arial Narrow" w:cs="Arial"/>
                <w:color w:val="000000"/>
                <w:sz w:val="18"/>
                <w:szCs w:val="18"/>
              </w:rPr>
            </w:pPr>
            <w:r w:rsidRPr="00A43121">
              <w:rPr>
                <w:rFonts w:ascii="Arial Narrow" w:hAnsi="Arial Narrow" w:cs="Arial"/>
                <w:color w:val="000000"/>
                <w:sz w:val="18"/>
                <w:szCs w:val="18"/>
              </w:rPr>
              <w:t>1</w:t>
            </w:r>
          </w:p>
        </w:tc>
        <w:tc>
          <w:tcPr>
            <w:tcW w:w="972" w:type="dxa"/>
            <w:vAlign w:val="center"/>
          </w:tcPr>
          <w:p w14:paraId="6AA23285" w14:textId="41A0CEAB" w:rsidR="00AA4569" w:rsidRPr="00A43121" w:rsidRDefault="00AA4569" w:rsidP="00AA4569">
            <w:pPr>
              <w:suppressAutoHyphens/>
              <w:rPr>
                <w:rFonts w:ascii="Arial" w:hAnsi="Arial" w:cs="Arial"/>
                <w:sz w:val="20"/>
                <w:szCs w:val="20"/>
              </w:rPr>
            </w:pPr>
            <w:r w:rsidRPr="00A43121">
              <w:rPr>
                <w:rFonts w:ascii="Arial" w:hAnsi="Arial" w:cs="Arial"/>
                <w:color w:val="000000"/>
                <w:sz w:val="20"/>
                <w:szCs w:val="20"/>
              </w:rPr>
              <w:t>(b)(1)</w:t>
            </w:r>
          </w:p>
        </w:tc>
        <w:tc>
          <w:tcPr>
            <w:tcW w:w="3623" w:type="dxa"/>
            <w:vAlign w:val="center"/>
          </w:tcPr>
          <w:p w14:paraId="6B78FA05" w14:textId="1397EF4D" w:rsidR="00AA4569" w:rsidRPr="00A43121" w:rsidRDefault="00AA4569" w:rsidP="00AA4569">
            <w:pPr>
              <w:suppressAutoHyphens/>
              <w:rPr>
                <w:rFonts w:ascii="Arial" w:hAnsi="Arial" w:cs="Arial"/>
                <w:sz w:val="20"/>
                <w:szCs w:val="20"/>
              </w:rPr>
            </w:pPr>
            <w:r w:rsidRPr="00A43121">
              <w:rPr>
                <w:rFonts w:ascii="Arial Narrow" w:hAnsi="Arial Narrow"/>
                <w:color w:val="000000"/>
                <w:sz w:val="20"/>
                <w:szCs w:val="20"/>
              </w:rPr>
              <w:t>Develop written policies to purchase, sell, or pledge eligible obligations.</w:t>
            </w:r>
          </w:p>
        </w:tc>
        <w:tc>
          <w:tcPr>
            <w:tcW w:w="995" w:type="dxa"/>
            <w:vAlign w:val="center"/>
          </w:tcPr>
          <w:p w14:paraId="1B1C8CA0" w14:textId="7466F6CA" w:rsidR="00AA4569" w:rsidRPr="00A43121" w:rsidRDefault="00AA4569" w:rsidP="00AA4569">
            <w:pPr>
              <w:suppressAutoHyphens/>
              <w:jc w:val="right"/>
              <w:rPr>
                <w:rFonts w:ascii="Arial" w:hAnsi="Arial" w:cs="Arial"/>
                <w:sz w:val="20"/>
                <w:szCs w:val="20"/>
              </w:rPr>
            </w:pPr>
            <w:r w:rsidRPr="00A43121">
              <w:rPr>
                <w:rFonts w:ascii="Arial" w:hAnsi="Arial" w:cs="Arial"/>
                <w:sz w:val="20"/>
                <w:szCs w:val="20"/>
              </w:rPr>
              <w:t>50</w:t>
            </w:r>
          </w:p>
        </w:tc>
        <w:tc>
          <w:tcPr>
            <w:tcW w:w="1075" w:type="dxa"/>
            <w:shd w:val="clear" w:color="auto" w:fill="BFBFBF" w:themeFill="background1" w:themeFillShade="BF"/>
            <w:vAlign w:val="center"/>
          </w:tcPr>
          <w:p w14:paraId="314BA4E0" w14:textId="3B5257DC" w:rsidR="00AA4569" w:rsidRPr="00AA4569" w:rsidRDefault="00AA4569" w:rsidP="00AA4569">
            <w:pPr>
              <w:suppressAutoHyphens/>
              <w:jc w:val="right"/>
              <w:rPr>
                <w:rFonts w:ascii="Arial" w:hAnsi="Arial" w:cs="Arial"/>
                <w:sz w:val="20"/>
                <w:szCs w:val="20"/>
                <w:highlight w:val="lightGray"/>
              </w:rPr>
            </w:pPr>
          </w:p>
        </w:tc>
        <w:tc>
          <w:tcPr>
            <w:tcW w:w="1057" w:type="dxa"/>
            <w:shd w:val="clear" w:color="auto" w:fill="BFBFBF" w:themeFill="background1" w:themeFillShade="BF"/>
            <w:vAlign w:val="center"/>
          </w:tcPr>
          <w:p w14:paraId="6849DFF0" w14:textId="50F753B0" w:rsidR="00AA4569" w:rsidRPr="00AA4569" w:rsidRDefault="00AA4569" w:rsidP="00AA4569">
            <w:pPr>
              <w:suppressAutoHyphens/>
              <w:jc w:val="right"/>
              <w:rPr>
                <w:rFonts w:ascii="Arial" w:hAnsi="Arial" w:cs="Arial"/>
                <w:sz w:val="20"/>
                <w:szCs w:val="20"/>
                <w:highlight w:val="lightGray"/>
              </w:rPr>
            </w:pPr>
          </w:p>
        </w:tc>
        <w:tc>
          <w:tcPr>
            <w:tcW w:w="1036" w:type="dxa"/>
            <w:shd w:val="clear" w:color="auto" w:fill="BFBFBF" w:themeFill="background1" w:themeFillShade="BF"/>
            <w:vAlign w:val="center"/>
          </w:tcPr>
          <w:p w14:paraId="3E00FB8B" w14:textId="17AC8858" w:rsidR="00AA4569" w:rsidRPr="00AA4569" w:rsidRDefault="00AA4569" w:rsidP="00AA4569">
            <w:pPr>
              <w:suppressAutoHyphens/>
              <w:jc w:val="right"/>
              <w:rPr>
                <w:rFonts w:ascii="Arial" w:hAnsi="Arial" w:cs="Arial"/>
                <w:sz w:val="20"/>
                <w:szCs w:val="20"/>
                <w:highlight w:val="lightGray"/>
              </w:rPr>
            </w:pPr>
          </w:p>
        </w:tc>
        <w:tc>
          <w:tcPr>
            <w:tcW w:w="1057" w:type="dxa"/>
            <w:tcBorders>
              <w:right w:val="single" w:sz="12" w:space="0" w:color="auto"/>
            </w:tcBorders>
            <w:shd w:val="clear" w:color="auto" w:fill="BFBFBF" w:themeFill="background1" w:themeFillShade="BF"/>
            <w:vAlign w:val="center"/>
          </w:tcPr>
          <w:p w14:paraId="432D06B4" w14:textId="11D79CF1" w:rsidR="00AA4569" w:rsidRPr="00AA4569" w:rsidRDefault="00AA4569" w:rsidP="00AA4569">
            <w:pPr>
              <w:suppressAutoHyphens/>
              <w:jc w:val="right"/>
              <w:rPr>
                <w:rFonts w:ascii="Arial" w:hAnsi="Arial" w:cs="Arial"/>
                <w:sz w:val="20"/>
                <w:szCs w:val="20"/>
                <w:highlight w:val="lightGray"/>
              </w:rPr>
            </w:pPr>
          </w:p>
        </w:tc>
        <w:tc>
          <w:tcPr>
            <w:tcW w:w="1057" w:type="dxa"/>
            <w:tcBorders>
              <w:left w:val="single" w:sz="12" w:space="0" w:color="auto"/>
            </w:tcBorders>
            <w:shd w:val="clear" w:color="auto" w:fill="auto"/>
            <w:vAlign w:val="center"/>
          </w:tcPr>
          <w:p w14:paraId="38F8DD6E" w14:textId="4CFB850E" w:rsidR="00AA4569" w:rsidRPr="00A43121" w:rsidRDefault="00AA4569" w:rsidP="00AA4569">
            <w:pPr>
              <w:suppressAutoHyphens/>
              <w:jc w:val="right"/>
              <w:rPr>
                <w:rFonts w:ascii="Arial" w:hAnsi="Arial" w:cs="Arial"/>
                <w:sz w:val="20"/>
                <w:szCs w:val="20"/>
              </w:rPr>
            </w:pPr>
            <w:r w:rsidRPr="00A43121">
              <w:rPr>
                <w:rFonts w:ascii="Arial" w:hAnsi="Arial" w:cs="Arial"/>
                <w:sz w:val="20"/>
                <w:szCs w:val="20"/>
              </w:rPr>
              <w:t>1</w:t>
            </w:r>
          </w:p>
        </w:tc>
        <w:tc>
          <w:tcPr>
            <w:tcW w:w="1057" w:type="dxa"/>
            <w:shd w:val="clear" w:color="auto" w:fill="auto"/>
            <w:vAlign w:val="center"/>
          </w:tcPr>
          <w:p w14:paraId="256587AE" w14:textId="682C3922" w:rsidR="00AA4569" w:rsidRPr="00A43121" w:rsidRDefault="00AA4569" w:rsidP="00AA4569">
            <w:pPr>
              <w:suppressAutoHyphens/>
              <w:jc w:val="right"/>
              <w:rPr>
                <w:rFonts w:ascii="Arial" w:hAnsi="Arial" w:cs="Arial"/>
                <w:sz w:val="20"/>
                <w:szCs w:val="20"/>
              </w:rPr>
            </w:pPr>
            <w:r w:rsidRPr="00A43121">
              <w:rPr>
                <w:rFonts w:ascii="Arial" w:hAnsi="Arial" w:cs="Arial"/>
                <w:sz w:val="20"/>
                <w:szCs w:val="20"/>
              </w:rPr>
              <w:t>50</w:t>
            </w:r>
          </w:p>
        </w:tc>
        <w:tc>
          <w:tcPr>
            <w:tcW w:w="1057" w:type="dxa"/>
            <w:shd w:val="clear" w:color="auto" w:fill="auto"/>
            <w:vAlign w:val="center"/>
          </w:tcPr>
          <w:p w14:paraId="54A8B5D6" w14:textId="0398BF65" w:rsidR="00AA4569" w:rsidRPr="00A43121" w:rsidRDefault="00AA4569" w:rsidP="00AA4569">
            <w:pPr>
              <w:suppressAutoHyphens/>
              <w:jc w:val="right"/>
              <w:rPr>
                <w:rFonts w:ascii="Arial" w:hAnsi="Arial" w:cs="Arial"/>
                <w:sz w:val="20"/>
                <w:szCs w:val="20"/>
              </w:rPr>
            </w:pPr>
            <w:r w:rsidRPr="00A43121">
              <w:rPr>
                <w:rFonts w:ascii="Arial" w:hAnsi="Arial" w:cs="Arial"/>
                <w:sz w:val="20"/>
                <w:szCs w:val="20"/>
              </w:rPr>
              <w:t>6</w:t>
            </w:r>
          </w:p>
        </w:tc>
        <w:tc>
          <w:tcPr>
            <w:tcW w:w="1057" w:type="dxa"/>
            <w:shd w:val="clear" w:color="auto" w:fill="auto"/>
            <w:vAlign w:val="center"/>
          </w:tcPr>
          <w:p w14:paraId="7AE68C03" w14:textId="15F34AB4" w:rsidR="00AA4569" w:rsidRPr="00A43121" w:rsidRDefault="00AA4569" w:rsidP="00AA4569">
            <w:pPr>
              <w:suppressAutoHyphens/>
              <w:jc w:val="right"/>
              <w:rPr>
                <w:rFonts w:ascii="Arial" w:hAnsi="Arial" w:cs="Arial"/>
                <w:sz w:val="20"/>
                <w:szCs w:val="20"/>
              </w:rPr>
            </w:pPr>
            <w:r w:rsidRPr="00A43121">
              <w:rPr>
                <w:rFonts w:ascii="Arial" w:hAnsi="Arial" w:cs="Arial"/>
                <w:sz w:val="20"/>
                <w:szCs w:val="20"/>
              </w:rPr>
              <w:t>300</w:t>
            </w:r>
          </w:p>
        </w:tc>
      </w:tr>
      <w:tr w:rsidR="00AA4569" w:rsidRPr="00A43121" w14:paraId="4B46FCAF" w14:textId="7996561C" w:rsidTr="00AA4569">
        <w:tc>
          <w:tcPr>
            <w:tcW w:w="355" w:type="dxa"/>
            <w:vAlign w:val="center"/>
          </w:tcPr>
          <w:p w14:paraId="2A0E1A8F" w14:textId="1C4267E7" w:rsidR="00AA4569" w:rsidRPr="003E1DC9" w:rsidRDefault="00AA4569" w:rsidP="00AA4569">
            <w:pPr>
              <w:suppressAutoHyphens/>
              <w:rPr>
                <w:rFonts w:ascii="Arial Narrow" w:hAnsi="Arial Narrow" w:cs="Arial"/>
                <w:color w:val="000000"/>
                <w:sz w:val="18"/>
                <w:szCs w:val="18"/>
              </w:rPr>
            </w:pPr>
            <w:r w:rsidRPr="003E1DC9">
              <w:rPr>
                <w:rFonts w:ascii="Arial Narrow" w:hAnsi="Arial Narrow" w:cs="Arial"/>
                <w:color w:val="000000"/>
                <w:sz w:val="18"/>
                <w:szCs w:val="18"/>
              </w:rPr>
              <w:t>2</w:t>
            </w:r>
          </w:p>
        </w:tc>
        <w:tc>
          <w:tcPr>
            <w:tcW w:w="972" w:type="dxa"/>
            <w:vAlign w:val="center"/>
          </w:tcPr>
          <w:p w14:paraId="2297456B" w14:textId="20C1134C" w:rsidR="00AA4569" w:rsidRPr="00DC0E0B" w:rsidRDefault="00AA4569" w:rsidP="00AA4569">
            <w:pPr>
              <w:suppressAutoHyphens/>
              <w:rPr>
                <w:rFonts w:ascii="Arial" w:hAnsi="Arial" w:cs="Arial"/>
                <w:sz w:val="20"/>
                <w:szCs w:val="20"/>
              </w:rPr>
            </w:pPr>
            <w:r>
              <w:rPr>
                <w:rFonts w:ascii="Arial" w:hAnsi="Arial" w:cs="Arial"/>
                <w:color w:val="000000"/>
                <w:sz w:val="20"/>
                <w:szCs w:val="20"/>
              </w:rPr>
              <w:t>(b)(3)(ii)</w:t>
            </w:r>
          </w:p>
        </w:tc>
        <w:tc>
          <w:tcPr>
            <w:tcW w:w="3623" w:type="dxa"/>
            <w:vAlign w:val="center"/>
          </w:tcPr>
          <w:p w14:paraId="204ED5BE" w14:textId="6BAC3274" w:rsidR="00AA4569" w:rsidRPr="00DC0E0B" w:rsidRDefault="00AA4569" w:rsidP="00AA4569">
            <w:pPr>
              <w:suppressAutoHyphens/>
              <w:rPr>
                <w:rFonts w:ascii="Arial" w:hAnsi="Arial" w:cs="Arial"/>
                <w:sz w:val="20"/>
                <w:szCs w:val="20"/>
              </w:rPr>
            </w:pPr>
            <w:r>
              <w:rPr>
                <w:rFonts w:ascii="Arial Narrow" w:hAnsi="Arial Narrow"/>
                <w:color w:val="000000"/>
                <w:sz w:val="20"/>
                <w:szCs w:val="20"/>
              </w:rPr>
              <w:t>Retain a written agreement and schedule of eligible obligations purchased in the purchasers office, when purchasing eligible obligations.</w:t>
            </w:r>
          </w:p>
        </w:tc>
        <w:tc>
          <w:tcPr>
            <w:tcW w:w="995" w:type="dxa"/>
            <w:vAlign w:val="center"/>
          </w:tcPr>
          <w:p w14:paraId="0B6A9286" w14:textId="59AE0C8A" w:rsidR="00AA4569" w:rsidRPr="00DC0E0B" w:rsidRDefault="00AA4569" w:rsidP="00AA4569">
            <w:pPr>
              <w:suppressAutoHyphens/>
              <w:jc w:val="right"/>
              <w:rPr>
                <w:rFonts w:ascii="Arial" w:hAnsi="Arial" w:cs="Arial"/>
                <w:sz w:val="20"/>
                <w:szCs w:val="20"/>
              </w:rPr>
            </w:pPr>
            <w:r>
              <w:rPr>
                <w:rFonts w:ascii="Arial" w:hAnsi="Arial" w:cs="Arial"/>
                <w:sz w:val="20"/>
                <w:szCs w:val="20"/>
              </w:rPr>
              <w:t>954</w:t>
            </w:r>
          </w:p>
        </w:tc>
        <w:tc>
          <w:tcPr>
            <w:tcW w:w="1075" w:type="dxa"/>
            <w:shd w:val="clear" w:color="auto" w:fill="BFBFBF" w:themeFill="background1" w:themeFillShade="BF"/>
            <w:vAlign w:val="center"/>
          </w:tcPr>
          <w:p w14:paraId="1283D083" w14:textId="43214541" w:rsidR="00AA4569" w:rsidRPr="00AA4569" w:rsidRDefault="00AA4569" w:rsidP="00AA4569">
            <w:pPr>
              <w:suppressAutoHyphens/>
              <w:jc w:val="right"/>
              <w:rPr>
                <w:rFonts w:ascii="Arial" w:hAnsi="Arial" w:cs="Arial"/>
                <w:sz w:val="20"/>
                <w:szCs w:val="20"/>
                <w:highlight w:val="lightGray"/>
              </w:rPr>
            </w:pPr>
          </w:p>
        </w:tc>
        <w:tc>
          <w:tcPr>
            <w:tcW w:w="1057" w:type="dxa"/>
            <w:shd w:val="clear" w:color="auto" w:fill="BFBFBF" w:themeFill="background1" w:themeFillShade="BF"/>
            <w:vAlign w:val="center"/>
          </w:tcPr>
          <w:p w14:paraId="0B60F4F4" w14:textId="69F04F5B" w:rsidR="00AA4569" w:rsidRPr="00AA4569" w:rsidRDefault="00AA4569" w:rsidP="00AA4569">
            <w:pPr>
              <w:suppressAutoHyphens/>
              <w:jc w:val="right"/>
              <w:rPr>
                <w:rFonts w:ascii="Arial" w:hAnsi="Arial" w:cs="Arial"/>
                <w:sz w:val="20"/>
                <w:szCs w:val="20"/>
                <w:highlight w:val="lightGray"/>
              </w:rPr>
            </w:pPr>
          </w:p>
        </w:tc>
        <w:tc>
          <w:tcPr>
            <w:tcW w:w="1036" w:type="dxa"/>
            <w:shd w:val="clear" w:color="auto" w:fill="BFBFBF" w:themeFill="background1" w:themeFillShade="BF"/>
            <w:vAlign w:val="center"/>
          </w:tcPr>
          <w:p w14:paraId="65E2DD0C" w14:textId="0FB33B22" w:rsidR="00AA4569" w:rsidRPr="00AA4569" w:rsidRDefault="00AA4569" w:rsidP="00AA4569">
            <w:pPr>
              <w:suppressAutoHyphens/>
              <w:jc w:val="right"/>
              <w:rPr>
                <w:rFonts w:ascii="Arial" w:hAnsi="Arial" w:cs="Arial"/>
                <w:sz w:val="20"/>
                <w:szCs w:val="20"/>
                <w:highlight w:val="lightGray"/>
              </w:rPr>
            </w:pPr>
          </w:p>
        </w:tc>
        <w:tc>
          <w:tcPr>
            <w:tcW w:w="1057" w:type="dxa"/>
            <w:tcBorders>
              <w:right w:val="single" w:sz="12" w:space="0" w:color="auto"/>
            </w:tcBorders>
            <w:shd w:val="clear" w:color="auto" w:fill="BFBFBF" w:themeFill="background1" w:themeFillShade="BF"/>
            <w:vAlign w:val="center"/>
          </w:tcPr>
          <w:p w14:paraId="54A4A8C4" w14:textId="6101735A" w:rsidR="00AA4569" w:rsidRPr="00AA4569" w:rsidRDefault="00AA4569" w:rsidP="00AA4569">
            <w:pPr>
              <w:suppressAutoHyphens/>
              <w:jc w:val="right"/>
              <w:rPr>
                <w:rFonts w:ascii="Arial" w:hAnsi="Arial" w:cs="Arial"/>
                <w:sz w:val="20"/>
                <w:szCs w:val="20"/>
                <w:highlight w:val="lightGray"/>
              </w:rPr>
            </w:pPr>
          </w:p>
        </w:tc>
        <w:tc>
          <w:tcPr>
            <w:tcW w:w="1057" w:type="dxa"/>
            <w:tcBorders>
              <w:left w:val="single" w:sz="12" w:space="0" w:color="auto"/>
            </w:tcBorders>
            <w:shd w:val="clear" w:color="auto" w:fill="auto"/>
            <w:vAlign w:val="center"/>
          </w:tcPr>
          <w:p w14:paraId="25BE55A7" w14:textId="31859A08" w:rsidR="00AA4569" w:rsidRPr="00A43121" w:rsidRDefault="00AA4569" w:rsidP="00AA4569">
            <w:pPr>
              <w:suppressAutoHyphens/>
              <w:jc w:val="right"/>
              <w:rPr>
                <w:rFonts w:ascii="Arial" w:hAnsi="Arial" w:cs="Arial"/>
                <w:sz w:val="20"/>
                <w:szCs w:val="20"/>
              </w:rPr>
            </w:pPr>
            <w:r>
              <w:rPr>
                <w:rFonts w:ascii="Arial" w:hAnsi="Arial" w:cs="Arial"/>
                <w:sz w:val="20"/>
                <w:szCs w:val="20"/>
              </w:rPr>
              <w:t>10</w:t>
            </w:r>
          </w:p>
        </w:tc>
        <w:tc>
          <w:tcPr>
            <w:tcW w:w="1057" w:type="dxa"/>
            <w:shd w:val="clear" w:color="auto" w:fill="auto"/>
            <w:vAlign w:val="center"/>
          </w:tcPr>
          <w:p w14:paraId="473C197E" w14:textId="6D72F90C" w:rsidR="00AA4569" w:rsidRPr="00A43121" w:rsidRDefault="00AA4569" w:rsidP="00AA4569">
            <w:pPr>
              <w:suppressAutoHyphens/>
              <w:jc w:val="right"/>
              <w:rPr>
                <w:rFonts w:ascii="Arial" w:hAnsi="Arial" w:cs="Arial"/>
                <w:sz w:val="20"/>
                <w:szCs w:val="20"/>
              </w:rPr>
            </w:pPr>
            <w:r>
              <w:rPr>
                <w:rFonts w:ascii="Arial" w:hAnsi="Arial" w:cs="Arial"/>
                <w:sz w:val="20"/>
                <w:szCs w:val="20"/>
              </w:rPr>
              <w:t>9,540</w:t>
            </w:r>
          </w:p>
        </w:tc>
        <w:tc>
          <w:tcPr>
            <w:tcW w:w="1057" w:type="dxa"/>
            <w:shd w:val="clear" w:color="auto" w:fill="auto"/>
            <w:vAlign w:val="center"/>
          </w:tcPr>
          <w:p w14:paraId="36BE1E2E" w14:textId="6EC940E3" w:rsidR="00AA4569" w:rsidRPr="00A43121" w:rsidRDefault="00AA4569" w:rsidP="00AA4569">
            <w:pPr>
              <w:suppressAutoHyphens/>
              <w:jc w:val="right"/>
              <w:rPr>
                <w:rFonts w:ascii="Arial" w:hAnsi="Arial" w:cs="Arial"/>
                <w:sz w:val="20"/>
                <w:szCs w:val="20"/>
              </w:rPr>
            </w:pPr>
            <w:r>
              <w:rPr>
                <w:rFonts w:ascii="Arial" w:hAnsi="Arial" w:cs="Arial"/>
                <w:sz w:val="20"/>
                <w:szCs w:val="20"/>
              </w:rPr>
              <w:t>0.25</w:t>
            </w:r>
          </w:p>
        </w:tc>
        <w:tc>
          <w:tcPr>
            <w:tcW w:w="1057" w:type="dxa"/>
            <w:shd w:val="clear" w:color="auto" w:fill="auto"/>
            <w:vAlign w:val="center"/>
          </w:tcPr>
          <w:p w14:paraId="1772564D" w14:textId="39CB244D" w:rsidR="00AA4569" w:rsidRPr="00A43121" w:rsidRDefault="00AA4569" w:rsidP="00AA4569">
            <w:pPr>
              <w:suppressAutoHyphens/>
              <w:jc w:val="right"/>
              <w:rPr>
                <w:rFonts w:ascii="Arial" w:hAnsi="Arial" w:cs="Arial"/>
                <w:sz w:val="20"/>
                <w:szCs w:val="20"/>
              </w:rPr>
            </w:pPr>
            <w:r>
              <w:rPr>
                <w:rFonts w:ascii="Arial" w:hAnsi="Arial" w:cs="Arial"/>
                <w:sz w:val="20"/>
                <w:szCs w:val="20"/>
              </w:rPr>
              <w:t>2,385</w:t>
            </w:r>
          </w:p>
        </w:tc>
      </w:tr>
      <w:tr w:rsidR="00A43121" w:rsidRPr="00A43121" w14:paraId="1F7C403C" w14:textId="186591A1" w:rsidTr="00AA4569">
        <w:tc>
          <w:tcPr>
            <w:tcW w:w="355" w:type="dxa"/>
            <w:vAlign w:val="center"/>
          </w:tcPr>
          <w:p w14:paraId="60567899" w14:textId="3A98DABE" w:rsidR="00A43121" w:rsidRPr="003E1DC9" w:rsidRDefault="00A43121" w:rsidP="00A43121">
            <w:pPr>
              <w:suppressAutoHyphens/>
              <w:rPr>
                <w:rFonts w:ascii="Arial Narrow" w:hAnsi="Arial Narrow" w:cs="Arial"/>
                <w:color w:val="000000"/>
                <w:sz w:val="18"/>
                <w:szCs w:val="18"/>
              </w:rPr>
            </w:pPr>
            <w:r w:rsidRPr="003E1DC9">
              <w:rPr>
                <w:rFonts w:ascii="Arial Narrow" w:hAnsi="Arial Narrow" w:cs="Arial"/>
                <w:color w:val="000000"/>
                <w:sz w:val="18"/>
                <w:szCs w:val="18"/>
              </w:rPr>
              <w:t>3</w:t>
            </w:r>
          </w:p>
        </w:tc>
        <w:tc>
          <w:tcPr>
            <w:tcW w:w="972" w:type="dxa"/>
            <w:vAlign w:val="center"/>
          </w:tcPr>
          <w:p w14:paraId="7D58B1EB" w14:textId="7A1DB284" w:rsidR="00A43121" w:rsidRPr="00DC0E0B" w:rsidRDefault="00A43121" w:rsidP="00A43121">
            <w:pPr>
              <w:suppressAutoHyphens/>
              <w:rPr>
                <w:rFonts w:ascii="Arial" w:hAnsi="Arial" w:cs="Arial"/>
                <w:sz w:val="20"/>
                <w:szCs w:val="20"/>
              </w:rPr>
            </w:pPr>
            <w:r>
              <w:rPr>
                <w:rFonts w:ascii="Arial" w:hAnsi="Arial" w:cs="Arial"/>
                <w:color w:val="000000"/>
                <w:sz w:val="20"/>
                <w:szCs w:val="20"/>
              </w:rPr>
              <w:t>(b)(3)(iii)</w:t>
            </w:r>
          </w:p>
        </w:tc>
        <w:tc>
          <w:tcPr>
            <w:tcW w:w="3623" w:type="dxa"/>
            <w:vAlign w:val="center"/>
          </w:tcPr>
          <w:p w14:paraId="4EAE773C" w14:textId="6FFB073B" w:rsidR="00A43121" w:rsidRPr="00DC0E0B" w:rsidRDefault="00A43121" w:rsidP="00A43121">
            <w:pPr>
              <w:suppressAutoHyphens/>
              <w:rPr>
                <w:rFonts w:ascii="Arial" w:hAnsi="Arial" w:cs="Arial"/>
                <w:sz w:val="20"/>
                <w:szCs w:val="20"/>
              </w:rPr>
            </w:pPr>
            <w:r>
              <w:rPr>
                <w:rFonts w:ascii="Arial Narrow" w:hAnsi="Arial Narrow"/>
                <w:color w:val="000000"/>
                <w:sz w:val="20"/>
                <w:szCs w:val="20"/>
              </w:rPr>
              <w:t>Request written approval prior to purchasing eligible obligations of a liquidating credit union.</w:t>
            </w:r>
          </w:p>
        </w:tc>
        <w:tc>
          <w:tcPr>
            <w:tcW w:w="995" w:type="dxa"/>
            <w:vAlign w:val="center"/>
          </w:tcPr>
          <w:p w14:paraId="1621242C" w14:textId="18BDC998" w:rsidR="00A43121" w:rsidRPr="00DC0E0B" w:rsidRDefault="00A43121" w:rsidP="00A43121">
            <w:pPr>
              <w:suppressAutoHyphens/>
              <w:jc w:val="right"/>
              <w:rPr>
                <w:rFonts w:ascii="Arial" w:hAnsi="Arial" w:cs="Arial"/>
                <w:sz w:val="20"/>
                <w:szCs w:val="20"/>
              </w:rPr>
            </w:pPr>
            <w:r>
              <w:rPr>
                <w:rFonts w:ascii="Arial" w:hAnsi="Arial" w:cs="Arial"/>
                <w:sz w:val="20"/>
                <w:szCs w:val="20"/>
              </w:rPr>
              <w:t>35</w:t>
            </w:r>
          </w:p>
        </w:tc>
        <w:tc>
          <w:tcPr>
            <w:tcW w:w="1075" w:type="dxa"/>
            <w:vAlign w:val="center"/>
          </w:tcPr>
          <w:p w14:paraId="10756AA1" w14:textId="43EB80D2" w:rsidR="00A43121" w:rsidRPr="00DC0E0B" w:rsidRDefault="00A43121" w:rsidP="00A43121">
            <w:pPr>
              <w:suppressAutoHyphens/>
              <w:jc w:val="right"/>
              <w:rPr>
                <w:rFonts w:ascii="Arial" w:hAnsi="Arial" w:cs="Arial"/>
                <w:sz w:val="20"/>
                <w:szCs w:val="20"/>
              </w:rPr>
            </w:pPr>
            <w:r>
              <w:rPr>
                <w:rFonts w:ascii="Arial" w:hAnsi="Arial" w:cs="Arial"/>
                <w:sz w:val="20"/>
                <w:szCs w:val="20"/>
              </w:rPr>
              <w:t>1</w:t>
            </w:r>
          </w:p>
        </w:tc>
        <w:tc>
          <w:tcPr>
            <w:tcW w:w="1057" w:type="dxa"/>
            <w:vAlign w:val="center"/>
          </w:tcPr>
          <w:p w14:paraId="5D917EB4" w14:textId="3CB9BF66" w:rsidR="00A43121" w:rsidRPr="00DC0E0B" w:rsidRDefault="00A43121" w:rsidP="00A43121">
            <w:pPr>
              <w:suppressAutoHyphens/>
              <w:jc w:val="right"/>
              <w:rPr>
                <w:rFonts w:ascii="Arial" w:hAnsi="Arial" w:cs="Arial"/>
                <w:sz w:val="20"/>
                <w:szCs w:val="20"/>
              </w:rPr>
            </w:pPr>
            <w:r>
              <w:rPr>
                <w:rFonts w:ascii="Arial" w:hAnsi="Arial" w:cs="Arial"/>
                <w:sz w:val="20"/>
                <w:szCs w:val="20"/>
              </w:rPr>
              <w:t>32</w:t>
            </w:r>
          </w:p>
        </w:tc>
        <w:tc>
          <w:tcPr>
            <w:tcW w:w="1036" w:type="dxa"/>
            <w:vAlign w:val="center"/>
          </w:tcPr>
          <w:p w14:paraId="03885046" w14:textId="3CF06DFE" w:rsidR="00A43121" w:rsidRPr="00DC0E0B" w:rsidRDefault="00A43121" w:rsidP="00A43121">
            <w:pPr>
              <w:suppressAutoHyphens/>
              <w:jc w:val="right"/>
              <w:rPr>
                <w:rFonts w:ascii="Arial" w:hAnsi="Arial" w:cs="Arial"/>
                <w:sz w:val="20"/>
                <w:szCs w:val="20"/>
              </w:rPr>
            </w:pPr>
            <w:r>
              <w:rPr>
                <w:rFonts w:ascii="Arial" w:hAnsi="Arial" w:cs="Arial"/>
                <w:sz w:val="20"/>
                <w:szCs w:val="20"/>
              </w:rPr>
              <w:t>8</w:t>
            </w:r>
          </w:p>
        </w:tc>
        <w:tc>
          <w:tcPr>
            <w:tcW w:w="1057" w:type="dxa"/>
            <w:tcBorders>
              <w:right w:val="single" w:sz="12" w:space="0" w:color="auto"/>
            </w:tcBorders>
            <w:vAlign w:val="center"/>
          </w:tcPr>
          <w:p w14:paraId="19E3636A" w14:textId="6EB87D1E" w:rsidR="00A43121" w:rsidRPr="00DC0E0B" w:rsidRDefault="00A43121" w:rsidP="00A43121">
            <w:pPr>
              <w:suppressAutoHyphens/>
              <w:jc w:val="right"/>
              <w:rPr>
                <w:rFonts w:ascii="Arial" w:hAnsi="Arial" w:cs="Arial"/>
                <w:sz w:val="20"/>
                <w:szCs w:val="20"/>
              </w:rPr>
            </w:pPr>
            <w:r>
              <w:rPr>
                <w:rFonts w:ascii="Arial" w:hAnsi="Arial" w:cs="Arial"/>
                <w:sz w:val="20"/>
                <w:szCs w:val="20"/>
              </w:rPr>
              <w:t>280</w:t>
            </w:r>
          </w:p>
        </w:tc>
        <w:tc>
          <w:tcPr>
            <w:tcW w:w="1057" w:type="dxa"/>
            <w:tcBorders>
              <w:left w:val="single" w:sz="12" w:space="0" w:color="auto"/>
            </w:tcBorders>
            <w:shd w:val="clear" w:color="auto" w:fill="BFBFBF" w:themeFill="background1" w:themeFillShade="BF"/>
          </w:tcPr>
          <w:p w14:paraId="2463A2CE" w14:textId="77777777" w:rsidR="00A43121" w:rsidRPr="00A43121" w:rsidRDefault="00A43121" w:rsidP="00AA4569">
            <w:pPr>
              <w:suppressAutoHyphens/>
              <w:rPr>
                <w:rFonts w:ascii="Arial" w:hAnsi="Arial" w:cs="Arial"/>
                <w:sz w:val="20"/>
                <w:szCs w:val="20"/>
              </w:rPr>
            </w:pPr>
          </w:p>
        </w:tc>
        <w:tc>
          <w:tcPr>
            <w:tcW w:w="1057" w:type="dxa"/>
            <w:shd w:val="clear" w:color="auto" w:fill="BFBFBF" w:themeFill="background1" w:themeFillShade="BF"/>
          </w:tcPr>
          <w:p w14:paraId="1FFABE3C" w14:textId="77777777" w:rsidR="00A43121" w:rsidRPr="00A43121" w:rsidRDefault="00A43121" w:rsidP="00A43121">
            <w:pPr>
              <w:suppressAutoHyphens/>
              <w:jc w:val="right"/>
              <w:rPr>
                <w:rFonts w:ascii="Arial" w:hAnsi="Arial" w:cs="Arial"/>
                <w:sz w:val="20"/>
                <w:szCs w:val="20"/>
              </w:rPr>
            </w:pPr>
          </w:p>
        </w:tc>
        <w:tc>
          <w:tcPr>
            <w:tcW w:w="1057" w:type="dxa"/>
            <w:shd w:val="clear" w:color="auto" w:fill="BFBFBF" w:themeFill="background1" w:themeFillShade="BF"/>
          </w:tcPr>
          <w:p w14:paraId="18D0C831" w14:textId="77777777" w:rsidR="00A43121" w:rsidRPr="00A43121" w:rsidRDefault="00A43121" w:rsidP="00A43121">
            <w:pPr>
              <w:suppressAutoHyphens/>
              <w:jc w:val="right"/>
              <w:rPr>
                <w:rFonts w:ascii="Arial" w:hAnsi="Arial" w:cs="Arial"/>
                <w:sz w:val="20"/>
                <w:szCs w:val="20"/>
              </w:rPr>
            </w:pPr>
          </w:p>
        </w:tc>
        <w:tc>
          <w:tcPr>
            <w:tcW w:w="1057" w:type="dxa"/>
            <w:shd w:val="clear" w:color="auto" w:fill="BFBFBF" w:themeFill="background1" w:themeFillShade="BF"/>
          </w:tcPr>
          <w:p w14:paraId="0B90962C" w14:textId="77777777" w:rsidR="00A43121" w:rsidRPr="00A43121" w:rsidRDefault="00A43121" w:rsidP="00A43121">
            <w:pPr>
              <w:suppressAutoHyphens/>
              <w:jc w:val="right"/>
              <w:rPr>
                <w:rFonts w:ascii="Arial" w:hAnsi="Arial" w:cs="Arial"/>
                <w:sz w:val="20"/>
                <w:szCs w:val="20"/>
              </w:rPr>
            </w:pPr>
          </w:p>
        </w:tc>
      </w:tr>
      <w:tr w:rsidR="00AA4569" w:rsidRPr="00A43121" w14:paraId="787F1D82" w14:textId="44DDD0CE" w:rsidTr="00AA4569">
        <w:tc>
          <w:tcPr>
            <w:tcW w:w="355" w:type="dxa"/>
            <w:vAlign w:val="center"/>
          </w:tcPr>
          <w:p w14:paraId="4B7E28BF" w14:textId="150C6BFD" w:rsidR="00AA4569" w:rsidRPr="003E1DC9" w:rsidRDefault="00AA4569" w:rsidP="00AA4569">
            <w:pPr>
              <w:suppressAutoHyphens/>
              <w:rPr>
                <w:rFonts w:ascii="Arial Narrow" w:hAnsi="Arial Narrow" w:cs="Arial"/>
                <w:color w:val="000000"/>
                <w:sz w:val="18"/>
                <w:szCs w:val="18"/>
              </w:rPr>
            </w:pPr>
            <w:r w:rsidRPr="003E1DC9">
              <w:rPr>
                <w:rFonts w:ascii="Arial Narrow" w:hAnsi="Arial Narrow" w:cs="Arial"/>
                <w:color w:val="000000"/>
                <w:sz w:val="18"/>
                <w:szCs w:val="18"/>
              </w:rPr>
              <w:t>4</w:t>
            </w:r>
          </w:p>
        </w:tc>
        <w:tc>
          <w:tcPr>
            <w:tcW w:w="972" w:type="dxa"/>
            <w:vAlign w:val="center"/>
          </w:tcPr>
          <w:p w14:paraId="7CB8F71D" w14:textId="705D6F27" w:rsidR="00AA4569" w:rsidRPr="00DC0E0B" w:rsidRDefault="00AA4569" w:rsidP="00AA4569">
            <w:pPr>
              <w:suppressAutoHyphens/>
              <w:rPr>
                <w:rFonts w:ascii="Arial" w:hAnsi="Arial" w:cs="Arial"/>
                <w:sz w:val="20"/>
                <w:szCs w:val="20"/>
              </w:rPr>
            </w:pPr>
            <w:r>
              <w:rPr>
                <w:rFonts w:ascii="Arial" w:hAnsi="Arial" w:cs="Arial"/>
                <w:color w:val="000000"/>
                <w:sz w:val="20"/>
                <w:szCs w:val="20"/>
              </w:rPr>
              <w:t>(c)(2)</w:t>
            </w:r>
          </w:p>
        </w:tc>
        <w:tc>
          <w:tcPr>
            <w:tcW w:w="3623" w:type="dxa"/>
            <w:vAlign w:val="center"/>
          </w:tcPr>
          <w:p w14:paraId="5EED1203" w14:textId="249EAE73" w:rsidR="00AA4569" w:rsidRPr="00DC0E0B" w:rsidRDefault="00AA4569" w:rsidP="00AA4569">
            <w:pPr>
              <w:suppressAutoHyphens/>
              <w:rPr>
                <w:rFonts w:ascii="Arial" w:hAnsi="Arial" w:cs="Arial"/>
                <w:sz w:val="20"/>
                <w:szCs w:val="20"/>
              </w:rPr>
            </w:pPr>
            <w:r>
              <w:rPr>
                <w:rFonts w:ascii="Arial Narrow" w:hAnsi="Arial Narrow"/>
                <w:color w:val="000000"/>
                <w:sz w:val="20"/>
                <w:szCs w:val="20"/>
              </w:rPr>
              <w:t>Retain a written agreement and schedule of eligible obligations sold in the seller’s officer, when selling eligible obligations.</w:t>
            </w:r>
          </w:p>
        </w:tc>
        <w:tc>
          <w:tcPr>
            <w:tcW w:w="995" w:type="dxa"/>
            <w:vAlign w:val="center"/>
          </w:tcPr>
          <w:p w14:paraId="47D8EE4E" w14:textId="36A4CB8E" w:rsidR="00AA4569" w:rsidRPr="00DC0E0B" w:rsidRDefault="00AA4569" w:rsidP="00AA4569">
            <w:pPr>
              <w:suppressAutoHyphens/>
              <w:jc w:val="right"/>
              <w:rPr>
                <w:rFonts w:ascii="Arial" w:hAnsi="Arial" w:cs="Arial"/>
                <w:sz w:val="20"/>
                <w:szCs w:val="20"/>
              </w:rPr>
            </w:pPr>
            <w:r>
              <w:rPr>
                <w:rFonts w:ascii="Arial" w:hAnsi="Arial" w:cs="Arial"/>
                <w:sz w:val="20"/>
                <w:szCs w:val="20"/>
              </w:rPr>
              <w:t>954</w:t>
            </w:r>
          </w:p>
        </w:tc>
        <w:tc>
          <w:tcPr>
            <w:tcW w:w="1075" w:type="dxa"/>
            <w:shd w:val="clear" w:color="auto" w:fill="BFBFBF" w:themeFill="background1" w:themeFillShade="BF"/>
            <w:vAlign w:val="center"/>
          </w:tcPr>
          <w:p w14:paraId="683B11C8" w14:textId="002B98F0" w:rsidR="00AA4569" w:rsidRPr="00DC0E0B" w:rsidRDefault="00AA4569" w:rsidP="00AA4569">
            <w:pPr>
              <w:suppressAutoHyphens/>
              <w:jc w:val="right"/>
              <w:rPr>
                <w:rFonts w:ascii="Arial" w:hAnsi="Arial" w:cs="Arial"/>
                <w:sz w:val="20"/>
                <w:szCs w:val="20"/>
              </w:rPr>
            </w:pPr>
          </w:p>
        </w:tc>
        <w:tc>
          <w:tcPr>
            <w:tcW w:w="1057" w:type="dxa"/>
            <w:shd w:val="clear" w:color="auto" w:fill="BFBFBF" w:themeFill="background1" w:themeFillShade="BF"/>
            <w:vAlign w:val="center"/>
          </w:tcPr>
          <w:p w14:paraId="4806DCBD" w14:textId="6D4EB967" w:rsidR="00AA4569" w:rsidRPr="00DC0E0B" w:rsidRDefault="00AA4569" w:rsidP="00AA4569">
            <w:pPr>
              <w:suppressAutoHyphens/>
              <w:jc w:val="right"/>
              <w:rPr>
                <w:rFonts w:ascii="Arial" w:hAnsi="Arial" w:cs="Arial"/>
                <w:sz w:val="20"/>
                <w:szCs w:val="20"/>
              </w:rPr>
            </w:pPr>
          </w:p>
        </w:tc>
        <w:tc>
          <w:tcPr>
            <w:tcW w:w="1036" w:type="dxa"/>
            <w:shd w:val="clear" w:color="auto" w:fill="BFBFBF" w:themeFill="background1" w:themeFillShade="BF"/>
            <w:vAlign w:val="center"/>
          </w:tcPr>
          <w:p w14:paraId="3D2611A1" w14:textId="23C8E6E6" w:rsidR="00AA4569" w:rsidRPr="00DC0E0B" w:rsidRDefault="00AA4569" w:rsidP="00AA4569">
            <w:pPr>
              <w:suppressAutoHyphens/>
              <w:jc w:val="right"/>
              <w:rPr>
                <w:rFonts w:ascii="Arial" w:hAnsi="Arial" w:cs="Arial"/>
                <w:sz w:val="20"/>
                <w:szCs w:val="20"/>
              </w:rPr>
            </w:pPr>
          </w:p>
        </w:tc>
        <w:tc>
          <w:tcPr>
            <w:tcW w:w="1057" w:type="dxa"/>
            <w:tcBorders>
              <w:right w:val="single" w:sz="12" w:space="0" w:color="auto"/>
            </w:tcBorders>
            <w:shd w:val="clear" w:color="auto" w:fill="BFBFBF" w:themeFill="background1" w:themeFillShade="BF"/>
            <w:vAlign w:val="center"/>
          </w:tcPr>
          <w:p w14:paraId="44AB61B3" w14:textId="5F38DED1" w:rsidR="00AA4569" w:rsidRPr="00DC0E0B" w:rsidRDefault="00AA4569" w:rsidP="00AA4569">
            <w:pPr>
              <w:suppressAutoHyphens/>
              <w:jc w:val="right"/>
              <w:rPr>
                <w:rFonts w:ascii="Arial" w:hAnsi="Arial" w:cs="Arial"/>
                <w:sz w:val="20"/>
                <w:szCs w:val="20"/>
              </w:rPr>
            </w:pPr>
          </w:p>
        </w:tc>
        <w:tc>
          <w:tcPr>
            <w:tcW w:w="1057" w:type="dxa"/>
            <w:tcBorders>
              <w:left w:val="single" w:sz="12" w:space="0" w:color="auto"/>
            </w:tcBorders>
            <w:shd w:val="clear" w:color="auto" w:fill="auto"/>
            <w:vAlign w:val="center"/>
          </w:tcPr>
          <w:p w14:paraId="71E2B9EB" w14:textId="41096D8F" w:rsidR="00AA4569" w:rsidRPr="00A43121" w:rsidRDefault="00AA4569" w:rsidP="00AA4569">
            <w:pPr>
              <w:suppressAutoHyphens/>
              <w:jc w:val="right"/>
              <w:rPr>
                <w:rFonts w:ascii="Arial" w:hAnsi="Arial" w:cs="Arial"/>
                <w:sz w:val="20"/>
                <w:szCs w:val="20"/>
              </w:rPr>
            </w:pPr>
            <w:r>
              <w:rPr>
                <w:rFonts w:ascii="Arial" w:hAnsi="Arial" w:cs="Arial"/>
                <w:sz w:val="20"/>
                <w:szCs w:val="20"/>
              </w:rPr>
              <w:t>10</w:t>
            </w:r>
          </w:p>
        </w:tc>
        <w:tc>
          <w:tcPr>
            <w:tcW w:w="1057" w:type="dxa"/>
            <w:shd w:val="clear" w:color="auto" w:fill="auto"/>
            <w:vAlign w:val="center"/>
          </w:tcPr>
          <w:p w14:paraId="280A5718" w14:textId="21BCE7AF" w:rsidR="00AA4569" w:rsidRPr="00A43121" w:rsidRDefault="00AA4569" w:rsidP="00AA4569">
            <w:pPr>
              <w:suppressAutoHyphens/>
              <w:jc w:val="right"/>
              <w:rPr>
                <w:rFonts w:ascii="Arial" w:hAnsi="Arial" w:cs="Arial"/>
                <w:sz w:val="20"/>
                <w:szCs w:val="20"/>
              </w:rPr>
            </w:pPr>
            <w:r>
              <w:rPr>
                <w:rFonts w:ascii="Arial" w:hAnsi="Arial" w:cs="Arial"/>
                <w:sz w:val="20"/>
                <w:szCs w:val="20"/>
              </w:rPr>
              <w:t>9,540</w:t>
            </w:r>
          </w:p>
        </w:tc>
        <w:tc>
          <w:tcPr>
            <w:tcW w:w="1057" w:type="dxa"/>
            <w:shd w:val="clear" w:color="auto" w:fill="auto"/>
            <w:vAlign w:val="center"/>
          </w:tcPr>
          <w:p w14:paraId="42F27854" w14:textId="6710EB28" w:rsidR="00AA4569" w:rsidRPr="00A43121" w:rsidRDefault="00AA4569" w:rsidP="00AA4569">
            <w:pPr>
              <w:suppressAutoHyphens/>
              <w:jc w:val="right"/>
              <w:rPr>
                <w:rFonts w:ascii="Arial" w:hAnsi="Arial" w:cs="Arial"/>
                <w:sz w:val="20"/>
                <w:szCs w:val="20"/>
              </w:rPr>
            </w:pPr>
            <w:r>
              <w:rPr>
                <w:rFonts w:ascii="Arial" w:hAnsi="Arial" w:cs="Arial"/>
                <w:sz w:val="20"/>
                <w:szCs w:val="20"/>
              </w:rPr>
              <w:t>0.25</w:t>
            </w:r>
          </w:p>
        </w:tc>
        <w:tc>
          <w:tcPr>
            <w:tcW w:w="1057" w:type="dxa"/>
            <w:shd w:val="clear" w:color="auto" w:fill="auto"/>
            <w:vAlign w:val="center"/>
          </w:tcPr>
          <w:p w14:paraId="0CA038DE" w14:textId="0F1A3B6B" w:rsidR="00AA4569" w:rsidRPr="00A43121" w:rsidRDefault="00AA4569" w:rsidP="00AA4569">
            <w:pPr>
              <w:suppressAutoHyphens/>
              <w:jc w:val="right"/>
              <w:rPr>
                <w:rFonts w:ascii="Arial" w:hAnsi="Arial" w:cs="Arial"/>
                <w:sz w:val="20"/>
                <w:szCs w:val="20"/>
              </w:rPr>
            </w:pPr>
            <w:r>
              <w:rPr>
                <w:rFonts w:ascii="Arial" w:hAnsi="Arial" w:cs="Arial"/>
                <w:sz w:val="20"/>
                <w:szCs w:val="20"/>
              </w:rPr>
              <w:t>2,385</w:t>
            </w:r>
          </w:p>
        </w:tc>
      </w:tr>
      <w:tr w:rsidR="00AA4569" w:rsidRPr="00A43121" w14:paraId="7DFC091A" w14:textId="79B261CE" w:rsidTr="00AA4569">
        <w:tc>
          <w:tcPr>
            <w:tcW w:w="355" w:type="dxa"/>
            <w:vAlign w:val="center"/>
          </w:tcPr>
          <w:p w14:paraId="652A434A" w14:textId="18978EE5" w:rsidR="00AA4569" w:rsidRPr="003E1DC9" w:rsidRDefault="00AA4569" w:rsidP="00AA4569">
            <w:pPr>
              <w:suppressAutoHyphens/>
              <w:rPr>
                <w:rFonts w:ascii="Arial Narrow" w:hAnsi="Arial Narrow" w:cs="Arial"/>
                <w:color w:val="000000"/>
                <w:sz w:val="18"/>
                <w:szCs w:val="18"/>
              </w:rPr>
            </w:pPr>
            <w:r w:rsidRPr="003E1DC9">
              <w:rPr>
                <w:rFonts w:ascii="Arial Narrow" w:hAnsi="Arial Narrow" w:cs="Arial"/>
                <w:color w:val="000000"/>
                <w:sz w:val="18"/>
                <w:szCs w:val="18"/>
              </w:rPr>
              <w:t>5</w:t>
            </w:r>
          </w:p>
        </w:tc>
        <w:tc>
          <w:tcPr>
            <w:tcW w:w="972" w:type="dxa"/>
            <w:vAlign w:val="center"/>
          </w:tcPr>
          <w:p w14:paraId="3FE49EDE" w14:textId="41EE11B6" w:rsidR="00AA4569" w:rsidRPr="00DC0E0B" w:rsidRDefault="00AA4569" w:rsidP="00AA4569">
            <w:pPr>
              <w:suppressAutoHyphens/>
              <w:rPr>
                <w:rFonts w:ascii="Arial" w:hAnsi="Arial" w:cs="Arial"/>
                <w:sz w:val="20"/>
                <w:szCs w:val="20"/>
              </w:rPr>
            </w:pPr>
            <w:r>
              <w:rPr>
                <w:rFonts w:ascii="Arial" w:hAnsi="Arial" w:cs="Arial"/>
                <w:color w:val="000000"/>
                <w:sz w:val="20"/>
                <w:szCs w:val="20"/>
              </w:rPr>
              <w:t>(d)(1)(ii)</w:t>
            </w:r>
          </w:p>
        </w:tc>
        <w:tc>
          <w:tcPr>
            <w:tcW w:w="3623" w:type="dxa"/>
            <w:vAlign w:val="center"/>
          </w:tcPr>
          <w:p w14:paraId="40AF79C6" w14:textId="239BF0D3" w:rsidR="00AA4569" w:rsidRPr="00DC0E0B" w:rsidRDefault="00AA4569" w:rsidP="00AA4569">
            <w:pPr>
              <w:suppressAutoHyphens/>
              <w:rPr>
                <w:rFonts w:ascii="Arial" w:hAnsi="Arial" w:cs="Arial"/>
                <w:sz w:val="20"/>
                <w:szCs w:val="20"/>
              </w:rPr>
            </w:pPr>
            <w:r>
              <w:rPr>
                <w:rFonts w:ascii="Arial Narrow" w:hAnsi="Arial Narrow"/>
                <w:color w:val="000000"/>
                <w:sz w:val="20"/>
                <w:szCs w:val="20"/>
              </w:rPr>
              <w:t>Retain copies of the original loan documents when pledging eligible obligations.</w:t>
            </w:r>
          </w:p>
        </w:tc>
        <w:tc>
          <w:tcPr>
            <w:tcW w:w="995" w:type="dxa"/>
            <w:vAlign w:val="center"/>
          </w:tcPr>
          <w:p w14:paraId="26DF7394" w14:textId="6B21D08A" w:rsidR="00AA4569" w:rsidRPr="00DC0E0B" w:rsidRDefault="00AA4569" w:rsidP="00AA4569">
            <w:pPr>
              <w:suppressAutoHyphens/>
              <w:jc w:val="right"/>
              <w:rPr>
                <w:rFonts w:ascii="Arial" w:hAnsi="Arial" w:cs="Arial"/>
                <w:sz w:val="20"/>
                <w:szCs w:val="20"/>
              </w:rPr>
            </w:pPr>
            <w:r>
              <w:rPr>
                <w:rFonts w:ascii="Arial" w:hAnsi="Arial" w:cs="Arial"/>
                <w:sz w:val="20"/>
                <w:szCs w:val="20"/>
              </w:rPr>
              <w:t>954</w:t>
            </w:r>
          </w:p>
        </w:tc>
        <w:tc>
          <w:tcPr>
            <w:tcW w:w="1075" w:type="dxa"/>
            <w:shd w:val="clear" w:color="auto" w:fill="BFBFBF" w:themeFill="background1" w:themeFillShade="BF"/>
            <w:vAlign w:val="center"/>
          </w:tcPr>
          <w:p w14:paraId="6561B5A7" w14:textId="1A02A765" w:rsidR="00AA4569" w:rsidRPr="00DC0E0B" w:rsidRDefault="00AA4569" w:rsidP="00AA4569">
            <w:pPr>
              <w:suppressAutoHyphens/>
              <w:jc w:val="right"/>
              <w:rPr>
                <w:rFonts w:ascii="Arial" w:hAnsi="Arial" w:cs="Arial"/>
                <w:sz w:val="20"/>
                <w:szCs w:val="20"/>
              </w:rPr>
            </w:pPr>
          </w:p>
        </w:tc>
        <w:tc>
          <w:tcPr>
            <w:tcW w:w="1057" w:type="dxa"/>
            <w:shd w:val="clear" w:color="auto" w:fill="BFBFBF" w:themeFill="background1" w:themeFillShade="BF"/>
            <w:vAlign w:val="center"/>
          </w:tcPr>
          <w:p w14:paraId="7082AD0B" w14:textId="7E764359" w:rsidR="00AA4569" w:rsidRPr="00DC0E0B" w:rsidRDefault="00AA4569" w:rsidP="00AA4569">
            <w:pPr>
              <w:suppressAutoHyphens/>
              <w:jc w:val="right"/>
              <w:rPr>
                <w:rFonts w:ascii="Arial" w:hAnsi="Arial" w:cs="Arial"/>
                <w:sz w:val="20"/>
                <w:szCs w:val="20"/>
              </w:rPr>
            </w:pPr>
          </w:p>
        </w:tc>
        <w:tc>
          <w:tcPr>
            <w:tcW w:w="1036" w:type="dxa"/>
            <w:shd w:val="clear" w:color="auto" w:fill="BFBFBF" w:themeFill="background1" w:themeFillShade="BF"/>
            <w:vAlign w:val="center"/>
          </w:tcPr>
          <w:p w14:paraId="603575FB" w14:textId="6B5D89A4" w:rsidR="00AA4569" w:rsidRPr="00DC0E0B" w:rsidRDefault="00AA4569" w:rsidP="00AA4569">
            <w:pPr>
              <w:suppressAutoHyphens/>
              <w:jc w:val="right"/>
              <w:rPr>
                <w:rFonts w:ascii="Arial" w:hAnsi="Arial" w:cs="Arial"/>
                <w:sz w:val="20"/>
                <w:szCs w:val="20"/>
              </w:rPr>
            </w:pPr>
          </w:p>
        </w:tc>
        <w:tc>
          <w:tcPr>
            <w:tcW w:w="1057" w:type="dxa"/>
            <w:tcBorders>
              <w:right w:val="single" w:sz="12" w:space="0" w:color="auto"/>
            </w:tcBorders>
            <w:shd w:val="clear" w:color="auto" w:fill="BFBFBF" w:themeFill="background1" w:themeFillShade="BF"/>
            <w:vAlign w:val="center"/>
          </w:tcPr>
          <w:p w14:paraId="2CDB74DB" w14:textId="2396CDAF" w:rsidR="00AA4569" w:rsidRPr="00DC0E0B" w:rsidRDefault="00AA4569" w:rsidP="00AA4569">
            <w:pPr>
              <w:suppressAutoHyphens/>
              <w:jc w:val="right"/>
              <w:rPr>
                <w:rFonts w:ascii="Arial" w:hAnsi="Arial" w:cs="Arial"/>
                <w:sz w:val="20"/>
                <w:szCs w:val="20"/>
              </w:rPr>
            </w:pPr>
          </w:p>
        </w:tc>
        <w:tc>
          <w:tcPr>
            <w:tcW w:w="1057" w:type="dxa"/>
            <w:tcBorders>
              <w:left w:val="single" w:sz="12" w:space="0" w:color="auto"/>
            </w:tcBorders>
            <w:shd w:val="clear" w:color="auto" w:fill="auto"/>
            <w:vAlign w:val="center"/>
          </w:tcPr>
          <w:p w14:paraId="788B9398" w14:textId="7C664232" w:rsidR="00AA4569" w:rsidRPr="00A43121" w:rsidRDefault="00AA4569" w:rsidP="00AA4569">
            <w:pPr>
              <w:suppressAutoHyphens/>
              <w:jc w:val="right"/>
              <w:rPr>
                <w:rFonts w:ascii="Arial" w:hAnsi="Arial" w:cs="Arial"/>
                <w:sz w:val="20"/>
                <w:szCs w:val="20"/>
              </w:rPr>
            </w:pPr>
            <w:r>
              <w:rPr>
                <w:rFonts w:ascii="Arial" w:hAnsi="Arial" w:cs="Arial"/>
                <w:sz w:val="20"/>
                <w:szCs w:val="20"/>
              </w:rPr>
              <w:t>10</w:t>
            </w:r>
          </w:p>
        </w:tc>
        <w:tc>
          <w:tcPr>
            <w:tcW w:w="1057" w:type="dxa"/>
            <w:shd w:val="clear" w:color="auto" w:fill="auto"/>
            <w:vAlign w:val="center"/>
          </w:tcPr>
          <w:p w14:paraId="57C66DA5" w14:textId="7A067F8E" w:rsidR="00AA4569" w:rsidRPr="00A43121" w:rsidRDefault="00AA4569" w:rsidP="00AA4569">
            <w:pPr>
              <w:suppressAutoHyphens/>
              <w:jc w:val="right"/>
              <w:rPr>
                <w:rFonts w:ascii="Arial" w:hAnsi="Arial" w:cs="Arial"/>
                <w:sz w:val="20"/>
                <w:szCs w:val="20"/>
              </w:rPr>
            </w:pPr>
            <w:r>
              <w:rPr>
                <w:rFonts w:ascii="Arial" w:hAnsi="Arial" w:cs="Arial"/>
                <w:sz w:val="20"/>
                <w:szCs w:val="20"/>
              </w:rPr>
              <w:t>9,540</w:t>
            </w:r>
          </w:p>
        </w:tc>
        <w:tc>
          <w:tcPr>
            <w:tcW w:w="1057" w:type="dxa"/>
            <w:shd w:val="clear" w:color="auto" w:fill="auto"/>
            <w:vAlign w:val="center"/>
          </w:tcPr>
          <w:p w14:paraId="525B3A79" w14:textId="6658737A" w:rsidR="00AA4569" w:rsidRPr="00A43121" w:rsidRDefault="00AA4569" w:rsidP="00AA4569">
            <w:pPr>
              <w:suppressAutoHyphens/>
              <w:jc w:val="right"/>
              <w:rPr>
                <w:rFonts w:ascii="Arial" w:hAnsi="Arial" w:cs="Arial"/>
                <w:sz w:val="20"/>
                <w:szCs w:val="20"/>
              </w:rPr>
            </w:pPr>
            <w:r>
              <w:rPr>
                <w:rFonts w:ascii="Arial" w:hAnsi="Arial" w:cs="Arial"/>
                <w:sz w:val="20"/>
                <w:szCs w:val="20"/>
              </w:rPr>
              <w:t>0.25</w:t>
            </w:r>
          </w:p>
        </w:tc>
        <w:tc>
          <w:tcPr>
            <w:tcW w:w="1057" w:type="dxa"/>
            <w:shd w:val="clear" w:color="auto" w:fill="auto"/>
            <w:vAlign w:val="center"/>
          </w:tcPr>
          <w:p w14:paraId="4B5F0EC7" w14:textId="6A530A20" w:rsidR="00AA4569" w:rsidRPr="00A43121" w:rsidRDefault="00AA4569" w:rsidP="00AA4569">
            <w:pPr>
              <w:suppressAutoHyphens/>
              <w:jc w:val="right"/>
              <w:rPr>
                <w:rFonts w:ascii="Arial" w:hAnsi="Arial" w:cs="Arial"/>
                <w:sz w:val="20"/>
                <w:szCs w:val="20"/>
              </w:rPr>
            </w:pPr>
            <w:r>
              <w:rPr>
                <w:rFonts w:ascii="Arial" w:hAnsi="Arial" w:cs="Arial"/>
                <w:sz w:val="20"/>
                <w:szCs w:val="20"/>
              </w:rPr>
              <w:t>2,385</w:t>
            </w:r>
          </w:p>
        </w:tc>
      </w:tr>
      <w:tr w:rsidR="00AA4569" w:rsidRPr="00A43121" w14:paraId="20BA80FB" w14:textId="18C6B459" w:rsidTr="00AA4569">
        <w:tc>
          <w:tcPr>
            <w:tcW w:w="355" w:type="dxa"/>
            <w:vAlign w:val="center"/>
          </w:tcPr>
          <w:p w14:paraId="212B7E58" w14:textId="0951B3B2" w:rsidR="00AA4569" w:rsidRPr="003E1DC9" w:rsidRDefault="00AA4569" w:rsidP="00AA4569">
            <w:pPr>
              <w:suppressAutoHyphens/>
              <w:rPr>
                <w:rFonts w:ascii="Arial Narrow" w:hAnsi="Arial Narrow" w:cs="Arial"/>
                <w:color w:val="000000"/>
                <w:sz w:val="18"/>
                <w:szCs w:val="18"/>
              </w:rPr>
            </w:pPr>
            <w:r w:rsidRPr="003E1DC9">
              <w:rPr>
                <w:rFonts w:ascii="Arial Narrow" w:hAnsi="Arial Narrow" w:cs="Arial"/>
                <w:color w:val="000000"/>
                <w:sz w:val="18"/>
                <w:szCs w:val="18"/>
              </w:rPr>
              <w:t>6</w:t>
            </w:r>
          </w:p>
        </w:tc>
        <w:tc>
          <w:tcPr>
            <w:tcW w:w="972" w:type="dxa"/>
            <w:vAlign w:val="center"/>
          </w:tcPr>
          <w:p w14:paraId="54E7E82D" w14:textId="2164555C" w:rsidR="00AA4569" w:rsidRPr="00DC0E0B" w:rsidRDefault="00AA4569" w:rsidP="00AA4569">
            <w:pPr>
              <w:suppressAutoHyphens/>
              <w:rPr>
                <w:rFonts w:ascii="Arial" w:hAnsi="Arial" w:cs="Arial"/>
                <w:sz w:val="20"/>
                <w:szCs w:val="20"/>
              </w:rPr>
            </w:pPr>
            <w:r>
              <w:rPr>
                <w:rFonts w:ascii="Arial" w:hAnsi="Arial" w:cs="Arial"/>
                <w:color w:val="000000"/>
                <w:sz w:val="20"/>
                <w:szCs w:val="20"/>
              </w:rPr>
              <w:t>(d)(1)(iii)</w:t>
            </w:r>
          </w:p>
        </w:tc>
        <w:tc>
          <w:tcPr>
            <w:tcW w:w="3623" w:type="dxa"/>
            <w:vAlign w:val="center"/>
          </w:tcPr>
          <w:p w14:paraId="5FC2FA6A" w14:textId="37389828" w:rsidR="00AA4569" w:rsidRPr="00DC0E0B" w:rsidRDefault="00AA4569" w:rsidP="00AA4569">
            <w:pPr>
              <w:suppressAutoHyphens/>
              <w:rPr>
                <w:rFonts w:ascii="Arial" w:hAnsi="Arial" w:cs="Arial"/>
                <w:sz w:val="20"/>
                <w:szCs w:val="20"/>
              </w:rPr>
            </w:pPr>
            <w:r>
              <w:rPr>
                <w:rFonts w:ascii="Arial Narrow" w:hAnsi="Arial Narrow"/>
                <w:color w:val="000000"/>
                <w:sz w:val="20"/>
                <w:szCs w:val="20"/>
              </w:rPr>
              <w:t>Retain a written agreement and schedule of eligible obligations pledged in the credit union’s office, when pledging eligible obligations.</w:t>
            </w:r>
          </w:p>
        </w:tc>
        <w:tc>
          <w:tcPr>
            <w:tcW w:w="995" w:type="dxa"/>
            <w:vAlign w:val="center"/>
          </w:tcPr>
          <w:p w14:paraId="560D8CD9" w14:textId="0B4A22B1" w:rsidR="00AA4569" w:rsidRPr="00DC0E0B" w:rsidRDefault="00AA4569" w:rsidP="00AA4569">
            <w:pPr>
              <w:suppressAutoHyphens/>
              <w:jc w:val="right"/>
              <w:rPr>
                <w:rFonts w:ascii="Arial" w:hAnsi="Arial" w:cs="Arial"/>
                <w:sz w:val="20"/>
                <w:szCs w:val="20"/>
              </w:rPr>
            </w:pPr>
            <w:r>
              <w:rPr>
                <w:rFonts w:ascii="Arial" w:hAnsi="Arial" w:cs="Arial"/>
                <w:sz w:val="20"/>
                <w:szCs w:val="20"/>
              </w:rPr>
              <w:t>954</w:t>
            </w:r>
          </w:p>
        </w:tc>
        <w:tc>
          <w:tcPr>
            <w:tcW w:w="1075" w:type="dxa"/>
            <w:shd w:val="clear" w:color="auto" w:fill="BFBFBF" w:themeFill="background1" w:themeFillShade="BF"/>
            <w:vAlign w:val="center"/>
          </w:tcPr>
          <w:p w14:paraId="60E14097" w14:textId="21BD6E7E" w:rsidR="00AA4569" w:rsidRPr="00DC0E0B" w:rsidRDefault="00AA4569" w:rsidP="00AA4569">
            <w:pPr>
              <w:suppressAutoHyphens/>
              <w:jc w:val="right"/>
              <w:rPr>
                <w:rFonts w:ascii="Arial" w:hAnsi="Arial" w:cs="Arial"/>
                <w:sz w:val="20"/>
                <w:szCs w:val="20"/>
              </w:rPr>
            </w:pPr>
          </w:p>
        </w:tc>
        <w:tc>
          <w:tcPr>
            <w:tcW w:w="1057" w:type="dxa"/>
            <w:shd w:val="clear" w:color="auto" w:fill="BFBFBF" w:themeFill="background1" w:themeFillShade="BF"/>
            <w:vAlign w:val="center"/>
          </w:tcPr>
          <w:p w14:paraId="3C77BFF1" w14:textId="438D608A" w:rsidR="00AA4569" w:rsidRPr="00DC0E0B" w:rsidRDefault="00AA4569" w:rsidP="00AA4569">
            <w:pPr>
              <w:suppressAutoHyphens/>
              <w:jc w:val="right"/>
              <w:rPr>
                <w:rFonts w:ascii="Arial" w:hAnsi="Arial" w:cs="Arial"/>
                <w:sz w:val="20"/>
                <w:szCs w:val="20"/>
              </w:rPr>
            </w:pPr>
          </w:p>
        </w:tc>
        <w:tc>
          <w:tcPr>
            <w:tcW w:w="1036" w:type="dxa"/>
            <w:shd w:val="clear" w:color="auto" w:fill="BFBFBF" w:themeFill="background1" w:themeFillShade="BF"/>
            <w:vAlign w:val="center"/>
          </w:tcPr>
          <w:p w14:paraId="590B4748" w14:textId="0FB8E748" w:rsidR="00AA4569" w:rsidRPr="00DC0E0B" w:rsidRDefault="00AA4569" w:rsidP="00AA4569">
            <w:pPr>
              <w:suppressAutoHyphens/>
              <w:jc w:val="right"/>
              <w:rPr>
                <w:rFonts w:ascii="Arial" w:hAnsi="Arial" w:cs="Arial"/>
                <w:sz w:val="20"/>
                <w:szCs w:val="20"/>
              </w:rPr>
            </w:pPr>
          </w:p>
        </w:tc>
        <w:tc>
          <w:tcPr>
            <w:tcW w:w="1057" w:type="dxa"/>
            <w:tcBorders>
              <w:right w:val="single" w:sz="12" w:space="0" w:color="auto"/>
            </w:tcBorders>
            <w:shd w:val="clear" w:color="auto" w:fill="BFBFBF" w:themeFill="background1" w:themeFillShade="BF"/>
            <w:vAlign w:val="center"/>
          </w:tcPr>
          <w:p w14:paraId="08D3E714" w14:textId="72DC7D1E" w:rsidR="00AA4569" w:rsidRPr="00DC0E0B" w:rsidRDefault="00AA4569" w:rsidP="00AA4569">
            <w:pPr>
              <w:suppressAutoHyphens/>
              <w:jc w:val="right"/>
              <w:rPr>
                <w:rFonts w:ascii="Arial" w:hAnsi="Arial" w:cs="Arial"/>
                <w:sz w:val="20"/>
                <w:szCs w:val="20"/>
              </w:rPr>
            </w:pPr>
          </w:p>
        </w:tc>
        <w:tc>
          <w:tcPr>
            <w:tcW w:w="1057" w:type="dxa"/>
            <w:tcBorders>
              <w:left w:val="single" w:sz="12" w:space="0" w:color="auto"/>
            </w:tcBorders>
            <w:shd w:val="clear" w:color="auto" w:fill="auto"/>
            <w:vAlign w:val="center"/>
          </w:tcPr>
          <w:p w14:paraId="24145EF2" w14:textId="0EB862AB" w:rsidR="00AA4569" w:rsidRPr="00A43121" w:rsidRDefault="00AA4569" w:rsidP="00AA4569">
            <w:pPr>
              <w:suppressAutoHyphens/>
              <w:jc w:val="right"/>
              <w:rPr>
                <w:rFonts w:ascii="Arial" w:hAnsi="Arial" w:cs="Arial"/>
                <w:sz w:val="20"/>
                <w:szCs w:val="20"/>
              </w:rPr>
            </w:pPr>
            <w:r>
              <w:rPr>
                <w:rFonts w:ascii="Arial" w:hAnsi="Arial" w:cs="Arial"/>
                <w:sz w:val="20"/>
                <w:szCs w:val="20"/>
              </w:rPr>
              <w:t>10</w:t>
            </w:r>
          </w:p>
        </w:tc>
        <w:tc>
          <w:tcPr>
            <w:tcW w:w="1057" w:type="dxa"/>
            <w:shd w:val="clear" w:color="auto" w:fill="auto"/>
            <w:vAlign w:val="center"/>
          </w:tcPr>
          <w:p w14:paraId="4815C442" w14:textId="52ADE2F5" w:rsidR="00AA4569" w:rsidRPr="00A43121" w:rsidRDefault="00AA4569" w:rsidP="00AA4569">
            <w:pPr>
              <w:suppressAutoHyphens/>
              <w:jc w:val="right"/>
              <w:rPr>
                <w:rFonts w:ascii="Arial" w:hAnsi="Arial" w:cs="Arial"/>
                <w:sz w:val="20"/>
                <w:szCs w:val="20"/>
              </w:rPr>
            </w:pPr>
            <w:r>
              <w:rPr>
                <w:rFonts w:ascii="Arial" w:hAnsi="Arial" w:cs="Arial"/>
                <w:sz w:val="20"/>
                <w:szCs w:val="20"/>
              </w:rPr>
              <w:t>9.540</w:t>
            </w:r>
          </w:p>
        </w:tc>
        <w:tc>
          <w:tcPr>
            <w:tcW w:w="1057" w:type="dxa"/>
            <w:shd w:val="clear" w:color="auto" w:fill="auto"/>
            <w:vAlign w:val="center"/>
          </w:tcPr>
          <w:p w14:paraId="5C206EBD" w14:textId="73E8AA9E" w:rsidR="00AA4569" w:rsidRPr="00A43121" w:rsidRDefault="00AA4569" w:rsidP="00AA4569">
            <w:pPr>
              <w:suppressAutoHyphens/>
              <w:jc w:val="right"/>
              <w:rPr>
                <w:rFonts w:ascii="Arial" w:hAnsi="Arial" w:cs="Arial"/>
                <w:sz w:val="20"/>
                <w:szCs w:val="20"/>
              </w:rPr>
            </w:pPr>
            <w:r>
              <w:rPr>
                <w:rFonts w:ascii="Arial" w:hAnsi="Arial" w:cs="Arial"/>
                <w:sz w:val="20"/>
                <w:szCs w:val="20"/>
              </w:rPr>
              <w:t>0.25</w:t>
            </w:r>
          </w:p>
        </w:tc>
        <w:tc>
          <w:tcPr>
            <w:tcW w:w="1057" w:type="dxa"/>
            <w:shd w:val="clear" w:color="auto" w:fill="auto"/>
            <w:vAlign w:val="center"/>
          </w:tcPr>
          <w:p w14:paraId="1A017BD2" w14:textId="3FE65287" w:rsidR="00AA4569" w:rsidRPr="00A43121" w:rsidRDefault="00AA4569" w:rsidP="00AA4569">
            <w:pPr>
              <w:suppressAutoHyphens/>
              <w:jc w:val="right"/>
              <w:rPr>
                <w:rFonts w:ascii="Arial" w:hAnsi="Arial" w:cs="Arial"/>
                <w:sz w:val="20"/>
                <w:szCs w:val="20"/>
              </w:rPr>
            </w:pPr>
            <w:r>
              <w:rPr>
                <w:rFonts w:ascii="Arial" w:hAnsi="Arial" w:cs="Arial"/>
                <w:sz w:val="20"/>
                <w:szCs w:val="20"/>
              </w:rPr>
              <w:t>2,385</w:t>
            </w:r>
          </w:p>
        </w:tc>
      </w:tr>
      <w:tr w:rsidR="00AA4569" w:rsidRPr="00A43121" w14:paraId="2BC83784" w14:textId="45F7F7B0" w:rsidTr="00AA4569">
        <w:tc>
          <w:tcPr>
            <w:tcW w:w="355" w:type="dxa"/>
            <w:vAlign w:val="center"/>
          </w:tcPr>
          <w:p w14:paraId="76E72F1D" w14:textId="1E67789A" w:rsidR="00AA4569" w:rsidRPr="003E1DC9" w:rsidRDefault="00AA4569" w:rsidP="00AA4569">
            <w:pPr>
              <w:suppressAutoHyphens/>
              <w:rPr>
                <w:rFonts w:ascii="Arial Narrow" w:hAnsi="Arial Narrow" w:cs="Arial"/>
                <w:color w:val="000000"/>
                <w:sz w:val="18"/>
                <w:szCs w:val="18"/>
              </w:rPr>
            </w:pPr>
            <w:r w:rsidRPr="003E1DC9">
              <w:rPr>
                <w:rFonts w:ascii="Arial Narrow" w:hAnsi="Arial Narrow" w:cs="Arial"/>
                <w:color w:val="000000"/>
                <w:sz w:val="18"/>
                <w:szCs w:val="18"/>
              </w:rPr>
              <w:t>7</w:t>
            </w:r>
          </w:p>
        </w:tc>
        <w:tc>
          <w:tcPr>
            <w:tcW w:w="972" w:type="dxa"/>
            <w:vAlign w:val="center"/>
          </w:tcPr>
          <w:p w14:paraId="46AE16DE" w14:textId="1C9ABA3B" w:rsidR="00AA4569" w:rsidRPr="00DC0E0B" w:rsidRDefault="00AA4569" w:rsidP="00AA4569">
            <w:pPr>
              <w:suppressAutoHyphens/>
              <w:rPr>
                <w:rFonts w:ascii="Arial" w:hAnsi="Arial" w:cs="Arial"/>
                <w:sz w:val="20"/>
                <w:szCs w:val="20"/>
              </w:rPr>
            </w:pPr>
            <w:r>
              <w:rPr>
                <w:rFonts w:ascii="Arial" w:hAnsi="Arial" w:cs="Arial"/>
                <w:color w:val="000000"/>
                <w:sz w:val="20"/>
                <w:szCs w:val="20"/>
              </w:rPr>
              <w:t>(g)(2)(iii)</w:t>
            </w:r>
          </w:p>
        </w:tc>
        <w:tc>
          <w:tcPr>
            <w:tcW w:w="3623" w:type="dxa"/>
            <w:vAlign w:val="center"/>
          </w:tcPr>
          <w:p w14:paraId="1FB02A47" w14:textId="47B9690C" w:rsidR="00AA4569" w:rsidRPr="00DC0E0B" w:rsidRDefault="00AA4569" w:rsidP="00AA4569">
            <w:pPr>
              <w:suppressAutoHyphens/>
              <w:rPr>
                <w:rFonts w:ascii="Arial" w:hAnsi="Arial" w:cs="Arial"/>
                <w:sz w:val="20"/>
                <w:szCs w:val="20"/>
              </w:rPr>
            </w:pPr>
            <w:r>
              <w:rPr>
                <w:rFonts w:ascii="Arial Narrow" w:hAnsi="Arial Narrow"/>
                <w:color w:val="000000"/>
                <w:sz w:val="20"/>
                <w:szCs w:val="20"/>
              </w:rPr>
              <w:t>Establish a written policy for an incentive and bonus program if the credit union provides such bonuses and incentives related to the purchase, sale, and/or pledge of eligible obligations.</w:t>
            </w:r>
          </w:p>
        </w:tc>
        <w:tc>
          <w:tcPr>
            <w:tcW w:w="995" w:type="dxa"/>
            <w:vAlign w:val="center"/>
          </w:tcPr>
          <w:p w14:paraId="4452A149" w14:textId="36218AC9" w:rsidR="00AA4569" w:rsidRPr="00DC0E0B" w:rsidRDefault="00AA4569" w:rsidP="00AA4569">
            <w:pPr>
              <w:suppressAutoHyphens/>
              <w:jc w:val="right"/>
              <w:rPr>
                <w:rFonts w:ascii="Arial" w:hAnsi="Arial" w:cs="Arial"/>
                <w:sz w:val="20"/>
                <w:szCs w:val="20"/>
              </w:rPr>
            </w:pPr>
            <w:r>
              <w:rPr>
                <w:rFonts w:ascii="Arial" w:hAnsi="Arial" w:cs="Arial"/>
                <w:sz w:val="20"/>
                <w:szCs w:val="20"/>
              </w:rPr>
              <w:t>50</w:t>
            </w:r>
          </w:p>
        </w:tc>
        <w:tc>
          <w:tcPr>
            <w:tcW w:w="1075" w:type="dxa"/>
            <w:shd w:val="clear" w:color="auto" w:fill="BFBFBF" w:themeFill="background1" w:themeFillShade="BF"/>
            <w:vAlign w:val="center"/>
          </w:tcPr>
          <w:p w14:paraId="31024FE7" w14:textId="75149115" w:rsidR="00AA4569" w:rsidRPr="00DC0E0B" w:rsidRDefault="00AA4569" w:rsidP="00AA4569">
            <w:pPr>
              <w:suppressAutoHyphens/>
              <w:jc w:val="right"/>
              <w:rPr>
                <w:rFonts w:ascii="Arial" w:hAnsi="Arial" w:cs="Arial"/>
                <w:sz w:val="20"/>
                <w:szCs w:val="20"/>
              </w:rPr>
            </w:pPr>
          </w:p>
        </w:tc>
        <w:tc>
          <w:tcPr>
            <w:tcW w:w="1057" w:type="dxa"/>
            <w:shd w:val="clear" w:color="auto" w:fill="BFBFBF" w:themeFill="background1" w:themeFillShade="BF"/>
            <w:vAlign w:val="center"/>
          </w:tcPr>
          <w:p w14:paraId="40C0175A" w14:textId="75450D1A" w:rsidR="00AA4569" w:rsidRPr="00DC0E0B" w:rsidRDefault="00AA4569" w:rsidP="00AA4569">
            <w:pPr>
              <w:suppressAutoHyphens/>
              <w:jc w:val="right"/>
              <w:rPr>
                <w:rFonts w:ascii="Arial" w:hAnsi="Arial" w:cs="Arial"/>
                <w:sz w:val="20"/>
                <w:szCs w:val="20"/>
              </w:rPr>
            </w:pPr>
          </w:p>
        </w:tc>
        <w:tc>
          <w:tcPr>
            <w:tcW w:w="1036" w:type="dxa"/>
            <w:shd w:val="clear" w:color="auto" w:fill="BFBFBF" w:themeFill="background1" w:themeFillShade="BF"/>
            <w:vAlign w:val="center"/>
          </w:tcPr>
          <w:p w14:paraId="244CA7A5" w14:textId="130300DE" w:rsidR="00AA4569" w:rsidRPr="00DC0E0B" w:rsidRDefault="00AA4569" w:rsidP="00AA4569">
            <w:pPr>
              <w:suppressAutoHyphens/>
              <w:jc w:val="right"/>
              <w:rPr>
                <w:rFonts w:ascii="Arial" w:hAnsi="Arial" w:cs="Arial"/>
                <w:sz w:val="20"/>
                <w:szCs w:val="20"/>
              </w:rPr>
            </w:pPr>
          </w:p>
        </w:tc>
        <w:tc>
          <w:tcPr>
            <w:tcW w:w="1057" w:type="dxa"/>
            <w:tcBorders>
              <w:right w:val="single" w:sz="12" w:space="0" w:color="auto"/>
            </w:tcBorders>
            <w:shd w:val="clear" w:color="auto" w:fill="BFBFBF" w:themeFill="background1" w:themeFillShade="BF"/>
            <w:vAlign w:val="center"/>
          </w:tcPr>
          <w:p w14:paraId="7D795097" w14:textId="7B44A1E0" w:rsidR="00AA4569" w:rsidRPr="00DC0E0B" w:rsidRDefault="00AA4569" w:rsidP="00AA4569">
            <w:pPr>
              <w:suppressAutoHyphens/>
              <w:jc w:val="right"/>
              <w:rPr>
                <w:rFonts w:ascii="Arial" w:hAnsi="Arial" w:cs="Arial"/>
                <w:sz w:val="20"/>
                <w:szCs w:val="20"/>
              </w:rPr>
            </w:pPr>
          </w:p>
        </w:tc>
        <w:tc>
          <w:tcPr>
            <w:tcW w:w="1057" w:type="dxa"/>
            <w:tcBorders>
              <w:left w:val="single" w:sz="12" w:space="0" w:color="auto"/>
            </w:tcBorders>
            <w:shd w:val="clear" w:color="auto" w:fill="auto"/>
            <w:vAlign w:val="center"/>
          </w:tcPr>
          <w:p w14:paraId="45263B1F" w14:textId="01F8EAE0" w:rsidR="00AA4569" w:rsidRPr="00A43121" w:rsidRDefault="00AA4569" w:rsidP="00AA4569">
            <w:pPr>
              <w:suppressAutoHyphens/>
              <w:jc w:val="right"/>
              <w:rPr>
                <w:rFonts w:ascii="Arial" w:hAnsi="Arial" w:cs="Arial"/>
                <w:sz w:val="20"/>
                <w:szCs w:val="20"/>
              </w:rPr>
            </w:pPr>
            <w:r>
              <w:rPr>
                <w:rFonts w:ascii="Arial" w:hAnsi="Arial" w:cs="Arial"/>
                <w:sz w:val="20"/>
                <w:szCs w:val="20"/>
              </w:rPr>
              <w:t>1</w:t>
            </w:r>
          </w:p>
        </w:tc>
        <w:tc>
          <w:tcPr>
            <w:tcW w:w="1057" w:type="dxa"/>
            <w:shd w:val="clear" w:color="auto" w:fill="auto"/>
            <w:vAlign w:val="center"/>
          </w:tcPr>
          <w:p w14:paraId="3ADA1E7E" w14:textId="45574115" w:rsidR="00AA4569" w:rsidRPr="00A43121" w:rsidRDefault="00AA4569" w:rsidP="00AA4569">
            <w:pPr>
              <w:suppressAutoHyphens/>
              <w:jc w:val="right"/>
              <w:rPr>
                <w:rFonts w:ascii="Arial" w:hAnsi="Arial" w:cs="Arial"/>
                <w:sz w:val="20"/>
                <w:szCs w:val="20"/>
              </w:rPr>
            </w:pPr>
            <w:r>
              <w:rPr>
                <w:rFonts w:ascii="Arial" w:hAnsi="Arial" w:cs="Arial"/>
                <w:sz w:val="20"/>
                <w:szCs w:val="20"/>
              </w:rPr>
              <w:t>50</w:t>
            </w:r>
          </w:p>
        </w:tc>
        <w:tc>
          <w:tcPr>
            <w:tcW w:w="1057" w:type="dxa"/>
            <w:shd w:val="clear" w:color="auto" w:fill="auto"/>
            <w:vAlign w:val="center"/>
          </w:tcPr>
          <w:p w14:paraId="729368C4" w14:textId="3F6894D4" w:rsidR="00AA4569" w:rsidRPr="00A43121" w:rsidRDefault="00AA4569" w:rsidP="00AA4569">
            <w:pPr>
              <w:suppressAutoHyphens/>
              <w:jc w:val="right"/>
              <w:rPr>
                <w:rFonts w:ascii="Arial" w:hAnsi="Arial" w:cs="Arial"/>
                <w:sz w:val="20"/>
                <w:szCs w:val="20"/>
              </w:rPr>
            </w:pPr>
            <w:r>
              <w:rPr>
                <w:rFonts w:ascii="Arial" w:hAnsi="Arial" w:cs="Arial"/>
                <w:sz w:val="20"/>
                <w:szCs w:val="20"/>
              </w:rPr>
              <w:t>2</w:t>
            </w:r>
          </w:p>
        </w:tc>
        <w:tc>
          <w:tcPr>
            <w:tcW w:w="1057" w:type="dxa"/>
            <w:shd w:val="clear" w:color="auto" w:fill="auto"/>
            <w:vAlign w:val="center"/>
          </w:tcPr>
          <w:p w14:paraId="54E5F0F4" w14:textId="2A225D76" w:rsidR="00AA4569" w:rsidRPr="00A43121" w:rsidRDefault="00AA4569" w:rsidP="00AA4569">
            <w:pPr>
              <w:suppressAutoHyphens/>
              <w:jc w:val="right"/>
              <w:rPr>
                <w:rFonts w:ascii="Arial" w:hAnsi="Arial" w:cs="Arial"/>
                <w:sz w:val="20"/>
                <w:szCs w:val="20"/>
              </w:rPr>
            </w:pPr>
            <w:r>
              <w:rPr>
                <w:rFonts w:ascii="Arial" w:hAnsi="Arial" w:cs="Arial"/>
                <w:sz w:val="20"/>
                <w:szCs w:val="20"/>
              </w:rPr>
              <w:t>100</w:t>
            </w:r>
          </w:p>
        </w:tc>
      </w:tr>
      <w:tr w:rsidR="00AA4569" w:rsidRPr="00A43121" w14:paraId="0577DED3" w14:textId="1459AE90" w:rsidTr="00AA4569">
        <w:tc>
          <w:tcPr>
            <w:tcW w:w="355" w:type="dxa"/>
            <w:vAlign w:val="center"/>
          </w:tcPr>
          <w:p w14:paraId="1D4FC853" w14:textId="028A639F" w:rsidR="00AA4569" w:rsidRPr="003E1DC9" w:rsidRDefault="00AA4569" w:rsidP="00AA4569">
            <w:pPr>
              <w:suppressAutoHyphens/>
              <w:rPr>
                <w:rFonts w:ascii="Arial Narrow" w:hAnsi="Arial Narrow" w:cs="Arial"/>
                <w:color w:val="000000"/>
                <w:sz w:val="18"/>
                <w:szCs w:val="18"/>
              </w:rPr>
            </w:pPr>
            <w:r w:rsidRPr="003E1DC9">
              <w:rPr>
                <w:rFonts w:ascii="Arial Narrow" w:hAnsi="Arial Narrow" w:cs="Arial"/>
                <w:color w:val="000000"/>
                <w:sz w:val="18"/>
                <w:szCs w:val="18"/>
              </w:rPr>
              <w:t>8</w:t>
            </w:r>
          </w:p>
        </w:tc>
        <w:tc>
          <w:tcPr>
            <w:tcW w:w="972" w:type="dxa"/>
            <w:vAlign w:val="center"/>
          </w:tcPr>
          <w:p w14:paraId="6DA0C5E5" w14:textId="1E0768E5" w:rsidR="00AA4569" w:rsidRPr="00DC0E0B" w:rsidRDefault="00AA4569" w:rsidP="00AA4569">
            <w:pPr>
              <w:suppressAutoHyphens/>
              <w:rPr>
                <w:rFonts w:ascii="Arial" w:hAnsi="Arial" w:cs="Arial"/>
                <w:sz w:val="20"/>
                <w:szCs w:val="20"/>
              </w:rPr>
            </w:pPr>
            <w:r>
              <w:rPr>
                <w:rFonts w:ascii="Arial" w:hAnsi="Arial" w:cs="Arial"/>
                <w:color w:val="000000"/>
                <w:sz w:val="20"/>
                <w:szCs w:val="20"/>
              </w:rPr>
              <w:t>(h)(1)</w:t>
            </w:r>
          </w:p>
        </w:tc>
        <w:tc>
          <w:tcPr>
            <w:tcW w:w="3623" w:type="dxa"/>
            <w:vAlign w:val="center"/>
          </w:tcPr>
          <w:p w14:paraId="4BD4D9ED" w14:textId="2634746D" w:rsidR="00AA4569" w:rsidRPr="00DC0E0B" w:rsidRDefault="00AA4569" w:rsidP="00AA4569">
            <w:pPr>
              <w:suppressAutoHyphens/>
              <w:rPr>
                <w:rFonts w:ascii="Arial" w:hAnsi="Arial" w:cs="Arial"/>
                <w:sz w:val="20"/>
                <w:szCs w:val="20"/>
              </w:rPr>
            </w:pPr>
            <w:r>
              <w:rPr>
                <w:rFonts w:ascii="Arial Narrow" w:hAnsi="Arial Narrow"/>
                <w:color w:val="000000"/>
                <w:sz w:val="20"/>
                <w:szCs w:val="20"/>
              </w:rPr>
              <w:t>Submit a written request to NCUA seeking expanded authority related to the purchase of eligible obligations from another federally insured credit union.</w:t>
            </w:r>
          </w:p>
        </w:tc>
        <w:tc>
          <w:tcPr>
            <w:tcW w:w="995" w:type="dxa"/>
            <w:vAlign w:val="center"/>
          </w:tcPr>
          <w:p w14:paraId="3FB93D21" w14:textId="3FD61A7C" w:rsidR="00AA4569" w:rsidRPr="00DC0E0B" w:rsidRDefault="00AA4569" w:rsidP="00AA4569">
            <w:pPr>
              <w:suppressAutoHyphens/>
              <w:jc w:val="right"/>
              <w:rPr>
                <w:rFonts w:ascii="Arial" w:hAnsi="Arial" w:cs="Arial"/>
                <w:sz w:val="20"/>
                <w:szCs w:val="20"/>
              </w:rPr>
            </w:pPr>
            <w:r>
              <w:rPr>
                <w:rFonts w:ascii="Arial" w:hAnsi="Arial" w:cs="Arial"/>
                <w:sz w:val="20"/>
                <w:szCs w:val="20"/>
              </w:rPr>
              <w:t>35</w:t>
            </w:r>
          </w:p>
        </w:tc>
        <w:tc>
          <w:tcPr>
            <w:tcW w:w="1075" w:type="dxa"/>
            <w:vAlign w:val="center"/>
          </w:tcPr>
          <w:p w14:paraId="406AE145" w14:textId="0BAC2231" w:rsidR="00AA4569" w:rsidRPr="00DC0E0B" w:rsidRDefault="00AA4569" w:rsidP="00AA4569">
            <w:pPr>
              <w:suppressAutoHyphens/>
              <w:jc w:val="right"/>
              <w:rPr>
                <w:rFonts w:ascii="Arial" w:hAnsi="Arial" w:cs="Arial"/>
                <w:sz w:val="20"/>
                <w:szCs w:val="20"/>
              </w:rPr>
            </w:pPr>
            <w:r>
              <w:rPr>
                <w:rFonts w:ascii="Arial" w:hAnsi="Arial" w:cs="Arial"/>
                <w:sz w:val="20"/>
                <w:szCs w:val="20"/>
              </w:rPr>
              <w:t>1</w:t>
            </w:r>
          </w:p>
        </w:tc>
        <w:tc>
          <w:tcPr>
            <w:tcW w:w="1057" w:type="dxa"/>
            <w:vAlign w:val="center"/>
          </w:tcPr>
          <w:p w14:paraId="5F50FC71" w14:textId="65A86BCB" w:rsidR="00AA4569" w:rsidRPr="00DC0E0B" w:rsidRDefault="00AA4569" w:rsidP="00AA4569">
            <w:pPr>
              <w:suppressAutoHyphens/>
              <w:jc w:val="right"/>
              <w:rPr>
                <w:rFonts w:ascii="Arial" w:hAnsi="Arial" w:cs="Arial"/>
                <w:sz w:val="20"/>
                <w:szCs w:val="20"/>
              </w:rPr>
            </w:pPr>
            <w:r>
              <w:rPr>
                <w:rFonts w:ascii="Arial" w:hAnsi="Arial" w:cs="Arial"/>
                <w:sz w:val="20"/>
                <w:szCs w:val="20"/>
              </w:rPr>
              <w:t>35</w:t>
            </w:r>
          </w:p>
        </w:tc>
        <w:tc>
          <w:tcPr>
            <w:tcW w:w="1036" w:type="dxa"/>
            <w:vAlign w:val="center"/>
          </w:tcPr>
          <w:p w14:paraId="40F155DD" w14:textId="093C3B38" w:rsidR="00AA4569" w:rsidRPr="00DC0E0B" w:rsidRDefault="00AA4569" w:rsidP="00AA4569">
            <w:pPr>
              <w:suppressAutoHyphens/>
              <w:jc w:val="right"/>
              <w:rPr>
                <w:rFonts w:ascii="Arial" w:hAnsi="Arial" w:cs="Arial"/>
                <w:sz w:val="20"/>
                <w:szCs w:val="20"/>
              </w:rPr>
            </w:pPr>
            <w:r>
              <w:rPr>
                <w:rFonts w:ascii="Arial" w:hAnsi="Arial" w:cs="Arial"/>
                <w:sz w:val="20"/>
                <w:szCs w:val="20"/>
              </w:rPr>
              <w:t>8</w:t>
            </w:r>
          </w:p>
        </w:tc>
        <w:tc>
          <w:tcPr>
            <w:tcW w:w="1057" w:type="dxa"/>
            <w:tcBorders>
              <w:right w:val="single" w:sz="12" w:space="0" w:color="auto"/>
            </w:tcBorders>
            <w:vAlign w:val="center"/>
          </w:tcPr>
          <w:p w14:paraId="01D24542" w14:textId="66B8791B" w:rsidR="00AA4569" w:rsidRPr="00DC0E0B" w:rsidRDefault="00AA4569" w:rsidP="00AA4569">
            <w:pPr>
              <w:suppressAutoHyphens/>
              <w:jc w:val="right"/>
              <w:rPr>
                <w:rFonts w:ascii="Arial" w:hAnsi="Arial" w:cs="Arial"/>
                <w:sz w:val="20"/>
                <w:szCs w:val="20"/>
              </w:rPr>
            </w:pPr>
            <w:r>
              <w:rPr>
                <w:rFonts w:ascii="Arial" w:hAnsi="Arial" w:cs="Arial"/>
                <w:sz w:val="20"/>
                <w:szCs w:val="20"/>
              </w:rPr>
              <w:t>280</w:t>
            </w:r>
          </w:p>
        </w:tc>
        <w:tc>
          <w:tcPr>
            <w:tcW w:w="1057" w:type="dxa"/>
            <w:tcBorders>
              <w:left w:val="single" w:sz="12" w:space="0" w:color="auto"/>
            </w:tcBorders>
            <w:shd w:val="clear" w:color="auto" w:fill="BFBFBF" w:themeFill="background1" w:themeFillShade="BF"/>
          </w:tcPr>
          <w:p w14:paraId="144BFC70" w14:textId="77777777" w:rsidR="00AA4569" w:rsidRPr="00A43121" w:rsidRDefault="00AA4569" w:rsidP="00AA4569">
            <w:pPr>
              <w:suppressAutoHyphens/>
              <w:jc w:val="right"/>
              <w:rPr>
                <w:rFonts w:ascii="Arial" w:hAnsi="Arial" w:cs="Arial"/>
                <w:sz w:val="20"/>
                <w:szCs w:val="20"/>
              </w:rPr>
            </w:pPr>
          </w:p>
        </w:tc>
        <w:tc>
          <w:tcPr>
            <w:tcW w:w="1057" w:type="dxa"/>
            <w:shd w:val="clear" w:color="auto" w:fill="BFBFBF" w:themeFill="background1" w:themeFillShade="BF"/>
          </w:tcPr>
          <w:p w14:paraId="4A8A1912" w14:textId="77777777" w:rsidR="00AA4569" w:rsidRPr="00A43121" w:rsidRDefault="00AA4569" w:rsidP="00AA4569">
            <w:pPr>
              <w:suppressAutoHyphens/>
              <w:jc w:val="right"/>
              <w:rPr>
                <w:rFonts w:ascii="Arial" w:hAnsi="Arial" w:cs="Arial"/>
                <w:sz w:val="20"/>
                <w:szCs w:val="20"/>
              </w:rPr>
            </w:pPr>
          </w:p>
        </w:tc>
        <w:tc>
          <w:tcPr>
            <w:tcW w:w="1057" w:type="dxa"/>
            <w:shd w:val="clear" w:color="auto" w:fill="BFBFBF" w:themeFill="background1" w:themeFillShade="BF"/>
          </w:tcPr>
          <w:p w14:paraId="24DA95A2" w14:textId="77777777" w:rsidR="00AA4569" w:rsidRPr="00A43121" w:rsidRDefault="00AA4569" w:rsidP="00AA4569">
            <w:pPr>
              <w:suppressAutoHyphens/>
              <w:jc w:val="right"/>
              <w:rPr>
                <w:rFonts w:ascii="Arial" w:hAnsi="Arial" w:cs="Arial"/>
                <w:sz w:val="20"/>
                <w:szCs w:val="20"/>
              </w:rPr>
            </w:pPr>
          </w:p>
        </w:tc>
        <w:tc>
          <w:tcPr>
            <w:tcW w:w="1057" w:type="dxa"/>
            <w:shd w:val="clear" w:color="auto" w:fill="BFBFBF" w:themeFill="background1" w:themeFillShade="BF"/>
          </w:tcPr>
          <w:p w14:paraId="4F8A8FB2" w14:textId="77777777" w:rsidR="00AA4569" w:rsidRPr="00A43121" w:rsidRDefault="00AA4569" w:rsidP="00AA4569">
            <w:pPr>
              <w:suppressAutoHyphens/>
              <w:jc w:val="right"/>
              <w:rPr>
                <w:rFonts w:ascii="Arial" w:hAnsi="Arial" w:cs="Arial"/>
                <w:sz w:val="20"/>
                <w:szCs w:val="20"/>
              </w:rPr>
            </w:pPr>
          </w:p>
        </w:tc>
      </w:tr>
      <w:tr w:rsidR="00AA4569" w:rsidRPr="00A43121" w14:paraId="268CC10C" w14:textId="11B78126" w:rsidTr="00AA4569">
        <w:tc>
          <w:tcPr>
            <w:tcW w:w="355" w:type="dxa"/>
            <w:tcBorders>
              <w:bottom w:val="single" w:sz="12" w:space="0" w:color="auto"/>
            </w:tcBorders>
            <w:vAlign w:val="center"/>
          </w:tcPr>
          <w:p w14:paraId="5237807A" w14:textId="121C7CAB" w:rsidR="00AA4569" w:rsidRPr="003E1DC9" w:rsidRDefault="00AA4569" w:rsidP="00AA4569">
            <w:pPr>
              <w:suppressAutoHyphens/>
              <w:rPr>
                <w:rFonts w:ascii="Arial Narrow" w:hAnsi="Arial Narrow" w:cs="Arial"/>
                <w:color w:val="000000"/>
                <w:sz w:val="18"/>
                <w:szCs w:val="18"/>
              </w:rPr>
            </w:pPr>
            <w:r w:rsidRPr="003E1DC9">
              <w:rPr>
                <w:rFonts w:ascii="Arial Narrow" w:hAnsi="Arial Narrow" w:cs="Arial"/>
                <w:color w:val="000000"/>
                <w:sz w:val="18"/>
                <w:szCs w:val="18"/>
              </w:rPr>
              <w:t>9</w:t>
            </w:r>
          </w:p>
        </w:tc>
        <w:tc>
          <w:tcPr>
            <w:tcW w:w="972" w:type="dxa"/>
            <w:tcBorders>
              <w:bottom w:val="single" w:sz="12" w:space="0" w:color="auto"/>
            </w:tcBorders>
            <w:vAlign w:val="center"/>
          </w:tcPr>
          <w:p w14:paraId="44E28B5B" w14:textId="18C4D54C" w:rsidR="00AA4569" w:rsidRPr="00DC0E0B" w:rsidRDefault="00AA4569" w:rsidP="00AA4569">
            <w:pPr>
              <w:suppressAutoHyphens/>
              <w:rPr>
                <w:rFonts w:ascii="Arial" w:hAnsi="Arial" w:cs="Arial"/>
                <w:sz w:val="20"/>
                <w:szCs w:val="20"/>
              </w:rPr>
            </w:pPr>
            <w:r>
              <w:rPr>
                <w:rFonts w:ascii="Arial" w:hAnsi="Arial" w:cs="Arial"/>
                <w:color w:val="000000"/>
                <w:sz w:val="20"/>
                <w:szCs w:val="20"/>
              </w:rPr>
              <w:t>(h)(1)</w:t>
            </w:r>
          </w:p>
        </w:tc>
        <w:tc>
          <w:tcPr>
            <w:tcW w:w="3623" w:type="dxa"/>
            <w:tcBorders>
              <w:bottom w:val="single" w:sz="12" w:space="0" w:color="auto"/>
            </w:tcBorders>
            <w:vAlign w:val="center"/>
          </w:tcPr>
          <w:p w14:paraId="4208F082" w14:textId="0ABEECD1" w:rsidR="00AA4569" w:rsidRPr="00DC0E0B" w:rsidRDefault="00AA4569" w:rsidP="00AA4569">
            <w:pPr>
              <w:suppressAutoHyphens/>
              <w:rPr>
                <w:rFonts w:ascii="Arial" w:hAnsi="Arial" w:cs="Arial"/>
                <w:sz w:val="20"/>
                <w:szCs w:val="20"/>
              </w:rPr>
            </w:pPr>
            <w:r>
              <w:rPr>
                <w:rFonts w:ascii="Arial Narrow" w:hAnsi="Arial Narrow"/>
                <w:color w:val="000000"/>
                <w:sz w:val="20"/>
                <w:szCs w:val="20"/>
              </w:rPr>
              <w:t>Submit an appeal to the NCUA Board regarding a regional director’s determination of the expanded authority request.</w:t>
            </w:r>
          </w:p>
        </w:tc>
        <w:tc>
          <w:tcPr>
            <w:tcW w:w="995" w:type="dxa"/>
            <w:tcBorders>
              <w:bottom w:val="single" w:sz="12" w:space="0" w:color="auto"/>
            </w:tcBorders>
            <w:vAlign w:val="center"/>
          </w:tcPr>
          <w:p w14:paraId="6BFF8BE2" w14:textId="13C2DC3E" w:rsidR="00AA4569" w:rsidRPr="00DC0E0B" w:rsidRDefault="00AA4569" w:rsidP="00AA4569">
            <w:pPr>
              <w:suppressAutoHyphens/>
              <w:jc w:val="right"/>
              <w:rPr>
                <w:rFonts w:ascii="Arial" w:hAnsi="Arial" w:cs="Arial"/>
                <w:sz w:val="20"/>
                <w:szCs w:val="20"/>
              </w:rPr>
            </w:pPr>
            <w:r>
              <w:rPr>
                <w:rFonts w:ascii="Arial" w:hAnsi="Arial" w:cs="Arial"/>
                <w:sz w:val="20"/>
                <w:szCs w:val="20"/>
              </w:rPr>
              <w:t>2</w:t>
            </w:r>
          </w:p>
        </w:tc>
        <w:tc>
          <w:tcPr>
            <w:tcW w:w="1075" w:type="dxa"/>
            <w:tcBorders>
              <w:bottom w:val="single" w:sz="12" w:space="0" w:color="auto"/>
            </w:tcBorders>
            <w:vAlign w:val="center"/>
          </w:tcPr>
          <w:p w14:paraId="45A64314" w14:textId="4E0AEFA1" w:rsidR="00AA4569" w:rsidRPr="00DC0E0B" w:rsidRDefault="00AA4569" w:rsidP="00AA4569">
            <w:pPr>
              <w:suppressAutoHyphens/>
              <w:jc w:val="right"/>
              <w:rPr>
                <w:rFonts w:ascii="Arial" w:hAnsi="Arial" w:cs="Arial"/>
                <w:sz w:val="20"/>
                <w:szCs w:val="20"/>
              </w:rPr>
            </w:pPr>
            <w:r>
              <w:rPr>
                <w:rFonts w:ascii="Arial" w:hAnsi="Arial" w:cs="Arial"/>
                <w:sz w:val="20"/>
                <w:szCs w:val="20"/>
              </w:rPr>
              <w:t>1</w:t>
            </w:r>
          </w:p>
        </w:tc>
        <w:tc>
          <w:tcPr>
            <w:tcW w:w="1057" w:type="dxa"/>
            <w:tcBorders>
              <w:bottom w:val="single" w:sz="12" w:space="0" w:color="auto"/>
            </w:tcBorders>
            <w:vAlign w:val="center"/>
          </w:tcPr>
          <w:p w14:paraId="1668385A" w14:textId="1497BFC5" w:rsidR="00AA4569" w:rsidRPr="00DC0E0B" w:rsidRDefault="00AA4569" w:rsidP="00AA4569">
            <w:pPr>
              <w:suppressAutoHyphens/>
              <w:jc w:val="right"/>
              <w:rPr>
                <w:rFonts w:ascii="Arial" w:hAnsi="Arial" w:cs="Arial"/>
                <w:sz w:val="20"/>
                <w:szCs w:val="20"/>
              </w:rPr>
            </w:pPr>
            <w:r>
              <w:rPr>
                <w:rFonts w:ascii="Arial" w:hAnsi="Arial" w:cs="Arial"/>
                <w:sz w:val="20"/>
                <w:szCs w:val="20"/>
              </w:rPr>
              <w:t>2</w:t>
            </w:r>
          </w:p>
        </w:tc>
        <w:tc>
          <w:tcPr>
            <w:tcW w:w="1036" w:type="dxa"/>
            <w:tcBorders>
              <w:bottom w:val="single" w:sz="12" w:space="0" w:color="auto"/>
            </w:tcBorders>
            <w:vAlign w:val="center"/>
          </w:tcPr>
          <w:p w14:paraId="37467F41" w14:textId="1CA49899" w:rsidR="00AA4569" w:rsidRPr="00DC0E0B" w:rsidRDefault="00AA4569" w:rsidP="00AA4569">
            <w:pPr>
              <w:suppressAutoHyphens/>
              <w:jc w:val="right"/>
              <w:rPr>
                <w:rFonts w:ascii="Arial" w:hAnsi="Arial" w:cs="Arial"/>
                <w:sz w:val="20"/>
                <w:szCs w:val="20"/>
              </w:rPr>
            </w:pPr>
            <w:r>
              <w:rPr>
                <w:rFonts w:ascii="Arial" w:hAnsi="Arial" w:cs="Arial"/>
                <w:sz w:val="20"/>
                <w:szCs w:val="20"/>
              </w:rPr>
              <w:t>20</w:t>
            </w:r>
          </w:p>
        </w:tc>
        <w:tc>
          <w:tcPr>
            <w:tcW w:w="1057" w:type="dxa"/>
            <w:tcBorders>
              <w:bottom w:val="single" w:sz="12" w:space="0" w:color="auto"/>
              <w:right w:val="single" w:sz="12" w:space="0" w:color="auto"/>
            </w:tcBorders>
            <w:vAlign w:val="center"/>
          </w:tcPr>
          <w:p w14:paraId="708A358C" w14:textId="717EE99D" w:rsidR="00AA4569" w:rsidRPr="00DC0E0B" w:rsidRDefault="00AA4569" w:rsidP="00AA4569">
            <w:pPr>
              <w:suppressAutoHyphens/>
              <w:jc w:val="right"/>
              <w:rPr>
                <w:rFonts w:ascii="Arial" w:hAnsi="Arial" w:cs="Arial"/>
                <w:sz w:val="20"/>
                <w:szCs w:val="20"/>
              </w:rPr>
            </w:pPr>
            <w:r>
              <w:rPr>
                <w:rFonts w:ascii="Arial" w:hAnsi="Arial" w:cs="Arial"/>
                <w:sz w:val="20"/>
                <w:szCs w:val="20"/>
              </w:rPr>
              <w:t>40</w:t>
            </w:r>
          </w:p>
        </w:tc>
        <w:tc>
          <w:tcPr>
            <w:tcW w:w="1057" w:type="dxa"/>
            <w:tcBorders>
              <w:left w:val="single" w:sz="12" w:space="0" w:color="auto"/>
              <w:bottom w:val="single" w:sz="12" w:space="0" w:color="auto"/>
            </w:tcBorders>
            <w:shd w:val="clear" w:color="auto" w:fill="BFBFBF" w:themeFill="background1" w:themeFillShade="BF"/>
          </w:tcPr>
          <w:p w14:paraId="62A69C43" w14:textId="77777777" w:rsidR="00AA4569" w:rsidRPr="00A43121" w:rsidRDefault="00AA4569" w:rsidP="00AA4569">
            <w:pPr>
              <w:suppressAutoHyphens/>
              <w:jc w:val="right"/>
              <w:rPr>
                <w:rFonts w:ascii="Arial" w:hAnsi="Arial" w:cs="Arial"/>
                <w:sz w:val="20"/>
                <w:szCs w:val="20"/>
              </w:rPr>
            </w:pPr>
          </w:p>
        </w:tc>
        <w:tc>
          <w:tcPr>
            <w:tcW w:w="1057" w:type="dxa"/>
            <w:tcBorders>
              <w:bottom w:val="single" w:sz="12" w:space="0" w:color="auto"/>
            </w:tcBorders>
            <w:shd w:val="clear" w:color="auto" w:fill="BFBFBF" w:themeFill="background1" w:themeFillShade="BF"/>
          </w:tcPr>
          <w:p w14:paraId="5F29E665" w14:textId="77777777" w:rsidR="00AA4569" w:rsidRPr="00A43121" w:rsidRDefault="00AA4569" w:rsidP="00AA4569">
            <w:pPr>
              <w:suppressAutoHyphens/>
              <w:jc w:val="right"/>
              <w:rPr>
                <w:rFonts w:ascii="Arial" w:hAnsi="Arial" w:cs="Arial"/>
                <w:sz w:val="20"/>
                <w:szCs w:val="20"/>
              </w:rPr>
            </w:pPr>
          </w:p>
        </w:tc>
        <w:tc>
          <w:tcPr>
            <w:tcW w:w="1057" w:type="dxa"/>
            <w:tcBorders>
              <w:bottom w:val="single" w:sz="12" w:space="0" w:color="auto"/>
            </w:tcBorders>
            <w:shd w:val="clear" w:color="auto" w:fill="BFBFBF" w:themeFill="background1" w:themeFillShade="BF"/>
          </w:tcPr>
          <w:p w14:paraId="739125A7" w14:textId="77777777" w:rsidR="00AA4569" w:rsidRPr="00A43121" w:rsidRDefault="00AA4569" w:rsidP="00AA4569">
            <w:pPr>
              <w:suppressAutoHyphens/>
              <w:jc w:val="right"/>
              <w:rPr>
                <w:rFonts w:ascii="Arial" w:hAnsi="Arial" w:cs="Arial"/>
                <w:sz w:val="20"/>
                <w:szCs w:val="20"/>
              </w:rPr>
            </w:pPr>
          </w:p>
        </w:tc>
        <w:tc>
          <w:tcPr>
            <w:tcW w:w="1057" w:type="dxa"/>
            <w:shd w:val="clear" w:color="auto" w:fill="BFBFBF" w:themeFill="background1" w:themeFillShade="BF"/>
          </w:tcPr>
          <w:p w14:paraId="47E24E58" w14:textId="77777777" w:rsidR="00AA4569" w:rsidRPr="00A43121" w:rsidRDefault="00AA4569" w:rsidP="00AA4569">
            <w:pPr>
              <w:suppressAutoHyphens/>
              <w:jc w:val="right"/>
              <w:rPr>
                <w:rFonts w:ascii="Arial" w:hAnsi="Arial" w:cs="Arial"/>
                <w:sz w:val="20"/>
                <w:szCs w:val="20"/>
              </w:rPr>
            </w:pPr>
          </w:p>
        </w:tc>
      </w:tr>
      <w:tr w:rsidR="00AA4569" w:rsidRPr="00A43121" w14:paraId="324A789A" w14:textId="4FE46102" w:rsidTr="00EE7F29">
        <w:trPr>
          <w:trHeight w:val="213"/>
        </w:trPr>
        <w:tc>
          <w:tcPr>
            <w:tcW w:w="4950" w:type="dxa"/>
            <w:gridSpan w:val="3"/>
            <w:tcBorders>
              <w:top w:val="single" w:sz="12" w:space="0" w:color="auto"/>
              <w:bottom w:val="single" w:sz="12" w:space="0" w:color="auto"/>
            </w:tcBorders>
            <w:vAlign w:val="center"/>
          </w:tcPr>
          <w:p w14:paraId="68370CAC" w14:textId="33DF7AE4" w:rsidR="00AA4569" w:rsidRPr="009B3D81" w:rsidRDefault="00EE7F29" w:rsidP="00AA4569">
            <w:pPr>
              <w:suppressAutoHyphens/>
              <w:jc w:val="right"/>
              <w:rPr>
                <w:rFonts w:ascii="Arial Narrow" w:hAnsi="Arial Narrow"/>
                <w:b/>
                <w:color w:val="000000"/>
                <w:sz w:val="20"/>
                <w:szCs w:val="20"/>
              </w:rPr>
            </w:pPr>
            <w:r>
              <w:rPr>
                <w:rFonts w:ascii="Arial Narrow" w:hAnsi="Arial Narrow"/>
                <w:b/>
                <w:color w:val="000000"/>
                <w:sz w:val="20"/>
                <w:szCs w:val="20"/>
              </w:rPr>
              <w:t>Sub-Total</w:t>
            </w:r>
          </w:p>
        </w:tc>
        <w:tc>
          <w:tcPr>
            <w:tcW w:w="995" w:type="dxa"/>
            <w:tcBorders>
              <w:top w:val="single" w:sz="12" w:space="0" w:color="auto"/>
              <w:bottom w:val="single" w:sz="12" w:space="0" w:color="auto"/>
            </w:tcBorders>
            <w:vAlign w:val="center"/>
          </w:tcPr>
          <w:p w14:paraId="22EE0AF0" w14:textId="77777777" w:rsidR="00AA4569" w:rsidRDefault="00AA4569" w:rsidP="00AA4569">
            <w:pPr>
              <w:suppressAutoHyphens/>
              <w:jc w:val="right"/>
              <w:rPr>
                <w:rFonts w:ascii="Arial" w:hAnsi="Arial" w:cs="Arial"/>
                <w:sz w:val="20"/>
                <w:szCs w:val="20"/>
              </w:rPr>
            </w:pPr>
          </w:p>
        </w:tc>
        <w:tc>
          <w:tcPr>
            <w:tcW w:w="1075" w:type="dxa"/>
            <w:tcBorders>
              <w:top w:val="single" w:sz="12" w:space="0" w:color="auto"/>
              <w:bottom w:val="single" w:sz="12" w:space="0" w:color="auto"/>
            </w:tcBorders>
            <w:vAlign w:val="center"/>
          </w:tcPr>
          <w:p w14:paraId="2126549C" w14:textId="77777777" w:rsidR="00AA4569" w:rsidRDefault="00AA4569" w:rsidP="00AA4569">
            <w:pPr>
              <w:suppressAutoHyphens/>
              <w:jc w:val="right"/>
              <w:rPr>
                <w:rFonts w:ascii="Arial" w:hAnsi="Arial" w:cs="Arial"/>
                <w:sz w:val="20"/>
                <w:szCs w:val="20"/>
              </w:rPr>
            </w:pPr>
          </w:p>
        </w:tc>
        <w:tc>
          <w:tcPr>
            <w:tcW w:w="1057" w:type="dxa"/>
            <w:tcBorders>
              <w:top w:val="single" w:sz="12" w:space="0" w:color="auto"/>
              <w:bottom w:val="single" w:sz="12" w:space="0" w:color="auto"/>
            </w:tcBorders>
            <w:vAlign w:val="center"/>
          </w:tcPr>
          <w:p w14:paraId="568899B8" w14:textId="0B5E880A" w:rsidR="00AA4569" w:rsidRDefault="00AA4569" w:rsidP="00AA4569">
            <w:pPr>
              <w:suppressAutoHyphens/>
              <w:jc w:val="right"/>
              <w:rPr>
                <w:rFonts w:ascii="Arial" w:hAnsi="Arial" w:cs="Arial"/>
                <w:sz w:val="20"/>
                <w:szCs w:val="20"/>
              </w:rPr>
            </w:pPr>
            <w:r>
              <w:rPr>
                <w:rFonts w:ascii="Arial" w:hAnsi="Arial" w:cs="Arial"/>
                <w:sz w:val="20"/>
                <w:szCs w:val="20"/>
              </w:rPr>
              <w:t>72</w:t>
            </w:r>
          </w:p>
        </w:tc>
        <w:tc>
          <w:tcPr>
            <w:tcW w:w="1036" w:type="dxa"/>
            <w:tcBorders>
              <w:top w:val="single" w:sz="12" w:space="0" w:color="auto"/>
              <w:bottom w:val="single" w:sz="12" w:space="0" w:color="auto"/>
            </w:tcBorders>
            <w:vAlign w:val="center"/>
          </w:tcPr>
          <w:p w14:paraId="517E18C3" w14:textId="77777777" w:rsidR="00AA4569" w:rsidRDefault="00AA4569" w:rsidP="00AA4569">
            <w:pPr>
              <w:suppressAutoHyphens/>
              <w:jc w:val="right"/>
              <w:rPr>
                <w:rFonts w:ascii="Arial" w:hAnsi="Arial" w:cs="Arial"/>
                <w:sz w:val="20"/>
                <w:szCs w:val="20"/>
              </w:rPr>
            </w:pPr>
          </w:p>
        </w:tc>
        <w:tc>
          <w:tcPr>
            <w:tcW w:w="1057" w:type="dxa"/>
            <w:tcBorders>
              <w:top w:val="single" w:sz="12" w:space="0" w:color="auto"/>
              <w:bottom w:val="single" w:sz="12" w:space="0" w:color="auto"/>
              <w:right w:val="single" w:sz="12" w:space="0" w:color="auto"/>
            </w:tcBorders>
            <w:vAlign w:val="center"/>
          </w:tcPr>
          <w:p w14:paraId="6D88C069" w14:textId="36E82591" w:rsidR="00AA4569" w:rsidRDefault="00AA4569" w:rsidP="00AA4569">
            <w:pPr>
              <w:suppressAutoHyphens/>
              <w:jc w:val="right"/>
              <w:rPr>
                <w:rFonts w:ascii="Arial" w:hAnsi="Arial" w:cs="Arial"/>
                <w:sz w:val="20"/>
                <w:szCs w:val="20"/>
              </w:rPr>
            </w:pPr>
            <w:r>
              <w:rPr>
                <w:rFonts w:ascii="Arial" w:hAnsi="Arial" w:cs="Arial"/>
                <w:sz w:val="20"/>
                <w:szCs w:val="20"/>
              </w:rPr>
              <w:t>600</w:t>
            </w:r>
          </w:p>
        </w:tc>
        <w:tc>
          <w:tcPr>
            <w:tcW w:w="1057" w:type="dxa"/>
            <w:tcBorders>
              <w:top w:val="single" w:sz="12" w:space="0" w:color="auto"/>
              <w:left w:val="single" w:sz="12" w:space="0" w:color="auto"/>
              <w:bottom w:val="single" w:sz="12" w:space="0" w:color="auto"/>
            </w:tcBorders>
            <w:shd w:val="clear" w:color="auto" w:fill="auto"/>
          </w:tcPr>
          <w:p w14:paraId="36C53202" w14:textId="77777777" w:rsidR="00AA4569" w:rsidRPr="00A43121" w:rsidRDefault="00AA4569" w:rsidP="00AA4569">
            <w:pPr>
              <w:suppressAutoHyphens/>
              <w:jc w:val="right"/>
              <w:rPr>
                <w:rFonts w:ascii="Arial" w:hAnsi="Arial" w:cs="Arial"/>
                <w:sz w:val="20"/>
                <w:szCs w:val="20"/>
              </w:rPr>
            </w:pPr>
          </w:p>
        </w:tc>
        <w:tc>
          <w:tcPr>
            <w:tcW w:w="1057" w:type="dxa"/>
            <w:tcBorders>
              <w:top w:val="single" w:sz="12" w:space="0" w:color="auto"/>
              <w:bottom w:val="single" w:sz="12" w:space="0" w:color="auto"/>
            </w:tcBorders>
            <w:shd w:val="clear" w:color="auto" w:fill="auto"/>
            <w:vAlign w:val="center"/>
          </w:tcPr>
          <w:p w14:paraId="5C8413C9" w14:textId="32F3ADFD" w:rsidR="00AA4569" w:rsidRPr="00A43121" w:rsidRDefault="00AA4569" w:rsidP="00AA4569">
            <w:pPr>
              <w:suppressAutoHyphens/>
              <w:jc w:val="right"/>
              <w:rPr>
                <w:rFonts w:ascii="Arial" w:hAnsi="Arial" w:cs="Arial"/>
                <w:sz w:val="20"/>
                <w:szCs w:val="20"/>
              </w:rPr>
            </w:pPr>
            <w:r>
              <w:rPr>
                <w:rFonts w:ascii="Arial" w:hAnsi="Arial" w:cs="Arial"/>
                <w:sz w:val="20"/>
                <w:szCs w:val="20"/>
              </w:rPr>
              <w:t>38,260</w:t>
            </w:r>
          </w:p>
        </w:tc>
        <w:tc>
          <w:tcPr>
            <w:tcW w:w="1057" w:type="dxa"/>
            <w:tcBorders>
              <w:top w:val="single" w:sz="12" w:space="0" w:color="auto"/>
              <w:bottom w:val="single" w:sz="12" w:space="0" w:color="auto"/>
            </w:tcBorders>
            <w:shd w:val="clear" w:color="auto" w:fill="auto"/>
            <w:vAlign w:val="center"/>
          </w:tcPr>
          <w:p w14:paraId="1C4941D9" w14:textId="77777777" w:rsidR="00AA4569" w:rsidRPr="00A43121" w:rsidRDefault="00AA4569" w:rsidP="00AA4569">
            <w:pPr>
              <w:suppressAutoHyphens/>
              <w:jc w:val="right"/>
              <w:rPr>
                <w:rFonts w:ascii="Arial" w:hAnsi="Arial" w:cs="Arial"/>
                <w:sz w:val="20"/>
                <w:szCs w:val="20"/>
              </w:rPr>
            </w:pPr>
          </w:p>
        </w:tc>
        <w:tc>
          <w:tcPr>
            <w:tcW w:w="1057" w:type="dxa"/>
            <w:tcBorders>
              <w:top w:val="single" w:sz="12" w:space="0" w:color="auto"/>
              <w:bottom w:val="single" w:sz="12" w:space="0" w:color="auto"/>
            </w:tcBorders>
            <w:shd w:val="clear" w:color="auto" w:fill="auto"/>
            <w:vAlign w:val="center"/>
          </w:tcPr>
          <w:p w14:paraId="076A57CE" w14:textId="4966945C" w:rsidR="00AA4569" w:rsidRPr="00A43121" w:rsidRDefault="00AA4569" w:rsidP="00AA4569">
            <w:pPr>
              <w:suppressAutoHyphens/>
              <w:jc w:val="right"/>
              <w:rPr>
                <w:rFonts w:ascii="Arial" w:hAnsi="Arial" w:cs="Arial"/>
                <w:sz w:val="20"/>
                <w:szCs w:val="20"/>
              </w:rPr>
            </w:pPr>
            <w:r>
              <w:rPr>
                <w:rFonts w:ascii="Arial" w:hAnsi="Arial" w:cs="Arial"/>
                <w:sz w:val="20"/>
                <w:szCs w:val="20"/>
              </w:rPr>
              <w:t>9,940</w:t>
            </w:r>
          </w:p>
        </w:tc>
      </w:tr>
      <w:tr w:rsidR="00EE7F29" w:rsidRPr="00A43121" w14:paraId="6BB3E668" w14:textId="77777777" w:rsidTr="00EE7F29">
        <w:trPr>
          <w:trHeight w:val="240"/>
        </w:trPr>
        <w:tc>
          <w:tcPr>
            <w:tcW w:w="4950" w:type="dxa"/>
            <w:gridSpan w:val="3"/>
            <w:tcBorders>
              <w:top w:val="single" w:sz="12" w:space="0" w:color="auto"/>
            </w:tcBorders>
            <w:vAlign w:val="center"/>
          </w:tcPr>
          <w:p w14:paraId="265906C8" w14:textId="150FB6B3" w:rsidR="00EE7F29" w:rsidRPr="009B3D81" w:rsidRDefault="00EE7F29" w:rsidP="00EE7F29">
            <w:pPr>
              <w:suppressAutoHyphens/>
              <w:jc w:val="right"/>
              <w:rPr>
                <w:rFonts w:ascii="Arial Narrow" w:hAnsi="Arial Narrow"/>
                <w:b/>
                <w:color w:val="000000"/>
                <w:sz w:val="20"/>
                <w:szCs w:val="20"/>
              </w:rPr>
            </w:pPr>
            <w:r>
              <w:rPr>
                <w:rFonts w:ascii="Arial Narrow" w:hAnsi="Arial Narrow"/>
                <w:b/>
                <w:color w:val="000000"/>
                <w:sz w:val="20"/>
                <w:szCs w:val="20"/>
              </w:rPr>
              <w:t>TOTAL Burden Hours Requested</w:t>
            </w:r>
          </w:p>
        </w:tc>
        <w:tc>
          <w:tcPr>
            <w:tcW w:w="9448" w:type="dxa"/>
            <w:gridSpan w:val="9"/>
            <w:tcBorders>
              <w:top w:val="single" w:sz="12" w:space="0" w:color="auto"/>
            </w:tcBorders>
            <w:vAlign w:val="center"/>
          </w:tcPr>
          <w:p w14:paraId="77F42171" w14:textId="339DFBBF" w:rsidR="00EE7F29" w:rsidRDefault="00EE7F29" w:rsidP="00AA4569">
            <w:pPr>
              <w:suppressAutoHyphens/>
              <w:jc w:val="right"/>
              <w:rPr>
                <w:rFonts w:ascii="Arial" w:hAnsi="Arial" w:cs="Arial"/>
                <w:sz w:val="20"/>
                <w:szCs w:val="20"/>
              </w:rPr>
            </w:pPr>
            <w:r>
              <w:rPr>
                <w:rFonts w:ascii="Arial" w:hAnsi="Arial" w:cs="Arial"/>
                <w:sz w:val="20"/>
                <w:szCs w:val="20"/>
              </w:rPr>
              <w:t>10,540</w:t>
            </w:r>
          </w:p>
        </w:tc>
      </w:tr>
    </w:tbl>
    <w:p w14:paraId="2187C0AE" w14:textId="28FC6B26" w:rsidR="00AA4569" w:rsidRDefault="00AA4569" w:rsidP="00AA4569">
      <w:pPr>
        <w:ind w:left="-720"/>
        <w:rPr>
          <w:rFonts w:ascii="Arial" w:hAnsi="Arial" w:cs="Arial"/>
          <w:sz w:val="18"/>
          <w:szCs w:val="18"/>
        </w:rPr>
      </w:pPr>
      <w:r w:rsidRPr="00AA4569">
        <w:rPr>
          <w:rFonts w:ascii="Arial" w:hAnsi="Arial" w:cs="Arial"/>
          <w:sz w:val="18"/>
          <w:szCs w:val="18"/>
        </w:rPr>
        <w:t>*NCUA provides record retention guidelines for credit unions in Appendix A to Part 749 and recommends that the credit union’s board of directors approve a records retention schedule authorizing the disposal of certain records on a continual basis upon expiration of specified retention period.  It is also advised that records, for a particular period, should not be destroyed until both a comprehensive annual audit by the supervisor committee and a supervisory examination by the NCUA have been made for that period.</w:t>
      </w:r>
    </w:p>
    <w:p w14:paraId="6FF78B54" w14:textId="77777777" w:rsidR="00AA4569" w:rsidRDefault="00AA4569" w:rsidP="00AA4569">
      <w:pPr>
        <w:rPr>
          <w:rFonts w:ascii="Arial" w:hAnsi="Arial" w:cs="Arial"/>
          <w:sz w:val="20"/>
          <w:szCs w:val="20"/>
        </w:rPr>
      </w:pPr>
    </w:p>
    <w:p w14:paraId="0D971D5F" w14:textId="77777777" w:rsidR="00AA4569" w:rsidRDefault="00AA4569" w:rsidP="00AA4569">
      <w:pPr>
        <w:rPr>
          <w:rFonts w:ascii="Arial" w:hAnsi="Arial" w:cs="Arial"/>
          <w:sz w:val="20"/>
          <w:szCs w:val="20"/>
        </w:rPr>
        <w:sectPr w:rsidR="00AA4569" w:rsidSect="00A43121">
          <w:pgSz w:w="15840" w:h="12240" w:orient="landscape"/>
          <w:pgMar w:top="720" w:right="900" w:bottom="1440" w:left="1440" w:header="720" w:footer="720" w:gutter="0"/>
          <w:cols w:space="720"/>
          <w:docGrid w:linePitch="360"/>
        </w:sectPr>
      </w:pPr>
    </w:p>
    <w:p w14:paraId="3103842B" w14:textId="77777777" w:rsidR="00AA4569" w:rsidRDefault="003E1DC9" w:rsidP="003E1DC9">
      <w:pPr>
        <w:tabs>
          <w:tab w:val="left" w:pos="-1080"/>
          <w:tab w:val="left" w:pos="-720"/>
        </w:tabs>
        <w:ind w:left="540" w:hanging="540"/>
      </w:pPr>
      <w:r>
        <w:tab/>
      </w:r>
    </w:p>
    <w:p w14:paraId="1E1063F5" w14:textId="794E8C51" w:rsidR="003A0D60" w:rsidRDefault="00AA4569" w:rsidP="003E1DC9">
      <w:pPr>
        <w:tabs>
          <w:tab w:val="left" w:pos="-1080"/>
          <w:tab w:val="left" w:pos="-720"/>
        </w:tabs>
        <w:ind w:left="540" w:hanging="540"/>
      </w:pPr>
      <w:r>
        <w:tab/>
      </w:r>
      <w:r w:rsidR="009B6208">
        <w:t xml:space="preserve">Based on weighted compensation and employment data from the December 2015 Call Report, we the estimate average hourly wage rate of credit union employees to be roughly $35 per hour.  Using this figure, we calculate a total financial cost to respondents of $368,900. </w:t>
      </w:r>
    </w:p>
    <w:p w14:paraId="20F7D54D" w14:textId="77777777" w:rsidR="00F80765" w:rsidRPr="003E1DC9" w:rsidRDefault="00F80765" w:rsidP="003E1DC9">
      <w:pPr>
        <w:ind w:left="540" w:hanging="540"/>
        <w:rPr>
          <w:b/>
        </w:rPr>
      </w:pPr>
    </w:p>
    <w:p w14:paraId="679D457C" w14:textId="0566F35F" w:rsidR="003A0D60" w:rsidRPr="003E1DC9" w:rsidRDefault="000D10FC" w:rsidP="003E1DC9">
      <w:pPr>
        <w:pStyle w:val="ListParagraph"/>
        <w:numPr>
          <w:ilvl w:val="0"/>
          <w:numId w:val="3"/>
        </w:numPr>
        <w:suppressAutoHyphens/>
        <w:ind w:left="540" w:hanging="540"/>
        <w:rPr>
          <w:b/>
        </w:rPr>
      </w:pPr>
      <w:r w:rsidRPr="003E1DC9">
        <w:rPr>
          <w:b/>
        </w:rPr>
        <w:t>Capital, Startup, and Operations and Maintenance Costs</w:t>
      </w:r>
    </w:p>
    <w:p w14:paraId="62BB5CF5" w14:textId="10E1D6DC" w:rsidR="003A0D60" w:rsidRDefault="003E1DC9" w:rsidP="003E1DC9">
      <w:pPr>
        <w:pStyle w:val="ListParagraph"/>
        <w:suppressAutoHyphens/>
        <w:ind w:left="540" w:hanging="540"/>
      </w:pPr>
      <w:r>
        <w:tab/>
      </w:r>
      <w:r w:rsidR="009B6208">
        <w:t>All equipment needed to meet the recordkeeping requirement is equipment used for the customary and usual business of the credit union.  Likewise conduct of the appraisals themselves is customary in real estate transactions. There is no special or additional equipment; therefore, there is no additional cost.</w:t>
      </w:r>
      <w:r w:rsidR="003A0D60">
        <w:tab/>
      </w:r>
    </w:p>
    <w:p w14:paraId="33E34F58" w14:textId="77777777" w:rsidR="003A0D60" w:rsidRPr="00E44F63" w:rsidRDefault="003A0D60" w:rsidP="003E1DC9">
      <w:pPr>
        <w:pStyle w:val="ListParagraph"/>
        <w:ind w:left="540" w:hanging="540"/>
        <w:rPr>
          <w:b/>
        </w:rPr>
      </w:pPr>
    </w:p>
    <w:p w14:paraId="3267B6E4" w14:textId="77777777" w:rsidR="003A0D60" w:rsidRPr="00E44F63" w:rsidRDefault="003A0D60" w:rsidP="003E1DC9">
      <w:pPr>
        <w:pStyle w:val="ListParagraph"/>
        <w:numPr>
          <w:ilvl w:val="0"/>
          <w:numId w:val="3"/>
        </w:numPr>
        <w:ind w:left="540" w:hanging="540"/>
        <w:rPr>
          <w:b/>
        </w:rPr>
      </w:pPr>
      <w:r w:rsidRPr="00E44F63">
        <w:rPr>
          <w:b/>
        </w:rPr>
        <w:t>Costs to Federal Government</w:t>
      </w:r>
    </w:p>
    <w:p w14:paraId="4FE00D16" w14:textId="69EE0E02" w:rsidR="003A0D60" w:rsidRDefault="003E1DC9" w:rsidP="003E1DC9">
      <w:pPr>
        <w:suppressAutoHyphens/>
        <w:ind w:left="540" w:hanging="540"/>
      </w:pPr>
      <w:r>
        <w:tab/>
      </w:r>
      <w:r w:rsidR="00BE513C">
        <w:t>Most of the information collections will be reviewed as part of the normal exam process and will not result in additional cost to the federal governments.  The only additional costs are from the following information collections.</w:t>
      </w:r>
    </w:p>
    <w:p w14:paraId="19662FB0" w14:textId="77777777" w:rsidR="00BE513C" w:rsidRDefault="00BE513C" w:rsidP="003E1DC9">
      <w:pPr>
        <w:suppressAutoHyphens/>
        <w:ind w:left="540" w:hanging="540"/>
      </w:pPr>
    </w:p>
    <w:p w14:paraId="371D0D0B" w14:textId="57E20177" w:rsidR="00BE513C" w:rsidRDefault="009B6208" w:rsidP="003E1DC9">
      <w:pPr>
        <w:pStyle w:val="ListParagraph"/>
        <w:numPr>
          <w:ilvl w:val="0"/>
          <w:numId w:val="15"/>
        </w:numPr>
        <w:ind w:left="1080" w:hanging="540"/>
      </w:pPr>
      <w:r>
        <w:t>IC #3 requires credit unions to r</w:t>
      </w:r>
      <w:r w:rsidR="00BE513C" w:rsidRPr="00BE513C">
        <w:t>equest written approval prior to purchasing eligible obligations of a liquidating credit union.</w:t>
      </w:r>
      <w:r w:rsidR="00715C6D">
        <w:t xml:space="preserve">  NCUA estimates that it will take NCUA staff 8 hours, on average, to review and respond to a credit union’s request to purchase eligible obligations of a liquidating credit unions.  At a rate of $</w:t>
      </w:r>
      <w:r w:rsidR="009A2D37">
        <w:t xml:space="preserve">85 </w:t>
      </w:r>
      <w:r w:rsidR="00715C6D">
        <w:t>per hour (</w:t>
      </w:r>
      <w:r w:rsidR="009A2D37">
        <w:t xml:space="preserve">average </w:t>
      </w:r>
      <w:r w:rsidR="00815A08">
        <w:t xml:space="preserve">loaded </w:t>
      </w:r>
      <w:r w:rsidR="009A2D37">
        <w:t>hourly cost of an NCUA FTE</w:t>
      </w:r>
      <w:r w:rsidR="00715C6D">
        <w:t>), the estimated cost for NCUA to review these requests is $</w:t>
      </w:r>
      <w:r w:rsidR="009A2D37">
        <w:t>23</w:t>
      </w:r>
      <w:r w:rsidR="00715C6D">
        <w:t>,</w:t>
      </w:r>
      <w:r w:rsidR="009A2D37">
        <w:t>800</w:t>
      </w:r>
    </w:p>
    <w:p w14:paraId="65DB398A" w14:textId="14C3D97D" w:rsidR="00BE513C" w:rsidRDefault="009A2D37" w:rsidP="003E1DC9">
      <w:pPr>
        <w:pStyle w:val="ListParagraph"/>
        <w:numPr>
          <w:ilvl w:val="0"/>
          <w:numId w:val="14"/>
        </w:numPr>
        <w:suppressAutoHyphens/>
        <w:ind w:left="1094" w:hanging="547"/>
      </w:pPr>
      <w:r>
        <w:t>IC #8 requires credit unions to s</w:t>
      </w:r>
      <w:r w:rsidR="00BE513C" w:rsidRPr="00BE513C">
        <w:t>ubmit a written request to NCUA seeking expanded authority related to the purchase of eligible obligations from another federally insured credit union.</w:t>
      </w:r>
      <w:r w:rsidR="00715C6D">
        <w:t xml:space="preserve">  NCUA estimates that it will take NCUA staff 6 hours, on average, to review and respond to a credit union’s request for expanded authority.  </w:t>
      </w:r>
      <w:r>
        <w:t xml:space="preserve">At a rate of $85 per hour </w:t>
      </w:r>
      <w:r w:rsidR="00815A08">
        <w:t>(average loaded hourly cost of an NCUA FTE)</w:t>
      </w:r>
      <w:r>
        <w:t>, the estimated cost for NCUA to review these requests is $17,850</w:t>
      </w:r>
      <w:r w:rsidR="00715C6D">
        <w:t>.</w:t>
      </w:r>
    </w:p>
    <w:p w14:paraId="30544A9D" w14:textId="67787F98" w:rsidR="00BE513C" w:rsidRPr="00766CF8" w:rsidRDefault="009A2D37" w:rsidP="003E1DC9">
      <w:pPr>
        <w:pStyle w:val="ListParagraph"/>
        <w:numPr>
          <w:ilvl w:val="0"/>
          <w:numId w:val="14"/>
        </w:numPr>
        <w:suppressAutoHyphens/>
        <w:ind w:left="1094" w:hanging="547"/>
      </w:pPr>
      <w:r>
        <w:t>IC #9 requires credit unions who wish to appeal a decision regarding expanded authority to s</w:t>
      </w:r>
      <w:r w:rsidR="00BE513C" w:rsidRPr="00BE513C">
        <w:t>ubmit an appeal to the NCUA Board regarding a regional director’s determination of the expanded authority request.</w:t>
      </w:r>
      <w:r w:rsidR="00715C6D">
        <w:t xml:space="preserve">  NCUA estimates that it will take NCUA staff 16 hours, on average, to review and respond to a credit union’s appeal.  </w:t>
      </w:r>
      <w:r w:rsidR="0094632F">
        <w:t xml:space="preserve">At a rate of $85 per hour </w:t>
      </w:r>
      <w:r w:rsidR="00815A08">
        <w:t>(average loaded hourly cost of an NCUA FTE)</w:t>
      </w:r>
      <w:r w:rsidR="0094632F">
        <w:t>, the estimated cost for NCUA to review these requests is $2,720</w:t>
      </w:r>
      <w:r w:rsidR="00715C6D">
        <w:t>.</w:t>
      </w:r>
    </w:p>
    <w:p w14:paraId="6162F109" w14:textId="77777777" w:rsidR="003A0D60" w:rsidRPr="00E44F63" w:rsidRDefault="003A0D60" w:rsidP="009B3D81">
      <w:pPr>
        <w:pStyle w:val="ListParagraph"/>
        <w:ind w:left="540" w:hanging="540"/>
        <w:rPr>
          <w:b/>
        </w:rPr>
      </w:pPr>
    </w:p>
    <w:p w14:paraId="2BC5E3A0" w14:textId="77777777" w:rsidR="003A0D60" w:rsidRPr="00E44F63" w:rsidRDefault="003A0D60" w:rsidP="009B3D81">
      <w:pPr>
        <w:pStyle w:val="ListParagraph"/>
        <w:numPr>
          <w:ilvl w:val="0"/>
          <w:numId w:val="3"/>
        </w:numPr>
        <w:ind w:left="540" w:hanging="540"/>
        <w:rPr>
          <w:b/>
        </w:rPr>
      </w:pPr>
      <w:r w:rsidRPr="00E44F63">
        <w:rPr>
          <w:b/>
        </w:rPr>
        <w:t>Change</w:t>
      </w:r>
      <w:r>
        <w:rPr>
          <w:b/>
        </w:rPr>
        <w:t>s in Burden</w:t>
      </w:r>
    </w:p>
    <w:p w14:paraId="61BA468B" w14:textId="713FE1C5" w:rsidR="003A0D60" w:rsidRDefault="009B3D81" w:rsidP="009B3D81">
      <w:pPr>
        <w:ind w:left="540" w:hanging="540"/>
      </w:pPr>
      <w:r>
        <w:tab/>
      </w:r>
      <w:r w:rsidR="0094632F">
        <w:t>The changes in burden reflect adjustments to make the estimates more consistent with experience with the program as well as consolidation of a number of existing collections under this OMB Control Number.  This collection of information was previously collected under two expired collections, 3133-0127 and 3133-0046</w:t>
      </w:r>
      <w:r w:rsidR="00400559">
        <w:t>.</w:t>
      </w:r>
      <w:r w:rsidR="0094632F">
        <w:t xml:space="preserve">  Once this collection is reinstated, </w:t>
      </w:r>
      <w:r w:rsidR="00513CC1">
        <w:t>NCUA will no longer use – and will not seek reinstatement of – 3133-0046 for information related to this program.</w:t>
      </w:r>
      <w:r w:rsidR="00400559">
        <w:t xml:space="preserve"> </w:t>
      </w:r>
    </w:p>
    <w:p w14:paraId="42311F08" w14:textId="77777777" w:rsidR="003A0D60" w:rsidRPr="00E44F63" w:rsidRDefault="003A0D60" w:rsidP="009B3D81">
      <w:pPr>
        <w:ind w:left="540" w:hanging="540"/>
        <w:rPr>
          <w:b/>
        </w:rPr>
      </w:pPr>
    </w:p>
    <w:p w14:paraId="71805C41" w14:textId="77777777" w:rsidR="003A0D60" w:rsidRPr="00E44F63" w:rsidRDefault="003A0D60" w:rsidP="009B3D81">
      <w:pPr>
        <w:pStyle w:val="ListParagraph"/>
        <w:numPr>
          <w:ilvl w:val="0"/>
          <w:numId w:val="3"/>
        </w:numPr>
        <w:ind w:left="540" w:hanging="540"/>
        <w:rPr>
          <w:b/>
        </w:rPr>
      </w:pPr>
      <w:r>
        <w:rPr>
          <w:b/>
        </w:rPr>
        <w:t>Information Collection Planned for Statistical Purposes</w:t>
      </w:r>
    </w:p>
    <w:p w14:paraId="1C8A0269" w14:textId="14264398" w:rsidR="003A0D60" w:rsidRPr="00631257" w:rsidRDefault="003A0D60" w:rsidP="009B3D81">
      <w:pPr>
        <w:suppressAutoHyphens/>
        <w:ind w:left="540" w:hanging="540"/>
      </w:pPr>
      <w:r>
        <w:tab/>
        <w:t>Not applicable.  The information collection is not used for statistical purposes</w:t>
      </w:r>
    </w:p>
    <w:p w14:paraId="758B330F" w14:textId="77777777" w:rsidR="003A0D60" w:rsidRPr="00E44F63" w:rsidRDefault="003A0D60" w:rsidP="009B3D81">
      <w:pPr>
        <w:ind w:left="540" w:hanging="540"/>
      </w:pPr>
    </w:p>
    <w:p w14:paraId="3C05BD54" w14:textId="408F87AB" w:rsidR="003A0D60" w:rsidRPr="0001607D" w:rsidRDefault="003A0D60" w:rsidP="009B3D81">
      <w:pPr>
        <w:pStyle w:val="ListParagraph"/>
        <w:keepNext/>
        <w:numPr>
          <w:ilvl w:val="0"/>
          <w:numId w:val="3"/>
        </w:numPr>
        <w:ind w:left="540" w:hanging="540"/>
        <w:rPr>
          <w:b/>
        </w:rPr>
      </w:pPr>
      <w:r>
        <w:rPr>
          <w:b/>
        </w:rPr>
        <w:t>Approval to Omit OMB Expiration</w:t>
      </w:r>
      <w:r w:rsidR="0001607D">
        <w:rPr>
          <w:b/>
        </w:rPr>
        <w:t xml:space="preserve"> Date</w:t>
      </w:r>
    </w:p>
    <w:p w14:paraId="433D22DF" w14:textId="3AC53189" w:rsidR="003A0D60" w:rsidRDefault="009B3D81" w:rsidP="009B3D81">
      <w:pPr>
        <w:suppressAutoHyphens/>
        <w:ind w:left="540" w:hanging="540"/>
      </w:pPr>
      <w:r>
        <w:tab/>
      </w:r>
      <w:r w:rsidR="003A0D60">
        <w:t>NCUA is not seeking approv</w:t>
      </w:r>
      <w:r w:rsidR="0001607D">
        <w:t>al to omit the expiration date.</w:t>
      </w:r>
    </w:p>
    <w:p w14:paraId="1B6F994F" w14:textId="77777777" w:rsidR="003A0D60" w:rsidRDefault="003A0D60" w:rsidP="009B3D81">
      <w:pPr>
        <w:suppressAutoHyphens/>
        <w:ind w:left="540" w:hanging="540"/>
      </w:pPr>
    </w:p>
    <w:p w14:paraId="20F6C5C0" w14:textId="77777777" w:rsidR="003A0D60" w:rsidRPr="00E44F63" w:rsidRDefault="003A0D60" w:rsidP="009B3D81">
      <w:pPr>
        <w:pStyle w:val="ListParagraph"/>
        <w:numPr>
          <w:ilvl w:val="0"/>
          <w:numId w:val="3"/>
        </w:numPr>
        <w:ind w:left="540" w:hanging="540"/>
        <w:rPr>
          <w:b/>
        </w:rPr>
      </w:pPr>
      <w:r w:rsidRPr="00E44F63">
        <w:rPr>
          <w:b/>
        </w:rPr>
        <w:t>Exceptions to Certification for Paperwork Reduction Act Submissions</w:t>
      </w:r>
    </w:p>
    <w:p w14:paraId="72352E7C" w14:textId="49A2EAAD" w:rsidR="003A0D60" w:rsidRDefault="003A0D60" w:rsidP="009B3D81">
      <w:pPr>
        <w:suppressAutoHyphens/>
        <w:ind w:left="540" w:hanging="540"/>
      </w:pPr>
      <w:r>
        <w:tab/>
        <w:t>This collection complies with th</w:t>
      </w:r>
      <w:r w:rsidR="0001607D">
        <w:t>e requirements in 5 CFR 1320.9.</w:t>
      </w:r>
    </w:p>
    <w:p w14:paraId="7D4539F0" w14:textId="77777777" w:rsidR="003A0D60" w:rsidRPr="00631257" w:rsidRDefault="003A0D60" w:rsidP="009B3D81">
      <w:pPr>
        <w:suppressAutoHyphens/>
        <w:ind w:left="540" w:hanging="540"/>
      </w:pPr>
    </w:p>
    <w:p w14:paraId="63CCA5CB" w14:textId="77777777" w:rsidR="003A0D60" w:rsidRPr="004C0136" w:rsidRDefault="003A0D60" w:rsidP="009B3D81">
      <w:pPr>
        <w:suppressAutoHyphens/>
        <w:ind w:left="540" w:hanging="540"/>
        <w:rPr>
          <w:caps/>
        </w:rPr>
      </w:pPr>
    </w:p>
    <w:p w14:paraId="3D015575" w14:textId="77777777" w:rsidR="003A0D60" w:rsidRPr="004C0136" w:rsidRDefault="003A0D60" w:rsidP="009B3D81">
      <w:pPr>
        <w:pStyle w:val="ListParagraph"/>
        <w:numPr>
          <w:ilvl w:val="0"/>
          <w:numId w:val="2"/>
        </w:numPr>
        <w:suppressAutoHyphens/>
        <w:ind w:left="540" w:hanging="540"/>
        <w:rPr>
          <w:b/>
          <w:caps/>
        </w:rPr>
      </w:pPr>
      <w:r w:rsidRPr="004C0136">
        <w:rPr>
          <w:b/>
          <w:caps/>
        </w:rPr>
        <w:t>Collections of Information Employing Statistical Methods</w:t>
      </w:r>
    </w:p>
    <w:p w14:paraId="773834E1" w14:textId="77777777" w:rsidR="003A0D60" w:rsidRPr="00631257" w:rsidRDefault="003A0D60" w:rsidP="009B3D81">
      <w:pPr>
        <w:pStyle w:val="ListParagraph"/>
        <w:suppressAutoHyphens/>
        <w:ind w:left="540" w:hanging="540"/>
      </w:pPr>
    </w:p>
    <w:p w14:paraId="43E5B50E" w14:textId="73E66B8C" w:rsidR="003A0D60" w:rsidRDefault="0001607D" w:rsidP="009B3D81">
      <w:pPr>
        <w:suppressAutoHyphens/>
        <w:ind w:left="540" w:hanging="540"/>
      </w:pPr>
      <w:r>
        <w:tab/>
      </w:r>
      <w:r w:rsidR="003A0D60">
        <w:t>This collection does not</w:t>
      </w:r>
      <w:r>
        <w:t xml:space="preserve"> involve statistical methods.</w:t>
      </w:r>
    </w:p>
    <w:p w14:paraId="5E5FBD37" w14:textId="77777777" w:rsidR="003A0D60" w:rsidRDefault="003A0D60" w:rsidP="009B3D81">
      <w:pPr>
        <w:suppressAutoHyphens/>
        <w:ind w:left="540" w:hanging="540"/>
      </w:pPr>
    </w:p>
    <w:sectPr w:rsidR="003A0D60" w:rsidSect="00AA45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54B80" w14:textId="77777777" w:rsidR="002B5133" w:rsidRDefault="002B5133" w:rsidP="00715C6D">
      <w:r>
        <w:separator/>
      </w:r>
    </w:p>
  </w:endnote>
  <w:endnote w:type="continuationSeparator" w:id="0">
    <w:p w14:paraId="5BA23124" w14:textId="77777777" w:rsidR="002B5133" w:rsidRDefault="002B5133" w:rsidP="0071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778914"/>
      <w:docPartObj>
        <w:docPartGallery w:val="Page Numbers (Bottom of Page)"/>
        <w:docPartUnique/>
      </w:docPartObj>
    </w:sdtPr>
    <w:sdtEndPr>
      <w:rPr>
        <w:noProof/>
      </w:rPr>
    </w:sdtEndPr>
    <w:sdtContent>
      <w:p w14:paraId="0C8A0389" w14:textId="17638A79" w:rsidR="00715C6D" w:rsidRDefault="00051C60" w:rsidP="00AA4569">
        <w:pPr>
          <w:pStyle w:val="Footer"/>
          <w:tabs>
            <w:tab w:val="clear" w:pos="4680"/>
            <w:tab w:val="clear" w:pos="9360"/>
            <w:tab w:val="right" w:pos="13410"/>
          </w:tabs>
        </w:pPr>
        <w:r w:rsidRPr="00EE7F29">
          <w:rPr>
            <w:i/>
            <w:sz w:val="18"/>
            <w:szCs w:val="18"/>
          </w:rPr>
          <w:t>OMB No. 3133-0127</w:t>
        </w:r>
        <w:r w:rsidR="00EE7F29" w:rsidRPr="00EE7F29">
          <w:rPr>
            <w:i/>
            <w:sz w:val="18"/>
            <w:szCs w:val="18"/>
          </w:rPr>
          <w:t xml:space="preserve"> – Amended 8/2017</w:t>
        </w:r>
        <w:r>
          <w:tab/>
        </w:r>
        <w:r>
          <w:fldChar w:fldCharType="begin"/>
        </w:r>
        <w:r>
          <w:instrText xml:space="preserve"> PAGE   \* MERGEFORMAT </w:instrText>
        </w:r>
        <w:r>
          <w:fldChar w:fldCharType="separate"/>
        </w:r>
        <w:r w:rsidR="00135E6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767C1" w14:textId="77777777" w:rsidR="002B5133" w:rsidRDefault="002B5133" w:rsidP="00715C6D">
      <w:r>
        <w:separator/>
      </w:r>
    </w:p>
  </w:footnote>
  <w:footnote w:type="continuationSeparator" w:id="0">
    <w:p w14:paraId="0AC1D56B" w14:textId="77777777" w:rsidR="002B5133" w:rsidRDefault="002B5133" w:rsidP="0071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4F8"/>
    <w:multiLevelType w:val="hybridMultilevel"/>
    <w:tmpl w:val="40988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5">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5A50F6"/>
    <w:multiLevelType w:val="hybridMultilevel"/>
    <w:tmpl w:val="455C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D412705"/>
    <w:multiLevelType w:val="hybridMultilevel"/>
    <w:tmpl w:val="C380B01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0320D52"/>
    <w:multiLevelType w:val="multilevel"/>
    <w:tmpl w:val="C380B0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7EC6ACE"/>
    <w:multiLevelType w:val="hybridMultilevel"/>
    <w:tmpl w:val="3F8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C51B4A"/>
    <w:multiLevelType w:val="hybridMultilevel"/>
    <w:tmpl w:val="4026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3"/>
  </w:num>
  <w:num w:numId="5">
    <w:abstractNumId w:val="1"/>
  </w:num>
  <w:num w:numId="6">
    <w:abstractNumId w:val="6"/>
  </w:num>
  <w:num w:numId="7">
    <w:abstractNumId w:val="4"/>
  </w:num>
  <w:num w:numId="8">
    <w:abstractNumId w:val="2"/>
  </w:num>
  <w:num w:numId="9">
    <w:abstractNumId w:val="8"/>
  </w:num>
  <w:num w:numId="10">
    <w:abstractNumId w:val="11"/>
  </w:num>
  <w:num w:numId="11">
    <w:abstractNumId w:val="9"/>
  </w:num>
  <w:num w:numId="12">
    <w:abstractNumId w:val="13"/>
  </w:num>
  <w:num w:numId="13">
    <w:abstractNumId w:val="15"/>
  </w:num>
  <w:num w:numId="14">
    <w:abstractNumId w:val="10"/>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60"/>
    <w:rsid w:val="0001607D"/>
    <w:rsid w:val="00050B39"/>
    <w:rsid w:val="00051C60"/>
    <w:rsid w:val="0008099B"/>
    <w:rsid w:val="00080BAE"/>
    <w:rsid w:val="000D10FC"/>
    <w:rsid w:val="001037A0"/>
    <w:rsid w:val="0012399D"/>
    <w:rsid w:val="00135E61"/>
    <w:rsid w:val="00151D71"/>
    <w:rsid w:val="00221200"/>
    <w:rsid w:val="002B5133"/>
    <w:rsid w:val="002C3934"/>
    <w:rsid w:val="00381567"/>
    <w:rsid w:val="003A0D60"/>
    <w:rsid w:val="003E1DC9"/>
    <w:rsid w:val="00400559"/>
    <w:rsid w:val="004168F3"/>
    <w:rsid w:val="004D0FCD"/>
    <w:rsid w:val="00503F20"/>
    <w:rsid w:val="00513CC1"/>
    <w:rsid w:val="0054627E"/>
    <w:rsid w:val="005601F3"/>
    <w:rsid w:val="00575B0E"/>
    <w:rsid w:val="006571A0"/>
    <w:rsid w:val="006923ED"/>
    <w:rsid w:val="006D2A19"/>
    <w:rsid w:val="00715C6D"/>
    <w:rsid w:val="007705DA"/>
    <w:rsid w:val="007D5BEF"/>
    <w:rsid w:val="00815A08"/>
    <w:rsid w:val="00871223"/>
    <w:rsid w:val="00875F2F"/>
    <w:rsid w:val="00884ECC"/>
    <w:rsid w:val="008A129B"/>
    <w:rsid w:val="008A6517"/>
    <w:rsid w:val="008B6FED"/>
    <w:rsid w:val="0094632F"/>
    <w:rsid w:val="009A2D37"/>
    <w:rsid w:val="009B3D81"/>
    <w:rsid w:val="009B6208"/>
    <w:rsid w:val="009C14D3"/>
    <w:rsid w:val="00A278FA"/>
    <w:rsid w:val="00A43121"/>
    <w:rsid w:val="00A51BBA"/>
    <w:rsid w:val="00A8264A"/>
    <w:rsid w:val="00AA4569"/>
    <w:rsid w:val="00AD6D14"/>
    <w:rsid w:val="00B014F9"/>
    <w:rsid w:val="00BB66BD"/>
    <w:rsid w:val="00BE513C"/>
    <w:rsid w:val="00C23582"/>
    <w:rsid w:val="00C371A1"/>
    <w:rsid w:val="00CD11FD"/>
    <w:rsid w:val="00D55F1D"/>
    <w:rsid w:val="00DC0E0B"/>
    <w:rsid w:val="00DD60B5"/>
    <w:rsid w:val="00E43C79"/>
    <w:rsid w:val="00ED07FB"/>
    <w:rsid w:val="00EE7F29"/>
    <w:rsid w:val="00EF0C32"/>
    <w:rsid w:val="00F80765"/>
    <w:rsid w:val="00FE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2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Header">
    <w:name w:val="header"/>
    <w:basedOn w:val="Normal"/>
    <w:link w:val="HeaderChar"/>
    <w:uiPriority w:val="99"/>
    <w:unhideWhenUsed/>
    <w:rsid w:val="00715C6D"/>
    <w:pPr>
      <w:tabs>
        <w:tab w:val="center" w:pos="4680"/>
        <w:tab w:val="right" w:pos="9360"/>
      </w:tabs>
    </w:pPr>
  </w:style>
  <w:style w:type="character" w:customStyle="1" w:styleId="HeaderChar">
    <w:name w:val="Header Char"/>
    <w:basedOn w:val="DefaultParagraphFont"/>
    <w:link w:val="Header"/>
    <w:uiPriority w:val="99"/>
    <w:rsid w:val="00715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5C6D"/>
    <w:pPr>
      <w:tabs>
        <w:tab w:val="center" w:pos="4680"/>
        <w:tab w:val="right" w:pos="9360"/>
      </w:tabs>
    </w:pPr>
  </w:style>
  <w:style w:type="character" w:customStyle="1" w:styleId="FooterChar">
    <w:name w:val="Footer Char"/>
    <w:basedOn w:val="DefaultParagraphFont"/>
    <w:link w:val="Footer"/>
    <w:uiPriority w:val="99"/>
    <w:rsid w:val="00715C6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6D14"/>
    <w:rPr>
      <w:sz w:val="16"/>
      <w:szCs w:val="16"/>
    </w:rPr>
  </w:style>
  <w:style w:type="paragraph" w:styleId="CommentText">
    <w:name w:val="annotation text"/>
    <w:basedOn w:val="Normal"/>
    <w:link w:val="CommentTextChar"/>
    <w:uiPriority w:val="99"/>
    <w:semiHidden/>
    <w:unhideWhenUsed/>
    <w:rsid w:val="00AD6D14"/>
    <w:rPr>
      <w:sz w:val="20"/>
      <w:szCs w:val="20"/>
    </w:rPr>
  </w:style>
  <w:style w:type="character" w:customStyle="1" w:styleId="CommentTextChar">
    <w:name w:val="Comment Text Char"/>
    <w:basedOn w:val="DefaultParagraphFont"/>
    <w:link w:val="CommentText"/>
    <w:uiPriority w:val="99"/>
    <w:semiHidden/>
    <w:rsid w:val="00AD6D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6D14"/>
    <w:rPr>
      <w:b/>
      <w:bCs/>
    </w:rPr>
  </w:style>
  <w:style w:type="character" w:customStyle="1" w:styleId="CommentSubjectChar">
    <w:name w:val="Comment Subject Char"/>
    <w:basedOn w:val="CommentTextChar"/>
    <w:link w:val="CommentSubject"/>
    <w:uiPriority w:val="99"/>
    <w:semiHidden/>
    <w:rsid w:val="00AD6D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6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14"/>
    <w:rPr>
      <w:rFonts w:ascii="Segoe UI" w:eastAsia="Times New Roman" w:hAnsi="Segoe UI" w:cs="Segoe UI"/>
      <w:sz w:val="18"/>
      <w:szCs w:val="18"/>
    </w:rPr>
  </w:style>
  <w:style w:type="table" w:styleId="TableGrid">
    <w:name w:val="Table Grid"/>
    <w:basedOn w:val="TableNormal"/>
    <w:uiPriority w:val="59"/>
    <w:rsid w:val="00DC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Header">
    <w:name w:val="header"/>
    <w:basedOn w:val="Normal"/>
    <w:link w:val="HeaderChar"/>
    <w:uiPriority w:val="99"/>
    <w:unhideWhenUsed/>
    <w:rsid w:val="00715C6D"/>
    <w:pPr>
      <w:tabs>
        <w:tab w:val="center" w:pos="4680"/>
        <w:tab w:val="right" w:pos="9360"/>
      </w:tabs>
    </w:pPr>
  </w:style>
  <w:style w:type="character" w:customStyle="1" w:styleId="HeaderChar">
    <w:name w:val="Header Char"/>
    <w:basedOn w:val="DefaultParagraphFont"/>
    <w:link w:val="Header"/>
    <w:uiPriority w:val="99"/>
    <w:rsid w:val="00715C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5C6D"/>
    <w:pPr>
      <w:tabs>
        <w:tab w:val="center" w:pos="4680"/>
        <w:tab w:val="right" w:pos="9360"/>
      </w:tabs>
    </w:pPr>
  </w:style>
  <w:style w:type="character" w:customStyle="1" w:styleId="FooterChar">
    <w:name w:val="Footer Char"/>
    <w:basedOn w:val="DefaultParagraphFont"/>
    <w:link w:val="Footer"/>
    <w:uiPriority w:val="99"/>
    <w:rsid w:val="00715C6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6D14"/>
    <w:rPr>
      <w:sz w:val="16"/>
      <w:szCs w:val="16"/>
    </w:rPr>
  </w:style>
  <w:style w:type="paragraph" w:styleId="CommentText">
    <w:name w:val="annotation text"/>
    <w:basedOn w:val="Normal"/>
    <w:link w:val="CommentTextChar"/>
    <w:uiPriority w:val="99"/>
    <w:semiHidden/>
    <w:unhideWhenUsed/>
    <w:rsid w:val="00AD6D14"/>
    <w:rPr>
      <w:sz w:val="20"/>
      <w:szCs w:val="20"/>
    </w:rPr>
  </w:style>
  <w:style w:type="character" w:customStyle="1" w:styleId="CommentTextChar">
    <w:name w:val="Comment Text Char"/>
    <w:basedOn w:val="DefaultParagraphFont"/>
    <w:link w:val="CommentText"/>
    <w:uiPriority w:val="99"/>
    <w:semiHidden/>
    <w:rsid w:val="00AD6D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6D14"/>
    <w:rPr>
      <w:b/>
      <w:bCs/>
    </w:rPr>
  </w:style>
  <w:style w:type="character" w:customStyle="1" w:styleId="CommentSubjectChar">
    <w:name w:val="Comment Subject Char"/>
    <w:basedOn w:val="CommentTextChar"/>
    <w:link w:val="CommentSubject"/>
    <w:uiPriority w:val="99"/>
    <w:semiHidden/>
    <w:rsid w:val="00AD6D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6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14"/>
    <w:rPr>
      <w:rFonts w:ascii="Segoe UI" w:eastAsia="Times New Roman" w:hAnsi="Segoe UI" w:cs="Segoe UI"/>
      <w:sz w:val="18"/>
      <w:szCs w:val="18"/>
    </w:rPr>
  </w:style>
  <w:style w:type="table" w:styleId="TableGrid">
    <w:name w:val="Table Grid"/>
    <w:basedOn w:val="TableNormal"/>
    <w:uiPriority w:val="59"/>
    <w:rsid w:val="00DC0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13489">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359771498">
      <w:bodyDiv w:val="1"/>
      <w:marLeft w:val="0"/>
      <w:marRight w:val="0"/>
      <w:marTop w:val="0"/>
      <w:marBottom w:val="0"/>
      <w:divBdr>
        <w:top w:val="none" w:sz="0" w:space="0" w:color="auto"/>
        <w:left w:val="none" w:sz="0" w:space="0" w:color="auto"/>
        <w:bottom w:val="none" w:sz="0" w:space="0" w:color="auto"/>
        <w:right w:val="none" w:sz="0" w:space="0" w:color="auto"/>
      </w:divBdr>
    </w:div>
    <w:div w:id="1505437993">
      <w:bodyDiv w:val="1"/>
      <w:marLeft w:val="0"/>
      <w:marRight w:val="0"/>
      <w:marTop w:val="0"/>
      <w:marBottom w:val="0"/>
      <w:divBdr>
        <w:top w:val="none" w:sz="0" w:space="0" w:color="auto"/>
        <w:left w:val="none" w:sz="0" w:space="0" w:color="auto"/>
        <w:bottom w:val="none" w:sz="0" w:space="0" w:color="auto"/>
        <w:right w:val="none" w:sz="0" w:space="0" w:color="auto"/>
      </w:divBdr>
    </w:div>
    <w:div w:id="18525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C316A-046C-4818-BA11-E759E836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SYSTEM</cp:lastModifiedBy>
  <cp:revision>2</cp:revision>
  <cp:lastPrinted>2016-06-23T13:28:00Z</cp:lastPrinted>
  <dcterms:created xsi:type="dcterms:W3CDTF">2017-08-01T18:20:00Z</dcterms:created>
  <dcterms:modified xsi:type="dcterms:W3CDTF">2017-08-01T18:20:00Z</dcterms:modified>
</cp:coreProperties>
</file>