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01" w:rsidRDefault="001D286E" w:rsidP="005C5F37">
      <w:pPr>
        <w:spacing w:line="480" w:lineRule="auto"/>
        <w:jc w:val="center"/>
        <w:outlineLvl w:val="0"/>
        <w:rPr>
          <w:rFonts w:ascii="Arial" w:hAnsi="Arial" w:cs="Arial"/>
          <w:b/>
        </w:rPr>
      </w:pPr>
      <w:bookmarkStart w:id="0" w:name="_Toc456364838"/>
      <w:bookmarkStart w:id="1" w:name="_Toc456365111"/>
      <w:r>
        <w:rPr>
          <w:rFonts w:ascii="Arial" w:hAnsi="Arial" w:cs="Arial"/>
          <w:b/>
          <w:bCs/>
        </w:rPr>
        <w:t>CACFP National Dis</w:t>
      </w:r>
      <w:bookmarkStart w:id="2" w:name="_GoBack"/>
      <w:bookmarkEnd w:id="2"/>
      <w:r>
        <w:rPr>
          <w:rFonts w:ascii="Arial" w:hAnsi="Arial" w:cs="Arial"/>
          <w:b/>
          <w:bCs/>
        </w:rPr>
        <w:t xml:space="preserve">qualified List </w:t>
      </w:r>
      <w:r w:rsidR="00061423">
        <w:rPr>
          <w:rFonts w:ascii="Arial" w:hAnsi="Arial" w:cs="Arial"/>
          <w:b/>
          <w:bCs/>
        </w:rPr>
        <w:t>Forms - FNS-843, FNS-844</w:t>
      </w:r>
      <w:bookmarkEnd w:id="0"/>
      <w:bookmarkEnd w:id="1"/>
    </w:p>
    <w:p w:rsidR="001D286E" w:rsidRDefault="001D286E" w:rsidP="005C5F37">
      <w:pPr>
        <w:spacing w:line="480" w:lineRule="auto"/>
        <w:jc w:val="center"/>
        <w:outlineLvl w:val="0"/>
        <w:rPr>
          <w:rFonts w:ascii="Arial" w:hAnsi="Arial" w:cs="Arial"/>
          <w:b/>
        </w:rPr>
      </w:pPr>
    </w:p>
    <w:p w:rsidR="005C5F37" w:rsidRPr="004C3A80" w:rsidRDefault="00053014" w:rsidP="005C5F37">
      <w:pPr>
        <w:spacing w:line="480" w:lineRule="auto"/>
        <w:jc w:val="center"/>
        <w:outlineLvl w:val="0"/>
        <w:rPr>
          <w:rFonts w:ascii="Arial" w:hAnsi="Arial" w:cs="Arial"/>
          <w:b/>
          <w:bCs/>
        </w:rPr>
      </w:pPr>
      <w:bookmarkStart w:id="3" w:name="_Toc456364839"/>
      <w:bookmarkStart w:id="4" w:name="_Toc456365112"/>
      <w:r>
        <w:rPr>
          <w:rFonts w:ascii="Arial" w:hAnsi="Arial" w:cs="Arial"/>
          <w:b/>
          <w:bCs/>
        </w:rPr>
        <w:t>OMB CLEARANCE NUMBER 0584-</w:t>
      </w:r>
      <w:r w:rsidR="00730ABE">
        <w:rPr>
          <w:rFonts w:ascii="Arial" w:hAnsi="Arial" w:cs="Arial"/>
          <w:b/>
          <w:bCs/>
        </w:rPr>
        <w:t>0584</w:t>
      </w:r>
      <w:bookmarkEnd w:id="3"/>
      <w:bookmarkEnd w:id="4"/>
    </w:p>
    <w:p w:rsidR="005C5F37" w:rsidRPr="004C3A80" w:rsidRDefault="005C5F37" w:rsidP="005C5F37">
      <w:pPr>
        <w:spacing w:line="480" w:lineRule="auto"/>
        <w:rPr>
          <w:rFonts w:ascii="Arial" w:hAnsi="Arial" w:cs="Arial"/>
          <w:b/>
          <w:bCs/>
          <w:spacing w:val="-3"/>
        </w:rPr>
      </w:pPr>
    </w:p>
    <w:p w:rsidR="005C5F37" w:rsidRPr="004C3A80" w:rsidRDefault="00521301" w:rsidP="005C5F37">
      <w:pPr>
        <w:spacing w:line="480" w:lineRule="auto"/>
        <w:jc w:val="center"/>
        <w:outlineLvl w:val="0"/>
        <w:rPr>
          <w:rFonts w:ascii="Arial" w:hAnsi="Arial" w:cs="Arial"/>
          <w:b/>
          <w:bCs/>
          <w:spacing w:val="-3"/>
        </w:rPr>
      </w:pPr>
      <w:bookmarkStart w:id="5" w:name="_Toc456364840"/>
      <w:bookmarkStart w:id="6" w:name="_Toc456365113"/>
      <w:r>
        <w:rPr>
          <w:rFonts w:ascii="Arial" w:hAnsi="Arial" w:cs="Arial"/>
          <w:b/>
          <w:bCs/>
          <w:spacing w:val="-3"/>
        </w:rPr>
        <w:t>Suzanne Diggs</w:t>
      </w:r>
      <w:r w:rsidR="005C5F37" w:rsidRPr="004C3A80">
        <w:rPr>
          <w:rFonts w:ascii="Arial" w:hAnsi="Arial" w:cs="Arial"/>
          <w:b/>
          <w:bCs/>
          <w:spacing w:val="-3"/>
        </w:rPr>
        <w:t>, Program Analyst</w:t>
      </w:r>
      <w:bookmarkEnd w:id="5"/>
      <w:bookmarkEnd w:id="6"/>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Food and Nutrition Service, USDA</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 xml:space="preserve">Child Nutrition </w:t>
      </w:r>
      <w:r w:rsidR="0010787C">
        <w:rPr>
          <w:rFonts w:ascii="Arial" w:hAnsi="Arial" w:cs="Arial"/>
          <w:b/>
          <w:bCs/>
          <w:spacing w:val="-3"/>
        </w:rPr>
        <w:t>Programs</w:t>
      </w:r>
    </w:p>
    <w:p w:rsidR="005C5F37" w:rsidRPr="004C3A80" w:rsidRDefault="006B67DB" w:rsidP="005C5F37">
      <w:pPr>
        <w:spacing w:line="480" w:lineRule="auto"/>
        <w:jc w:val="center"/>
        <w:rPr>
          <w:rFonts w:ascii="Arial" w:hAnsi="Arial" w:cs="Arial"/>
          <w:b/>
          <w:bCs/>
          <w:spacing w:val="-3"/>
        </w:rPr>
      </w:pPr>
      <w:r>
        <w:rPr>
          <w:rFonts w:ascii="Arial" w:hAnsi="Arial" w:cs="Arial"/>
          <w:b/>
          <w:bCs/>
          <w:spacing w:val="-3"/>
        </w:rPr>
        <w:t>Program</w:t>
      </w:r>
      <w:r w:rsidR="005C5F37" w:rsidRPr="004C3A80">
        <w:rPr>
          <w:rFonts w:ascii="Arial" w:hAnsi="Arial" w:cs="Arial"/>
          <w:b/>
          <w:bCs/>
          <w:spacing w:val="-3"/>
        </w:rPr>
        <w:t xml:space="preserve"> Monitoring </w:t>
      </w:r>
      <w:r w:rsidR="0010787C">
        <w:rPr>
          <w:rFonts w:ascii="Arial" w:hAnsi="Arial" w:cs="Arial"/>
          <w:b/>
          <w:bCs/>
          <w:spacing w:val="-3"/>
        </w:rPr>
        <w:t xml:space="preserve">and Operational Support </w:t>
      </w:r>
      <w:r w:rsidR="005C5F37" w:rsidRPr="004C3A80">
        <w:rPr>
          <w:rFonts w:ascii="Arial" w:hAnsi="Arial" w:cs="Arial"/>
          <w:b/>
          <w:bCs/>
          <w:spacing w:val="-3"/>
        </w:rPr>
        <w:t>Branch</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3101 Park Center Drive</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Alexandria, VA  22302</w:t>
      </w:r>
    </w:p>
    <w:p w:rsidR="005C5F37" w:rsidRPr="004C3A80" w:rsidRDefault="0025013B" w:rsidP="005C5F37">
      <w:pPr>
        <w:spacing w:line="480" w:lineRule="auto"/>
        <w:jc w:val="center"/>
        <w:rPr>
          <w:rFonts w:ascii="Arial" w:hAnsi="Arial" w:cs="Arial"/>
          <w:b/>
          <w:bCs/>
          <w:spacing w:val="-3"/>
        </w:rPr>
      </w:pPr>
      <w:r>
        <w:rPr>
          <w:rFonts w:ascii="Arial" w:hAnsi="Arial" w:cs="Arial"/>
          <w:b/>
          <w:bCs/>
          <w:spacing w:val="-3"/>
        </w:rPr>
        <w:t>Phone</w:t>
      </w:r>
      <w:r w:rsidR="00125667">
        <w:rPr>
          <w:rFonts w:ascii="Arial" w:hAnsi="Arial" w:cs="Arial"/>
          <w:b/>
          <w:bCs/>
          <w:spacing w:val="-3"/>
        </w:rPr>
        <w:t xml:space="preserve">:  </w:t>
      </w:r>
      <w:r w:rsidR="005C5F37" w:rsidRPr="004C3A80">
        <w:rPr>
          <w:rFonts w:ascii="Arial" w:hAnsi="Arial" w:cs="Arial"/>
          <w:b/>
          <w:bCs/>
          <w:spacing w:val="-3"/>
        </w:rPr>
        <w:t>703-</w:t>
      </w:r>
      <w:r w:rsidR="002159A5">
        <w:rPr>
          <w:rFonts w:ascii="Arial" w:hAnsi="Arial" w:cs="Arial"/>
          <w:b/>
          <w:bCs/>
          <w:spacing w:val="-3"/>
        </w:rPr>
        <w:t>605-0859</w:t>
      </w:r>
      <w:r w:rsidR="005C5F37" w:rsidRPr="004C3A80">
        <w:rPr>
          <w:rFonts w:ascii="Arial" w:hAnsi="Arial" w:cs="Arial"/>
          <w:b/>
          <w:bCs/>
          <w:spacing w:val="-3"/>
        </w:rPr>
        <w:t xml:space="preserve"> </w:t>
      </w:r>
    </w:p>
    <w:p w:rsidR="005C5F37" w:rsidRPr="004C3A80" w:rsidRDefault="002159A5" w:rsidP="005C5F37">
      <w:pPr>
        <w:spacing w:line="480" w:lineRule="auto"/>
        <w:jc w:val="center"/>
        <w:rPr>
          <w:rFonts w:ascii="Arial" w:hAnsi="Arial" w:cs="Arial"/>
          <w:b/>
          <w:bCs/>
          <w:spacing w:val="-3"/>
        </w:rPr>
      </w:pPr>
      <w:r>
        <w:rPr>
          <w:rFonts w:ascii="Arial" w:hAnsi="Arial" w:cs="Arial"/>
          <w:b/>
          <w:bCs/>
          <w:spacing w:val="-3"/>
        </w:rPr>
        <w:t>Suzanne.Diggs</w:t>
      </w:r>
      <w:r w:rsidR="005C5F37" w:rsidRPr="004C3A80">
        <w:rPr>
          <w:rFonts w:ascii="Arial" w:hAnsi="Arial" w:cs="Arial"/>
          <w:b/>
          <w:bCs/>
          <w:spacing w:val="-3"/>
        </w:rPr>
        <w:t>@fns.usda.gov</w:t>
      </w:r>
    </w:p>
    <w:p w:rsidR="005C5F37" w:rsidRDefault="005C5F37" w:rsidP="00157FFC">
      <w:pPr>
        <w:tabs>
          <w:tab w:val="center" w:pos="4680"/>
        </w:tabs>
        <w:suppressAutoHyphens/>
        <w:rPr>
          <w:rFonts w:ascii="Times New Roman" w:hAnsi="Times New Roman"/>
          <w:b/>
          <w:spacing w:val="-3"/>
          <w:szCs w:val="24"/>
        </w:rPr>
      </w:pPr>
    </w:p>
    <w:p w:rsidR="005C5F37" w:rsidRDefault="005C5F37" w:rsidP="00157FFC">
      <w:pPr>
        <w:tabs>
          <w:tab w:val="center" w:pos="4680"/>
        </w:tabs>
        <w:suppressAutoHyphens/>
        <w:rPr>
          <w:rFonts w:ascii="Times New Roman" w:hAnsi="Times New Roman"/>
          <w:b/>
          <w:spacing w:val="-3"/>
          <w:szCs w:val="24"/>
        </w:rPr>
      </w:pPr>
    </w:p>
    <w:p w:rsidR="002C7651" w:rsidRDefault="005C5F37" w:rsidP="00231247">
      <w:pPr>
        <w:tabs>
          <w:tab w:val="center" w:pos="4680"/>
        </w:tabs>
        <w:suppressAutoHyphens/>
        <w:rPr>
          <w:rFonts w:ascii="Times New Roman" w:hAnsi="Times New Roman"/>
          <w:b/>
          <w:spacing w:val="-3"/>
          <w:szCs w:val="24"/>
        </w:rPr>
      </w:pPr>
      <w:r>
        <w:rPr>
          <w:rFonts w:ascii="Times New Roman" w:hAnsi="Times New Roman"/>
          <w:b/>
          <w:spacing w:val="-3"/>
          <w:szCs w:val="24"/>
        </w:rPr>
        <w:br w:type="page"/>
      </w:r>
    </w:p>
    <w:p w:rsidR="00D10EA8" w:rsidRPr="002C6447" w:rsidRDefault="004C7139" w:rsidP="00D10EA8">
      <w:pPr>
        <w:pStyle w:val="TOC1"/>
        <w:spacing w:before="0"/>
        <w:rPr>
          <w:rStyle w:val="Hyperlink"/>
          <w:rFonts w:ascii="Times New Roman" w:hAnsi="Times New Roman"/>
          <w:noProof/>
          <w:color w:val="auto"/>
          <w:szCs w:val="24"/>
          <w:u w:val="none"/>
        </w:rPr>
      </w:pPr>
      <w:r w:rsidRPr="002C6447">
        <w:rPr>
          <w:rFonts w:ascii="Times New Roman" w:hAnsi="Times New Roman"/>
          <w:spacing w:val="-3"/>
          <w:szCs w:val="24"/>
        </w:rPr>
        <w:lastRenderedPageBreak/>
        <w:t xml:space="preserve">Part </w:t>
      </w:r>
      <w:r w:rsidR="00117534" w:rsidRPr="002C6447">
        <w:rPr>
          <w:rFonts w:ascii="Times New Roman" w:hAnsi="Times New Roman"/>
          <w:spacing w:val="-3"/>
          <w:szCs w:val="24"/>
        </w:rPr>
        <w:fldChar w:fldCharType="begin"/>
      </w:r>
      <w:r w:rsidR="00117534" w:rsidRPr="002C6447">
        <w:rPr>
          <w:rFonts w:ascii="Times New Roman" w:hAnsi="Times New Roman"/>
          <w:spacing w:val="-3"/>
          <w:szCs w:val="24"/>
        </w:rPr>
        <w:instrText xml:space="preserve"> TOC \o "1-3" \h \z \u </w:instrText>
      </w:r>
      <w:r w:rsidR="00117534" w:rsidRPr="002C6447">
        <w:rPr>
          <w:rFonts w:ascii="Times New Roman" w:hAnsi="Times New Roman"/>
          <w:spacing w:val="-3"/>
          <w:szCs w:val="24"/>
        </w:rPr>
        <w:fldChar w:fldCharType="separate"/>
      </w:r>
      <w:hyperlink w:anchor="_Toc456365114" w:history="1">
        <w:r w:rsidR="00117534" w:rsidRPr="002C6447">
          <w:rPr>
            <w:rStyle w:val="Hyperlink"/>
            <w:rFonts w:ascii="Times New Roman" w:hAnsi="Times New Roman"/>
            <w:bCs/>
            <w:noProof/>
            <w:color w:val="auto"/>
            <w:szCs w:val="24"/>
            <w:u w:val="none"/>
          </w:rPr>
          <w:t>A</w:t>
        </w:r>
        <w:r w:rsidR="00117534" w:rsidRPr="002C6447">
          <w:rPr>
            <w:rFonts w:ascii="Times New Roman" w:eastAsiaTheme="minorEastAsia" w:hAnsi="Times New Roman"/>
            <w:noProof/>
            <w:szCs w:val="24"/>
          </w:rPr>
          <w:tab/>
        </w:r>
        <w:r w:rsidR="00117534" w:rsidRPr="002C6447">
          <w:rPr>
            <w:rStyle w:val="Hyperlink"/>
            <w:rFonts w:ascii="Times New Roman" w:hAnsi="Times New Roman"/>
            <w:bCs/>
            <w:noProof/>
            <w:color w:val="auto"/>
            <w:szCs w:val="24"/>
            <w:u w:val="none"/>
          </w:rPr>
          <w:t>JUSTIFICATION</w:t>
        </w:r>
        <w:r w:rsidR="00117534" w:rsidRPr="002C6447">
          <w:rPr>
            <w:rFonts w:ascii="Times New Roman" w:hAnsi="Times New Roman"/>
            <w:noProof/>
            <w:webHidden/>
            <w:szCs w:val="24"/>
          </w:rPr>
          <w:tab/>
        </w:r>
        <w:r w:rsidR="00FD6CB6">
          <w:rPr>
            <w:rFonts w:ascii="Times New Roman" w:hAnsi="Times New Roman"/>
            <w:noProof/>
            <w:webHidden/>
            <w:szCs w:val="24"/>
          </w:rPr>
          <w:t>4</w:t>
        </w:r>
      </w:hyperlink>
    </w:p>
    <w:p w:rsidR="00D10EA8" w:rsidRPr="002C6447" w:rsidRDefault="00D10EA8" w:rsidP="00D10EA8">
      <w:pPr>
        <w:rPr>
          <w:rFonts w:ascii="Times New Roman"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5" w:history="1">
        <w:r w:rsidR="00117534" w:rsidRPr="002C6447">
          <w:rPr>
            <w:rStyle w:val="Hyperlink"/>
            <w:rFonts w:ascii="Times New Roman" w:hAnsi="Times New Roman"/>
            <w:noProof/>
            <w:color w:val="auto"/>
            <w:szCs w:val="24"/>
            <w:u w:val="none"/>
          </w:rPr>
          <w:t>1</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Circumstances that make the Collection of Information Necessary</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4</w:t>
        </w:r>
      </w:hyperlink>
    </w:p>
    <w:p w:rsidR="00D10EA8" w:rsidRPr="002C6447" w:rsidRDefault="00D10EA8" w:rsidP="00D10EA8">
      <w:pPr>
        <w:rPr>
          <w:rFonts w:ascii="Times New Roman" w:eastAsiaTheme="minorEastAsia"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6" w:history="1">
        <w:r w:rsidR="00117534" w:rsidRPr="002C6447">
          <w:rPr>
            <w:rStyle w:val="Hyperlink"/>
            <w:rFonts w:ascii="Times New Roman" w:hAnsi="Times New Roman"/>
            <w:noProof/>
            <w:color w:val="auto"/>
            <w:szCs w:val="24"/>
            <w:u w:val="none"/>
          </w:rPr>
          <w:t>2</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Purpose and Use of the Information</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5</w:t>
        </w:r>
      </w:hyperlink>
    </w:p>
    <w:p w:rsidR="00D10EA8" w:rsidRPr="002C6447" w:rsidRDefault="00D10EA8" w:rsidP="00D10EA8">
      <w:pPr>
        <w:rPr>
          <w:rFonts w:ascii="Times New Roman" w:eastAsiaTheme="minorEastAsia"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7" w:history="1">
        <w:r w:rsidR="00117534" w:rsidRPr="002C6447">
          <w:rPr>
            <w:rStyle w:val="Hyperlink"/>
            <w:rFonts w:ascii="Times New Roman" w:hAnsi="Times New Roman"/>
            <w:noProof/>
            <w:color w:val="auto"/>
            <w:szCs w:val="24"/>
            <w:u w:val="none"/>
          </w:rPr>
          <w:t>3</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Use of Information Technology and Burden Reduction</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6</w:t>
        </w:r>
      </w:hyperlink>
    </w:p>
    <w:p w:rsidR="00D10EA8" w:rsidRPr="002C6447" w:rsidRDefault="00D10EA8" w:rsidP="00D10EA8">
      <w:pPr>
        <w:rPr>
          <w:rFonts w:ascii="Times New Roman" w:eastAsiaTheme="minorEastAsia"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8" w:history="1">
        <w:r w:rsidR="00117534" w:rsidRPr="002C6447">
          <w:rPr>
            <w:rStyle w:val="Hyperlink"/>
            <w:rFonts w:ascii="Times New Roman" w:hAnsi="Times New Roman"/>
            <w:noProof/>
            <w:color w:val="auto"/>
            <w:szCs w:val="24"/>
            <w:u w:val="none"/>
          </w:rPr>
          <w:t>4</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 xml:space="preserve">Efforts to Identify Duplication </w:t>
        </w:r>
        <w:r w:rsidR="00117534" w:rsidRPr="002C6447">
          <w:rPr>
            <w:rFonts w:ascii="Times New Roman" w:hAnsi="Times New Roman"/>
            <w:noProof/>
            <w:webHidden/>
            <w:szCs w:val="24"/>
          </w:rPr>
          <w:tab/>
        </w:r>
        <w:r w:rsidR="00FD6CB6">
          <w:rPr>
            <w:rFonts w:ascii="Times New Roman" w:hAnsi="Times New Roman"/>
            <w:noProof/>
            <w:webHidden/>
            <w:szCs w:val="24"/>
          </w:rPr>
          <w:t>7</w:t>
        </w:r>
      </w:hyperlink>
    </w:p>
    <w:p w:rsidR="00D10EA8" w:rsidRPr="002C6447" w:rsidRDefault="00D10EA8" w:rsidP="00D10EA8">
      <w:pPr>
        <w:rPr>
          <w:rFonts w:ascii="Times New Roman" w:eastAsiaTheme="minorEastAsia"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9" w:history="1">
        <w:r w:rsidR="00117534" w:rsidRPr="002C6447">
          <w:rPr>
            <w:rStyle w:val="Hyperlink"/>
            <w:rFonts w:ascii="Times New Roman" w:hAnsi="Times New Roman"/>
            <w:noProof/>
            <w:color w:val="auto"/>
            <w:szCs w:val="24"/>
            <w:u w:val="none"/>
          </w:rPr>
          <w:t>5</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Impacts on Small Businesses or other Small Entities</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7</w:t>
        </w:r>
      </w:hyperlink>
    </w:p>
    <w:p w:rsidR="00D10EA8" w:rsidRPr="002C6447" w:rsidRDefault="00D10EA8" w:rsidP="00D10EA8">
      <w:pPr>
        <w:rPr>
          <w:rFonts w:ascii="Times New Roman" w:eastAsiaTheme="minorEastAsia"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0" w:history="1">
        <w:r w:rsidR="00117534" w:rsidRPr="002C6447">
          <w:rPr>
            <w:rStyle w:val="Hyperlink"/>
            <w:rFonts w:ascii="Times New Roman" w:hAnsi="Times New Roman"/>
            <w:noProof/>
            <w:color w:val="auto"/>
            <w:szCs w:val="24"/>
            <w:u w:val="none"/>
          </w:rPr>
          <w:t>6</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Consequences of Collecting the Information less Frequently</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17E1C">
          <w:rPr>
            <w:rFonts w:ascii="Times New Roman" w:hAnsi="Times New Roman"/>
            <w:noProof/>
            <w:webHidden/>
            <w:szCs w:val="24"/>
          </w:rPr>
          <w:t>7</w:t>
        </w:r>
      </w:hyperlink>
    </w:p>
    <w:p w:rsidR="00D10EA8" w:rsidRPr="002C6447" w:rsidRDefault="00D10EA8" w:rsidP="00D10EA8">
      <w:pPr>
        <w:rPr>
          <w:rFonts w:ascii="Times New Roman" w:eastAsiaTheme="minorEastAsia" w:hAnsi="Times New Roman"/>
        </w:rPr>
      </w:pPr>
    </w:p>
    <w:p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1" w:history="1">
        <w:r w:rsidR="00117534" w:rsidRPr="002C6447">
          <w:rPr>
            <w:rStyle w:val="Hyperlink"/>
            <w:rFonts w:ascii="Times New Roman" w:hAnsi="Times New Roman"/>
            <w:noProof/>
            <w:color w:val="auto"/>
            <w:szCs w:val="24"/>
            <w:u w:val="none"/>
          </w:rPr>
          <w:t>7</w:t>
        </w:r>
        <w:r w:rsidR="00117534" w:rsidRPr="002C6447">
          <w:rPr>
            <w:rFonts w:ascii="Times New Roman" w:eastAsiaTheme="minorEastAsia" w:hAnsi="Times New Roman"/>
            <w:noProof/>
            <w:szCs w:val="24"/>
          </w:rPr>
          <w:tab/>
        </w:r>
        <w:r w:rsidR="003F168D" w:rsidRPr="002C6447">
          <w:rPr>
            <w:rFonts w:ascii="Times New Roman" w:eastAsiaTheme="minorEastAsia" w:hAnsi="Times New Roman"/>
            <w:noProof/>
            <w:szCs w:val="24"/>
          </w:rPr>
          <w:t xml:space="preserve">Special </w:t>
        </w:r>
        <w:r w:rsidR="00117534" w:rsidRPr="002C6447">
          <w:rPr>
            <w:rStyle w:val="Hyperlink"/>
            <w:rFonts w:ascii="Times New Roman" w:hAnsi="Times New Roman"/>
            <w:noProof/>
            <w:color w:val="auto"/>
            <w:szCs w:val="24"/>
            <w:u w:val="none"/>
          </w:rPr>
          <w:t xml:space="preserve">Circumstances </w:t>
        </w:r>
        <w:r w:rsidR="003F168D" w:rsidRPr="002C6447">
          <w:rPr>
            <w:rStyle w:val="Hyperlink"/>
            <w:rFonts w:ascii="Times New Roman" w:hAnsi="Times New Roman"/>
            <w:noProof/>
            <w:color w:val="auto"/>
            <w:szCs w:val="24"/>
            <w:u w:val="none"/>
          </w:rPr>
          <w:t xml:space="preserve">Relating to the Guidelines of </w:t>
        </w:r>
        <w:r w:rsidR="00117534" w:rsidRPr="002C6447">
          <w:rPr>
            <w:rStyle w:val="Hyperlink"/>
            <w:rFonts w:ascii="Times New Roman" w:hAnsi="Times New Roman"/>
            <w:noProof/>
            <w:color w:val="auto"/>
            <w:szCs w:val="24"/>
            <w:u w:val="none"/>
          </w:rPr>
          <w:t>5 CFR 1320.5:</w:t>
        </w:r>
        <w:r w:rsidR="00117534" w:rsidRPr="002C6447">
          <w:rPr>
            <w:rFonts w:ascii="Times New Roman" w:hAnsi="Times New Roman"/>
            <w:noProof/>
            <w:webHidden/>
            <w:szCs w:val="24"/>
          </w:rPr>
          <w:tab/>
        </w:r>
        <w:r w:rsidR="00FD6CB6">
          <w:rPr>
            <w:rFonts w:ascii="Times New Roman" w:hAnsi="Times New Roman"/>
            <w:noProof/>
            <w:webHidden/>
            <w:szCs w:val="24"/>
          </w:rPr>
          <w:t>8</w:t>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2" w:history="1">
        <w:r w:rsidR="00117534" w:rsidRPr="002C6447">
          <w:rPr>
            <w:rStyle w:val="Hyperlink"/>
            <w:rFonts w:ascii="Times New Roman" w:hAnsi="Times New Roman"/>
            <w:noProof/>
            <w:color w:val="auto"/>
            <w:szCs w:val="24"/>
            <w:u w:val="none"/>
          </w:rPr>
          <w:t>8</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Comments to the Federal Register Notice and Efforts for Consultation</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17E1C">
          <w:rPr>
            <w:rFonts w:ascii="Times New Roman" w:hAnsi="Times New Roman"/>
            <w:noProof/>
            <w:webHidden/>
            <w:szCs w:val="24"/>
          </w:rPr>
          <w:t>9</w:t>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3" w:history="1">
        <w:r w:rsidR="00117534" w:rsidRPr="002C6447">
          <w:rPr>
            <w:rStyle w:val="Hyperlink"/>
            <w:rFonts w:ascii="Times New Roman" w:hAnsi="Times New Roman"/>
            <w:noProof/>
            <w:color w:val="auto"/>
            <w:spacing w:val="-3"/>
            <w:szCs w:val="24"/>
            <w:u w:val="none"/>
          </w:rPr>
          <w:t>9</w:t>
        </w:r>
        <w:r w:rsidR="00117534" w:rsidRPr="002C6447">
          <w:rPr>
            <w:rFonts w:ascii="Times New Roman" w:eastAsiaTheme="minorEastAsia" w:hAnsi="Times New Roman"/>
            <w:noProof/>
            <w:szCs w:val="24"/>
          </w:rPr>
          <w:tab/>
        </w:r>
        <w:r w:rsidR="00117534" w:rsidRPr="002C6447">
          <w:rPr>
            <w:rStyle w:val="Hyperlink"/>
            <w:rFonts w:ascii="Times New Roman" w:hAnsi="Times New Roman"/>
            <w:noProof/>
            <w:color w:val="auto"/>
            <w:szCs w:val="24"/>
            <w:u w:val="none"/>
          </w:rPr>
          <w:t xml:space="preserve">Explain any </w:t>
        </w:r>
        <w:r w:rsidRPr="002C6447">
          <w:rPr>
            <w:rStyle w:val="Hyperlink"/>
            <w:rFonts w:ascii="Times New Roman" w:hAnsi="Times New Roman"/>
            <w:noProof/>
            <w:color w:val="auto"/>
            <w:szCs w:val="24"/>
            <w:u w:val="none"/>
          </w:rPr>
          <w:t>D</w:t>
        </w:r>
        <w:r w:rsidR="00117534" w:rsidRPr="002C6447">
          <w:rPr>
            <w:rStyle w:val="Hyperlink"/>
            <w:rFonts w:ascii="Times New Roman" w:hAnsi="Times New Roman"/>
            <w:noProof/>
            <w:color w:val="auto"/>
            <w:szCs w:val="24"/>
            <w:u w:val="none"/>
          </w:rPr>
          <w:t xml:space="preserve">ecision to </w:t>
        </w:r>
        <w:r w:rsidRPr="002C6447">
          <w:rPr>
            <w:rStyle w:val="Hyperlink"/>
            <w:rFonts w:ascii="Times New Roman" w:hAnsi="Times New Roman"/>
            <w:noProof/>
            <w:color w:val="auto"/>
            <w:szCs w:val="24"/>
            <w:u w:val="none"/>
          </w:rPr>
          <w:t>P</w:t>
        </w:r>
        <w:r w:rsidR="00117534" w:rsidRPr="002C6447">
          <w:rPr>
            <w:rStyle w:val="Hyperlink"/>
            <w:rFonts w:ascii="Times New Roman" w:hAnsi="Times New Roman"/>
            <w:noProof/>
            <w:color w:val="auto"/>
            <w:szCs w:val="24"/>
            <w:u w:val="none"/>
          </w:rPr>
          <w:t xml:space="preserve">rovide any </w:t>
        </w:r>
        <w:r w:rsidRPr="002C6447">
          <w:rPr>
            <w:rStyle w:val="Hyperlink"/>
            <w:rFonts w:ascii="Times New Roman" w:hAnsi="Times New Roman"/>
            <w:noProof/>
            <w:color w:val="auto"/>
            <w:szCs w:val="24"/>
            <w:u w:val="none"/>
          </w:rPr>
          <w:t>P</w:t>
        </w:r>
        <w:r w:rsidR="00117534" w:rsidRPr="002C6447">
          <w:rPr>
            <w:rStyle w:val="Hyperlink"/>
            <w:rFonts w:ascii="Times New Roman" w:hAnsi="Times New Roman"/>
            <w:noProof/>
            <w:color w:val="auto"/>
            <w:szCs w:val="24"/>
            <w:u w:val="none"/>
          </w:rPr>
          <w:t xml:space="preserve">ayment or </w:t>
        </w:r>
        <w:r w:rsidRPr="002C6447">
          <w:rPr>
            <w:rStyle w:val="Hyperlink"/>
            <w:rFonts w:ascii="Times New Roman" w:hAnsi="Times New Roman"/>
            <w:noProof/>
            <w:color w:val="auto"/>
            <w:szCs w:val="24"/>
            <w:u w:val="none"/>
          </w:rPr>
          <w:t>G</w:t>
        </w:r>
        <w:r w:rsidR="00117534" w:rsidRPr="002C6447">
          <w:rPr>
            <w:rStyle w:val="Hyperlink"/>
            <w:rFonts w:ascii="Times New Roman" w:hAnsi="Times New Roman"/>
            <w:noProof/>
            <w:color w:val="auto"/>
            <w:szCs w:val="24"/>
            <w:u w:val="none"/>
          </w:rPr>
          <w:t xml:space="preserve">ift to </w:t>
        </w:r>
        <w:r w:rsidRPr="002C6447">
          <w:rPr>
            <w:rStyle w:val="Hyperlink"/>
            <w:rFonts w:ascii="Times New Roman" w:hAnsi="Times New Roman"/>
            <w:noProof/>
            <w:color w:val="auto"/>
            <w:szCs w:val="24"/>
            <w:u w:val="none"/>
          </w:rPr>
          <w:t>R</w:t>
        </w:r>
        <w:r w:rsidR="00117534" w:rsidRPr="002C6447">
          <w:rPr>
            <w:rStyle w:val="Hyperlink"/>
            <w:rFonts w:ascii="Times New Roman" w:hAnsi="Times New Roman"/>
            <w:noProof/>
            <w:color w:val="auto"/>
            <w:szCs w:val="24"/>
            <w:u w:val="none"/>
          </w:rPr>
          <w:t>espondents.</w:t>
        </w:r>
        <w:r w:rsidR="00117534" w:rsidRPr="002C6447">
          <w:rPr>
            <w:rFonts w:ascii="Times New Roman" w:hAnsi="Times New Roman"/>
            <w:noProof/>
            <w:webHidden/>
            <w:szCs w:val="24"/>
          </w:rPr>
          <w:tab/>
        </w:r>
        <w:r w:rsidR="00FD6CB6">
          <w:rPr>
            <w:rFonts w:ascii="Times New Roman" w:hAnsi="Times New Roman"/>
            <w:noProof/>
            <w:webHidden/>
            <w:szCs w:val="24"/>
          </w:rPr>
          <w:t>10</w:t>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5" w:history="1">
        <w:r w:rsidR="00117534" w:rsidRPr="002C6447">
          <w:rPr>
            <w:rStyle w:val="Hyperlink"/>
            <w:rFonts w:ascii="Times New Roman" w:hAnsi="Times New Roman"/>
            <w:noProof/>
            <w:color w:val="auto"/>
            <w:szCs w:val="24"/>
            <w:u w:val="none"/>
          </w:rPr>
          <w:t>10</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Assurances of Confidentiality Provided to Respondents</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1</w:t>
        </w:r>
        <w:r w:rsidR="00F17E1C">
          <w:rPr>
            <w:rFonts w:ascii="Times New Roman" w:hAnsi="Times New Roman"/>
            <w:noProof/>
            <w:webHidden/>
            <w:szCs w:val="24"/>
          </w:rPr>
          <w:t>0</w:t>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6" w:history="1">
        <w:r w:rsidR="00117534" w:rsidRPr="002C6447">
          <w:rPr>
            <w:rStyle w:val="Hyperlink"/>
            <w:rFonts w:ascii="Times New Roman" w:hAnsi="Times New Roman"/>
            <w:noProof/>
            <w:color w:val="auto"/>
            <w:szCs w:val="24"/>
            <w:u w:val="none"/>
          </w:rPr>
          <w:t>11</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Justification for any Questions of a Sensitive Nature</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_Toc456365126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117534" w:rsidRPr="002C6447">
          <w:rPr>
            <w:rFonts w:ascii="Times New Roman" w:hAnsi="Times New Roman"/>
            <w:noProof/>
            <w:webHidden/>
            <w:szCs w:val="24"/>
          </w:rPr>
          <w:t>12</w:t>
        </w:r>
        <w:r w:rsidR="00117534" w:rsidRPr="002C6447">
          <w:rPr>
            <w:rFonts w:ascii="Times New Roman" w:hAnsi="Times New Roman"/>
            <w:noProof/>
            <w:webHidden/>
            <w:szCs w:val="24"/>
          </w:rPr>
          <w:fldChar w:fldCharType="end"/>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8" w:history="1">
        <w:r w:rsidR="00117534" w:rsidRPr="002C6447">
          <w:rPr>
            <w:rStyle w:val="Hyperlink"/>
            <w:rFonts w:ascii="Times New Roman" w:hAnsi="Times New Roman"/>
            <w:noProof/>
            <w:color w:val="auto"/>
            <w:spacing w:val="-3"/>
            <w:szCs w:val="24"/>
            <w:u w:val="none"/>
          </w:rPr>
          <w:t>12</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Estimates of the Hour Burden of the Collection of Information</w:t>
        </w:r>
        <w:r w:rsidR="00117534" w:rsidRPr="002C6447">
          <w:rPr>
            <w:rFonts w:ascii="Times New Roman" w:hAnsi="Times New Roman"/>
            <w:noProof/>
            <w:webHidden/>
            <w:szCs w:val="24"/>
          </w:rPr>
          <w:tab/>
        </w:r>
        <w:r w:rsidR="00FD6CB6">
          <w:rPr>
            <w:rFonts w:ascii="Times New Roman" w:hAnsi="Times New Roman"/>
            <w:noProof/>
            <w:webHidden/>
            <w:szCs w:val="24"/>
          </w:rPr>
          <w:t>12</w:t>
        </w:r>
      </w:hyperlink>
    </w:p>
    <w:p w:rsidR="00D10EA8" w:rsidRPr="002C6447" w:rsidRDefault="00D10EA8" w:rsidP="00D10EA8">
      <w:pPr>
        <w:rPr>
          <w:rFonts w:ascii="Times New Roman" w:eastAsiaTheme="minorEastAsia" w:hAnsi="Times New Roman"/>
        </w:rPr>
      </w:pPr>
    </w:p>
    <w:p w:rsidR="00D10EA8"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0" w:history="1">
        <w:r w:rsidR="00117534" w:rsidRPr="002C6447">
          <w:rPr>
            <w:rStyle w:val="Hyperlink"/>
            <w:rFonts w:ascii="Times New Roman" w:hAnsi="Times New Roman"/>
            <w:bCs/>
            <w:noProof/>
            <w:color w:val="auto"/>
            <w:szCs w:val="24"/>
            <w:u w:val="none"/>
          </w:rPr>
          <w:t>13</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Estimates of Other Total Annual Cost Burden</w:t>
        </w:r>
        <w:r w:rsidR="00117534" w:rsidRPr="002C6447">
          <w:rPr>
            <w:rStyle w:val="Hyperlink"/>
            <w:rFonts w:ascii="Times New Roman" w:hAnsi="Times New Roman"/>
            <w:bCs/>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14</w:t>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1" w:history="1">
        <w:r w:rsidR="00117534" w:rsidRPr="002C6447">
          <w:rPr>
            <w:rStyle w:val="Hyperlink"/>
            <w:rFonts w:ascii="Times New Roman" w:hAnsi="Times New Roman"/>
            <w:noProof/>
            <w:color w:val="auto"/>
            <w:szCs w:val="24"/>
            <w:u w:val="none"/>
          </w:rPr>
          <w:t>14</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Provide Estimates of Annualized Cost to the Federal Government</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_Toc456365131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117534" w:rsidRPr="002C6447">
          <w:rPr>
            <w:rFonts w:ascii="Times New Roman" w:hAnsi="Times New Roman"/>
            <w:noProof/>
            <w:webHidden/>
            <w:szCs w:val="24"/>
          </w:rPr>
          <w:t>15</w:t>
        </w:r>
        <w:r w:rsidR="00117534" w:rsidRPr="002C6447">
          <w:rPr>
            <w:rFonts w:ascii="Times New Roman" w:hAnsi="Times New Roman"/>
            <w:noProof/>
            <w:webHidden/>
            <w:szCs w:val="24"/>
          </w:rPr>
          <w:fldChar w:fldCharType="end"/>
        </w:r>
      </w:hyperlink>
    </w:p>
    <w:p w:rsidR="00D10EA8" w:rsidRPr="002C6447" w:rsidRDefault="00D10EA8" w:rsidP="00D10EA8">
      <w:pPr>
        <w:rPr>
          <w:rFonts w:ascii="Times New Roman" w:eastAsiaTheme="minorEastAsia" w:hAnsi="Times New Roman"/>
        </w:rPr>
      </w:pPr>
    </w:p>
    <w:p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2" w:history="1">
        <w:r w:rsidR="00117534" w:rsidRPr="002C6447">
          <w:rPr>
            <w:rStyle w:val="Hyperlink"/>
            <w:rFonts w:ascii="Times New Roman" w:hAnsi="Times New Roman"/>
            <w:noProof/>
            <w:color w:val="auto"/>
            <w:szCs w:val="24"/>
            <w:u w:val="none"/>
          </w:rPr>
          <w:t>15</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Explanation of Program Changes or Adjustments</w:t>
        </w:r>
        <w:r w:rsidR="00117534" w:rsidRPr="002C6447">
          <w:rPr>
            <w:rFonts w:ascii="Times New Roman" w:hAnsi="Times New Roman"/>
            <w:noProof/>
            <w:webHidden/>
            <w:szCs w:val="24"/>
          </w:rPr>
          <w:tab/>
        </w:r>
        <w:r w:rsidR="00FD6CB6">
          <w:rPr>
            <w:rFonts w:ascii="Times New Roman" w:hAnsi="Times New Roman"/>
            <w:noProof/>
            <w:webHidden/>
            <w:szCs w:val="24"/>
          </w:rPr>
          <w:t>15</w:t>
        </w:r>
      </w:hyperlink>
    </w:p>
    <w:p w:rsidR="00D10EA8" w:rsidRPr="002C6447" w:rsidRDefault="00D10EA8" w:rsidP="00D10EA8">
      <w:pPr>
        <w:rPr>
          <w:rFonts w:ascii="Times New Roman" w:eastAsiaTheme="minorEastAsia" w:hAnsi="Times New Roman"/>
        </w:rPr>
      </w:pPr>
    </w:p>
    <w:p w:rsidR="00117534" w:rsidRPr="002C6447" w:rsidRDefault="006D5E1A"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3" w:history="1">
        <w:r w:rsidR="00117534" w:rsidRPr="002C6447">
          <w:rPr>
            <w:rStyle w:val="Hyperlink"/>
            <w:rFonts w:ascii="Times New Roman" w:hAnsi="Times New Roman"/>
            <w:noProof/>
            <w:color w:val="auto"/>
            <w:spacing w:val="-3"/>
            <w:szCs w:val="24"/>
            <w:u w:val="none"/>
          </w:rPr>
          <w:t>16</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Plans for Tabulation, and Publication and Project Time Schedule</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_Toc456365133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117534" w:rsidRPr="002C6447">
          <w:rPr>
            <w:rFonts w:ascii="Times New Roman" w:hAnsi="Times New Roman"/>
            <w:noProof/>
            <w:webHidden/>
            <w:szCs w:val="24"/>
          </w:rPr>
          <w:t>16</w:t>
        </w:r>
        <w:r w:rsidR="00117534" w:rsidRPr="002C6447">
          <w:rPr>
            <w:rFonts w:ascii="Times New Roman" w:hAnsi="Times New Roman"/>
            <w:noProof/>
            <w:webHidden/>
            <w:szCs w:val="24"/>
          </w:rPr>
          <w:fldChar w:fldCharType="end"/>
        </w:r>
      </w:hyperlink>
    </w:p>
    <w:p w:rsidR="00D10EA8" w:rsidRPr="002C6447" w:rsidRDefault="00D10EA8" w:rsidP="00D10EA8">
      <w:pPr>
        <w:rPr>
          <w:rFonts w:ascii="Times New Roman" w:eastAsiaTheme="minorEastAsia" w:hAnsi="Times New Roman"/>
        </w:rPr>
      </w:pPr>
    </w:p>
    <w:p w:rsidR="00117534" w:rsidRPr="002C6447" w:rsidRDefault="006D5E1A"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4" w:history="1">
        <w:r w:rsidR="00117534" w:rsidRPr="002C6447">
          <w:rPr>
            <w:rStyle w:val="Hyperlink"/>
            <w:rFonts w:ascii="Times New Roman" w:hAnsi="Times New Roman"/>
            <w:noProof/>
            <w:color w:val="auto"/>
            <w:szCs w:val="24"/>
            <w:u w:val="none"/>
          </w:rPr>
          <w:t>17</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Displaying the OMB Approval Expiration Date</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_Toc456365134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117534" w:rsidRPr="002C6447">
          <w:rPr>
            <w:rFonts w:ascii="Times New Roman" w:hAnsi="Times New Roman"/>
            <w:noProof/>
            <w:webHidden/>
            <w:szCs w:val="24"/>
          </w:rPr>
          <w:t>16</w:t>
        </w:r>
        <w:r w:rsidR="00117534" w:rsidRPr="002C6447">
          <w:rPr>
            <w:rFonts w:ascii="Times New Roman" w:hAnsi="Times New Roman"/>
            <w:noProof/>
            <w:webHidden/>
            <w:szCs w:val="24"/>
          </w:rPr>
          <w:fldChar w:fldCharType="end"/>
        </w:r>
      </w:hyperlink>
    </w:p>
    <w:p w:rsidR="00D10EA8" w:rsidRPr="002C6447" w:rsidRDefault="00D10EA8" w:rsidP="00D10EA8">
      <w:pPr>
        <w:rPr>
          <w:rFonts w:ascii="Times New Roman" w:eastAsiaTheme="minorEastAsia" w:hAnsi="Times New Roman"/>
        </w:rPr>
      </w:pPr>
    </w:p>
    <w:p w:rsidR="00117534" w:rsidRPr="002C6447" w:rsidRDefault="006D5E1A" w:rsidP="00D10EA8">
      <w:pPr>
        <w:pStyle w:val="TOC1"/>
        <w:spacing w:before="0"/>
        <w:rPr>
          <w:rFonts w:ascii="Times New Roman" w:eastAsiaTheme="minorEastAsia" w:hAnsi="Times New Roman"/>
          <w:noProof/>
          <w:szCs w:val="24"/>
        </w:rPr>
      </w:pPr>
      <w:r w:rsidRPr="002C6447">
        <w:rPr>
          <w:rStyle w:val="Hyperlink"/>
          <w:rFonts w:ascii="Times New Roman" w:hAnsi="Times New Roman"/>
          <w:noProof/>
          <w:color w:val="auto"/>
          <w:szCs w:val="24"/>
          <w:u w:val="none"/>
        </w:rPr>
        <w:t>A.</w:t>
      </w:r>
      <w:hyperlink w:anchor="_Toc456365135" w:history="1">
        <w:r w:rsidR="00117534" w:rsidRPr="002C6447">
          <w:rPr>
            <w:rStyle w:val="Hyperlink"/>
            <w:rFonts w:ascii="Times New Roman" w:hAnsi="Times New Roman"/>
            <w:noProof/>
            <w:color w:val="auto"/>
            <w:szCs w:val="24"/>
            <w:u w:val="none"/>
          </w:rPr>
          <w:t>18</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Exceptions to the Certification Statement Identified in Item 19</w:t>
        </w:r>
        <w:r w:rsidR="00117534" w:rsidRPr="002C6447">
          <w:rPr>
            <w:rFonts w:ascii="Times New Roman" w:hAnsi="Times New Roman"/>
            <w:noProof/>
            <w:webHidden/>
            <w:szCs w:val="24"/>
          </w:rPr>
          <w:tab/>
        </w:r>
        <w:r w:rsidR="00FD6CB6">
          <w:rPr>
            <w:rFonts w:ascii="Times New Roman" w:hAnsi="Times New Roman"/>
            <w:noProof/>
            <w:webHidden/>
            <w:szCs w:val="24"/>
          </w:rPr>
          <w:t>16</w:t>
        </w:r>
      </w:hyperlink>
    </w:p>
    <w:p w:rsidR="00CB40F7" w:rsidRDefault="00117534" w:rsidP="00D10EA8">
      <w:pPr>
        <w:widowControl/>
        <w:overflowPunct/>
        <w:autoSpaceDE/>
        <w:autoSpaceDN/>
        <w:adjustRightInd/>
        <w:textAlignment w:val="auto"/>
        <w:rPr>
          <w:rFonts w:ascii="Times New Roman" w:hAnsi="Times New Roman"/>
          <w:spacing w:val="-3"/>
          <w:szCs w:val="24"/>
        </w:rPr>
      </w:pPr>
      <w:r w:rsidRPr="002C6447">
        <w:rPr>
          <w:rFonts w:ascii="Times New Roman" w:hAnsi="Times New Roman"/>
          <w:spacing w:val="-3"/>
          <w:szCs w:val="24"/>
        </w:rPr>
        <w:fldChar w:fldCharType="end"/>
      </w:r>
    </w:p>
    <w:p w:rsidR="00CB40F7" w:rsidRDefault="00CB40F7" w:rsidP="00D10EA8">
      <w:pPr>
        <w:widowControl/>
        <w:overflowPunct/>
        <w:autoSpaceDE/>
        <w:autoSpaceDN/>
        <w:adjustRightInd/>
        <w:textAlignment w:val="auto"/>
        <w:rPr>
          <w:rFonts w:ascii="Times New Roman" w:hAnsi="Times New Roman"/>
          <w:spacing w:val="-3"/>
          <w:szCs w:val="24"/>
        </w:rPr>
      </w:pPr>
    </w:p>
    <w:p w:rsidR="0036087B" w:rsidRDefault="0036087B" w:rsidP="00D10EA8">
      <w:pPr>
        <w:widowControl/>
        <w:overflowPunct/>
        <w:autoSpaceDE/>
        <w:autoSpaceDN/>
        <w:adjustRightInd/>
        <w:textAlignment w:val="auto"/>
        <w:rPr>
          <w:rFonts w:ascii="Times New Roman" w:hAnsi="Times New Roman"/>
          <w:spacing w:val="-3"/>
          <w:szCs w:val="24"/>
        </w:rPr>
      </w:pPr>
      <w:r>
        <w:rPr>
          <w:rFonts w:ascii="Times New Roman" w:hAnsi="Times New Roman"/>
          <w:spacing w:val="-3"/>
          <w:szCs w:val="24"/>
        </w:rPr>
        <w:t>Tables</w:t>
      </w:r>
    </w:p>
    <w:p w:rsidR="0036087B" w:rsidRDefault="0036087B" w:rsidP="00D10EA8">
      <w:pPr>
        <w:widowControl/>
        <w:overflowPunct/>
        <w:autoSpaceDE/>
        <w:autoSpaceDN/>
        <w:adjustRightInd/>
        <w:textAlignment w:val="auto"/>
        <w:rPr>
          <w:rFonts w:ascii="Times New Roman" w:hAnsi="Times New Roman"/>
          <w:spacing w:val="-3"/>
          <w:szCs w:val="24"/>
        </w:rPr>
      </w:pPr>
    </w:p>
    <w:p w:rsidR="0036087B" w:rsidRDefault="0036087B" w:rsidP="00D10EA8">
      <w:pPr>
        <w:widowControl/>
        <w:overflowPunct/>
        <w:autoSpaceDE/>
        <w:autoSpaceDN/>
        <w:adjustRightInd/>
        <w:textAlignment w:val="auto"/>
        <w:rPr>
          <w:rFonts w:ascii="Times New Roman" w:hAnsi="Times New Roman"/>
          <w:spacing w:val="-3"/>
          <w:szCs w:val="24"/>
        </w:rPr>
      </w:pPr>
      <w:proofErr w:type="gramStart"/>
      <w:r>
        <w:rPr>
          <w:rFonts w:ascii="Times New Roman" w:hAnsi="Times New Roman"/>
          <w:spacing w:val="-3"/>
          <w:szCs w:val="24"/>
        </w:rPr>
        <w:t>A14.1  Estimated</w:t>
      </w:r>
      <w:proofErr w:type="gramEnd"/>
      <w:r>
        <w:rPr>
          <w:rFonts w:ascii="Times New Roman" w:hAnsi="Times New Roman"/>
          <w:spacing w:val="-3"/>
          <w:szCs w:val="24"/>
        </w:rPr>
        <w:t xml:space="preserve"> Annualized Cost to the Federal Government………………………………</w:t>
      </w:r>
      <w:r w:rsidR="006C75DB">
        <w:rPr>
          <w:rFonts w:ascii="Times New Roman" w:hAnsi="Times New Roman"/>
          <w:spacing w:val="-3"/>
          <w:szCs w:val="24"/>
        </w:rPr>
        <w:t>.</w:t>
      </w:r>
      <w:r>
        <w:rPr>
          <w:rFonts w:ascii="Times New Roman" w:hAnsi="Times New Roman"/>
          <w:spacing w:val="-3"/>
          <w:szCs w:val="24"/>
        </w:rPr>
        <w:t>….1</w:t>
      </w:r>
      <w:r w:rsidR="00FD6CB6">
        <w:rPr>
          <w:rFonts w:ascii="Times New Roman" w:hAnsi="Times New Roman"/>
          <w:spacing w:val="-3"/>
          <w:szCs w:val="24"/>
        </w:rPr>
        <w:t>5</w:t>
      </w:r>
    </w:p>
    <w:p w:rsidR="0036087B" w:rsidRDefault="0036087B" w:rsidP="00D10EA8">
      <w:pPr>
        <w:widowControl/>
        <w:overflowPunct/>
        <w:autoSpaceDE/>
        <w:autoSpaceDN/>
        <w:adjustRightInd/>
        <w:textAlignment w:val="auto"/>
        <w:rPr>
          <w:rFonts w:ascii="Times New Roman" w:hAnsi="Times New Roman"/>
          <w:spacing w:val="-3"/>
          <w:szCs w:val="24"/>
        </w:rPr>
      </w:pPr>
    </w:p>
    <w:p w:rsidR="0036087B" w:rsidRDefault="0036087B" w:rsidP="00D10EA8">
      <w:pPr>
        <w:widowControl/>
        <w:overflowPunct/>
        <w:autoSpaceDE/>
        <w:autoSpaceDN/>
        <w:adjustRightInd/>
        <w:textAlignment w:val="auto"/>
        <w:rPr>
          <w:rFonts w:ascii="Times New Roman" w:hAnsi="Times New Roman"/>
          <w:spacing w:val="-3"/>
          <w:szCs w:val="24"/>
        </w:rPr>
      </w:pPr>
    </w:p>
    <w:p w:rsidR="00CB40F7" w:rsidRDefault="00CB40F7" w:rsidP="00D10EA8">
      <w:pPr>
        <w:widowControl/>
        <w:overflowPunct/>
        <w:autoSpaceDE/>
        <w:autoSpaceDN/>
        <w:adjustRightInd/>
        <w:textAlignment w:val="auto"/>
        <w:rPr>
          <w:rFonts w:ascii="Times New Roman" w:hAnsi="Times New Roman"/>
          <w:spacing w:val="-3"/>
          <w:szCs w:val="24"/>
        </w:rPr>
      </w:pPr>
      <w:r>
        <w:rPr>
          <w:rFonts w:ascii="Times New Roman" w:hAnsi="Times New Roman"/>
          <w:spacing w:val="-3"/>
          <w:szCs w:val="24"/>
        </w:rPr>
        <w:lastRenderedPageBreak/>
        <w:t>Attachments</w:t>
      </w:r>
    </w:p>
    <w:p w:rsidR="00CB40F7" w:rsidRDefault="00CB40F7" w:rsidP="00D10EA8">
      <w:pPr>
        <w:widowControl/>
        <w:overflowPunct/>
        <w:autoSpaceDE/>
        <w:autoSpaceDN/>
        <w:adjustRightInd/>
        <w:textAlignment w:val="auto"/>
        <w:rPr>
          <w:rFonts w:ascii="Times New Roman" w:hAnsi="Times New Roman"/>
          <w:spacing w:val="-3"/>
          <w:szCs w:val="24"/>
        </w:rPr>
      </w:pPr>
    </w:p>
    <w:p w:rsidR="008D0499" w:rsidRDefault="00CB40F7"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A-</w:t>
      </w:r>
      <w:proofErr w:type="gramStart"/>
      <w:r>
        <w:rPr>
          <w:rFonts w:ascii="Times New Roman" w:hAnsi="Times New Roman"/>
          <w:spacing w:val="-3"/>
          <w:szCs w:val="24"/>
        </w:rPr>
        <w:t xml:space="preserve">1  </w:t>
      </w:r>
      <w:r w:rsidR="008D0499">
        <w:rPr>
          <w:rFonts w:ascii="Times New Roman" w:hAnsi="Times New Roman"/>
          <w:spacing w:val="-3"/>
          <w:szCs w:val="24"/>
        </w:rPr>
        <w:t>FNS</w:t>
      </w:r>
      <w:proofErr w:type="gramEnd"/>
      <w:r w:rsidR="008D0499">
        <w:rPr>
          <w:rFonts w:ascii="Times New Roman" w:hAnsi="Times New Roman"/>
          <w:spacing w:val="-3"/>
          <w:szCs w:val="24"/>
        </w:rPr>
        <w:t>-843</w:t>
      </w:r>
      <w:r w:rsidR="0036087B">
        <w:rPr>
          <w:rFonts w:ascii="Times New Roman" w:hAnsi="Times New Roman"/>
          <w:spacing w:val="-3"/>
          <w:szCs w:val="24"/>
        </w:rPr>
        <w:t xml:space="preserve"> Report of Disqualification from Participation – Institution and Responsible Principals/Individuals</w:t>
      </w:r>
    </w:p>
    <w:p w:rsidR="008D0499" w:rsidRDefault="008D0499" w:rsidP="00D10EA8">
      <w:pPr>
        <w:widowControl/>
        <w:overflowPunct/>
        <w:autoSpaceDE/>
        <w:autoSpaceDN/>
        <w:adjustRightInd/>
        <w:textAlignment w:val="auto"/>
        <w:rPr>
          <w:rFonts w:ascii="Times New Roman" w:hAnsi="Times New Roman"/>
          <w:spacing w:val="-3"/>
          <w:szCs w:val="24"/>
        </w:rPr>
      </w:pPr>
    </w:p>
    <w:p w:rsidR="00117534" w:rsidRPr="00D10EA8" w:rsidRDefault="008D0499"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A-</w:t>
      </w:r>
      <w:proofErr w:type="gramStart"/>
      <w:r>
        <w:rPr>
          <w:rFonts w:ascii="Times New Roman" w:hAnsi="Times New Roman"/>
          <w:spacing w:val="-3"/>
          <w:szCs w:val="24"/>
        </w:rPr>
        <w:t>2  FNS</w:t>
      </w:r>
      <w:proofErr w:type="gramEnd"/>
      <w:r>
        <w:rPr>
          <w:rFonts w:ascii="Times New Roman" w:hAnsi="Times New Roman"/>
          <w:spacing w:val="-3"/>
          <w:szCs w:val="24"/>
        </w:rPr>
        <w:t>-844</w:t>
      </w:r>
      <w:r w:rsidR="0036087B">
        <w:rPr>
          <w:rFonts w:ascii="Times New Roman" w:hAnsi="Times New Roman"/>
          <w:spacing w:val="-3"/>
          <w:szCs w:val="24"/>
        </w:rPr>
        <w:t xml:space="preserve"> Report of Disqualification from Participation – Individually Disqualified Responsible Principal/Individual or Day Care Home Provider</w:t>
      </w:r>
      <w:r>
        <w:rPr>
          <w:rFonts w:ascii="Times New Roman" w:hAnsi="Times New Roman"/>
          <w:spacing w:val="-3"/>
          <w:szCs w:val="24"/>
        </w:rPr>
        <w:t xml:space="preserve"> </w:t>
      </w:r>
      <w:r w:rsidR="00117534" w:rsidRPr="00D10EA8">
        <w:rPr>
          <w:rFonts w:ascii="Times New Roman" w:hAnsi="Times New Roman"/>
          <w:spacing w:val="-3"/>
          <w:szCs w:val="24"/>
        </w:rPr>
        <w:br w:type="page"/>
      </w:r>
    </w:p>
    <w:p w:rsidR="00BE197B" w:rsidRDefault="00BE197B" w:rsidP="00117534">
      <w:pPr>
        <w:pStyle w:val="p2"/>
        <w:tabs>
          <w:tab w:val="clear" w:pos="708"/>
        </w:tabs>
        <w:ind w:left="540" w:hanging="540"/>
        <w:outlineLvl w:val="0"/>
        <w:rPr>
          <w:b/>
          <w:bCs/>
        </w:rPr>
      </w:pPr>
      <w:bookmarkStart w:id="7" w:name="_Toc456365114"/>
      <w:r>
        <w:rPr>
          <w:b/>
          <w:bCs/>
        </w:rPr>
        <w:lastRenderedPageBreak/>
        <w:t>A.</w:t>
      </w:r>
      <w:r>
        <w:rPr>
          <w:b/>
          <w:bCs/>
        </w:rPr>
        <w:tab/>
        <w:t>JUSTIFICATION</w:t>
      </w:r>
      <w:bookmarkEnd w:id="7"/>
    </w:p>
    <w:p w:rsidR="00BE197B" w:rsidRDefault="00BE197B" w:rsidP="00BE197B">
      <w:pPr>
        <w:tabs>
          <w:tab w:val="left" w:pos="708"/>
        </w:tabs>
        <w:rPr>
          <w:b/>
          <w:bCs/>
        </w:rPr>
      </w:pPr>
    </w:p>
    <w:p w:rsidR="007E3682" w:rsidRDefault="00BE197B" w:rsidP="00117534">
      <w:pPr>
        <w:pStyle w:val="ListParagraph"/>
        <w:numPr>
          <w:ilvl w:val="0"/>
          <w:numId w:val="19"/>
        </w:numPr>
        <w:spacing w:line="480" w:lineRule="auto"/>
        <w:ind w:left="540" w:hanging="540"/>
        <w:outlineLvl w:val="0"/>
        <w:rPr>
          <w:b/>
        </w:rPr>
      </w:pPr>
      <w:bookmarkStart w:id="8" w:name="_Toc456365115"/>
      <w:r w:rsidRPr="00942B5F">
        <w:rPr>
          <w:b/>
          <w:bCs/>
          <w:color w:val="000000"/>
        </w:rPr>
        <w:t xml:space="preserve">Explain the circumstances that make the collection of information necessary. </w:t>
      </w:r>
      <w:r w:rsidR="008602AC">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bookmarkEnd w:id="8"/>
    </w:p>
    <w:p w:rsidR="007E3682" w:rsidRPr="007E3682" w:rsidRDefault="007E3682" w:rsidP="007E3682">
      <w:pPr>
        <w:pStyle w:val="ListParagraph"/>
        <w:spacing w:line="480" w:lineRule="auto"/>
        <w:ind w:left="540"/>
        <w:rPr>
          <w:b/>
        </w:rPr>
      </w:pPr>
      <w:r w:rsidRPr="002F4C21">
        <w:t>Th</w:t>
      </w:r>
      <w:r>
        <w:t>is</w:t>
      </w:r>
      <w:r w:rsidRPr="002F4C21">
        <w:t xml:space="preserve"> collection </w:t>
      </w:r>
      <w:r w:rsidR="0036087B">
        <w:t xml:space="preserve">collects the information necessary to </w:t>
      </w:r>
      <w:r>
        <w:t>maintain the National Disqualified List</w:t>
      </w:r>
      <w:r w:rsidR="00191BCC">
        <w:t xml:space="preserve"> (NDL)</w:t>
      </w:r>
      <w:r>
        <w:t xml:space="preserve"> of institutions, day care home providers, and individuals that have been terminated or otherwise disqualified from</w:t>
      </w:r>
      <w:r w:rsidR="0036087B">
        <w:t xml:space="preserve"> participation in</w:t>
      </w:r>
      <w:r>
        <w:t xml:space="preserve"> </w:t>
      </w:r>
      <w:r w:rsidR="00BD3DC8">
        <w:t xml:space="preserve">the </w:t>
      </w:r>
      <w:r>
        <w:t>Child and Adult Care Food Program (CACFP).  These federal requirements affect eligibility under the CACFP.  State</w:t>
      </w:r>
      <w:r w:rsidR="00191BCC">
        <w:t xml:space="preserve"> </w:t>
      </w:r>
      <w:r w:rsidR="00FA3DF3">
        <w:t>a</w:t>
      </w:r>
      <w:r>
        <w:t>gencies will be required to enter data as institutions and individuals become disqualified from participating in the CACFP.  Th</w:t>
      </w:r>
      <w:r w:rsidR="0010787C">
        <w:t>is</w:t>
      </w:r>
      <w:r>
        <w:t xml:space="preserve"> collection is the result of a </w:t>
      </w:r>
      <w:r w:rsidR="00191BCC">
        <w:t>Food and Nutrition Service (</w:t>
      </w:r>
      <w:r>
        <w:t>FNS</w:t>
      </w:r>
      <w:r w:rsidR="00191BCC">
        <w:t>)</w:t>
      </w:r>
      <w:r>
        <w:t xml:space="preserve"> web-based system constructed to update and maintain the list of disqualified institutions and individuals so that no State agency or sponsoring organization may approve any entity on the </w:t>
      </w:r>
      <w:r w:rsidR="00191BCC">
        <w:t>NDL</w:t>
      </w:r>
      <w:r>
        <w:t xml:space="preserve"> to ensure the integrity of the Program.</w:t>
      </w:r>
    </w:p>
    <w:p w:rsidR="00B15E2C" w:rsidRDefault="00B15E2C" w:rsidP="00BE197B">
      <w:pPr>
        <w:tabs>
          <w:tab w:val="left" w:pos="-720"/>
        </w:tabs>
        <w:suppressAutoHyphens/>
        <w:spacing w:line="480" w:lineRule="auto"/>
        <w:ind w:left="540"/>
        <w:rPr>
          <w:rFonts w:ascii="Times New Roman" w:hAnsi="Times New Roman"/>
          <w:spacing w:val="-3"/>
          <w:szCs w:val="24"/>
        </w:rPr>
      </w:pPr>
    </w:p>
    <w:p w:rsidR="007E3682" w:rsidRPr="007E3682" w:rsidRDefault="00CF3893" w:rsidP="007E3682">
      <w:pPr>
        <w:spacing w:line="480" w:lineRule="auto"/>
        <w:ind w:left="540"/>
        <w:rPr>
          <w:rFonts w:ascii="Times New Roman" w:hAnsi="Times New Roman"/>
        </w:rPr>
      </w:pPr>
      <w:r w:rsidRPr="00A10279">
        <w:rPr>
          <w:rFonts w:ascii="Times New Roman" w:hAnsi="Times New Roman"/>
          <w:spacing w:val="-3"/>
        </w:rPr>
        <w:t xml:space="preserve">Section 17 of the National School Lunch Act, as amended (42 U.S.C. 1766), authorizes the </w:t>
      </w:r>
      <w:r>
        <w:rPr>
          <w:rFonts w:ascii="Times New Roman" w:hAnsi="Times New Roman"/>
          <w:spacing w:val="-3"/>
        </w:rPr>
        <w:t xml:space="preserve">CACFP.  </w:t>
      </w:r>
      <w:r w:rsidR="007E3682" w:rsidRPr="007E3682">
        <w:rPr>
          <w:rFonts w:ascii="Times New Roman" w:hAnsi="Times New Roman"/>
        </w:rPr>
        <w:t>Section 243(c) of Public Law 106-224, the Agricultural Risk Protection Act of 2000, amended section 17(d</w:t>
      </w:r>
      <w:proofErr w:type="gramStart"/>
      <w:r w:rsidR="007E3682" w:rsidRPr="007E3682">
        <w:rPr>
          <w:rFonts w:ascii="Times New Roman" w:hAnsi="Times New Roman"/>
        </w:rPr>
        <w:t>)(</w:t>
      </w:r>
      <w:proofErr w:type="gramEnd"/>
      <w:r w:rsidR="007E3682" w:rsidRPr="007E3682">
        <w:rPr>
          <w:rFonts w:ascii="Times New Roman" w:hAnsi="Times New Roman"/>
        </w:rPr>
        <w:t>5) of the Richard B. Russell National School Lunch Act</w:t>
      </w:r>
      <w:r w:rsidR="00A10632">
        <w:rPr>
          <w:rFonts w:ascii="Times New Roman" w:hAnsi="Times New Roman"/>
        </w:rPr>
        <w:t xml:space="preserve"> (NSLA)</w:t>
      </w:r>
      <w:r w:rsidR="007E3682" w:rsidRPr="007E3682">
        <w:rPr>
          <w:rFonts w:ascii="Times New Roman" w:hAnsi="Times New Roman"/>
        </w:rPr>
        <w:t xml:space="preserve"> (42 U.S.C. 1766 (d)(5)(E)(</w:t>
      </w:r>
      <w:proofErr w:type="spellStart"/>
      <w:r w:rsidR="007E3682" w:rsidRPr="007E3682">
        <w:rPr>
          <w:rFonts w:ascii="Times New Roman" w:hAnsi="Times New Roman"/>
        </w:rPr>
        <w:t>i</w:t>
      </w:r>
      <w:proofErr w:type="spellEnd"/>
      <w:r w:rsidR="007E3682" w:rsidRPr="007E3682">
        <w:rPr>
          <w:rFonts w:ascii="Times New Roman" w:hAnsi="Times New Roman"/>
        </w:rPr>
        <w:t xml:space="preserve">) and (ii))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w:t>
      </w:r>
      <w:r w:rsidR="007E3682" w:rsidRPr="007E3682">
        <w:rPr>
          <w:rFonts w:ascii="Times New Roman" w:hAnsi="Times New Roman"/>
        </w:rPr>
        <w:lastRenderedPageBreak/>
        <w:t>agencies for their use in reviewing applications to participate and to sponsoring organizations to ensure that they do not employ as principals any persons who are disqualified from the program.   This statutory mandate has been incorporated into § 226.6(c</w:t>
      </w:r>
      <w:proofErr w:type="gramStart"/>
      <w:r w:rsidR="007E3682" w:rsidRPr="007E3682">
        <w:rPr>
          <w:rFonts w:ascii="Times New Roman" w:hAnsi="Times New Roman"/>
        </w:rPr>
        <w:t>)(</w:t>
      </w:r>
      <w:proofErr w:type="gramEnd"/>
      <w:r w:rsidR="007E3682" w:rsidRPr="007E3682">
        <w:rPr>
          <w:rFonts w:ascii="Times New Roman" w:hAnsi="Times New Roman"/>
        </w:rPr>
        <w:t xml:space="preserve">7) of the Program regulations.   </w:t>
      </w:r>
    </w:p>
    <w:p w:rsidR="00D8666C" w:rsidRDefault="00D8666C" w:rsidP="00C479DB">
      <w:pPr>
        <w:tabs>
          <w:tab w:val="left" w:pos="-720"/>
        </w:tabs>
        <w:suppressAutoHyphens/>
        <w:spacing w:line="480" w:lineRule="auto"/>
        <w:rPr>
          <w:rFonts w:ascii="Times New Roman" w:hAnsi="Times New Roman"/>
          <w:b/>
          <w:spacing w:val="-3"/>
          <w:szCs w:val="24"/>
        </w:rPr>
      </w:pPr>
    </w:p>
    <w:p w:rsidR="00BE197B" w:rsidRPr="00037FA2" w:rsidRDefault="00BE197B" w:rsidP="00117534">
      <w:pPr>
        <w:pStyle w:val="p5"/>
        <w:tabs>
          <w:tab w:val="clear" w:pos="663"/>
        </w:tabs>
        <w:spacing w:line="480" w:lineRule="auto"/>
        <w:ind w:left="547" w:hanging="547"/>
        <w:outlineLvl w:val="0"/>
        <w:rPr>
          <w:b/>
        </w:rPr>
      </w:pPr>
      <w:bookmarkStart w:id="9" w:name="_Toc456365116"/>
      <w:r w:rsidRPr="00037FA2">
        <w:rPr>
          <w:b/>
        </w:rPr>
        <w:t>2.</w:t>
      </w:r>
      <w:r w:rsidRPr="00037FA2">
        <w:rPr>
          <w:b/>
        </w:rPr>
        <w:tab/>
      </w:r>
      <w:r w:rsidRPr="00942B5F">
        <w:rPr>
          <w:b/>
          <w:color w:val="000000"/>
        </w:rPr>
        <w:t>Indicate how, by whom, and for what purpose the information is to be used.</w:t>
      </w:r>
      <w:r w:rsidRPr="00942B5F">
        <w:rPr>
          <w:b/>
        </w:rPr>
        <w:t xml:space="preserve"> Except for a new collection, indicate the actual use the agency has made of the information received from the current collection.</w:t>
      </w:r>
      <w:bookmarkEnd w:id="9"/>
    </w:p>
    <w:p w:rsidR="004E5882" w:rsidRDefault="004E5882" w:rsidP="00C479DB">
      <w:pPr>
        <w:tabs>
          <w:tab w:val="left" w:pos="-720"/>
        </w:tabs>
        <w:suppressAutoHyphens/>
        <w:spacing w:line="480" w:lineRule="auto"/>
        <w:rPr>
          <w:rFonts w:ascii="Times New Roman" w:hAnsi="Times New Roman"/>
          <w:spacing w:val="-3"/>
          <w:szCs w:val="24"/>
        </w:rPr>
      </w:pPr>
    </w:p>
    <w:p w:rsidR="004E0859" w:rsidRDefault="004E0859" w:rsidP="00BE197B">
      <w:pPr>
        <w:tabs>
          <w:tab w:val="left" w:pos="-720"/>
        </w:tabs>
        <w:suppressAutoHyphens/>
        <w:spacing w:line="480" w:lineRule="auto"/>
        <w:ind w:left="720"/>
        <w:rPr>
          <w:rFonts w:ascii="Times New Roman" w:hAnsi="Times New Roman"/>
        </w:rPr>
      </w:pPr>
      <w:r>
        <w:rPr>
          <w:rFonts w:ascii="Times New Roman" w:hAnsi="Times New Roman"/>
          <w:spacing w:val="-3"/>
          <w:szCs w:val="24"/>
        </w:rPr>
        <w:t xml:space="preserve">This collection is an extension, without change, of the currently approved collection.  </w:t>
      </w:r>
      <w:r w:rsidR="00FA2D0A">
        <w:rPr>
          <w:rFonts w:ascii="Times New Roman" w:hAnsi="Times New Roman"/>
          <w:spacing w:val="-3"/>
          <w:szCs w:val="24"/>
        </w:rPr>
        <w:t xml:space="preserve">The purpose of this collection is to comply </w:t>
      </w:r>
      <w:r w:rsidR="00FA2D0A" w:rsidRPr="005E68D7">
        <w:rPr>
          <w:rFonts w:ascii="Times New Roman" w:hAnsi="Times New Roman"/>
          <w:spacing w:val="-3"/>
          <w:szCs w:val="24"/>
        </w:rPr>
        <w:t>with</w:t>
      </w:r>
      <w:r w:rsidR="00296B2B">
        <w:rPr>
          <w:rFonts w:ascii="Times New Roman" w:hAnsi="Times New Roman"/>
          <w:spacing w:val="-3"/>
          <w:szCs w:val="24"/>
        </w:rPr>
        <w:t xml:space="preserve"> </w:t>
      </w:r>
      <w:r w:rsidR="005E68D7" w:rsidRPr="005E68D7">
        <w:rPr>
          <w:rFonts w:ascii="Times New Roman" w:hAnsi="Times New Roman"/>
        </w:rPr>
        <w:t xml:space="preserve">Section 243(c) of Public Law 106-224, the Agricultural Risk Protection Act of 2000, </w:t>
      </w:r>
      <w:r w:rsidR="00E970CE">
        <w:rPr>
          <w:rFonts w:ascii="Times New Roman" w:hAnsi="Times New Roman"/>
        </w:rPr>
        <w:t>that</w:t>
      </w:r>
      <w:r w:rsidR="00C94740">
        <w:rPr>
          <w:rFonts w:ascii="Times New Roman" w:hAnsi="Times New Roman"/>
        </w:rPr>
        <w:t xml:space="preserve"> </w:t>
      </w:r>
      <w:r w:rsidR="005E68D7" w:rsidRPr="005E68D7">
        <w:rPr>
          <w:rFonts w:ascii="Times New Roman" w:hAnsi="Times New Roman"/>
        </w:rPr>
        <w:t xml:space="preserve">amended section 17(d)(5) of the </w:t>
      </w:r>
      <w:r w:rsidR="00A10632">
        <w:rPr>
          <w:rFonts w:ascii="Times New Roman" w:hAnsi="Times New Roman"/>
        </w:rPr>
        <w:t>NSLA</w:t>
      </w:r>
      <w:r w:rsidR="005E68D7" w:rsidRPr="005E68D7">
        <w:rPr>
          <w:rFonts w:ascii="Times New Roman" w:hAnsi="Times New Roman"/>
        </w:rPr>
        <w:t xml:space="preserve"> (42 U.S.C. 1766 (d)(5)(E)(</w:t>
      </w:r>
      <w:proofErr w:type="spellStart"/>
      <w:r w:rsidR="005E68D7" w:rsidRPr="005E68D7">
        <w:rPr>
          <w:rFonts w:ascii="Times New Roman" w:hAnsi="Times New Roman"/>
        </w:rPr>
        <w:t>i</w:t>
      </w:r>
      <w:proofErr w:type="spellEnd"/>
      <w:r w:rsidR="005E68D7" w:rsidRPr="005E68D7">
        <w:rPr>
          <w:rFonts w:ascii="Times New Roman" w:hAnsi="Times New Roman"/>
        </w:rPr>
        <w:t>) and (ii))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agencies for their use in reviewing applications to participate and to sponsoring organizations to ensure that they do not employ as principals any persons who are disqualified from the program.</w:t>
      </w:r>
      <w:r>
        <w:rPr>
          <w:rFonts w:ascii="Times New Roman" w:hAnsi="Times New Roman"/>
        </w:rPr>
        <w:t xml:space="preserve">  It is mandatory for the state agencies to </w:t>
      </w:r>
      <w:r w:rsidR="00CD3A17">
        <w:rPr>
          <w:rFonts w:ascii="Times New Roman" w:hAnsi="Times New Roman"/>
        </w:rPr>
        <w:t xml:space="preserve">provide </w:t>
      </w:r>
      <w:r>
        <w:rPr>
          <w:rFonts w:ascii="Times New Roman" w:hAnsi="Times New Roman"/>
        </w:rPr>
        <w:t xml:space="preserve">the information necessary to maintain the National Disqualified List.  </w:t>
      </w:r>
    </w:p>
    <w:p w:rsidR="004E0859" w:rsidRDefault="004E0859" w:rsidP="00BE197B">
      <w:pPr>
        <w:tabs>
          <w:tab w:val="left" w:pos="-720"/>
        </w:tabs>
        <w:suppressAutoHyphens/>
        <w:spacing w:line="480" w:lineRule="auto"/>
        <w:ind w:left="720"/>
        <w:rPr>
          <w:rFonts w:ascii="Times New Roman" w:hAnsi="Times New Roman"/>
        </w:rPr>
      </w:pPr>
    </w:p>
    <w:p w:rsidR="004E5882" w:rsidRPr="005E68D7" w:rsidRDefault="00C94740" w:rsidP="00BE197B">
      <w:pPr>
        <w:tabs>
          <w:tab w:val="left" w:pos="-720"/>
        </w:tabs>
        <w:suppressAutoHyphens/>
        <w:spacing w:line="480" w:lineRule="auto"/>
        <w:ind w:left="720"/>
        <w:rPr>
          <w:rFonts w:ascii="Times New Roman" w:hAnsi="Times New Roman"/>
          <w:spacing w:val="-3"/>
          <w:szCs w:val="24"/>
        </w:rPr>
      </w:pPr>
      <w:r>
        <w:rPr>
          <w:rFonts w:ascii="Times New Roman" w:hAnsi="Times New Roman"/>
        </w:rPr>
        <w:t>F</w:t>
      </w:r>
      <w:r w:rsidR="005E68D7" w:rsidRPr="005E68D7">
        <w:rPr>
          <w:rFonts w:ascii="Times New Roman" w:hAnsi="Times New Roman"/>
        </w:rPr>
        <w:t>orms FNS-843</w:t>
      </w:r>
      <w:r w:rsidR="001E69CA">
        <w:rPr>
          <w:rFonts w:ascii="Times New Roman" w:hAnsi="Times New Roman"/>
        </w:rPr>
        <w:t xml:space="preserve"> Report of Disqualification from Participation – Institution and </w:t>
      </w:r>
      <w:r w:rsidR="001E69CA">
        <w:rPr>
          <w:rFonts w:ascii="Times New Roman" w:hAnsi="Times New Roman"/>
        </w:rPr>
        <w:lastRenderedPageBreak/>
        <w:t>Responsible Principals/Individuals</w:t>
      </w:r>
      <w:r w:rsidR="005E68D7" w:rsidRPr="005E68D7">
        <w:rPr>
          <w:rFonts w:ascii="Times New Roman" w:hAnsi="Times New Roman"/>
        </w:rPr>
        <w:t xml:space="preserve"> and FNS-844 </w:t>
      </w:r>
      <w:r w:rsidR="001E69CA">
        <w:rPr>
          <w:rFonts w:ascii="Times New Roman" w:hAnsi="Times New Roman"/>
        </w:rPr>
        <w:t xml:space="preserve">Report of Disqualification from Participation – Individually Disqualified Responsible Principal/Individual or Day Care Home Provider </w:t>
      </w:r>
      <w:r w:rsidR="004E0859">
        <w:rPr>
          <w:rFonts w:ascii="Times New Roman" w:hAnsi="Times New Roman"/>
        </w:rPr>
        <w:t>are</w:t>
      </w:r>
      <w:r w:rsidR="005E68D7" w:rsidRPr="005E68D7">
        <w:rPr>
          <w:rFonts w:ascii="Times New Roman" w:hAnsi="Times New Roman"/>
        </w:rPr>
        <w:t xml:space="preserve"> used to collect and maintain this data</w:t>
      </w:r>
      <w:r w:rsidR="00682ED2">
        <w:rPr>
          <w:rFonts w:ascii="Times New Roman" w:hAnsi="Times New Roman"/>
        </w:rPr>
        <w:t xml:space="preserve"> (Attachments A-1 and A-2)</w:t>
      </w:r>
      <w:r w:rsidR="005E68D7" w:rsidRPr="005E68D7">
        <w:rPr>
          <w:rFonts w:ascii="Times New Roman" w:hAnsi="Times New Roman"/>
        </w:rPr>
        <w:t xml:space="preserve">.  </w:t>
      </w:r>
      <w:r w:rsidR="002B73FA">
        <w:rPr>
          <w:rFonts w:ascii="Times New Roman" w:hAnsi="Times New Roman"/>
        </w:rPr>
        <w:t xml:space="preserve">The state agencies use these </w:t>
      </w:r>
      <w:r w:rsidR="004775D4">
        <w:rPr>
          <w:rFonts w:ascii="Times New Roman" w:hAnsi="Times New Roman"/>
        </w:rPr>
        <w:t xml:space="preserve">forms </w:t>
      </w:r>
      <w:r w:rsidR="002B73FA">
        <w:rPr>
          <w:rFonts w:ascii="Times New Roman" w:hAnsi="Times New Roman"/>
        </w:rPr>
        <w:t xml:space="preserve">to collect the contact information and the disqualification information and reasons </w:t>
      </w:r>
      <w:r w:rsidR="00E5307D">
        <w:rPr>
          <w:rFonts w:ascii="Times New Roman" w:hAnsi="Times New Roman"/>
          <w:szCs w:val="24"/>
        </w:rPr>
        <w:t xml:space="preserve">on all individuals and institutions </w:t>
      </w:r>
      <w:r w:rsidR="006008A7">
        <w:rPr>
          <w:rFonts w:ascii="Times New Roman" w:hAnsi="Times New Roman"/>
          <w:szCs w:val="24"/>
        </w:rPr>
        <w:t>that</w:t>
      </w:r>
      <w:r w:rsidR="00E5307D">
        <w:rPr>
          <w:rFonts w:ascii="Times New Roman" w:hAnsi="Times New Roman"/>
          <w:szCs w:val="24"/>
        </w:rPr>
        <w:t xml:space="preserve"> have been disqualified and are therefore ineligible to participate in CACFP.  </w:t>
      </w:r>
      <w:r w:rsidR="004775D4">
        <w:rPr>
          <w:rFonts w:ascii="Times New Roman" w:hAnsi="Times New Roman"/>
          <w:szCs w:val="24"/>
        </w:rPr>
        <w:t xml:space="preserve">The information is collected from state agencies as the disqualifications occur so that the list is kept current.  </w:t>
      </w:r>
      <w:r w:rsidR="00E5307D">
        <w:rPr>
          <w:rFonts w:ascii="Times New Roman" w:hAnsi="Times New Roman"/>
          <w:szCs w:val="24"/>
        </w:rPr>
        <w:t xml:space="preserve">By maintaining this list the Department ensures program integrity by making the list available to </w:t>
      </w:r>
      <w:r w:rsidR="00191BCC">
        <w:rPr>
          <w:rFonts w:ascii="Times New Roman" w:hAnsi="Times New Roman"/>
          <w:szCs w:val="24"/>
        </w:rPr>
        <w:t xml:space="preserve">sponsoring organizations </w:t>
      </w:r>
      <w:r w:rsidR="00E5307D">
        <w:rPr>
          <w:rFonts w:ascii="Times New Roman" w:hAnsi="Times New Roman"/>
          <w:szCs w:val="24"/>
        </w:rPr>
        <w:t xml:space="preserve">and </w:t>
      </w:r>
      <w:r w:rsidR="00191BCC">
        <w:rPr>
          <w:rFonts w:ascii="Times New Roman" w:hAnsi="Times New Roman"/>
          <w:szCs w:val="24"/>
        </w:rPr>
        <w:t xml:space="preserve">State agencies </w:t>
      </w:r>
      <w:r w:rsidR="00E5307D">
        <w:rPr>
          <w:rFonts w:ascii="Times New Roman" w:hAnsi="Times New Roman"/>
          <w:szCs w:val="24"/>
        </w:rPr>
        <w:t>so that no one disqualified can participate in CACFP.</w:t>
      </w:r>
      <w:r w:rsidR="005E565B">
        <w:rPr>
          <w:rFonts w:ascii="Times New Roman" w:hAnsi="Times New Roman"/>
          <w:szCs w:val="24"/>
        </w:rPr>
        <w:t xml:space="preserve">  Since the previous submission of this collection, the web-based NDL system has been fully implemented.  Otherwise, there have been no changes to this information collection.</w:t>
      </w:r>
    </w:p>
    <w:p w:rsidR="005C5F37" w:rsidRDefault="005C5F37" w:rsidP="00C479DB">
      <w:pPr>
        <w:tabs>
          <w:tab w:val="left" w:pos="-720"/>
        </w:tabs>
        <w:suppressAutoHyphens/>
        <w:spacing w:line="480" w:lineRule="auto"/>
        <w:rPr>
          <w:rFonts w:ascii="Times New Roman" w:hAnsi="Times New Roman"/>
          <w:b/>
          <w:spacing w:val="-3"/>
          <w:szCs w:val="24"/>
        </w:rPr>
      </w:pPr>
    </w:p>
    <w:p w:rsidR="00BE197B" w:rsidRPr="00942B5F" w:rsidRDefault="00BE197B" w:rsidP="00117534">
      <w:pPr>
        <w:pStyle w:val="p5"/>
        <w:numPr>
          <w:ilvl w:val="0"/>
          <w:numId w:val="20"/>
        </w:numPr>
        <w:tabs>
          <w:tab w:val="clear" w:pos="663"/>
          <w:tab w:val="left" w:pos="540"/>
        </w:tabs>
        <w:spacing w:line="480" w:lineRule="auto"/>
        <w:ind w:left="540" w:hanging="450"/>
        <w:outlineLvl w:val="0"/>
        <w:rPr>
          <w:b/>
          <w:color w:val="000000"/>
        </w:rPr>
      </w:pPr>
      <w:bookmarkStart w:id="10" w:name="_Toc456365117"/>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0"/>
    </w:p>
    <w:p w:rsidR="00BE197B" w:rsidRDefault="00BE197B" w:rsidP="00C479DB">
      <w:pPr>
        <w:tabs>
          <w:tab w:val="left" w:pos="-720"/>
        </w:tabs>
        <w:suppressAutoHyphens/>
        <w:spacing w:line="480" w:lineRule="auto"/>
        <w:rPr>
          <w:rFonts w:ascii="Times New Roman" w:hAnsi="Times New Roman"/>
          <w:spacing w:val="-3"/>
          <w:szCs w:val="24"/>
        </w:rPr>
      </w:pPr>
    </w:p>
    <w:p w:rsidR="006E7FF6" w:rsidRPr="001A0360" w:rsidRDefault="00191BCC" w:rsidP="006E7FF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FNS</w:t>
      </w:r>
      <w:r w:rsidR="00305AF5" w:rsidRPr="001A0360">
        <w:rPr>
          <w:rFonts w:ascii="Times New Roman" w:hAnsi="Times New Roman"/>
          <w:spacing w:val="-3"/>
          <w:szCs w:val="24"/>
        </w:rPr>
        <w:t xml:space="preserve"> is complying with the E-Government Act</w:t>
      </w:r>
      <w:r w:rsidR="008817E4">
        <w:rPr>
          <w:rFonts w:ascii="Times New Roman" w:hAnsi="Times New Roman"/>
          <w:spacing w:val="-3"/>
          <w:szCs w:val="24"/>
        </w:rPr>
        <w:t xml:space="preserve"> of</w:t>
      </w:r>
      <w:r w:rsidR="00E31935" w:rsidRPr="00104E5B">
        <w:rPr>
          <w:rFonts w:ascii="Times New Roman" w:hAnsi="Times New Roman"/>
          <w:spacing w:val="-3"/>
          <w:szCs w:val="24"/>
        </w:rPr>
        <w:t xml:space="preserve"> 2002</w:t>
      </w:r>
      <w:r w:rsidR="00305AF5" w:rsidRPr="001A0360">
        <w:rPr>
          <w:rFonts w:ascii="Times New Roman" w:hAnsi="Times New Roman"/>
          <w:spacing w:val="-3"/>
          <w:szCs w:val="24"/>
        </w:rPr>
        <w:t>.  FNS has implemented an Internet compon</w:t>
      </w:r>
      <w:r w:rsidR="006E7FF6">
        <w:rPr>
          <w:rFonts w:ascii="Times New Roman" w:hAnsi="Times New Roman"/>
          <w:spacing w:val="-3"/>
          <w:szCs w:val="24"/>
        </w:rPr>
        <w:t xml:space="preserve">ent for the </w:t>
      </w:r>
      <w:r>
        <w:rPr>
          <w:rFonts w:ascii="Times New Roman" w:hAnsi="Times New Roman"/>
          <w:spacing w:val="-3"/>
          <w:szCs w:val="24"/>
        </w:rPr>
        <w:t>NDL</w:t>
      </w:r>
      <w:r w:rsidR="00305AF5" w:rsidRPr="001A0360">
        <w:rPr>
          <w:rFonts w:ascii="Times New Roman" w:hAnsi="Times New Roman"/>
          <w:spacing w:val="-3"/>
          <w:szCs w:val="24"/>
        </w:rPr>
        <w:t xml:space="preserve">.  The </w:t>
      </w:r>
      <w:r w:rsidR="001E7C0D">
        <w:rPr>
          <w:rFonts w:ascii="Times New Roman" w:hAnsi="Times New Roman"/>
          <w:spacing w:val="-3"/>
          <w:szCs w:val="24"/>
        </w:rPr>
        <w:t xml:space="preserve">web-based NDL </w:t>
      </w:r>
      <w:proofErr w:type="gramStart"/>
      <w:r w:rsidR="001E7C0D">
        <w:rPr>
          <w:rFonts w:ascii="Times New Roman" w:hAnsi="Times New Roman"/>
          <w:spacing w:val="-3"/>
          <w:szCs w:val="24"/>
        </w:rPr>
        <w:t xml:space="preserve">system </w:t>
      </w:r>
      <w:r w:rsidR="007577A2">
        <w:rPr>
          <w:rFonts w:ascii="Times New Roman" w:hAnsi="Times New Roman"/>
          <w:spacing w:val="-3"/>
          <w:szCs w:val="24"/>
        </w:rPr>
        <w:t xml:space="preserve"> </w:t>
      </w:r>
      <w:r w:rsidR="00305AF5" w:rsidRPr="001A0360">
        <w:rPr>
          <w:rFonts w:ascii="Times New Roman" w:hAnsi="Times New Roman"/>
          <w:spacing w:val="-3"/>
          <w:szCs w:val="24"/>
        </w:rPr>
        <w:t>allows</w:t>
      </w:r>
      <w:proofErr w:type="gramEnd"/>
      <w:r w:rsidR="00305AF5" w:rsidRPr="001A0360">
        <w:rPr>
          <w:rFonts w:ascii="Times New Roman" w:hAnsi="Times New Roman"/>
          <w:spacing w:val="-3"/>
          <w:szCs w:val="24"/>
        </w:rPr>
        <w:t xml:space="preserve"> </w:t>
      </w:r>
      <w:r w:rsidR="001E7C0D">
        <w:rPr>
          <w:rFonts w:ascii="Times New Roman" w:hAnsi="Times New Roman"/>
          <w:spacing w:val="-3"/>
          <w:szCs w:val="24"/>
        </w:rPr>
        <w:t xml:space="preserve">the </w:t>
      </w:r>
      <w:r w:rsidR="00E5307D">
        <w:rPr>
          <w:rFonts w:ascii="Times New Roman" w:hAnsi="Times New Roman"/>
          <w:spacing w:val="-3"/>
          <w:szCs w:val="24"/>
        </w:rPr>
        <w:t xml:space="preserve">56 </w:t>
      </w:r>
      <w:r w:rsidR="00FA3DF3">
        <w:rPr>
          <w:rFonts w:ascii="Times New Roman" w:hAnsi="Times New Roman"/>
          <w:spacing w:val="-3"/>
          <w:szCs w:val="24"/>
        </w:rPr>
        <w:t>State</w:t>
      </w:r>
      <w:r>
        <w:rPr>
          <w:rFonts w:ascii="Times New Roman" w:hAnsi="Times New Roman"/>
          <w:spacing w:val="-3"/>
          <w:szCs w:val="24"/>
        </w:rPr>
        <w:t xml:space="preserve"> agencies</w:t>
      </w:r>
      <w:r w:rsidR="00AD3F5D">
        <w:rPr>
          <w:rFonts w:ascii="Times New Roman" w:hAnsi="Times New Roman"/>
          <w:spacing w:val="-3"/>
          <w:szCs w:val="24"/>
        </w:rPr>
        <w:t xml:space="preserve"> operating the CACFP</w:t>
      </w:r>
      <w:r w:rsidR="006E7FF6">
        <w:rPr>
          <w:rFonts w:ascii="Times New Roman" w:hAnsi="Times New Roman"/>
          <w:spacing w:val="-3"/>
          <w:szCs w:val="24"/>
        </w:rPr>
        <w:t xml:space="preserve"> to enter the </w:t>
      </w:r>
      <w:r w:rsidR="001E7C0D">
        <w:rPr>
          <w:rFonts w:ascii="Times New Roman" w:hAnsi="Times New Roman"/>
          <w:spacing w:val="-3"/>
          <w:szCs w:val="24"/>
        </w:rPr>
        <w:t xml:space="preserve">disqualification </w:t>
      </w:r>
      <w:r w:rsidR="006E7FF6">
        <w:rPr>
          <w:rFonts w:ascii="Times New Roman" w:hAnsi="Times New Roman"/>
          <w:spacing w:val="-3"/>
          <w:szCs w:val="24"/>
        </w:rPr>
        <w:t xml:space="preserve">information in the system and notify the </w:t>
      </w:r>
      <w:r>
        <w:rPr>
          <w:rFonts w:ascii="Times New Roman" w:hAnsi="Times New Roman"/>
          <w:spacing w:val="-3"/>
          <w:szCs w:val="24"/>
        </w:rPr>
        <w:t xml:space="preserve">FNS </w:t>
      </w:r>
      <w:r w:rsidR="00C9323A">
        <w:rPr>
          <w:rFonts w:ascii="Times New Roman" w:hAnsi="Times New Roman"/>
          <w:spacing w:val="-3"/>
          <w:szCs w:val="24"/>
        </w:rPr>
        <w:lastRenderedPageBreak/>
        <w:t>Regional o</w:t>
      </w:r>
      <w:r w:rsidR="006E7FF6">
        <w:rPr>
          <w:rFonts w:ascii="Times New Roman" w:hAnsi="Times New Roman"/>
          <w:spacing w:val="-3"/>
          <w:szCs w:val="24"/>
        </w:rPr>
        <w:t>ffice that a new submission has been entered.  The R</w:t>
      </w:r>
      <w:r>
        <w:rPr>
          <w:rFonts w:ascii="Times New Roman" w:hAnsi="Times New Roman"/>
          <w:spacing w:val="-3"/>
          <w:szCs w:val="24"/>
        </w:rPr>
        <w:t>egional offices</w:t>
      </w:r>
      <w:r w:rsidR="006E7FF6">
        <w:rPr>
          <w:rFonts w:ascii="Times New Roman" w:hAnsi="Times New Roman"/>
          <w:spacing w:val="-3"/>
          <w:szCs w:val="24"/>
        </w:rPr>
        <w:t xml:space="preserve"> will approve or deny the submission.  Sponsoring organizations will be able to search the syst</w:t>
      </w:r>
      <w:r w:rsidR="00E5307D">
        <w:rPr>
          <w:rFonts w:ascii="Times New Roman" w:hAnsi="Times New Roman"/>
          <w:spacing w:val="-3"/>
          <w:szCs w:val="24"/>
        </w:rPr>
        <w:t>em to ensure that new applicant</w:t>
      </w:r>
      <w:r w:rsidR="00AB7C6E">
        <w:rPr>
          <w:rFonts w:ascii="Times New Roman" w:hAnsi="Times New Roman"/>
          <w:spacing w:val="-3"/>
          <w:szCs w:val="24"/>
        </w:rPr>
        <w:t>s</w:t>
      </w:r>
      <w:r w:rsidR="006E7FF6">
        <w:rPr>
          <w:rFonts w:ascii="Times New Roman" w:hAnsi="Times New Roman"/>
          <w:spacing w:val="-3"/>
          <w:szCs w:val="24"/>
        </w:rPr>
        <w:t xml:space="preserve"> ha</w:t>
      </w:r>
      <w:r w:rsidR="00AB7C6E">
        <w:rPr>
          <w:rFonts w:ascii="Times New Roman" w:hAnsi="Times New Roman"/>
          <w:spacing w:val="-3"/>
          <w:szCs w:val="24"/>
        </w:rPr>
        <w:t>ve</w:t>
      </w:r>
      <w:r w:rsidR="006E7FF6">
        <w:rPr>
          <w:rFonts w:ascii="Times New Roman" w:hAnsi="Times New Roman"/>
          <w:spacing w:val="-3"/>
          <w:szCs w:val="24"/>
        </w:rPr>
        <w:t xml:space="preserve"> not been disqualified from the </w:t>
      </w:r>
      <w:r>
        <w:rPr>
          <w:rFonts w:ascii="Times New Roman" w:hAnsi="Times New Roman"/>
          <w:spacing w:val="-3"/>
          <w:szCs w:val="24"/>
        </w:rPr>
        <w:t>P</w:t>
      </w:r>
      <w:r w:rsidR="006E7FF6">
        <w:rPr>
          <w:rFonts w:ascii="Times New Roman" w:hAnsi="Times New Roman"/>
          <w:spacing w:val="-3"/>
          <w:szCs w:val="24"/>
        </w:rPr>
        <w:t>rogram.</w:t>
      </w:r>
      <w:r w:rsidR="001E7C0D">
        <w:rPr>
          <w:rFonts w:ascii="Times New Roman" w:hAnsi="Times New Roman"/>
          <w:spacing w:val="-3"/>
          <w:szCs w:val="24"/>
        </w:rPr>
        <w:t xml:space="preserve">  FNS estimates that 100% of the disqualification reports will be filed electronically.</w:t>
      </w:r>
      <w:r w:rsidR="006E7FF6">
        <w:rPr>
          <w:rFonts w:ascii="Times New Roman" w:hAnsi="Times New Roman"/>
          <w:spacing w:val="-3"/>
          <w:szCs w:val="24"/>
        </w:rPr>
        <w:t xml:space="preserve"> </w:t>
      </w:r>
    </w:p>
    <w:p w:rsidR="00305AF5" w:rsidRPr="001A0360" w:rsidRDefault="00305AF5" w:rsidP="00C479DB">
      <w:pPr>
        <w:pStyle w:val="BodyText"/>
        <w:spacing w:line="480" w:lineRule="auto"/>
        <w:rPr>
          <w:rFonts w:ascii="Times New Roman" w:hAnsi="Times New Roman"/>
          <w:szCs w:val="24"/>
        </w:rPr>
      </w:pPr>
    </w:p>
    <w:p w:rsidR="00BE197B" w:rsidRPr="00942B5F" w:rsidRDefault="00BE197B" w:rsidP="00117534">
      <w:pPr>
        <w:pStyle w:val="ListParagraph"/>
        <w:numPr>
          <w:ilvl w:val="0"/>
          <w:numId w:val="20"/>
        </w:numPr>
        <w:spacing w:line="480" w:lineRule="auto"/>
        <w:ind w:left="540" w:hanging="540"/>
        <w:outlineLvl w:val="0"/>
        <w:rPr>
          <w:b/>
        </w:rPr>
      </w:pPr>
      <w:bookmarkStart w:id="11" w:name="_Toc456365118"/>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bookmarkEnd w:id="11"/>
    </w:p>
    <w:p w:rsidR="005C5F37" w:rsidRDefault="001E7C0D" w:rsidP="006E7FF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is no similar information collection.  Every effort has been made to avoid duplication.  FNS has reviewed USDA reporting requirements and state administrative agency requirements.  </w:t>
      </w:r>
      <w:r w:rsidR="008A7E8D">
        <w:rPr>
          <w:rFonts w:ascii="Times New Roman" w:hAnsi="Times New Roman"/>
          <w:spacing w:val="-3"/>
          <w:szCs w:val="24"/>
        </w:rPr>
        <w:t>There is no other system that captures and maintains entities disqualified from participating in CACFP.</w:t>
      </w:r>
    </w:p>
    <w:p w:rsidR="006E7FF6" w:rsidRDefault="006E7FF6" w:rsidP="006E7FF6">
      <w:pPr>
        <w:tabs>
          <w:tab w:val="left" w:pos="-720"/>
        </w:tabs>
        <w:suppressAutoHyphens/>
        <w:spacing w:line="480" w:lineRule="auto"/>
        <w:ind w:left="540"/>
        <w:rPr>
          <w:rFonts w:ascii="Times New Roman" w:hAnsi="Times New Roman"/>
          <w:b/>
          <w:spacing w:val="-3"/>
          <w:szCs w:val="24"/>
        </w:rPr>
      </w:pPr>
    </w:p>
    <w:p w:rsidR="00BE197B" w:rsidRPr="00942B5F" w:rsidRDefault="00BE197B" w:rsidP="00117534">
      <w:pPr>
        <w:pStyle w:val="p10"/>
        <w:numPr>
          <w:ilvl w:val="0"/>
          <w:numId w:val="20"/>
        </w:numPr>
        <w:spacing w:line="480" w:lineRule="auto"/>
        <w:ind w:left="540" w:hanging="540"/>
        <w:jc w:val="left"/>
        <w:outlineLvl w:val="0"/>
        <w:rPr>
          <w:b/>
          <w:color w:val="000000"/>
        </w:rPr>
      </w:pPr>
      <w:bookmarkStart w:id="12" w:name="_Toc456365119"/>
      <w:r w:rsidRPr="00942B5F">
        <w:rPr>
          <w:b/>
        </w:rPr>
        <w:t>If the collection of information impacts small businesses or other small entities, describe any methods used to minimize burden.</w:t>
      </w:r>
      <w:bookmarkEnd w:id="12"/>
    </w:p>
    <w:p w:rsidR="000D0FB1" w:rsidRDefault="000D0FB1" w:rsidP="00C479DB">
      <w:pPr>
        <w:tabs>
          <w:tab w:val="left" w:pos="-720"/>
        </w:tabs>
        <w:suppressAutoHyphens/>
        <w:spacing w:line="480" w:lineRule="auto"/>
        <w:rPr>
          <w:rFonts w:ascii="Times New Roman" w:hAnsi="Times New Roman"/>
          <w:spacing w:val="-3"/>
          <w:szCs w:val="24"/>
        </w:rPr>
      </w:pPr>
    </w:p>
    <w:p w:rsidR="00075BAE" w:rsidRDefault="00075BAE" w:rsidP="00075BAE">
      <w:pPr>
        <w:tabs>
          <w:tab w:val="left" w:pos="-720"/>
        </w:tabs>
        <w:suppressAutoHyphens/>
        <w:spacing w:line="480" w:lineRule="auto"/>
        <w:ind w:left="540"/>
        <w:rPr>
          <w:rFonts w:ascii="Times New Roman" w:hAnsi="Times New Roman"/>
          <w:spacing w:val="-3"/>
        </w:rPr>
      </w:pPr>
      <w:r w:rsidRPr="00F02AA7">
        <w:rPr>
          <w:rFonts w:ascii="Times New Roman" w:hAnsi="Times New Roman"/>
          <w:spacing w:val="-3"/>
        </w:rPr>
        <w:t xml:space="preserve">Information being requested has been held to the minimum required for the intended use.  Although smaller CACFP </w:t>
      </w:r>
      <w:r>
        <w:rPr>
          <w:rFonts w:ascii="Times New Roman" w:hAnsi="Times New Roman"/>
          <w:spacing w:val="-3"/>
        </w:rPr>
        <w:t xml:space="preserve">entities are </w:t>
      </w:r>
      <w:r w:rsidRPr="00F02AA7">
        <w:rPr>
          <w:rFonts w:ascii="Times New Roman" w:hAnsi="Times New Roman"/>
          <w:spacing w:val="-3"/>
        </w:rPr>
        <w:t xml:space="preserve">involved in this data collection effort, they deliver the same </w:t>
      </w:r>
      <w:r w:rsidR="00191BCC">
        <w:rPr>
          <w:rFonts w:ascii="Times New Roman" w:hAnsi="Times New Roman"/>
          <w:spacing w:val="-3"/>
        </w:rPr>
        <w:t>P</w:t>
      </w:r>
      <w:r w:rsidRPr="00F02AA7">
        <w:rPr>
          <w:rFonts w:ascii="Times New Roman" w:hAnsi="Times New Roman"/>
          <w:spacing w:val="-3"/>
        </w:rPr>
        <w:t>rogram benefits and perform the same function as any other CACFP</w:t>
      </w:r>
      <w:r>
        <w:rPr>
          <w:rFonts w:ascii="Times New Roman" w:hAnsi="Times New Roman"/>
          <w:spacing w:val="-3"/>
        </w:rPr>
        <w:t xml:space="preserve"> entity</w:t>
      </w:r>
      <w:r w:rsidRPr="00F02AA7">
        <w:rPr>
          <w:rFonts w:ascii="Times New Roman" w:hAnsi="Times New Roman"/>
          <w:spacing w:val="-3"/>
        </w:rPr>
        <w:t xml:space="preserve">.  Thus, they maintain the same kinds of information on file.  </w:t>
      </w:r>
      <w:r w:rsidR="00CD0F98">
        <w:rPr>
          <w:rFonts w:ascii="Times New Roman" w:hAnsi="Times New Roman"/>
          <w:spacing w:val="-3"/>
        </w:rPr>
        <w:t xml:space="preserve">No small entities are impacted by this collection of information.  </w:t>
      </w:r>
      <w:r w:rsidRPr="00F02AA7">
        <w:rPr>
          <w:rFonts w:ascii="Times New Roman" w:hAnsi="Times New Roman"/>
          <w:spacing w:val="-3"/>
        </w:rPr>
        <w:t xml:space="preserve">  </w:t>
      </w:r>
    </w:p>
    <w:p w:rsidR="005C5F37" w:rsidRPr="00480D3F" w:rsidRDefault="005C5F37" w:rsidP="00C479DB">
      <w:pPr>
        <w:tabs>
          <w:tab w:val="left" w:pos="-720"/>
        </w:tabs>
        <w:suppressAutoHyphens/>
        <w:spacing w:line="480" w:lineRule="auto"/>
        <w:rPr>
          <w:rFonts w:ascii="Times New Roman" w:hAnsi="Times New Roman"/>
          <w:spacing w:val="-3"/>
        </w:rPr>
      </w:pPr>
    </w:p>
    <w:p w:rsidR="00BE197B" w:rsidRPr="00942B5F" w:rsidRDefault="00BE197B" w:rsidP="00117534">
      <w:pPr>
        <w:pStyle w:val="p7"/>
        <w:numPr>
          <w:ilvl w:val="0"/>
          <w:numId w:val="20"/>
        </w:numPr>
        <w:spacing w:line="480" w:lineRule="auto"/>
        <w:ind w:left="540" w:hanging="540"/>
        <w:jc w:val="left"/>
        <w:outlineLvl w:val="0"/>
        <w:rPr>
          <w:b/>
          <w:color w:val="000000"/>
        </w:rPr>
      </w:pPr>
      <w:bookmarkStart w:id="13" w:name="_Toc456365120"/>
      <w:r w:rsidRPr="00942B5F">
        <w:rPr>
          <w:b/>
        </w:rPr>
        <w:lastRenderedPageBreak/>
        <w:t>Describe the consequence to Federal program or policy activities if the collection is not conducted or is conducted less frequently, as well as any technical or legal obstacles to reducing burden.</w:t>
      </w:r>
      <w:bookmarkEnd w:id="13"/>
    </w:p>
    <w:p w:rsidR="000D0FB1" w:rsidRDefault="000D0FB1" w:rsidP="00C479DB">
      <w:pPr>
        <w:tabs>
          <w:tab w:val="left" w:pos="-720"/>
        </w:tabs>
        <w:suppressAutoHyphens/>
        <w:spacing w:line="480" w:lineRule="auto"/>
        <w:rPr>
          <w:rFonts w:ascii="Times New Roman" w:hAnsi="Times New Roman"/>
          <w:spacing w:val="-3"/>
          <w:szCs w:val="24"/>
        </w:rPr>
      </w:pPr>
    </w:p>
    <w:p w:rsidR="000D0FB1" w:rsidRPr="001A0360" w:rsidRDefault="007E4356" w:rsidP="00BE197B">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Regulations mandate that individual</w:t>
      </w:r>
      <w:r w:rsidR="00A10632">
        <w:rPr>
          <w:rFonts w:ascii="Times New Roman" w:hAnsi="Times New Roman"/>
          <w:spacing w:val="-3"/>
          <w:szCs w:val="24"/>
        </w:rPr>
        <w:t>s</w:t>
      </w:r>
      <w:r>
        <w:rPr>
          <w:rFonts w:ascii="Times New Roman" w:hAnsi="Times New Roman"/>
          <w:spacing w:val="-3"/>
          <w:szCs w:val="24"/>
        </w:rPr>
        <w:t xml:space="preserve"> or organization</w:t>
      </w:r>
      <w:r w:rsidR="00A10632">
        <w:rPr>
          <w:rFonts w:ascii="Times New Roman" w:hAnsi="Times New Roman"/>
          <w:spacing w:val="-3"/>
          <w:szCs w:val="24"/>
        </w:rPr>
        <w:t>s</w:t>
      </w:r>
      <w:r>
        <w:rPr>
          <w:rFonts w:ascii="Times New Roman" w:hAnsi="Times New Roman"/>
          <w:spacing w:val="-3"/>
          <w:szCs w:val="24"/>
        </w:rPr>
        <w:t xml:space="preserve"> </w:t>
      </w:r>
      <w:r w:rsidR="00A10632">
        <w:rPr>
          <w:rFonts w:ascii="Times New Roman" w:hAnsi="Times New Roman"/>
          <w:spacing w:val="-3"/>
          <w:szCs w:val="24"/>
        </w:rPr>
        <w:t xml:space="preserve">terminated and </w:t>
      </w:r>
      <w:r>
        <w:rPr>
          <w:rFonts w:ascii="Times New Roman" w:hAnsi="Times New Roman"/>
          <w:spacing w:val="-3"/>
          <w:szCs w:val="24"/>
        </w:rPr>
        <w:t>disqualified from participation</w:t>
      </w:r>
      <w:r w:rsidR="006F2309">
        <w:rPr>
          <w:rFonts w:ascii="Times New Roman" w:hAnsi="Times New Roman"/>
          <w:spacing w:val="-3"/>
          <w:szCs w:val="24"/>
        </w:rPr>
        <w:t xml:space="preserve"> </w:t>
      </w:r>
      <w:r w:rsidR="00A10632">
        <w:rPr>
          <w:rFonts w:ascii="Times New Roman" w:hAnsi="Times New Roman"/>
          <w:spacing w:val="-3"/>
          <w:szCs w:val="24"/>
        </w:rPr>
        <w:t xml:space="preserve">are </w:t>
      </w:r>
      <w:r w:rsidR="000157D1">
        <w:rPr>
          <w:rFonts w:ascii="Times New Roman" w:hAnsi="Times New Roman"/>
          <w:spacing w:val="-3"/>
          <w:szCs w:val="24"/>
        </w:rPr>
        <w:t xml:space="preserve">not </w:t>
      </w:r>
      <w:r w:rsidR="00A10632">
        <w:rPr>
          <w:rFonts w:ascii="Times New Roman" w:hAnsi="Times New Roman"/>
          <w:spacing w:val="-3"/>
          <w:szCs w:val="24"/>
        </w:rPr>
        <w:t xml:space="preserve">permitted </w:t>
      </w:r>
      <w:r>
        <w:rPr>
          <w:rFonts w:ascii="Times New Roman" w:hAnsi="Times New Roman"/>
          <w:spacing w:val="-3"/>
          <w:szCs w:val="24"/>
        </w:rPr>
        <w:t xml:space="preserve">to participate in CACFP.  This information is needed to ensure </w:t>
      </w:r>
      <w:r w:rsidR="00A10632">
        <w:rPr>
          <w:rFonts w:ascii="Times New Roman" w:hAnsi="Times New Roman"/>
          <w:spacing w:val="-3"/>
          <w:szCs w:val="24"/>
        </w:rPr>
        <w:t>S</w:t>
      </w:r>
      <w:r w:rsidR="006F2309">
        <w:rPr>
          <w:rFonts w:ascii="Times New Roman" w:hAnsi="Times New Roman"/>
          <w:spacing w:val="-3"/>
          <w:szCs w:val="24"/>
        </w:rPr>
        <w:t xml:space="preserve">tate agencies and sponsoring organizations have access to the </w:t>
      </w:r>
      <w:r w:rsidR="00260195">
        <w:rPr>
          <w:rFonts w:ascii="Times New Roman" w:hAnsi="Times New Roman"/>
          <w:spacing w:val="-3"/>
          <w:szCs w:val="24"/>
        </w:rPr>
        <w:t xml:space="preserve">NDL </w:t>
      </w:r>
      <w:r w:rsidR="006F2309">
        <w:rPr>
          <w:rFonts w:ascii="Times New Roman" w:hAnsi="Times New Roman"/>
          <w:spacing w:val="-3"/>
          <w:szCs w:val="24"/>
        </w:rPr>
        <w:t>to ensure program integrity</w:t>
      </w:r>
      <w:r w:rsidR="00E970CE">
        <w:rPr>
          <w:rFonts w:ascii="Times New Roman" w:hAnsi="Times New Roman"/>
          <w:spacing w:val="-3"/>
          <w:szCs w:val="24"/>
        </w:rPr>
        <w:t>.</w:t>
      </w:r>
      <w:r w:rsidR="00AD3F5D">
        <w:rPr>
          <w:rFonts w:ascii="Times New Roman" w:hAnsi="Times New Roman"/>
          <w:spacing w:val="-3"/>
          <w:szCs w:val="24"/>
        </w:rPr>
        <w:t xml:space="preserve">  Without </w:t>
      </w:r>
      <w:r w:rsidR="00075BAE">
        <w:rPr>
          <w:rFonts w:ascii="Times New Roman" w:hAnsi="Times New Roman"/>
          <w:spacing w:val="-3"/>
          <w:szCs w:val="24"/>
        </w:rPr>
        <w:t>this data collection, S</w:t>
      </w:r>
      <w:r w:rsidR="00A10632">
        <w:rPr>
          <w:rFonts w:ascii="Times New Roman" w:hAnsi="Times New Roman"/>
          <w:spacing w:val="-3"/>
          <w:szCs w:val="24"/>
        </w:rPr>
        <w:t>tate agencie</w:t>
      </w:r>
      <w:r w:rsidR="00075BAE">
        <w:rPr>
          <w:rFonts w:ascii="Times New Roman" w:hAnsi="Times New Roman"/>
          <w:spacing w:val="-3"/>
          <w:szCs w:val="24"/>
        </w:rPr>
        <w:t xml:space="preserve">s and </w:t>
      </w:r>
      <w:r w:rsidR="00A10632">
        <w:rPr>
          <w:rFonts w:ascii="Times New Roman" w:hAnsi="Times New Roman"/>
          <w:spacing w:val="-3"/>
          <w:szCs w:val="24"/>
        </w:rPr>
        <w:t>s</w:t>
      </w:r>
      <w:r w:rsidR="00075BAE">
        <w:rPr>
          <w:rFonts w:ascii="Times New Roman" w:hAnsi="Times New Roman"/>
          <w:spacing w:val="-3"/>
          <w:szCs w:val="24"/>
        </w:rPr>
        <w:t xml:space="preserve">ponsoring </w:t>
      </w:r>
      <w:r w:rsidR="00A10632">
        <w:rPr>
          <w:rFonts w:ascii="Times New Roman" w:hAnsi="Times New Roman"/>
          <w:spacing w:val="-3"/>
          <w:szCs w:val="24"/>
        </w:rPr>
        <w:t>o</w:t>
      </w:r>
      <w:r w:rsidR="00075BAE">
        <w:rPr>
          <w:rFonts w:ascii="Times New Roman" w:hAnsi="Times New Roman"/>
          <w:spacing w:val="-3"/>
          <w:szCs w:val="24"/>
        </w:rPr>
        <w:t>rganizations would have no way of knowing if an applicant has</w:t>
      </w:r>
      <w:r w:rsidR="00075BAE" w:rsidRPr="00075BAE">
        <w:rPr>
          <w:rFonts w:ascii="Times New Roman" w:hAnsi="Times New Roman"/>
          <w:spacing w:val="-3"/>
          <w:szCs w:val="24"/>
        </w:rPr>
        <w:t xml:space="preserve"> </w:t>
      </w:r>
      <w:r w:rsidR="00075BAE">
        <w:rPr>
          <w:rFonts w:ascii="Times New Roman" w:hAnsi="Times New Roman"/>
          <w:spacing w:val="-3"/>
          <w:szCs w:val="24"/>
        </w:rPr>
        <w:t>been disqualified from participating in CACFP in another State.</w:t>
      </w:r>
    </w:p>
    <w:p w:rsidR="005C5F37" w:rsidRDefault="005C5F37" w:rsidP="00C479DB">
      <w:pPr>
        <w:tabs>
          <w:tab w:val="left" w:pos="-720"/>
        </w:tabs>
        <w:suppressAutoHyphens/>
        <w:spacing w:line="480" w:lineRule="auto"/>
        <w:rPr>
          <w:rFonts w:ascii="Times New Roman" w:hAnsi="Times New Roman"/>
          <w:spacing w:val="-3"/>
        </w:rPr>
      </w:pPr>
    </w:p>
    <w:p w:rsidR="00BE197B" w:rsidRPr="00942B5F" w:rsidRDefault="00BE197B" w:rsidP="00117534">
      <w:pPr>
        <w:pStyle w:val="p7"/>
        <w:numPr>
          <w:ilvl w:val="0"/>
          <w:numId w:val="20"/>
        </w:numPr>
        <w:spacing w:line="480" w:lineRule="auto"/>
        <w:ind w:left="450" w:hanging="450"/>
        <w:jc w:val="left"/>
        <w:outlineLvl w:val="0"/>
        <w:rPr>
          <w:b/>
          <w:color w:val="000000"/>
        </w:rPr>
      </w:pPr>
      <w:bookmarkStart w:id="14" w:name="_Toc456365121"/>
      <w:r w:rsidRPr="00942B5F">
        <w:rPr>
          <w:b/>
          <w:color w:val="000000"/>
        </w:rPr>
        <w:t xml:space="preserve">Circumstances that would cause an information collection to be conducted in a manner that is inconsistent with </w:t>
      </w:r>
      <w:r w:rsidRPr="00CF7E2F">
        <w:rPr>
          <w:b/>
          <w:color w:val="000000"/>
        </w:rPr>
        <w:t>5 CFR 1320.5:</w:t>
      </w:r>
      <w:bookmarkEnd w:id="14"/>
      <w:r w:rsidRPr="00942B5F">
        <w:rPr>
          <w:b/>
          <w:color w:val="000000"/>
        </w:rPr>
        <w:t xml:space="preserve"> </w:t>
      </w:r>
    </w:p>
    <w:p w:rsidR="00BE197B" w:rsidRDefault="00BE197B" w:rsidP="00BE197B">
      <w:pPr>
        <w:widowControl/>
        <w:numPr>
          <w:ilvl w:val="0"/>
          <w:numId w:val="21"/>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w:t>
      </w:r>
      <w:r w:rsidR="008602AC">
        <w:rPr>
          <w:rFonts w:ascii="Times New Roman" w:hAnsi="Times New Roman"/>
          <w:b/>
        </w:rPr>
        <w:t>g respondents to report informa</w:t>
      </w:r>
      <w:r w:rsidRPr="00BE197B">
        <w:rPr>
          <w:rFonts w:ascii="Times New Roman" w:hAnsi="Times New Roman"/>
          <w:b/>
        </w:rPr>
        <w:t>tion to the agency more often than quarterly;</w:t>
      </w:r>
    </w:p>
    <w:p w:rsidR="005A1FA8" w:rsidRDefault="005A1FA8" w:rsidP="00075BAE">
      <w:pPr>
        <w:pStyle w:val="ListParagraph"/>
        <w:tabs>
          <w:tab w:val="left" w:pos="-720"/>
        </w:tabs>
        <w:suppressAutoHyphens/>
        <w:spacing w:line="480" w:lineRule="auto"/>
        <w:rPr>
          <w:spacing w:val="-3"/>
        </w:rPr>
      </w:pPr>
      <w:r w:rsidRPr="005A1FA8">
        <w:rPr>
          <w:spacing w:val="-3"/>
        </w:rPr>
        <w:t>The NSLA requires that</w:t>
      </w:r>
      <w:r w:rsidR="00A15F58">
        <w:rPr>
          <w:spacing w:val="-3"/>
        </w:rPr>
        <w:t xml:space="preserve"> a list of individuals and organizations be</w:t>
      </w:r>
      <w:r w:rsidR="006F2309">
        <w:rPr>
          <w:spacing w:val="-3"/>
        </w:rPr>
        <w:t xml:space="preserve"> made</w:t>
      </w:r>
      <w:r w:rsidR="00A15F58">
        <w:rPr>
          <w:spacing w:val="-3"/>
        </w:rPr>
        <w:t xml:space="preserve"> available to </w:t>
      </w:r>
      <w:r w:rsidR="00A10632">
        <w:rPr>
          <w:spacing w:val="-3"/>
        </w:rPr>
        <w:t>S</w:t>
      </w:r>
      <w:r w:rsidR="006F2309">
        <w:rPr>
          <w:spacing w:val="-3"/>
        </w:rPr>
        <w:t>tate agenc</w:t>
      </w:r>
      <w:r w:rsidR="000157D1">
        <w:rPr>
          <w:spacing w:val="-3"/>
        </w:rPr>
        <w:t>ies and sponsoring organization</w:t>
      </w:r>
      <w:r w:rsidR="006F2309">
        <w:rPr>
          <w:spacing w:val="-3"/>
        </w:rPr>
        <w:t xml:space="preserve">s to </w:t>
      </w:r>
      <w:r w:rsidR="00A15F58">
        <w:rPr>
          <w:spacing w:val="-3"/>
        </w:rPr>
        <w:t>ensure that no</w:t>
      </w:r>
      <w:r w:rsidR="006F2309">
        <w:rPr>
          <w:spacing w:val="-3"/>
        </w:rPr>
        <w:t xml:space="preserve"> institution, </w:t>
      </w:r>
      <w:r w:rsidR="00CF3893">
        <w:rPr>
          <w:spacing w:val="-3"/>
        </w:rPr>
        <w:t>individual or</w:t>
      </w:r>
      <w:r w:rsidR="006F2309">
        <w:rPr>
          <w:spacing w:val="-3"/>
        </w:rPr>
        <w:t xml:space="preserve"> day care home provider</w:t>
      </w:r>
      <w:r w:rsidR="00A15F58">
        <w:rPr>
          <w:spacing w:val="-3"/>
        </w:rPr>
        <w:t xml:space="preserve"> previously disqualified participate</w:t>
      </w:r>
      <w:r w:rsidR="000157D1">
        <w:rPr>
          <w:spacing w:val="-3"/>
        </w:rPr>
        <w:t>s</w:t>
      </w:r>
      <w:r w:rsidR="00A15F58">
        <w:rPr>
          <w:spacing w:val="-3"/>
        </w:rPr>
        <w:t xml:space="preserve"> in the Program</w:t>
      </w:r>
      <w:r w:rsidRPr="005A1FA8">
        <w:rPr>
          <w:spacing w:val="-3"/>
        </w:rPr>
        <w:t>.</w:t>
      </w:r>
      <w:r w:rsidR="00A15F58">
        <w:rPr>
          <w:spacing w:val="-3"/>
        </w:rPr>
        <w:t xml:space="preserve">  </w:t>
      </w:r>
      <w:r w:rsidR="00380A70">
        <w:rPr>
          <w:spacing w:val="-3"/>
        </w:rPr>
        <w:t>Submissions made in “real time” rather than monthly</w:t>
      </w:r>
      <w:r w:rsidR="000157D1">
        <w:rPr>
          <w:spacing w:val="-3"/>
        </w:rPr>
        <w:t xml:space="preserve"> or quarterly</w:t>
      </w:r>
      <w:r w:rsidR="00380A70">
        <w:rPr>
          <w:spacing w:val="-3"/>
        </w:rPr>
        <w:t xml:space="preserve"> ensure</w:t>
      </w:r>
      <w:r w:rsidR="00A15F58">
        <w:rPr>
          <w:spacing w:val="-3"/>
        </w:rPr>
        <w:t xml:space="preserve"> that the NDL </w:t>
      </w:r>
      <w:r w:rsidR="00544BF8">
        <w:rPr>
          <w:spacing w:val="-3"/>
        </w:rPr>
        <w:t>is current</w:t>
      </w:r>
      <w:r w:rsidR="00260195">
        <w:rPr>
          <w:spacing w:val="-3"/>
        </w:rPr>
        <w:t>.</w:t>
      </w:r>
    </w:p>
    <w:p w:rsidR="00BE197B" w:rsidRPr="00BE197B" w:rsidRDefault="00BE197B" w:rsidP="00BE197B">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w:t>
      </w:r>
      <w:r w:rsidR="007E4356">
        <w:rPr>
          <w:rFonts w:ascii="Times New Roman" w:hAnsi="Times New Roman"/>
          <w:b/>
        </w:rPr>
        <w:t xml:space="preserve"> prepare a writ</w:t>
      </w:r>
      <w:r w:rsidRPr="00BE197B">
        <w:rPr>
          <w:rFonts w:ascii="Times New Roman" w:hAnsi="Times New Roman"/>
          <w:b/>
        </w:rPr>
        <w:t>ten re</w:t>
      </w:r>
      <w:r w:rsidR="007E4356">
        <w:rPr>
          <w:rFonts w:ascii="Times New Roman" w:hAnsi="Times New Roman"/>
          <w:b/>
        </w:rPr>
        <w:t>sponse to a collection of infor</w:t>
      </w:r>
      <w:r w:rsidRPr="00BE197B">
        <w:rPr>
          <w:rFonts w:ascii="Times New Roman" w:hAnsi="Times New Roman"/>
          <w:b/>
        </w:rPr>
        <w:t>ma</w:t>
      </w:r>
      <w:r w:rsidRPr="00BE197B">
        <w:rPr>
          <w:rFonts w:ascii="Times New Roman" w:hAnsi="Times New Roman"/>
          <w:b/>
        </w:rPr>
        <w:softHyphen/>
        <w:t>tion in fewer than 30 days after receipt of it;</w:t>
      </w:r>
    </w:p>
    <w:p w:rsidR="00BE197B" w:rsidRPr="00BE197B" w:rsidRDefault="00BE197B" w:rsidP="00BE197B">
      <w:pPr>
        <w:widowControl/>
        <w:numPr>
          <w:ilvl w:val="0"/>
          <w:numId w:val="23"/>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lastRenderedPageBreak/>
        <w:t>requiring respondents to submit more than an orig</w:t>
      </w:r>
      <w:r w:rsidR="007E4356">
        <w:rPr>
          <w:rFonts w:ascii="Times New Roman" w:hAnsi="Times New Roman"/>
          <w:b/>
        </w:rPr>
        <w:t>inal and two copies of any docu</w:t>
      </w:r>
      <w:r w:rsidRPr="00BE197B">
        <w:rPr>
          <w:rFonts w:ascii="Times New Roman" w:hAnsi="Times New Roman"/>
          <w:b/>
        </w:rPr>
        <w:t>ment;</w:t>
      </w:r>
    </w:p>
    <w:p w:rsidR="00BE197B" w:rsidRPr="00BE197B" w:rsidRDefault="00BE197B" w:rsidP="00BE197B">
      <w:pPr>
        <w:widowControl/>
        <w:numPr>
          <w:ilvl w:val="0"/>
          <w:numId w:val="24"/>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w:t>
      </w:r>
      <w:r w:rsidR="007E4356">
        <w:rPr>
          <w:rFonts w:ascii="Times New Roman" w:hAnsi="Times New Roman"/>
          <w:b/>
        </w:rPr>
        <w:t>uiring respondents to retain re</w:t>
      </w:r>
      <w:r w:rsidRPr="00BE197B">
        <w:rPr>
          <w:rFonts w:ascii="Times New Roman" w:hAnsi="Times New Roman"/>
          <w:b/>
        </w:rPr>
        <w:t>cords, other than health, medical, governm</w:t>
      </w:r>
      <w:r w:rsidRPr="00BE197B">
        <w:rPr>
          <w:rFonts w:ascii="Times New Roman" w:hAnsi="Times New Roman"/>
          <w:b/>
        </w:rPr>
        <w:softHyphen/>
        <w:t>ent contract, grant-in-aid, or tax records for more than three years;</w:t>
      </w:r>
    </w:p>
    <w:p w:rsidR="00BE197B" w:rsidRPr="00BE197B" w:rsidRDefault="00BE197B" w:rsidP="00BE197B">
      <w:pPr>
        <w:widowControl/>
        <w:numPr>
          <w:ilvl w:val="0"/>
          <w:numId w:val="25"/>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in connection with a stati</w:t>
      </w:r>
      <w:r w:rsidR="007E4356">
        <w:rPr>
          <w:rFonts w:ascii="Times New Roman" w:hAnsi="Times New Roman"/>
          <w:b/>
        </w:rPr>
        <w:t>stical survey, that is not de</w:t>
      </w:r>
      <w:r w:rsidRPr="00BE197B">
        <w:rPr>
          <w:rFonts w:ascii="Times New Roman" w:hAnsi="Times New Roman"/>
          <w:b/>
        </w:rPr>
        <w:t>s</w:t>
      </w:r>
      <w:r w:rsidR="00E452A4">
        <w:rPr>
          <w:rFonts w:ascii="Times New Roman" w:hAnsi="Times New Roman"/>
          <w:b/>
        </w:rPr>
        <w:t>igned to produce valid and reli</w:t>
      </w:r>
      <w:r w:rsidRPr="00BE197B">
        <w:rPr>
          <w:rFonts w:ascii="Times New Roman" w:hAnsi="Times New Roman"/>
          <w:b/>
        </w:rPr>
        <w:t>a</w:t>
      </w:r>
      <w:r w:rsidR="007E4356">
        <w:rPr>
          <w:rFonts w:ascii="Times New Roman" w:hAnsi="Times New Roman"/>
          <w:b/>
        </w:rPr>
        <w:t>ble results that can be generalized to the uni</w:t>
      </w:r>
      <w:r w:rsidRPr="00BE197B">
        <w:rPr>
          <w:rFonts w:ascii="Times New Roman" w:hAnsi="Times New Roman"/>
          <w:b/>
        </w:rPr>
        <w:t>verse of study;</w:t>
      </w:r>
    </w:p>
    <w:p w:rsidR="00BE197B" w:rsidRPr="00BE197B" w:rsidRDefault="00BE197B" w:rsidP="00BE197B">
      <w:pPr>
        <w:widowControl/>
        <w:numPr>
          <w:ilvl w:val="0"/>
          <w:numId w:val="26"/>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the</w:t>
      </w:r>
      <w:r w:rsidR="007E4356">
        <w:rPr>
          <w:rFonts w:ascii="Times New Roman" w:hAnsi="Times New Roman"/>
          <w:b/>
        </w:rPr>
        <w:t xml:space="preserve"> use of a statis</w:t>
      </w:r>
      <w:r w:rsidRPr="00BE197B">
        <w:rPr>
          <w:rFonts w:ascii="Times New Roman" w:hAnsi="Times New Roman"/>
          <w:b/>
        </w:rPr>
        <w:t>tical data class</w:t>
      </w:r>
      <w:r w:rsidR="007E4356">
        <w:rPr>
          <w:rFonts w:ascii="Times New Roman" w:hAnsi="Times New Roman"/>
          <w:b/>
        </w:rPr>
        <w:t>ification that has not been revie</w:t>
      </w:r>
      <w:r w:rsidRPr="00BE197B">
        <w:rPr>
          <w:rFonts w:ascii="Times New Roman" w:hAnsi="Times New Roman"/>
          <w:b/>
        </w:rPr>
        <w:t>wed and approved by OMB;</w:t>
      </w:r>
    </w:p>
    <w:p w:rsidR="00BE197B" w:rsidRPr="00BE197B" w:rsidRDefault="00BE197B" w:rsidP="00BE197B">
      <w:pPr>
        <w:widowControl/>
        <w:numPr>
          <w:ilvl w:val="0"/>
          <w:numId w:val="27"/>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tha</w:t>
      </w:r>
      <w:r w:rsidR="007E4356">
        <w:rPr>
          <w:rFonts w:ascii="Times New Roman" w:hAnsi="Times New Roman"/>
          <w:b/>
        </w:rPr>
        <w:t>t includes a pledge of confidentiality that is not supported by au</w:t>
      </w:r>
      <w:r w:rsidRPr="00BE197B">
        <w:rPr>
          <w:rFonts w:ascii="Times New Roman" w:hAnsi="Times New Roman"/>
          <w:b/>
        </w:rPr>
        <w:t xml:space="preserve">thority </w:t>
      </w:r>
      <w:r w:rsidR="007E4356">
        <w:rPr>
          <w:rFonts w:ascii="Times New Roman" w:hAnsi="Times New Roman"/>
          <w:b/>
        </w:rPr>
        <w:t>estab</w:t>
      </w:r>
      <w:r w:rsidR="007E4356">
        <w:rPr>
          <w:rFonts w:ascii="Times New Roman" w:hAnsi="Times New Roman"/>
          <w:b/>
        </w:rPr>
        <w:softHyphen/>
        <w:t>lished in statute or regulation, that is not supported by dis</w:t>
      </w:r>
      <w:r w:rsidRPr="00BE197B">
        <w:rPr>
          <w:rFonts w:ascii="Times New Roman" w:hAnsi="Times New Roman"/>
          <w:b/>
        </w:rPr>
        <w:t>closure and data security policies that are consistent wi</w:t>
      </w:r>
      <w:r w:rsidR="007E4356">
        <w:rPr>
          <w:rFonts w:ascii="Times New Roman" w:hAnsi="Times New Roman"/>
          <w:b/>
        </w:rPr>
        <w:t>th the pledge, or which unnecessarily impedes shar</w:t>
      </w:r>
      <w:r w:rsidRPr="00BE197B">
        <w:rPr>
          <w:rFonts w:ascii="Times New Roman" w:hAnsi="Times New Roman"/>
          <w:b/>
        </w:rPr>
        <w:t>ing of d</w:t>
      </w:r>
      <w:r w:rsidR="007E4356">
        <w:rPr>
          <w:rFonts w:ascii="Times New Roman" w:hAnsi="Times New Roman"/>
          <w:b/>
        </w:rPr>
        <w:t>ata with other agencies for compatible confiden</w:t>
      </w:r>
      <w:r w:rsidRPr="00BE197B">
        <w:rPr>
          <w:rFonts w:ascii="Times New Roman" w:hAnsi="Times New Roman"/>
          <w:b/>
        </w:rPr>
        <w:t>tial use; or</w:t>
      </w:r>
    </w:p>
    <w:p w:rsidR="00BE197B" w:rsidRPr="00BE197B" w:rsidRDefault="00BE197B" w:rsidP="00BE197B">
      <w:pPr>
        <w:widowControl/>
        <w:numPr>
          <w:ilvl w:val="0"/>
          <w:numId w:val="28"/>
        </w:numPr>
        <w:tabs>
          <w:tab w:val="num" w:pos="648"/>
        </w:tabs>
        <w:overflowPunct/>
        <w:autoSpaceDE/>
        <w:autoSpaceDN/>
        <w:adjustRightInd/>
        <w:spacing w:after="80" w:line="480" w:lineRule="auto"/>
        <w:ind w:left="1170" w:hanging="450"/>
        <w:textAlignment w:val="auto"/>
        <w:rPr>
          <w:rFonts w:ascii="Times New Roman" w:hAnsi="Times New Roman"/>
        </w:rPr>
      </w:pPr>
      <w:r w:rsidRPr="00BE197B">
        <w:rPr>
          <w:rFonts w:ascii="Times New Roman" w:hAnsi="Times New Roman"/>
          <w:b/>
        </w:rPr>
        <w:t>requiri</w:t>
      </w:r>
      <w:r w:rsidR="00A15F58">
        <w:rPr>
          <w:rFonts w:ascii="Times New Roman" w:hAnsi="Times New Roman"/>
          <w:b/>
        </w:rPr>
        <w:t>ng respondents to submit propri</w:t>
      </w:r>
      <w:r w:rsidRPr="00BE197B">
        <w:rPr>
          <w:rFonts w:ascii="Times New Roman" w:hAnsi="Times New Roman"/>
          <w:b/>
        </w:rPr>
        <w:t>etary trade secret, or other confidential informat</w:t>
      </w:r>
      <w:r w:rsidR="00A15F58">
        <w:rPr>
          <w:rFonts w:ascii="Times New Roman" w:hAnsi="Times New Roman"/>
          <w:b/>
        </w:rPr>
        <w:t>ion unless the agency can demon</w:t>
      </w:r>
      <w:r w:rsidRPr="00BE197B">
        <w:rPr>
          <w:rFonts w:ascii="Times New Roman" w:hAnsi="Times New Roman"/>
          <w:b/>
        </w:rPr>
        <w:t>strate that it has instituted procedures to protect the information's confi</w:t>
      </w:r>
      <w:r w:rsidR="00A15F58">
        <w:rPr>
          <w:rFonts w:ascii="Times New Roman" w:hAnsi="Times New Roman"/>
          <w:b/>
        </w:rPr>
        <w:t>dentiality to the extent permit</w:t>
      </w:r>
      <w:r w:rsidRPr="00BE197B">
        <w:rPr>
          <w:rFonts w:ascii="Times New Roman" w:hAnsi="Times New Roman"/>
          <w:b/>
        </w:rPr>
        <w:t>ted by law.</w:t>
      </w:r>
    </w:p>
    <w:p w:rsidR="00BE197B" w:rsidRDefault="00BE197B" w:rsidP="00BE197B">
      <w:pPr>
        <w:pStyle w:val="p7"/>
        <w:ind w:left="540" w:hanging="540"/>
        <w:jc w:val="left"/>
      </w:pPr>
    </w:p>
    <w:p w:rsidR="00BE197B" w:rsidRDefault="00BE197B" w:rsidP="00A10632">
      <w:pPr>
        <w:pStyle w:val="p8"/>
        <w:spacing w:line="480" w:lineRule="auto"/>
        <w:ind w:left="720"/>
        <w:jc w:val="left"/>
      </w:pPr>
      <w:r w:rsidRPr="00053E82">
        <w:t>There are no other special circumstances.  The collection of information is conducted in a manner consistent with the guidelines in 5 CFR 1320.5.</w:t>
      </w:r>
    </w:p>
    <w:p w:rsidR="00AE6CC0" w:rsidRPr="00257806" w:rsidRDefault="00AE6CC0" w:rsidP="00A10632">
      <w:pPr>
        <w:pStyle w:val="p8"/>
        <w:spacing w:line="480" w:lineRule="auto"/>
        <w:ind w:left="720"/>
        <w:jc w:val="left"/>
      </w:pPr>
    </w:p>
    <w:p w:rsidR="00BE197B" w:rsidRPr="00F15500" w:rsidRDefault="005C5F37" w:rsidP="00F15500">
      <w:pPr>
        <w:pStyle w:val="Heading1"/>
        <w:tabs>
          <w:tab w:val="clear" w:pos="0"/>
          <w:tab w:val="left" w:pos="720"/>
        </w:tabs>
        <w:ind w:left="720" w:hanging="720"/>
        <w:rPr>
          <w:b/>
          <w:u w:val="none"/>
        </w:rPr>
      </w:pPr>
      <w:bookmarkStart w:id="15" w:name="_Toc456365122"/>
      <w:r w:rsidRPr="00F15500">
        <w:rPr>
          <w:rFonts w:ascii="Times New Roman" w:hAnsi="Times New Roman"/>
          <w:b/>
          <w:szCs w:val="24"/>
          <w:u w:val="none"/>
        </w:rPr>
        <w:t>8.</w:t>
      </w:r>
      <w:r w:rsidRPr="00F15500">
        <w:rPr>
          <w:rFonts w:ascii="Times New Roman" w:hAnsi="Times New Roman"/>
          <w:b/>
          <w:szCs w:val="24"/>
          <w:u w:val="none"/>
        </w:rPr>
        <w:tab/>
      </w:r>
      <w:r w:rsidR="00BE197B" w:rsidRPr="00F15500">
        <w:rPr>
          <w:rFonts w:ascii="Times New Roman" w:hAnsi="Times New Roman"/>
          <w:b/>
          <w:u w:val="none"/>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w:t>
      </w:r>
      <w:r w:rsidR="00BE197B" w:rsidRPr="00F15500">
        <w:rPr>
          <w:rFonts w:ascii="Times New Roman" w:hAnsi="Times New Roman"/>
          <w:b/>
          <w:u w:val="none"/>
        </w:rPr>
        <w:lastRenderedPageBreak/>
        <w:t>comments.</w:t>
      </w:r>
      <w:bookmarkEnd w:id="15"/>
    </w:p>
    <w:p w:rsidR="00C9323A" w:rsidRDefault="00C9323A" w:rsidP="00C9323A">
      <w:pPr>
        <w:tabs>
          <w:tab w:val="left" w:pos="-720"/>
        </w:tabs>
        <w:suppressAutoHyphens/>
        <w:spacing w:line="480" w:lineRule="auto"/>
        <w:ind w:left="540"/>
        <w:rPr>
          <w:rFonts w:ascii="Times New Roman" w:hAnsi="Times New Roman"/>
          <w:spacing w:val="-3"/>
          <w:szCs w:val="24"/>
        </w:rPr>
      </w:pPr>
    </w:p>
    <w:p w:rsidR="000D0FB1" w:rsidRDefault="000D0FB1" w:rsidP="00F15500">
      <w:pPr>
        <w:tabs>
          <w:tab w:val="left" w:pos="-720"/>
        </w:tabs>
        <w:suppressAutoHyphens/>
        <w:spacing w:line="480" w:lineRule="auto"/>
        <w:ind w:left="720"/>
        <w:rPr>
          <w:rFonts w:ascii="Times New Roman" w:hAnsi="Times New Roman"/>
        </w:rPr>
      </w:pPr>
      <w:r w:rsidRPr="000D0FB1">
        <w:rPr>
          <w:rFonts w:ascii="Times New Roman" w:hAnsi="Times New Roman"/>
          <w:spacing w:val="-3"/>
          <w:szCs w:val="24"/>
        </w:rPr>
        <w:t xml:space="preserve">A notice </w:t>
      </w:r>
      <w:r>
        <w:rPr>
          <w:rFonts w:ascii="Times New Roman" w:hAnsi="Times New Roman"/>
          <w:spacing w:val="-3"/>
          <w:szCs w:val="24"/>
        </w:rPr>
        <w:t xml:space="preserve">was published in the Federal Register on </w:t>
      </w:r>
      <w:r w:rsidR="00F15500">
        <w:rPr>
          <w:rFonts w:ascii="Times New Roman" w:hAnsi="Times New Roman"/>
          <w:spacing w:val="-3"/>
          <w:szCs w:val="24"/>
        </w:rPr>
        <w:t>April 6</w:t>
      </w:r>
      <w:r w:rsidR="006B67DB">
        <w:rPr>
          <w:rFonts w:ascii="Times New Roman" w:hAnsi="Times New Roman"/>
          <w:spacing w:val="-3"/>
          <w:szCs w:val="24"/>
        </w:rPr>
        <w:t xml:space="preserve">, 2016, Volume </w:t>
      </w:r>
      <w:r w:rsidR="00F15500">
        <w:rPr>
          <w:rFonts w:ascii="Times New Roman" w:hAnsi="Times New Roman"/>
          <w:spacing w:val="-3"/>
          <w:szCs w:val="24"/>
        </w:rPr>
        <w:t>81</w:t>
      </w:r>
      <w:r>
        <w:rPr>
          <w:rFonts w:ascii="Times New Roman" w:hAnsi="Times New Roman"/>
          <w:spacing w:val="-3"/>
          <w:szCs w:val="24"/>
        </w:rPr>
        <w:t xml:space="preserve">, </w:t>
      </w:r>
      <w:proofErr w:type="gramStart"/>
      <w:r>
        <w:rPr>
          <w:rFonts w:ascii="Times New Roman" w:hAnsi="Times New Roman"/>
          <w:spacing w:val="-3"/>
          <w:szCs w:val="24"/>
        </w:rPr>
        <w:t>No</w:t>
      </w:r>
      <w:proofErr w:type="gramEnd"/>
      <w:r>
        <w:rPr>
          <w:rFonts w:ascii="Times New Roman" w:hAnsi="Times New Roman"/>
          <w:spacing w:val="-3"/>
          <w:szCs w:val="24"/>
        </w:rPr>
        <w:t>.</w:t>
      </w:r>
      <w:r w:rsidR="00F15500">
        <w:rPr>
          <w:rFonts w:ascii="Times New Roman" w:hAnsi="Times New Roman"/>
          <w:spacing w:val="-3"/>
          <w:szCs w:val="24"/>
        </w:rPr>
        <w:t xml:space="preserve"> 66</w:t>
      </w:r>
      <w:r>
        <w:rPr>
          <w:rFonts w:ascii="Times New Roman" w:hAnsi="Times New Roman"/>
          <w:spacing w:val="-3"/>
          <w:szCs w:val="24"/>
        </w:rPr>
        <w:t xml:space="preserve"> on pages</w:t>
      </w:r>
      <w:r w:rsidR="00F15500">
        <w:rPr>
          <w:rFonts w:ascii="Times New Roman" w:hAnsi="Times New Roman"/>
          <w:spacing w:val="-3"/>
          <w:szCs w:val="24"/>
        </w:rPr>
        <w:t xml:space="preserve"> 19953-19954</w:t>
      </w:r>
      <w:r>
        <w:rPr>
          <w:rFonts w:ascii="Times New Roman" w:hAnsi="Times New Roman"/>
          <w:spacing w:val="-3"/>
          <w:szCs w:val="24"/>
        </w:rPr>
        <w:t>.</w:t>
      </w:r>
      <w:r w:rsidR="00793BE0">
        <w:rPr>
          <w:rFonts w:ascii="Times New Roman" w:hAnsi="Times New Roman"/>
          <w:spacing w:val="-3"/>
          <w:szCs w:val="24"/>
        </w:rPr>
        <w:t xml:space="preserve">  </w:t>
      </w:r>
      <w:r w:rsidR="00075BAE">
        <w:rPr>
          <w:rFonts w:ascii="Times New Roman" w:hAnsi="Times New Roman"/>
          <w:spacing w:val="-3"/>
          <w:szCs w:val="24"/>
        </w:rPr>
        <w:t>The comment period close</w:t>
      </w:r>
      <w:r w:rsidR="00A10632">
        <w:rPr>
          <w:rFonts w:ascii="Times New Roman" w:hAnsi="Times New Roman"/>
          <w:spacing w:val="-3"/>
          <w:szCs w:val="24"/>
        </w:rPr>
        <w:t>d</w:t>
      </w:r>
      <w:r w:rsidR="006B67DB">
        <w:rPr>
          <w:rFonts w:ascii="Times New Roman" w:hAnsi="Times New Roman"/>
          <w:spacing w:val="-3"/>
          <w:szCs w:val="24"/>
        </w:rPr>
        <w:t xml:space="preserve"> on </w:t>
      </w:r>
      <w:r w:rsidR="00F15500">
        <w:rPr>
          <w:rFonts w:ascii="Times New Roman" w:hAnsi="Times New Roman"/>
          <w:spacing w:val="-3"/>
          <w:szCs w:val="24"/>
        </w:rPr>
        <w:t>June 6</w:t>
      </w:r>
      <w:r w:rsidR="00075BAE">
        <w:rPr>
          <w:rFonts w:ascii="Times New Roman" w:hAnsi="Times New Roman"/>
          <w:spacing w:val="-3"/>
          <w:szCs w:val="24"/>
        </w:rPr>
        <w:t>, 201</w:t>
      </w:r>
      <w:r w:rsidR="006B67DB">
        <w:rPr>
          <w:rFonts w:ascii="Times New Roman" w:hAnsi="Times New Roman"/>
          <w:spacing w:val="-3"/>
          <w:szCs w:val="24"/>
        </w:rPr>
        <w:t>6</w:t>
      </w:r>
      <w:r w:rsidR="00AE7826" w:rsidRPr="00230A91">
        <w:rPr>
          <w:rFonts w:ascii="Times New Roman" w:hAnsi="Times New Roman"/>
          <w:szCs w:val="24"/>
        </w:rPr>
        <w:t>.</w:t>
      </w:r>
      <w:r w:rsidR="006B67DB">
        <w:rPr>
          <w:rFonts w:ascii="Times New Roman" w:hAnsi="Times New Roman"/>
          <w:szCs w:val="24"/>
        </w:rPr>
        <w:t xml:space="preserve">  </w:t>
      </w:r>
      <w:r w:rsidR="00F15500">
        <w:rPr>
          <w:rFonts w:ascii="Times New Roman" w:hAnsi="Times New Roman"/>
          <w:szCs w:val="24"/>
        </w:rPr>
        <w:t>No public</w:t>
      </w:r>
      <w:r w:rsidR="00484800">
        <w:rPr>
          <w:rFonts w:ascii="Times New Roman" w:hAnsi="Times New Roman"/>
          <w:szCs w:val="24"/>
        </w:rPr>
        <w:t xml:space="preserve"> comments were </w:t>
      </w:r>
      <w:r w:rsidR="00484800" w:rsidRPr="00CE5027">
        <w:rPr>
          <w:rFonts w:ascii="Times New Roman" w:hAnsi="Times New Roman"/>
          <w:szCs w:val="24"/>
        </w:rPr>
        <w:t>received</w:t>
      </w:r>
      <w:r w:rsidR="00AD3F5D">
        <w:rPr>
          <w:rFonts w:ascii="Times New Roman" w:hAnsi="Times New Roman"/>
          <w:szCs w:val="24"/>
        </w:rPr>
        <w:t xml:space="preserve"> in response to the Agency’s notice</w:t>
      </w:r>
      <w:r w:rsidR="00CE5027">
        <w:rPr>
          <w:rFonts w:ascii="Times New Roman" w:hAnsi="Times New Roman"/>
        </w:rPr>
        <w:t xml:space="preserve">.  </w:t>
      </w:r>
    </w:p>
    <w:p w:rsidR="00C9323A" w:rsidRDefault="00C9323A" w:rsidP="00C9323A">
      <w:pPr>
        <w:tabs>
          <w:tab w:val="left" w:pos="-720"/>
        </w:tabs>
        <w:suppressAutoHyphens/>
        <w:spacing w:line="480" w:lineRule="auto"/>
        <w:ind w:left="540"/>
        <w:rPr>
          <w:rFonts w:ascii="Times New Roman" w:hAnsi="Times New Roman"/>
          <w:spacing w:val="-3"/>
          <w:szCs w:val="24"/>
        </w:rPr>
      </w:pPr>
    </w:p>
    <w:p w:rsidR="00BE197B" w:rsidRPr="00942B5F" w:rsidRDefault="00BE197B" w:rsidP="00BE197B">
      <w:pPr>
        <w:pStyle w:val="BodyTextIndent2"/>
        <w:numPr>
          <w:ilvl w:val="0"/>
          <w:numId w:val="28"/>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rPr>
          <w:b/>
        </w:rPr>
        <w:t xml:space="preserve">the clarity of instructions and recordkeeping, disclosure, or reporting form, and on the data elements to be recorded, disclosed, or reported. </w:t>
      </w:r>
    </w:p>
    <w:p w:rsidR="00C9323A" w:rsidRDefault="00C9323A" w:rsidP="00BE197B">
      <w:pPr>
        <w:tabs>
          <w:tab w:val="left" w:pos="-720"/>
        </w:tabs>
        <w:suppressAutoHyphens/>
        <w:spacing w:line="480" w:lineRule="auto"/>
        <w:ind w:left="720"/>
        <w:rPr>
          <w:rFonts w:ascii="Times New Roman" w:hAnsi="Times New Roman"/>
          <w:spacing w:val="-3"/>
          <w:szCs w:val="24"/>
        </w:rPr>
      </w:pPr>
    </w:p>
    <w:p w:rsidR="00BE197B" w:rsidRDefault="005C5F37" w:rsidP="00BE197B">
      <w:pPr>
        <w:tabs>
          <w:tab w:val="left" w:pos="-720"/>
        </w:tabs>
        <w:suppressAutoHyphens/>
        <w:spacing w:line="480" w:lineRule="auto"/>
        <w:ind w:left="720"/>
        <w:rPr>
          <w:rFonts w:ascii="Times New Roman" w:hAnsi="Times New Roman"/>
          <w:spacing w:val="-3"/>
          <w:szCs w:val="24"/>
        </w:rPr>
      </w:pPr>
      <w:r w:rsidRPr="00DB087C">
        <w:rPr>
          <w:rFonts w:ascii="Times New Roman" w:hAnsi="Times New Roman"/>
          <w:spacing w:val="-3"/>
          <w:szCs w:val="24"/>
        </w:rPr>
        <w:t xml:space="preserve">FNS </w:t>
      </w:r>
      <w:r>
        <w:rPr>
          <w:rFonts w:ascii="Times New Roman" w:hAnsi="Times New Roman"/>
          <w:spacing w:val="-3"/>
          <w:szCs w:val="24"/>
        </w:rPr>
        <w:t xml:space="preserve">consults with Regional </w:t>
      </w:r>
      <w:r w:rsidR="00A10632">
        <w:rPr>
          <w:rFonts w:ascii="Times New Roman" w:hAnsi="Times New Roman"/>
          <w:spacing w:val="-3"/>
          <w:szCs w:val="24"/>
        </w:rPr>
        <w:t>o</w:t>
      </w:r>
      <w:r>
        <w:rPr>
          <w:rFonts w:ascii="Times New Roman" w:hAnsi="Times New Roman"/>
          <w:spacing w:val="-3"/>
          <w:szCs w:val="24"/>
        </w:rPr>
        <w:t xml:space="preserve">ffices regarding any proposed changes as the result of </w:t>
      </w:r>
      <w:r w:rsidR="00BE197B">
        <w:rPr>
          <w:rFonts w:ascii="Times New Roman" w:hAnsi="Times New Roman"/>
          <w:spacing w:val="-3"/>
          <w:szCs w:val="24"/>
        </w:rPr>
        <w:t xml:space="preserve"> </w:t>
      </w:r>
    </w:p>
    <w:p w:rsidR="005C5F37" w:rsidRDefault="005C5F37" w:rsidP="00A10632">
      <w:pPr>
        <w:tabs>
          <w:tab w:val="left" w:pos="-720"/>
        </w:tabs>
        <w:suppressAutoHyphens/>
        <w:spacing w:line="480" w:lineRule="auto"/>
        <w:ind w:left="720"/>
        <w:rPr>
          <w:rFonts w:ascii="Times New Roman" w:hAnsi="Times New Roman"/>
          <w:spacing w:val="-3"/>
        </w:rPr>
      </w:pPr>
      <w:proofErr w:type="gramStart"/>
      <w:r w:rsidRPr="001A4282">
        <w:rPr>
          <w:rFonts w:ascii="Times New Roman" w:hAnsi="Times New Roman"/>
          <w:spacing w:val="-3"/>
        </w:rPr>
        <w:t>legislative</w:t>
      </w:r>
      <w:proofErr w:type="gramEnd"/>
      <w:r w:rsidRPr="001A4282">
        <w:rPr>
          <w:rFonts w:ascii="Times New Roman" w:hAnsi="Times New Roman"/>
          <w:spacing w:val="-3"/>
        </w:rPr>
        <w:t>, regulat</w:t>
      </w:r>
      <w:r w:rsidR="00A10632" w:rsidRPr="001A4282">
        <w:rPr>
          <w:rFonts w:ascii="Times New Roman" w:hAnsi="Times New Roman"/>
          <w:spacing w:val="-3"/>
        </w:rPr>
        <w:t xml:space="preserve">ory or administrative changes.  Regional offices are in contact with State agencies, which provide feedback on FNS processes and procedures for this information collection.  </w:t>
      </w:r>
    </w:p>
    <w:p w:rsidR="001A4282" w:rsidRPr="001A4282" w:rsidRDefault="001A4282" w:rsidP="00A10632">
      <w:pPr>
        <w:tabs>
          <w:tab w:val="left" w:pos="-720"/>
        </w:tabs>
        <w:suppressAutoHyphens/>
        <w:spacing w:line="480" w:lineRule="auto"/>
        <w:ind w:left="720"/>
        <w:rPr>
          <w:rFonts w:ascii="Times New Roman" w:hAnsi="Times New Roman"/>
          <w:spacing w:val="-3"/>
          <w:szCs w:val="24"/>
        </w:rPr>
      </w:pPr>
    </w:p>
    <w:p w:rsidR="009B7FD4" w:rsidRPr="00942B5F" w:rsidRDefault="005C5F37" w:rsidP="00117534">
      <w:pPr>
        <w:pStyle w:val="p10"/>
        <w:spacing w:line="480" w:lineRule="auto"/>
        <w:ind w:left="540" w:hanging="450"/>
        <w:jc w:val="left"/>
        <w:outlineLvl w:val="0"/>
        <w:rPr>
          <w:b/>
          <w:color w:val="000000"/>
        </w:rPr>
      </w:pPr>
      <w:bookmarkStart w:id="16" w:name="_Toc456365123"/>
      <w:r w:rsidRPr="00DB087C">
        <w:rPr>
          <w:b/>
          <w:spacing w:val="-3"/>
        </w:rPr>
        <w:t>9.</w:t>
      </w:r>
      <w:r w:rsidRPr="00DB087C">
        <w:rPr>
          <w:b/>
          <w:spacing w:val="-3"/>
        </w:rPr>
        <w:tab/>
      </w:r>
      <w:r w:rsidR="009B7FD4" w:rsidRPr="00942B5F">
        <w:rPr>
          <w:b/>
        </w:rPr>
        <w:t>Explain any decision to provide any payment or gift to respondents, other than remuneration of contractors or grantees.</w:t>
      </w:r>
      <w:bookmarkEnd w:id="16"/>
    </w:p>
    <w:p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br/>
      </w:r>
      <w:r w:rsidR="00260195">
        <w:rPr>
          <w:rFonts w:ascii="Times New Roman" w:hAnsi="Times New Roman"/>
          <w:spacing w:val="-3"/>
          <w:szCs w:val="24"/>
        </w:rPr>
        <w:t xml:space="preserve">         </w:t>
      </w:r>
      <w:bookmarkStart w:id="17" w:name="_Toc456364841"/>
      <w:bookmarkStart w:id="18" w:name="_Toc456365124"/>
      <w:r w:rsidR="005C5F37" w:rsidRPr="00DB087C">
        <w:rPr>
          <w:rFonts w:ascii="Times New Roman" w:hAnsi="Times New Roman"/>
          <w:spacing w:val="-3"/>
          <w:szCs w:val="24"/>
        </w:rPr>
        <w:t xml:space="preserve">No payment or gift </w:t>
      </w:r>
      <w:r w:rsidR="00DE0D99">
        <w:rPr>
          <w:rFonts w:ascii="Times New Roman" w:hAnsi="Times New Roman"/>
          <w:spacing w:val="-3"/>
          <w:szCs w:val="24"/>
        </w:rPr>
        <w:t>will be</w:t>
      </w:r>
      <w:r w:rsidR="00DE0D99" w:rsidRPr="00DB087C">
        <w:rPr>
          <w:rFonts w:ascii="Times New Roman" w:hAnsi="Times New Roman"/>
          <w:spacing w:val="-3"/>
          <w:szCs w:val="24"/>
        </w:rPr>
        <w:t xml:space="preserve"> </w:t>
      </w:r>
      <w:r w:rsidR="005C5F37" w:rsidRPr="00DB087C">
        <w:rPr>
          <w:rFonts w:ascii="Times New Roman" w:hAnsi="Times New Roman"/>
          <w:spacing w:val="-3"/>
          <w:szCs w:val="24"/>
        </w:rPr>
        <w:t>provided to respondents.</w:t>
      </w:r>
      <w:bookmarkEnd w:id="17"/>
      <w:bookmarkEnd w:id="18"/>
    </w:p>
    <w:p w:rsidR="005C5F37" w:rsidRDefault="005C5F37" w:rsidP="00C479DB">
      <w:pPr>
        <w:tabs>
          <w:tab w:val="left" w:pos="-720"/>
        </w:tabs>
        <w:suppressAutoHyphens/>
        <w:spacing w:line="480" w:lineRule="auto"/>
        <w:rPr>
          <w:rFonts w:ascii="Times New Roman" w:hAnsi="Times New Roman"/>
          <w:spacing w:val="-3"/>
          <w:szCs w:val="24"/>
        </w:rPr>
      </w:pPr>
    </w:p>
    <w:p w:rsidR="009B7FD4" w:rsidRPr="009B7FD4" w:rsidRDefault="009B7FD4" w:rsidP="00117534">
      <w:pPr>
        <w:pStyle w:val="ListParagraph"/>
        <w:widowControl/>
        <w:numPr>
          <w:ilvl w:val="0"/>
          <w:numId w:val="30"/>
        </w:numPr>
        <w:tabs>
          <w:tab w:val="num" w:pos="0"/>
        </w:tabs>
        <w:autoSpaceDE/>
        <w:autoSpaceDN/>
        <w:adjustRightInd/>
        <w:spacing w:line="480" w:lineRule="auto"/>
        <w:ind w:left="540" w:hanging="522"/>
        <w:outlineLvl w:val="0"/>
        <w:rPr>
          <w:b/>
        </w:rPr>
      </w:pPr>
      <w:bookmarkStart w:id="19" w:name="_Toc456365125"/>
      <w:r w:rsidRPr="009B7FD4">
        <w:rPr>
          <w:b/>
        </w:rPr>
        <w:lastRenderedPageBreak/>
        <w:t>Describe any assurance of confidentiality provided to respondents and the basis for          the assurance in statute, regulation, or agency policy.</w:t>
      </w:r>
      <w:bookmarkEnd w:id="19"/>
    </w:p>
    <w:p w:rsidR="005C5F37" w:rsidRPr="00DB087C" w:rsidRDefault="005C5F37" w:rsidP="00C479DB">
      <w:pPr>
        <w:tabs>
          <w:tab w:val="left" w:pos="-720"/>
        </w:tabs>
        <w:suppressAutoHyphens/>
        <w:spacing w:line="480" w:lineRule="auto"/>
        <w:ind w:left="360"/>
        <w:rPr>
          <w:rFonts w:ascii="Times New Roman" w:hAnsi="Times New Roman"/>
          <w:spacing w:val="-3"/>
          <w:szCs w:val="24"/>
        </w:rPr>
      </w:pPr>
    </w:p>
    <w:p w:rsidR="002726E7" w:rsidRDefault="00DE0D99" w:rsidP="006C75DB">
      <w:pPr>
        <w:suppressAutoHyphens/>
        <w:spacing w:line="480" w:lineRule="auto"/>
        <w:ind w:left="540"/>
        <w:rPr>
          <w:rFonts w:ascii="Times New Roman" w:hAnsi="Times New Roman"/>
          <w:spacing w:val="-3"/>
        </w:rPr>
      </w:pPr>
      <w:r w:rsidRPr="00DE0D99">
        <w:rPr>
          <w:rFonts w:ascii="Times New Roman" w:hAnsi="Times New Roman"/>
          <w:spacing w:val="-3"/>
        </w:rPr>
        <w:t xml:space="preserve">The Department complies with the Privacy Act of 1974.  </w:t>
      </w:r>
      <w:r w:rsidR="006008A7">
        <w:rPr>
          <w:rFonts w:ascii="Times New Roman" w:hAnsi="Times New Roman"/>
          <w:spacing w:val="-3"/>
        </w:rPr>
        <w:t>E-authentication</w:t>
      </w:r>
      <w:r w:rsidR="00F5092B">
        <w:rPr>
          <w:rFonts w:ascii="Times New Roman" w:hAnsi="Times New Roman"/>
          <w:spacing w:val="-3"/>
        </w:rPr>
        <w:t xml:space="preserve"> 2 clearance is required prior to granting access to the NDL. </w:t>
      </w:r>
      <w:r w:rsidR="00544BF8">
        <w:rPr>
          <w:rFonts w:ascii="Times New Roman" w:hAnsi="Times New Roman"/>
          <w:spacing w:val="-3"/>
        </w:rPr>
        <w:t xml:space="preserve"> Data/Information/entries</w:t>
      </w:r>
      <w:r w:rsidR="00F5092B">
        <w:rPr>
          <w:rFonts w:ascii="Times New Roman" w:hAnsi="Times New Roman"/>
          <w:spacing w:val="-3"/>
        </w:rPr>
        <w:t xml:space="preserve"> are st</w:t>
      </w:r>
      <w:r w:rsidR="006008A7">
        <w:rPr>
          <w:rFonts w:ascii="Times New Roman" w:hAnsi="Times New Roman"/>
          <w:spacing w:val="-3"/>
        </w:rPr>
        <w:t xml:space="preserve">ripped of </w:t>
      </w:r>
      <w:r w:rsidR="00A10632">
        <w:rPr>
          <w:rFonts w:ascii="Times New Roman" w:hAnsi="Times New Roman"/>
          <w:spacing w:val="-3"/>
        </w:rPr>
        <w:t xml:space="preserve">Personally Identifiable Information </w:t>
      </w:r>
      <w:r w:rsidR="006008A7">
        <w:rPr>
          <w:rFonts w:ascii="Times New Roman" w:hAnsi="Times New Roman"/>
          <w:spacing w:val="-3"/>
        </w:rPr>
        <w:t xml:space="preserve">data prior to </w:t>
      </w:r>
      <w:r w:rsidR="00A10632">
        <w:rPr>
          <w:rFonts w:ascii="Times New Roman" w:hAnsi="Times New Roman"/>
          <w:spacing w:val="-3"/>
        </w:rPr>
        <w:t xml:space="preserve">sponsoring organizations </w:t>
      </w:r>
      <w:r w:rsidR="00F5092B">
        <w:rPr>
          <w:rFonts w:ascii="Times New Roman" w:hAnsi="Times New Roman"/>
          <w:spacing w:val="-3"/>
        </w:rPr>
        <w:t>viewing the data.</w:t>
      </w:r>
      <w:r w:rsidR="002726E7">
        <w:rPr>
          <w:rFonts w:ascii="Times New Roman" w:hAnsi="Times New Roman"/>
          <w:spacing w:val="-3"/>
        </w:rPr>
        <w:t xml:space="preserve">  Access to the records is limited </w:t>
      </w:r>
      <w:r w:rsidR="0041644B">
        <w:rPr>
          <w:rFonts w:ascii="Times New Roman" w:hAnsi="Times New Roman"/>
          <w:spacing w:val="-3"/>
        </w:rPr>
        <w:t xml:space="preserve">to those individuals who process the applications.  Files are kept in physically secured rooms and in locked cabinets, while access to the electronic files is restricted to those who have authorized access to the network and have the necessary password to access the </w:t>
      </w:r>
      <w:r w:rsidR="00CC4E9B">
        <w:rPr>
          <w:rFonts w:ascii="Times New Roman" w:hAnsi="Times New Roman"/>
          <w:spacing w:val="-3"/>
        </w:rPr>
        <w:t>information.</w:t>
      </w:r>
    </w:p>
    <w:p w:rsidR="002726E7" w:rsidRDefault="002726E7" w:rsidP="002D28A7">
      <w:pPr>
        <w:suppressAutoHyphens/>
        <w:spacing w:line="480" w:lineRule="auto"/>
        <w:ind w:left="540" w:right="720"/>
        <w:rPr>
          <w:rFonts w:ascii="Times New Roman" w:hAnsi="Times New Roman"/>
          <w:spacing w:val="-3"/>
        </w:rPr>
      </w:pPr>
    </w:p>
    <w:p w:rsidR="005C5F37" w:rsidRPr="008C701D" w:rsidRDefault="002726E7" w:rsidP="009146EE">
      <w:pPr>
        <w:suppressAutoHyphens/>
        <w:spacing w:line="480" w:lineRule="auto"/>
        <w:ind w:left="540"/>
        <w:rPr>
          <w:rFonts w:ascii="Times New Roman" w:hAnsi="Times New Roman"/>
          <w:spacing w:val="-3"/>
          <w:szCs w:val="24"/>
        </w:rPr>
      </w:pPr>
      <w:r>
        <w:rPr>
          <w:rFonts w:ascii="Times New Roman" w:hAnsi="Times New Roman"/>
          <w:spacing w:val="-3"/>
        </w:rPr>
        <w:t>The SORN for this system, which is USDA/FNS-11:  Information on Persons Identified as Responsible for Serious Deficiencies, Proposed for Disqualification, or Disqualified to Participate as Principals or Family Day Care Home Operators in the Child and Adult Care Food Program (CACFP), states that FNS will disclose information from this system of records on individuals who have been disqualified from participation in the CACFP to every agency, whether State or FNS that administers the CACFP directly in the States or at the Federal level, and to every sponsoring organization participating in the program.  The information will be available to the State agency directors and staff members, who make decisions about application approval or termination from participation in the program or, in the case of sponsoring organizations, make hiring decisions or submit applications for approval of family day care home operators to the State agency.</w:t>
      </w:r>
      <w:r w:rsidR="002D28A7">
        <w:rPr>
          <w:rFonts w:ascii="Times New Roman" w:hAnsi="Times New Roman"/>
          <w:spacing w:val="-3"/>
        </w:rPr>
        <w:br/>
      </w:r>
    </w:p>
    <w:p w:rsidR="009B7FD4" w:rsidRPr="00942B5F" w:rsidRDefault="009B7FD4" w:rsidP="00117534">
      <w:pPr>
        <w:pStyle w:val="ListParagraph"/>
        <w:numPr>
          <w:ilvl w:val="0"/>
          <w:numId w:val="30"/>
        </w:numPr>
        <w:spacing w:line="480" w:lineRule="auto"/>
        <w:ind w:left="540" w:hanging="540"/>
        <w:outlineLvl w:val="0"/>
        <w:rPr>
          <w:b/>
        </w:rPr>
      </w:pPr>
      <w:bookmarkStart w:id="20" w:name="_Toc456365126"/>
      <w:r w:rsidRPr="00942B5F">
        <w:rPr>
          <w:b/>
          <w:color w:val="000000"/>
        </w:rPr>
        <w:t>Provide additional justification for any questions of a sensitive nature</w:t>
      </w:r>
      <w:r w:rsidRPr="00942B5F">
        <w:rPr>
          <w:color w:val="000000"/>
        </w:rPr>
        <w:t xml:space="preserve">, </w:t>
      </w:r>
      <w:r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0"/>
    </w:p>
    <w:p w:rsidR="005C5F37" w:rsidRDefault="005C5F37" w:rsidP="00C479DB">
      <w:pPr>
        <w:tabs>
          <w:tab w:val="left" w:pos="-720"/>
        </w:tabs>
        <w:suppressAutoHyphens/>
        <w:spacing w:line="480" w:lineRule="auto"/>
        <w:outlineLvl w:val="0"/>
        <w:rPr>
          <w:rFonts w:ascii="Times New Roman" w:hAnsi="Times New Roman"/>
          <w:spacing w:val="-3"/>
          <w:szCs w:val="24"/>
        </w:rPr>
      </w:pPr>
    </w:p>
    <w:p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bookmarkStart w:id="21" w:name="_Toc456364842"/>
      <w:bookmarkStart w:id="22" w:name="_Toc456365127"/>
      <w:r w:rsidR="005C5F37" w:rsidRPr="00DB087C">
        <w:rPr>
          <w:rFonts w:ascii="Times New Roman" w:hAnsi="Times New Roman"/>
          <w:spacing w:val="-3"/>
          <w:szCs w:val="24"/>
        </w:rPr>
        <w:t xml:space="preserve">There are no questions of a sensitive nature included in this </w:t>
      </w:r>
      <w:r w:rsidR="005C5F37">
        <w:rPr>
          <w:rFonts w:ascii="Times New Roman" w:hAnsi="Times New Roman"/>
          <w:spacing w:val="-3"/>
          <w:szCs w:val="24"/>
        </w:rPr>
        <w:t>data collection</w:t>
      </w:r>
      <w:r w:rsidR="005C5F37" w:rsidRPr="00DB087C">
        <w:rPr>
          <w:rFonts w:ascii="Times New Roman" w:hAnsi="Times New Roman"/>
          <w:spacing w:val="-3"/>
          <w:szCs w:val="24"/>
        </w:rPr>
        <w:t>.</w:t>
      </w:r>
      <w:bookmarkEnd w:id="21"/>
      <w:bookmarkEnd w:id="22"/>
    </w:p>
    <w:p w:rsidR="005C5F37" w:rsidRDefault="005C5F37" w:rsidP="00C479DB">
      <w:pPr>
        <w:tabs>
          <w:tab w:val="left" w:pos="-720"/>
        </w:tabs>
        <w:suppressAutoHyphens/>
        <w:spacing w:line="480" w:lineRule="auto"/>
        <w:rPr>
          <w:rFonts w:ascii="Times New Roman" w:hAnsi="Times New Roman"/>
          <w:b/>
          <w:spacing w:val="-3"/>
          <w:szCs w:val="24"/>
        </w:rPr>
      </w:pPr>
    </w:p>
    <w:p w:rsidR="009B7FD4" w:rsidRPr="00942B5F" w:rsidRDefault="005C5F37" w:rsidP="00117534">
      <w:pPr>
        <w:pStyle w:val="ListParagraph"/>
        <w:widowControl/>
        <w:spacing w:line="480" w:lineRule="auto"/>
        <w:ind w:left="540" w:hanging="540"/>
        <w:outlineLvl w:val="0"/>
        <w:rPr>
          <w:b/>
        </w:rPr>
      </w:pPr>
      <w:bookmarkStart w:id="23" w:name="_Toc456365128"/>
      <w:r w:rsidRPr="00F671FD">
        <w:rPr>
          <w:b/>
          <w:spacing w:val="-3"/>
        </w:rPr>
        <w:t>12.</w:t>
      </w:r>
      <w:r w:rsidRPr="00F671FD">
        <w:rPr>
          <w:b/>
          <w:spacing w:val="-3"/>
        </w:rPr>
        <w:tab/>
      </w:r>
      <w:r w:rsidR="009B7FD4" w:rsidRPr="00F671FD">
        <w:rPr>
          <w:b/>
        </w:rPr>
        <w:t>Provide estimates of the hour burden of the collection of information.  The statement should include:</w:t>
      </w:r>
      <w:bookmarkEnd w:id="23"/>
    </w:p>
    <w:p w:rsidR="009B7FD4" w:rsidRPr="00942B5F" w:rsidRDefault="009B7FD4" w:rsidP="009B7FD4">
      <w:pPr>
        <w:pStyle w:val="ListParagraph"/>
        <w:widowControl/>
        <w:spacing w:line="480" w:lineRule="auto"/>
        <w:ind w:left="540"/>
        <w:rPr>
          <w:b/>
        </w:rPr>
      </w:pPr>
    </w:p>
    <w:p w:rsidR="009B7FD4" w:rsidRPr="00942B5F" w:rsidRDefault="009B7FD4" w:rsidP="009B7FD4">
      <w:pPr>
        <w:pStyle w:val="ListParagraph"/>
        <w:widowControl/>
        <w:numPr>
          <w:ilvl w:val="0"/>
          <w:numId w:val="31"/>
        </w:numPr>
        <w:spacing w:line="480" w:lineRule="auto"/>
        <w:ind w:left="720" w:hanging="180"/>
        <w:rPr>
          <w:b/>
        </w:rPr>
      </w:pPr>
      <w:r w:rsidRPr="00942B5F">
        <w:rPr>
          <w:b/>
        </w:rPr>
        <w:t>Indicate the number of respondents, frequency o</w:t>
      </w:r>
      <w:r>
        <w:rPr>
          <w:b/>
        </w:rPr>
        <w:t xml:space="preserve">f response, annual hour burden,      </w:t>
      </w:r>
      <w:r w:rsidRPr="00942B5F">
        <w:rPr>
          <w:b/>
        </w:rPr>
        <w:t>and an explanation of how the burden was estimated.  If this request for approval covers more than one form, provide separate hour bur</w:t>
      </w:r>
      <w:r w:rsidR="0072375B">
        <w:rPr>
          <w:b/>
        </w:rPr>
        <w:t>de</w:t>
      </w:r>
      <w:r w:rsidRPr="00942B5F">
        <w:rPr>
          <w:b/>
        </w:rPr>
        <w:t>n estimates for each form and aggregate the hour burdens in Item 13 of OMB Form 83-I.</w:t>
      </w:r>
    </w:p>
    <w:p w:rsidR="00C9323A" w:rsidRDefault="00C9323A" w:rsidP="008F4883">
      <w:pPr>
        <w:spacing w:line="480" w:lineRule="auto"/>
        <w:ind w:left="540"/>
        <w:rPr>
          <w:rFonts w:ascii="Times New Roman" w:hAnsi="Times New Roman"/>
          <w:spacing w:val="-3"/>
          <w:szCs w:val="24"/>
        </w:rPr>
      </w:pPr>
    </w:p>
    <w:p w:rsidR="009B7FD4" w:rsidRDefault="00D7129A" w:rsidP="008F4883">
      <w:pPr>
        <w:spacing w:line="480" w:lineRule="auto"/>
        <w:ind w:left="540"/>
        <w:rPr>
          <w:rFonts w:ascii="Times New Roman" w:hAnsi="Times New Roman"/>
          <w:szCs w:val="24"/>
        </w:rPr>
      </w:pPr>
      <w:r>
        <w:rPr>
          <w:rFonts w:ascii="Times New Roman" w:hAnsi="Times New Roman"/>
          <w:spacing w:val="-3"/>
          <w:szCs w:val="24"/>
        </w:rPr>
        <w:t xml:space="preserve">With this submission, there are 56 respondents, 1,568 responses, and 784 burden hours.  </w:t>
      </w:r>
      <w:r w:rsidR="007A089D" w:rsidRPr="001A0360">
        <w:rPr>
          <w:rFonts w:ascii="Times New Roman" w:hAnsi="Times New Roman"/>
          <w:spacing w:val="-3"/>
          <w:szCs w:val="24"/>
        </w:rPr>
        <w:t>The n</w:t>
      </w:r>
      <w:r w:rsidR="00F671FD">
        <w:rPr>
          <w:rFonts w:ascii="Times New Roman" w:hAnsi="Times New Roman"/>
          <w:spacing w:val="-3"/>
          <w:szCs w:val="24"/>
        </w:rPr>
        <w:t xml:space="preserve">umber of State </w:t>
      </w:r>
      <w:r w:rsidR="00B5102A">
        <w:rPr>
          <w:rFonts w:ascii="Times New Roman" w:hAnsi="Times New Roman"/>
          <w:spacing w:val="-3"/>
          <w:szCs w:val="24"/>
        </w:rPr>
        <w:t xml:space="preserve">agencies </w:t>
      </w:r>
      <w:r w:rsidR="007A089D" w:rsidRPr="001A0360">
        <w:rPr>
          <w:rFonts w:ascii="Times New Roman" w:hAnsi="Times New Roman"/>
          <w:spacing w:val="-3"/>
          <w:szCs w:val="24"/>
        </w:rPr>
        <w:t>tha</w:t>
      </w:r>
      <w:r w:rsidR="00F671FD">
        <w:rPr>
          <w:rFonts w:ascii="Times New Roman" w:hAnsi="Times New Roman"/>
          <w:spacing w:val="-3"/>
          <w:szCs w:val="24"/>
        </w:rPr>
        <w:t>t administer CACFP is 56.</w:t>
      </w:r>
      <w:r w:rsidR="007A089D" w:rsidRPr="001A0360">
        <w:rPr>
          <w:rFonts w:ascii="Times New Roman" w:hAnsi="Times New Roman"/>
          <w:spacing w:val="-3"/>
          <w:szCs w:val="24"/>
        </w:rPr>
        <w:t xml:space="preserve"> </w:t>
      </w:r>
      <w:r w:rsidR="00CC42B5">
        <w:rPr>
          <w:rFonts w:ascii="Times New Roman" w:hAnsi="Times New Roman"/>
          <w:spacing w:val="-3"/>
          <w:szCs w:val="24"/>
        </w:rPr>
        <w:t xml:space="preserve"> </w:t>
      </w:r>
      <w:r w:rsidR="00F671FD">
        <w:rPr>
          <w:rFonts w:ascii="Times New Roman" w:hAnsi="Times New Roman"/>
          <w:spacing w:val="-3"/>
          <w:szCs w:val="24"/>
        </w:rPr>
        <w:t>Based on</w:t>
      </w:r>
      <w:r w:rsidR="00B5102A">
        <w:rPr>
          <w:rFonts w:ascii="Times New Roman" w:hAnsi="Times New Roman"/>
          <w:spacing w:val="-3"/>
          <w:szCs w:val="24"/>
        </w:rPr>
        <w:t xml:space="preserve"> an</w:t>
      </w:r>
      <w:r w:rsidR="00F671FD">
        <w:rPr>
          <w:rFonts w:ascii="Times New Roman" w:hAnsi="Times New Roman"/>
          <w:spacing w:val="-3"/>
          <w:szCs w:val="24"/>
        </w:rPr>
        <w:t xml:space="preserve"> </w:t>
      </w:r>
      <w:r w:rsidR="00B5102A">
        <w:rPr>
          <w:rFonts w:ascii="Times New Roman" w:hAnsi="Times New Roman"/>
          <w:spacing w:val="-3"/>
          <w:szCs w:val="24"/>
        </w:rPr>
        <w:t xml:space="preserve">annual </w:t>
      </w:r>
      <w:r w:rsidR="00F671FD">
        <w:rPr>
          <w:rFonts w:ascii="Times New Roman" w:hAnsi="Times New Roman"/>
          <w:spacing w:val="-3"/>
          <w:szCs w:val="24"/>
        </w:rPr>
        <w:t>average</w:t>
      </w:r>
      <w:r w:rsidR="00B5102A">
        <w:rPr>
          <w:rFonts w:ascii="Times New Roman" w:hAnsi="Times New Roman"/>
          <w:spacing w:val="-3"/>
          <w:szCs w:val="24"/>
        </w:rPr>
        <w:t xml:space="preserve">, a </w:t>
      </w:r>
      <w:r w:rsidR="00F671FD">
        <w:rPr>
          <w:rFonts w:ascii="Times New Roman" w:hAnsi="Times New Roman"/>
          <w:spacing w:val="-3"/>
          <w:szCs w:val="24"/>
        </w:rPr>
        <w:t>S</w:t>
      </w:r>
      <w:r w:rsidR="00B5102A">
        <w:rPr>
          <w:rFonts w:ascii="Times New Roman" w:hAnsi="Times New Roman"/>
          <w:spacing w:val="-3"/>
          <w:szCs w:val="24"/>
        </w:rPr>
        <w:t>tate agency</w:t>
      </w:r>
      <w:r w:rsidR="00F671FD">
        <w:rPr>
          <w:rFonts w:ascii="Times New Roman" w:hAnsi="Times New Roman"/>
          <w:spacing w:val="-3"/>
          <w:szCs w:val="24"/>
        </w:rPr>
        <w:t xml:space="preserve"> will place approximately 6 institutions a</w:t>
      </w:r>
      <w:r w:rsidR="006008A7">
        <w:rPr>
          <w:rFonts w:ascii="Times New Roman" w:hAnsi="Times New Roman"/>
          <w:spacing w:val="-3"/>
          <w:szCs w:val="24"/>
        </w:rPr>
        <w:t>nd 22 individuals on the NDL f</w:t>
      </w:r>
      <w:r w:rsidR="00F671FD">
        <w:rPr>
          <w:rFonts w:ascii="Times New Roman" w:hAnsi="Times New Roman"/>
          <w:spacing w:val="-3"/>
          <w:szCs w:val="24"/>
        </w:rPr>
        <w:t>or a total of 1,568 total responses.  It is estimated that each response</w:t>
      </w:r>
      <w:r w:rsidR="008F4883">
        <w:rPr>
          <w:rFonts w:ascii="Times New Roman" w:hAnsi="Times New Roman"/>
          <w:spacing w:val="-3"/>
          <w:szCs w:val="24"/>
        </w:rPr>
        <w:t xml:space="preserve"> </w:t>
      </w:r>
      <w:r w:rsidR="00F671FD">
        <w:rPr>
          <w:rFonts w:ascii="Times New Roman" w:hAnsi="Times New Roman"/>
          <w:spacing w:val="-3"/>
          <w:szCs w:val="24"/>
        </w:rPr>
        <w:t xml:space="preserve">will take </w:t>
      </w:r>
      <w:r w:rsidR="00C9323A">
        <w:rPr>
          <w:rFonts w:ascii="Times New Roman" w:hAnsi="Times New Roman"/>
          <w:spacing w:val="-3"/>
          <w:szCs w:val="24"/>
        </w:rPr>
        <w:t>0</w:t>
      </w:r>
      <w:r w:rsidR="00F671FD">
        <w:rPr>
          <w:rFonts w:ascii="Times New Roman" w:hAnsi="Times New Roman"/>
          <w:spacing w:val="-3"/>
          <w:szCs w:val="24"/>
        </w:rPr>
        <w:t xml:space="preserve">.50 hours. </w:t>
      </w:r>
      <w:r w:rsidR="00075BAE">
        <w:rPr>
          <w:rFonts w:ascii="Times New Roman" w:hAnsi="Times New Roman"/>
          <w:spacing w:val="-3"/>
          <w:szCs w:val="24"/>
        </w:rPr>
        <w:t xml:space="preserve"> Estimated total </w:t>
      </w:r>
      <w:r w:rsidR="008F4883">
        <w:rPr>
          <w:rFonts w:ascii="Times New Roman" w:hAnsi="Times New Roman"/>
          <w:spacing w:val="-3"/>
          <w:szCs w:val="24"/>
        </w:rPr>
        <w:lastRenderedPageBreak/>
        <w:t xml:space="preserve">reporting </w:t>
      </w:r>
      <w:r w:rsidR="00075BAE">
        <w:rPr>
          <w:rFonts w:ascii="Times New Roman" w:hAnsi="Times New Roman"/>
          <w:spacing w:val="-3"/>
          <w:szCs w:val="24"/>
        </w:rPr>
        <w:t xml:space="preserve">burden hours </w:t>
      </w:r>
      <w:r w:rsidR="008F4883">
        <w:rPr>
          <w:rFonts w:ascii="Times New Roman" w:hAnsi="Times New Roman"/>
          <w:spacing w:val="-3"/>
          <w:szCs w:val="24"/>
        </w:rPr>
        <w:t>equals</w:t>
      </w:r>
      <w:r w:rsidR="00F671FD">
        <w:rPr>
          <w:rFonts w:ascii="Times New Roman" w:hAnsi="Times New Roman"/>
          <w:spacing w:val="-3"/>
          <w:szCs w:val="24"/>
        </w:rPr>
        <w:t xml:space="preserve"> 784</w:t>
      </w:r>
      <w:r w:rsidR="00075BAE">
        <w:rPr>
          <w:rFonts w:ascii="Times New Roman" w:hAnsi="Times New Roman"/>
          <w:spacing w:val="-3"/>
          <w:szCs w:val="24"/>
        </w:rPr>
        <w:t>.</w:t>
      </w:r>
      <w:r w:rsidR="00B5102A">
        <w:rPr>
          <w:rFonts w:ascii="Times New Roman" w:hAnsi="Times New Roman"/>
          <w:spacing w:val="-3"/>
          <w:szCs w:val="24"/>
        </w:rPr>
        <w:t xml:space="preserve">  </w:t>
      </w:r>
      <w:r w:rsidR="008F4883">
        <w:rPr>
          <w:rFonts w:ascii="Times New Roman" w:hAnsi="Times New Roman"/>
        </w:rPr>
        <w:t>T</w:t>
      </w:r>
      <w:r w:rsidR="008F4883" w:rsidRPr="007E3682">
        <w:rPr>
          <w:rFonts w:ascii="Times New Roman" w:hAnsi="Times New Roman"/>
        </w:rPr>
        <w:t>he recordkeeping burden associated with maintaining documentation related to institutions and providers terminated for cause at the State agency level is captured under the Information Collection for the CACFP OMB Control Number 0584</w:t>
      </w:r>
      <w:r w:rsidR="006B67DB">
        <w:rPr>
          <w:rFonts w:ascii="Times New Roman" w:hAnsi="Times New Roman"/>
        </w:rPr>
        <w:t>-0055</w:t>
      </w:r>
      <w:r w:rsidR="00D95AF2">
        <w:rPr>
          <w:rFonts w:ascii="Times New Roman" w:hAnsi="Times New Roman"/>
        </w:rPr>
        <w:t xml:space="preserve"> 7 CFR Part 226, Child and Adult Care Food Program</w:t>
      </w:r>
      <w:r w:rsidR="006B67DB">
        <w:rPr>
          <w:rFonts w:ascii="Times New Roman" w:hAnsi="Times New Roman"/>
        </w:rPr>
        <w:t>, expiration date 9/30/2016</w:t>
      </w:r>
      <w:r w:rsidR="008F4883" w:rsidRPr="007E3682">
        <w:rPr>
          <w:rFonts w:ascii="Times New Roman" w:hAnsi="Times New Roman"/>
        </w:rPr>
        <w:t>.  Therefore, there is no recordkeeping burden associated with this collection.</w:t>
      </w:r>
      <w:r w:rsidR="008F4883">
        <w:rPr>
          <w:rFonts w:ascii="Times New Roman" w:hAnsi="Times New Roman"/>
        </w:rPr>
        <w:t xml:space="preserve">  </w:t>
      </w:r>
      <w:r w:rsidR="00B5102A" w:rsidRPr="00DC1E45">
        <w:rPr>
          <w:rFonts w:ascii="Times New Roman" w:hAnsi="Times New Roman"/>
          <w:szCs w:val="24"/>
        </w:rPr>
        <w:t>The burden table reflects the estimated burden associated with this information collection.</w:t>
      </w:r>
    </w:p>
    <w:p w:rsidR="00C9323A" w:rsidRPr="008F4883" w:rsidRDefault="00C9323A" w:rsidP="008F4883">
      <w:pPr>
        <w:spacing w:line="480" w:lineRule="auto"/>
        <w:ind w:left="540"/>
        <w:rPr>
          <w:rFonts w:ascii="Times New Roman" w:hAnsi="Times New Roman"/>
        </w:rPr>
      </w:pPr>
    </w:p>
    <w:p w:rsidR="00B5102A" w:rsidRPr="00B5102A" w:rsidRDefault="00B5102A" w:rsidP="00B5102A">
      <w:pPr>
        <w:spacing w:line="480" w:lineRule="auto"/>
        <w:jc w:val="center"/>
        <w:outlineLvl w:val="0"/>
        <w:rPr>
          <w:rFonts w:ascii="Times New Roman" w:hAnsi="Times New Roman"/>
          <w:b/>
        </w:rPr>
      </w:pPr>
      <w:bookmarkStart w:id="24" w:name="_Toc456364843"/>
      <w:bookmarkStart w:id="25" w:name="_Toc456365129"/>
      <w:r w:rsidRPr="00B5102A">
        <w:rPr>
          <w:rFonts w:ascii="Times New Roman" w:hAnsi="Times New Roman"/>
          <w:b/>
          <w:spacing w:val="-3"/>
          <w:szCs w:val="24"/>
        </w:rPr>
        <w:t xml:space="preserve">ESTIMATED ANNUAL BURDEN FOR </w:t>
      </w:r>
      <w:r w:rsidR="00061423">
        <w:rPr>
          <w:rFonts w:ascii="Arial" w:hAnsi="Arial" w:cs="Arial"/>
          <w:b/>
          <w:bCs/>
        </w:rPr>
        <w:t>CACFP National Disqualified List Forms FNS-843, FNS-844</w:t>
      </w:r>
      <w:r w:rsidR="006B67DB">
        <w:rPr>
          <w:rFonts w:ascii="Arial" w:hAnsi="Arial" w:cs="Arial"/>
          <w:b/>
          <w:bCs/>
        </w:rPr>
        <w:t xml:space="preserve"> (OMB #0584-0584)</w:t>
      </w:r>
      <w:bookmarkEnd w:id="24"/>
      <w:bookmarkEnd w:id="25"/>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980"/>
        <w:gridCol w:w="990"/>
        <w:gridCol w:w="810"/>
        <w:gridCol w:w="1170"/>
        <w:gridCol w:w="900"/>
        <w:gridCol w:w="900"/>
        <w:gridCol w:w="990"/>
        <w:gridCol w:w="810"/>
      </w:tblGrid>
      <w:tr w:rsidR="001A0384" w:rsidRPr="006F6004" w:rsidTr="001A0384">
        <w:trPr>
          <w:trHeight w:val="800"/>
        </w:trPr>
        <w:tc>
          <w:tcPr>
            <w:tcW w:w="117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Respondent Type</w:t>
            </w:r>
          </w:p>
        </w:tc>
        <w:tc>
          <w:tcPr>
            <w:tcW w:w="198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Burden Activities</w:t>
            </w:r>
          </w:p>
        </w:tc>
        <w:tc>
          <w:tcPr>
            <w:tcW w:w="99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Section</w:t>
            </w:r>
          </w:p>
        </w:tc>
        <w:tc>
          <w:tcPr>
            <w:tcW w:w="810" w:type="dxa"/>
            <w:tcBorders>
              <w:top w:val="single" w:sz="4" w:space="0" w:color="auto"/>
              <w:left w:val="single" w:sz="4" w:space="0" w:color="auto"/>
              <w:bottom w:val="single" w:sz="4" w:space="0" w:color="auto"/>
              <w:right w:val="single" w:sz="4" w:space="0" w:color="auto"/>
            </w:tcBorders>
          </w:tcPr>
          <w:p w:rsidR="001A0384" w:rsidRDefault="001A0384" w:rsidP="00B72E5F">
            <w:pPr>
              <w:pStyle w:val="NoSpacing"/>
              <w:jc w:val="center"/>
              <w:rPr>
                <w:rFonts w:ascii="Times New Roman" w:hAnsi="Times New Roman"/>
                <w:sz w:val="16"/>
                <w:szCs w:val="16"/>
              </w:rPr>
            </w:pPr>
          </w:p>
          <w:p w:rsidR="001A0384" w:rsidRDefault="001A0384" w:rsidP="00B72E5F">
            <w:pPr>
              <w:pStyle w:val="NoSpacing"/>
              <w:jc w:val="center"/>
              <w:rPr>
                <w:rFonts w:ascii="Times New Roman" w:hAnsi="Times New Roman"/>
                <w:sz w:val="16"/>
                <w:szCs w:val="16"/>
              </w:rPr>
            </w:pPr>
          </w:p>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Forms</w:t>
            </w:r>
          </w:p>
        </w:tc>
        <w:tc>
          <w:tcPr>
            <w:tcW w:w="117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Estimated Number of Respondents</w:t>
            </w:r>
          </w:p>
        </w:tc>
        <w:tc>
          <w:tcPr>
            <w:tcW w:w="90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Frequency</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of</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Average Annual</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Average</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Burden per</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Annual Burden</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Hours</w:t>
            </w:r>
          </w:p>
        </w:tc>
      </w:tr>
      <w:tr w:rsidR="001A0384" w:rsidRPr="006F6004" w:rsidTr="001A0384">
        <w:trPr>
          <w:trHeight w:val="980"/>
        </w:trPr>
        <w:tc>
          <w:tcPr>
            <w:tcW w:w="1170" w:type="dxa"/>
            <w:vMerge w:val="restart"/>
            <w:tcBorders>
              <w:top w:val="single" w:sz="4" w:space="0" w:color="auto"/>
              <w:left w:val="single" w:sz="4" w:space="0" w:color="auto"/>
              <w:right w:val="single" w:sz="4" w:space="0" w:color="auto"/>
            </w:tcBorders>
            <w:vAlign w:val="center"/>
          </w:tcPr>
          <w:p w:rsidR="001A0384" w:rsidRPr="006F6004" w:rsidRDefault="001A0384" w:rsidP="00B72E5F">
            <w:pPr>
              <w:pStyle w:val="NoSpacing"/>
              <w:rPr>
                <w:rFonts w:ascii="Times New Roman" w:hAnsi="Times New Roman"/>
                <w:sz w:val="16"/>
                <w:szCs w:val="16"/>
              </w:rPr>
            </w:pPr>
            <w:r>
              <w:rPr>
                <w:rFonts w:ascii="Times New Roman" w:hAnsi="Times New Roman"/>
                <w:sz w:val="16"/>
                <w:szCs w:val="16"/>
              </w:rPr>
              <w:t>State Agency</w:t>
            </w:r>
          </w:p>
          <w:p w:rsidR="001A0384" w:rsidRPr="006F6004" w:rsidRDefault="001A0384" w:rsidP="00B72E5F">
            <w:pPr>
              <w:pStyle w:val="NoSpacing"/>
              <w:rPr>
                <w:rFonts w:ascii="Times New Roman" w:hAnsi="Times New Roman"/>
                <w:sz w:val="16"/>
                <w:szCs w:val="16"/>
              </w:rPr>
            </w:pPr>
          </w:p>
        </w:tc>
        <w:tc>
          <w:tcPr>
            <w:tcW w:w="1980" w:type="dxa"/>
            <w:vMerge w:val="restart"/>
            <w:tcBorders>
              <w:top w:val="single" w:sz="4" w:space="0" w:color="auto"/>
              <w:left w:val="single" w:sz="4" w:space="0" w:color="auto"/>
              <w:right w:val="single" w:sz="4" w:space="0" w:color="auto"/>
            </w:tcBorders>
            <w:vAlign w:val="center"/>
          </w:tcPr>
          <w:p w:rsidR="001A0384" w:rsidRDefault="001A0384" w:rsidP="00B72E5F">
            <w:pPr>
              <w:pStyle w:val="NoSpacing"/>
              <w:rPr>
                <w:rFonts w:ascii="Times New Roman" w:hAnsi="Times New Roman"/>
                <w:sz w:val="16"/>
                <w:szCs w:val="16"/>
              </w:rPr>
            </w:pPr>
            <w:r w:rsidRPr="00B5102A">
              <w:rPr>
                <w:rFonts w:ascii="Times New Roman" w:hAnsi="Times New Roman"/>
                <w:sz w:val="16"/>
                <w:szCs w:val="16"/>
              </w:rPr>
              <w:t xml:space="preserve">The State agency </w:t>
            </w:r>
            <w:r w:rsidR="00AE6CC0" w:rsidRPr="00B5102A">
              <w:rPr>
                <w:rFonts w:ascii="Times New Roman" w:hAnsi="Times New Roman"/>
                <w:sz w:val="16"/>
                <w:szCs w:val="16"/>
              </w:rPr>
              <w:t>creates</w:t>
            </w:r>
            <w:r w:rsidR="00AE6CC0">
              <w:rPr>
                <w:rFonts w:ascii="Times New Roman" w:hAnsi="Times New Roman"/>
                <w:sz w:val="16"/>
                <w:szCs w:val="16"/>
              </w:rPr>
              <w:t>,</w:t>
            </w:r>
            <w:r w:rsidRPr="00B5102A">
              <w:rPr>
                <w:rFonts w:ascii="Times New Roman" w:hAnsi="Times New Roman"/>
                <w:sz w:val="16"/>
                <w:szCs w:val="16"/>
              </w:rPr>
              <w:t xml:space="preserve"> updates</w:t>
            </w:r>
            <w:r w:rsidR="00AE6CC0">
              <w:rPr>
                <w:rFonts w:ascii="Times New Roman" w:hAnsi="Times New Roman"/>
                <w:sz w:val="16"/>
                <w:szCs w:val="16"/>
              </w:rPr>
              <w:t>,</w:t>
            </w:r>
            <w:r w:rsidRPr="00B5102A">
              <w:rPr>
                <w:rFonts w:ascii="Times New Roman" w:hAnsi="Times New Roman"/>
                <w:sz w:val="16"/>
                <w:szCs w:val="16"/>
              </w:rPr>
              <w:t xml:space="preserve"> and maintains a list of institutions, family day care home provider</w:t>
            </w:r>
            <w:r w:rsidR="00D85152">
              <w:rPr>
                <w:rFonts w:ascii="Times New Roman" w:hAnsi="Times New Roman"/>
                <w:sz w:val="16"/>
                <w:szCs w:val="16"/>
              </w:rPr>
              <w:t>s</w:t>
            </w:r>
            <w:r w:rsidRPr="00B5102A">
              <w:rPr>
                <w:rFonts w:ascii="Times New Roman" w:hAnsi="Times New Roman"/>
                <w:sz w:val="16"/>
                <w:szCs w:val="16"/>
              </w:rPr>
              <w:t xml:space="preserve"> and individuals who have been terminated or otherwise disqualified from CACFP participation.</w:t>
            </w:r>
          </w:p>
        </w:tc>
        <w:tc>
          <w:tcPr>
            <w:tcW w:w="990" w:type="dxa"/>
            <w:vMerge w:val="restart"/>
            <w:tcBorders>
              <w:top w:val="single" w:sz="4" w:space="0" w:color="auto"/>
              <w:left w:val="single" w:sz="4" w:space="0" w:color="auto"/>
              <w:right w:val="single" w:sz="4" w:space="0" w:color="auto"/>
            </w:tcBorders>
            <w:vAlign w:val="center"/>
          </w:tcPr>
          <w:p w:rsidR="001A0384" w:rsidRPr="006F6004" w:rsidRDefault="001A0384" w:rsidP="00B72E5F">
            <w:pPr>
              <w:pStyle w:val="NoSpacing"/>
              <w:rPr>
                <w:rFonts w:ascii="Times New Roman" w:hAnsi="Times New Roman"/>
                <w:sz w:val="16"/>
                <w:szCs w:val="16"/>
              </w:rPr>
            </w:pPr>
            <w:r>
              <w:rPr>
                <w:rFonts w:ascii="Times New Roman" w:hAnsi="Times New Roman"/>
                <w:sz w:val="16"/>
                <w:szCs w:val="16"/>
              </w:rPr>
              <w:t>226.6(c)(8)</w:t>
            </w:r>
          </w:p>
        </w:tc>
        <w:tc>
          <w:tcPr>
            <w:tcW w:w="810" w:type="dxa"/>
            <w:tcBorders>
              <w:top w:val="single" w:sz="4" w:space="0" w:color="auto"/>
              <w:left w:val="single" w:sz="4" w:space="0" w:color="auto"/>
              <w:right w:val="single" w:sz="4" w:space="0" w:color="auto"/>
            </w:tcBorders>
          </w:tcPr>
          <w:p w:rsidR="001A0384" w:rsidRDefault="001A0384" w:rsidP="00B72E5F">
            <w:pPr>
              <w:pStyle w:val="NoSpacing"/>
              <w:jc w:val="center"/>
              <w:rPr>
                <w:rFonts w:ascii="Times New Roman" w:hAnsi="Times New Roman"/>
                <w:sz w:val="16"/>
                <w:szCs w:val="16"/>
              </w:rPr>
            </w:pPr>
          </w:p>
          <w:p w:rsidR="001A0384" w:rsidRDefault="001A0384" w:rsidP="00B72E5F">
            <w:pPr>
              <w:pStyle w:val="NoSpacing"/>
              <w:jc w:val="center"/>
              <w:rPr>
                <w:rFonts w:ascii="Times New Roman" w:hAnsi="Times New Roman"/>
                <w:sz w:val="16"/>
                <w:szCs w:val="16"/>
              </w:rPr>
            </w:pPr>
          </w:p>
          <w:p w:rsidR="001A0384" w:rsidRDefault="001A0384" w:rsidP="00B72E5F">
            <w:pPr>
              <w:pStyle w:val="NoSpacing"/>
              <w:jc w:val="center"/>
              <w:rPr>
                <w:rFonts w:ascii="Times New Roman" w:hAnsi="Times New Roman"/>
                <w:sz w:val="16"/>
                <w:szCs w:val="16"/>
              </w:rPr>
            </w:pPr>
            <w:r>
              <w:rPr>
                <w:rFonts w:ascii="Times New Roman" w:hAnsi="Times New Roman"/>
                <w:sz w:val="16"/>
                <w:szCs w:val="16"/>
              </w:rPr>
              <w:t>FNS-843</w:t>
            </w:r>
          </w:p>
          <w:p w:rsidR="001A0384" w:rsidRDefault="001A0384" w:rsidP="00B72E5F">
            <w:pPr>
              <w:pStyle w:val="NoSpacing"/>
              <w:jc w:val="center"/>
              <w:rPr>
                <w:rFonts w:ascii="Times New Roman" w:hAnsi="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336</w:t>
            </w:r>
          </w:p>
        </w:tc>
        <w:tc>
          <w:tcPr>
            <w:tcW w:w="99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168</w:t>
            </w:r>
          </w:p>
        </w:tc>
      </w:tr>
      <w:tr w:rsidR="001A0384" w:rsidRPr="006F6004" w:rsidTr="001A0384">
        <w:trPr>
          <w:trHeight w:val="566"/>
        </w:trPr>
        <w:tc>
          <w:tcPr>
            <w:tcW w:w="117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A0384" w:rsidRPr="001A0384" w:rsidRDefault="001A0384" w:rsidP="00B72E5F">
            <w:pPr>
              <w:pStyle w:val="NoSpacing"/>
              <w:rPr>
                <w:rFonts w:ascii="Times New Roman" w:hAnsi="Times New Roman"/>
                <w:sz w:val="16"/>
                <w:szCs w:val="16"/>
              </w:rPr>
            </w:pPr>
          </w:p>
        </w:tc>
        <w:tc>
          <w:tcPr>
            <w:tcW w:w="1980" w:type="dxa"/>
            <w:vMerge/>
            <w:tcBorders>
              <w:left w:val="single" w:sz="4" w:space="0" w:color="auto"/>
              <w:bottom w:val="single" w:sz="4" w:space="0" w:color="auto"/>
              <w:right w:val="single" w:sz="4" w:space="0" w:color="auto"/>
            </w:tcBorders>
            <w:shd w:val="clear" w:color="auto" w:fill="D9D9D9" w:themeFill="background1" w:themeFillShade="D9"/>
          </w:tcPr>
          <w:p w:rsidR="001A0384" w:rsidRPr="00E741E6" w:rsidRDefault="001A0384" w:rsidP="00B72E5F">
            <w:pPr>
              <w:pStyle w:val="NoSpacing"/>
              <w:rPr>
                <w:rFonts w:ascii="Times New Roman" w:hAnsi="Times New Roman"/>
                <w:b/>
                <w:sz w:val="16"/>
                <w:szCs w:val="16"/>
              </w:rPr>
            </w:pPr>
          </w:p>
        </w:tc>
        <w:tc>
          <w:tcPr>
            <w:tcW w:w="99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A0384" w:rsidRPr="00E741E6" w:rsidRDefault="001A0384" w:rsidP="00B72E5F">
            <w:pPr>
              <w:pStyle w:val="NoSpacing"/>
              <w:rPr>
                <w:rFonts w:ascii="Times New Roman" w:hAnsi="Times New Roman"/>
                <w:b/>
                <w:sz w:val="16"/>
                <w:szCs w:val="16"/>
              </w:rPr>
            </w:pPr>
          </w:p>
        </w:tc>
        <w:tc>
          <w:tcPr>
            <w:tcW w:w="810" w:type="dxa"/>
            <w:tcBorders>
              <w:left w:val="single" w:sz="4" w:space="0" w:color="auto"/>
              <w:bottom w:val="single" w:sz="4" w:space="0" w:color="auto"/>
              <w:right w:val="single" w:sz="4" w:space="0" w:color="auto"/>
            </w:tcBorders>
            <w:shd w:val="clear" w:color="auto" w:fill="auto"/>
          </w:tcPr>
          <w:p w:rsidR="001A0384" w:rsidRDefault="001A0384" w:rsidP="00B72E5F">
            <w:pPr>
              <w:pStyle w:val="NoSpacing"/>
              <w:jc w:val="center"/>
              <w:rPr>
                <w:rFonts w:ascii="Times New Roman" w:hAnsi="Times New Roman"/>
                <w:sz w:val="16"/>
                <w:szCs w:val="16"/>
              </w:rPr>
            </w:pPr>
          </w:p>
          <w:p w:rsidR="001A0384" w:rsidRPr="001A0384" w:rsidRDefault="001A0384" w:rsidP="00B72E5F">
            <w:pPr>
              <w:pStyle w:val="NoSpacing"/>
              <w:jc w:val="center"/>
              <w:rPr>
                <w:rFonts w:ascii="Times New Roman" w:hAnsi="Times New Roman"/>
                <w:sz w:val="16"/>
                <w:szCs w:val="16"/>
              </w:rPr>
            </w:pPr>
            <w:r>
              <w:rPr>
                <w:rFonts w:ascii="Times New Roman" w:hAnsi="Times New Roman"/>
                <w:sz w:val="16"/>
                <w:szCs w:val="16"/>
              </w:rPr>
              <w:t>FNS-844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22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1,232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616</w:t>
            </w:r>
          </w:p>
        </w:tc>
      </w:tr>
      <w:tr w:rsidR="001A0384" w:rsidRPr="006F6004" w:rsidTr="001A0384">
        <w:trPr>
          <w:trHeight w:val="566"/>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E741E6" w:rsidRDefault="001A0384" w:rsidP="00B72E5F">
            <w:pPr>
              <w:pStyle w:val="NoSpacing"/>
              <w:rPr>
                <w:rFonts w:ascii="Times New Roman" w:hAnsi="Times New Roman"/>
                <w:b/>
                <w:sz w:val="16"/>
                <w:szCs w:val="16"/>
              </w:rPr>
            </w:pPr>
            <w:r w:rsidRPr="00E741E6">
              <w:rPr>
                <w:rFonts w:ascii="Times New Roman" w:hAnsi="Times New Roman"/>
                <w:b/>
                <w:sz w:val="16"/>
                <w:szCs w:val="16"/>
              </w:rPr>
              <w:t xml:space="preserve">State </w:t>
            </w:r>
            <w:r>
              <w:rPr>
                <w:rFonts w:ascii="Times New Roman" w:hAnsi="Times New Roman"/>
                <w:b/>
                <w:sz w:val="16"/>
                <w:szCs w:val="16"/>
              </w:rPr>
              <w:t>a</w:t>
            </w:r>
            <w:r w:rsidRPr="00E741E6">
              <w:rPr>
                <w:rFonts w:ascii="Times New Roman" w:hAnsi="Times New Roman"/>
                <w:b/>
                <w:sz w:val="16"/>
                <w:szCs w:val="16"/>
              </w:rPr>
              <w:t xml:space="preserve">gency  Level </w:t>
            </w:r>
            <w:r>
              <w:rPr>
                <w:rFonts w:ascii="Times New Roman" w:hAnsi="Times New Roman"/>
                <w:b/>
                <w:sz w:val="16"/>
                <w:szCs w:val="16"/>
              </w:rPr>
              <w:t xml:space="preserve">Reporting </w:t>
            </w:r>
            <w:r w:rsidRPr="00E741E6">
              <w:rPr>
                <w:rFonts w:ascii="Times New Roman" w:hAnsi="Times New Roman"/>
                <w:b/>
                <w:sz w:val="16"/>
                <w:szCs w:val="16"/>
              </w:rPr>
              <w:t>Totals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0384" w:rsidRPr="00E741E6" w:rsidRDefault="001A0384" w:rsidP="00B72E5F">
            <w:pPr>
              <w:pStyle w:val="NoSpacing"/>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E741E6" w:rsidRDefault="001A0384" w:rsidP="00B72E5F">
            <w:pPr>
              <w:pStyle w:val="NoSpacing"/>
              <w:rPr>
                <w:rFonts w:ascii="Times New Roman" w:hAnsi="Times New Roman"/>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0384" w:rsidRPr="00B5102A" w:rsidRDefault="001A0384" w:rsidP="00B72E5F">
            <w:pPr>
              <w:pStyle w:val="NoSpacing"/>
              <w:jc w:val="center"/>
              <w:rPr>
                <w:rFonts w:ascii="Times New Roman" w:hAnsi="Times New Roman"/>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28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1,568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784</w:t>
            </w:r>
          </w:p>
        </w:tc>
      </w:tr>
    </w:tbl>
    <w:p w:rsidR="00B5102A" w:rsidRDefault="00B5102A" w:rsidP="008F4883">
      <w:pPr>
        <w:tabs>
          <w:tab w:val="left" w:pos="-720"/>
        </w:tabs>
        <w:suppressAutoHyphens/>
        <w:spacing w:line="480" w:lineRule="auto"/>
        <w:rPr>
          <w:rFonts w:ascii="Times New Roman" w:hAnsi="Times New Roman"/>
          <w:spacing w:val="-3"/>
          <w:szCs w:val="24"/>
        </w:rPr>
      </w:pPr>
    </w:p>
    <w:tbl>
      <w:tblPr>
        <w:tblW w:w="8397" w:type="dxa"/>
        <w:tblInd w:w="18" w:type="dxa"/>
        <w:tblLook w:val="04A0" w:firstRow="1" w:lastRow="0" w:firstColumn="1" w:lastColumn="0" w:noHBand="0" w:noVBand="1"/>
      </w:tblPr>
      <w:tblGrid>
        <w:gridCol w:w="4457"/>
        <w:gridCol w:w="3940"/>
      </w:tblGrid>
      <w:tr w:rsidR="008F4883" w:rsidRPr="00802EB2" w:rsidTr="008F4883">
        <w:trPr>
          <w:trHeight w:val="376"/>
        </w:trPr>
        <w:tc>
          <w:tcPr>
            <w:tcW w:w="8397"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8F4883" w:rsidRPr="00802EB2" w:rsidRDefault="008F4883" w:rsidP="00EE52DF">
            <w:pPr>
              <w:pStyle w:val="NoSpacing"/>
              <w:jc w:val="center"/>
              <w:rPr>
                <w:rFonts w:ascii="Times New Roman" w:hAnsi="Times New Roman"/>
                <w:b/>
                <w:sz w:val="16"/>
                <w:szCs w:val="16"/>
                <w:lang w:bidi="ar-SA"/>
              </w:rPr>
            </w:pPr>
            <w:r w:rsidRPr="00802EB2">
              <w:rPr>
                <w:rFonts w:ascii="Times New Roman" w:hAnsi="Times New Roman"/>
                <w:b/>
                <w:sz w:val="16"/>
                <w:szCs w:val="16"/>
                <w:lang w:bidi="ar-SA"/>
              </w:rPr>
              <w:t>SUMMARY OF BURDEN (OMB #0584-</w:t>
            </w:r>
            <w:r w:rsidR="006B67DB">
              <w:rPr>
                <w:rFonts w:ascii="Times New Roman" w:hAnsi="Times New Roman"/>
                <w:b/>
                <w:sz w:val="16"/>
                <w:szCs w:val="16"/>
                <w:lang w:bidi="ar-SA"/>
              </w:rPr>
              <w:t>0584</w:t>
            </w:r>
            <w:r w:rsidRPr="00802EB2">
              <w:rPr>
                <w:rFonts w:ascii="Times New Roman" w:hAnsi="Times New Roman"/>
                <w:b/>
                <w:sz w:val="16"/>
                <w:szCs w:val="16"/>
                <w:lang w:bidi="ar-SA"/>
              </w:rPr>
              <w:t xml:space="preserve">) </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TOTAL NO. RESPONDENTS</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56</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AVERAGE NO. RESPONSES PER RESPONDENT</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28</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TOTAL ANNUAL RESPONSES</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1,568</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AVERAGE HOURS PER RESPONSE</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0.50</w:t>
            </w:r>
          </w:p>
        </w:tc>
      </w:tr>
      <w:tr w:rsidR="008F4883" w:rsidRPr="00802EB2" w:rsidTr="008F4883">
        <w:trPr>
          <w:trHeight w:val="480"/>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EE52DF">
            <w:pPr>
              <w:pStyle w:val="NoSpacing"/>
              <w:rPr>
                <w:rFonts w:ascii="Times New Roman" w:hAnsi="Times New Roman"/>
                <w:sz w:val="16"/>
                <w:szCs w:val="16"/>
                <w:lang w:bidi="ar-SA"/>
              </w:rPr>
            </w:pPr>
            <w:r w:rsidRPr="00802EB2">
              <w:rPr>
                <w:rFonts w:ascii="Times New Roman" w:hAnsi="Times New Roman"/>
                <w:sz w:val="16"/>
                <w:szCs w:val="16"/>
                <w:lang w:bidi="ar-SA"/>
              </w:rPr>
              <w:t xml:space="preserve">TOTAL BURDEN HOURS </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784</w:t>
            </w:r>
          </w:p>
        </w:tc>
      </w:tr>
    </w:tbl>
    <w:p w:rsidR="008C6198" w:rsidRDefault="008C6198" w:rsidP="008C6198">
      <w:pPr>
        <w:pStyle w:val="ListParagraph"/>
        <w:widowControl/>
        <w:numPr>
          <w:ilvl w:val="0"/>
          <w:numId w:val="31"/>
        </w:numPr>
        <w:spacing w:line="480" w:lineRule="auto"/>
        <w:ind w:left="720" w:hanging="180"/>
        <w:rPr>
          <w:b/>
        </w:rPr>
      </w:pPr>
      <w:r w:rsidRPr="006008A7">
        <w:rPr>
          <w:b/>
        </w:rPr>
        <w:t>Provide estimates of annualized cost to respondents for the hour burdens for collections of information, identifying and using appropriate wage rate categories.</w:t>
      </w:r>
    </w:p>
    <w:p w:rsidR="00C9323A" w:rsidRPr="006008A7" w:rsidRDefault="00C9323A" w:rsidP="00C9323A">
      <w:pPr>
        <w:pStyle w:val="ListParagraph"/>
        <w:widowControl/>
        <w:spacing w:line="480" w:lineRule="auto"/>
        <w:rPr>
          <w:b/>
        </w:rPr>
      </w:pPr>
    </w:p>
    <w:p w:rsidR="008448A6" w:rsidRPr="00C9323A" w:rsidRDefault="00A679BF" w:rsidP="00C9323A">
      <w:pPr>
        <w:pStyle w:val="ListParagraph"/>
        <w:widowControl/>
        <w:spacing w:line="480" w:lineRule="auto"/>
      </w:pPr>
      <w:r w:rsidRPr="00942B5F">
        <w:t xml:space="preserve">The estimate of respondent cost is based on the burden estimates from the </w:t>
      </w:r>
      <w:r>
        <w:t xml:space="preserve">U.S. Department of Labor, </w:t>
      </w:r>
      <w:r w:rsidRPr="00942B5F">
        <w:t>Bureau of Labor Statistics May 20</w:t>
      </w:r>
      <w:r>
        <w:t>1</w:t>
      </w:r>
      <w:r w:rsidR="00D95AF2">
        <w:t>5</w:t>
      </w:r>
      <w:r w:rsidRPr="00942B5F">
        <w:t xml:space="preserve"> Occupational </w:t>
      </w:r>
      <w:r w:rsidR="00D95AF2">
        <w:t xml:space="preserve">Employment </w:t>
      </w:r>
      <w:r w:rsidRPr="00942B5F">
        <w:t xml:space="preserve">and Wage </w:t>
      </w:r>
      <w:r w:rsidR="00D95AF2">
        <w:t xml:space="preserve">Estimates </w:t>
      </w:r>
      <w:r w:rsidRPr="00942B5F">
        <w:t xml:space="preserve"> (</w:t>
      </w:r>
      <w:r>
        <w:t xml:space="preserve">Occupational Group </w:t>
      </w:r>
      <w:r w:rsidRPr="00942B5F">
        <w:t>25-0000) (</w:t>
      </w:r>
      <w:hyperlink r:id="rId9" w:history="1">
        <w:r w:rsidR="00D85152" w:rsidRPr="00815506">
          <w:rPr>
            <w:rStyle w:val="Hyperlink"/>
          </w:rPr>
          <w:t>http://www.bls.gov/oes/current/oes_nat.htm</w:t>
        </w:r>
      </w:hyperlink>
      <w:r w:rsidRPr="00942B5F">
        <w:t>)</w:t>
      </w:r>
      <w:r>
        <w:t>.  The</w:t>
      </w:r>
      <w:r w:rsidRPr="00942B5F">
        <w:t xml:space="preserve"> hourly mean wage (</w:t>
      </w:r>
      <w:r>
        <w:t>e</w:t>
      </w:r>
      <w:r w:rsidRPr="00942B5F">
        <w:t>ducation</w:t>
      </w:r>
      <w:r>
        <w:t>-</w:t>
      </w:r>
      <w:r w:rsidRPr="00942B5F">
        <w:t xml:space="preserve">related occupation) </w:t>
      </w:r>
      <w:r>
        <w:t xml:space="preserve">for </w:t>
      </w:r>
      <w:r w:rsidRPr="00942B5F">
        <w:t xml:space="preserve">functions performed by State and local agency staff are </w:t>
      </w:r>
      <w:r>
        <w:t>estimated</w:t>
      </w:r>
      <w:r w:rsidRPr="00942B5F">
        <w:t xml:space="preserve"> at $2</w:t>
      </w:r>
      <w:r w:rsidR="006B67DB">
        <w:t>5.</w:t>
      </w:r>
      <w:r w:rsidR="00AB2B99">
        <w:t>48</w:t>
      </w:r>
      <w:r w:rsidR="009704A1" w:rsidRPr="00942B5F">
        <w:t xml:space="preserve"> </w:t>
      </w:r>
      <w:r w:rsidRPr="00942B5F">
        <w:t>per staff hour.</w:t>
      </w:r>
    </w:p>
    <w:p w:rsidR="008448A6" w:rsidRDefault="008448A6" w:rsidP="008448A6">
      <w:pPr>
        <w:tabs>
          <w:tab w:val="left" w:pos="-720"/>
          <w:tab w:val="left" w:pos="0"/>
        </w:tabs>
        <w:suppressAutoHyphens/>
        <w:spacing w:line="480" w:lineRule="auto"/>
        <w:rPr>
          <w:rFonts w:ascii="Times New Roman" w:hAnsi="Times New Roman"/>
          <w:spacing w:val="-3"/>
          <w:szCs w:val="24"/>
        </w:rPr>
      </w:pPr>
      <w:r>
        <w:rPr>
          <w:rFonts w:ascii="Times New Roman" w:hAnsi="Times New Roman"/>
          <w:spacing w:val="-3"/>
          <w:szCs w:val="24"/>
        </w:rPr>
        <w:tab/>
      </w:r>
      <w:r w:rsidR="00C9323A">
        <w:rPr>
          <w:rFonts w:ascii="Times New Roman" w:hAnsi="Times New Roman"/>
          <w:spacing w:val="-3"/>
          <w:szCs w:val="24"/>
        </w:rPr>
        <w:t xml:space="preserve">TOTAL COST TO PUBLIC </w:t>
      </w:r>
      <w:r w:rsidR="00C931F9">
        <w:rPr>
          <w:rFonts w:ascii="Times New Roman" w:hAnsi="Times New Roman"/>
          <w:spacing w:val="-3"/>
          <w:szCs w:val="24"/>
        </w:rPr>
        <w:t xml:space="preserve">= </w:t>
      </w:r>
      <w:r w:rsidR="00C931F9" w:rsidRPr="007E4EF8">
        <w:rPr>
          <w:rFonts w:ascii="Times New Roman" w:hAnsi="Times New Roman"/>
          <w:spacing w:val="-3"/>
          <w:szCs w:val="24"/>
        </w:rPr>
        <w:t>784</w:t>
      </w:r>
      <w:r w:rsidRPr="007E4EF8">
        <w:rPr>
          <w:rFonts w:ascii="Times New Roman" w:hAnsi="Times New Roman"/>
          <w:spacing w:val="-3"/>
          <w:szCs w:val="24"/>
        </w:rPr>
        <w:t xml:space="preserve"> </w:t>
      </w:r>
      <w:proofErr w:type="gramStart"/>
      <w:r w:rsidRPr="007E4EF8">
        <w:rPr>
          <w:rFonts w:ascii="Times New Roman" w:hAnsi="Times New Roman"/>
          <w:spacing w:val="-3"/>
          <w:szCs w:val="24"/>
        </w:rPr>
        <w:t xml:space="preserve">hours </w:t>
      </w:r>
      <w:r w:rsidR="00C9323A" w:rsidRPr="007E4EF8">
        <w:rPr>
          <w:rFonts w:ascii="Times New Roman" w:hAnsi="Times New Roman"/>
          <w:spacing w:val="-3"/>
          <w:szCs w:val="24"/>
        </w:rPr>
        <w:t xml:space="preserve"> </w:t>
      </w:r>
      <w:r w:rsidRPr="007E4EF8">
        <w:rPr>
          <w:rFonts w:ascii="Times New Roman" w:hAnsi="Times New Roman"/>
          <w:spacing w:val="-3"/>
          <w:szCs w:val="24"/>
        </w:rPr>
        <w:t>X</w:t>
      </w:r>
      <w:proofErr w:type="gramEnd"/>
      <w:r w:rsidRPr="007E4EF8">
        <w:rPr>
          <w:rFonts w:ascii="Times New Roman" w:hAnsi="Times New Roman"/>
          <w:spacing w:val="-3"/>
          <w:szCs w:val="24"/>
        </w:rPr>
        <w:t xml:space="preserve"> </w:t>
      </w:r>
      <w:r w:rsidR="00C9323A" w:rsidRPr="007E4EF8">
        <w:rPr>
          <w:rFonts w:ascii="Times New Roman" w:hAnsi="Times New Roman"/>
          <w:spacing w:val="-3"/>
          <w:szCs w:val="24"/>
        </w:rPr>
        <w:t xml:space="preserve"> </w:t>
      </w:r>
      <w:r w:rsidRPr="007E4EF8">
        <w:rPr>
          <w:rFonts w:ascii="Times New Roman" w:hAnsi="Times New Roman"/>
          <w:spacing w:val="-3"/>
          <w:szCs w:val="24"/>
        </w:rPr>
        <w:t>$</w:t>
      </w:r>
      <w:r w:rsidR="007E4EF8" w:rsidRPr="007E4EF8">
        <w:rPr>
          <w:rFonts w:ascii="Times New Roman" w:hAnsi="Times New Roman"/>
          <w:spacing w:val="-3"/>
          <w:szCs w:val="24"/>
        </w:rPr>
        <w:t>25.</w:t>
      </w:r>
      <w:r w:rsidR="00AB2B99">
        <w:rPr>
          <w:rFonts w:ascii="Times New Roman" w:hAnsi="Times New Roman"/>
          <w:spacing w:val="-3"/>
          <w:szCs w:val="24"/>
        </w:rPr>
        <w:t>48</w:t>
      </w:r>
      <w:r w:rsidR="00AB2B99" w:rsidRPr="007E4EF8">
        <w:rPr>
          <w:rFonts w:ascii="Times New Roman" w:hAnsi="Times New Roman"/>
          <w:spacing w:val="-3"/>
          <w:szCs w:val="24"/>
        </w:rPr>
        <w:t xml:space="preserve"> </w:t>
      </w:r>
      <w:r w:rsidR="0025013B" w:rsidRPr="007E4EF8">
        <w:rPr>
          <w:rFonts w:ascii="Times New Roman" w:hAnsi="Times New Roman"/>
          <w:spacing w:val="-3"/>
          <w:szCs w:val="24"/>
        </w:rPr>
        <w:t>per hour =</w:t>
      </w:r>
      <w:r w:rsidR="00C9323A" w:rsidRPr="007E4EF8">
        <w:rPr>
          <w:rFonts w:ascii="Times New Roman" w:hAnsi="Times New Roman"/>
          <w:spacing w:val="-3"/>
          <w:szCs w:val="24"/>
        </w:rPr>
        <w:t xml:space="preserve">   </w:t>
      </w:r>
      <w:r w:rsidRPr="007E4EF8">
        <w:rPr>
          <w:rFonts w:ascii="Times New Roman" w:hAnsi="Times New Roman"/>
          <w:spacing w:val="-3"/>
          <w:szCs w:val="24"/>
        </w:rPr>
        <w:t>$19</w:t>
      </w:r>
      <w:r w:rsidR="0025013B" w:rsidRPr="007E4EF8">
        <w:rPr>
          <w:rFonts w:ascii="Times New Roman" w:hAnsi="Times New Roman"/>
          <w:spacing w:val="-3"/>
          <w:szCs w:val="24"/>
        </w:rPr>
        <w:t>,</w:t>
      </w:r>
      <w:r w:rsidR="00AB2B99">
        <w:rPr>
          <w:rFonts w:ascii="Times New Roman" w:hAnsi="Times New Roman"/>
          <w:spacing w:val="-3"/>
          <w:szCs w:val="24"/>
        </w:rPr>
        <w:t>976.32</w:t>
      </w:r>
    </w:p>
    <w:p w:rsidR="005E03A3" w:rsidRPr="001A1DC1" w:rsidRDefault="008448A6" w:rsidP="00C479DB">
      <w:pPr>
        <w:tabs>
          <w:tab w:val="left" w:pos="-720"/>
          <w:tab w:val="left" w:pos="0"/>
        </w:tabs>
        <w:suppressAutoHyphens/>
        <w:spacing w:line="480" w:lineRule="auto"/>
        <w:rPr>
          <w:rFonts w:ascii="Times New Roman" w:hAnsi="Times New Roman"/>
          <w:b/>
          <w:spacing w:val="-3"/>
          <w:szCs w:val="24"/>
        </w:rPr>
      </w:pPr>
      <w:r>
        <w:rPr>
          <w:rFonts w:ascii="Times New Roman" w:hAnsi="Times New Roman"/>
          <w:b/>
          <w:spacing w:val="-3"/>
          <w:szCs w:val="24"/>
        </w:rPr>
        <w:tab/>
      </w:r>
    </w:p>
    <w:p w:rsidR="008C6198" w:rsidRPr="00942B5F" w:rsidRDefault="008C6198" w:rsidP="00117534">
      <w:pPr>
        <w:pStyle w:val="ListParagraph"/>
        <w:numPr>
          <w:ilvl w:val="0"/>
          <w:numId w:val="32"/>
        </w:numPr>
        <w:tabs>
          <w:tab w:val="clear" w:pos="450"/>
        </w:tabs>
        <w:spacing w:line="480" w:lineRule="auto"/>
        <w:ind w:left="547" w:hanging="547"/>
        <w:outlineLvl w:val="0"/>
        <w:rPr>
          <w:b/>
          <w:bCs/>
        </w:rPr>
      </w:pPr>
      <w:bookmarkStart w:id="26" w:name="_Toc456365130"/>
      <w:r w:rsidRPr="00777D20">
        <w:rPr>
          <w:b/>
          <w:bCs/>
        </w:rPr>
        <w:t>Provide estimates of the total annual</w:t>
      </w:r>
      <w:r w:rsidRPr="00942B5F">
        <w:rPr>
          <w:b/>
          <w:bCs/>
        </w:rPr>
        <w:t xml:space="preserve"> cost burden to respondents or record keepers resulting from the collection of information, (do not include the cost of any hour burden shown in items 12 and 14).  The cost estimates should be split into two components: </w:t>
      </w:r>
      <w:r w:rsidR="008602AC">
        <w:rPr>
          <w:b/>
          <w:bCs/>
        </w:rPr>
        <w:t xml:space="preserve"> </w:t>
      </w:r>
      <w:r w:rsidRPr="00942B5F">
        <w:rPr>
          <w:b/>
          <w:bCs/>
        </w:rPr>
        <w:t>(a) a total capital and start-up cost component annualized over its expected useful life; and (b) a total operation and maintenance and purchase of services component.</w:t>
      </w:r>
      <w:bookmarkEnd w:id="26"/>
    </w:p>
    <w:p w:rsidR="0025013B" w:rsidRDefault="0025013B" w:rsidP="0025013B">
      <w:pPr>
        <w:tabs>
          <w:tab w:val="left" w:pos="-720"/>
          <w:tab w:val="left" w:pos="0"/>
        </w:tabs>
        <w:suppressAutoHyphens/>
        <w:spacing w:line="480" w:lineRule="auto"/>
        <w:ind w:left="547"/>
        <w:rPr>
          <w:rFonts w:ascii="Times New Roman" w:hAnsi="Times New Roman"/>
          <w:spacing w:val="-3"/>
          <w:szCs w:val="24"/>
        </w:rPr>
      </w:pPr>
    </w:p>
    <w:p w:rsidR="005C5F37" w:rsidRDefault="005C5F37" w:rsidP="0025013B">
      <w:pPr>
        <w:tabs>
          <w:tab w:val="left" w:pos="-720"/>
          <w:tab w:val="left" w:pos="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w:t>
      </w:r>
      <w:r w:rsidR="00EB71EE">
        <w:rPr>
          <w:rFonts w:ascii="Times New Roman" w:hAnsi="Times New Roman"/>
          <w:spacing w:val="-3"/>
          <w:szCs w:val="24"/>
        </w:rPr>
        <w:t>are</w:t>
      </w:r>
      <w:r>
        <w:rPr>
          <w:rFonts w:ascii="Times New Roman" w:hAnsi="Times New Roman"/>
          <w:spacing w:val="-3"/>
          <w:szCs w:val="24"/>
        </w:rPr>
        <w:t xml:space="preserve"> no</w:t>
      </w:r>
      <w:r w:rsidRPr="00DB087C">
        <w:rPr>
          <w:rFonts w:ascii="Times New Roman" w:hAnsi="Times New Roman"/>
          <w:spacing w:val="-3"/>
          <w:szCs w:val="24"/>
        </w:rPr>
        <w:t xml:space="preserve"> </w:t>
      </w:r>
      <w:r w:rsidR="00AB2B99">
        <w:rPr>
          <w:rFonts w:ascii="Times New Roman" w:hAnsi="Times New Roman"/>
          <w:spacing w:val="-3"/>
          <w:szCs w:val="24"/>
        </w:rPr>
        <w:t>capital/</w:t>
      </w:r>
      <w:r w:rsidRPr="00DB087C">
        <w:rPr>
          <w:rFonts w:ascii="Times New Roman" w:hAnsi="Times New Roman"/>
          <w:spacing w:val="-3"/>
          <w:szCs w:val="24"/>
        </w:rPr>
        <w:t>start-up or</w:t>
      </w:r>
      <w:r>
        <w:rPr>
          <w:rFonts w:ascii="Times New Roman" w:hAnsi="Times New Roman"/>
          <w:spacing w:val="-3"/>
          <w:szCs w:val="24"/>
        </w:rPr>
        <w:t xml:space="preserve"> annual </w:t>
      </w:r>
      <w:r w:rsidR="00AB2B99">
        <w:rPr>
          <w:rFonts w:ascii="Times New Roman" w:hAnsi="Times New Roman"/>
          <w:spacing w:val="-3"/>
          <w:szCs w:val="24"/>
        </w:rPr>
        <w:t>operation/</w:t>
      </w:r>
      <w:r>
        <w:rPr>
          <w:rFonts w:ascii="Times New Roman" w:hAnsi="Times New Roman"/>
          <w:spacing w:val="-3"/>
          <w:szCs w:val="24"/>
        </w:rPr>
        <w:t>maintenance costs for this collection of information</w:t>
      </w:r>
      <w:r w:rsidRPr="00DB087C">
        <w:rPr>
          <w:rFonts w:ascii="Times New Roman" w:hAnsi="Times New Roman"/>
          <w:spacing w:val="-3"/>
          <w:szCs w:val="24"/>
        </w:rPr>
        <w:t>.</w:t>
      </w:r>
    </w:p>
    <w:p w:rsidR="005E03A3" w:rsidRDefault="005E03A3" w:rsidP="00C479DB">
      <w:pPr>
        <w:tabs>
          <w:tab w:val="left" w:pos="-720"/>
        </w:tabs>
        <w:suppressAutoHyphens/>
        <w:spacing w:line="480" w:lineRule="auto"/>
        <w:outlineLvl w:val="0"/>
        <w:rPr>
          <w:rFonts w:ascii="Times New Roman" w:hAnsi="Times New Roman"/>
          <w:spacing w:val="-3"/>
          <w:szCs w:val="24"/>
        </w:rPr>
      </w:pPr>
    </w:p>
    <w:p w:rsidR="008C6198" w:rsidRDefault="008C6198" w:rsidP="00117534">
      <w:pPr>
        <w:pStyle w:val="p5"/>
        <w:numPr>
          <w:ilvl w:val="0"/>
          <w:numId w:val="32"/>
        </w:numPr>
        <w:tabs>
          <w:tab w:val="clear" w:pos="450"/>
          <w:tab w:val="clear" w:pos="663"/>
          <w:tab w:val="left" w:pos="540"/>
        </w:tabs>
        <w:spacing w:line="480" w:lineRule="auto"/>
        <w:ind w:left="540" w:hanging="450"/>
        <w:outlineLvl w:val="0"/>
      </w:pPr>
      <w:bookmarkStart w:id="27" w:name="_Toc456365131"/>
      <w:r w:rsidRPr="00942B5F">
        <w:rPr>
          <w:b/>
          <w:color w:val="000000"/>
        </w:rPr>
        <w:t xml:space="preserve">Provide estimates of annualized cost to the Federal government.  </w:t>
      </w:r>
      <w:r w:rsidRPr="00942B5F">
        <w:rPr>
          <w:b/>
        </w:rPr>
        <w:t xml:space="preserve">Also, provide a </w:t>
      </w:r>
      <w:r w:rsidR="00881B4B">
        <w:rPr>
          <w:b/>
        </w:rPr>
        <w:t xml:space="preserve"> </w:t>
      </w:r>
      <w:r w:rsidR="00881B4B">
        <w:rPr>
          <w:b/>
        </w:rPr>
        <w:br/>
        <w:t xml:space="preserve"> </w:t>
      </w:r>
      <w:r w:rsidRPr="00942B5F">
        <w:rPr>
          <w:b/>
        </w:rPr>
        <w:t>description of the method used to estimate cost and any other expense that would not</w:t>
      </w:r>
      <w:r w:rsidR="00881B4B">
        <w:rPr>
          <w:b/>
        </w:rPr>
        <w:br/>
      </w:r>
      <w:r w:rsidRPr="00942B5F">
        <w:rPr>
          <w:b/>
        </w:rPr>
        <w:t xml:space="preserve"> have been incurred without this collection of information.</w:t>
      </w:r>
      <w:bookmarkEnd w:id="27"/>
    </w:p>
    <w:p w:rsidR="0025013B" w:rsidRDefault="0025013B" w:rsidP="0025013B">
      <w:pPr>
        <w:spacing w:line="480" w:lineRule="auto"/>
        <w:ind w:left="540" w:right="720"/>
        <w:rPr>
          <w:rFonts w:ascii="Times New Roman" w:hAnsi="Times New Roman"/>
          <w:spacing w:val="-3"/>
          <w:szCs w:val="24"/>
        </w:rPr>
      </w:pPr>
    </w:p>
    <w:p w:rsidR="008448A6" w:rsidRDefault="0025013B" w:rsidP="006C75DB">
      <w:pPr>
        <w:spacing w:line="480" w:lineRule="auto"/>
        <w:ind w:left="540"/>
        <w:rPr>
          <w:rFonts w:ascii="Times New Roman" w:hAnsi="Times New Roman"/>
          <w:color w:val="000000"/>
        </w:rPr>
      </w:pPr>
      <w:r>
        <w:rPr>
          <w:rFonts w:ascii="Times New Roman" w:hAnsi="Times New Roman"/>
          <w:spacing w:val="-3"/>
          <w:szCs w:val="24"/>
        </w:rPr>
        <w:t xml:space="preserve">FNS </w:t>
      </w:r>
      <w:r w:rsidR="00E458DB">
        <w:rPr>
          <w:rFonts w:ascii="Times New Roman" w:hAnsi="Times New Roman"/>
          <w:spacing w:val="-3"/>
          <w:szCs w:val="24"/>
        </w:rPr>
        <w:t xml:space="preserve">identified </w:t>
      </w:r>
      <w:r>
        <w:rPr>
          <w:rFonts w:ascii="Times New Roman" w:hAnsi="Times New Roman"/>
          <w:spacing w:val="-3"/>
          <w:szCs w:val="24"/>
        </w:rPr>
        <w:t xml:space="preserve">CACFP NDL </w:t>
      </w:r>
      <w:r w:rsidR="00E458DB">
        <w:rPr>
          <w:rFonts w:ascii="Times New Roman" w:hAnsi="Times New Roman"/>
          <w:spacing w:val="-3"/>
          <w:szCs w:val="24"/>
        </w:rPr>
        <w:t>functions performed by FNS</w:t>
      </w:r>
      <w:r w:rsidR="00C9323A">
        <w:rPr>
          <w:rFonts w:ascii="Times New Roman" w:hAnsi="Times New Roman"/>
          <w:spacing w:val="-3"/>
          <w:szCs w:val="24"/>
        </w:rPr>
        <w:t xml:space="preserve"> </w:t>
      </w:r>
      <w:r>
        <w:rPr>
          <w:rFonts w:ascii="Times New Roman" w:hAnsi="Times New Roman"/>
          <w:spacing w:val="-3"/>
          <w:szCs w:val="24"/>
        </w:rPr>
        <w:t>R</w:t>
      </w:r>
      <w:r w:rsidR="00C9323A">
        <w:rPr>
          <w:rFonts w:ascii="Times New Roman" w:hAnsi="Times New Roman"/>
          <w:spacing w:val="-3"/>
          <w:szCs w:val="24"/>
        </w:rPr>
        <w:t>egional office</w:t>
      </w:r>
      <w:r>
        <w:rPr>
          <w:rFonts w:ascii="Times New Roman" w:hAnsi="Times New Roman"/>
          <w:spacing w:val="-3"/>
          <w:szCs w:val="24"/>
        </w:rPr>
        <w:t xml:space="preserve"> and Headquarters</w:t>
      </w:r>
      <w:r w:rsidR="00E458DB">
        <w:rPr>
          <w:rFonts w:ascii="Times New Roman" w:hAnsi="Times New Roman"/>
          <w:spacing w:val="-3"/>
          <w:szCs w:val="24"/>
        </w:rPr>
        <w:t xml:space="preserve"> staff </w:t>
      </w:r>
      <w:r w:rsidR="008448A6" w:rsidRPr="008448A6">
        <w:rPr>
          <w:rFonts w:ascii="Times New Roman" w:hAnsi="Times New Roman"/>
          <w:color w:val="000000"/>
        </w:rPr>
        <w:t xml:space="preserve">and obtained estimates of the </w:t>
      </w:r>
      <w:r>
        <w:rPr>
          <w:rFonts w:ascii="Times New Roman" w:hAnsi="Times New Roman"/>
          <w:color w:val="000000"/>
        </w:rPr>
        <w:t xml:space="preserve">total </w:t>
      </w:r>
      <w:r w:rsidR="008448A6" w:rsidRPr="008448A6">
        <w:rPr>
          <w:rFonts w:ascii="Times New Roman" w:hAnsi="Times New Roman"/>
          <w:color w:val="000000"/>
        </w:rPr>
        <w:t xml:space="preserve">number of staff hours spent performing these functions. </w:t>
      </w:r>
      <w:r w:rsidR="00C9323A">
        <w:rPr>
          <w:rFonts w:ascii="Times New Roman" w:hAnsi="Times New Roman"/>
          <w:color w:val="000000"/>
        </w:rPr>
        <w:t xml:space="preserve"> </w:t>
      </w:r>
      <w:r w:rsidR="008448A6" w:rsidRPr="008448A6">
        <w:rPr>
          <w:rFonts w:ascii="Times New Roman" w:hAnsi="Times New Roman"/>
          <w:color w:val="000000"/>
        </w:rPr>
        <w:t>The estimated number of staff hours spent in</w:t>
      </w:r>
      <w:r w:rsidR="005B3FFD">
        <w:rPr>
          <w:rFonts w:ascii="Times New Roman" w:hAnsi="Times New Roman"/>
          <w:color w:val="000000"/>
        </w:rPr>
        <w:t xml:space="preserve"> a year dealing with NDL</w:t>
      </w:r>
      <w:r w:rsidR="008448A6" w:rsidRPr="008448A6">
        <w:rPr>
          <w:rFonts w:ascii="Times New Roman" w:hAnsi="Times New Roman"/>
          <w:color w:val="000000"/>
        </w:rPr>
        <w:t xml:space="preserve"> </w:t>
      </w:r>
      <w:r>
        <w:rPr>
          <w:rFonts w:ascii="Times New Roman" w:hAnsi="Times New Roman"/>
          <w:color w:val="000000"/>
        </w:rPr>
        <w:t>issues</w:t>
      </w:r>
      <w:r w:rsidRPr="008448A6">
        <w:rPr>
          <w:rFonts w:ascii="Times New Roman" w:hAnsi="Times New Roman"/>
          <w:color w:val="000000"/>
        </w:rPr>
        <w:t xml:space="preserve"> </w:t>
      </w:r>
      <w:r w:rsidR="008448A6" w:rsidRPr="008448A6">
        <w:rPr>
          <w:rFonts w:ascii="Times New Roman" w:hAnsi="Times New Roman"/>
          <w:color w:val="000000"/>
        </w:rPr>
        <w:t xml:space="preserve">is </w:t>
      </w:r>
      <w:r w:rsidR="00260195">
        <w:rPr>
          <w:rFonts w:ascii="Times New Roman" w:hAnsi="Times New Roman"/>
          <w:color w:val="000000"/>
        </w:rPr>
        <w:t xml:space="preserve">160.  </w:t>
      </w:r>
      <w:r>
        <w:rPr>
          <w:rFonts w:ascii="Times New Roman" w:hAnsi="Times New Roman"/>
          <w:color w:val="000000"/>
        </w:rPr>
        <w:t>FNS</w:t>
      </w:r>
      <w:r w:rsidRPr="008448A6">
        <w:rPr>
          <w:rFonts w:ascii="Times New Roman" w:hAnsi="Times New Roman"/>
          <w:color w:val="000000"/>
        </w:rPr>
        <w:t xml:space="preserve"> </w:t>
      </w:r>
      <w:r w:rsidR="008448A6" w:rsidRPr="008448A6">
        <w:rPr>
          <w:rFonts w:ascii="Times New Roman" w:hAnsi="Times New Roman"/>
          <w:color w:val="000000"/>
        </w:rPr>
        <w:t>computed the cost using the hourly wage of a GS 12/06.</w:t>
      </w:r>
    </w:p>
    <w:p w:rsidR="00C72CFB" w:rsidRPr="008448A6" w:rsidRDefault="00C72CFB" w:rsidP="0025013B">
      <w:pPr>
        <w:spacing w:line="480" w:lineRule="auto"/>
        <w:ind w:left="540" w:right="720"/>
        <w:rPr>
          <w:rFonts w:ascii="Times New Roman" w:hAnsi="Times New Roman"/>
          <w:color w:val="000000"/>
        </w:rPr>
      </w:pPr>
    </w:p>
    <w:p w:rsidR="00AB7C6E" w:rsidRPr="007E4EF8" w:rsidRDefault="00AB7C6E" w:rsidP="006C75DB">
      <w:pPr>
        <w:spacing w:line="480" w:lineRule="auto"/>
        <w:ind w:left="540"/>
        <w:rPr>
          <w:rFonts w:ascii="Times New Roman" w:hAnsi="Times New Roman"/>
          <w:color w:val="000000"/>
        </w:rPr>
      </w:pPr>
      <w:proofErr w:type="gramStart"/>
      <w:r w:rsidRPr="007E4EF8">
        <w:rPr>
          <w:rFonts w:ascii="Times New Roman" w:hAnsi="Times New Roman"/>
          <w:color w:val="000000"/>
        </w:rPr>
        <w:t>$</w:t>
      </w:r>
      <w:r w:rsidR="008A659D">
        <w:rPr>
          <w:rFonts w:ascii="Times New Roman" w:hAnsi="Times New Roman"/>
          <w:color w:val="000000"/>
        </w:rPr>
        <w:t>43.32</w:t>
      </w:r>
      <w:r w:rsidR="00C72CFB" w:rsidRPr="007E4EF8">
        <w:rPr>
          <w:rFonts w:ascii="Times New Roman" w:hAnsi="Times New Roman"/>
          <w:color w:val="000000"/>
        </w:rPr>
        <w:t xml:space="preserve"> X </w:t>
      </w:r>
      <w:r w:rsidRPr="007E4EF8">
        <w:rPr>
          <w:rFonts w:ascii="Times New Roman" w:hAnsi="Times New Roman"/>
          <w:color w:val="000000"/>
        </w:rPr>
        <w:t>160 hrs.</w:t>
      </w:r>
      <w:proofErr w:type="gramEnd"/>
      <w:r w:rsidRPr="007E4EF8">
        <w:rPr>
          <w:rFonts w:ascii="Times New Roman" w:hAnsi="Times New Roman"/>
          <w:color w:val="000000"/>
        </w:rPr>
        <w:t xml:space="preserve"> = $</w:t>
      </w:r>
      <w:r w:rsidR="008A659D">
        <w:rPr>
          <w:rFonts w:ascii="Times New Roman" w:hAnsi="Times New Roman"/>
          <w:color w:val="000000"/>
        </w:rPr>
        <w:t>6,931.20</w:t>
      </w:r>
      <w:r w:rsidR="008448A6" w:rsidRPr="007E4EF8">
        <w:rPr>
          <w:rFonts w:ascii="Times New Roman" w:hAnsi="Times New Roman"/>
          <w:color w:val="000000"/>
        </w:rPr>
        <w:t xml:space="preserve"> (estimated annualized</w:t>
      </w:r>
      <w:r w:rsidR="0025013B" w:rsidRPr="007E4EF8">
        <w:rPr>
          <w:rFonts w:ascii="Times New Roman" w:hAnsi="Times New Roman"/>
          <w:color w:val="000000"/>
        </w:rPr>
        <w:t xml:space="preserve"> cost to the Federal government</w:t>
      </w:r>
      <w:r w:rsidR="002D45AE" w:rsidRPr="007E4EF8">
        <w:rPr>
          <w:rFonts w:ascii="Times New Roman" w:hAnsi="Times New Roman"/>
          <w:color w:val="000000"/>
        </w:rPr>
        <w:t>)</w:t>
      </w:r>
    </w:p>
    <w:p w:rsidR="00AB7C6E" w:rsidRPr="007E4EF8" w:rsidRDefault="00AB7C6E" w:rsidP="00E458DB">
      <w:pPr>
        <w:tabs>
          <w:tab w:val="left" w:pos="-720"/>
        </w:tabs>
        <w:suppressAutoHyphens/>
        <w:rPr>
          <w:rFonts w:ascii="Times New Roman" w:hAnsi="Times New Roman"/>
          <w:spacing w:val="-3"/>
          <w:szCs w:val="24"/>
        </w:rPr>
      </w:pPr>
    </w:p>
    <w:p w:rsidR="0025013B" w:rsidRPr="007E4EF8" w:rsidRDefault="0025013B" w:rsidP="00E458DB">
      <w:pPr>
        <w:tabs>
          <w:tab w:val="left" w:pos="-720"/>
        </w:tabs>
        <w:suppressAutoHyphens/>
        <w:rPr>
          <w:rFonts w:ascii="Times New Roman" w:hAnsi="Times New Roman"/>
          <w:spacing w:val="-3"/>
          <w:szCs w:val="24"/>
        </w:rPr>
      </w:pPr>
    </w:p>
    <w:p w:rsidR="00E458DB" w:rsidRPr="007E4EF8" w:rsidRDefault="00BB7AE4" w:rsidP="00E458DB">
      <w:pPr>
        <w:tabs>
          <w:tab w:val="left" w:pos="-720"/>
        </w:tabs>
        <w:suppressAutoHyphens/>
        <w:rPr>
          <w:rFonts w:ascii="Times New Roman" w:hAnsi="Times New Roman"/>
          <w:spacing w:val="-3"/>
          <w:szCs w:val="24"/>
        </w:rPr>
      </w:pPr>
      <w:r w:rsidRPr="007E4EF8">
        <w:rPr>
          <w:rFonts w:ascii="Times New Roman" w:hAnsi="Times New Roman"/>
          <w:spacing w:val="-3"/>
          <w:szCs w:val="24"/>
        </w:rPr>
        <w:tab/>
      </w:r>
      <w:r w:rsidR="00E458DB" w:rsidRPr="007E4EF8">
        <w:rPr>
          <w:rFonts w:ascii="Times New Roman" w:hAnsi="Times New Roman"/>
          <w:spacing w:val="-3"/>
          <w:szCs w:val="24"/>
        </w:rPr>
        <w:t>Table A14.1 – Estimated Annualized Cost to the Federal Government</w:t>
      </w:r>
    </w:p>
    <w:p w:rsidR="00E458DB" w:rsidRPr="007E4EF8" w:rsidRDefault="00E458DB" w:rsidP="00E458DB">
      <w:pPr>
        <w:tabs>
          <w:tab w:val="left" w:pos="-720"/>
        </w:tabs>
        <w:suppressAutoHyphens/>
        <w:rPr>
          <w:rFonts w:ascii="Times New Roman" w:hAnsi="Times New Roman"/>
          <w:bCs/>
          <w:spacing w:val="-3"/>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340"/>
        <w:gridCol w:w="2790"/>
        <w:gridCol w:w="1710"/>
      </w:tblGrid>
      <w:tr w:rsidR="007B68A2" w:rsidRPr="007E4EF8" w:rsidTr="009B4845">
        <w:tc>
          <w:tcPr>
            <w:tcW w:w="1890" w:type="dxa"/>
          </w:tcPr>
          <w:p w:rsidR="002A0644" w:rsidRPr="007E4EF8" w:rsidRDefault="002A0644" w:rsidP="00416310">
            <w:pPr>
              <w:tabs>
                <w:tab w:val="left" w:pos="-720"/>
              </w:tabs>
              <w:suppressAutoHyphens/>
              <w:jc w:val="center"/>
              <w:rPr>
                <w:rFonts w:ascii="Times New Roman" w:hAnsi="Times New Roman"/>
                <w:b/>
                <w:bCs/>
                <w:spacing w:val="-3"/>
                <w:szCs w:val="24"/>
              </w:rPr>
            </w:pPr>
            <w:r w:rsidRPr="007E4EF8">
              <w:rPr>
                <w:rFonts w:ascii="Times New Roman" w:hAnsi="Times New Roman"/>
                <w:b/>
                <w:bCs/>
                <w:spacing w:val="-3"/>
                <w:szCs w:val="24"/>
              </w:rPr>
              <w:t>Staff</w:t>
            </w:r>
          </w:p>
        </w:tc>
        <w:tc>
          <w:tcPr>
            <w:tcW w:w="2340" w:type="dxa"/>
          </w:tcPr>
          <w:p w:rsidR="002A0644" w:rsidRPr="007E4EF8" w:rsidRDefault="002A0644" w:rsidP="00416310">
            <w:pPr>
              <w:tabs>
                <w:tab w:val="left" w:pos="-720"/>
              </w:tabs>
              <w:suppressAutoHyphens/>
              <w:jc w:val="center"/>
              <w:rPr>
                <w:rFonts w:ascii="Times New Roman" w:hAnsi="Times New Roman"/>
                <w:b/>
                <w:bCs/>
                <w:spacing w:val="-3"/>
                <w:szCs w:val="24"/>
              </w:rPr>
            </w:pPr>
            <w:r w:rsidRPr="007E4EF8">
              <w:rPr>
                <w:rFonts w:ascii="Times New Roman" w:hAnsi="Times New Roman"/>
                <w:b/>
                <w:bCs/>
                <w:spacing w:val="-3"/>
                <w:szCs w:val="24"/>
              </w:rPr>
              <w:t>Activity</w:t>
            </w:r>
          </w:p>
        </w:tc>
        <w:tc>
          <w:tcPr>
            <w:tcW w:w="2790" w:type="dxa"/>
          </w:tcPr>
          <w:p w:rsidR="002A0644" w:rsidRPr="007E4EF8" w:rsidRDefault="002A0644" w:rsidP="00416310">
            <w:pPr>
              <w:tabs>
                <w:tab w:val="left" w:pos="-720"/>
              </w:tabs>
              <w:suppressAutoHyphens/>
              <w:jc w:val="center"/>
              <w:rPr>
                <w:rFonts w:ascii="Times New Roman" w:hAnsi="Times New Roman"/>
                <w:b/>
                <w:bCs/>
                <w:spacing w:val="-3"/>
                <w:szCs w:val="24"/>
              </w:rPr>
            </w:pPr>
            <w:r w:rsidRPr="007E4EF8">
              <w:rPr>
                <w:rFonts w:ascii="Times New Roman" w:hAnsi="Times New Roman"/>
                <w:b/>
                <w:bCs/>
                <w:spacing w:val="-3"/>
                <w:szCs w:val="24"/>
              </w:rPr>
              <w:t>Hours</w:t>
            </w:r>
          </w:p>
        </w:tc>
        <w:tc>
          <w:tcPr>
            <w:tcW w:w="1710" w:type="dxa"/>
          </w:tcPr>
          <w:p w:rsidR="002A0644" w:rsidRPr="007E4EF8" w:rsidRDefault="002A0644" w:rsidP="00416310">
            <w:pPr>
              <w:tabs>
                <w:tab w:val="left" w:pos="-720"/>
              </w:tabs>
              <w:suppressAutoHyphens/>
              <w:jc w:val="center"/>
              <w:rPr>
                <w:rFonts w:ascii="Times New Roman" w:hAnsi="Times New Roman"/>
                <w:b/>
                <w:bCs/>
                <w:spacing w:val="-3"/>
                <w:szCs w:val="24"/>
              </w:rPr>
            </w:pPr>
            <w:r w:rsidRPr="007E4EF8">
              <w:rPr>
                <w:rFonts w:ascii="Times New Roman" w:hAnsi="Times New Roman"/>
                <w:b/>
                <w:bCs/>
                <w:spacing w:val="-3"/>
                <w:szCs w:val="24"/>
              </w:rPr>
              <w:t>Cost Estimate</w:t>
            </w:r>
          </w:p>
          <w:p w:rsidR="002A0644" w:rsidRPr="007E4EF8" w:rsidRDefault="002A0644" w:rsidP="00416310">
            <w:pPr>
              <w:tabs>
                <w:tab w:val="left" w:pos="-720"/>
              </w:tabs>
              <w:suppressAutoHyphens/>
              <w:jc w:val="center"/>
              <w:rPr>
                <w:rFonts w:ascii="Times New Roman" w:hAnsi="Times New Roman"/>
                <w:b/>
                <w:bCs/>
                <w:spacing w:val="-3"/>
                <w:szCs w:val="24"/>
              </w:rPr>
            </w:pPr>
            <w:r w:rsidRPr="007E4EF8">
              <w:rPr>
                <w:rFonts w:ascii="Times New Roman" w:hAnsi="Times New Roman"/>
                <w:b/>
                <w:bCs/>
                <w:spacing w:val="-3"/>
                <w:szCs w:val="24"/>
              </w:rPr>
              <w:t>(hourly rate)</w:t>
            </w:r>
          </w:p>
        </w:tc>
      </w:tr>
      <w:tr w:rsidR="007B68A2" w:rsidRPr="007E4EF8" w:rsidTr="009B4845">
        <w:tc>
          <w:tcPr>
            <w:tcW w:w="1890" w:type="dxa"/>
          </w:tcPr>
          <w:p w:rsidR="007B68A2" w:rsidRPr="007E4EF8" w:rsidRDefault="005B3FFD" w:rsidP="007B68A2">
            <w:pPr>
              <w:tabs>
                <w:tab w:val="left" w:pos="-720"/>
              </w:tabs>
              <w:suppressAutoHyphens/>
              <w:rPr>
                <w:rFonts w:ascii="Times New Roman" w:hAnsi="Times New Roman"/>
                <w:bCs/>
                <w:spacing w:val="-3"/>
                <w:szCs w:val="24"/>
              </w:rPr>
            </w:pPr>
            <w:r w:rsidRPr="007E4EF8">
              <w:rPr>
                <w:rFonts w:ascii="Times New Roman" w:hAnsi="Times New Roman"/>
                <w:bCs/>
                <w:spacing w:val="-3"/>
                <w:szCs w:val="24"/>
              </w:rPr>
              <w:t>FNS Staff</w:t>
            </w:r>
            <w:r w:rsidR="007B68A2" w:rsidRPr="007E4EF8">
              <w:rPr>
                <w:rFonts w:ascii="Times New Roman" w:hAnsi="Times New Roman"/>
                <w:bCs/>
                <w:spacing w:val="-3"/>
                <w:szCs w:val="24"/>
              </w:rPr>
              <w:t xml:space="preserve">:  </w:t>
            </w:r>
          </w:p>
          <w:p w:rsidR="006072F6" w:rsidRPr="007E4EF8" w:rsidRDefault="008448A6" w:rsidP="007B68A2">
            <w:pPr>
              <w:tabs>
                <w:tab w:val="left" w:pos="-720"/>
              </w:tabs>
              <w:suppressAutoHyphens/>
              <w:rPr>
                <w:rFonts w:ascii="Times New Roman" w:hAnsi="Times New Roman"/>
                <w:bCs/>
                <w:spacing w:val="-3"/>
                <w:szCs w:val="24"/>
              </w:rPr>
            </w:pPr>
            <w:r w:rsidRPr="007E4EF8">
              <w:rPr>
                <w:rFonts w:ascii="Times New Roman" w:hAnsi="Times New Roman"/>
                <w:bCs/>
                <w:spacing w:val="-3"/>
                <w:szCs w:val="24"/>
              </w:rPr>
              <w:t>GS-12</w:t>
            </w:r>
            <w:r w:rsidR="006072F6" w:rsidRPr="007E4EF8">
              <w:rPr>
                <w:rFonts w:ascii="Times New Roman" w:hAnsi="Times New Roman"/>
                <w:bCs/>
                <w:spacing w:val="-3"/>
                <w:szCs w:val="24"/>
              </w:rPr>
              <w:t xml:space="preserve">/Step </w:t>
            </w:r>
            <w:r w:rsidRPr="007E4EF8">
              <w:rPr>
                <w:rFonts w:ascii="Times New Roman" w:hAnsi="Times New Roman"/>
                <w:bCs/>
                <w:spacing w:val="-3"/>
                <w:szCs w:val="24"/>
              </w:rPr>
              <w:t>6</w:t>
            </w:r>
          </w:p>
        </w:tc>
        <w:tc>
          <w:tcPr>
            <w:tcW w:w="2340" w:type="dxa"/>
          </w:tcPr>
          <w:p w:rsidR="002A0644" w:rsidRPr="007E4EF8" w:rsidRDefault="0025013B" w:rsidP="0025013B">
            <w:pPr>
              <w:tabs>
                <w:tab w:val="left" w:pos="-720"/>
              </w:tabs>
              <w:suppressAutoHyphens/>
              <w:rPr>
                <w:rFonts w:ascii="Times New Roman" w:hAnsi="Times New Roman"/>
                <w:bCs/>
                <w:spacing w:val="-3"/>
                <w:szCs w:val="24"/>
              </w:rPr>
            </w:pPr>
            <w:r w:rsidRPr="007E4EF8">
              <w:rPr>
                <w:rFonts w:ascii="Times New Roman" w:hAnsi="Times New Roman"/>
                <w:bCs/>
                <w:spacing w:val="-3"/>
                <w:szCs w:val="24"/>
              </w:rPr>
              <w:t>Reviewing</w:t>
            </w:r>
            <w:r w:rsidR="002A0644" w:rsidRPr="007E4EF8">
              <w:rPr>
                <w:rFonts w:ascii="Times New Roman" w:hAnsi="Times New Roman"/>
                <w:bCs/>
                <w:spacing w:val="-3"/>
                <w:szCs w:val="24"/>
              </w:rPr>
              <w:t>/</w:t>
            </w:r>
            <w:r w:rsidRPr="007E4EF8">
              <w:rPr>
                <w:rFonts w:ascii="Times New Roman" w:hAnsi="Times New Roman"/>
                <w:bCs/>
                <w:spacing w:val="-3"/>
                <w:szCs w:val="24"/>
              </w:rPr>
              <w:t>Editing</w:t>
            </w:r>
            <w:r w:rsidR="002A0644" w:rsidRPr="007E4EF8">
              <w:rPr>
                <w:rFonts w:ascii="Times New Roman" w:hAnsi="Times New Roman"/>
                <w:bCs/>
                <w:spacing w:val="-3"/>
                <w:szCs w:val="24"/>
              </w:rPr>
              <w:t xml:space="preserve"> Data Collection</w:t>
            </w:r>
          </w:p>
        </w:tc>
        <w:tc>
          <w:tcPr>
            <w:tcW w:w="2790" w:type="dxa"/>
          </w:tcPr>
          <w:p w:rsidR="002A0644" w:rsidRPr="007E4EF8" w:rsidRDefault="00260195" w:rsidP="003E76B4">
            <w:pPr>
              <w:tabs>
                <w:tab w:val="left" w:pos="-720"/>
              </w:tabs>
              <w:suppressAutoHyphens/>
              <w:rPr>
                <w:rFonts w:ascii="Times New Roman" w:hAnsi="Times New Roman"/>
                <w:bCs/>
                <w:spacing w:val="-3"/>
                <w:szCs w:val="24"/>
              </w:rPr>
            </w:pPr>
            <w:r w:rsidRPr="007E4EF8">
              <w:rPr>
                <w:rFonts w:ascii="Times New Roman" w:hAnsi="Times New Roman"/>
                <w:bCs/>
                <w:spacing w:val="-3"/>
                <w:szCs w:val="24"/>
              </w:rPr>
              <w:t>160</w:t>
            </w:r>
            <w:r w:rsidR="00544BF8" w:rsidRPr="007E4EF8">
              <w:rPr>
                <w:rFonts w:ascii="Times New Roman" w:hAnsi="Times New Roman"/>
                <w:bCs/>
                <w:spacing w:val="-3"/>
                <w:szCs w:val="24"/>
              </w:rPr>
              <w:t xml:space="preserve"> </w:t>
            </w:r>
            <w:r w:rsidR="002A0644" w:rsidRPr="007E4EF8">
              <w:rPr>
                <w:rFonts w:ascii="Times New Roman" w:hAnsi="Times New Roman"/>
                <w:bCs/>
                <w:spacing w:val="-3"/>
                <w:szCs w:val="24"/>
              </w:rPr>
              <w:t>hours x $</w:t>
            </w:r>
            <w:r w:rsidR="008A659D">
              <w:rPr>
                <w:rFonts w:ascii="Times New Roman" w:hAnsi="Times New Roman"/>
                <w:bCs/>
                <w:spacing w:val="-3"/>
                <w:szCs w:val="24"/>
              </w:rPr>
              <w:t>43.32</w:t>
            </w:r>
          </w:p>
        </w:tc>
        <w:tc>
          <w:tcPr>
            <w:tcW w:w="1710" w:type="dxa"/>
          </w:tcPr>
          <w:p w:rsidR="002A0644" w:rsidRPr="007E4EF8" w:rsidRDefault="002A0644" w:rsidP="003E76B4">
            <w:pPr>
              <w:tabs>
                <w:tab w:val="left" w:pos="-720"/>
              </w:tabs>
              <w:suppressAutoHyphens/>
              <w:rPr>
                <w:rFonts w:ascii="Times New Roman" w:hAnsi="Times New Roman"/>
                <w:bCs/>
                <w:spacing w:val="-3"/>
                <w:szCs w:val="24"/>
              </w:rPr>
            </w:pPr>
            <w:r w:rsidRPr="007E4EF8">
              <w:rPr>
                <w:rFonts w:ascii="Times New Roman" w:hAnsi="Times New Roman"/>
                <w:bCs/>
                <w:spacing w:val="-3"/>
                <w:szCs w:val="24"/>
              </w:rPr>
              <w:t>$</w:t>
            </w:r>
            <w:r w:rsidR="00626A0B">
              <w:rPr>
                <w:rFonts w:ascii="Times New Roman" w:hAnsi="Times New Roman"/>
                <w:bCs/>
                <w:spacing w:val="-3"/>
                <w:szCs w:val="24"/>
              </w:rPr>
              <w:t>6</w:t>
            </w:r>
            <w:r w:rsidR="00D85152">
              <w:rPr>
                <w:rFonts w:ascii="Times New Roman" w:hAnsi="Times New Roman"/>
                <w:bCs/>
                <w:spacing w:val="-3"/>
                <w:szCs w:val="24"/>
              </w:rPr>
              <w:t>,</w:t>
            </w:r>
            <w:r w:rsidR="00626A0B">
              <w:rPr>
                <w:rFonts w:ascii="Times New Roman" w:hAnsi="Times New Roman"/>
                <w:bCs/>
                <w:spacing w:val="-3"/>
                <w:szCs w:val="24"/>
              </w:rPr>
              <w:t>931.20</w:t>
            </w:r>
          </w:p>
        </w:tc>
      </w:tr>
    </w:tbl>
    <w:p w:rsidR="00E458DB" w:rsidRPr="000C2F71" w:rsidRDefault="00BB7AE4" w:rsidP="00D85152">
      <w:pPr>
        <w:tabs>
          <w:tab w:val="left" w:pos="-720"/>
          <w:tab w:val="left" w:pos="720"/>
        </w:tabs>
        <w:suppressAutoHyphens/>
        <w:ind w:left="720" w:hanging="720"/>
        <w:rPr>
          <w:rFonts w:ascii="Times New Roman" w:hAnsi="Times New Roman"/>
          <w:bCs/>
          <w:spacing w:val="-3"/>
          <w:sz w:val="20"/>
        </w:rPr>
      </w:pPr>
      <w:r w:rsidRPr="007E4EF8">
        <w:rPr>
          <w:rFonts w:ascii="Times New Roman" w:hAnsi="Times New Roman"/>
          <w:bCs/>
          <w:spacing w:val="-3"/>
          <w:sz w:val="20"/>
        </w:rPr>
        <w:tab/>
      </w:r>
      <w:r w:rsidR="00E458DB" w:rsidRPr="007E4EF8">
        <w:rPr>
          <w:rFonts w:ascii="Times New Roman" w:hAnsi="Times New Roman"/>
          <w:bCs/>
          <w:spacing w:val="-3"/>
          <w:sz w:val="20"/>
        </w:rPr>
        <w:t xml:space="preserve">FNS HQ Staff:  Using the Federal Salary Table </w:t>
      </w:r>
      <w:r w:rsidR="0030507D">
        <w:rPr>
          <w:rFonts w:ascii="Times New Roman" w:hAnsi="Times New Roman"/>
          <w:bCs/>
          <w:spacing w:val="-3"/>
          <w:sz w:val="20"/>
        </w:rPr>
        <w:t xml:space="preserve">Jan </w:t>
      </w:r>
      <w:r w:rsidR="00E458DB" w:rsidRPr="007E4EF8">
        <w:rPr>
          <w:rFonts w:ascii="Times New Roman" w:hAnsi="Times New Roman"/>
          <w:bCs/>
          <w:spacing w:val="-3"/>
          <w:sz w:val="20"/>
        </w:rPr>
        <w:t>201</w:t>
      </w:r>
      <w:r w:rsidR="007E4EF8">
        <w:rPr>
          <w:rFonts w:ascii="Times New Roman" w:hAnsi="Times New Roman"/>
          <w:bCs/>
          <w:spacing w:val="-3"/>
          <w:sz w:val="20"/>
        </w:rPr>
        <w:t>6</w:t>
      </w:r>
      <w:r w:rsidR="00E458DB" w:rsidRPr="007E4EF8">
        <w:rPr>
          <w:rFonts w:ascii="Times New Roman" w:hAnsi="Times New Roman"/>
          <w:bCs/>
          <w:spacing w:val="-3"/>
          <w:sz w:val="20"/>
        </w:rPr>
        <w:t xml:space="preserve"> hourly rate of $</w:t>
      </w:r>
      <w:r w:rsidR="008A659D">
        <w:rPr>
          <w:rFonts w:ascii="Times New Roman" w:hAnsi="Times New Roman"/>
          <w:bCs/>
          <w:spacing w:val="-3"/>
          <w:sz w:val="20"/>
        </w:rPr>
        <w:t xml:space="preserve">43.32 </w:t>
      </w:r>
      <w:r w:rsidR="00C72CFB" w:rsidRPr="007E4EF8">
        <w:rPr>
          <w:rFonts w:ascii="Times New Roman" w:hAnsi="Times New Roman"/>
          <w:bCs/>
          <w:spacing w:val="-3"/>
          <w:sz w:val="20"/>
        </w:rPr>
        <w:t>for</w:t>
      </w:r>
      <w:r w:rsidR="00E458DB" w:rsidRPr="007E4EF8">
        <w:rPr>
          <w:rFonts w:ascii="Times New Roman" w:hAnsi="Times New Roman"/>
          <w:bCs/>
          <w:spacing w:val="-3"/>
          <w:sz w:val="20"/>
        </w:rPr>
        <w:t xml:space="preserve"> a GS-</w:t>
      </w:r>
      <w:r w:rsidR="002D45AE" w:rsidRPr="007E4EF8">
        <w:rPr>
          <w:rFonts w:ascii="Times New Roman" w:hAnsi="Times New Roman"/>
          <w:bCs/>
          <w:spacing w:val="-3"/>
          <w:sz w:val="20"/>
        </w:rPr>
        <w:t>12/06</w:t>
      </w:r>
      <w:r w:rsidR="00E458DB" w:rsidRPr="00CD4EC2">
        <w:rPr>
          <w:rFonts w:ascii="Times New Roman" w:hAnsi="Times New Roman"/>
          <w:bCs/>
          <w:spacing w:val="-3"/>
          <w:sz w:val="20"/>
        </w:rPr>
        <w:t xml:space="preserve"> </w:t>
      </w:r>
      <w:r w:rsidR="00AB2B99">
        <w:rPr>
          <w:rFonts w:ascii="Times New Roman" w:hAnsi="Times New Roman"/>
          <w:bCs/>
          <w:spacing w:val="-3"/>
          <w:sz w:val="20"/>
        </w:rPr>
        <w:t>from the Washington-Baltimore-Arlington, DC-MD-VA-WV-PA General Schedule.</w:t>
      </w:r>
    </w:p>
    <w:p w:rsidR="00E458DB" w:rsidRPr="000C2F71" w:rsidRDefault="00BB7AE4" w:rsidP="00E458DB">
      <w:pPr>
        <w:tabs>
          <w:tab w:val="left" w:pos="-720"/>
        </w:tabs>
        <w:suppressAutoHyphens/>
        <w:rPr>
          <w:rFonts w:ascii="Times New Roman" w:hAnsi="Times New Roman"/>
          <w:bCs/>
          <w:spacing w:val="-3"/>
          <w:sz w:val="20"/>
        </w:rPr>
      </w:pPr>
      <w:r>
        <w:rPr>
          <w:rFonts w:ascii="Times New Roman" w:hAnsi="Times New Roman"/>
          <w:bCs/>
          <w:spacing w:val="-3"/>
          <w:sz w:val="20"/>
        </w:rPr>
        <w:tab/>
      </w:r>
      <w:r w:rsidR="00E458DB" w:rsidRPr="00CD4EC2">
        <w:rPr>
          <w:rFonts w:ascii="Times New Roman" w:hAnsi="Times New Roman"/>
          <w:bCs/>
          <w:spacing w:val="-3"/>
          <w:sz w:val="20"/>
        </w:rPr>
        <w:t xml:space="preserve"> </w:t>
      </w:r>
    </w:p>
    <w:p w:rsidR="005E03A3" w:rsidRDefault="005E03A3" w:rsidP="00E458DB">
      <w:pPr>
        <w:tabs>
          <w:tab w:val="left" w:pos="-720"/>
        </w:tabs>
        <w:suppressAutoHyphens/>
        <w:spacing w:line="480" w:lineRule="auto"/>
        <w:ind w:left="450" w:hanging="720"/>
        <w:rPr>
          <w:rFonts w:ascii="Times New Roman" w:hAnsi="Times New Roman"/>
          <w:spacing w:val="-3"/>
          <w:szCs w:val="24"/>
        </w:rPr>
      </w:pPr>
    </w:p>
    <w:p w:rsidR="008C6198" w:rsidRPr="00942B5F" w:rsidRDefault="008C6198" w:rsidP="00117534">
      <w:pPr>
        <w:pStyle w:val="p5"/>
        <w:numPr>
          <w:ilvl w:val="0"/>
          <w:numId w:val="32"/>
        </w:numPr>
        <w:tabs>
          <w:tab w:val="clear" w:pos="450"/>
          <w:tab w:val="clear" w:pos="663"/>
          <w:tab w:val="num" w:pos="540"/>
        </w:tabs>
        <w:spacing w:line="480" w:lineRule="auto"/>
        <w:ind w:left="540" w:hanging="540"/>
        <w:outlineLvl w:val="0"/>
        <w:rPr>
          <w:b/>
          <w:color w:val="000000"/>
        </w:rPr>
      </w:pPr>
      <w:bookmarkStart w:id="28" w:name="_Toc456365132"/>
      <w:r w:rsidRPr="00942B5F">
        <w:rPr>
          <w:b/>
          <w:color w:val="000000"/>
        </w:rPr>
        <w:t>Explain the reasons for any program changes or adjustments reported in Items 13 or</w:t>
      </w:r>
      <w:bookmarkEnd w:id="28"/>
    </w:p>
    <w:p w:rsidR="002A0644" w:rsidRPr="00942B5F" w:rsidRDefault="008C6198" w:rsidP="008C6198">
      <w:pPr>
        <w:pStyle w:val="p6"/>
        <w:tabs>
          <w:tab w:val="left" w:pos="540"/>
        </w:tabs>
        <w:spacing w:line="480" w:lineRule="auto"/>
        <w:ind w:left="720" w:hanging="720"/>
        <w:rPr>
          <w:b/>
          <w:color w:val="000000"/>
        </w:rPr>
      </w:pPr>
      <w:r w:rsidRPr="00942B5F">
        <w:rPr>
          <w:b/>
          <w:color w:val="000000"/>
        </w:rPr>
        <w:tab/>
      </w:r>
      <w:proofErr w:type="gramStart"/>
      <w:r w:rsidRPr="00942B5F">
        <w:rPr>
          <w:b/>
          <w:color w:val="000000"/>
        </w:rPr>
        <w:t>14 of the OMB 83-I.</w:t>
      </w:r>
      <w:proofErr w:type="gramEnd"/>
    </w:p>
    <w:p w:rsidR="0025013B" w:rsidRDefault="0025013B" w:rsidP="00AB7C6E">
      <w:pPr>
        <w:pStyle w:val="p6"/>
        <w:tabs>
          <w:tab w:val="left" w:pos="720"/>
        </w:tabs>
        <w:spacing w:line="480" w:lineRule="auto"/>
        <w:ind w:left="540"/>
      </w:pPr>
    </w:p>
    <w:p w:rsidR="008602AC" w:rsidRDefault="006008A7" w:rsidP="00AB7C6E">
      <w:pPr>
        <w:pStyle w:val="p6"/>
        <w:tabs>
          <w:tab w:val="left" w:pos="720"/>
        </w:tabs>
        <w:spacing w:line="480" w:lineRule="auto"/>
        <w:ind w:left="540"/>
      </w:pPr>
      <w:r w:rsidRPr="004F663C">
        <w:t>This is a</w:t>
      </w:r>
      <w:r w:rsidR="00AB2B99" w:rsidRPr="004F663C">
        <w:t xml:space="preserve">n extension, without change, for a currently approved data </w:t>
      </w:r>
      <w:r w:rsidRPr="004F663C">
        <w:t xml:space="preserve">collection.  </w:t>
      </w:r>
      <w:r w:rsidR="00AB2B99" w:rsidRPr="004F663C">
        <w:t>There are no changes to the information</w:t>
      </w:r>
      <w:r w:rsidRPr="004F663C">
        <w:t xml:space="preserve"> </w:t>
      </w:r>
      <w:r w:rsidR="00EE52DF" w:rsidRPr="004F663C">
        <w:t xml:space="preserve">collection </w:t>
      </w:r>
      <w:r w:rsidR="00AB2B99" w:rsidRPr="004F663C">
        <w:t xml:space="preserve">since the last </w:t>
      </w:r>
      <w:r w:rsidRPr="004F663C">
        <w:t xml:space="preserve">OMB </w:t>
      </w:r>
      <w:r w:rsidR="00AB2B99" w:rsidRPr="004F663C">
        <w:t xml:space="preserve">approval.  </w:t>
      </w:r>
    </w:p>
    <w:p w:rsidR="009146EE" w:rsidRDefault="009146EE" w:rsidP="00AB7C6E">
      <w:pPr>
        <w:pStyle w:val="p6"/>
        <w:tabs>
          <w:tab w:val="left" w:pos="720"/>
        </w:tabs>
        <w:spacing w:line="480" w:lineRule="auto"/>
        <w:ind w:left="540"/>
      </w:pPr>
    </w:p>
    <w:p w:rsidR="009146EE" w:rsidRPr="00AB7C6E" w:rsidRDefault="009146EE" w:rsidP="00AB7C6E">
      <w:pPr>
        <w:pStyle w:val="p6"/>
        <w:tabs>
          <w:tab w:val="left" w:pos="720"/>
        </w:tabs>
        <w:spacing w:line="480" w:lineRule="auto"/>
        <w:ind w:left="540"/>
      </w:pPr>
    </w:p>
    <w:p w:rsidR="00416310" w:rsidRPr="008602AC" w:rsidRDefault="008602AC" w:rsidP="00117534">
      <w:pPr>
        <w:pStyle w:val="ListParagraph"/>
        <w:numPr>
          <w:ilvl w:val="0"/>
          <w:numId w:val="32"/>
        </w:numPr>
        <w:tabs>
          <w:tab w:val="left" w:pos="-720"/>
          <w:tab w:val="left" w:pos="540"/>
        </w:tabs>
        <w:suppressAutoHyphens/>
        <w:spacing w:line="480" w:lineRule="auto"/>
        <w:outlineLvl w:val="0"/>
        <w:rPr>
          <w:spacing w:val="-3"/>
        </w:rPr>
      </w:pPr>
      <w:r>
        <w:rPr>
          <w:b/>
        </w:rPr>
        <w:t xml:space="preserve">  </w:t>
      </w:r>
      <w:r w:rsidR="00CC6C16">
        <w:rPr>
          <w:b/>
        </w:rPr>
        <w:t xml:space="preserve"> </w:t>
      </w:r>
      <w:bookmarkStart w:id="29" w:name="_Toc456365133"/>
      <w:r w:rsidR="008C6198" w:rsidRPr="008602AC">
        <w:rPr>
          <w:b/>
        </w:rPr>
        <w:t>For collections of information whose results are planned to be published, outline</w:t>
      </w:r>
      <w:bookmarkEnd w:id="29"/>
      <w:r w:rsidR="008C6198" w:rsidRPr="008602AC">
        <w:rPr>
          <w:b/>
        </w:rPr>
        <w:t xml:space="preserve"> </w:t>
      </w:r>
    </w:p>
    <w:p w:rsidR="0025013B" w:rsidRPr="0025013B" w:rsidRDefault="00416310" w:rsidP="00AB7C6E">
      <w:pPr>
        <w:pStyle w:val="p5"/>
        <w:tabs>
          <w:tab w:val="left" w:pos="360"/>
        </w:tabs>
        <w:spacing w:line="480" w:lineRule="auto"/>
        <w:ind w:left="0" w:firstLine="0"/>
        <w:rPr>
          <w:spacing w:val="-3"/>
        </w:rPr>
      </w:pPr>
      <w:r>
        <w:rPr>
          <w:b/>
        </w:rPr>
        <w:t xml:space="preserve">         </w:t>
      </w:r>
      <w:r w:rsidR="00CC6C16">
        <w:rPr>
          <w:b/>
        </w:rPr>
        <w:t xml:space="preserve"> </w:t>
      </w:r>
      <w:proofErr w:type="gramStart"/>
      <w:r w:rsidR="008C6198" w:rsidRPr="00942B5F">
        <w:rPr>
          <w:b/>
        </w:rPr>
        <w:t>plans</w:t>
      </w:r>
      <w:proofErr w:type="gramEnd"/>
      <w:r w:rsidR="008C6198" w:rsidRPr="00942B5F">
        <w:rPr>
          <w:b/>
        </w:rPr>
        <w:t xml:space="preserve"> for tabulation and publication.</w:t>
      </w:r>
      <w:r w:rsidR="002D45AE">
        <w:rPr>
          <w:spacing w:val="-3"/>
        </w:rPr>
        <w:br/>
      </w:r>
      <w:r w:rsidR="002D45AE">
        <w:rPr>
          <w:spacing w:val="-3"/>
        </w:rPr>
        <w:lastRenderedPageBreak/>
        <w:t xml:space="preserve">           </w:t>
      </w:r>
    </w:p>
    <w:p w:rsidR="0025013B" w:rsidRPr="0025013B" w:rsidRDefault="0025013B" w:rsidP="0025013B">
      <w:pPr>
        <w:tabs>
          <w:tab w:val="left" w:pos="-720"/>
        </w:tabs>
        <w:suppressAutoHyphens/>
        <w:spacing w:line="480" w:lineRule="auto"/>
        <w:ind w:left="540"/>
        <w:rPr>
          <w:rFonts w:ascii="Times New Roman" w:hAnsi="Times New Roman"/>
          <w:spacing w:val="-3"/>
          <w:szCs w:val="24"/>
        </w:rPr>
      </w:pPr>
      <w:r w:rsidRPr="0025013B">
        <w:rPr>
          <w:rFonts w:ascii="Times New Roman" w:hAnsi="Times New Roman"/>
          <w:spacing w:val="-3"/>
          <w:szCs w:val="24"/>
        </w:rPr>
        <w:t>This collection does not employ statistical methods and there are no plans to publish the</w:t>
      </w:r>
    </w:p>
    <w:p w:rsidR="005C5F37" w:rsidRDefault="001A4282" w:rsidP="005E03A3">
      <w:pPr>
        <w:tabs>
          <w:tab w:val="left" w:pos="-720"/>
          <w:tab w:val="left" w:pos="720"/>
        </w:tabs>
        <w:suppressAutoHyphens/>
        <w:spacing w:line="480" w:lineRule="auto"/>
        <w:ind w:left="-360"/>
        <w:rPr>
          <w:rFonts w:ascii="Times New Roman" w:hAnsi="Times New Roman"/>
          <w:spacing w:val="-3"/>
          <w:szCs w:val="24"/>
        </w:rPr>
      </w:pPr>
      <w:r>
        <w:rPr>
          <w:rFonts w:ascii="Times New Roman" w:hAnsi="Times New Roman"/>
          <w:spacing w:val="-3"/>
          <w:szCs w:val="24"/>
        </w:rPr>
        <w:t xml:space="preserve">                </w:t>
      </w:r>
      <w:proofErr w:type="gramStart"/>
      <w:r w:rsidR="0025013B" w:rsidRPr="0025013B">
        <w:rPr>
          <w:rFonts w:ascii="Times New Roman" w:hAnsi="Times New Roman"/>
          <w:spacing w:val="-3"/>
          <w:szCs w:val="24"/>
        </w:rPr>
        <w:t>results</w:t>
      </w:r>
      <w:proofErr w:type="gramEnd"/>
      <w:r w:rsidR="0025013B" w:rsidRPr="0025013B">
        <w:rPr>
          <w:rFonts w:ascii="Times New Roman" w:hAnsi="Times New Roman"/>
          <w:spacing w:val="-3"/>
          <w:szCs w:val="24"/>
        </w:rPr>
        <w:t xml:space="preserve"> of this collection for statistical use.   </w:t>
      </w:r>
    </w:p>
    <w:p w:rsidR="001A4282" w:rsidRPr="00DB087C" w:rsidRDefault="001A4282" w:rsidP="005E03A3">
      <w:pPr>
        <w:tabs>
          <w:tab w:val="left" w:pos="-720"/>
          <w:tab w:val="left" w:pos="720"/>
        </w:tabs>
        <w:suppressAutoHyphens/>
        <w:spacing w:line="480" w:lineRule="auto"/>
        <w:ind w:left="-360"/>
        <w:rPr>
          <w:rFonts w:ascii="Times New Roman" w:hAnsi="Times New Roman"/>
          <w:spacing w:val="-3"/>
          <w:szCs w:val="24"/>
        </w:rPr>
      </w:pPr>
    </w:p>
    <w:p w:rsidR="008C6198" w:rsidRDefault="008C6198" w:rsidP="00117534">
      <w:pPr>
        <w:pStyle w:val="p5"/>
        <w:numPr>
          <w:ilvl w:val="0"/>
          <w:numId w:val="32"/>
        </w:numPr>
        <w:tabs>
          <w:tab w:val="clear" w:pos="450"/>
          <w:tab w:val="num" w:pos="540"/>
        </w:tabs>
        <w:spacing w:line="480" w:lineRule="auto"/>
        <w:ind w:left="540" w:hanging="450"/>
        <w:outlineLvl w:val="0"/>
      </w:pPr>
      <w:bookmarkStart w:id="30" w:name="_Toc456365134"/>
      <w:r w:rsidRPr="00942B5F">
        <w:rPr>
          <w:b/>
        </w:rPr>
        <w:t>If seeking approval to not display the expiration date for OMB approval of the information collection, explain the reasons that display would be inappropriate.</w:t>
      </w:r>
      <w:bookmarkEnd w:id="30"/>
    </w:p>
    <w:p w:rsidR="008C6198" w:rsidRDefault="008C6198" w:rsidP="008C6198">
      <w:pPr>
        <w:widowControl/>
        <w:ind w:left="547"/>
        <w:rPr>
          <w:bCs/>
          <w:iCs/>
        </w:rPr>
      </w:pPr>
    </w:p>
    <w:p w:rsidR="005C5F37" w:rsidRPr="00C443E0" w:rsidRDefault="004F663C" w:rsidP="0025013B">
      <w:pPr>
        <w:tabs>
          <w:tab w:val="left" w:pos="-720"/>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 agency plans to </w:t>
      </w:r>
      <w:r w:rsidR="001E2E36">
        <w:rPr>
          <w:rFonts w:ascii="Times New Roman" w:hAnsi="Times New Roman"/>
          <w:spacing w:val="-3"/>
          <w:szCs w:val="24"/>
        </w:rPr>
        <w:t>display the</w:t>
      </w:r>
      <w:r w:rsidR="005C5F37">
        <w:rPr>
          <w:rFonts w:ascii="Times New Roman" w:hAnsi="Times New Roman"/>
          <w:spacing w:val="-3"/>
          <w:szCs w:val="24"/>
        </w:rPr>
        <w:t xml:space="preserve"> expiration date</w:t>
      </w:r>
      <w:r>
        <w:rPr>
          <w:rFonts w:ascii="Times New Roman" w:hAnsi="Times New Roman"/>
          <w:spacing w:val="-3"/>
          <w:szCs w:val="24"/>
        </w:rPr>
        <w:t xml:space="preserve"> for OMB approval of the information collection on all instruments</w:t>
      </w:r>
      <w:r w:rsidR="005C5F37">
        <w:rPr>
          <w:rFonts w:ascii="Times New Roman" w:hAnsi="Times New Roman"/>
          <w:spacing w:val="-3"/>
          <w:szCs w:val="24"/>
        </w:rPr>
        <w:t>.</w:t>
      </w:r>
    </w:p>
    <w:p w:rsidR="005C5F37" w:rsidRDefault="005C5F37" w:rsidP="005E03A3">
      <w:pPr>
        <w:tabs>
          <w:tab w:val="left" w:pos="-720"/>
          <w:tab w:val="left" w:pos="720"/>
        </w:tabs>
        <w:suppressAutoHyphens/>
        <w:spacing w:line="480" w:lineRule="auto"/>
        <w:ind w:left="-360"/>
        <w:rPr>
          <w:rFonts w:ascii="Times New Roman" w:hAnsi="Times New Roman"/>
          <w:b/>
          <w:spacing w:val="-3"/>
          <w:szCs w:val="24"/>
        </w:rPr>
      </w:pPr>
    </w:p>
    <w:p w:rsidR="0025013B" w:rsidRPr="0025013B" w:rsidRDefault="008C6198" w:rsidP="00117534">
      <w:pPr>
        <w:pStyle w:val="ListParagraph"/>
        <w:numPr>
          <w:ilvl w:val="0"/>
          <w:numId w:val="32"/>
        </w:numPr>
        <w:tabs>
          <w:tab w:val="clear" w:pos="450"/>
          <w:tab w:val="left" w:pos="-720"/>
          <w:tab w:val="num" w:pos="540"/>
          <w:tab w:val="left" w:pos="720"/>
        </w:tabs>
        <w:suppressAutoHyphens/>
        <w:spacing w:line="480" w:lineRule="auto"/>
        <w:ind w:left="540" w:hanging="540"/>
        <w:outlineLvl w:val="0"/>
        <w:rPr>
          <w:b/>
        </w:rPr>
      </w:pPr>
      <w:bookmarkStart w:id="31" w:name="_Toc456365135"/>
      <w:r w:rsidRPr="008C6198">
        <w:rPr>
          <w:b/>
        </w:rPr>
        <w:t>Explain each exception to the certification statement identified in Item 19 "Certification for Paperwork Reduction Act."</w:t>
      </w:r>
      <w:bookmarkEnd w:id="31"/>
      <w:r w:rsidR="00881B4B" w:rsidRPr="00AB7C6E">
        <w:br/>
        <w:t xml:space="preserve">  </w:t>
      </w:r>
    </w:p>
    <w:p w:rsidR="005C5F37" w:rsidRPr="00AB7C6E" w:rsidRDefault="005C5F37" w:rsidP="0025013B">
      <w:pPr>
        <w:pStyle w:val="ListParagraph"/>
        <w:tabs>
          <w:tab w:val="left" w:pos="-720"/>
          <w:tab w:val="left" w:pos="720"/>
        </w:tabs>
        <w:suppressAutoHyphens/>
        <w:spacing w:line="480" w:lineRule="auto"/>
        <w:ind w:left="540"/>
        <w:rPr>
          <w:b/>
        </w:rPr>
      </w:pPr>
      <w:r w:rsidRPr="00AB7C6E">
        <w:t>There are no exceptions to the certification statement.</w:t>
      </w:r>
    </w:p>
    <w:sectPr w:rsidR="005C5F37" w:rsidRPr="00AB7C6E" w:rsidSect="0025013B">
      <w:headerReference w:type="default" r:id="rId10"/>
      <w:footerReference w:type="even" r:id="rId11"/>
      <w:footerReference w:type="default" r:id="rId12"/>
      <w:endnotePr>
        <w:numFmt w:val="decimal"/>
      </w:endnotePr>
      <w:pgSz w:w="12240" w:h="15840"/>
      <w:pgMar w:top="1440" w:right="1440" w:bottom="126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11" w:rsidRDefault="00594B11">
      <w:pPr>
        <w:spacing w:line="20" w:lineRule="exact"/>
      </w:pPr>
    </w:p>
  </w:endnote>
  <w:endnote w:type="continuationSeparator" w:id="0">
    <w:p w:rsidR="00594B11" w:rsidRDefault="00594B11">
      <w:r>
        <w:t xml:space="preserve"> </w:t>
      </w:r>
    </w:p>
  </w:endnote>
  <w:endnote w:type="continuationNotice" w:id="1">
    <w:p w:rsidR="00594B11" w:rsidRDefault="00594B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F" w:rsidRDefault="005F7FC6" w:rsidP="00086DD2">
    <w:pPr>
      <w:pStyle w:val="Footer"/>
      <w:framePr w:wrap="around" w:vAnchor="text" w:hAnchor="margin" w:xAlign="center" w:y="1"/>
      <w:rPr>
        <w:rStyle w:val="PageNumber"/>
      </w:rPr>
    </w:pPr>
    <w:r>
      <w:rPr>
        <w:rStyle w:val="PageNumber"/>
      </w:rPr>
      <w:fldChar w:fldCharType="begin"/>
    </w:r>
    <w:r w:rsidR="005575EF">
      <w:rPr>
        <w:rStyle w:val="PageNumber"/>
      </w:rPr>
      <w:instrText xml:space="preserve">PAGE  </w:instrText>
    </w:r>
    <w:r>
      <w:rPr>
        <w:rStyle w:val="PageNumber"/>
      </w:rPr>
      <w:fldChar w:fldCharType="end"/>
    </w:r>
  </w:p>
  <w:p w:rsidR="005575EF" w:rsidRDefault="00557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F" w:rsidRDefault="005F7FC6" w:rsidP="00086DD2">
    <w:pPr>
      <w:pStyle w:val="Footer"/>
      <w:framePr w:wrap="around" w:vAnchor="text" w:hAnchor="margin" w:xAlign="center" w:y="1"/>
      <w:rPr>
        <w:rStyle w:val="PageNumber"/>
      </w:rPr>
    </w:pPr>
    <w:r>
      <w:rPr>
        <w:rStyle w:val="PageNumber"/>
      </w:rPr>
      <w:fldChar w:fldCharType="begin"/>
    </w:r>
    <w:r w:rsidR="005575EF">
      <w:rPr>
        <w:rStyle w:val="PageNumber"/>
      </w:rPr>
      <w:instrText xml:space="preserve">PAGE  </w:instrText>
    </w:r>
    <w:r>
      <w:rPr>
        <w:rStyle w:val="PageNumber"/>
      </w:rPr>
      <w:fldChar w:fldCharType="separate"/>
    </w:r>
    <w:r w:rsidR="006C75DB">
      <w:rPr>
        <w:rStyle w:val="PageNumber"/>
        <w:noProof/>
      </w:rPr>
      <w:t>2</w:t>
    </w:r>
    <w:r>
      <w:rPr>
        <w:rStyle w:val="PageNumber"/>
      </w:rPr>
      <w:fldChar w:fldCharType="end"/>
    </w:r>
  </w:p>
  <w:p w:rsidR="005575EF" w:rsidRDefault="005575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11" w:rsidRDefault="00594B11">
      <w:r>
        <w:separator/>
      </w:r>
    </w:p>
  </w:footnote>
  <w:footnote w:type="continuationSeparator" w:id="0">
    <w:p w:rsidR="00594B11" w:rsidRDefault="0059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F" w:rsidRDefault="007E4EF8">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75EF" w:rsidRDefault="005575EF">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5575EF" w:rsidRDefault="005575EF">
                    <w:pPr>
                      <w:tabs>
                        <w:tab w:val="center" w:pos="5400"/>
                        <w:tab w:val="right" w:pos="10800"/>
                      </w:tabs>
                    </w:pPr>
                  </w:p>
                </w:txbxContent>
              </v:textbox>
              <w10:wrap anchorx="page"/>
            </v:rect>
          </w:pict>
        </mc:Fallback>
      </mc:AlternateContent>
    </w:r>
  </w:p>
  <w:p w:rsidR="005575EF" w:rsidRDefault="005575EF">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EEF170"/>
    <w:lvl w:ilvl="0">
      <w:numFmt w:val="decimal"/>
      <w:lvlText w:val="*"/>
      <w:lvlJc w:val="left"/>
    </w:lvl>
  </w:abstractNum>
  <w:abstractNum w:abstractNumId="1">
    <w:nsid w:val="103912D0"/>
    <w:multiLevelType w:val="hybridMultilevel"/>
    <w:tmpl w:val="A1A272DA"/>
    <w:lvl w:ilvl="0" w:tplc="FA02BF90">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A66C9"/>
    <w:multiLevelType w:val="hybridMultilevel"/>
    <w:tmpl w:val="2C68DE9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7A7825"/>
    <w:multiLevelType w:val="hybridMultilevel"/>
    <w:tmpl w:val="D2F464DE"/>
    <w:lvl w:ilvl="0" w:tplc="247CF0A6">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25527B"/>
    <w:multiLevelType w:val="hybridMultilevel"/>
    <w:tmpl w:val="4ECC42C6"/>
    <w:lvl w:ilvl="0" w:tplc="1FB2705E">
      <w:start w:val="10"/>
      <w:numFmt w:val="decimal"/>
      <w:lvlText w:val="%1."/>
      <w:lvlJc w:val="left"/>
      <w:pPr>
        <w:ind w:left="61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4170"/>
    <w:multiLevelType w:val="hybridMultilevel"/>
    <w:tmpl w:val="DBC6D530"/>
    <w:lvl w:ilvl="0" w:tplc="2F02DC9E">
      <w:start w:val="13"/>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E3185"/>
    <w:multiLevelType w:val="hybridMultilevel"/>
    <w:tmpl w:val="553A111A"/>
    <w:lvl w:ilvl="0" w:tplc="67A252A0">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9038FA"/>
    <w:multiLevelType w:val="hybridMultilevel"/>
    <w:tmpl w:val="FF7E19A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781A16"/>
    <w:multiLevelType w:val="hybridMultilevel"/>
    <w:tmpl w:val="001A1E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95617E"/>
    <w:multiLevelType w:val="hybridMultilevel"/>
    <w:tmpl w:val="F566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8">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2CF658E"/>
    <w:multiLevelType w:val="singleLevel"/>
    <w:tmpl w:val="87BE281A"/>
    <w:lvl w:ilvl="0">
      <w:start w:val="12"/>
      <w:numFmt w:val="decimal"/>
      <w:lvlText w:val="%1. "/>
      <w:legacy w:legacy="1" w:legacySpace="0" w:legacyIndent="360"/>
      <w:lvlJc w:val="left"/>
      <w:pPr>
        <w:ind w:left="360" w:hanging="360"/>
      </w:pPr>
      <w:rPr>
        <w:rFonts w:ascii="Univers" w:hAnsi="Univers" w:hint="default"/>
        <w:b/>
        <w:i w:val="0"/>
        <w:sz w:val="24"/>
        <w:u w:val="none"/>
      </w:rPr>
    </w:lvl>
  </w:abstractNum>
  <w:abstractNum w:abstractNumId="21">
    <w:nsid w:val="63F037BE"/>
    <w:multiLevelType w:val="hybridMultilevel"/>
    <w:tmpl w:val="09F0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82A10"/>
    <w:multiLevelType w:val="singleLevel"/>
    <w:tmpl w:val="D264E440"/>
    <w:lvl w:ilvl="0">
      <w:start w:val="9"/>
      <w:numFmt w:val="decimal"/>
      <w:lvlText w:val="7228.%1 "/>
      <w:legacy w:legacy="1" w:legacySpace="0" w:legacyIndent="360"/>
      <w:lvlJc w:val="left"/>
      <w:pPr>
        <w:ind w:left="360" w:hanging="360"/>
      </w:pPr>
      <w:rPr>
        <w:rFonts w:ascii="Univers" w:hAnsi="Univers" w:hint="default"/>
        <w:b w:val="0"/>
        <w:i w:val="0"/>
        <w:sz w:val="24"/>
        <w:u w:val="none"/>
      </w:rPr>
    </w:lvl>
  </w:abstractNum>
  <w:abstractNum w:abstractNumId="23">
    <w:nsid w:val="6E0A4A3A"/>
    <w:multiLevelType w:val="hybridMultilevel"/>
    <w:tmpl w:val="FCB69422"/>
    <w:lvl w:ilvl="0" w:tplc="D30AE146">
      <w:start w:val="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7012A17"/>
    <w:multiLevelType w:val="singleLevel"/>
    <w:tmpl w:val="C562B4A6"/>
    <w:lvl w:ilvl="0">
      <w:start w:val="520"/>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26">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FF7093"/>
    <w:multiLevelType w:val="singleLevel"/>
    <w:tmpl w:val="10A843B8"/>
    <w:lvl w:ilvl="0">
      <w:start w:val="1"/>
      <w:numFmt w:val="decimal"/>
      <w:lvlText w:val="%1. "/>
      <w:legacy w:legacy="1" w:legacySpace="0" w:legacyIndent="360"/>
      <w:lvlJc w:val="left"/>
      <w:pPr>
        <w:ind w:left="1035" w:hanging="360"/>
      </w:pPr>
      <w:rPr>
        <w:rFonts w:ascii="Univers" w:hAnsi="Univers" w:hint="default"/>
        <w:b w:val="0"/>
        <w:i w:val="0"/>
        <w:sz w:val="24"/>
        <w:u w:val="none"/>
      </w:rPr>
    </w:lvl>
  </w:abstractNum>
  <w:abstractNum w:abstractNumId="28">
    <w:nsid w:val="7A4D34E7"/>
    <w:multiLevelType w:val="singleLevel"/>
    <w:tmpl w:val="A344EAA8"/>
    <w:lvl w:ilvl="0">
      <w:start w:val="96"/>
      <w:numFmt w:val="decimal"/>
      <w:lvlText w:val="310.%1 "/>
      <w:legacy w:legacy="1" w:legacySpace="0" w:legacyIndent="360"/>
      <w:lvlJc w:val="left"/>
      <w:pPr>
        <w:ind w:left="360" w:hanging="360"/>
      </w:pPr>
      <w:rPr>
        <w:rFonts w:ascii="Univers" w:hAnsi="Univers" w:hint="default"/>
        <w:b w:val="0"/>
        <w:i w:val="0"/>
        <w:sz w:val="24"/>
        <w:u w:val="single"/>
      </w:rPr>
    </w:lvl>
  </w:abstractNum>
  <w:abstractNum w:abstractNumId="29">
    <w:nsid w:val="7D21330F"/>
    <w:multiLevelType w:val="singleLevel"/>
    <w:tmpl w:val="1CA8CE4C"/>
    <w:lvl w:ilvl="0">
      <w:start w:val="46"/>
      <w:numFmt w:val="decimal"/>
      <w:lvlText w:val="1.%1 "/>
      <w:legacy w:legacy="1" w:legacySpace="0" w:legacyIndent="360"/>
      <w:lvlJc w:val="left"/>
      <w:pPr>
        <w:ind w:left="435" w:hanging="360"/>
      </w:pPr>
      <w:rPr>
        <w:rFonts w:ascii="Univers" w:hAnsi="Univers" w:hint="default"/>
        <w:b w:val="0"/>
        <w:i w:val="0"/>
        <w:sz w:val="24"/>
        <w:u w:val="none"/>
      </w:rPr>
    </w:lvl>
  </w:abstractNum>
  <w:abstractNum w:abstractNumId="3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20"/>
  </w:num>
  <w:num w:numId="3">
    <w:abstractNumId w:val="27"/>
  </w:num>
  <w:num w:numId="4">
    <w:abstractNumId w:val="27"/>
    <w:lvlOverride w:ilvl="0">
      <w:lvl w:ilvl="0">
        <w:start w:val="2"/>
        <w:numFmt w:val="decimal"/>
        <w:lvlText w:val="%1. "/>
        <w:legacy w:legacy="1" w:legacySpace="0" w:legacyIndent="360"/>
        <w:lvlJc w:val="left"/>
        <w:pPr>
          <w:ind w:left="1800" w:hanging="360"/>
        </w:pPr>
        <w:rPr>
          <w:rFonts w:ascii="Univers" w:hAnsi="Univers" w:hint="default"/>
          <w:b w:val="0"/>
          <w:i w:val="0"/>
          <w:sz w:val="24"/>
          <w:u w:val="none"/>
        </w:rPr>
      </w:lvl>
    </w:lvlOverride>
  </w:num>
  <w:num w:numId="5">
    <w:abstractNumId w:val="27"/>
    <w:lvlOverride w:ilvl="0">
      <w:lvl w:ilvl="0">
        <w:start w:val="6"/>
        <w:numFmt w:val="decimal"/>
        <w:lvlText w:val="%1. "/>
        <w:legacy w:legacy="1" w:legacySpace="0" w:legacyIndent="360"/>
        <w:lvlJc w:val="left"/>
        <w:pPr>
          <w:ind w:left="1800" w:hanging="360"/>
        </w:pPr>
        <w:rPr>
          <w:rFonts w:ascii="Univers" w:hAnsi="Univers" w:hint="default"/>
          <w:b w:val="0"/>
          <w:i w:val="0"/>
          <w:sz w:val="24"/>
          <w:u w:val="none"/>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7">
    <w:abstractNumId w:val="29"/>
  </w:num>
  <w:num w:numId="8">
    <w:abstractNumId w:val="22"/>
  </w:num>
  <w:num w:numId="9">
    <w:abstractNumId w:val="28"/>
  </w:num>
  <w:num w:numId="10">
    <w:abstractNumId w:val="4"/>
  </w:num>
  <w:num w:numId="11">
    <w:abstractNumId w:val="1"/>
  </w:num>
  <w:num w:numId="12">
    <w:abstractNumId w:val="23"/>
  </w:num>
  <w:num w:numId="13">
    <w:abstractNumId w:val="2"/>
  </w:num>
  <w:num w:numId="14">
    <w:abstractNumId w:val="11"/>
  </w:num>
  <w:num w:numId="15">
    <w:abstractNumId w:val="8"/>
  </w:num>
  <w:num w:numId="16">
    <w:abstractNumId w:val="10"/>
  </w:num>
  <w:num w:numId="17">
    <w:abstractNumId w:val="26"/>
  </w:num>
  <w:num w:numId="18">
    <w:abstractNumId w:val="31"/>
  </w:num>
  <w:num w:numId="19">
    <w:abstractNumId w:val="18"/>
  </w:num>
  <w:num w:numId="20">
    <w:abstractNumId w:val="19"/>
  </w:num>
  <w:num w:numId="21">
    <w:abstractNumId w:val="14"/>
  </w:num>
  <w:num w:numId="22">
    <w:abstractNumId w:val="12"/>
  </w:num>
  <w:num w:numId="23">
    <w:abstractNumId w:val="30"/>
  </w:num>
  <w:num w:numId="24">
    <w:abstractNumId w:val="24"/>
  </w:num>
  <w:num w:numId="25">
    <w:abstractNumId w:val="16"/>
  </w:num>
  <w:num w:numId="26">
    <w:abstractNumId w:val="3"/>
  </w:num>
  <w:num w:numId="27">
    <w:abstractNumId w:val="15"/>
  </w:num>
  <w:num w:numId="28">
    <w:abstractNumId w:val="17"/>
  </w:num>
  <w:num w:numId="29">
    <w:abstractNumId w:val="7"/>
  </w:num>
  <w:num w:numId="30">
    <w:abstractNumId w:val="5"/>
  </w:num>
  <w:num w:numId="31">
    <w:abstractNumId w:val="9"/>
  </w:num>
  <w:num w:numId="32">
    <w:abstractNumId w:val="6"/>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1A"/>
    <w:rsid w:val="000047B9"/>
    <w:rsid w:val="000079A4"/>
    <w:rsid w:val="00010FD4"/>
    <w:rsid w:val="000113E6"/>
    <w:rsid w:val="000157D1"/>
    <w:rsid w:val="00015D02"/>
    <w:rsid w:val="00036012"/>
    <w:rsid w:val="00053014"/>
    <w:rsid w:val="0005409F"/>
    <w:rsid w:val="00056D43"/>
    <w:rsid w:val="00061423"/>
    <w:rsid w:val="00062277"/>
    <w:rsid w:val="00075BAE"/>
    <w:rsid w:val="000822D2"/>
    <w:rsid w:val="00086985"/>
    <w:rsid w:val="00086DD2"/>
    <w:rsid w:val="00093B41"/>
    <w:rsid w:val="000967EE"/>
    <w:rsid w:val="000A112F"/>
    <w:rsid w:val="000A3508"/>
    <w:rsid w:val="000A794E"/>
    <w:rsid w:val="000B2485"/>
    <w:rsid w:val="000C244C"/>
    <w:rsid w:val="000C2DDA"/>
    <w:rsid w:val="000C2F71"/>
    <w:rsid w:val="000D0FB1"/>
    <w:rsid w:val="000E1305"/>
    <w:rsid w:val="000F7BB8"/>
    <w:rsid w:val="00100D63"/>
    <w:rsid w:val="00101297"/>
    <w:rsid w:val="00104E5B"/>
    <w:rsid w:val="0010787C"/>
    <w:rsid w:val="0011279F"/>
    <w:rsid w:val="00116105"/>
    <w:rsid w:val="00117534"/>
    <w:rsid w:val="00117725"/>
    <w:rsid w:val="00125667"/>
    <w:rsid w:val="00130ED7"/>
    <w:rsid w:val="00133139"/>
    <w:rsid w:val="00133E94"/>
    <w:rsid w:val="00146671"/>
    <w:rsid w:val="00151196"/>
    <w:rsid w:val="001562E5"/>
    <w:rsid w:val="00157FFC"/>
    <w:rsid w:val="00162321"/>
    <w:rsid w:val="001654DE"/>
    <w:rsid w:val="0016649E"/>
    <w:rsid w:val="00170843"/>
    <w:rsid w:val="00171F34"/>
    <w:rsid w:val="00180D91"/>
    <w:rsid w:val="00180FC4"/>
    <w:rsid w:val="00190D0F"/>
    <w:rsid w:val="00191BCC"/>
    <w:rsid w:val="001930F8"/>
    <w:rsid w:val="00196633"/>
    <w:rsid w:val="001A0360"/>
    <w:rsid w:val="001A0384"/>
    <w:rsid w:val="001A1DC1"/>
    <w:rsid w:val="001A4282"/>
    <w:rsid w:val="001A7CE4"/>
    <w:rsid w:val="001B1114"/>
    <w:rsid w:val="001B655B"/>
    <w:rsid w:val="001D286E"/>
    <w:rsid w:val="001E1F2F"/>
    <w:rsid w:val="001E2E36"/>
    <w:rsid w:val="001E34CC"/>
    <w:rsid w:val="001E69CA"/>
    <w:rsid w:val="001E7C0D"/>
    <w:rsid w:val="0020488C"/>
    <w:rsid w:val="002159A5"/>
    <w:rsid w:val="00222754"/>
    <w:rsid w:val="002262AD"/>
    <w:rsid w:val="00231247"/>
    <w:rsid w:val="00232F58"/>
    <w:rsid w:val="0025013B"/>
    <w:rsid w:val="00254096"/>
    <w:rsid w:val="00260195"/>
    <w:rsid w:val="00267B6F"/>
    <w:rsid w:val="002726E7"/>
    <w:rsid w:val="00274AC2"/>
    <w:rsid w:val="002813EB"/>
    <w:rsid w:val="00282993"/>
    <w:rsid w:val="00285DE4"/>
    <w:rsid w:val="00286360"/>
    <w:rsid w:val="002901FC"/>
    <w:rsid w:val="002959A3"/>
    <w:rsid w:val="00296B2B"/>
    <w:rsid w:val="002A0644"/>
    <w:rsid w:val="002A0E3D"/>
    <w:rsid w:val="002B5A8C"/>
    <w:rsid w:val="002B703B"/>
    <w:rsid w:val="002B73FA"/>
    <w:rsid w:val="002C412D"/>
    <w:rsid w:val="002C6447"/>
    <w:rsid w:val="002C7651"/>
    <w:rsid w:val="002D28A7"/>
    <w:rsid w:val="002D45AE"/>
    <w:rsid w:val="002F044D"/>
    <w:rsid w:val="0030507D"/>
    <w:rsid w:val="00305AF5"/>
    <w:rsid w:val="003146BD"/>
    <w:rsid w:val="003211E6"/>
    <w:rsid w:val="00325754"/>
    <w:rsid w:val="00340799"/>
    <w:rsid w:val="00347A94"/>
    <w:rsid w:val="00355291"/>
    <w:rsid w:val="0036087B"/>
    <w:rsid w:val="00362F64"/>
    <w:rsid w:val="003722B4"/>
    <w:rsid w:val="003737FE"/>
    <w:rsid w:val="00377D39"/>
    <w:rsid w:val="0038066B"/>
    <w:rsid w:val="00380A70"/>
    <w:rsid w:val="00385D3D"/>
    <w:rsid w:val="00387E4E"/>
    <w:rsid w:val="003B2F32"/>
    <w:rsid w:val="003C2A5B"/>
    <w:rsid w:val="003D1408"/>
    <w:rsid w:val="003D1438"/>
    <w:rsid w:val="003D6A68"/>
    <w:rsid w:val="003E76B4"/>
    <w:rsid w:val="003F168D"/>
    <w:rsid w:val="004059FE"/>
    <w:rsid w:val="00415601"/>
    <w:rsid w:val="00416310"/>
    <w:rsid w:val="0041644B"/>
    <w:rsid w:val="00416931"/>
    <w:rsid w:val="0042487A"/>
    <w:rsid w:val="004326C9"/>
    <w:rsid w:val="00440117"/>
    <w:rsid w:val="00445813"/>
    <w:rsid w:val="00446044"/>
    <w:rsid w:val="00446D1A"/>
    <w:rsid w:val="00460473"/>
    <w:rsid w:val="00467063"/>
    <w:rsid w:val="0047176C"/>
    <w:rsid w:val="00471BB0"/>
    <w:rsid w:val="004760FA"/>
    <w:rsid w:val="004775D4"/>
    <w:rsid w:val="00484800"/>
    <w:rsid w:val="00486B66"/>
    <w:rsid w:val="00494A18"/>
    <w:rsid w:val="004B2A3E"/>
    <w:rsid w:val="004B3E0E"/>
    <w:rsid w:val="004B5BC4"/>
    <w:rsid w:val="004C5E14"/>
    <w:rsid w:val="004C7139"/>
    <w:rsid w:val="004D773C"/>
    <w:rsid w:val="004E0859"/>
    <w:rsid w:val="004E1040"/>
    <w:rsid w:val="004E5882"/>
    <w:rsid w:val="004E7F3C"/>
    <w:rsid w:val="004F663C"/>
    <w:rsid w:val="00502BA9"/>
    <w:rsid w:val="00507B2E"/>
    <w:rsid w:val="0051352F"/>
    <w:rsid w:val="00520818"/>
    <w:rsid w:val="00521301"/>
    <w:rsid w:val="00544BF8"/>
    <w:rsid w:val="00547505"/>
    <w:rsid w:val="005534EA"/>
    <w:rsid w:val="005575EF"/>
    <w:rsid w:val="00563B9B"/>
    <w:rsid w:val="00584E76"/>
    <w:rsid w:val="00594B11"/>
    <w:rsid w:val="00595AAA"/>
    <w:rsid w:val="00595CC6"/>
    <w:rsid w:val="005A1FA8"/>
    <w:rsid w:val="005A2392"/>
    <w:rsid w:val="005A2427"/>
    <w:rsid w:val="005A5CA8"/>
    <w:rsid w:val="005B3FFD"/>
    <w:rsid w:val="005B6BA8"/>
    <w:rsid w:val="005C5F37"/>
    <w:rsid w:val="005D65CB"/>
    <w:rsid w:val="005D7946"/>
    <w:rsid w:val="005E03A3"/>
    <w:rsid w:val="005E565B"/>
    <w:rsid w:val="005E68D7"/>
    <w:rsid w:val="005F061B"/>
    <w:rsid w:val="005F21DA"/>
    <w:rsid w:val="005F390A"/>
    <w:rsid w:val="005F7FC6"/>
    <w:rsid w:val="006008A7"/>
    <w:rsid w:val="00605477"/>
    <w:rsid w:val="006072F6"/>
    <w:rsid w:val="006227D1"/>
    <w:rsid w:val="00626A0B"/>
    <w:rsid w:val="00634983"/>
    <w:rsid w:val="00647BAF"/>
    <w:rsid w:val="00647CA7"/>
    <w:rsid w:val="006524CC"/>
    <w:rsid w:val="00652EF1"/>
    <w:rsid w:val="00656F1D"/>
    <w:rsid w:val="0068198A"/>
    <w:rsid w:val="00682ED2"/>
    <w:rsid w:val="006874C9"/>
    <w:rsid w:val="006A0B05"/>
    <w:rsid w:val="006A2604"/>
    <w:rsid w:val="006A5B43"/>
    <w:rsid w:val="006B1C36"/>
    <w:rsid w:val="006B4DB1"/>
    <w:rsid w:val="006B67DB"/>
    <w:rsid w:val="006C0A52"/>
    <w:rsid w:val="006C5407"/>
    <w:rsid w:val="006C5D90"/>
    <w:rsid w:val="006C75DB"/>
    <w:rsid w:val="006D31FD"/>
    <w:rsid w:val="006D5E1A"/>
    <w:rsid w:val="006E1092"/>
    <w:rsid w:val="006E28EC"/>
    <w:rsid w:val="006E7FF6"/>
    <w:rsid w:val="006F2309"/>
    <w:rsid w:val="00701A7A"/>
    <w:rsid w:val="00703410"/>
    <w:rsid w:val="00703ED1"/>
    <w:rsid w:val="00710822"/>
    <w:rsid w:val="00713073"/>
    <w:rsid w:val="0072375B"/>
    <w:rsid w:val="007270A7"/>
    <w:rsid w:val="00730ABE"/>
    <w:rsid w:val="007331DB"/>
    <w:rsid w:val="00734193"/>
    <w:rsid w:val="00744DBA"/>
    <w:rsid w:val="007502F5"/>
    <w:rsid w:val="007537CB"/>
    <w:rsid w:val="007571CE"/>
    <w:rsid w:val="007577A2"/>
    <w:rsid w:val="007730B7"/>
    <w:rsid w:val="00781981"/>
    <w:rsid w:val="00782C79"/>
    <w:rsid w:val="00790CF3"/>
    <w:rsid w:val="00793BE0"/>
    <w:rsid w:val="007A089D"/>
    <w:rsid w:val="007A5FB3"/>
    <w:rsid w:val="007A78FB"/>
    <w:rsid w:val="007B68A2"/>
    <w:rsid w:val="007B68DB"/>
    <w:rsid w:val="007D1A0C"/>
    <w:rsid w:val="007D2E27"/>
    <w:rsid w:val="007E08D3"/>
    <w:rsid w:val="007E232D"/>
    <w:rsid w:val="007E3682"/>
    <w:rsid w:val="007E4356"/>
    <w:rsid w:val="007E4EF8"/>
    <w:rsid w:val="007E53F2"/>
    <w:rsid w:val="007F15E5"/>
    <w:rsid w:val="007F4F85"/>
    <w:rsid w:val="007F7360"/>
    <w:rsid w:val="00803319"/>
    <w:rsid w:val="00807116"/>
    <w:rsid w:val="00813E57"/>
    <w:rsid w:val="00813EF0"/>
    <w:rsid w:val="00840DF9"/>
    <w:rsid w:val="008448A6"/>
    <w:rsid w:val="00844A4B"/>
    <w:rsid w:val="00844D24"/>
    <w:rsid w:val="008522AC"/>
    <w:rsid w:val="00857401"/>
    <w:rsid w:val="008577C6"/>
    <w:rsid w:val="008602AC"/>
    <w:rsid w:val="00862A83"/>
    <w:rsid w:val="00880D11"/>
    <w:rsid w:val="008817E4"/>
    <w:rsid w:val="00881B4B"/>
    <w:rsid w:val="0089257F"/>
    <w:rsid w:val="008A408D"/>
    <w:rsid w:val="008A659D"/>
    <w:rsid w:val="008A7E8D"/>
    <w:rsid w:val="008B3672"/>
    <w:rsid w:val="008C6198"/>
    <w:rsid w:val="008C6FD2"/>
    <w:rsid w:val="008D0499"/>
    <w:rsid w:val="008D18CF"/>
    <w:rsid w:val="008D2A6B"/>
    <w:rsid w:val="008D6DB5"/>
    <w:rsid w:val="008F4883"/>
    <w:rsid w:val="00907FC9"/>
    <w:rsid w:val="009146EE"/>
    <w:rsid w:val="00914DE7"/>
    <w:rsid w:val="00925F07"/>
    <w:rsid w:val="00926587"/>
    <w:rsid w:val="00933D64"/>
    <w:rsid w:val="00940EF3"/>
    <w:rsid w:val="00944093"/>
    <w:rsid w:val="00961606"/>
    <w:rsid w:val="009704A1"/>
    <w:rsid w:val="00971C26"/>
    <w:rsid w:val="0098112E"/>
    <w:rsid w:val="009813F1"/>
    <w:rsid w:val="0098765E"/>
    <w:rsid w:val="00997743"/>
    <w:rsid w:val="009A0900"/>
    <w:rsid w:val="009B12A3"/>
    <w:rsid w:val="009B4845"/>
    <w:rsid w:val="009B5536"/>
    <w:rsid w:val="009B7FD4"/>
    <w:rsid w:val="009C2739"/>
    <w:rsid w:val="009C4C81"/>
    <w:rsid w:val="009D293B"/>
    <w:rsid w:val="009D44A8"/>
    <w:rsid w:val="009F0C66"/>
    <w:rsid w:val="00A05BA2"/>
    <w:rsid w:val="00A10632"/>
    <w:rsid w:val="00A15F58"/>
    <w:rsid w:val="00A25C33"/>
    <w:rsid w:val="00A31238"/>
    <w:rsid w:val="00A35053"/>
    <w:rsid w:val="00A57442"/>
    <w:rsid w:val="00A62CD4"/>
    <w:rsid w:val="00A6406F"/>
    <w:rsid w:val="00A67966"/>
    <w:rsid w:val="00A679BF"/>
    <w:rsid w:val="00A91067"/>
    <w:rsid w:val="00A957AA"/>
    <w:rsid w:val="00AB2B99"/>
    <w:rsid w:val="00AB7C6E"/>
    <w:rsid w:val="00AD3F5D"/>
    <w:rsid w:val="00AE6CC0"/>
    <w:rsid w:val="00AE7826"/>
    <w:rsid w:val="00AF557A"/>
    <w:rsid w:val="00AF7D8C"/>
    <w:rsid w:val="00B10DBC"/>
    <w:rsid w:val="00B13249"/>
    <w:rsid w:val="00B154C1"/>
    <w:rsid w:val="00B15E2C"/>
    <w:rsid w:val="00B319AC"/>
    <w:rsid w:val="00B4415A"/>
    <w:rsid w:val="00B5102A"/>
    <w:rsid w:val="00B62866"/>
    <w:rsid w:val="00B64DD6"/>
    <w:rsid w:val="00B72E5F"/>
    <w:rsid w:val="00B809C2"/>
    <w:rsid w:val="00B92892"/>
    <w:rsid w:val="00B92AF9"/>
    <w:rsid w:val="00B92BFE"/>
    <w:rsid w:val="00BA0FFF"/>
    <w:rsid w:val="00BB0EFC"/>
    <w:rsid w:val="00BB7AE4"/>
    <w:rsid w:val="00BC19BF"/>
    <w:rsid w:val="00BD3DC8"/>
    <w:rsid w:val="00BD45F7"/>
    <w:rsid w:val="00BD4D3F"/>
    <w:rsid w:val="00BE197B"/>
    <w:rsid w:val="00BE6D6A"/>
    <w:rsid w:val="00BF1EC1"/>
    <w:rsid w:val="00BF50B2"/>
    <w:rsid w:val="00C03622"/>
    <w:rsid w:val="00C1378B"/>
    <w:rsid w:val="00C2317E"/>
    <w:rsid w:val="00C315B9"/>
    <w:rsid w:val="00C32F6C"/>
    <w:rsid w:val="00C3322E"/>
    <w:rsid w:val="00C479DB"/>
    <w:rsid w:val="00C53F4F"/>
    <w:rsid w:val="00C710A3"/>
    <w:rsid w:val="00C72CFB"/>
    <w:rsid w:val="00C76378"/>
    <w:rsid w:val="00C77CD1"/>
    <w:rsid w:val="00C813B5"/>
    <w:rsid w:val="00C816C9"/>
    <w:rsid w:val="00C83694"/>
    <w:rsid w:val="00C83782"/>
    <w:rsid w:val="00C931F9"/>
    <w:rsid w:val="00C9323A"/>
    <w:rsid w:val="00C94740"/>
    <w:rsid w:val="00C94D7F"/>
    <w:rsid w:val="00CA27A4"/>
    <w:rsid w:val="00CA56ED"/>
    <w:rsid w:val="00CB40F7"/>
    <w:rsid w:val="00CB6792"/>
    <w:rsid w:val="00CC1BF8"/>
    <w:rsid w:val="00CC42B5"/>
    <w:rsid w:val="00CC4E9B"/>
    <w:rsid w:val="00CC6C16"/>
    <w:rsid w:val="00CD0F98"/>
    <w:rsid w:val="00CD22C6"/>
    <w:rsid w:val="00CD32A7"/>
    <w:rsid w:val="00CD3A17"/>
    <w:rsid w:val="00CD6360"/>
    <w:rsid w:val="00CE5027"/>
    <w:rsid w:val="00CF3893"/>
    <w:rsid w:val="00D10EA8"/>
    <w:rsid w:val="00D15355"/>
    <w:rsid w:val="00D33788"/>
    <w:rsid w:val="00D33E18"/>
    <w:rsid w:val="00D41AE3"/>
    <w:rsid w:val="00D44AFD"/>
    <w:rsid w:val="00D572FF"/>
    <w:rsid w:val="00D6404F"/>
    <w:rsid w:val="00D65674"/>
    <w:rsid w:val="00D7129A"/>
    <w:rsid w:val="00D76E30"/>
    <w:rsid w:val="00D76F3B"/>
    <w:rsid w:val="00D83F6C"/>
    <w:rsid w:val="00D85152"/>
    <w:rsid w:val="00D8666C"/>
    <w:rsid w:val="00D955B4"/>
    <w:rsid w:val="00D95AF2"/>
    <w:rsid w:val="00D97F4C"/>
    <w:rsid w:val="00DA7CB5"/>
    <w:rsid w:val="00DB2978"/>
    <w:rsid w:val="00DC02DA"/>
    <w:rsid w:val="00DC29B8"/>
    <w:rsid w:val="00DC507F"/>
    <w:rsid w:val="00DC533B"/>
    <w:rsid w:val="00DD5FD4"/>
    <w:rsid w:val="00DD6EE4"/>
    <w:rsid w:val="00DD7F06"/>
    <w:rsid w:val="00DE0D99"/>
    <w:rsid w:val="00DE17FB"/>
    <w:rsid w:val="00DE69C2"/>
    <w:rsid w:val="00DF6164"/>
    <w:rsid w:val="00DF7832"/>
    <w:rsid w:val="00E05127"/>
    <w:rsid w:val="00E111B3"/>
    <w:rsid w:val="00E22266"/>
    <w:rsid w:val="00E24E46"/>
    <w:rsid w:val="00E31935"/>
    <w:rsid w:val="00E32F09"/>
    <w:rsid w:val="00E452A4"/>
    <w:rsid w:val="00E458DB"/>
    <w:rsid w:val="00E5307D"/>
    <w:rsid w:val="00E6163C"/>
    <w:rsid w:val="00E62F84"/>
    <w:rsid w:val="00E64AA3"/>
    <w:rsid w:val="00E67CC2"/>
    <w:rsid w:val="00E7463D"/>
    <w:rsid w:val="00E75112"/>
    <w:rsid w:val="00E9541B"/>
    <w:rsid w:val="00E958A2"/>
    <w:rsid w:val="00E960C8"/>
    <w:rsid w:val="00E970CE"/>
    <w:rsid w:val="00EA6627"/>
    <w:rsid w:val="00EB3B1A"/>
    <w:rsid w:val="00EB71EE"/>
    <w:rsid w:val="00ED09C7"/>
    <w:rsid w:val="00ED727D"/>
    <w:rsid w:val="00EE0C5E"/>
    <w:rsid w:val="00EE1BD2"/>
    <w:rsid w:val="00EE52DF"/>
    <w:rsid w:val="00EE5361"/>
    <w:rsid w:val="00EF32AD"/>
    <w:rsid w:val="00EF77BF"/>
    <w:rsid w:val="00F029FD"/>
    <w:rsid w:val="00F03A09"/>
    <w:rsid w:val="00F15500"/>
    <w:rsid w:val="00F17E1C"/>
    <w:rsid w:val="00F21C4D"/>
    <w:rsid w:val="00F26D5A"/>
    <w:rsid w:val="00F42C5F"/>
    <w:rsid w:val="00F43DA1"/>
    <w:rsid w:val="00F5092B"/>
    <w:rsid w:val="00F671FD"/>
    <w:rsid w:val="00F72012"/>
    <w:rsid w:val="00F72BA9"/>
    <w:rsid w:val="00F748DA"/>
    <w:rsid w:val="00F853FF"/>
    <w:rsid w:val="00F9549E"/>
    <w:rsid w:val="00FA2D0A"/>
    <w:rsid w:val="00FA3DF3"/>
    <w:rsid w:val="00FB67D3"/>
    <w:rsid w:val="00FD171B"/>
    <w:rsid w:val="00FD5431"/>
    <w:rsid w:val="00FD6CB6"/>
    <w:rsid w:val="00FD6DE2"/>
    <w:rsid w:val="00FE1028"/>
    <w:rsid w:val="00FE2A93"/>
    <w:rsid w:val="00FE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uiPriority w:val="39"/>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uiPriority w:val="39"/>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9EC1-0E74-48EB-89A4-13DFB364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ANGELLA LOVE</dc:creator>
  <dc:description>Supporting Statement;                                      for;                              7 CFR Part 210-NSLP ;  Justification ; 1. The National School Lunch Act (NSLA, P.L. 79-396), as amended, authorized the National</dc:description>
  <cp:lastModifiedBy>CS</cp:lastModifiedBy>
  <cp:revision>4</cp:revision>
  <cp:lastPrinted>2013-02-25T13:24:00Z</cp:lastPrinted>
  <dcterms:created xsi:type="dcterms:W3CDTF">2016-08-02T16:05:00Z</dcterms:created>
  <dcterms:modified xsi:type="dcterms:W3CDTF">2016-08-02T19:01:00Z</dcterms:modified>
</cp:coreProperties>
</file>