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76" w:rsidRDefault="00F80976" w:rsidP="00F80976">
      <w:pPr>
        <w:jc w:val="center"/>
        <w:rPr>
          <w:b/>
          <w:bCs/>
          <w:sz w:val="24"/>
          <w:szCs w:val="24"/>
        </w:rPr>
      </w:pPr>
      <w:r>
        <w:rPr>
          <w:b/>
          <w:bCs/>
          <w:sz w:val="24"/>
          <w:szCs w:val="24"/>
        </w:rPr>
        <w:t>SUPPORTING STATEMENT</w:t>
      </w:r>
    </w:p>
    <w:p w:rsidR="00F80976" w:rsidRDefault="00CE36AF" w:rsidP="00CE36AF">
      <w:pPr>
        <w:jc w:val="center"/>
        <w:rPr>
          <w:b/>
          <w:bCs/>
          <w:sz w:val="24"/>
          <w:szCs w:val="24"/>
        </w:rPr>
      </w:pPr>
      <w:r>
        <w:rPr>
          <w:b/>
          <w:bCs/>
          <w:sz w:val="24"/>
          <w:szCs w:val="24"/>
        </w:rPr>
        <w:t>EU-U.S. PRIVACY SHIELD FRAMEWORK SELF-CERTIFICATION FORM</w:t>
      </w:r>
    </w:p>
    <w:p w:rsidR="00F80976" w:rsidRDefault="00CE36AF" w:rsidP="00F80976">
      <w:pPr>
        <w:jc w:val="center"/>
        <w:rPr>
          <w:sz w:val="24"/>
          <w:szCs w:val="24"/>
        </w:rPr>
      </w:pPr>
      <w:proofErr w:type="gramStart"/>
      <w:r>
        <w:rPr>
          <w:b/>
          <w:bCs/>
          <w:sz w:val="24"/>
          <w:szCs w:val="24"/>
        </w:rPr>
        <w:t>OMB CONTROL NO.</w:t>
      </w:r>
      <w:proofErr w:type="gramEnd"/>
      <w:r>
        <w:rPr>
          <w:b/>
          <w:bCs/>
          <w:sz w:val="24"/>
          <w:szCs w:val="24"/>
        </w:rPr>
        <w:t xml:space="preserve"> XXXX</w:t>
      </w:r>
      <w:r w:rsidR="00F80976">
        <w:rPr>
          <w:b/>
          <w:bCs/>
          <w:sz w:val="24"/>
          <w:szCs w:val="24"/>
        </w:rPr>
        <w:t>-XXXX</w:t>
      </w:r>
    </w:p>
    <w:p w:rsidR="00F80976" w:rsidRDefault="00F80976" w:rsidP="00F80976">
      <w:pPr>
        <w:rPr>
          <w:sz w:val="24"/>
          <w:szCs w:val="24"/>
        </w:rPr>
      </w:pPr>
    </w:p>
    <w:p w:rsidR="00F80976" w:rsidRDefault="00F80976" w:rsidP="00F80976">
      <w:pPr>
        <w:rPr>
          <w:sz w:val="24"/>
          <w:szCs w:val="24"/>
        </w:rPr>
      </w:pPr>
    </w:p>
    <w:p w:rsidR="00F80976" w:rsidRDefault="00F80976" w:rsidP="00F80976">
      <w:pPr>
        <w:tabs>
          <w:tab w:val="left" w:pos="720"/>
        </w:tabs>
        <w:ind w:left="720" w:hanging="720"/>
        <w:rPr>
          <w:sz w:val="24"/>
          <w:szCs w:val="24"/>
        </w:rPr>
      </w:pPr>
      <w:r>
        <w:rPr>
          <w:b/>
          <w:bCs/>
          <w:sz w:val="24"/>
          <w:szCs w:val="24"/>
        </w:rPr>
        <w:t xml:space="preserve">A. </w:t>
      </w:r>
      <w:r>
        <w:rPr>
          <w:b/>
          <w:bCs/>
          <w:sz w:val="24"/>
          <w:szCs w:val="24"/>
        </w:rPr>
        <w:tab/>
        <w:t>JUSTIFICATION</w:t>
      </w:r>
    </w:p>
    <w:p w:rsidR="00F80976" w:rsidRDefault="00F80976" w:rsidP="00F80976">
      <w:pPr>
        <w:rPr>
          <w:sz w:val="24"/>
          <w:szCs w:val="24"/>
        </w:rPr>
      </w:pPr>
    </w:p>
    <w:p w:rsidR="00F80976" w:rsidRDefault="00F80976" w:rsidP="00F80976">
      <w:pPr>
        <w:rPr>
          <w:sz w:val="24"/>
          <w:szCs w:val="24"/>
        </w:rPr>
        <w:sectPr w:rsidR="00F80976" w:rsidSect="00F8097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900" w:right="1440" w:bottom="1080" w:left="1440" w:header="720" w:footer="720" w:gutter="0"/>
          <w:cols w:space="720"/>
        </w:sectPr>
      </w:pPr>
    </w:p>
    <w:p w:rsidR="00F80976" w:rsidRDefault="00F80976" w:rsidP="00F80976">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rsidR="00F80976" w:rsidRDefault="00F80976" w:rsidP="00F80976">
      <w:pPr>
        <w:rPr>
          <w:sz w:val="24"/>
          <w:szCs w:val="24"/>
        </w:rPr>
      </w:pPr>
    </w:p>
    <w:p w:rsidR="00C1487C" w:rsidRDefault="00C1487C" w:rsidP="00C1487C">
      <w:pPr>
        <w:rPr>
          <w:sz w:val="24"/>
          <w:szCs w:val="24"/>
        </w:rPr>
      </w:pPr>
      <w:r>
        <w:rPr>
          <w:sz w:val="24"/>
          <w:szCs w:val="24"/>
        </w:rPr>
        <w:t xml:space="preserve">The purpose of this emergency request </w:t>
      </w:r>
      <w:r w:rsidR="00B95004">
        <w:rPr>
          <w:sz w:val="24"/>
          <w:szCs w:val="24"/>
        </w:rPr>
        <w:t xml:space="preserve">of </w:t>
      </w:r>
      <w:r w:rsidRPr="005926C2">
        <w:rPr>
          <w:sz w:val="24"/>
          <w:szCs w:val="24"/>
        </w:rPr>
        <w:t>Paperwork Redu</w:t>
      </w:r>
      <w:r w:rsidR="00B95004">
        <w:rPr>
          <w:sz w:val="24"/>
          <w:szCs w:val="24"/>
        </w:rPr>
        <w:t xml:space="preserve">ction Act (PRA) clearance is </w:t>
      </w:r>
      <w:r w:rsidRPr="005926C2">
        <w:rPr>
          <w:sz w:val="24"/>
          <w:szCs w:val="24"/>
        </w:rPr>
        <w:t xml:space="preserve">to allow the Department of Commerce (DOC), as represented by the International Trade Administration (ITA), to collect information from organizations in the United States to </w:t>
      </w:r>
      <w:r w:rsidR="001D7CB5">
        <w:rPr>
          <w:sz w:val="24"/>
          <w:szCs w:val="24"/>
        </w:rPr>
        <w:t xml:space="preserve">enable </w:t>
      </w:r>
      <w:r w:rsidRPr="005926C2">
        <w:rPr>
          <w:sz w:val="24"/>
          <w:szCs w:val="24"/>
        </w:rPr>
        <w:t>such organizations’ self-certification to the EU-U.S. Privacy Shield Framework (Privacy Shield).  Given the critical role of the collection of information to the Privacy Shield, the importance to transatlantic commerce of providing the Privacy Shield without further delay, and the uncertainty regarding when the Privacy Shield would clear the final stage of the multi-stage European Union (EU) approval process, the DOC cannot reasonably comply at present with the normal clearance procedures.</w:t>
      </w:r>
    </w:p>
    <w:p w:rsidR="00C1487C" w:rsidRPr="005926C2" w:rsidRDefault="00C1487C" w:rsidP="00C1487C">
      <w:pPr>
        <w:rPr>
          <w:sz w:val="24"/>
          <w:szCs w:val="24"/>
        </w:rPr>
      </w:pPr>
    </w:p>
    <w:p w:rsidR="00C1487C" w:rsidRPr="005926C2" w:rsidRDefault="00C1487C" w:rsidP="00C1487C">
      <w:pPr>
        <w:rPr>
          <w:sz w:val="24"/>
          <w:szCs w:val="24"/>
        </w:rPr>
      </w:pPr>
      <w:r w:rsidRPr="005926C2">
        <w:rPr>
          <w:sz w:val="24"/>
          <w:szCs w:val="24"/>
        </w:rPr>
        <w:t xml:space="preserve">The United States and the EU share the goal of enhancing privacy protection for their citizens, but take different approaches to protecting personal data.  Given those differences, the DOC has developed the Privacy Shield in consultation with the European Commission, as well as with industry and other stakeholders, to provide organizations in the United States with a reliable mechanism for personal data transfers to the United States from the EU while ensuring the protection of the data as required by EU law.   </w:t>
      </w:r>
    </w:p>
    <w:p w:rsidR="00C1487C" w:rsidRPr="005926C2" w:rsidRDefault="00C1487C" w:rsidP="00C1487C">
      <w:pPr>
        <w:rPr>
          <w:sz w:val="24"/>
          <w:szCs w:val="24"/>
        </w:rPr>
      </w:pPr>
    </w:p>
    <w:p w:rsidR="00C1487C" w:rsidRPr="005926C2" w:rsidRDefault="00C1487C" w:rsidP="00C1487C">
      <w:pPr>
        <w:rPr>
          <w:sz w:val="24"/>
          <w:szCs w:val="24"/>
        </w:rPr>
      </w:pPr>
      <w:r w:rsidRPr="005926C2">
        <w:rPr>
          <w:sz w:val="24"/>
          <w:szCs w:val="24"/>
        </w:rPr>
        <w:t>The DOC had previously developed in consultation with European Commission the analogous U.S.-EU Safe Harbor Framework (Safe Harbor), which has been administered by the ITA since 2000 and had enabled t</w:t>
      </w:r>
      <w:r>
        <w:rPr>
          <w:sz w:val="24"/>
          <w:szCs w:val="24"/>
        </w:rPr>
        <w:t>ransfers of personal data</w:t>
      </w:r>
      <w:r w:rsidRPr="005926C2">
        <w:rPr>
          <w:sz w:val="24"/>
          <w:szCs w:val="24"/>
        </w:rPr>
        <w:t xml:space="preserve"> supporting billions of dollars in transatlantic trade.  For over 15 years the Safe Harbor provided thousands of organizations in the United States and their partners on both sides of the Atlantic with a reliable mechanism for personal data transfers to the United States from the EU.  In October 2015, the European Court of Justice (ECJ) invalidated the decision made by the European Commission in 2000, which had recognized the Safe Harbor as a valid legal mechanism for such transfers.  The ECJ judgment has created considerable uncertainty with regard to transatlantic business arrangements and imposed associated costs, as the remaining legal data transfer mechanisms are not only time-consuming and costly to implement, but also potentially subject to similar legal challenges.</w:t>
      </w:r>
    </w:p>
    <w:p w:rsidR="00C1487C" w:rsidRPr="005926C2" w:rsidRDefault="00C1487C" w:rsidP="00C1487C">
      <w:pPr>
        <w:rPr>
          <w:sz w:val="24"/>
          <w:szCs w:val="24"/>
        </w:rPr>
      </w:pPr>
    </w:p>
    <w:p w:rsidR="00C1487C" w:rsidRPr="005926C2" w:rsidRDefault="00C1487C" w:rsidP="00C1487C">
      <w:pPr>
        <w:rPr>
          <w:sz w:val="24"/>
          <w:szCs w:val="24"/>
        </w:rPr>
      </w:pPr>
      <w:r w:rsidRPr="005926C2">
        <w:rPr>
          <w:sz w:val="24"/>
          <w:szCs w:val="24"/>
        </w:rPr>
        <w:t xml:space="preserve">In February 2016, the United States and European Commission reached agreement on and published the Privacy Shield, including the Privacy Shield Principles, which reflect over two years of discussions about enhancing the provisions of the Safe Harbor.  Following the February 2016 announcement, the European Commission submitted the Privacy Shield for review and approval by the EU.  </w:t>
      </w:r>
    </w:p>
    <w:p w:rsidR="00C1487C" w:rsidRPr="005926C2" w:rsidRDefault="00C1487C" w:rsidP="00C1487C">
      <w:pPr>
        <w:rPr>
          <w:sz w:val="24"/>
          <w:szCs w:val="24"/>
        </w:rPr>
      </w:pPr>
    </w:p>
    <w:p w:rsidR="00C1487C" w:rsidRDefault="00AD1405" w:rsidP="00C1487C">
      <w:pPr>
        <w:rPr>
          <w:sz w:val="24"/>
          <w:szCs w:val="24"/>
        </w:rPr>
      </w:pPr>
      <w:r>
        <w:rPr>
          <w:sz w:val="24"/>
          <w:szCs w:val="24"/>
        </w:rPr>
        <w:t>Upon receiving</w:t>
      </w:r>
      <w:r w:rsidR="001D7CB5">
        <w:rPr>
          <w:sz w:val="24"/>
          <w:szCs w:val="24"/>
        </w:rPr>
        <w:t xml:space="preserve"> </w:t>
      </w:r>
      <w:r w:rsidR="00C1487C" w:rsidRPr="005926C2">
        <w:rPr>
          <w:sz w:val="24"/>
          <w:szCs w:val="24"/>
        </w:rPr>
        <w:t>EU approval</w:t>
      </w:r>
      <w:r w:rsidR="001D7CB5">
        <w:rPr>
          <w:sz w:val="24"/>
          <w:szCs w:val="24"/>
        </w:rPr>
        <w:t xml:space="preserve"> on July 12</w:t>
      </w:r>
      <w:r w:rsidR="00C1487C" w:rsidRPr="005926C2">
        <w:rPr>
          <w:sz w:val="24"/>
          <w:szCs w:val="24"/>
        </w:rPr>
        <w:t xml:space="preserve">, the DOC </w:t>
      </w:r>
      <w:r w:rsidR="001D7CB5">
        <w:rPr>
          <w:sz w:val="24"/>
          <w:szCs w:val="24"/>
        </w:rPr>
        <w:t xml:space="preserve">is </w:t>
      </w:r>
      <w:r w:rsidRPr="005926C2">
        <w:rPr>
          <w:sz w:val="24"/>
          <w:szCs w:val="24"/>
        </w:rPr>
        <w:t>issu</w:t>
      </w:r>
      <w:r>
        <w:rPr>
          <w:sz w:val="24"/>
          <w:szCs w:val="24"/>
        </w:rPr>
        <w:t>ing</w:t>
      </w:r>
      <w:r w:rsidRPr="005926C2">
        <w:rPr>
          <w:sz w:val="24"/>
          <w:szCs w:val="24"/>
        </w:rPr>
        <w:t xml:space="preserve"> </w:t>
      </w:r>
      <w:r w:rsidR="00C1487C" w:rsidRPr="005926C2">
        <w:rPr>
          <w:sz w:val="24"/>
          <w:szCs w:val="24"/>
        </w:rPr>
        <w:t xml:space="preserve">the Privacy Shield Principles under its statutory authority to foster, promote, and develop international commerce (15 U.S.C. § 1512).  The ITA will administer and supervise the Privacy Shield, including by maintaining and making publicly available an authoritative list of U.S. organizations that have self-certified to the DOC.  In order to rely on the Privacy Shield for transfers of personal data from the EU, an organization must self-certify its adherence to the Privacy Shield Principles to the DOC, be </w:t>
      </w:r>
      <w:r w:rsidR="00C1487C" w:rsidRPr="005926C2">
        <w:rPr>
          <w:sz w:val="24"/>
          <w:szCs w:val="24"/>
        </w:rPr>
        <w:lastRenderedPageBreak/>
        <w:t xml:space="preserve">placed by the ITA on the Privacy Shield List, and remain on the Privacy Shield List.  </w:t>
      </w:r>
    </w:p>
    <w:p w:rsidR="00C1487C" w:rsidRPr="00B512DB" w:rsidRDefault="00C1487C" w:rsidP="00C1487C">
      <w:pPr>
        <w:rPr>
          <w:sz w:val="24"/>
          <w:szCs w:val="24"/>
        </w:rPr>
      </w:pPr>
    </w:p>
    <w:p w:rsidR="00B512DB" w:rsidRPr="00940BEA" w:rsidRDefault="00B512DB" w:rsidP="00B512DB">
      <w:pPr>
        <w:rPr>
          <w:iCs/>
          <w:sz w:val="24"/>
          <w:szCs w:val="24"/>
        </w:rPr>
      </w:pPr>
      <w:r w:rsidRPr="00940BEA">
        <w:rPr>
          <w:iCs/>
          <w:sz w:val="24"/>
          <w:szCs w:val="24"/>
        </w:rPr>
        <w:t>ITA is publishing a separate federal register notice that explains the fee structure for Privacy Shield.  ITA will review comments on that notice and respond to them at a later time.</w:t>
      </w:r>
    </w:p>
    <w:p w:rsidR="00B512DB" w:rsidRDefault="00B512DB" w:rsidP="00C1487C">
      <w:pPr>
        <w:rPr>
          <w:sz w:val="24"/>
          <w:szCs w:val="24"/>
        </w:rPr>
      </w:pPr>
    </w:p>
    <w:p w:rsidR="00C1487C" w:rsidRPr="005926C2" w:rsidRDefault="00C1487C" w:rsidP="00C1487C">
      <w:pPr>
        <w:rPr>
          <w:sz w:val="24"/>
          <w:szCs w:val="24"/>
        </w:rPr>
      </w:pPr>
      <w:r w:rsidRPr="005926C2">
        <w:rPr>
          <w:sz w:val="24"/>
          <w:szCs w:val="24"/>
        </w:rPr>
        <w:t xml:space="preserve">To self-certify for the Privacy Shield, an organization must provide to the DOC a self-certification submission that contains the information specified in the Privacy Shield Principles.  The Privacy Shield self-certification form, the proposed information collection, would be the means by which an organization would provide the relevant information to the </w:t>
      </w:r>
      <w:r>
        <w:rPr>
          <w:sz w:val="24"/>
          <w:szCs w:val="24"/>
        </w:rPr>
        <w:t xml:space="preserve">ITA.  </w:t>
      </w:r>
      <w:r w:rsidR="001D7CB5">
        <w:rPr>
          <w:sz w:val="24"/>
          <w:szCs w:val="24"/>
        </w:rPr>
        <w:t>T</w:t>
      </w:r>
      <w:r w:rsidRPr="005926C2">
        <w:rPr>
          <w:sz w:val="24"/>
          <w:szCs w:val="24"/>
        </w:rPr>
        <w:t xml:space="preserve">he proposed Privacy Shield self-certification form </w:t>
      </w:r>
      <w:r w:rsidR="00FD1B07">
        <w:rPr>
          <w:sz w:val="24"/>
          <w:szCs w:val="24"/>
        </w:rPr>
        <w:t xml:space="preserve">is </w:t>
      </w:r>
      <w:r w:rsidRPr="005926C2">
        <w:rPr>
          <w:sz w:val="24"/>
          <w:szCs w:val="24"/>
        </w:rPr>
        <w:t>subst</w:t>
      </w:r>
      <w:r>
        <w:rPr>
          <w:sz w:val="24"/>
          <w:szCs w:val="24"/>
        </w:rPr>
        <w:t xml:space="preserve">antially similar to </w:t>
      </w:r>
      <w:r w:rsidR="00FD1B07">
        <w:rPr>
          <w:sz w:val="24"/>
          <w:szCs w:val="24"/>
        </w:rPr>
        <w:t>the information collection request approved by OMB in connection</w:t>
      </w:r>
      <w:r w:rsidR="00C70518">
        <w:rPr>
          <w:sz w:val="24"/>
          <w:szCs w:val="24"/>
        </w:rPr>
        <w:t xml:space="preserve"> with</w:t>
      </w:r>
      <w:r w:rsidR="00FD1B07">
        <w:rPr>
          <w:sz w:val="24"/>
          <w:szCs w:val="24"/>
        </w:rPr>
        <w:t xml:space="preserve"> the </w:t>
      </w:r>
      <w:r w:rsidRPr="005926C2">
        <w:rPr>
          <w:sz w:val="24"/>
          <w:szCs w:val="24"/>
        </w:rPr>
        <w:t>Safe Harbor self-certifica</w:t>
      </w:r>
      <w:r>
        <w:rPr>
          <w:sz w:val="24"/>
          <w:szCs w:val="24"/>
        </w:rPr>
        <w:t>tion form</w:t>
      </w:r>
      <w:r w:rsidR="00FD1B07" w:rsidRPr="00FD1B07">
        <w:rPr>
          <w:sz w:val="24"/>
          <w:szCs w:val="24"/>
        </w:rPr>
        <w:t xml:space="preserve"> </w:t>
      </w:r>
      <w:r w:rsidR="00FD1B07">
        <w:rPr>
          <w:sz w:val="24"/>
          <w:szCs w:val="24"/>
        </w:rPr>
        <w:t>(OMB Control No. 0625-0239).</w:t>
      </w:r>
    </w:p>
    <w:p w:rsidR="00E256DA" w:rsidRDefault="00E256DA" w:rsidP="00E256DA">
      <w:pPr>
        <w:rPr>
          <w:sz w:val="24"/>
          <w:szCs w:val="24"/>
        </w:rPr>
      </w:pPr>
    </w:p>
    <w:p w:rsidR="00E256DA" w:rsidRDefault="00E256DA" w:rsidP="00E256DA">
      <w:pPr>
        <w:rPr>
          <w:sz w:val="24"/>
          <w:szCs w:val="24"/>
        </w:rPr>
      </w:pPr>
      <w:r>
        <w:rPr>
          <w:sz w:val="24"/>
          <w:szCs w:val="24"/>
        </w:rPr>
        <w:t xml:space="preserve">We request that the PRA review be completed within </w:t>
      </w:r>
      <w:r w:rsidR="00317058" w:rsidRPr="002425F3">
        <w:rPr>
          <w:sz w:val="24"/>
          <w:szCs w:val="24"/>
        </w:rPr>
        <w:t>180</w:t>
      </w:r>
      <w:r w:rsidRPr="002425F3">
        <w:rPr>
          <w:sz w:val="24"/>
          <w:szCs w:val="24"/>
        </w:rPr>
        <w:t xml:space="preserve"> days</w:t>
      </w:r>
      <w:r>
        <w:rPr>
          <w:sz w:val="24"/>
          <w:szCs w:val="24"/>
        </w:rPr>
        <w:t xml:space="preserve"> from receipt of this submission.  </w:t>
      </w:r>
    </w:p>
    <w:p w:rsidR="00C1487C" w:rsidRPr="001D2896" w:rsidRDefault="00C1487C" w:rsidP="00F80976">
      <w:pPr>
        <w:rPr>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F80976" w:rsidRDefault="00F80976" w:rsidP="00F80976">
      <w:pPr>
        <w:rPr>
          <w:sz w:val="24"/>
          <w:szCs w:val="24"/>
        </w:rPr>
      </w:pPr>
    </w:p>
    <w:p w:rsidR="00A87513" w:rsidRPr="008A6F1F" w:rsidRDefault="00CA221A" w:rsidP="00D72864">
      <w:pPr>
        <w:pStyle w:val="NoSpacing"/>
        <w:rPr>
          <w:rFonts w:ascii="Times New Roman" w:hAnsi="Times New Roman" w:cs="Times New Roman"/>
          <w:sz w:val="24"/>
          <w:szCs w:val="24"/>
        </w:rPr>
      </w:pPr>
      <w:r w:rsidRPr="008A6F1F">
        <w:rPr>
          <w:rFonts w:ascii="Times New Roman" w:hAnsi="Times New Roman" w:cs="Times New Roman"/>
          <w:sz w:val="24"/>
          <w:szCs w:val="24"/>
        </w:rPr>
        <w:t>In order to rely on the Privacy Shield, an organization must self-certify its adherence to the Privacy Shield Principles to th</w:t>
      </w:r>
      <w:r w:rsidR="004F725C" w:rsidRPr="008A6F1F">
        <w:rPr>
          <w:rFonts w:ascii="Times New Roman" w:hAnsi="Times New Roman" w:cs="Times New Roman"/>
          <w:sz w:val="24"/>
          <w:szCs w:val="24"/>
        </w:rPr>
        <w:t xml:space="preserve">e Department of Commerce (DOC).  </w:t>
      </w:r>
      <w:r w:rsidR="00EE373C" w:rsidRPr="008A6F1F">
        <w:rPr>
          <w:rFonts w:ascii="Times New Roman" w:hAnsi="Times New Roman" w:cs="Times New Roman"/>
          <w:sz w:val="24"/>
          <w:szCs w:val="24"/>
        </w:rPr>
        <w:t xml:space="preserve">While </w:t>
      </w:r>
      <w:r w:rsidR="00276B47" w:rsidRPr="008A6F1F">
        <w:rPr>
          <w:rFonts w:ascii="Times New Roman" w:hAnsi="Times New Roman" w:cs="Times New Roman"/>
          <w:sz w:val="24"/>
          <w:szCs w:val="24"/>
        </w:rPr>
        <w:t>the decision</w:t>
      </w:r>
      <w:r w:rsidR="00EE373C" w:rsidRPr="008A6F1F">
        <w:rPr>
          <w:rFonts w:ascii="Times New Roman" w:hAnsi="Times New Roman" w:cs="Times New Roman"/>
          <w:sz w:val="24"/>
          <w:szCs w:val="24"/>
        </w:rPr>
        <w:t xml:space="preserve"> by </w:t>
      </w:r>
      <w:r w:rsidR="00276B47" w:rsidRPr="008A6F1F">
        <w:rPr>
          <w:rFonts w:ascii="Times New Roman" w:hAnsi="Times New Roman" w:cs="Times New Roman"/>
          <w:sz w:val="24"/>
          <w:szCs w:val="24"/>
        </w:rPr>
        <w:t>an organization to enter the Privacy Shield is</w:t>
      </w:r>
      <w:r w:rsidR="00EE373C" w:rsidRPr="008A6F1F">
        <w:rPr>
          <w:rFonts w:ascii="Times New Roman" w:hAnsi="Times New Roman" w:cs="Times New Roman"/>
          <w:sz w:val="24"/>
          <w:szCs w:val="24"/>
        </w:rPr>
        <w:t xml:space="preserve"> entirely vol</w:t>
      </w:r>
      <w:r w:rsidR="00DB4F17" w:rsidRPr="008A6F1F">
        <w:rPr>
          <w:rFonts w:ascii="Times New Roman" w:hAnsi="Times New Roman" w:cs="Times New Roman"/>
          <w:sz w:val="24"/>
          <w:szCs w:val="24"/>
        </w:rPr>
        <w:t xml:space="preserve">untary, effective compliance is </w:t>
      </w:r>
      <w:r w:rsidR="00EE373C" w:rsidRPr="008A6F1F">
        <w:rPr>
          <w:rFonts w:ascii="Times New Roman" w:hAnsi="Times New Roman" w:cs="Times New Roman"/>
          <w:sz w:val="24"/>
          <w:szCs w:val="24"/>
        </w:rPr>
        <w:t xml:space="preserve">compulsory: </w:t>
      </w:r>
      <w:r w:rsidR="00276B47" w:rsidRPr="008A6F1F">
        <w:rPr>
          <w:rFonts w:ascii="Times New Roman" w:hAnsi="Times New Roman" w:cs="Times New Roman"/>
          <w:sz w:val="24"/>
          <w:szCs w:val="24"/>
        </w:rPr>
        <w:t xml:space="preserve">an </w:t>
      </w:r>
      <w:r w:rsidR="00EE373C" w:rsidRPr="008A6F1F">
        <w:rPr>
          <w:rFonts w:ascii="Times New Roman" w:hAnsi="Times New Roman" w:cs="Times New Roman"/>
          <w:sz w:val="24"/>
          <w:szCs w:val="24"/>
        </w:rPr>
        <w:t>organizati</w:t>
      </w:r>
      <w:r w:rsidR="00276B47" w:rsidRPr="008A6F1F">
        <w:rPr>
          <w:rFonts w:ascii="Times New Roman" w:hAnsi="Times New Roman" w:cs="Times New Roman"/>
          <w:sz w:val="24"/>
          <w:szCs w:val="24"/>
        </w:rPr>
        <w:t>on</w:t>
      </w:r>
      <w:r w:rsidR="00EE373C" w:rsidRPr="008A6F1F">
        <w:rPr>
          <w:rFonts w:ascii="Times New Roman" w:hAnsi="Times New Roman" w:cs="Times New Roman"/>
          <w:sz w:val="24"/>
          <w:szCs w:val="24"/>
        </w:rPr>
        <w:t xml:space="preserve"> tha</w:t>
      </w:r>
      <w:r w:rsidR="00276B47" w:rsidRPr="008A6F1F">
        <w:rPr>
          <w:rFonts w:ascii="Times New Roman" w:hAnsi="Times New Roman" w:cs="Times New Roman"/>
          <w:sz w:val="24"/>
          <w:szCs w:val="24"/>
        </w:rPr>
        <w:t>t self-certifies</w:t>
      </w:r>
      <w:r w:rsidR="009F4CBF" w:rsidRPr="008A6F1F">
        <w:rPr>
          <w:rFonts w:ascii="Times New Roman" w:hAnsi="Times New Roman" w:cs="Times New Roman"/>
          <w:sz w:val="24"/>
          <w:szCs w:val="24"/>
        </w:rPr>
        <w:t xml:space="preserve"> to the DOC</w:t>
      </w:r>
      <w:r w:rsidR="00EE373C" w:rsidRPr="008A6F1F">
        <w:rPr>
          <w:rFonts w:ascii="Times New Roman" w:hAnsi="Times New Roman" w:cs="Times New Roman"/>
          <w:sz w:val="24"/>
          <w:szCs w:val="24"/>
        </w:rPr>
        <w:t xml:space="preserve"> and publicly declare</w:t>
      </w:r>
      <w:r w:rsidR="00276B47" w:rsidRPr="008A6F1F">
        <w:rPr>
          <w:rFonts w:ascii="Times New Roman" w:hAnsi="Times New Roman" w:cs="Times New Roman"/>
          <w:sz w:val="24"/>
          <w:szCs w:val="24"/>
        </w:rPr>
        <w:t>s</w:t>
      </w:r>
      <w:r w:rsidR="00EE373C" w:rsidRPr="008A6F1F">
        <w:rPr>
          <w:rFonts w:ascii="Times New Roman" w:hAnsi="Times New Roman" w:cs="Times New Roman"/>
          <w:sz w:val="24"/>
          <w:szCs w:val="24"/>
        </w:rPr>
        <w:t xml:space="preserve"> </w:t>
      </w:r>
      <w:r w:rsidR="00276B47" w:rsidRPr="008A6F1F">
        <w:rPr>
          <w:rFonts w:ascii="Times New Roman" w:hAnsi="Times New Roman" w:cs="Times New Roman"/>
          <w:sz w:val="24"/>
          <w:szCs w:val="24"/>
        </w:rPr>
        <w:t>i</w:t>
      </w:r>
      <w:r w:rsidR="00EE373C" w:rsidRPr="008A6F1F">
        <w:rPr>
          <w:rFonts w:ascii="Times New Roman" w:hAnsi="Times New Roman" w:cs="Times New Roman"/>
          <w:sz w:val="24"/>
          <w:szCs w:val="24"/>
        </w:rPr>
        <w:t>t</w:t>
      </w:r>
      <w:r w:rsidR="00276B47" w:rsidRPr="008A6F1F">
        <w:rPr>
          <w:rFonts w:ascii="Times New Roman" w:hAnsi="Times New Roman" w:cs="Times New Roman"/>
          <w:sz w:val="24"/>
          <w:szCs w:val="24"/>
        </w:rPr>
        <w:t>s</w:t>
      </w:r>
      <w:r w:rsidR="00EE373C" w:rsidRPr="008A6F1F">
        <w:rPr>
          <w:rFonts w:ascii="Times New Roman" w:hAnsi="Times New Roman" w:cs="Times New Roman"/>
          <w:sz w:val="24"/>
          <w:szCs w:val="24"/>
        </w:rPr>
        <w:t xml:space="preserve"> commitment to adhere to the </w:t>
      </w:r>
      <w:r w:rsidR="009F4CBF" w:rsidRPr="008A6F1F">
        <w:rPr>
          <w:rFonts w:ascii="Times New Roman" w:hAnsi="Times New Roman" w:cs="Times New Roman"/>
          <w:sz w:val="24"/>
          <w:szCs w:val="24"/>
        </w:rPr>
        <w:t xml:space="preserve">Privacy Shield </w:t>
      </w:r>
      <w:r w:rsidR="00EE373C" w:rsidRPr="008A6F1F">
        <w:rPr>
          <w:rFonts w:ascii="Times New Roman" w:hAnsi="Times New Roman" w:cs="Times New Roman"/>
          <w:sz w:val="24"/>
          <w:szCs w:val="24"/>
        </w:rPr>
        <w:t>Principles must c</w:t>
      </w:r>
      <w:r w:rsidR="00CB380A" w:rsidRPr="008A6F1F">
        <w:rPr>
          <w:rFonts w:ascii="Times New Roman" w:hAnsi="Times New Roman" w:cs="Times New Roman"/>
          <w:sz w:val="24"/>
          <w:szCs w:val="24"/>
        </w:rPr>
        <w:t>omply fully with the Principles</w:t>
      </w:r>
      <w:r w:rsidRPr="008A6F1F">
        <w:rPr>
          <w:rFonts w:ascii="Times New Roman" w:hAnsi="Times New Roman" w:cs="Times New Roman"/>
          <w:sz w:val="24"/>
          <w:szCs w:val="24"/>
        </w:rPr>
        <w:t>.</w:t>
      </w:r>
      <w:r w:rsidR="00276B47" w:rsidRPr="008A6F1F">
        <w:rPr>
          <w:rFonts w:ascii="Times New Roman" w:hAnsi="Times New Roman" w:cs="Times New Roman"/>
          <w:sz w:val="24"/>
          <w:szCs w:val="24"/>
        </w:rPr>
        <w:t xml:space="preserve">  </w:t>
      </w:r>
    </w:p>
    <w:p w:rsidR="008A6F1F" w:rsidRPr="008A6F1F" w:rsidRDefault="008A6F1F" w:rsidP="00D72864">
      <w:pPr>
        <w:pStyle w:val="NoSpacing"/>
        <w:rPr>
          <w:rFonts w:ascii="Times New Roman" w:hAnsi="Times New Roman" w:cs="Times New Roman"/>
          <w:sz w:val="24"/>
          <w:szCs w:val="24"/>
        </w:rPr>
      </w:pPr>
    </w:p>
    <w:p w:rsidR="008A6F1F" w:rsidRPr="008A6F1F" w:rsidRDefault="008A6F1F" w:rsidP="008A6F1F">
      <w:pPr>
        <w:pStyle w:val="NoSpacing"/>
        <w:rPr>
          <w:rFonts w:ascii="Times New Roman" w:hAnsi="Times New Roman" w:cs="Times New Roman"/>
          <w:sz w:val="24"/>
          <w:szCs w:val="24"/>
        </w:rPr>
      </w:pPr>
      <w:r w:rsidRPr="008A6F1F">
        <w:rPr>
          <w:rFonts w:ascii="Times New Roman" w:hAnsi="Times New Roman" w:cs="Times New Roman"/>
          <w:sz w:val="24"/>
          <w:szCs w:val="24"/>
        </w:rPr>
        <w:t xml:space="preserve">To self-certify for the Privacy Shield, an organization must provide to the DOC a self-certification submission, signed by a corporate officer on behalf of the organization that is joining the Privacy Shield that contains at least the following information: </w:t>
      </w:r>
    </w:p>
    <w:p w:rsidR="008A6F1F" w:rsidRPr="008A6F1F" w:rsidRDefault="008A6F1F" w:rsidP="008A6F1F">
      <w:pPr>
        <w:pStyle w:val="NoSpacing"/>
        <w:rPr>
          <w:rFonts w:ascii="Times New Roman" w:hAnsi="Times New Roman" w:cs="Times New Roman"/>
          <w:sz w:val="24"/>
          <w:szCs w:val="24"/>
        </w:rPr>
      </w:pPr>
    </w:p>
    <w:p w:rsidR="008A6F1F" w:rsidRPr="008A6F1F" w:rsidRDefault="008A6F1F" w:rsidP="008A6F1F">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name of organization, mailing address, e-mail address, telephone, and fax numbers;</w:t>
      </w:r>
    </w:p>
    <w:p w:rsidR="008A6F1F" w:rsidRPr="008A6F1F" w:rsidRDefault="008A6F1F" w:rsidP="008A6F1F">
      <w:pPr>
        <w:pStyle w:val="NoSpacing"/>
        <w:rPr>
          <w:rFonts w:ascii="Times New Roman" w:hAnsi="Times New Roman" w:cs="Times New Roman"/>
          <w:sz w:val="24"/>
          <w:szCs w:val="24"/>
        </w:rPr>
      </w:pPr>
    </w:p>
    <w:p w:rsidR="008A6F1F" w:rsidRPr="008A6F1F" w:rsidRDefault="008A6F1F" w:rsidP="008A6F1F">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description of the activities of the organization with respect to personal information received from the EU, including: a list of all entities or subsidiaries of the organization that are also adhering to the Privacy Shield Principles and are covered under the organization’s self-certification, types of personal data covered by the organization’s self-certification, and the purposes for which the organization processes personal data in reliance on the Privacy Shield, and</w:t>
      </w:r>
    </w:p>
    <w:p w:rsidR="008A6F1F" w:rsidRPr="008A6F1F" w:rsidRDefault="008A6F1F" w:rsidP="008A6F1F">
      <w:pPr>
        <w:pStyle w:val="NoSpacing"/>
        <w:rPr>
          <w:rFonts w:ascii="Times New Roman" w:hAnsi="Times New Roman" w:cs="Times New Roman"/>
          <w:sz w:val="24"/>
          <w:szCs w:val="24"/>
        </w:rPr>
      </w:pPr>
    </w:p>
    <w:p w:rsidR="008A6F1F" w:rsidRPr="008A6F1F" w:rsidRDefault="008A6F1F" w:rsidP="008A6F1F">
      <w:pPr>
        <w:pStyle w:val="NoSpacing"/>
        <w:numPr>
          <w:ilvl w:val="0"/>
          <w:numId w:val="1"/>
        </w:numPr>
        <w:rPr>
          <w:rFonts w:ascii="Times New Roman" w:hAnsi="Times New Roman" w:cs="Times New Roman"/>
          <w:sz w:val="24"/>
          <w:szCs w:val="24"/>
        </w:rPr>
      </w:pPr>
      <w:r w:rsidRPr="008A6F1F">
        <w:rPr>
          <w:rFonts w:ascii="Times New Roman" w:hAnsi="Times New Roman" w:cs="Times New Roman"/>
          <w:sz w:val="24"/>
          <w:szCs w:val="24"/>
        </w:rPr>
        <w:t>description of the organization's privacy policy for such personal information, including:</w:t>
      </w:r>
    </w:p>
    <w:p w:rsidR="008A6F1F" w:rsidRPr="008A6F1F" w:rsidRDefault="008A6F1F" w:rsidP="008A6F1F">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if the organization has a public website, the relevant web address where the privacy policy is available, or if the organization does not have a public website, where the privacy policy is available for viewing by the public;</w:t>
      </w:r>
    </w:p>
    <w:p w:rsidR="008A6F1F" w:rsidRPr="008A6F1F" w:rsidRDefault="008A6F1F" w:rsidP="008A6F1F">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its effective date of implementation;</w:t>
      </w:r>
    </w:p>
    <w:p w:rsidR="008A6F1F" w:rsidRPr="008A6F1F" w:rsidRDefault="008A6F1F" w:rsidP="008A6F1F">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a contact office for the handling of complaints, access requests, and any other issues arising under the Privacy Shield;</w:t>
      </w:r>
    </w:p>
    <w:p w:rsidR="008A6F1F" w:rsidRPr="008A6F1F" w:rsidRDefault="008A6F1F" w:rsidP="008A6F1F">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lastRenderedPageBreak/>
        <w:t>the specific statutory body that has jurisdiction to hear any claims against the organization regarding possible unfair or deceptive practices and violations of laws or regulations governing privacy (and that is listed in the Principles or a future annex to the Principles);</w:t>
      </w:r>
    </w:p>
    <w:p w:rsidR="008A6F1F" w:rsidRPr="008A6F1F" w:rsidRDefault="008A6F1F" w:rsidP="008A6F1F">
      <w:pPr>
        <w:pStyle w:val="NoSpacing"/>
        <w:numPr>
          <w:ilvl w:val="1"/>
          <w:numId w:val="1"/>
        </w:numPr>
        <w:rPr>
          <w:rFonts w:ascii="Times New Roman" w:hAnsi="Times New Roman" w:cs="Times New Roman"/>
          <w:sz w:val="24"/>
          <w:szCs w:val="24"/>
        </w:rPr>
      </w:pPr>
      <w:r w:rsidRPr="008A6F1F">
        <w:rPr>
          <w:rFonts w:ascii="Times New Roman" w:hAnsi="Times New Roman" w:cs="Times New Roman"/>
          <w:sz w:val="24"/>
          <w:szCs w:val="24"/>
        </w:rPr>
        <w:t>name of any privacy program in which the organization is a member;</w:t>
      </w:r>
    </w:p>
    <w:p w:rsidR="008A6F1F" w:rsidRPr="008A6F1F" w:rsidRDefault="008A6F1F" w:rsidP="008A6F1F">
      <w:pPr>
        <w:pStyle w:val="NoSpacing"/>
        <w:numPr>
          <w:ilvl w:val="1"/>
          <w:numId w:val="1"/>
        </w:numPr>
        <w:rPr>
          <w:rFonts w:ascii="Times New Roman" w:hAnsi="Times New Roman" w:cs="Times New Roman"/>
          <w:i/>
          <w:iCs/>
          <w:sz w:val="24"/>
          <w:szCs w:val="24"/>
        </w:rPr>
      </w:pPr>
      <w:r w:rsidRPr="008A6F1F">
        <w:rPr>
          <w:rFonts w:ascii="Times New Roman" w:hAnsi="Times New Roman" w:cs="Times New Roman"/>
          <w:sz w:val="24"/>
          <w:szCs w:val="24"/>
        </w:rPr>
        <w:t xml:space="preserve">method of verification </w:t>
      </w:r>
      <w:r w:rsidRPr="008A6F1F">
        <w:rPr>
          <w:rFonts w:ascii="Times New Roman" w:hAnsi="Times New Roman" w:cs="Times New Roman"/>
          <w:i/>
          <w:iCs/>
          <w:sz w:val="24"/>
          <w:szCs w:val="24"/>
        </w:rPr>
        <w:t xml:space="preserve">(e.g., </w:t>
      </w:r>
      <w:r w:rsidRPr="008A6F1F">
        <w:rPr>
          <w:rFonts w:ascii="Times New Roman" w:hAnsi="Times New Roman" w:cs="Times New Roman"/>
          <w:sz w:val="24"/>
          <w:szCs w:val="24"/>
        </w:rPr>
        <w:t>in-house, third party); and</w:t>
      </w:r>
    </w:p>
    <w:p w:rsidR="008A6F1F" w:rsidRPr="008A6F1F" w:rsidRDefault="008A6F1F" w:rsidP="008A6F1F">
      <w:pPr>
        <w:pStyle w:val="NoSpacing"/>
        <w:numPr>
          <w:ilvl w:val="1"/>
          <w:numId w:val="1"/>
        </w:numPr>
        <w:rPr>
          <w:rFonts w:ascii="Times New Roman" w:hAnsi="Times New Roman" w:cs="Times New Roman"/>
          <w:sz w:val="24"/>
          <w:szCs w:val="24"/>
        </w:rPr>
      </w:pPr>
      <w:proofErr w:type="gramStart"/>
      <w:r w:rsidRPr="008A6F1F">
        <w:rPr>
          <w:rFonts w:ascii="Times New Roman" w:hAnsi="Times New Roman" w:cs="Times New Roman"/>
          <w:sz w:val="24"/>
          <w:szCs w:val="24"/>
        </w:rPr>
        <w:t>the</w:t>
      </w:r>
      <w:proofErr w:type="gramEnd"/>
      <w:r w:rsidRPr="008A6F1F">
        <w:rPr>
          <w:rFonts w:ascii="Times New Roman" w:hAnsi="Times New Roman" w:cs="Times New Roman"/>
          <w:sz w:val="24"/>
          <w:szCs w:val="24"/>
        </w:rPr>
        <w:t xml:space="preserve"> independent recourse mechanism that is available to investigate unresolved complaints.</w:t>
      </w:r>
    </w:p>
    <w:p w:rsidR="00A87513" w:rsidRPr="008A6F1F" w:rsidRDefault="00A87513" w:rsidP="00D72864">
      <w:pPr>
        <w:pStyle w:val="NoSpacing"/>
        <w:rPr>
          <w:rFonts w:ascii="Times New Roman" w:hAnsi="Times New Roman" w:cs="Times New Roman"/>
          <w:sz w:val="24"/>
          <w:szCs w:val="24"/>
        </w:rPr>
      </w:pPr>
    </w:p>
    <w:p w:rsidR="00925FA6" w:rsidRPr="008A6F1F" w:rsidRDefault="00CB380A" w:rsidP="00D72864">
      <w:pPr>
        <w:pStyle w:val="NoSpacing"/>
        <w:rPr>
          <w:rFonts w:ascii="Times New Roman" w:hAnsi="Times New Roman" w:cs="Times New Roman"/>
          <w:sz w:val="24"/>
          <w:szCs w:val="24"/>
        </w:rPr>
      </w:pPr>
      <w:r w:rsidRPr="008A6F1F">
        <w:rPr>
          <w:rFonts w:ascii="Times New Roman" w:hAnsi="Times New Roman" w:cs="Times New Roman"/>
          <w:sz w:val="24"/>
          <w:szCs w:val="24"/>
        </w:rPr>
        <w:t>The DOC</w:t>
      </w:r>
      <w:r w:rsidR="00B8341E" w:rsidRPr="008A6F1F">
        <w:rPr>
          <w:rFonts w:ascii="Times New Roman" w:hAnsi="Times New Roman" w:cs="Times New Roman"/>
          <w:sz w:val="24"/>
          <w:szCs w:val="24"/>
        </w:rPr>
        <w:t xml:space="preserve"> will </w:t>
      </w:r>
      <w:r w:rsidR="00276B47" w:rsidRPr="008A6F1F">
        <w:rPr>
          <w:rFonts w:ascii="Times New Roman" w:hAnsi="Times New Roman" w:cs="Times New Roman"/>
          <w:sz w:val="24"/>
          <w:szCs w:val="24"/>
        </w:rPr>
        <w:t xml:space="preserve">maintain and </w:t>
      </w:r>
      <w:r w:rsidR="00EE373C" w:rsidRPr="008A6F1F">
        <w:rPr>
          <w:rFonts w:ascii="Times New Roman" w:hAnsi="Times New Roman" w:cs="Times New Roman"/>
          <w:sz w:val="24"/>
          <w:szCs w:val="24"/>
        </w:rPr>
        <w:t>make available to the public an authoritative list of U.S. organizati</w:t>
      </w:r>
      <w:r w:rsidR="00C85397" w:rsidRPr="008A6F1F">
        <w:rPr>
          <w:rFonts w:ascii="Times New Roman" w:hAnsi="Times New Roman" w:cs="Times New Roman"/>
          <w:sz w:val="24"/>
          <w:szCs w:val="24"/>
        </w:rPr>
        <w:t xml:space="preserve">ons that have </w:t>
      </w:r>
      <w:r w:rsidR="00276B47" w:rsidRPr="008A6F1F">
        <w:rPr>
          <w:rFonts w:ascii="Times New Roman" w:hAnsi="Times New Roman" w:cs="Times New Roman"/>
          <w:sz w:val="24"/>
          <w:szCs w:val="24"/>
        </w:rPr>
        <w:t>self-certified to the DOC</w:t>
      </w:r>
      <w:r w:rsidR="00EE373C" w:rsidRPr="008A6F1F">
        <w:rPr>
          <w:rFonts w:ascii="Times New Roman" w:hAnsi="Times New Roman" w:cs="Times New Roman"/>
          <w:sz w:val="24"/>
          <w:szCs w:val="24"/>
        </w:rPr>
        <w:t xml:space="preserve"> and declared their commitment to adhere to the </w:t>
      </w:r>
      <w:r w:rsidR="00276B47" w:rsidRPr="008A6F1F">
        <w:rPr>
          <w:rFonts w:ascii="Times New Roman" w:hAnsi="Times New Roman" w:cs="Times New Roman"/>
          <w:sz w:val="24"/>
          <w:szCs w:val="24"/>
        </w:rPr>
        <w:t xml:space="preserve">Privacy Shield </w:t>
      </w:r>
      <w:r w:rsidR="00EE373C" w:rsidRPr="008A6F1F">
        <w:rPr>
          <w:rFonts w:ascii="Times New Roman" w:hAnsi="Times New Roman" w:cs="Times New Roman"/>
          <w:sz w:val="24"/>
          <w:szCs w:val="24"/>
        </w:rPr>
        <w:t>Principl</w:t>
      </w:r>
      <w:r w:rsidR="003F467C" w:rsidRPr="008A6F1F">
        <w:rPr>
          <w:rFonts w:ascii="Times New Roman" w:hAnsi="Times New Roman" w:cs="Times New Roman"/>
          <w:sz w:val="24"/>
          <w:szCs w:val="24"/>
        </w:rPr>
        <w:t>es ("the Privacy Shield List"), as well as an authoritative record of U.S. organizations that had previously self-certified to the DOC, but that have been removed from the Privacy Shield List.</w:t>
      </w:r>
      <w:r w:rsidR="00A87513" w:rsidRPr="008A6F1F">
        <w:rPr>
          <w:rFonts w:ascii="Times New Roman" w:hAnsi="Times New Roman" w:cs="Times New Roman"/>
          <w:sz w:val="24"/>
          <w:szCs w:val="24"/>
        </w:rPr>
        <w:t xml:space="preserve">  </w:t>
      </w:r>
      <w:r w:rsidR="00276B47" w:rsidRPr="008A6F1F">
        <w:rPr>
          <w:rFonts w:ascii="Times New Roman" w:hAnsi="Times New Roman" w:cs="Times New Roman"/>
          <w:sz w:val="24"/>
          <w:szCs w:val="24"/>
        </w:rPr>
        <w:t xml:space="preserve">The DOC </w:t>
      </w:r>
      <w:r w:rsidR="00FA2359" w:rsidRPr="008A6F1F">
        <w:rPr>
          <w:rFonts w:ascii="Times New Roman" w:hAnsi="Times New Roman" w:cs="Times New Roman"/>
          <w:sz w:val="24"/>
          <w:szCs w:val="24"/>
        </w:rPr>
        <w:t xml:space="preserve">will </w:t>
      </w:r>
      <w:r w:rsidR="00A87513" w:rsidRPr="008A6F1F">
        <w:rPr>
          <w:rFonts w:ascii="Times New Roman" w:hAnsi="Times New Roman" w:cs="Times New Roman"/>
          <w:sz w:val="24"/>
          <w:szCs w:val="24"/>
        </w:rPr>
        <w:t>maintain the list</w:t>
      </w:r>
      <w:r w:rsidR="00276B47" w:rsidRPr="008A6F1F">
        <w:rPr>
          <w:rFonts w:ascii="Times New Roman" w:hAnsi="Times New Roman" w:cs="Times New Roman"/>
          <w:sz w:val="24"/>
          <w:szCs w:val="24"/>
        </w:rPr>
        <w:t xml:space="preserve"> of organizations that</w:t>
      </w:r>
      <w:r w:rsidRPr="008A6F1F">
        <w:rPr>
          <w:rFonts w:ascii="Times New Roman" w:hAnsi="Times New Roman" w:cs="Times New Roman"/>
          <w:sz w:val="24"/>
          <w:szCs w:val="24"/>
        </w:rPr>
        <w:t xml:space="preserve"> file completed self-certification submissions, thereby assuring the availability of Privacy Shield benefits, and will update s</w:t>
      </w:r>
      <w:r w:rsidR="00A87513" w:rsidRPr="008A6F1F">
        <w:rPr>
          <w:rFonts w:ascii="Times New Roman" w:hAnsi="Times New Roman" w:cs="Times New Roman"/>
          <w:sz w:val="24"/>
          <w:szCs w:val="24"/>
        </w:rPr>
        <w:t xml:space="preserve">uch list on the basis of </w:t>
      </w:r>
      <w:r w:rsidRPr="008A6F1F">
        <w:rPr>
          <w:rFonts w:ascii="Times New Roman" w:hAnsi="Times New Roman" w:cs="Times New Roman"/>
          <w:sz w:val="24"/>
          <w:szCs w:val="24"/>
        </w:rPr>
        <w:t>re</w:t>
      </w:r>
      <w:r w:rsidR="00A87513" w:rsidRPr="008A6F1F">
        <w:rPr>
          <w:rFonts w:ascii="Times New Roman" w:hAnsi="Times New Roman" w:cs="Times New Roman"/>
          <w:sz w:val="24"/>
          <w:szCs w:val="24"/>
        </w:rPr>
        <w:t>-</w:t>
      </w:r>
      <w:r w:rsidRPr="008A6F1F">
        <w:rPr>
          <w:rFonts w:ascii="Times New Roman" w:hAnsi="Times New Roman" w:cs="Times New Roman"/>
          <w:sz w:val="24"/>
          <w:szCs w:val="24"/>
        </w:rPr>
        <w:t>certification submissions</w:t>
      </w:r>
      <w:r w:rsidR="00A87513" w:rsidRPr="008A6F1F">
        <w:rPr>
          <w:rFonts w:ascii="Times New Roman" w:hAnsi="Times New Roman" w:cs="Times New Roman"/>
          <w:sz w:val="24"/>
          <w:szCs w:val="24"/>
        </w:rPr>
        <w:t>, which must be provided not less than annually,</w:t>
      </w:r>
      <w:r w:rsidRPr="008A6F1F">
        <w:rPr>
          <w:rFonts w:ascii="Times New Roman" w:hAnsi="Times New Roman" w:cs="Times New Roman"/>
          <w:sz w:val="24"/>
          <w:szCs w:val="24"/>
        </w:rPr>
        <w:t xml:space="preserve"> and notifications received</w:t>
      </w:r>
      <w:r w:rsidR="007A4365">
        <w:rPr>
          <w:rFonts w:ascii="Times New Roman" w:hAnsi="Times New Roman" w:cs="Times New Roman"/>
          <w:sz w:val="24"/>
          <w:szCs w:val="24"/>
        </w:rPr>
        <w:t xml:space="preserve"> of non-compliance</w:t>
      </w:r>
      <w:r w:rsidR="00D81263" w:rsidRPr="008A6F1F">
        <w:rPr>
          <w:rFonts w:ascii="Times New Roman" w:hAnsi="Times New Roman" w:cs="Times New Roman"/>
          <w:sz w:val="24"/>
          <w:szCs w:val="24"/>
        </w:rPr>
        <w:t xml:space="preserve">.  </w:t>
      </w:r>
      <w:r w:rsidR="00925FA6" w:rsidRPr="008A6F1F">
        <w:rPr>
          <w:rFonts w:ascii="Times New Roman" w:hAnsi="Times New Roman" w:cs="Times New Roman"/>
          <w:sz w:val="24"/>
          <w:szCs w:val="24"/>
        </w:rPr>
        <w:t>The DOC will remove an organization from the Privacy Shield List if it fails to complete its annual re-certification to the DOC, voluntarily withdraws from the Privacy Shield, or has persist</w:t>
      </w:r>
      <w:r w:rsidR="00057627" w:rsidRPr="008A6F1F">
        <w:rPr>
          <w:rFonts w:ascii="Times New Roman" w:hAnsi="Times New Roman" w:cs="Times New Roman"/>
          <w:sz w:val="24"/>
          <w:szCs w:val="24"/>
        </w:rPr>
        <w:t xml:space="preserve">ently failed to comply with the Privacy Shield </w:t>
      </w:r>
      <w:r w:rsidR="00925FA6" w:rsidRPr="008A6F1F">
        <w:rPr>
          <w:rFonts w:ascii="Times New Roman" w:hAnsi="Times New Roman" w:cs="Times New Roman"/>
          <w:sz w:val="24"/>
          <w:szCs w:val="24"/>
        </w:rPr>
        <w:t xml:space="preserve">Principles.  </w:t>
      </w:r>
    </w:p>
    <w:p w:rsidR="00A87513" w:rsidRPr="008A6F1F" w:rsidRDefault="00A87513" w:rsidP="00D72864">
      <w:pPr>
        <w:pStyle w:val="NoSpacing"/>
        <w:rPr>
          <w:rFonts w:ascii="Times New Roman" w:hAnsi="Times New Roman" w:cs="Times New Roman"/>
          <w:sz w:val="24"/>
          <w:szCs w:val="24"/>
        </w:rPr>
      </w:pPr>
    </w:p>
    <w:p w:rsidR="00CA221A" w:rsidRPr="008A6F1F" w:rsidRDefault="00CA221A" w:rsidP="00A6068C">
      <w:pPr>
        <w:pStyle w:val="NoSpacing"/>
        <w:rPr>
          <w:rFonts w:ascii="Times New Roman" w:hAnsi="Times New Roman" w:cs="Times New Roman"/>
          <w:sz w:val="24"/>
          <w:szCs w:val="24"/>
        </w:rPr>
      </w:pPr>
    </w:p>
    <w:p w:rsidR="009E2769" w:rsidRPr="008A6F1F" w:rsidRDefault="00CE5FFA" w:rsidP="009E2769">
      <w:pPr>
        <w:pStyle w:val="BodyTextIndent"/>
        <w:ind w:left="0"/>
        <w:rPr>
          <w:sz w:val="24"/>
          <w:szCs w:val="24"/>
        </w:rPr>
      </w:pPr>
      <w:r>
        <w:rPr>
          <w:sz w:val="24"/>
          <w:szCs w:val="24"/>
        </w:rPr>
        <w:t>The Privacy Shield List will be used not only by individuals and organizations in the EU and organizations in the United States to confirm whether a given organization is entitled to the benefits of the Privacy Shield, but also by U</w:t>
      </w:r>
      <w:r w:rsidR="00502DF4">
        <w:rPr>
          <w:sz w:val="24"/>
          <w:szCs w:val="24"/>
        </w:rPr>
        <w:t>.S. and European authorities in the context of alleged non-compliance with the Privacy Shield Principles.</w:t>
      </w:r>
    </w:p>
    <w:p w:rsidR="00F80976" w:rsidRDefault="00F80976" w:rsidP="00F80976">
      <w:pPr>
        <w:tabs>
          <w:tab w:val="left" w:pos="0"/>
        </w:tabs>
        <w:rPr>
          <w:sz w:val="24"/>
          <w:szCs w:val="24"/>
        </w:rPr>
      </w:pPr>
    </w:p>
    <w:p w:rsidR="00F80976" w:rsidRDefault="00F80976" w:rsidP="00F80976">
      <w:pPr>
        <w:rPr>
          <w:b/>
          <w:bCs/>
          <w:sz w:val="24"/>
          <w:szCs w:val="24"/>
        </w:rPr>
      </w:pPr>
    </w:p>
    <w:p w:rsidR="00F80976" w:rsidRDefault="00F80976" w:rsidP="00F80976">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F80976" w:rsidRDefault="00F80976" w:rsidP="00F80976">
      <w:pPr>
        <w:rPr>
          <w:sz w:val="24"/>
          <w:szCs w:val="24"/>
        </w:rPr>
      </w:pPr>
    </w:p>
    <w:p w:rsidR="00035CF4" w:rsidRPr="00035CF4" w:rsidRDefault="007E0B83" w:rsidP="00035CF4">
      <w:pPr>
        <w:rPr>
          <w:rFonts w:eastAsia="Arial Unicode MS"/>
          <w:color w:val="000000"/>
          <w:sz w:val="24"/>
          <w:szCs w:val="24"/>
        </w:rPr>
      </w:pPr>
      <w:r>
        <w:rPr>
          <w:rFonts w:eastAsia="Arial Unicode MS"/>
          <w:color w:val="000000"/>
          <w:sz w:val="24"/>
          <w:szCs w:val="24"/>
        </w:rPr>
        <w:t>The DOC will offer</w:t>
      </w:r>
      <w:r w:rsidR="00035CF4" w:rsidRPr="00035CF4">
        <w:rPr>
          <w:rFonts w:eastAsia="Arial Unicode MS"/>
          <w:color w:val="000000"/>
          <w:sz w:val="24"/>
          <w:szCs w:val="24"/>
        </w:rPr>
        <w:t xml:space="preserve"> U.S. organ</w:t>
      </w:r>
      <w:bookmarkStart w:id="0" w:name="_GoBack"/>
      <w:bookmarkEnd w:id="0"/>
      <w:r w:rsidR="00035CF4" w:rsidRPr="00035CF4">
        <w:rPr>
          <w:rFonts w:eastAsia="Arial Unicode MS"/>
          <w:color w:val="000000"/>
          <w:sz w:val="24"/>
          <w:szCs w:val="24"/>
        </w:rPr>
        <w:t>izations the opportunity to provide the self-certification described</w:t>
      </w:r>
      <w:r w:rsidR="00035CF4">
        <w:rPr>
          <w:rFonts w:eastAsia="Arial Unicode MS"/>
          <w:color w:val="000000"/>
          <w:sz w:val="24"/>
          <w:szCs w:val="24"/>
        </w:rPr>
        <w:t xml:space="preserve"> above via the DOC’s Privacy Shield</w:t>
      </w:r>
      <w:r w:rsidR="00035CF4" w:rsidRPr="00035CF4">
        <w:rPr>
          <w:rFonts w:eastAsia="Arial Unicode MS"/>
          <w:color w:val="000000"/>
          <w:sz w:val="24"/>
          <w:szCs w:val="24"/>
        </w:rPr>
        <w:t xml:space="preserve"> website: </w:t>
      </w:r>
      <w:commentRangeStart w:id="1"/>
      <w:r w:rsidR="0005591B">
        <w:rPr>
          <w:rFonts w:eastAsia="Arial Unicode MS"/>
          <w:color w:val="000000"/>
          <w:sz w:val="24"/>
          <w:szCs w:val="24"/>
        </w:rPr>
        <w:t>www.privacyshield.gov</w:t>
      </w:r>
      <w:commentRangeEnd w:id="1"/>
      <w:r w:rsidR="00317058">
        <w:rPr>
          <w:rStyle w:val="CommentReference"/>
          <w:rFonts w:asciiTheme="minorHAnsi" w:eastAsiaTheme="minorHAnsi" w:hAnsiTheme="minorHAnsi" w:cstheme="minorBidi"/>
        </w:rPr>
        <w:commentReference w:id="1"/>
      </w:r>
      <w:r w:rsidR="00035CF4" w:rsidRPr="00035CF4">
        <w:rPr>
          <w:rFonts w:eastAsia="Arial Unicode MS"/>
          <w:color w:val="000000"/>
          <w:sz w:val="24"/>
          <w:szCs w:val="24"/>
        </w:rPr>
        <w:t xml:space="preserve">.  Organizations interested in participating in </w:t>
      </w:r>
      <w:r w:rsidR="00035CF4">
        <w:rPr>
          <w:rFonts w:eastAsia="Arial Unicode MS"/>
          <w:color w:val="000000"/>
          <w:sz w:val="24"/>
          <w:szCs w:val="24"/>
        </w:rPr>
        <w:t>the Privacy Shield will make</w:t>
      </w:r>
      <w:r w:rsidR="00035CF4" w:rsidRPr="00035CF4">
        <w:rPr>
          <w:rFonts w:eastAsia="Arial Unicode MS"/>
          <w:color w:val="000000"/>
          <w:sz w:val="24"/>
          <w:szCs w:val="24"/>
        </w:rPr>
        <w:t xml:space="preserve"> their initial self-certification, as well as annual re</w:t>
      </w:r>
      <w:r w:rsidR="00035CF4">
        <w:rPr>
          <w:rFonts w:eastAsia="Arial Unicode MS"/>
          <w:color w:val="000000"/>
          <w:sz w:val="24"/>
          <w:szCs w:val="24"/>
        </w:rPr>
        <w:t>-</w:t>
      </w:r>
      <w:r w:rsidR="00035CF4" w:rsidRPr="00035CF4">
        <w:rPr>
          <w:rFonts w:eastAsia="Arial Unicode MS"/>
          <w:color w:val="000000"/>
          <w:sz w:val="24"/>
          <w:szCs w:val="24"/>
        </w:rPr>
        <w:t>certification submissions, including payment of the relevant processing fee, onlin</w:t>
      </w:r>
      <w:r w:rsidR="00035CF4">
        <w:rPr>
          <w:rFonts w:eastAsia="Arial Unicode MS"/>
          <w:color w:val="000000"/>
          <w:sz w:val="24"/>
          <w:szCs w:val="24"/>
        </w:rPr>
        <w:t>e via the Privacy Shield</w:t>
      </w:r>
      <w:r w:rsidR="00035CF4" w:rsidRPr="00035CF4">
        <w:rPr>
          <w:rFonts w:eastAsia="Arial Unicode MS"/>
          <w:color w:val="000000"/>
          <w:sz w:val="24"/>
          <w:szCs w:val="24"/>
        </w:rPr>
        <w:t xml:space="preserve"> website.  </w:t>
      </w:r>
      <w:r w:rsidR="00035CF4">
        <w:rPr>
          <w:rFonts w:eastAsia="Arial Unicode MS"/>
          <w:color w:val="000000"/>
          <w:sz w:val="24"/>
          <w:szCs w:val="24"/>
        </w:rPr>
        <w:t>The Privacy Shield</w:t>
      </w:r>
      <w:r w:rsidR="00035CF4" w:rsidRPr="00035CF4">
        <w:rPr>
          <w:rFonts w:eastAsia="Arial Unicode MS"/>
          <w:color w:val="000000"/>
          <w:sz w:val="24"/>
          <w:szCs w:val="24"/>
        </w:rPr>
        <w:t xml:space="preserve"> website also provides organizations already in the program wit</w:t>
      </w:r>
      <w:r w:rsidR="00035CF4">
        <w:rPr>
          <w:rFonts w:eastAsia="Arial Unicode MS"/>
          <w:color w:val="000000"/>
          <w:sz w:val="24"/>
          <w:szCs w:val="24"/>
        </w:rPr>
        <w:t>h direct access to their record</w:t>
      </w:r>
      <w:r w:rsidR="00F30141">
        <w:rPr>
          <w:rFonts w:eastAsia="Arial Unicode MS"/>
          <w:color w:val="000000"/>
          <w:sz w:val="24"/>
          <w:szCs w:val="24"/>
        </w:rPr>
        <w:t>,</w:t>
      </w:r>
      <w:r w:rsidR="00035CF4" w:rsidRPr="00035CF4">
        <w:rPr>
          <w:rFonts w:eastAsia="Arial Unicode MS"/>
          <w:color w:val="000000"/>
          <w:sz w:val="24"/>
          <w:szCs w:val="24"/>
        </w:rPr>
        <w:t xml:space="preserve"> thereby enabling them to update the information provided therein throughout the year.</w:t>
      </w:r>
      <w:r w:rsidR="00035CF4">
        <w:rPr>
          <w:rFonts w:eastAsia="Arial Unicode MS"/>
          <w:color w:val="000000"/>
          <w:sz w:val="24"/>
          <w:szCs w:val="24"/>
        </w:rPr>
        <w:t xml:space="preserve">  This</w:t>
      </w:r>
      <w:r w:rsidR="00035CF4" w:rsidRPr="00035CF4">
        <w:rPr>
          <w:rFonts w:eastAsia="Arial Unicode MS"/>
          <w:color w:val="000000"/>
          <w:sz w:val="24"/>
          <w:szCs w:val="24"/>
        </w:rPr>
        <w:t xml:space="preserve"> electronic </w:t>
      </w:r>
      <w:r w:rsidR="00035CF4">
        <w:rPr>
          <w:rFonts w:eastAsia="Arial Unicode MS"/>
          <w:color w:val="000000"/>
          <w:sz w:val="24"/>
          <w:szCs w:val="24"/>
        </w:rPr>
        <w:t>method will be employed</w:t>
      </w:r>
      <w:r w:rsidR="00035CF4" w:rsidRPr="00035CF4">
        <w:rPr>
          <w:rFonts w:eastAsia="Arial Unicode MS"/>
          <w:color w:val="000000"/>
          <w:sz w:val="24"/>
          <w:szCs w:val="24"/>
        </w:rPr>
        <w:t xml:space="preserve">, as it is expressly designed to process submissions in a timely and accurate manner.  An organization cannot make </w:t>
      </w:r>
      <w:r w:rsidR="00035CF4">
        <w:rPr>
          <w:rFonts w:eastAsia="Arial Unicode MS"/>
          <w:color w:val="000000"/>
          <w:sz w:val="24"/>
          <w:szCs w:val="24"/>
        </w:rPr>
        <w:t xml:space="preserve">an </w:t>
      </w:r>
      <w:r w:rsidR="00035CF4" w:rsidRPr="00035CF4">
        <w:rPr>
          <w:rFonts w:eastAsia="Arial Unicode MS"/>
          <w:color w:val="000000"/>
          <w:sz w:val="24"/>
          <w:szCs w:val="24"/>
        </w:rPr>
        <w:t>initial self-certification, as well as annual re</w:t>
      </w:r>
      <w:r w:rsidR="00035CF4">
        <w:rPr>
          <w:rFonts w:eastAsia="Arial Unicode MS"/>
          <w:color w:val="000000"/>
          <w:sz w:val="24"/>
          <w:szCs w:val="24"/>
        </w:rPr>
        <w:t>-</w:t>
      </w:r>
      <w:r w:rsidR="00035CF4" w:rsidRPr="00035CF4">
        <w:rPr>
          <w:rFonts w:eastAsia="Arial Unicode MS"/>
          <w:color w:val="000000"/>
          <w:sz w:val="24"/>
          <w:szCs w:val="24"/>
        </w:rPr>
        <w:t xml:space="preserve">certification submissions, or other updates to an existing submission </w:t>
      </w:r>
      <w:r w:rsidR="00035CF4">
        <w:rPr>
          <w:rFonts w:eastAsia="Arial Unicode MS"/>
          <w:color w:val="000000"/>
          <w:sz w:val="24"/>
          <w:szCs w:val="24"/>
        </w:rPr>
        <w:t>via the DOC’s Privacy Shield</w:t>
      </w:r>
      <w:r w:rsidR="00035CF4" w:rsidRPr="00035CF4">
        <w:rPr>
          <w:rFonts w:eastAsia="Arial Unicode MS"/>
          <w:color w:val="000000"/>
          <w:sz w:val="24"/>
          <w:szCs w:val="24"/>
        </w:rPr>
        <w:t xml:space="preserve"> website un</w:t>
      </w:r>
      <w:r>
        <w:rPr>
          <w:rFonts w:eastAsia="Arial Unicode MS"/>
          <w:color w:val="000000"/>
          <w:sz w:val="24"/>
          <w:szCs w:val="24"/>
        </w:rPr>
        <w:t xml:space="preserve">less it has registered a </w:t>
      </w:r>
      <w:r w:rsidRPr="00887305">
        <w:rPr>
          <w:rFonts w:eastAsia="Arial Unicode MS"/>
          <w:color w:val="000000"/>
          <w:sz w:val="24"/>
          <w:szCs w:val="24"/>
        </w:rPr>
        <w:t xml:space="preserve">username and </w:t>
      </w:r>
      <w:r w:rsidR="00035CF4" w:rsidRPr="00887305">
        <w:rPr>
          <w:rFonts w:eastAsia="Arial Unicode MS"/>
          <w:color w:val="000000"/>
          <w:sz w:val="24"/>
          <w:szCs w:val="24"/>
        </w:rPr>
        <w:t>password</w:t>
      </w:r>
      <w:r>
        <w:rPr>
          <w:rFonts w:eastAsia="Arial Unicode MS"/>
          <w:color w:val="000000"/>
          <w:sz w:val="24"/>
          <w:szCs w:val="24"/>
        </w:rPr>
        <w:t>.</w:t>
      </w:r>
    </w:p>
    <w:p w:rsidR="00035CF4" w:rsidRDefault="00035CF4" w:rsidP="00F80976">
      <w:pPr>
        <w:rPr>
          <w:rFonts w:eastAsia="Arial Unicode MS"/>
          <w:color w:val="000000"/>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BF6D85" w:rsidRDefault="00BF6D85" w:rsidP="00F80976">
      <w:pPr>
        <w:rPr>
          <w:sz w:val="24"/>
          <w:szCs w:val="24"/>
        </w:rPr>
      </w:pPr>
    </w:p>
    <w:p w:rsidR="00BF6D85" w:rsidRPr="00BF6D85" w:rsidRDefault="00BF6D85" w:rsidP="00BF6D85">
      <w:pPr>
        <w:rPr>
          <w:sz w:val="24"/>
          <w:szCs w:val="24"/>
        </w:rPr>
      </w:pPr>
      <w:r w:rsidRPr="00BF6D85">
        <w:rPr>
          <w:sz w:val="24"/>
          <w:szCs w:val="24"/>
        </w:rPr>
        <w:lastRenderedPageBreak/>
        <w:t xml:space="preserve">There is </w:t>
      </w:r>
      <w:r>
        <w:rPr>
          <w:sz w:val="24"/>
          <w:szCs w:val="24"/>
        </w:rPr>
        <w:t>no duplication.  The EU-U.S. Privacy Shield Framework is a</w:t>
      </w:r>
      <w:r w:rsidRPr="00BF6D85">
        <w:rPr>
          <w:sz w:val="24"/>
          <w:szCs w:val="24"/>
        </w:rPr>
        <w:t xml:space="preserve"> unique method for handling personal data flows between the EU and the United States.  Under the terms of the DOC’s agreement with the European Commission, the DOC has the sole responsibility for collecting and making publicly available the list of organizations that self-certify </w:t>
      </w:r>
      <w:r>
        <w:rPr>
          <w:sz w:val="24"/>
          <w:szCs w:val="24"/>
        </w:rPr>
        <w:t>their adherence to the Privacy Shield Principles</w:t>
      </w:r>
      <w:r w:rsidRPr="00BF6D85">
        <w:rPr>
          <w:sz w:val="24"/>
          <w:szCs w:val="24"/>
        </w:rPr>
        <w:t>.</w:t>
      </w:r>
    </w:p>
    <w:p w:rsidR="00BF6D85" w:rsidRDefault="00BF6D85" w:rsidP="00F80976">
      <w:pPr>
        <w:rPr>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F80976" w:rsidRDefault="00F80976" w:rsidP="00F80976">
      <w:pPr>
        <w:rPr>
          <w:sz w:val="24"/>
          <w:szCs w:val="24"/>
        </w:rPr>
      </w:pPr>
    </w:p>
    <w:p w:rsidR="007C00F8" w:rsidRDefault="001467BC" w:rsidP="00F80976">
      <w:pPr>
        <w:rPr>
          <w:color w:val="000000"/>
          <w:sz w:val="24"/>
          <w:szCs w:val="24"/>
        </w:rPr>
      </w:pPr>
      <w:r>
        <w:rPr>
          <w:color w:val="000000"/>
          <w:sz w:val="24"/>
          <w:szCs w:val="24"/>
        </w:rPr>
        <w:t>There will likely be small businesses amongst the organizations seeking to self-certify under the Privacy Shield.  The burden associated with the information collection is not considered to be significant, because the estimated time to complete the self-certification form is 40 minutes.  The burden is being minimized by keeping the information request as simple as possible and limiting areas of inquiry to those essential to fulfilling the request.</w:t>
      </w:r>
    </w:p>
    <w:p w:rsidR="001467BC" w:rsidRDefault="001467BC" w:rsidP="00F80976">
      <w:pPr>
        <w:rPr>
          <w:color w:val="000000"/>
          <w:sz w:val="24"/>
          <w:szCs w:val="24"/>
        </w:rPr>
      </w:pPr>
    </w:p>
    <w:p w:rsidR="007C00F8" w:rsidRPr="007C00F8" w:rsidRDefault="00317C80" w:rsidP="007C00F8">
      <w:pPr>
        <w:rPr>
          <w:color w:val="000000"/>
          <w:sz w:val="24"/>
          <w:szCs w:val="24"/>
        </w:rPr>
      </w:pPr>
      <w:r>
        <w:rPr>
          <w:color w:val="000000"/>
          <w:sz w:val="24"/>
          <w:szCs w:val="24"/>
        </w:rPr>
        <w:t>The EU-U.S. Privacy Shield Framework provides</w:t>
      </w:r>
      <w:r w:rsidR="007C00F8" w:rsidRPr="007C00F8">
        <w:rPr>
          <w:color w:val="000000"/>
          <w:sz w:val="24"/>
          <w:szCs w:val="24"/>
        </w:rPr>
        <w:t xml:space="preserve"> a number of important benefits, especially predictability and continuity, to U.S. organizations of all sizes that receive personal data for processing fr</w:t>
      </w:r>
      <w:r>
        <w:rPr>
          <w:color w:val="000000"/>
          <w:sz w:val="24"/>
          <w:szCs w:val="24"/>
        </w:rPr>
        <w:t>om the EU</w:t>
      </w:r>
      <w:r w:rsidR="007C00F8" w:rsidRPr="007C00F8">
        <w:rPr>
          <w:color w:val="000000"/>
          <w:sz w:val="24"/>
          <w:szCs w:val="24"/>
        </w:rPr>
        <w:t xml:space="preserve">.  All </w:t>
      </w:r>
      <w:r>
        <w:rPr>
          <w:color w:val="000000"/>
          <w:sz w:val="24"/>
          <w:szCs w:val="24"/>
        </w:rPr>
        <w:t>28 EU Member States will be</w:t>
      </w:r>
      <w:r w:rsidR="007C00F8" w:rsidRPr="007C00F8">
        <w:rPr>
          <w:color w:val="000000"/>
          <w:sz w:val="24"/>
          <w:szCs w:val="24"/>
        </w:rPr>
        <w:t xml:space="preserve"> bound by the European Commission's finding</w:t>
      </w:r>
      <w:r>
        <w:rPr>
          <w:color w:val="000000"/>
          <w:sz w:val="24"/>
          <w:szCs w:val="24"/>
        </w:rPr>
        <w:t xml:space="preserve"> of “adequacy”.  The Privacy Shield</w:t>
      </w:r>
      <w:r w:rsidR="007C00F8" w:rsidRPr="007C00F8">
        <w:rPr>
          <w:color w:val="000000"/>
          <w:sz w:val="24"/>
          <w:szCs w:val="24"/>
        </w:rPr>
        <w:t xml:space="preserve"> offer</w:t>
      </w:r>
      <w:r>
        <w:rPr>
          <w:color w:val="000000"/>
          <w:sz w:val="24"/>
          <w:szCs w:val="24"/>
        </w:rPr>
        <w:t>s</w:t>
      </w:r>
      <w:r w:rsidR="007C00F8" w:rsidRPr="007C00F8">
        <w:rPr>
          <w:color w:val="000000"/>
          <w:sz w:val="24"/>
          <w:szCs w:val="24"/>
        </w:rPr>
        <w:t xml:space="preserve"> a simpler and more cost-effective means of complying with the relevant requirements of</w:t>
      </w:r>
      <w:r>
        <w:rPr>
          <w:color w:val="000000"/>
          <w:sz w:val="24"/>
          <w:szCs w:val="24"/>
        </w:rPr>
        <w:t xml:space="preserve"> the EU Directive</w:t>
      </w:r>
      <w:r w:rsidR="007C00F8" w:rsidRPr="007C00F8">
        <w:rPr>
          <w:color w:val="000000"/>
          <w:sz w:val="24"/>
          <w:szCs w:val="24"/>
        </w:rPr>
        <w:t>, which should particularly benefit small and medium enterprises.</w:t>
      </w:r>
    </w:p>
    <w:p w:rsidR="007C00F8" w:rsidRPr="00B761DE" w:rsidRDefault="007C00F8" w:rsidP="00F80976">
      <w:pPr>
        <w:rPr>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96C7F" w:rsidRDefault="00496C7F" w:rsidP="00496C7F">
      <w:pPr>
        <w:tabs>
          <w:tab w:val="left" w:pos="7155"/>
        </w:tabs>
        <w:rPr>
          <w:sz w:val="24"/>
          <w:szCs w:val="24"/>
        </w:rPr>
      </w:pPr>
      <w:r>
        <w:rPr>
          <w:sz w:val="24"/>
          <w:szCs w:val="24"/>
        </w:rPr>
        <w:tab/>
        <w:t xml:space="preserve"> </w:t>
      </w:r>
    </w:p>
    <w:p w:rsidR="00496C7F" w:rsidRPr="00496C7F" w:rsidRDefault="00496C7F" w:rsidP="00496C7F">
      <w:pPr>
        <w:tabs>
          <w:tab w:val="left" w:pos="7155"/>
        </w:tabs>
        <w:rPr>
          <w:sz w:val="24"/>
          <w:szCs w:val="24"/>
        </w:rPr>
      </w:pPr>
      <w:r>
        <w:rPr>
          <w:sz w:val="24"/>
          <w:szCs w:val="24"/>
        </w:rPr>
        <w:t>Preventing or limiting</w:t>
      </w:r>
      <w:r w:rsidRPr="00496C7F">
        <w:rPr>
          <w:sz w:val="24"/>
          <w:szCs w:val="24"/>
        </w:rPr>
        <w:t xml:space="preserve"> the collection of information associated with self-certification </w:t>
      </w:r>
      <w:r>
        <w:rPr>
          <w:sz w:val="24"/>
          <w:szCs w:val="24"/>
        </w:rPr>
        <w:t>under the Privacy Shield</w:t>
      </w:r>
      <w:r w:rsidRPr="00496C7F">
        <w:rPr>
          <w:sz w:val="24"/>
          <w:szCs w:val="24"/>
        </w:rPr>
        <w:t xml:space="preserve"> would prevent the U.S. Government from implementing </w:t>
      </w:r>
      <w:r w:rsidR="00317058">
        <w:rPr>
          <w:sz w:val="24"/>
          <w:szCs w:val="24"/>
        </w:rPr>
        <w:t>the Privacy Shield Framework as agreed</w:t>
      </w:r>
      <w:r w:rsidRPr="00496C7F">
        <w:rPr>
          <w:sz w:val="24"/>
          <w:szCs w:val="24"/>
        </w:rPr>
        <w:t xml:space="preserve"> between the European </w:t>
      </w:r>
      <w:r>
        <w:rPr>
          <w:sz w:val="24"/>
          <w:szCs w:val="24"/>
        </w:rPr>
        <w:t>Commission and the DOC</w:t>
      </w:r>
      <w:r w:rsidRPr="00496C7F">
        <w:rPr>
          <w:sz w:val="24"/>
          <w:szCs w:val="24"/>
        </w:rPr>
        <w:t xml:space="preserve">.  As a result, the flow of </w:t>
      </w:r>
      <w:r w:rsidR="00317058">
        <w:rPr>
          <w:sz w:val="24"/>
          <w:szCs w:val="24"/>
        </w:rPr>
        <w:t>personal</w:t>
      </w:r>
      <w:r>
        <w:rPr>
          <w:sz w:val="24"/>
          <w:szCs w:val="24"/>
        </w:rPr>
        <w:t xml:space="preserve"> data </w:t>
      </w:r>
      <w:r w:rsidR="00317058">
        <w:rPr>
          <w:sz w:val="24"/>
          <w:szCs w:val="24"/>
        </w:rPr>
        <w:t xml:space="preserve">from </w:t>
      </w:r>
      <w:r>
        <w:rPr>
          <w:sz w:val="24"/>
          <w:szCs w:val="24"/>
        </w:rPr>
        <w:t>the EU</w:t>
      </w:r>
      <w:r w:rsidRPr="00496C7F">
        <w:rPr>
          <w:sz w:val="24"/>
          <w:szCs w:val="24"/>
        </w:rPr>
        <w:t xml:space="preserve"> and </w:t>
      </w:r>
      <w:r w:rsidR="00317058">
        <w:rPr>
          <w:sz w:val="24"/>
          <w:szCs w:val="24"/>
        </w:rPr>
        <w:t xml:space="preserve">to </w:t>
      </w:r>
      <w:r w:rsidRPr="00496C7F">
        <w:rPr>
          <w:sz w:val="24"/>
          <w:szCs w:val="24"/>
        </w:rPr>
        <w:t>the United States could be seriously disrupted</w:t>
      </w:r>
      <w:r w:rsidR="00317058">
        <w:rPr>
          <w:sz w:val="24"/>
          <w:szCs w:val="24"/>
        </w:rPr>
        <w:t>, negatively impacting trade and investment</w:t>
      </w:r>
      <w:r w:rsidRPr="00496C7F">
        <w:rPr>
          <w:sz w:val="24"/>
          <w:szCs w:val="24"/>
        </w:rPr>
        <w:t xml:space="preserve">.  Alternatives to the </w:t>
      </w:r>
      <w:r>
        <w:rPr>
          <w:sz w:val="24"/>
          <w:szCs w:val="24"/>
        </w:rPr>
        <w:t>EU-U.S. Privacy Shield Framework</w:t>
      </w:r>
      <w:r w:rsidRPr="00496C7F">
        <w:rPr>
          <w:sz w:val="24"/>
          <w:szCs w:val="24"/>
        </w:rPr>
        <w:t xml:space="preserve"> that exist under the EU Directive are more time-consuming, costly, and particularly burdensome to small and medium sized enterprises.  </w:t>
      </w:r>
    </w:p>
    <w:p w:rsidR="00496C7F" w:rsidRDefault="00496C7F" w:rsidP="00F80976">
      <w:pPr>
        <w:rPr>
          <w:sz w:val="24"/>
          <w:szCs w:val="24"/>
        </w:rPr>
      </w:pPr>
    </w:p>
    <w:p w:rsidR="00496C7F" w:rsidRDefault="00496C7F" w:rsidP="00F80976">
      <w:pPr>
        <w:rPr>
          <w:sz w:val="24"/>
          <w:szCs w:val="24"/>
        </w:rPr>
      </w:pPr>
    </w:p>
    <w:p w:rsidR="00496C7F" w:rsidRDefault="00496C7F" w:rsidP="00F80976">
      <w:pPr>
        <w:rPr>
          <w:sz w:val="24"/>
          <w:szCs w:val="24"/>
        </w:rPr>
      </w:pPr>
    </w:p>
    <w:p w:rsidR="00496C7F" w:rsidRDefault="00496C7F" w:rsidP="00F80976">
      <w:pPr>
        <w:rPr>
          <w:sz w:val="24"/>
          <w:szCs w:val="24"/>
        </w:rPr>
      </w:pPr>
    </w:p>
    <w:p w:rsidR="00F80976" w:rsidRDefault="00F80976" w:rsidP="00F80976">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F80976" w:rsidRDefault="00F80976" w:rsidP="00F80976">
      <w:pPr>
        <w:rPr>
          <w:sz w:val="24"/>
          <w:szCs w:val="24"/>
        </w:rPr>
      </w:pPr>
    </w:p>
    <w:p w:rsidR="00F80976" w:rsidRDefault="00F80976" w:rsidP="00F80976">
      <w:r w:rsidRPr="00B6597B">
        <w:rPr>
          <w:sz w:val="24"/>
        </w:rPr>
        <w:t>Collection of information will be made in a manner consistent with OMB guidelines.</w:t>
      </w:r>
    </w:p>
    <w:p w:rsidR="00F80976" w:rsidRDefault="00F80976" w:rsidP="00F80976">
      <w:pPr>
        <w:rPr>
          <w:b/>
          <w:bCs/>
          <w:sz w:val="24"/>
          <w:szCs w:val="24"/>
        </w:rPr>
      </w:pPr>
    </w:p>
    <w:p w:rsidR="00F80976" w:rsidRDefault="00F80976" w:rsidP="00F80976">
      <w:pPr>
        <w:rPr>
          <w:b/>
          <w:bCs/>
          <w:sz w:val="24"/>
          <w:szCs w:val="24"/>
        </w:rPr>
      </w:pPr>
    </w:p>
    <w:p w:rsidR="00F80976" w:rsidRPr="00EA3A47" w:rsidRDefault="00F80976" w:rsidP="00F80976">
      <w:pPr>
        <w:rPr>
          <w:sz w:val="24"/>
          <w:szCs w:val="24"/>
        </w:rPr>
      </w:pPr>
      <w:r w:rsidRPr="00EA3A47">
        <w:rPr>
          <w:b/>
          <w:bCs/>
          <w:sz w:val="24"/>
          <w:szCs w:val="24"/>
        </w:rPr>
        <w:t xml:space="preserve">8.  </w:t>
      </w:r>
      <w:r w:rsidRPr="00EA3A47">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A3A47">
        <w:rPr>
          <w:b/>
          <w:bCs/>
          <w:sz w:val="24"/>
          <w:szCs w:val="24"/>
        </w:rPr>
        <w:t>.</w:t>
      </w:r>
      <w:r w:rsidRPr="00EA3A47">
        <w:rPr>
          <w:sz w:val="24"/>
          <w:szCs w:val="24"/>
        </w:rPr>
        <w:t xml:space="preserve">  </w:t>
      </w:r>
      <w:r w:rsidRPr="00EA3A47">
        <w:rPr>
          <w:b/>
          <w:bCs/>
          <w:sz w:val="24"/>
          <w:szCs w:val="24"/>
          <w:u w:val="single"/>
        </w:rPr>
        <w:t xml:space="preserve">Describe the efforts to consult with persons outside the agency to </w:t>
      </w:r>
      <w:r w:rsidRPr="00EA3A47">
        <w:rPr>
          <w:b/>
          <w:bCs/>
          <w:sz w:val="24"/>
          <w:szCs w:val="24"/>
          <w:u w:val="single"/>
        </w:rPr>
        <w:lastRenderedPageBreak/>
        <w:t>obtain their views on the availability of data, frequency of collection, the clarity of instructions and recordkeeping, disclosure, or reporting format (if any), and on the data elements to be recorded, disclosed, or reported</w:t>
      </w:r>
      <w:r w:rsidRPr="00EA3A47">
        <w:rPr>
          <w:b/>
          <w:bCs/>
          <w:sz w:val="24"/>
          <w:szCs w:val="24"/>
        </w:rPr>
        <w:t>.</w:t>
      </w:r>
    </w:p>
    <w:p w:rsidR="00F80976" w:rsidRPr="00EA3A47" w:rsidRDefault="00F80976" w:rsidP="00F80976">
      <w:pPr>
        <w:rPr>
          <w:sz w:val="24"/>
          <w:szCs w:val="24"/>
        </w:rPr>
      </w:pPr>
    </w:p>
    <w:p w:rsidR="00F80976" w:rsidRDefault="00DC3CF0" w:rsidP="00F80976">
      <w:pPr>
        <w:rPr>
          <w:sz w:val="24"/>
          <w:szCs w:val="24"/>
        </w:rPr>
      </w:pPr>
      <w:r>
        <w:rPr>
          <w:sz w:val="24"/>
          <w:szCs w:val="24"/>
        </w:rPr>
        <w:t>The OMB has waived t</w:t>
      </w:r>
      <w:r w:rsidR="00EA3A47" w:rsidRPr="00EA3A47">
        <w:rPr>
          <w:sz w:val="24"/>
          <w:szCs w:val="24"/>
        </w:rPr>
        <w:t xml:space="preserve">he </w:t>
      </w:r>
      <w:r>
        <w:rPr>
          <w:sz w:val="24"/>
          <w:szCs w:val="24"/>
        </w:rPr>
        <w:t xml:space="preserve">requirement that the DOC submit a </w:t>
      </w:r>
      <w:r w:rsidR="00EA3A47" w:rsidRPr="00EA3A47">
        <w:rPr>
          <w:sz w:val="24"/>
          <w:szCs w:val="24"/>
        </w:rPr>
        <w:t xml:space="preserve">PRA </w:t>
      </w:r>
      <w:r w:rsidR="00F80976" w:rsidRPr="00EA3A47">
        <w:rPr>
          <w:sz w:val="24"/>
          <w:szCs w:val="24"/>
          <w:u w:val="single"/>
        </w:rPr>
        <w:t>Federal Register</w:t>
      </w:r>
      <w:r w:rsidR="00F80976" w:rsidRPr="00EA3A47">
        <w:rPr>
          <w:sz w:val="24"/>
          <w:szCs w:val="24"/>
        </w:rPr>
        <w:t xml:space="preserve"> Notice</w:t>
      </w:r>
      <w:r>
        <w:rPr>
          <w:sz w:val="24"/>
          <w:szCs w:val="24"/>
        </w:rPr>
        <w:t xml:space="preserve"> </w:t>
      </w:r>
      <w:r w:rsidR="00EA3A47" w:rsidRPr="00EA3A47">
        <w:rPr>
          <w:sz w:val="24"/>
          <w:szCs w:val="24"/>
        </w:rPr>
        <w:t xml:space="preserve">for </w:t>
      </w:r>
      <w:r>
        <w:rPr>
          <w:sz w:val="24"/>
          <w:szCs w:val="24"/>
        </w:rPr>
        <w:t>the</w:t>
      </w:r>
      <w:r w:rsidR="00EA3A47" w:rsidRPr="00EA3A47">
        <w:rPr>
          <w:sz w:val="24"/>
          <w:szCs w:val="24"/>
        </w:rPr>
        <w:t xml:space="preserve"> emergency approval of this information collection.</w:t>
      </w:r>
      <w:r w:rsidR="00EA3A47">
        <w:rPr>
          <w:sz w:val="24"/>
          <w:szCs w:val="24"/>
        </w:rPr>
        <w:t xml:space="preserve"> </w:t>
      </w:r>
    </w:p>
    <w:p w:rsidR="004460A9" w:rsidRDefault="004460A9" w:rsidP="00F80976">
      <w:pPr>
        <w:rPr>
          <w:b/>
          <w:bCs/>
          <w:sz w:val="24"/>
          <w:szCs w:val="24"/>
        </w:rPr>
      </w:pPr>
    </w:p>
    <w:p w:rsidR="00F80976" w:rsidRDefault="00F80976" w:rsidP="00F80976">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F80976" w:rsidRDefault="00F80976" w:rsidP="00F80976">
      <w:pPr>
        <w:pStyle w:val="BodyText"/>
        <w:spacing w:before="69"/>
        <w:ind w:left="0"/>
        <w:rPr>
          <w:spacing w:val="-1"/>
        </w:rPr>
      </w:pPr>
    </w:p>
    <w:p w:rsidR="00F80976" w:rsidRPr="00013AAC" w:rsidRDefault="00013AAC" w:rsidP="00013AAC">
      <w:pPr>
        <w:rPr>
          <w:sz w:val="24"/>
          <w:szCs w:val="24"/>
        </w:rPr>
      </w:pPr>
      <w:r>
        <w:rPr>
          <w:spacing w:val="-1"/>
        </w:rPr>
        <w:t xml:space="preserve">See above.  </w:t>
      </w:r>
      <w:r>
        <w:rPr>
          <w:sz w:val="24"/>
          <w:szCs w:val="24"/>
        </w:rPr>
        <w:t>The OMB has waived t</w:t>
      </w:r>
      <w:r w:rsidRPr="00EA3A47">
        <w:rPr>
          <w:sz w:val="24"/>
          <w:szCs w:val="24"/>
        </w:rPr>
        <w:t xml:space="preserve">he </w:t>
      </w:r>
      <w:r>
        <w:rPr>
          <w:sz w:val="24"/>
          <w:szCs w:val="24"/>
        </w:rPr>
        <w:t xml:space="preserve">requirement that the DOC submit a </w:t>
      </w:r>
      <w:r w:rsidRPr="00EA3A47">
        <w:rPr>
          <w:sz w:val="24"/>
          <w:szCs w:val="24"/>
        </w:rPr>
        <w:t xml:space="preserve">PRA </w:t>
      </w:r>
      <w:r w:rsidRPr="00EA3A47">
        <w:rPr>
          <w:sz w:val="24"/>
          <w:szCs w:val="24"/>
          <w:u w:val="single"/>
        </w:rPr>
        <w:t>Federal Register</w:t>
      </w:r>
      <w:r w:rsidRPr="00EA3A47">
        <w:rPr>
          <w:sz w:val="24"/>
          <w:szCs w:val="24"/>
        </w:rPr>
        <w:t xml:space="preserve"> Notice</w:t>
      </w:r>
      <w:r>
        <w:rPr>
          <w:sz w:val="24"/>
          <w:szCs w:val="24"/>
        </w:rPr>
        <w:t xml:space="preserve"> </w:t>
      </w:r>
      <w:r w:rsidRPr="00EA3A47">
        <w:rPr>
          <w:sz w:val="24"/>
          <w:szCs w:val="24"/>
        </w:rPr>
        <w:t xml:space="preserve">for </w:t>
      </w:r>
      <w:r>
        <w:rPr>
          <w:sz w:val="24"/>
          <w:szCs w:val="24"/>
        </w:rPr>
        <w:t>the</w:t>
      </w:r>
      <w:r w:rsidRPr="00EA3A47">
        <w:rPr>
          <w:sz w:val="24"/>
          <w:szCs w:val="24"/>
        </w:rPr>
        <w:t xml:space="preserve"> emergency approval of this information collection.</w:t>
      </w:r>
      <w:r>
        <w:rPr>
          <w:sz w:val="24"/>
          <w:szCs w:val="24"/>
        </w:rPr>
        <w:t xml:space="preserve"> </w:t>
      </w:r>
      <w:r>
        <w:rPr>
          <w:spacing w:val="-1"/>
        </w:rPr>
        <w:t xml:space="preserve">  </w:t>
      </w:r>
    </w:p>
    <w:p w:rsidR="00F80976" w:rsidRDefault="00F80976" w:rsidP="00F80976">
      <w:pPr>
        <w:rPr>
          <w:sz w:val="24"/>
          <w:szCs w:val="24"/>
        </w:rPr>
      </w:pPr>
    </w:p>
    <w:p w:rsidR="004460A9" w:rsidRDefault="004460A9" w:rsidP="00F80976">
      <w:pPr>
        <w:rPr>
          <w:b/>
          <w:bCs/>
          <w:sz w:val="24"/>
          <w:szCs w:val="24"/>
        </w:rPr>
      </w:pPr>
    </w:p>
    <w:p w:rsidR="00F80976" w:rsidRDefault="00F80976" w:rsidP="00F80976">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4460A9" w:rsidRDefault="004460A9" w:rsidP="00F80976">
      <w:pPr>
        <w:widowControl/>
        <w:rPr>
          <w:color w:val="000000"/>
          <w:sz w:val="24"/>
          <w:szCs w:val="24"/>
        </w:rPr>
      </w:pPr>
    </w:p>
    <w:p w:rsidR="004460A9" w:rsidRPr="004460A9" w:rsidRDefault="004460A9" w:rsidP="004460A9">
      <w:pPr>
        <w:widowControl/>
        <w:rPr>
          <w:color w:val="000000"/>
          <w:sz w:val="24"/>
          <w:szCs w:val="24"/>
        </w:rPr>
      </w:pPr>
      <w:r w:rsidRPr="004460A9">
        <w:rPr>
          <w:color w:val="000000"/>
          <w:sz w:val="24"/>
          <w:szCs w:val="24"/>
        </w:rPr>
        <w:t xml:space="preserve">With the exception of the information concerning level of sales and number of employees, </w:t>
      </w:r>
      <w:r w:rsidR="00E337BE">
        <w:rPr>
          <w:color w:val="000000"/>
          <w:sz w:val="24"/>
          <w:szCs w:val="24"/>
        </w:rPr>
        <w:t xml:space="preserve">which is provided optionally, </w:t>
      </w:r>
      <w:r w:rsidRPr="004460A9">
        <w:rPr>
          <w:color w:val="000000"/>
          <w:sz w:val="24"/>
          <w:szCs w:val="24"/>
        </w:rPr>
        <w:t xml:space="preserve">the information provided by the respondents </w:t>
      </w:r>
      <w:r w:rsidR="00E337BE">
        <w:rPr>
          <w:color w:val="000000"/>
          <w:sz w:val="24"/>
          <w:szCs w:val="24"/>
        </w:rPr>
        <w:t xml:space="preserve">in their self-certification submissions will be made available to the </w:t>
      </w:r>
      <w:r w:rsidRPr="004460A9">
        <w:rPr>
          <w:color w:val="000000"/>
          <w:sz w:val="24"/>
          <w:szCs w:val="24"/>
        </w:rPr>
        <w:t>public.  The respondents, who volunteer the information, know in advance that</w:t>
      </w:r>
      <w:r w:rsidR="00E337BE">
        <w:rPr>
          <w:color w:val="000000"/>
          <w:sz w:val="24"/>
          <w:szCs w:val="24"/>
        </w:rPr>
        <w:t>, with the exception noted,</w:t>
      </w:r>
      <w:r w:rsidRPr="004460A9">
        <w:rPr>
          <w:color w:val="000000"/>
          <w:sz w:val="24"/>
          <w:szCs w:val="24"/>
        </w:rPr>
        <w:t xml:space="preserve"> the information will be made publicly available on the </w:t>
      </w:r>
      <w:r>
        <w:rPr>
          <w:color w:val="000000"/>
          <w:sz w:val="24"/>
          <w:szCs w:val="24"/>
        </w:rPr>
        <w:t>DOC’s Privacy Shield</w:t>
      </w:r>
      <w:r w:rsidRPr="004460A9">
        <w:rPr>
          <w:color w:val="000000"/>
          <w:sz w:val="24"/>
          <w:szCs w:val="24"/>
        </w:rPr>
        <w:t xml:space="preserve"> website consistent with DOC guidelines and program instructions.</w:t>
      </w:r>
    </w:p>
    <w:p w:rsidR="004460A9" w:rsidRDefault="004460A9" w:rsidP="00F80976">
      <w:pPr>
        <w:widowControl/>
        <w:rPr>
          <w:color w:val="000000"/>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F80976" w:rsidRDefault="00F80976" w:rsidP="00F80976">
      <w:pPr>
        <w:rPr>
          <w:sz w:val="24"/>
          <w:szCs w:val="24"/>
        </w:rPr>
      </w:pPr>
    </w:p>
    <w:p w:rsidR="00F80976" w:rsidRDefault="00F80976" w:rsidP="00F80976">
      <w:pPr>
        <w:pStyle w:val="BodyText"/>
        <w:spacing w:before="69"/>
        <w:ind w:left="0"/>
      </w:pPr>
      <w:r>
        <w:rPr>
          <w:spacing w:val="-1"/>
        </w:rPr>
        <w:t>No</w:t>
      </w:r>
      <w:r>
        <w:t xml:space="preserve"> </w:t>
      </w:r>
      <w:r>
        <w:rPr>
          <w:spacing w:val="-1"/>
        </w:rPr>
        <w:t>questions</w:t>
      </w:r>
      <w:r>
        <w:t xml:space="preserve"> of</w:t>
      </w:r>
      <w:r>
        <w:rPr>
          <w:spacing w:val="-1"/>
        </w:rPr>
        <w:t xml:space="preserve"> </w:t>
      </w:r>
      <w:r>
        <w:t>a</w:t>
      </w:r>
      <w:r>
        <w:rPr>
          <w:spacing w:val="-1"/>
        </w:rPr>
        <w:t xml:space="preserve"> sensitive nature</w:t>
      </w:r>
      <w:r>
        <w:rPr>
          <w:spacing w:val="1"/>
        </w:rPr>
        <w:t xml:space="preserve"> </w:t>
      </w:r>
      <w:r>
        <w:rPr>
          <w:spacing w:val="-1"/>
        </w:rPr>
        <w:t xml:space="preserve">are </w:t>
      </w:r>
      <w:r>
        <w:t>included in</w:t>
      </w:r>
      <w:r>
        <w:rPr>
          <w:spacing w:val="2"/>
        </w:rPr>
        <w:t xml:space="preserve"> </w:t>
      </w:r>
      <w:r>
        <w:t xml:space="preserve">this </w:t>
      </w:r>
      <w:r>
        <w:rPr>
          <w:spacing w:val="-1"/>
        </w:rPr>
        <w:t>information</w:t>
      </w:r>
      <w:r>
        <w:t xml:space="preserve"> </w:t>
      </w:r>
      <w:r>
        <w:rPr>
          <w:spacing w:val="-1"/>
        </w:rPr>
        <w:t>collection.</w:t>
      </w:r>
    </w:p>
    <w:p w:rsidR="00F80976" w:rsidRDefault="00F80976" w:rsidP="00F80976">
      <w:pPr>
        <w:rPr>
          <w:sz w:val="24"/>
          <w:szCs w:val="24"/>
        </w:rPr>
      </w:pPr>
    </w:p>
    <w:p w:rsidR="005C5336" w:rsidRDefault="005C5336" w:rsidP="00F80976">
      <w:pPr>
        <w:rPr>
          <w:b/>
          <w:bCs/>
          <w:sz w:val="24"/>
          <w:szCs w:val="24"/>
        </w:rPr>
      </w:pPr>
    </w:p>
    <w:p w:rsidR="00F80976" w:rsidRDefault="00F80976" w:rsidP="00F80976">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F80976" w:rsidRDefault="00F80976" w:rsidP="00F80976">
      <w:pPr>
        <w:rPr>
          <w:sz w:val="24"/>
          <w:szCs w:val="24"/>
        </w:rPr>
      </w:pPr>
    </w:p>
    <w:p w:rsidR="00214BDC" w:rsidRDefault="00F80976" w:rsidP="00F80976">
      <w:pPr>
        <w:rPr>
          <w:sz w:val="24"/>
          <w:szCs w:val="24"/>
        </w:rPr>
      </w:pPr>
      <w:r>
        <w:rPr>
          <w:sz w:val="24"/>
          <w:szCs w:val="24"/>
        </w:rPr>
        <w:t xml:space="preserve">The total expected number </w:t>
      </w:r>
      <w:r w:rsidR="00214BDC">
        <w:rPr>
          <w:sz w:val="24"/>
          <w:szCs w:val="24"/>
        </w:rPr>
        <w:t xml:space="preserve">of Privacy Shield submissions </w:t>
      </w:r>
      <w:r w:rsidR="00214BDC" w:rsidRPr="00214BDC">
        <w:rPr>
          <w:sz w:val="24"/>
          <w:szCs w:val="24"/>
        </w:rPr>
        <w:t xml:space="preserve">that would be received within the first year of the program </w:t>
      </w:r>
      <w:r w:rsidR="00214BDC">
        <w:rPr>
          <w:sz w:val="24"/>
          <w:szCs w:val="24"/>
        </w:rPr>
        <w:t xml:space="preserve">is </w:t>
      </w:r>
      <w:r w:rsidR="00013AAC">
        <w:rPr>
          <w:sz w:val="24"/>
          <w:szCs w:val="24"/>
        </w:rPr>
        <w:t>3600</w:t>
      </w:r>
      <w:r>
        <w:rPr>
          <w:sz w:val="24"/>
          <w:szCs w:val="24"/>
        </w:rPr>
        <w:t>,</w:t>
      </w:r>
      <w:r w:rsidR="00214BDC">
        <w:rPr>
          <w:sz w:val="24"/>
          <w:szCs w:val="24"/>
        </w:rPr>
        <w:t xml:space="preserve"> with each submission representing a separate respondent.  DOC</w:t>
      </w:r>
      <w:r>
        <w:rPr>
          <w:sz w:val="24"/>
          <w:szCs w:val="24"/>
        </w:rPr>
        <w:t xml:space="preserve"> e</w:t>
      </w:r>
      <w:r w:rsidR="00214BDC">
        <w:rPr>
          <w:sz w:val="24"/>
          <w:szCs w:val="24"/>
        </w:rPr>
        <w:t>stimates an average burden of 40</w:t>
      </w:r>
      <w:r>
        <w:rPr>
          <w:sz w:val="24"/>
          <w:szCs w:val="24"/>
        </w:rPr>
        <w:t xml:space="preserve"> minutes </w:t>
      </w:r>
      <w:r w:rsidR="00214BDC">
        <w:rPr>
          <w:sz w:val="24"/>
          <w:szCs w:val="24"/>
        </w:rPr>
        <w:t xml:space="preserve">per submission, including the </w:t>
      </w:r>
      <w:r w:rsidR="00214BDC" w:rsidRPr="00214BDC">
        <w:rPr>
          <w:sz w:val="24"/>
          <w:szCs w:val="24"/>
        </w:rPr>
        <w:t>time it would take to complete the self-certification form and submit it online via the Privacy Shield website</w:t>
      </w:r>
      <w:r>
        <w:rPr>
          <w:sz w:val="24"/>
          <w:szCs w:val="24"/>
        </w:rPr>
        <w:t xml:space="preserve">.  </w:t>
      </w:r>
      <w:r w:rsidR="00013AAC">
        <w:rPr>
          <w:sz w:val="24"/>
          <w:szCs w:val="24"/>
        </w:rPr>
        <w:t>3600</w:t>
      </w:r>
      <w:r w:rsidR="003D03D3">
        <w:rPr>
          <w:sz w:val="24"/>
          <w:szCs w:val="24"/>
        </w:rPr>
        <w:t xml:space="preserve"> responses/submissions</w:t>
      </w:r>
      <w:r w:rsidR="00214BDC">
        <w:rPr>
          <w:sz w:val="24"/>
          <w:szCs w:val="24"/>
        </w:rPr>
        <w:t xml:space="preserve"> x 0.</w:t>
      </w:r>
      <w:r w:rsidR="00013AAC">
        <w:rPr>
          <w:sz w:val="24"/>
          <w:szCs w:val="24"/>
        </w:rPr>
        <w:t>66</w:t>
      </w:r>
      <w:r>
        <w:rPr>
          <w:sz w:val="24"/>
          <w:szCs w:val="24"/>
        </w:rPr>
        <w:t xml:space="preserve"> hour</w:t>
      </w:r>
      <w:r w:rsidR="003D03D3">
        <w:rPr>
          <w:sz w:val="24"/>
          <w:szCs w:val="24"/>
        </w:rPr>
        <w:t>s</w:t>
      </w:r>
      <w:r w:rsidR="00247E9C">
        <w:rPr>
          <w:sz w:val="24"/>
          <w:szCs w:val="24"/>
        </w:rPr>
        <w:t xml:space="preserve"> (i.e.,</w:t>
      </w:r>
      <w:r w:rsidR="00C40D56">
        <w:rPr>
          <w:sz w:val="24"/>
          <w:szCs w:val="24"/>
        </w:rPr>
        <w:t xml:space="preserve"> </w:t>
      </w:r>
      <w:r w:rsidR="00247E9C">
        <w:rPr>
          <w:sz w:val="24"/>
          <w:szCs w:val="24"/>
        </w:rPr>
        <w:t>40 minutes)</w:t>
      </w:r>
      <w:r>
        <w:rPr>
          <w:sz w:val="24"/>
          <w:szCs w:val="24"/>
        </w:rPr>
        <w:t xml:space="preserve"> = </w:t>
      </w:r>
      <w:r w:rsidR="00013AAC">
        <w:rPr>
          <w:sz w:val="24"/>
          <w:szCs w:val="24"/>
        </w:rPr>
        <w:t>2376</w:t>
      </w:r>
      <w:r>
        <w:rPr>
          <w:sz w:val="24"/>
          <w:szCs w:val="24"/>
        </w:rPr>
        <w:t xml:space="preserve"> hours total burden.</w:t>
      </w:r>
      <w:r w:rsidR="00013AAC">
        <w:rPr>
          <w:sz w:val="24"/>
          <w:szCs w:val="24"/>
        </w:rPr>
        <w:t xml:space="preserve">  Self-</w:t>
      </w:r>
      <w:r w:rsidR="00013AAC" w:rsidRPr="00214BDC">
        <w:rPr>
          <w:sz w:val="24"/>
          <w:szCs w:val="24"/>
        </w:rPr>
        <w:t>certification must be renewed annually</w:t>
      </w:r>
      <w:r w:rsidR="00013AAC">
        <w:rPr>
          <w:sz w:val="24"/>
          <w:szCs w:val="24"/>
        </w:rPr>
        <w:t xml:space="preserve"> using the same form.</w:t>
      </w:r>
    </w:p>
    <w:p w:rsidR="009F732D" w:rsidRPr="009F732D" w:rsidRDefault="009F732D" w:rsidP="009F732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F732D" w:rsidRPr="009F732D" w:rsidTr="009F732D">
        <w:tc>
          <w:tcPr>
            <w:tcW w:w="1915" w:type="dxa"/>
            <w:shd w:val="clear" w:color="auto" w:fill="auto"/>
          </w:tcPr>
          <w:p w:rsidR="009F732D" w:rsidRPr="009F732D" w:rsidRDefault="009F732D" w:rsidP="009F732D">
            <w:pPr>
              <w:rPr>
                <w:sz w:val="24"/>
                <w:szCs w:val="24"/>
              </w:rPr>
            </w:pPr>
            <w:r w:rsidRPr="009F732D">
              <w:rPr>
                <w:sz w:val="24"/>
                <w:szCs w:val="24"/>
              </w:rPr>
              <w:t>Type of Response</w:t>
            </w:r>
          </w:p>
        </w:tc>
        <w:tc>
          <w:tcPr>
            <w:tcW w:w="1915" w:type="dxa"/>
            <w:shd w:val="clear" w:color="auto" w:fill="auto"/>
          </w:tcPr>
          <w:p w:rsidR="009F732D" w:rsidRPr="009F732D" w:rsidRDefault="009F732D" w:rsidP="009F732D">
            <w:pPr>
              <w:rPr>
                <w:sz w:val="24"/>
                <w:szCs w:val="24"/>
              </w:rPr>
            </w:pPr>
            <w:r w:rsidRPr="009F732D">
              <w:rPr>
                <w:sz w:val="24"/>
                <w:szCs w:val="24"/>
              </w:rPr>
              <w:t>Response Time</w:t>
            </w:r>
          </w:p>
        </w:tc>
        <w:tc>
          <w:tcPr>
            <w:tcW w:w="1915" w:type="dxa"/>
            <w:shd w:val="clear" w:color="auto" w:fill="auto"/>
          </w:tcPr>
          <w:p w:rsidR="009F732D" w:rsidRPr="009F732D" w:rsidRDefault="009F732D" w:rsidP="009F732D">
            <w:pPr>
              <w:rPr>
                <w:sz w:val="24"/>
                <w:szCs w:val="24"/>
              </w:rPr>
            </w:pPr>
            <w:r w:rsidRPr="009F732D">
              <w:rPr>
                <w:sz w:val="24"/>
                <w:szCs w:val="24"/>
              </w:rPr>
              <w:t>No. of Respondents</w:t>
            </w:r>
          </w:p>
        </w:tc>
        <w:tc>
          <w:tcPr>
            <w:tcW w:w="1915" w:type="dxa"/>
            <w:shd w:val="clear" w:color="auto" w:fill="auto"/>
          </w:tcPr>
          <w:p w:rsidR="009F732D" w:rsidRPr="009F732D" w:rsidRDefault="009F732D" w:rsidP="009F732D">
            <w:pPr>
              <w:rPr>
                <w:sz w:val="24"/>
                <w:szCs w:val="24"/>
              </w:rPr>
            </w:pPr>
            <w:r w:rsidRPr="009F732D">
              <w:rPr>
                <w:sz w:val="24"/>
                <w:szCs w:val="24"/>
              </w:rPr>
              <w:t xml:space="preserve">No. of Responses </w:t>
            </w:r>
          </w:p>
        </w:tc>
        <w:tc>
          <w:tcPr>
            <w:tcW w:w="1916" w:type="dxa"/>
            <w:shd w:val="clear" w:color="auto" w:fill="auto"/>
          </w:tcPr>
          <w:p w:rsidR="009F732D" w:rsidRPr="009F732D" w:rsidRDefault="009F732D" w:rsidP="009F732D">
            <w:pPr>
              <w:rPr>
                <w:sz w:val="24"/>
                <w:szCs w:val="24"/>
              </w:rPr>
            </w:pPr>
            <w:r w:rsidRPr="009F732D">
              <w:rPr>
                <w:sz w:val="24"/>
                <w:szCs w:val="24"/>
              </w:rPr>
              <w:t>Total Hours</w:t>
            </w:r>
          </w:p>
        </w:tc>
      </w:tr>
      <w:tr w:rsidR="009F732D" w:rsidRPr="009F732D" w:rsidTr="009F732D">
        <w:tc>
          <w:tcPr>
            <w:tcW w:w="1915" w:type="dxa"/>
            <w:shd w:val="clear" w:color="auto" w:fill="auto"/>
          </w:tcPr>
          <w:p w:rsidR="009F732D" w:rsidRPr="009F732D" w:rsidRDefault="009F732D" w:rsidP="009F732D">
            <w:pPr>
              <w:rPr>
                <w:sz w:val="24"/>
                <w:szCs w:val="24"/>
              </w:rPr>
            </w:pPr>
            <w:r w:rsidRPr="009F732D">
              <w:rPr>
                <w:sz w:val="24"/>
                <w:szCs w:val="24"/>
              </w:rPr>
              <w:t xml:space="preserve">Completion and submission of initial self-certification or </w:t>
            </w:r>
            <w:r w:rsidRPr="009F732D">
              <w:rPr>
                <w:sz w:val="24"/>
                <w:szCs w:val="24"/>
              </w:rPr>
              <w:lastRenderedPageBreak/>
              <w:t>recertification applications (electronically via DOC’s Privacy Shield website)</w:t>
            </w:r>
          </w:p>
        </w:tc>
        <w:tc>
          <w:tcPr>
            <w:tcW w:w="1915" w:type="dxa"/>
            <w:shd w:val="clear" w:color="auto" w:fill="auto"/>
          </w:tcPr>
          <w:p w:rsidR="009F732D" w:rsidRPr="009F732D" w:rsidRDefault="00247E9C" w:rsidP="009F732D">
            <w:pPr>
              <w:rPr>
                <w:sz w:val="24"/>
                <w:szCs w:val="24"/>
              </w:rPr>
            </w:pPr>
            <w:r w:rsidRPr="00247E9C">
              <w:rPr>
                <w:sz w:val="24"/>
                <w:szCs w:val="24"/>
              </w:rPr>
              <w:lastRenderedPageBreak/>
              <w:t>0.</w:t>
            </w:r>
            <w:r w:rsidR="00013AAC">
              <w:rPr>
                <w:sz w:val="24"/>
                <w:szCs w:val="24"/>
              </w:rPr>
              <w:t>66</w:t>
            </w:r>
            <w:r w:rsidRPr="00247E9C">
              <w:rPr>
                <w:sz w:val="24"/>
                <w:szCs w:val="24"/>
              </w:rPr>
              <w:t xml:space="preserve"> hours (i.e.,</w:t>
            </w:r>
            <w:r w:rsidR="00C40D56">
              <w:rPr>
                <w:sz w:val="24"/>
                <w:szCs w:val="24"/>
              </w:rPr>
              <w:t xml:space="preserve"> </w:t>
            </w:r>
            <w:r w:rsidRPr="00247E9C">
              <w:rPr>
                <w:sz w:val="24"/>
                <w:szCs w:val="24"/>
              </w:rPr>
              <w:t>40 minutes)</w:t>
            </w:r>
          </w:p>
        </w:tc>
        <w:tc>
          <w:tcPr>
            <w:tcW w:w="1915" w:type="dxa"/>
            <w:shd w:val="clear" w:color="auto" w:fill="auto"/>
          </w:tcPr>
          <w:p w:rsidR="009F732D" w:rsidRPr="009F732D" w:rsidRDefault="00013AAC" w:rsidP="009F732D">
            <w:pPr>
              <w:rPr>
                <w:sz w:val="24"/>
                <w:szCs w:val="24"/>
              </w:rPr>
            </w:pPr>
            <w:r>
              <w:rPr>
                <w:sz w:val="24"/>
                <w:szCs w:val="24"/>
              </w:rPr>
              <w:t>3</w:t>
            </w:r>
            <w:r w:rsidR="00C40D56">
              <w:rPr>
                <w:sz w:val="24"/>
                <w:szCs w:val="24"/>
              </w:rPr>
              <w:t>,</w:t>
            </w:r>
            <w:r>
              <w:rPr>
                <w:sz w:val="24"/>
                <w:szCs w:val="24"/>
              </w:rPr>
              <w:t>600</w:t>
            </w:r>
          </w:p>
        </w:tc>
        <w:tc>
          <w:tcPr>
            <w:tcW w:w="1915" w:type="dxa"/>
            <w:shd w:val="clear" w:color="auto" w:fill="auto"/>
          </w:tcPr>
          <w:p w:rsidR="009F732D" w:rsidRPr="009F732D" w:rsidRDefault="00013AAC" w:rsidP="009F732D">
            <w:pPr>
              <w:rPr>
                <w:sz w:val="24"/>
                <w:szCs w:val="24"/>
              </w:rPr>
            </w:pPr>
            <w:r>
              <w:rPr>
                <w:sz w:val="24"/>
                <w:szCs w:val="24"/>
              </w:rPr>
              <w:t>3</w:t>
            </w:r>
            <w:r w:rsidR="00C40D56">
              <w:rPr>
                <w:sz w:val="24"/>
                <w:szCs w:val="24"/>
              </w:rPr>
              <w:t>,</w:t>
            </w:r>
            <w:r>
              <w:rPr>
                <w:sz w:val="24"/>
                <w:szCs w:val="24"/>
              </w:rPr>
              <w:t>600</w:t>
            </w:r>
          </w:p>
        </w:tc>
        <w:tc>
          <w:tcPr>
            <w:tcW w:w="1916" w:type="dxa"/>
            <w:shd w:val="clear" w:color="auto" w:fill="auto"/>
          </w:tcPr>
          <w:p w:rsidR="009F732D" w:rsidRPr="009F732D" w:rsidRDefault="00013AAC" w:rsidP="00013AAC">
            <w:pPr>
              <w:rPr>
                <w:sz w:val="24"/>
                <w:szCs w:val="24"/>
              </w:rPr>
            </w:pPr>
            <w:r>
              <w:rPr>
                <w:sz w:val="24"/>
                <w:szCs w:val="24"/>
              </w:rPr>
              <w:t>2</w:t>
            </w:r>
            <w:r w:rsidR="00C40D56">
              <w:rPr>
                <w:sz w:val="24"/>
                <w:szCs w:val="24"/>
              </w:rPr>
              <w:t>,</w:t>
            </w:r>
            <w:r>
              <w:rPr>
                <w:sz w:val="24"/>
                <w:szCs w:val="24"/>
              </w:rPr>
              <w:t>376</w:t>
            </w:r>
          </w:p>
        </w:tc>
      </w:tr>
    </w:tbl>
    <w:p w:rsidR="009F732D" w:rsidRDefault="009F732D" w:rsidP="00F80976">
      <w:pPr>
        <w:rPr>
          <w:sz w:val="24"/>
          <w:szCs w:val="24"/>
        </w:rPr>
      </w:pPr>
    </w:p>
    <w:p w:rsidR="009F732D" w:rsidRPr="00853E9E" w:rsidRDefault="009F732D" w:rsidP="00F80976">
      <w:pPr>
        <w:rPr>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rsidR="00F80976" w:rsidRDefault="00F80976" w:rsidP="00F80976">
      <w:pPr>
        <w:rPr>
          <w:sz w:val="24"/>
          <w:szCs w:val="24"/>
        </w:rPr>
      </w:pPr>
    </w:p>
    <w:p w:rsidR="00F80976" w:rsidRDefault="00F80976" w:rsidP="00F80976">
      <w:pPr>
        <w:rPr>
          <w:sz w:val="24"/>
          <w:szCs w:val="24"/>
        </w:rPr>
      </w:pPr>
      <w:r>
        <w:rPr>
          <w:sz w:val="24"/>
          <w:szCs w:val="24"/>
        </w:rPr>
        <w:t>The estimated annual</w:t>
      </w:r>
      <w:r w:rsidR="00C16ED5">
        <w:rPr>
          <w:sz w:val="24"/>
          <w:szCs w:val="24"/>
        </w:rPr>
        <w:t xml:space="preserve"> cost burden to respondents</w:t>
      </w:r>
      <w:r w:rsidR="00A7722C">
        <w:rPr>
          <w:sz w:val="24"/>
          <w:szCs w:val="24"/>
        </w:rPr>
        <w:t>, excluding the value of the burden hours in Question 12,</w:t>
      </w:r>
      <w:r w:rsidR="00C16ED5">
        <w:rPr>
          <w:sz w:val="24"/>
          <w:szCs w:val="24"/>
        </w:rPr>
        <w:t xml:space="preserve"> is $</w:t>
      </w:r>
      <w:r w:rsidR="00211A11">
        <w:rPr>
          <w:sz w:val="24"/>
          <w:szCs w:val="24"/>
        </w:rPr>
        <w:t>2,824,200</w:t>
      </w:r>
      <w:r>
        <w:rPr>
          <w:sz w:val="24"/>
          <w:szCs w:val="24"/>
        </w:rPr>
        <w:t xml:space="preserve">. </w:t>
      </w:r>
    </w:p>
    <w:p w:rsidR="00B31EF7" w:rsidRDefault="00B31EF7" w:rsidP="00F80976">
      <w:pPr>
        <w:rPr>
          <w:sz w:val="24"/>
          <w:szCs w:val="24"/>
        </w:rPr>
      </w:pPr>
    </w:p>
    <w:p w:rsidR="00B31EF7" w:rsidRDefault="00B31EF7" w:rsidP="00F80976">
      <w:pPr>
        <w:rPr>
          <w:sz w:val="24"/>
          <w:szCs w:val="24"/>
        </w:rPr>
      </w:pPr>
      <w:r>
        <w:rPr>
          <w:sz w:val="24"/>
          <w:szCs w:val="24"/>
        </w:rPr>
        <w:t>Note:</w:t>
      </w:r>
    </w:p>
    <w:p w:rsidR="0095344D" w:rsidRDefault="0095344D" w:rsidP="00F80976">
      <w:pPr>
        <w:rPr>
          <w:sz w:val="24"/>
          <w:szCs w:val="24"/>
        </w:rPr>
      </w:pPr>
    </w:p>
    <w:p w:rsidR="0095344D" w:rsidRPr="0095344D" w:rsidRDefault="002A6F35" w:rsidP="0095344D">
      <w:pPr>
        <w:rPr>
          <w:sz w:val="24"/>
          <w:szCs w:val="24"/>
        </w:rPr>
      </w:pPr>
      <w:r>
        <w:rPr>
          <w:sz w:val="24"/>
          <w:szCs w:val="24"/>
        </w:rPr>
        <w:t>The DOC’s ITA</w:t>
      </w:r>
      <w:r w:rsidR="0095344D" w:rsidRPr="0095344D">
        <w:rPr>
          <w:sz w:val="24"/>
          <w:szCs w:val="24"/>
        </w:rPr>
        <w:t xml:space="preserve"> is implementing a cost recovery program to support the operation of the EU-U.S. Privacy Shield Framework, which will require that U.S. organizati</w:t>
      </w:r>
      <w:r>
        <w:rPr>
          <w:sz w:val="24"/>
          <w:szCs w:val="24"/>
        </w:rPr>
        <w:t>ons pay an annual fee to the DOC</w:t>
      </w:r>
      <w:r w:rsidR="0095344D" w:rsidRPr="0095344D">
        <w:rPr>
          <w:sz w:val="24"/>
          <w:szCs w:val="24"/>
        </w:rPr>
        <w:t xml:space="preserve"> in order to self-certify under the Privacy Shield.  The cost recovery program will support the administration and supervision of the Privacy Shield program and support the provision of Privacy Shield-related services, including education and outreach.  The fee a given organization will be charged will be determined according to a sliding scale based on the organization’s annual revenue.</w:t>
      </w:r>
    </w:p>
    <w:p w:rsidR="0095344D" w:rsidRDefault="0095344D" w:rsidP="0095344D">
      <w:pPr>
        <w:rPr>
          <w:sz w:val="24"/>
          <w:szCs w:val="24"/>
        </w:rPr>
      </w:pPr>
    </w:p>
    <w:p w:rsidR="0095344D" w:rsidRPr="0095344D" w:rsidRDefault="0095344D" w:rsidP="0095344D">
      <w:pPr>
        <w:rPr>
          <w:sz w:val="24"/>
          <w:szCs w:val="24"/>
        </w:rPr>
      </w:pPr>
      <w:r w:rsidRPr="0095344D">
        <w:rPr>
          <w:sz w:val="24"/>
          <w:szCs w:val="24"/>
        </w:rPr>
        <w:t>EU-U.S. Privacy Shield Framework Cost Recovery Program Fee Schedule:</w:t>
      </w:r>
      <w:r w:rsidRPr="0095344D">
        <w:rPr>
          <w:sz w:val="24"/>
          <w:szCs w:val="24"/>
        </w:rPr>
        <w:tab/>
      </w:r>
    </w:p>
    <w:tbl>
      <w:tblPr>
        <w:tblStyle w:val="TableGrid"/>
        <w:tblW w:w="0" w:type="auto"/>
        <w:tblLook w:val="04A0" w:firstRow="1" w:lastRow="0" w:firstColumn="1" w:lastColumn="0" w:noHBand="0" w:noVBand="1"/>
      </w:tblPr>
      <w:tblGrid>
        <w:gridCol w:w="4690"/>
        <w:gridCol w:w="4660"/>
      </w:tblGrid>
      <w:tr w:rsidR="0095344D" w:rsidRPr="0095344D" w:rsidTr="00B31EF7">
        <w:tc>
          <w:tcPr>
            <w:tcW w:w="4690" w:type="dxa"/>
          </w:tcPr>
          <w:p w:rsidR="0095344D" w:rsidRPr="0095344D" w:rsidRDefault="0095344D" w:rsidP="0095344D">
            <w:pPr>
              <w:rPr>
                <w:sz w:val="24"/>
                <w:szCs w:val="24"/>
              </w:rPr>
            </w:pPr>
            <w:r w:rsidRPr="0095344D">
              <w:rPr>
                <w:sz w:val="24"/>
                <w:szCs w:val="24"/>
              </w:rPr>
              <w:t>Organization’s Annual Revenue</w:t>
            </w:r>
          </w:p>
        </w:tc>
        <w:tc>
          <w:tcPr>
            <w:tcW w:w="4660" w:type="dxa"/>
          </w:tcPr>
          <w:p w:rsidR="0095344D" w:rsidRPr="0095344D" w:rsidRDefault="0095344D" w:rsidP="0095344D">
            <w:pPr>
              <w:rPr>
                <w:sz w:val="24"/>
                <w:szCs w:val="24"/>
              </w:rPr>
            </w:pPr>
          </w:p>
        </w:tc>
      </w:tr>
      <w:tr w:rsidR="0095344D" w:rsidRPr="0095344D" w:rsidTr="00B31EF7">
        <w:tc>
          <w:tcPr>
            <w:tcW w:w="4690" w:type="dxa"/>
          </w:tcPr>
          <w:p w:rsidR="0095344D" w:rsidRPr="0095344D" w:rsidRDefault="0095344D" w:rsidP="0095344D">
            <w:pPr>
              <w:rPr>
                <w:sz w:val="24"/>
                <w:szCs w:val="24"/>
              </w:rPr>
            </w:pPr>
            <w:r w:rsidRPr="0095344D">
              <w:rPr>
                <w:sz w:val="24"/>
                <w:szCs w:val="24"/>
              </w:rPr>
              <w:t>Under $5,000,000</w:t>
            </w:r>
          </w:p>
        </w:tc>
        <w:tc>
          <w:tcPr>
            <w:tcW w:w="4660" w:type="dxa"/>
          </w:tcPr>
          <w:p w:rsidR="0095344D" w:rsidRPr="0095344D" w:rsidRDefault="0095344D" w:rsidP="0095344D">
            <w:pPr>
              <w:rPr>
                <w:sz w:val="24"/>
                <w:szCs w:val="24"/>
              </w:rPr>
            </w:pPr>
            <w:r w:rsidRPr="0095344D">
              <w:rPr>
                <w:sz w:val="24"/>
                <w:szCs w:val="24"/>
              </w:rPr>
              <w:t>$</w:t>
            </w:r>
            <w:r w:rsidR="00FA64E4">
              <w:rPr>
                <w:sz w:val="24"/>
                <w:szCs w:val="24"/>
              </w:rPr>
              <w:t>2</w:t>
            </w:r>
            <w:r w:rsidRPr="0095344D">
              <w:rPr>
                <w:sz w:val="24"/>
                <w:szCs w:val="24"/>
              </w:rPr>
              <w:t>50</w:t>
            </w:r>
          </w:p>
        </w:tc>
      </w:tr>
      <w:tr w:rsidR="0095344D" w:rsidRPr="0095344D" w:rsidTr="00B31EF7">
        <w:tc>
          <w:tcPr>
            <w:tcW w:w="4690" w:type="dxa"/>
          </w:tcPr>
          <w:p w:rsidR="0095344D" w:rsidRPr="0095344D" w:rsidRDefault="00FA64E4" w:rsidP="0095344D">
            <w:pPr>
              <w:rPr>
                <w:sz w:val="24"/>
                <w:szCs w:val="24"/>
              </w:rPr>
            </w:pPr>
            <w:r>
              <w:rPr>
                <w:sz w:val="24"/>
                <w:szCs w:val="24"/>
              </w:rPr>
              <w:t xml:space="preserve">Over </w:t>
            </w:r>
            <w:r w:rsidR="0095344D" w:rsidRPr="0095344D">
              <w:rPr>
                <w:sz w:val="24"/>
                <w:szCs w:val="24"/>
              </w:rPr>
              <w:t>$5,000,000 - $25,000,000</w:t>
            </w:r>
          </w:p>
        </w:tc>
        <w:tc>
          <w:tcPr>
            <w:tcW w:w="4660" w:type="dxa"/>
          </w:tcPr>
          <w:p w:rsidR="0095344D" w:rsidRPr="0095344D" w:rsidRDefault="0095344D" w:rsidP="0095344D">
            <w:pPr>
              <w:rPr>
                <w:sz w:val="24"/>
                <w:szCs w:val="24"/>
              </w:rPr>
            </w:pPr>
            <w:r w:rsidRPr="0095344D">
              <w:rPr>
                <w:sz w:val="24"/>
                <w:szCs w:val="24"/>
              </w:rPr>
              <w:t>$</w:t>
            </w:r>
            <w:r w:rsidR="00FA64E4">
              <w:rPr>
                <w:sz w:val="24"/>
                <w:szCs w:val="24"/>
              </w:rPr>
              <w:t>6</w:t>
            </w:r>
            <w:r w:rsidRPr="0095344D">
              <w:rPr>
                <w:sz w:val="24"/>
                <w:szCs w:val="24"/>
              </w:rPr>
              <w:t>50</w:t>
            </w:r>
          </w:p>
        </w:tc>
      </w:tr>
      <w:tr w:rsidR="0095344D" w:rsidRPr="0095344D" w:rsidTr="00B31EF7">
        <w:tc>
          <w:tcPr>
            <w:tcW w:w="4690" w:type="dxa"/>
          </w:tcPr>
          <w:p w:rsidR="0095344D" w:rsidRPr="0095344D" w:rsidRDefault="00FA64E4" w:rsidP="0095344D">
            <w:pPr>
              <w:rPr>
                <w:sz w:val="24"/>
                <w:szCs w:val="24"/>
              </w:rPr>
            </w:pPr>
            <w:r>
              <w:rPr>
                <w:sz w:val="24"/>
                <w:szCs w:val="24"/>
              </w:rPr>
              <w:t xml:space="preserve">Over </w:t>
            </w:r>
            <w:r w:rsidR="0095344D" w:rsidRPr="0095344D">
              <w:rPr>
                <w:sz w:val="24"/>
                <w:szCs w:val="24"/>
              </w:rPr>
              <w:t>$25,000,00</w:t>
            </w:r>
            <w:r>
              <w:rPr>
                <w:sz w:val="24"/>
                <w:szCs w:val="24"/>
              </w:rPr>
              <w:t>0</w:t>
            </w:r>
            <w:r w:rsidR="0095344D" w:rsidRPr="0095344D">
              <w:rPr>
                <w:sz w:val="24"/>
                <w:szCs w:val="24"/>
              </w:rPr>
              <w:t xml:space="preserve"> - $</w:t>
            </w:r>
            <w:r>
              <w:rPr>
                <w:sz w:val="24"/>
                <w:szCs w:val="24"/>
              </w:rPr>
              <w:t>5</w:t>
            </w:r>
            <w:r w:rsidR="0095344D" w:rsidRPr="0095344D">
              <w:rPr>
                <w:sz w:val="24"/>
                <w:szCs w:val="24"/>
              </w:rPr>
              <w:t>00,000,000</w:t>
            </w:r>
          </w:p>
        </w:tc>
        <w:tc>
          <w:tcPr>
            <w:tcW w:w="4660" w:type="dxa"/>
          </w:tcPr>
          <w:p w:rsidR="0095344D" w:rsidRPr="0095344D" w:rsidRDefault="0095344D" w:rsidP="00FA64E4">
            <w:pPr>
              <w:rPr>
                <w:sz w:val="24"/>
                <w:szCs w:val="24"/>
              </w:rPr>
            </w:pPr>
            <w:r w:rsidRPr="0095344D">
              <w:rPr>
                <w:sz w:val="24"/>
                <w:szCs w:val="24"/>
              </w:rPr>
              <w:t>$</w:t>
            </w:r>
            <w:r w:rsidR="00FA64E4">
              <w:rPr>
                <w:sz w:val="24"/>
                <w:szCs w:val="24"/>
              </w:rPr>
              <w:t>1,000</w:t>
            </w:r>
          </w:p>
        </w:tc>
      </w:tr>
      <w:tr w:rsidR="0095344D" w:rsidRPr="0095344D" w:rsidTr="00B31EF7">
        <w:tc>
          <w:tcPr>
            <w:tcW w:w="4690" w:type="dxa"/>
          </w:tcPr>
          <w:p w:rsidR="0095344D" w:rsidRPr="0095344D" w:rsidRDefault="00FA64E4" w:rsidP="0095344D">
            <w:pPr>
              <w:rPr>
                <w:sz w:val="24"/>
                <w:szCs w:val="24"/>
              </w:rPr>
            </w:pPr>
            <w:r>
              <w:rPr>
                <w:sz w:val="24"/>
                <w:szCs w:val="24"/>
              </w:rPr>
              <w:t>Over $500 million to $5 billion</w:t>
            </w:r>
          </w:p>
        </w:tc>
        <w:tc>
          <w:tcPr>
            <w:tcW w:w="4660" w:type="dxa"/>
          </w:tcPr>
          <w:p w:rsidR="0095344D" w:rsidRPr="0095344D" w:rsidRDefault="0095344D" w:rsidP="0095344D">
            <w:pPr>
              <w:rPr>
                <w:sz w:val="24"/>
                <w:szCs w:val="24"/>
              </w:rPr>
            </w:pPr>
            <w:r w:rsidRPr="0095344D">
              <w:rPr>
                <w:sz w:val="24"/>
                <w:szCs w:val="24"/>
              </w:rPr>
              <w:t>$</w:t>
            </w:r>
            <w:r w:rsidR="00FA64E4">
              <w:rPr>
                <w:sz w:val="24"/>
                <w:szCs w:val="24"/>
              </w:rPr>
              <w:t>2,500</w:t>
            </w:r>
          </w:p>
        </w:tc>
      </w:tr>
      <w:tr w:rsidR="00FA64E4" w:rsidRPr="0095344D" w:rsidTr="00B31EF7">
        <w:tc>
          <w:tcPr>
            <w:tcW w:w="4690" w:type="dxa"/>
          </w:tcPr>
          <w:p w:rsidR="00FA64E4" w:rsidRPr="0095344D" w:rsidRDefault="00FA64E4" w:rsidP="0095344D">
            <w:pPr>
              <w:rPr>
                <w:sz w:val="24"/>
                <w:szCs w:val="24"/>
              </w:rPr>
            </w:pPr>
            <w:r>
              <w:rPr>
                <w:sz w:val="24"/>
                <w:szCs w:val="24"/>
              </w:rPr>
              <w:t>Over $5 billion</w:t>
            </w:r>
          </w:p>
        </w:tc>
        <w:tc>
          <w:tcPr>
            <w:tcW w:w="4660" w:type="dxa"/>
          </w:tcPr>
          <w:p w:rsidR="00FA64E4" w:rsidRPr="0095344D" w:rsidRDefault="00FA64E4" w:rsidP="0095344D">
            <w:pPr>
              <w:rPr>
                <w:sz w:val="24"/>
                <w:szCs w:val="24"/>
              </w:rPr>
            </w:pPr>
            <w:r>
              <w:rPr>
                <w:sz w:val="24"/>
                <w:szCs w:val="24"/>
              </w:rPr>
              <w:t>$3,250</w:t>
            </w:r>
          </w:p>
        </w:tc>
      </w:tr>
    </w:tbl>
    <w:p w:rsidR="0095344D" w:rsidRDefault="00B31EF7" w:rsidP="00B31EF7">
      <w:pPr>
        <w:rPr>
          <w:sz w:val="24"/>
          <w:szCs w:val="24"/>
        </w:rPr>
      </w:pPr>
      <w:r>
        <w:rPr>
          <w:sz w:val="24"/>
          <w:szCs w:val="24"/>
        </w:rPr>
        <w:t>As was noted in the answer to Question 12</w:t>
      </w:r>
      <w:r w:rsidRPr="00B31EF7">
        <w:rPr>
          <w:sz w:val="24"/>
          <w:szCs w:val="24"/>
        </w:rPr>
        <w:t>, 3,</w:t>
      </w:r>
      <w:r w:rsidR="00FA64E4">
        <w:rPr>
          <w:sz w:val="24"/>
          <w:szCs w:val="24"/>
        </w:rPr>
        <w:t>600</w:t>
      </w:r>
      <w:r w:rsidR="00FA64E4" w:rsidRPr="00B31EF7">
        <w:rPr>
          <w:sz w:val="24"/>
          <w:szCs w:val="24"/>
        </w:rPr>
        <w:t xml:space="preserve"> </w:t>
      </w:r>
      <w:r w:rsidRPr="00B31EF7">
        <w:rPr>
          <w:sz w:val="24"/>
          <w:szCs w:val="24"/>
        </w:rPr>
        <w:t>is the estima</w:t>
      </w:r>
      <w:r>
        <w:rPr>
          <w:sz w:val="24"/>
          <w:szCs w:val="24"/>
        </w:rPr>
        <w:t>ted number of</w:t>
      </w:r>
      <w:r w:rsidRPr="00B31EF7">
        <w:rPr>
          <w:sz w:val="24"/>
          <w:szCs w:val="24"/>
        </w:rPr>
        <w:t xml:space="preserve"> </w:t>
      </w:r>
      <w:r>
        <w:rPr>
          <w:sz w:val="24"/>
          <w:szCs w:val="24"/>
        </w:rPr>
        <w:t>Privacy Shield responses/</w:t>
      </w:r>
      <w:r w:rsidRPr="00B31EF7">
        <w:rPr>
          <w:sz w:val="24"/>
          <w:szCs w:val="24"/>
        </w:rPr>
        <w:t>submissions that would be received within the first year of the program.</w:t>
      </w:r>
    </w:p>
    <w:p w:rsidR="0095344D" w:rsidRDefault="0095344D" w:rsidP="00F80976">
      <w:pPr>
        <w:rPr>
          <w:sz w:val="24"/>
          <w:szCs w:val="24"/>
        </w:rPr>
      </w:pPr>
    </w:p>
    <w:p w:rsidR="00BC3D0F" w:rsidRDefault="00BC3D0F" w:rsidP="00F80976">
      <w:pPr>
        <w:rPr>
          <w:sz w:val="24"/>
          <w:szCs w:val="24"/>
        </w:rPr>
      </w:pPr>
    </w:p>
    <w:tbl>
      <w:tblPr>
        <w:tblStyle w:val="TableGrid"/>
        <w:tblW w:w="5000" w:type="pct"/>
        <w:tblLook w:val="04A0" w:firstRow="1" w:lastRow="0" w:firstColumn="1" w:lastColumn="0" w:noHBand="0" w:noVBand="1"/>
      </w:tblPr>
      <w:tblGrid>
        <w:gridCol w:w="2252"/>
        <w:gridCol w:w="2511"/>
        <w:gridCol w:w="2563"/>
        <w:gridCol w:w="2250"/>
      </w:tblGrid>
      <w:tr w:rsidR="009C27E5" w:rsidTr="009C27E5">
        <w:tc>
          <w:tcPr>
            <w:tcW w:w="1176" w:type="pct"/>
          </w:tcPr>
          <w:p w:rsidR="009C27E5" w:rsidRDefault="009C27E5" w:rsidP="00F80976">
            <w:pPr>
              <w:rPr>
                <w:sz w:val="24"/>
                <w:szCs w:val="24"/>
              </w:rPr>
            </w:pPr>
            <w:r w:rsidRPr="0095344D">
              <w:rPr>
                <w:sz w:val="24"/>
                <w:szCs w:val="24"/>
              </w:rPr>
              <w:t>Organization’s Annual Revenue</w:t>
            </w:r>
          </w:p>
        </w:tc>
        <w:tc>
          <w:tcPr>
            <w:tcW w:w="1311" w:type="pct"/>
          </w:tcPr>
          <w:p w:rsidR="009C27E5" w:rsidRDefault="009C27E5" w:rsidP="00F80976">
            <w:pPr>
              <w:rPr>
                <w:sz w:val="24"/>
                <w:szCs w:val="24"/>
              </w:rPr>
            </w:pPr>
            <w:r w:rsidRPr="0095344D">
              <w:rPr>
                <w:sz w:val="24"/>
                <w:szCs w:val="24"/>
              </w:rPr>
              <w:t>Annual Fee</w:t>
            </w:r>
          </w:p>
        </w:tc>
        <w:tc>
          <w:tcPr>
            <w:tcW w:w="1338" w:type="pct"/>
          </w:tcPr>
          <w:p w:rsidR="009C27E5" w:rsidRDefault="00104BD7">
            <w:pPr>
              <w:rPr>
                <w:sz w:val="24"/>
                <w:szCs w:val="24"/>
              </w:rPr>
            </w:pPr>
            <w:r>
              <w:rPr>
                <w:sz w:val="24"/>
                <w:szCs w:val="24"/>
              </w:rPr>
              <w:t xml:space="preserve">Estimated </w:t>
            </w:r>
            <w:r w:rsidR="009C27E5">
              <w:rPr>
                <w:sz w:val="24"/>
                <w:szCs w:val="24"/>
              </w:rPr>
              <w:t xml:space="preserve">number of Privacy Shield </w:t>
            </w:r>
            <w:r w:rsidR="00B31EF7">
              <w:rPr>
                <w:sz w:val="24"/>
                <w:szCs w:val="24"/>
              </w:rPr>
              <w:t>submissions</w:t>
            </w:r>
            <w:r w:rsidR="009C27E5">
              <w:rPr>
                <w:sz w:val="24"/>
                <w:szCs w:val="24"/>
              </w:rPr>
              <w:t xml:space="preserve"> received the first year of the program</w:t>
            </w:r>
          </w:p>
        </w:tc>
        <w:tc>
          <w:tcPr>
            <w:tcW w:w="1176" w:type="pct"/>
          </w:tcPr>
          <w:p w:rsidR="009C27E5" w:rsidRDefault="009C27E5" w:rsidP="00F80976">
            <w:pPr>
              <w:rPr>
                <w:sz w:val="24"/>
                <w:szCs w:val="24"/>
              </w:rPr>
            </w:pPr>
            <w:r>
              <w:rPr>
                <w:sz w:val="24"/>
                <w:szCs w:val="24"/>
              </w:rPr>
              <w:t>Cost Burden to Respondents</w:t>
            </w:r>
          </w:p>
        </w:tc>
      </w:tr>
      <w:tr w:rsidR="009C27E5" w:rsidTr="009C27E5">
        <w:tc>
          <w:tcPr>
            <w:tcW w:w="1176" w:type="pct"/>
          </w:tcPr>
          <w:p w:rsidR="009C27E5" w:rsidRDefault="009C27E5" w:rsidP="00F80976">
            <w:pPr>
              <w:rPr>
                <w:sz w:val="24"/>
                <w:szCs w:val="24"/>
              </w:rPr>
            </w:pPr>
          </w:p>
        </w:tc>
        <w:tc>
          <w:tcPr>
            <w:tcW w:w="1311" w:type="pct"/>
          </w:tcPr>
          <w:p w:rsidR="009C27E5" w:rsidRDefault="009C27E5" w:rsidP="00F80976">
            <w:pPr>
              <w:rPr>
                <w:sz w:val="24"/>
                <w:szCs w:val="24"/>
              </w:rPr>
            </w:pPr>
          </w:p>
        </w:tc>
        <w:tc>
          <w:tcPr>
            <w:tcW w:w="1338" w:type="pct"/>
          </w:tcPr>
          <w:p w:rsidR="009C27E5" w:rsidRDefault="009C27E5" w:rsidP="00F80976">
            <w:pPr>
              <w:rPr>
                <w:sz w:val="24"/>
                <w:szCs w:val="24"/>
              </w:rPr>
            </w:pPr>
          </w:p>
        </w:tc>
        <w:tc>
          <w:tcPr>
            <w:tcW w:w="1176" w:type="pct"/>
          </w:tcPr>
          <w:p w:rsidR="009C27E5" w:rsidRDefault="009C27E5" w:rsidP="00F80976">
            <w:pPr>
              <w:rPr>
                <w:sz w:val="24"/>
                <w:szCs w:val="24"/>
              </w:rPr>
            </w:pPr>
          </w:p>
        </w:tc>
      </w:tr>
      <w:tr w:rsidR="009C27E5" w:rsidTr="009C27E5">
        <w:tc>
          <w:tcPr>
            <w:tcW w:w="1176" w:type="pct"/>
          </w:tcPr>
          <w:p w:rsidR="009C27E5" w:rsidRPr="0095344D" w:rsidRDefault="009C27E5" w:rsidP="00400EDA">
            <w:pPr>
              <w:rPr>
                <w:sz w:val="24"/>
                <w:szCs w:val="24"/>
              </w:rPr>
            </w:pPr>
            <w:r w:rsidRPr="0095344D">
              <w:rPr>
                <w:sz w:val="24"/>
                <w:szCs w:val="24"/>
              </w:rPr>
              <w:t>Under $5,000,000</w:t>
            </w:r>
          </w:p>
        </w:tc>
        <w:tc>
          <w:tcPr>
            <w:tcW w:w="1311" w:type="pct"/>
          </w:tcPr>
          <w:p w:rsidR="009C27E5" w:rsidRPr="0095344D" w:rsidRDefault="009C27E5" w:rsidP="00400EDA">
            <w:pPr>
              <w:rPr>
                <w:sz w:val="24"/>
                <w:szCs w:val="24"/>
              </w:rPr>
            </w:pPr>
            <w:r w:rsidRPr="0095344D">
              <w:rPr>
                <w:sz w:val="24"/>
                <w:szCs w:val="24"/>
              </w:rPr>
              <w:t>$</w:t>
            </w:r>
            <w:r w:rsidR="00104BD7">
              <w:rPr>
                <w:sz w:val="24"/>
                <w:szCs w:val="24"/>
              </w:rPr>
              <w:t>2</w:t>
            </w:r>
            <w:r w:rsidRPr="0095344D">
              <w:rPr>
                <w:sz w:val="24"/>
                <w:szCs w:val="24"/>
              </w:rPr>
              <w:t>50</w:t>
            </w:r>
          </w:p>
        </w:tc>
        <w:tc>
          <w:tcPr>
            <w:tcW w:w="1338" w:type="pct"/>
          </w:tcPr>
          <w:p w:rsidR="009C27E5" w:rsidRDefault="00104BD7">
            <w:pPr>
              <w:rPr>
                <w:sz w:val="24"/>
                <w:szCs w:val="24"/>
              </w:rPr>
            </w:pPr>
            <w:r>
              <w:rPr>
                <w:sz w:val="24"/>
                <w:szCs w:val="24"/>
              </w:rPr>
              <w:t>1</w:t>
            </w:r>
            <w:r w:rsidR="00C40D56">
              <w:rPr>
                <w:sz w:val="24"/>
                <w:szCs w:val="24"/>
              </w:rPr>
              <w:t>,</w:t>
            </w:r>
            <w:r>
              <w:rPr>
                <w:sz w:val="24"/>
                <w:szCs w:val="24"/>
              </w:rPr>
              <w:t>116</w:t>
            </w:r>
            <w:r w:rsidR="009C27E5">
              <w:rPr>
                <w:sz w:val="24"/>
                <w:szCs w:val="24"/>
              </w:rPr>
              <w:t xml:space="preserve"> (i.e., 31% of 3,</w:t>
            </w:r>
            <w:r>
              <w:rPr>
                <w:sz w:val="24"/>
                <w:szCs w:val="24"/>
              </w:rPr>
              <w:t>600</w:t>
            </w:r>
            <w:r w:rsidR="009C27E5">
              <w:rPr>
                <w:sz w:val="24"/>
                <w:szCs w:val="24"/>
              </w:rPr>
              <w:t>)</w:t>
            </w:r>
          </w:p>
        </w:tc>
        <w:tc>
          <w:tcPr>
            <w:tcW w:w="1176" w:type="pct"/>
          </w:tcPr>
          <w:p w:rsidR="009C27E5" w:rsidRDefault="009C27E5">
            <w:pPr>
              <w:rPr>
                <w:sz w:val="24"/>
                <w:szCs w:val="24"/>
              </w:rPr>
            </w:pPr>
            <w:r>
              <w:rPr>
                <w:sz w:val="24"/>
                <w:szCs w:val="24"/>
              </w:rPr>
              <w:t>$</w:t>
            </w:r>
            <w:r w:rsidR="00605CFB">
              <w:rPr>
                <w:sz w:val="24"/>
                <w:szCs w:val="24"/>
              </w:rPr>
              <w:t>279,000</w:t>
            </w:r>
          </w:p>
        </w:tc>
      </w:tr>
      <w:tr w:rsidR="009C27E5" w:rsidTr="009C27E5">
        <w:tc>
          <w:tcPr>
            <w:tcW w:w="1176" w:type="pct"/>
          </w:tcPr>
          <w:p w:rsidR="009C27E5" w:rsidRPr="0095344D" w:rsidRDefault="00FA64E4" w:rsidP="00400EDA">
            <w:pPr>
              <w:rPr>
                <w:sz w:val="24"/>
                <w:szCs w:val="24"/>
              </w:rPr>
            </w:pPr>
            <w:r>
              <w:rPr>
                <w:sz w:val="24"/>
                <w:szCs w:val="24"/>
              </w:rPr>
              <w:t xml:space="preserve">Over </w:t>
            </w:r>
            <w:r w:rsidR="009C27E5" w:rsidRPr="0095344D">
              <w:rPr>
                <w:sz w:val="24"/>
                <w:szCs w:val="24"/>
              </w:rPr>
              <w:t>$5,000,000 - $25,000,000</w:t>
            </w:r>
          </w:p>
        </w:tc>
        <w:tc>
          <w:tcPr>
            <w:tcW w:w="1311" w:type="pct"/>
          </w:tcPr>
          <w:p w:rsidR="009C27E5" w:rsidRPr="0095344D" w:rsidRDefault="009C27E5" w:rsidP="00400EDA">
            <w:pPr>
              <w:rPr>
                <w:sz w:val="24"/>
                <w:szCs w:val="24"/>
              </w:rPr>
            </w:pPr>
            <w:r w:rsidRPr="0095344D">
              <w:rPr>
                <w:sz w:val="24"/>
                <w:szCs w:val="24"/>
              </w:rPr>
              <w:t>$</w:t>
            </w:r>
            <w:r w:rsidR="00104BD7">
              <w:rPr>
                <w:sz w:val="24"/>
                <w:szCs w:val="24"/>
              </w:rPr>
              <w:t>6</w:t>
            </w:r>
            <w:r w:rsidRPr="0095344D">
              <w:rPr>
                <w:sz w:val="24"/>
                <w:szCs w:val="24"/>
              </w:rPr>
              <w:t>50</w:t>
            </w:r>
          </w:p>
        </w:tc>
        <w:tc>
          <w:tcPr>
            <w:tcW w:w="1338" w:type="pct"/>
          </w:tcPr>
          <w:p w:rsidR="009C27E5" w:rsidRDefault="00104BD7">
            <w:pPr>
              <w:rPr>
                <w:sz w:val="24"/>
                <w:szCs w:val="24"/>
              </w:rPr>
            </w:pPr>
            <w:r>
              <w:rPr>
                <w:sz w:val="24"/>
                <w:szCs w:val="24"/>
              </w:rPr>
              <w:t>828</w:t>
            </w:r>
            <w:r w:rsidR="009C27E5">
              <w:rPr>
                <w:sz w:val="24"/>
                <w:szCs w:val="24"/>
              </w:rPr>
              <w:t xml:space="preserve"> (i.e., 23% of 3,</w:t>
            </w:r>
            <w:r>
              <w:rPr>
                <w:sz w:val="24"/>
                <w:szCs w:val="24"/>
              </w:rPr>
              <w:t>600</w:t>
            </w:r>
            <w:r w:rsidR="009C27E5">
              <w:rPr>
                <w:sz w:val="24"/>
                <w:szCs w:val="24"/>
              </w:rPr>
              <w:t>)</w:t>
            </w:r>
          </w:p>
        </w:tc>
        <w:tc>
          <w:tcPr>
            <w:tcW w:w="1176" w:type="pct"/>
          </w:tcPr>
          <w:p w:rsidR="009C27E5" w:rsidRDefault="009C27E5">
            <w:pPr>
              <w:rPr>
                <w:sz w:val="24"/>
                <w:szCs w:val="24"/>
              </w:rPr>
            </w:pPr>
            <w:r>
              <w:rPr>
                <w:sz w:val="24"/>
                <w:szCs w:val="24"/>
              </w:rPr>
              <w:t>$</w:t>
            </w:r>
            <w:r w:rsidR="00605CFB">
              <w:rPr>
                <w:sz w:val="24"/>
                <w:szCs w:val="24"/>
              </w:rPr>
              <w:t>538,200</w:t>
            </w:r>
          </w:p>
        </w:tc>
      </w:tr>
      <w:tr w:rsidR="009C27E5" w:rsidTr="009C27E5">
        <w:tc>
          <w:tcPr>
            <w:tcW w:w="1176" w:type="pct"/>
          </w:tcPr>
          <w:p w:rsidR="009C27E5" w:rsidRPr="0095344D" w:rsidRDefault="00104BD7" w:rsidP="00400EDA">
            <w:pPr>
              <w:rPr>
                <w:sz w:val="24"/>
                <w:szCs w:val="24"/>
              </w:rPr>
            </w:pPr>
            <w:r>
              <w:rPr>
                <w:sz w:val="24"/>
                <w:szCs w:val="24"/>
              </w:rPr>
              <w:lastRenderedPageBreak/>
              <w:t xml:space="preserve">Over </w:t>
            </w:r>
            <w:r w:rsidR="009C27E5" w:rsidRPr="0095344D">
              <w:rPr>
                <w:sz w:val="24"/>
                <w:szCs w:val="24"/>
              </w:rPr>
              <w:t>$25,000,00</w:t>
            </w:r>
            <w:r>
              <w:rPr>
                <w:sz w:val="24"/>
                <w:szCs w:val="24"/>
              </w:rPr>
              <w:t>0</w:t>
            </w:r>
            <w:r w:rsidR="009C27E5" w:rsidRPr="0095344D">
              <w:rPr>
                <w:sz w:val="24"/>
                <w:szCs w:val="24"/>
              </w:rPr>
              <w:t xml:space="preserve"> - $</w:t>
            </w:r>
            <w:r>
              <w:rPr>
                <w:sz w:val="24"/>
                <w:szCs w:val="24"/>
              </w:rPr>
              <w:t>5</w:t>
            </w:r>
            <w:r w:rsidR="009C27E5" w:rsidRPr="0095344D">
              <w:rPr>
                <w:sz w:val="24"/>
                <w:szCs w:val="24"/>
              </w:rPr>
              <w:t>00,000,000</w:t>
            </w:r>
          </w:p>
        </w:tc>
        <w:tc>
          <w:tcPr>
            <w:tcW w:w="1311" w:type="pct"/>
          </w:tcPr>
          <w:p w:rsidR="009C27E5" w:rsidRPr="0095344D" w:rsidRDefault="009C27E5" w:rsidP="00400EDA">
            <w:pPr>
              <w:rPr>
                <w:sz w:val="24"/>
                <w:szCs w:val="24"/>
              </w:rPr>
            </w:pPr>
            <w:r w:rsidRPr="0095344D">
              <w:rPr>
                <w:sz w:val="24"/>
                <w:szCs w:val="24"/>
              </w:rPr>
              <w:t>$</w:t>
            </w:r>
            <w:r w:rsidR="00104BD7">
              <w:rPr>
                <w:sz w:val="24"/>
                <w:szCs w:val="24"/>
              </w:rPr>
              <w:t>1,000</w:t>
            </w:r>
          </w:p>
        </w:tc>
        <w:tc>
          <w:tcPr>
            <w:tcW w:w="1338" w:type="pct"/>
          </w:tcPr>
          <w:p w:rsidR="009C27E5" w:rsidRDefault="00605CFB" w:rsidP="00400EDA">
            <w:pPr>
              <w:rPr>
                <w:sz w:val="24"/>
                <w:szCs w:val="24"/>
              </w:rPr>
            </w:pPr>
            <w:r>
              <w:rPr>
                <w:sz w:val="24"/>
                <w:szCs w:val="24"/>
              </w:rPr>
              <w:t>1</w:t>
            </w:r>
            <w:r w:rsidR="00C40D56">
              <w:rPr>
                <w:sz w:val="24"/>
                <w:szCs w:val="24"/>
              </w:rPr>
              <w:t>,</w:t>
            </w:r>
            <w:r>
              <w:rPr>
                <w:sz w:val="24"/>
                <w:szCs w:val="24"/>
              </w:rPr>
              <w:t>440</w:t>
            </w:r>
            <w:r w:rsidR="009C27E5">
              <w:rPr>
                <w:sz w:val="24"/>
                <w:szCs w:val="24"/>
              </w:rPr>
              <w:t xml:space="preserve"> (i.e., </w:t>
            </w:r>
            <w:r>
              <w:rPr>
                <w:sz w:val="24"/>
                <w:szCs w:val="24"/>
              </w:rPr>
              <w:t>40</w:t>
            </w:r>
            <w:r w:rsidR="009C27E5">
              <w:rPr>
                <w:sz w:val="24"/>
                <w:szCs w:val="24"/>
              </w:rPr>
              <w:t>% of 3,</w:t>
            </w:r>
            <w:r w:rsidR="00104BD7">
              <w:rPr>
                <w:sz w:val="24"/>
                <w:szCs w:val="24"/>
              </w:rPr>
              <w:t>600</w:t>
            </w:r>
            <w:r w:rsidR="009C27E5">
              <w:rPr>
                <w:sz w:val="24"/>
                <w:szCs w:val="24"/>
              </w:rPr>
              <w:t>)</w:t>
            </w:r>
          </w:p>
        </w:tc>
        <w:tc>
          <w:tcPr>
            <w:tcW w:w="1176" w:type="pct"/>
          </w:tcPr>
          <w:p w:rsidR="009C27E5" w:rsidRDefault="009C27E5">
            <w:pPr>
              <w:rPr>
                <w:sz w:val="24"/>
                <w:szCs w:val="24"/>
              </w:rPr>
            </w:pPr>
            <w:r>
              <w:rPr>
                <w:sz w:val="24"/>
                <w:szCs w:val="24"/>
              </w:rPr>
              <w:t>$</w:t>
            </w:r>
            <w:r w:rsidR="00734B88">
              <w:rPr>
                <w:sz w:val="24"/>
                <w:szCs w:val="24"/>
              </w:rPr>
              <w:t>1,44</w:t>
            </w:r>
            <w:r w:rsidR="00605CFB">
              <w:rPr>
                <w:sz w:val="24"/>
                <w:szCs w:val="24"/>
              </w:rPr>
              <w:t>0,000</w:t>
            </w:r>
          </w:p>
        </w:tc>
      </w:tr>
      <w:tr w:rsidR="009C27E5" w:rsidTr="009C27E5">
        <w:tc>
          <w:tcPr>
            <w:tcW w:w="1176" w:type="pct"/>
          </w:tcPr>
          <w:p w:rsidR="009C27E5" w:rsidRPr="0095344D" w:rsidRDefault="009C27E5" w:rsidP="00400EDA">
            <w:pPr>
              <w:rPr>
                <w:sz w:val="24"/>
                <w:szCs w:val="24"/>
              </w:rPr>
            </w:pPr>
            <w:r w:rsidRPr="0095344D">
              <w:rPr>
                <w:sz w:val="24"/>
                <w:szCs w:val="24"/>
              </w:rPr>
              <w:t>Over $</w:t>
            </w:r>
            <w:r w:rsidR="00104BD7">
              <w:rPr>
                <w:sz w:val="24"/>
                <w:szCs w:val="24"/>
              </w:rPr>
              <w:t>5</w:t>
            </w:r>
            <w:r w:rsidRPr="0095344D">
              <w:rPr>
                <w:sz w:val="24"/>
                <w:szCs w:val="24"/>
              </w:rPr>
              <w:t>00,000,000</w:t>
            </w:r>
            <w:r w:rsidR="00104BD7">
              <w:rPr>
                <w:sz w:val="24"/>
                <w:szCs w:val="24"/>
              </w:rPr>
              <w:t xml:space="preserve"> to $5 billion</w:t>
            </w:r>
          </w:p>
        </w:tc>
        <w:tc>
          <w:tcPr>
            <w:tcW w:w="1311" w:type="pct"/>
          </w:tcPr>
          <w:p w:rsidR="009C27E5" w:rsidRPr="0095344D" w:rsidRDefault="009C27E5" w:rsidP="00400EDA">
            <w:pPr>
              <w:rPr>
                <w:sz w:val="24"/>
                <w:szCs w:val="24"/>
              </w:rPr>
            </w:pPr>
            <w:r w:rsidRPr="0095344D">
              <w:rPr>
                <w:sz w:val="24"/>
                <w:szCs w:val="24"/>
              </w:rPr>
              <w:t>$</w:t>
            </w:r>
            <w:r w:rsidR="00104BD7">
              <w:rPr>
                <w:sz w:val="24"/>
                <w:szCs w:val="24"/>
              </w:rPr>
              <w:t>2,500</w:t>
            </w:r>
          </w:p>
        </w:tc>
        <w:tc>
          <w:tcPr>
            <w:tcW w:w="1338" w:type="pct"/>
          </w:tcPr>
          <w:p w:rsidR="009C27E5" w:rsidRDefault="00605CFB" w:rsidP="00400EDA">
            <w:pPr>
              <w:rPr>
                <w:sz w:val="24"/>
                <w:szCs w:val="24"/>
              </w:rPr>
            </w:pPr>
            <w:r>
              <w:rPr>
                <w:sz w:val="24"/>
                <w:szCs w:val="24"/>
              </w:rPr>
              <w:t>180</w:t>
            </w:r>
            <w:r w:rsidR="009C27E5">
              <w:rPr>
                <w:sz w:val="24"/>
                <w:szCs w:val="24"/>
              </w:rPr>
              <w:t xml:space="preserve"> (i.e., 5% of 3</w:t>
            </w:r>
            <w:r w:rsidR="00104BD7">
              <w:rPr>
                <w:sz w:val="24"/>
                <w:szCs w:val="24"/>
              </w:rPr>
              <w:t>,600</w:t>
            </w:r>
            <w:r w:rsidR="009C27E5">
              <w:rPr>
                <w:sz w:val="24"/>
                <w:szCs w:val="24"/>
              </w:rPr>
              <w:t>)</w:t>
            </w:r>
          </w:p>
        </w:tc>
        <w:tc>
          <w:tcPr>
            <w:tcW w:w="1176" w:type="pct"/>
          </w:tcPr>
          <w:p w:rsidR="009C27E5" w:rsidRDefault="009C27E5">
            <w:pPr>
              <w:rPr>
                <w:sz w:val="24"/>
                <w:szCs w:val="24"/>
              </w:rPr>
            </w:pPr>
            <w:r>
              <w:rPr>
                <w:sz w:val="24"/>
                <w:szCs w:val="24"/>
              </w:rPr>
              <w:t>$</w:t>
            </w:r>
            <w:r w:rsidR="00605CFB">
              <w:rPr>
                <w:sz w:val="24"/>
                <w:szCs w:val="24"/>
              </w:rPr>
              <w:t>450,000</w:t>
            </w:r>
          </w:p>
        </w:tc>
      </w:tr>
      <w:tr w:rsidR="009C27E5" w:rsidTr="009C27E5">
        <w:tc>
          <w:tcPr>
            <w:tcW w:w="1176" w:type="pct"/>
          </w:tcPr>
          <w:p w:rsidR="009C27E5" w:rsidRPr="0095344D" w:rsidRDefault="00104BD7" w:rsidP="00400EDA">
            <w:pPr>
              <w:rPr>
                <w:sz w:val="24"/>
                <w:szCs w:val="24"/>
              </w:rPr>
            </w:pPr>
            <w:r>
              <w:rPr>
                <w:sz w:val="24"/>
                <w:szCs w:val="24"/>
              </w:rPr>
              <w:t>Over $5 billion</w:t>
            </w:r>
          </w:p>
        </w:tc>
        <w:tc>
          <w:tcPr>
            <w:tcW w:w="1311" w:type="pct"/>
          </w:tcPr>
          <w:p w:rsidR="009C27E5" w:rsidRPr="0095344D" w:rsidRDefault="00605CFB" w:rsidP="00400EDA">
            <w:pPr>
              <w:rPr>
                <w:sz w:val="24"/>
                <w:szCs w:val="24"/>
              </w:rPr>
            </w:pPr>
            <w:r>
              <w:rPr>
                <w:sz w:val="24"/>
                <w:szCs w:val="24"/>
              </w:rPr>
              <w:t>$</w:t>
            </w:r>
            <w:r w:rsidR="00104BD7">
              <w:rPr>
                <w:sz w:val="24"/>
                <w:szCs w:val="24"/>
              </w:rPr>
              <w:t>3,250</w:t>
            </w:r>
          </w:p>
        </w:tc>
        <w:tc>
          <w:tcPr>
            <w:tcW w:w="1338" w:type="pct"/>
          </w:tcPr>
          <w:p w:rsidR="009C27E5" w:rsidRDefault="00605CFB" w:rsidP="00400EDA">
            <w:pPr>
              <w:rPr>
                <w:sz w:val="24"/>
                <w:szCs w:val="24"/>
              </w:rPr>
            </w:pPr>
            <w:r>
              <w:rPr>
                <w:sz w:val="24"/>
                <w:szCs w:val="24"/>
              </w:rPr>
              <w:t>36 (i.e., 1% of 3,600)</w:t>
            </w:r>
          </w:p>
        </w:tc>
        <w:tc>
          <w:tcPr>
            <w:tcW w:w="1176" w:type="pct"/>
          </w:tcPr>
          <w:p w:rsidR="009C27E5" w:rsidRDefault="00605CFB" w:rsidP="00400EDA">
            <w:pPr>
              <w:rPr>
                <w:sz w:val="24"/>
                <w:szCs w:val="24"/>
              </w:rPr>
            </w:pPr>
            <w:r>
              <w:rPr>
                <w:sz w:val="24"/>
                <w:szCs w:val="24"/>
              </w:rPr>
              <w:t>$117,000</w:t>
            </w:r>
          </w:p>
        </w:tc>
      </w:tr>
      <w:tr w:rsidR="00104BD7" w:rsidTr="009C27E5">
        <w:tc>
          <w:tcPr>
            <w:tcW w:w="1176" w:type="pct"/>
          </w:tcPr>
          <w:p w:rsidR="00104BD7" w:rsidRDefault="00104BD7" w:rsidP="00400EDA">
            <w:pPr>
              <w:rPr>
                <w:sz w:val="24"/>
                <w:szCs w:val="24"/>
              </w:rPr>
            </w:pPr>
          </w:p>
        </w:tc>
        <w:tc>
          <w:tcPr>
            <w:tcW w:w="1311" w:type="pct"/>
          </w:tcPr>
          <w:p w:rsidR="00104BD7" w:rsidRDefault="00104BD7" w:rsidP="00400EDA">
            <w:pPr>
              <w:rPr>
                <w:sz w:val="24"/>
                <w:szCs w:val="24"/>
              </w:rPr>
            </w:pPr>
          </w:p>
        </w:tc>
        <w:tc>
          <w:tcPr>
            <w:tcW w:w="1338" w:type="pct"/>
          </w:tcPr>
          <w:p w:rsidR="00104BD7" w:rsidRDefault="00104BD7" w:rsidP="00400EDA">
            <w:pPr>
              <w:rPr>
                <w:sz w:val="24"/>
                <w:szCs w:val="24"/>
              </w:rPr>
            </w:pPr>
          </w:p>
        </w:tc>
        <w:tc>
          <w:tcPr>
            <w:tcW w:w="1176" w:type="pct"/>
          </w:tcPr>
          <w:p w:rsidR="00104BD7" w:rsidRDefault="00104BD7">
            <w:pPr>
              <w:rPr>
                <w:sz w:val="24"/>
                <w:szCs w:val="24"/>
              </w:rPr>
            </w:pPr>
            <w:r>
              <w:rPr>
                <w:sz w:val="24"/>
                <w:szCs w:val="24"/>
              </w:rPr>
              <w:t>Total = $2,</w:t>
            </w:r>
            <w:r w:rsidR="00734B88">
              <w:rPr>
                <w:sz w:val="24"/>
                <w:szCs w:val="24"/>
              </w:rPr>
              <w:t>824,200</w:t>
            </w:r>
          </w:p>
        </w:tc>
      </w:tr>
    </w:tbl>
    <w:p w:rsidR="0095344D" w:rsidRDefault="0095344D" w:rsidP="00F80976">
      <w:pPr>
        <w:rPr>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F80976" w:rsidRDefault="00F80976" w:rsidP="00F80976">
      <w:pPr>
        <w:rPr>
          <w:sz w:val="24"/>
          <w:szCs w:val="24"/>
        </w:rPr>
      </w:pPr>
    </w:p>
    <w:p w:rsidR="00904330" w:rsidRPr="00904330" w:rsidRDefault="00761A92" w:rsidP="00904330">
      <w:pPr>
        <w:widowControl/>
        <w:rPr>
          <w:sz w:val="24"/>
          <w:szCs w:val="24"/>
        </w:rPr>
      </w:pPr>
      <w:r>
        <w:rPr>
          <w:sz w:val="24"/>
          <w:szCs w:val="24"/>
        </w:rPr>
        <w:t>Note</w:t>
      </w:r>
      <w:r w:rsidR="00904330" w:rsidRPr="00904330">
        <w:rPr>
          <w:sz w:val="24"/>
          <w:szCs w:val="24"/>
        </w:rPr>
        <w:t>: for purposes of calculating the monetary value of the burden in hours imposed per response on the Federal government, the Federal government employee’s average salary is assumed to be $36.00/hour (i.e., the approximate, average hourly wage for the type of Federal government employee performing the relevant tasks)</w:t>
      </w:r>
    </w:p>
    <w:p w:rsidR="00904330" w:rsidRPr="00904330" w:rsidRDefault="00904330" w:rsidP="00904330">
      <w:pPr>
        <w:widowContro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04330" w:rsidRPr="00904330" w:rsidTr="00761A92">
        <w:tc>
          <w:tcPr>
            <w:tcW w:w="1915" w:type="dxa"/>
            <w:shd w:val="clear" w:color="auto" w:fill="auto"/>
          </w:tcPr>
          <w:p w:rsidR="00904330" w:rsidRPr="00904330" w:rsidRDefault="00904330" w:rsidP="00904330">
            <w:pPr>
              <w:widowControl/>
              <w:autoSpaceDE/>
              <w:autoSpaceDN/>
              <w:adjustRightInd/>
              <w:rPr>
                <w:rFonts w:eastAsia="Calibri"/>
                <w:sz w:val="22"/>
                <w:szCs w:val="22"/>
              </w:rPr>
            </w:pPr>
            <w:r w:rsidRPr="00904330">
              <w:rPr>
                <w:rFonts w:eastAsia="Calibri"/>
                <w:sz w:val="22"/>
                <w:szCs w:val="22"/>
              </w:rPr>
              <w:t>Type of Response</w:t>
            </w:r>
          </w:p>
        </w:tc>
        <w:tc>
          <w:tcPr>
            <w:tcW w:w="1915" w:type="dxa"/>
            <w:shd w:val="clear" w:color="auto" w:fill="auto"/>
          </w:tcPr>
          <w:p w:rsidR="00904330" w:rsidRPr="00904330" w:rsidRDefault="00904330" w:rsidP="00904330">
            <w:pPr>
              <w:widowControl/>
              <w:autoSpaceDE/>
              <w:autoSpaceDN/>
              <w:adjustRightInd/>
              <w:rPr>
                <w:rFonts w:eastAsia="Calibri"/>
                <w:sz w:val="22"/>
                <w:szCs w:val="22"/>
              </w:rPr>
            </w:pPr>
            <w:r w:rsidRPr="00904330">
              <w:rPr>
                <w:rFonts w:eastAsia="Calibri"/>
                <w:sz w:val="22"/>
                <w:szCs w:val="22"/>
              </w:rPr>
              <w:t>Response Time</w:t>
            </w:r>
          </w:p>
        </w:tc>
        <w:tc>
          <w:tcPr>
            <w:tcW w:w="1915" w:type="dxa"/>
            <w:shd w:val="clear" w:color="auto" w:fill="auto"/>
          </w:tcPr>
          <w:p w:rsidR="00904330" w:rsidRPr="00904330" w:rsidRDefault="00904330" w:rsidP="00904330">
            <w:pPr>
              <w:widowControl/>
              <w:autoSpaceDE/>
              <w:autoSpaceDN/>
              <w:adjustRightInd/>
              <w:rPr>
                <w:rFonts w:eastAsia="Calibri"/>
                <w:sz w:val="22"/>
                <w:szCs w:val="22"/>
              </w:rPr>
            </w:pPr>
            <w:r w:rsidRPr="00904330">
              <w:rPr>
                <w:rFonts w:eastAsia="Calibri"/>
                <w:sz w:val="22"/>
                <w:szCs w:val="22"/>
              </w:rPr>
              <w:t>No. of Respondents</w:t>
            </w:r>
          </w:p>
        </w:tc>
        <w:tc>
          <w:tcPr>
            <w:tcW w:w="1915" w:type="dxa"/>
            <w:shd w:val="clear" w:color="auto" w:fill="auto"/>
          </w:tcPr>
          <w:p w:rsidR="00904330" w:rsidRPr="00904330" w:rsidRDefault="00904330" w:rsidP="00904330">
            <w:pPr>
              <w:widowControl/>
              <w:autoSpaceDE/>
              <w:autoSpaceDN/>
              <w:adjustRightInd/>
              <w:rPr>
                <w:rFonts w:eastAsia="Calibri"/>
                <w:sz w:val="22"/>
                <w:szCs w:val="22"/>
              </w:rPr>
            </w:pPr>
            <w:r w:rsidRPr="00904330">
              <w:rPr>
                <w:rFonts w:eastAsia="Calibri"/>
                <w:sz w:val="22"/>
                <w:szCs w:val="22"/>
              </w:rPr>
              <w:t xml:space="preserve">No. of Responses </w:t>
            </w:r>
          </w:p>
        </w:tc>
        <w:tc>
          <w:tcPr>
            <w:tcW w:w="1916" w:type="dxa"/>
            <w:shd w:val="clear" w:color="auto" w:fill="auto"/>
          </w:tcPr>
          <w:p w:rsidR="00904330" w:rsidRPr="00904330" w:rsidRDefault="00904330" w:rsidP="00904330">
            <w:pPr>
              <w:widowControl/>
              <w:autoSpaceDE/>
              <w:autoSpaceDN/>
              <w:adjustRightInd/>
              <w:rPr>
                <w:rFonts w:eastAsia="Calibri"/>
                <w:sz w:val="22"/>
                <w:szCs w:val="22"/>
              </w:rPr>
            </w:pPr>
            <w:r w:rsidRPr="00904330">
              <w:rPr>
                <w:rFonts w:eastAsia="Calibri"/>
                <w:sz w:val="22"/>
                <w:szCs w:val="22"/>
              </w:rPr>
              <w:t>Total Hours</w:t>
            </w:r>
          </w:p>
        </w:tc>
      </w:tr>
      <w:tr w:rsidR="00904330" w:rsidRPr="00904330" w:rsidTr="00761A92">
        <w:tc>
          <w:tcPr>
            <w:tcW w:w="1915" w:type="dxa"/>
            <w:shd w:val="clear" w:color="auto" w:fill="auto"/>
          </w:tcPr>
          <w:p w:rsidR="00904330" w:rsidRPr="00904330" w:rsidRDefault="00904330" w:rsidP="00904330">
            <w:pPr>
              <w:widowControl/>
              <w:autoSpaceDE/>
              <w:autoSpaceDN/>
              <w:adjustRightInd/>
              <w:rPr>
                <w:rFonts w:eastAsia="Calibri"/>
                <w:sz w:val="22"/>
                <w:szCs w:val="22"/>
              </w:rPr>
            </w:pPr>
            <w:r w:rsidRPr="00904330">
              <w:rPr>
                <w:rFonts w:eastAsia="Calibri"/>
                <w:sz w:val="22"/>
                <w:szCs w:val="22"/>
              </w:rPr>
              <w:t>Review and processing of initial self-certification or recertification applications (electronically via DOC’s Privacy Shield website)</w:t>
            </w:r>
          </w:p>
        </w:tc>
        <w:tc>
          <w:tcPr>
            <w:tcW w:w="1915" w:type="dxa"/>
            <w:shd w:val="clear" w:color="auto" w:fill="auto"/>
          </w:tcPr>
          <w:p w:rsidR="00761A92" w:rsidRDefault="00761A92" w:rsidP="00904330">
            <w:pPr>
              <w:widowControl/>
              <w:autoSpaceDE/>
              <w:autoSpaceDN/>
              <w:adjustRightInd/>
              <w:rPr>
                <w:rFonts w:eastAsia="Calibri"/>
                <w:sz w:val="22"/>
                <w:szCs w:val="22"/>
              </w:rPr>
            </w:pPr>
            <w:r>
              <w:rPr>
                <w:rFonts w:eastAsia="Calibri"/>
                <w:sz w:val="22"/>
                <w:szCs w:val="22"/>
              </w:rPr>
              <w:t xml:space="preserve">0.5 hours </w:t>
            </w:r>
          </w:p>
          <w:p w:rsidR="00904330" w:rsidRPr="00904330" w:rsidRDefault="00761A92" w:rsidP="00904330">
            <w:pPr>
              <w:widowControl/>
              <w:autoSpaceDE/>
              <w:autoSpaceDN/>
              <w:adjustRightInd/>
              <w:rPr>
                <w:rFonts w:eastAsia="Calibri"/>
                <w:sz w:val="22"/>
                <w:szCs w:val="22"/>
              </w:rPr>
            </w:pPr>
            <w:r>
              <w:rPr>
                <w:rFonts w:eastAsia="Calibri"/>
                <w:sz w:val="22"/>
                <w:szCs w:val="22"/>
              </w:rPr>
              <w:t xml:space="preserve">(i.e., </w:t>
            </w:r>
            <w:r w:rsidR="00904330" w:rsidRPr="00904330">
              <w:rPr>
                <w:rFonts w:eastAsia="Calibri"/>
                <w:sz w:val="22"/>
                <w:szCs w:val="22"/>
              </w:rPr>
              <w:t>30 minutes</w:t>
            </w:r>
            <w:r>
              <w:rPr>
                <w:rFonts w:eastAsia="Calibri"/>
                <w:sz w:val="22"/>
                <w:szCs w:val="22"/>
              </w:rPr>
              <w:t>)</w:t>
            </w:r>
          </w:p>
        </w:tc>
        <w:tc>
          <w:tcPr>
            <w:tcW w:w="1915" w:type="dxa"/>
            <w:shd w:val="clear" w:color="auto" w:fill="auto"/>
          </w:tcPr>
          <w:p w:rsidR="00904330" w:rsidRPr="00904330" w:rsidRDefault="00904330" w:rsidP="00904330">
            <w:pPr>
              <w:widowControl/>
              <w:autoSpaceDE/>
              <w:autoSpaceDN/>
              <w:adjustRightInd/>
              <w:rPr>
                <w:rFonts w:eastAsia="Calibri"/>
                <w:sz w:val="22"/>
                <w:szCs w:val="22"/>
              </w:rPr>
            </w:pPr>
            <w:r>
              <w:rPr>
                <w:rFonts w:eastAsia="Calibri"/>
                <w:sz w:val="22"/>
                <w:szCs w:val="22"/>
              </w:rPr>
              <w:t>3,</w:t>
            </w:r>
            <w:r w:rsidR="002425F3">
              <w:rPr>
                <w:rFonts w:eastAsia="Calibri"/>
                <w:sz w:val="22"/>
                <w:szCs w:val="22"/>
              </w:rPr>
              <w:t>600</w:t>
            </w:r>
          </w:p>
        </w:tc>
        <w:tc>
          <w:tcPr>
            <w:tcW w:w="1915" w:type="dxa"/>
            <w:shd w:val="clear" w:color="auto" w:fill="auto"/>
          </w:tcPr>
          <w:p w:rsidR="00904330" w:rsidRPr="00904330" w:rsidRDefault="00904330" w:rsidP="00904330">
            <w:pPr>
              <w:widowControl/>
              <w:autoSpaceDE/>
              <w:autoSpaceDN/>
              <w:adjustRightInd/>
              <w:rPr>
                <w:rFonts w:eastAsia="Calibri"/>
                <w:sz w:val="22"/>
                <w:szCs w:val="22"/>
              </w:rPr>
            </w:pPr>
            <w:r>
              <w:rPr>
                <w:rFonts w:eastAsia="Calibri"/>
                <w:sz w:val="22"/>
                <w:szCs w:val="22"/>
              </w:rPr>
              <w:t>3,</w:t>
            </w:r>
            <w:r w:rsidR="002425F3">
              <w:rPr>
                <w:rFonts w:eastAsia="Calibri"/>
                <w:sz w:val="22"/>
                <w:szCs w:val="22"/>
              </w:rPr>
              <w:t>600</w:t>
            </w:r>
          </w:p>
        </w:tc>
        <w:tc>
          <w:tcPr>
            <w:tcW w:w="1916" w:type="dxa"/>
            <w:shd w:val="clear" w:color="auto" w:fill="auto"/>
          </w:tcPr>
          <w:p w:rsidR="00904330" w:rsidRPr="00904330" w:rsidRDefault="00761A92" w:rsidP="002425F3">
            <w:pPr>
              <w:widowControl/>
              <w:autoSpaceDE/>
              <w:autoSpaceDN/>
              <w:adjustRightInd/>
              <w:rPr>
                <w:rFonts w:eastAsia="Calibri"/>
                <w:sz w:val="22"/>
                <w:szCs w:val="22"/>
              </w:rPr>
            </w:pPr>
            <w:r>
              <w:rPr>
                <w:rFonts w:eastAsia="Calibri"/>
                <w:sz w:val="22"/>
                <w:szCs w:val="22"/>
              </w:rPr>
              <w:t>1,</w:t>
            </w:r>
            <w:r w:rsidR="002425F3">
              <w:rPr>
                <w:rFonts w:eastAsia="Calibri"/>
                <w:sz w:val="22"/>
                <w:szCs w:val="22"/>
              </w:rPr>
              <w:t>800</w:t>
            </w:r>
          </w:p>
        </w:tc>
      </w:tr>
    </w:tbl>
    <w:p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Cost to Federal government per response: Response Time (30 minutes) x Average Salary ($36.00/hour) = $18.00</w:t>
      </w:r>
    </w:p>
    <w:p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rsidR="00904330" w:rsidRPr="00E61F47" w:rsidRDefault="00904330" w:rsidP="00E61F4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sidR="00761A92">
        <w:rPr>
          <w:sz w:val="24"/>
          <w:szCs w:val="24"/>
        </w:rPr>
        <w:t>: Total Hours (1</w:t>
      </w:r>
      <w:r w:rsidRPr="00904330">
        <w:rPr>
          <w:sz w:val="24"/>
          <w:szCs w:val="24"/>
        </w:rPr>
        <w:t>,</w:t>
      </w:r>
      <w:r w:rsidR="002425F3">
        <w:rPr>
          <w:sz w:val="24"/>
          <w:szCs w:val="24"/>
        </w:rPr>
        <w:t>800</w:t>
      </w:r>
      <w:r w:rsidRPr="00904330">
        <w:rPr>
          <w:sz w:val="24"/>
          <w:szCs w:val="24"/>
        </w:rPr>
        <w:t xml:space="preserve"> hours) x Av</w:t>
      </w:r>
      <w:r w:rsidR="00E61F47">
        <w:rPr>
          <w:sz w:val="24"/>
          <w:szCs w:val="24"/>
        </w:rPr>
        <w:t>erage Salary ($36.00/hour) = $6</w:t>
      </w:r>
      <w:r w:rsidR="002425F3">
        <w:rPr>
          <w:sz w:val="24"/>
          <w:szCs w:val="24"/>
        </w:rPr>
        <w:t>4,800</w:t>
      </w:r>
    </w:p>
    <w:p w:rsidR="00904330" w:rsidRDefault="00904330" w:rsidP="00F80976">
      <w:pPr>
        <w:pStyle w:val="BodyText"/>
        <w:spacing w:before="69"/>
        <w:ind w:left="0"/>
      </w:pPr>
    </w:p>
    <w:p w:rsidR="00F80976" w:rsidRDefault="00F80976" w:rsidP="00F80976">
      <w:pPr>
        <w:rPr>
          <w:sz w:val="24"/>
          <w:szCs w:val="24"/>
        </w:rPr>
      </w:pPr>
    </w:p>
    <w:p w:rsidR="00F80976" w:rsidRDefault="00F80976" w:rsidP="00F80976">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rsidR="00F80976" w:rsidRDefault="00F80976" w:rsidP="00F80976">
      <w:pPr>
        <w:rPr>
          <w:sz w:val="24"/>
          <w:szCs w:val="24"/>
        </w:rPr>
      </w:pPr>
    </w:p>
    <w:p w:rsidR="00F80976" w:rsidRPr="00326A10" w:rsidRDefault="00F80976" w:rsidP="00F80976">
      <w:pPr>
        <w:rPr>
          <w:sz w:val="24"/>
          <w:szCs w:val="24"/>
        </w:rPr>
      </w:pPr>
      <w:r>
        <w:rPr>
          <w:spacing w:val="-1"/>
          <w:sz w:val="24"/>
          <w:szCs w:val="24"/>
        </w:rPr>
        <w:t>This is a new information collection.</w:t>
      </w:r>
      <w:r w:rsidR="00E337BE">
        <w:rPr>
          <w:spacing w:val="-1"/>
          <w:sz w:val="24"/>
          <w:szCs w:val="24"/>
        </w:rPr>
        <w:t xml:space="preserve">  This will replace the similar information collection for the U.S.-EU Safe Harbor program.</w:t>
      </w:r>
    </w:p>
    <w:p w:rsidR="00F80976" w:rsidRDefault="00F80976" w:rsidP="00F80976">
      <w:pPr>
        <w:rPr>
          <w:sz w:val="24"/>
          <w:szCs w:val="24"/>
        </w:rPr>
      </w:pPr>
    </w:p>
    <w:p w:rsidR="000A62FE" w:rsidRDefault="000A62FE" w:rsidP="00F80976">
      <w:pPr>
        <w:rPr>
          <w:sz w:val="24"/>
          <w:szCs w:val="24"/>
        </w:rPr>
      </w:pPr>
    </w:p>
    <w:p w:rsidR="00F80976" w:rsidRDefault="00F80976" w:rsidP="00F80976">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F80976" w:rsidRDefault="00F80976" w:rsidP="00F80976">
      <w:pPr>
        <w:rPr>
          <w:sz w:val="24"/>
          <w:szCs w:val="24"/>
        </w:rPr>
      </w:pPr>
    </w:p>
    <w:p w:rsidR="009D5946" w:rsidRPr="009D5946" w:rsidRDefault="009D5946" w:rsidP="009D5946">
      <w:pPr>
        <w:rPr>
          <w:spacing w:val="-1"/>
          <w:sz w:val="24"/>
          <w:szCs w:val="24"/>
        </w:rPr>
      </w:pPr>
      <w:r w:rsidRPr="009D5946">
        <w:rPr>
          <w:spacing w:val="-1"/>
          <w:sz w:val="24"/>
          <w:szCs w:val="24"/>
        </w:rPr>
        <w:t>Much of the information collected from respondents will ultimately be made public in relevant records that appear on the</w:t>
      </w:r>
      <w:r>
        <w:rPr>
          <w:spacing w:val="-1"/>
          <w:sz w:val="24"/>
          <w:szCs w:val="24"/>
        </w:rPr>
        <w:t xml:space="preserve"> public Privacy Shield List</w:t>
      </w:r>
      <w:r w:rsidRPr="009D5946">
        <w:rPr>
          <w:spacing w:val="-1"/>
          <w:sz w:val="24"/>
          <w:szCs w:val="24"/>
        </w:rPr>
        <w:t xml:space="preserve">, which the DOC maintains (i.e., for the reasons discussed elsewhere in this supporting statement) on its </w:t>
      </w:r>
      <w:r>
        <w:rPr>
          <w:spacing w:val="-1"/>
          <w:sz w:val="24"/>
          <w:szCs w:val="24"/>
        </w:rPr>
        <w:t>Privacy Shield</w:t>
      </w:r>
      <w:r w:rsidRPr="009D5946">
        <w:rPr>
          <w:spacing w:val="-1"/>
          <w:sz w:val="24"/>
          <w:szCs w:val="24"/>
        </w:rPr>
        <w:t xml:space="preserve"> website.</w:t>
      </w:r>
    </w:p>
    <w:p w:rsidR="00F80976" w:rsidRDefault="00F80976" w:rsidP="00F80976">
      <w:pPr>
        <w:rPr>
          <w:sz w:val="24"/>
          <w:szCs w:val="24"/>
        </w:rPr>
      </w:pPr>
    </w:p>
    <w:p w:rsidR="000A62FE" w:rsidRDefault="000A62FE" w:rsidP="00F80976">
      <w:pPr>
        <w:rPr>
          <w:sz w:val="24"/>
          <w:szCs w:val="24"/>
        </w:rPr>
      </w:pPr>
    </w:p>
    <w:p w:rsidR="00F80976" w:rsidRDefault="00F80976" w:rsidP="00F80976">
      <w:pPr>
        <w:rPr>
          <w:sz w:val="24"/>
          <w:szCs w:val="24"/>
        </w:rPr>
      </w:pPr>
      <w:r>
        <w:rPr>
          <w:b/>
          <w:bCs/>
          <w:sz w:val="24"/>
          <w:szCs w:val="24"/>
        </w:rPr>
        <w:t xml:space="preserve">17.  </w:t>
      </w:r>
      <w:r>
        <w:rPr>
          <w:b/>
          <w:bCs/>
          <w:sz w:val="24"/>
          <w:szCs w:val="24"/>
          <w:u w:val="single"/>
        </w:rPr>
        <w:t xml:space="preserve">If seeking approval to not display the expiration date for OMB approval of the </w:t>
      </w:r>
      <w:r>
        <w:rPr>
          <w:b/>
          <w:bCs/>
          <w:sz w:val="24"/>
          <w:szCs w:val="24"/>
          <w:u w:val="single"/>
        </w:rPr>
        <w:lastRenderedPageBreak/>
        <w:t>information collection, explain the reasons why display would be inappropriate</w:t>
      </w:r>
      <w:r>
        <w:rPr>
          <w:b/>
          <w:bCs/>
          <w:sz w:val="24"/>
          <w:szCs w:val="24"/>
        </w:rPr>
        <w:t>.</w:t>
      </w:r>
    </w:p>
    <w:p w:rsidR="00F80976" w:rsidRDefault="00F80976" w:rsidP="00F80976">
      <w:pPr>
        <w:rPr>
          <w:sz w:val="24"/>
          <w:szCs w:val="24"/>
        </w:rPr>
      </w:pPr>
    </w:p>
    <w:p w:rsidR="00F80976" w:rsidRDefault="00F80976" w:rsidP="00F80976">
      <w:pPr>
        <w:pStyle w:val="BodyText"/>
        <w:spacing w:before="69"/>
        <w:ind w:left="0"/>
      </w:pPr>
      <w:r>
        <w:rPr>
          <w:spacing w:val="-1"/>
        </w:rPr>
        <w:t>Not</w:t>
      </w:r>
      <w:r>
        <w:t xml:space="preserve"> </w:t>
      </w:r>
      <w:r>
        <w:rPr>
          <w:spacing w:val="-1"/>
        </w:rPr>
        <w:t>Applicable.</w:t>
      </w:r>
    </w:p>
    <w:p w:rsidR="00F80976" w:rsidRDefault="00F80976" w:rsidP="00F80976">
      <w:pPr>
        <w:rPr>
          <w:sz w:val="24"/>
          <w:szCs w:val="24"/>
        </w:rPr>
      </w:pPr>
    </w:p>
    <w:p w:rsidR="000A62FE" w:rsidRDefault="000A62FE" w:rsidP="00F80976">
      <w:pPr>
        <w:rPr>
          <w:sz w:val="24"/>
          <w:szCs w:val="24"/>
        </w:rPr>
      </w:pPr>
    </w:p>
    <w:p w:rsidR="00F80976" w:rsidRPr="00A52249" w:rsidRDefault="00F80976" w:rsidP="00F80976">
      <w:pPr>
        <w:rPr>
          <w:b/>
          <w:bCs/>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rsidR="00F80976" w:rsidRDefault="00F80976" w:rsidP="00F80976">
      <w:pPr>
        <w:rPr>
          <w:sz w:val="24"/>
          <w:szCs w:val="24"/>
        </w:rPr>
      </w:pPr>
    </w:p>
    <w:p w:rsidR="00F80976" w:rsidRPr="006F5D6C" w:rsidRDefault="00F80976" w:rsidP="00F80976">
      <w:pPr>
        <w:pStyle w:val="BodyText"/>
        <w:spacing w:before="69"/>
        <w:ind w:left="0"/>
        <w:rPr>
          <w:spacing w:val="-1"/>
        </w:rPr>
      </w:pPr>
      <w:r>
        <w:rPr>
          <w:spacing w:val="-1"/>
        </w:rPr>
        <w:t>Not</w:t>
      </w:r>
      <w:r>
        <w:t xml:space="preserve"> </w:t>
      </w:r>
      <w:r>
        <w:rPr>
          <w:spacing w:val="-1"/>
        </w:rPr>
        <w:t>Applicable.</w:t>
      </w:r>
    </w:p>
    <w:p w:rsidR="00F80976" w:rsidRDefault="00F80976" w:rsidP="00F80976">
      <w:pPr>
        <w:rPr>
          <w:sz w:val="24"/>
          <w:szCs w:val="24"/>
        </w:rPr>
      </w:pPr>
    </w:p>
    <w:p w:rsidR="00F80976" w:rsidRDefault="00F80976" w:rsidP="00F80976">
      <w:pPr>
        <w:rPr>
          <w:sz w:val="24"/>
          <w:szCs w:val="24"/>
        </w:rPr>
      </w:pPr>
    </w:p>
    <w:p w:rsidR="00F80976" w:rsidRDefault="00F80976" w:rsidP="00F80976">
      <w:pPr>
        <w:rPr>
          <w:sz w:val="24"/>
          <w:szCs w:val="24"/>
        </w:rPr>
      </w:pPr>
      <w:r>
        <w:rPr>
          <w:b/>
          <w:bCs/>
          <w:sz w:val="24"/>
          <w:szCs w:val="24"/>
        </w:rPr>
        <w:t>B.  COLLECTIONS OF INFORMATION EMPLOYING STATISTICAL METHODS</w:t>
      </w:r>
    </w:p>
    <w:p w:rsidR="00F80976" w:rsidRDefault="00F80976" w:rsidP="00F80976">
      <w:pPr>
        <w:rPr>
          <w:sz w:val="24"/>
          <w:szCs w:val="24"/>
        </w:rPr>
      </w:pPr>
    </w:p>
    <w:p w:rsidR="00F80976" w:rsidRDefault="00F80976" w:rsidP="00F80976">
      <w:pPr>
        <w:pStyle w:val="BodyText"/>
        <w:ind w:left="0"/>
      </w:pPr>
      <w:r>
        <w:rPr>
          <w:spacing w:val="-1"/>
        </w:rPr>
        <w:t>This</w:t>
      </w:r>
      <w:r>
        <w:t xml:space="preserve"> </w:t>
      </w:r>
      <w:r>
        <w:rPr>
          <w:spacing w:val="-1"/>
        </w:rPr>
        <w:t>collection</w:t>
      </w:r>
      <w:r>
        <w:t xml:space="preserve"> </w:t>
      </w:r>
      <w:r>
        <w:rPr>
          <w:spacing w:val="-1"/>
        </w:rPr>
        <w:t>does</w:t>
      </w:r>
      <w:r>
        <w:t xml:space="preserve"> not employ</w:t>
      </w:r>
      <w:r>
        <w:rPr>
          <w:spacing w:val="-5"/>
        </w:rPr>
        <w:t xml:space="preserve"> </w:t>
      </w:r>
      <w:r>
        <w:rPr>
          <w:spacing w:val="-1"/>
        </w:rPr>
        <w:t>statistical</w:t>
      </w:r>
      <w:r>
        <w:t xml:space="preserve"> methods.</w:t>
      </w:r>
    </w:p>
    <w:p w:rsidR="00C1487C" w:rsidRDefault="00C1487C"/>
    <w:sectPr w:rsidR="00C1487C">
      <w:footnotePr>
        <w:numRestart w:val="eachSect"/>
      </w:footnotePr>
      <w:endnotePr>
        <w:numFmt w:val="decimal"/>
      </w:endnotePr>
      <w:type w:val="continuous"/>
      <w:pgSz w:w="12240" w:h="15840"/>
      <w:pgMar w:top="1440" w:right="1440" w:bottom="108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317058" w:rsidRDefault="00317058">
      <w:pPr>
        <w:pStyle w:val="CommentText"/>
      </w:pPr>
      <w:r>
        <w:rPr>
          <w:rStyle w:val="CommentReference"/>
        </w:rPr>
        <w:annotationRef/>
      </w:r>
      <w:r w:rsidR="00940BEA">
        <w:t>L</w:t>
      </w:r>
      <w:r w:rsidR="003D4D04">
        <w:t xml:space="preserve">aunch </w:t>
      </w:r>
      <w:r w:rsidR="00940BEA">
        <w:t>on</w:t>
      </w:r>
      <w:r w:rsidR="003D4D04">
        <w:t xml:space="preserve"> 8/1/2016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D2" w:rsidRDefault="00B009D2">
      <w:r>
        <w:separator/>
      </w:r>
    </w:p>
  </w:endnote>
  <w:endnote w:type="continuationSeparator" w:id="0">
    <w:p w:rsidR="00B009D2" w:rsidRDefault="00B0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0" w:rsidRDefault="00454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92" w:rsidRDefault="00761A9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F214E">
      <w:rPr>
        <w:rStyle w:val="PageNumber"/>
        <w:noProof/>
        <w:sz w:val="24"/>
        <w:szCs w:val="24"/>
      </w:rPr>
      <w:t>1</w:t>
    </w:r>
    <w:r>
      <w:rPr>
        <w:rStyle w:val="PageNumber"/>
        <w:sz w:val="24"/>
        <w:szCs w:val="24"/>
      </w:rPr>
      <w:fldChar w:fldCharType="end"/>
    </w:r>
  </w:p>
  <w:p w:rsidR="00761A92" w:rsidRDefault="00761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0" w:rsidRDefault="00454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D2" w:rsidRDefault="00B009D2">
      <w:r>
        <w:separator/>
      </w:r>
    </w:p>
  </w:footnote>
  <w:footnote w:type="continuationSeparator" w:id="0">
    <w:p w:rsidR="00B009D2" w:rsidRDefault="00B00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0" w:rsidRDefault="00454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0" w:rsidRDefault="00454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0" w:rsidRDefault="00454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A"/>
    <w:rsid w:val="00013AAC"/>
    <w:rsid w:val="00035CF4"/>
    <w:rsid w:val="000410E3"/>
    <w:rsid w:val="0005591B"/>
    <w:rsid w:val="00057627"/>
    <w:rsid w:val="000A62FE"/>
    <w:rsid w:val="00104BD7"/>
    <w:rsid w:val="00127F70"/>
    <w:rsid w:val="00131321"/>
    <w:rsid w:val="001467BC"/>
    <w:rsid w:val="001C78AC"/>
    <w:rsid w:val="001D7CB5"/>
    <w:rsid w:val="00211A11"/>
    <w:rsid w:val="00214BDC"/>
    <w:rsid w:val="00241AC1"/>
    <w:rsid w:val="002425F3"/>
    <w:rsid w:val="00247E9C"/>
    <w:rsid w:val="00276B47"/>
    <w:rsid w:val="002A3B78"/>
    <w:rsid w:val="002A6F35"/>
    <w:rsid w:val="00315342"/>
    <w:rsid w:val="00317058"/>
    <w:rsid w:val="00317C80"/>
    <w:rsid w:val="00321003"/>
    <w:rsid w:val="00340E21"/>
    <w:rsid w:val="00360C2A"/>
    <w:rsid w:val="003B5BAE"/>
    <w:rsid w:val="003D03D3"/>
    <w:rsid w:val="003D4D04"/>
    <w:rsid w:val="003F467C"/>
    <w:rsid w:val="00400EDA"/>
    <w:rsid w:val="004460A9"/>
    <w:rsid w:val="00446702"/>
    <w:rsid w:val="00454B90"/>
    <w:rsid w:val="00462C7B"/>
    <w:rsid w:val="00476BE7"/>
    <w:rsid w:val="00496C7F"/>
    <w:rsid w:val="004E3CA0"/>
    <w:rsid w:val="004E4FE4"/>
    <w:rsid w:val="004F725C"/>
    <w:rsid w:val="00502DF4"/>
    <w:rsid w:val="00554018"/>
    <w:rsid w:val="00563C7F"/>
    <w:rsid w:val="00594D68"/>
    <w:rsid w:val="005C5336"/>
    <w:rsid w:val="00605CFB"/>
    <w:rsid w:val="006A003C"/>
    <w:rsid w:val="006C7ADE"/>
    <w:rsid w:val="006E0198"/>
    <w:rsid w:val="00734B88"/>
    <w:rsid w:val="00761A92"/>
    <w:rsid w:val="00783268"/>
    <w:rsid w:val="00785741"/>
    <w:rsid w:val="007A4365"/>
    <w:rsid w:val="007B0C6A"/>
    <w:rsid w:val="007C00F8"/>
    <w:rsid w:val="007E0B83"/>
    <w:rsid w:val="007F2FAC"/>
    <w:rsid w:val="00887305"/>
    <w:rsid w:val="008A6F1F"/>
    <w:rsid w:val="00904330"/>
    <w:rsid w:val="00925FA6"/>
    <w:rsid w:val="00940BEA"/>
    <w:rsid w:val="0095344D"/>
    <w:rsid w:val="00974AD2"/>
    <w:rsid w:val="009C27E5"/>
    <w:rsid w:val="009C525E"/>
    <w:rsid w:val="009D5946"/>
    <w:rsid w:val="009E2769"/>
    <w:rsid w:val="009F4CBF"/>
    <w:rsid w:val="009F732D"/>
    <w:rsid w:val="00A37851"/>
    <w:rsid w:val="00A6068C"/>
    <w:rsid w:val="00A7722C"/>
    <w:rsid w:val="00A77DD1"/>
    <w:rsid w:val="00A85694"/>
    <w:rsid w:val="00A87513"/>
    <w:rsid w:val="00AC7E8D"/>
    <w:rsid w:val="00AD1405"/>
    <w:rsid w:val="00B009D2"/>
    <w:rsid w:val="00B31EF7"/>
    <w:rsid w:val="00B512DB"/>
    <w:rsid w:val="00B8341E"/>
    <w:rsid w:val="00B94278"/>
    <w:rsid w:val="00B95004"/>
    <w:rsid w:val="00BC3D0F"/>
    <w:rsid w:val="00BE18FE"/>
    <w:rsid w:val="00BF6D85"/>
    <w:rsid w:val="00C1487C"/>
    <w:rsid w:val="00C16ED5"/>
    <w:rsid w:val="00C40D56"/>
    <w:rsid w:val="00C50363"/>
    <w:rsid w:val="00C56396"/>
    <w:rsid w:val="00C70518"/>
    <w:rsid w:val="00C85397"/>
    <w:rsid w:val="00CA221A"/>
    <w:rsid w:val="00CB380A"/>
    <w:rsid w:val="00CB68EE"/>
    <w:rsid w:val="00CE36AF"/>
    <w:rsid w:val="00CE5FFA"/>
    <w:rsid w:val="00D37816"/>
    <w:rsid w:val="00D5672D"/>
    <w:rsid w:val="00D72864"/>
    <w:rsid w:val="00D81263"/>
    <w:rsid w:val="00D83AD4"/>
    <w:rsid w:val="00DB4F17"/>
    <w:rsid w:val="00DC3CF0"/>
    <w:rsid w:val="00DF214E"/>
    <w:rsid w:val="00E02D8E"/>
    <w:rsid w:val="00E256DA"/>
    <w:rsid w:val="00E337BE"/>
    <w:rsid w:val="00E61F47"/>
    <w:rsid w:val="00EA3A47"/>
    <w:rsid w:val="00EE373C"/>
    <w:rsid w:val="00F13705"/>
    <w:rsid w:val="00F30141"/>
    <w:rsid w:val="00F425E6"/>
    <w:rsid w:val="00F80976"/>
    <w:rsid w:val="00FA2359"/>
    <w:rsid w:val="00FA64E4"/>
    <w:rsid w:val="00FD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3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3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1BA5-2554-479B-BFB6-EDE69952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2016-07-21T16:20:00Z</dcterms:created>
  <dcterms:modified xsi:type="dcterms:W3CDTF">2016-07-21T16:20:00Z</dcterms:modified>
</cp:coreProperties>
</file>