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4D7F2" w14:textId="77777777" w:rsidR="004C5796" w:rsidRPr="00ED22BC" w:rsidRDefault="004C5796">
      <w:pPr>
        <w:rPr>
          <w:rFonts w:ascii="Arial" w:hAnsi="Arial" w:cs="Arial"/>
          <w:color w:val="000000" w:themeColor="text1"/>
        </w:rPr>
      </w:pPr>
    </w:p>
    <w:p w14:paraId="4B3D28A5" w14:textId="77777777" w:rsidR="00404F0E" w:rsidRPr="00ED22BC" w:rsidRDefault="00404F0E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7"/>
        <w:gridCol w:w="9000"/>
      </w:tblGrid>
      <w:tr w:rsidR="004C5796" w:rsidRPr="00ED22BC" w14:paraId="71FDAACC" w14:textId="77777777" w:rsidTr="000B60CD">
        <w:tc>
          <w:tcPr>
            <w:tcW w:w="2537" w:type="dxa"/>
          </w:tcPr>
          <w:p w14:paraId="044D1198" w14:textId="77777777" w:rsidR="004C5796" w:rsidRPr="00ED22BC" w:rsidRDefault="000B60CD">
            <w:pPr>
              <w:rPr>
                <w:rFonts w:ascii="Arial" w:hAnsi="Arial" w:cs="Arial"/>
                <w:color w:val="000000" w:themeColor="text1"/>
              </w:rPr>
            </w:pPr>
            <w:r w:rsidRPr="00ED22BC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247FC491" wp14:editId="54A4B867">
                  <wp:extent cx="1656080" cy="1371600"/>
                  <wp:effectExtent l="0" t="0" r="0" b="0"/>
                  <wp:docPr id="2" name="Picture 2" descr="ColorSide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Side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8AAEB" w14:textId="77777777" w:rsidR="004C5796" w:rsidRPr="00ED22BC" w:rsidRDefault="004C57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0" w:type="dxa"/>
          </w:tcPr>
          <w:p w14:paraId="30B1C3C7" w14:textId="3B253A10" w:rsidR="004C5796" w:rsidRPr="00ED22BC" w:rsidRDefault="00B35055" w:rsidP="004C5796">
            <w:pPr>
              <w:rPr>
                <w:rFonts w:ascii="Arial" w:hAnsi="Arial" w:cs="Arial"/>
                <w:color w:val="000000" w:themeColor="text1"/>
              </w:rPr>
            </w:pPr>
            <w:r w:rsidRPr="00ED22BC">
              <w:rPr>
                <w:rFonts w:ascii="Arial" w:hAnsi="Arial" w:cs="Arial"/>
                <w:color w:val="000000" w:themeColor="text1"/>
              </w:rPr>
              <w:t>July 6, 2016</w:t>
            </w:r>
          </w:p>
          <w:p w14:paraId="2EB06AEE" w14:textId="77777777" w:rsidR="00404F0E" w:rsidRPr="00ED22BC" w:rsidRDefault="00404F0E" w:rsidP="004C5796">
            <w:pPr>
              <w:rPr>
                <w:rFonts w:ascii="Arial" w:hAnsi="Arial" w:cs="Arial"/>
                <w:noProof/>
                <w:color w:val="000000" w:themeColor="text1"/>
              </w:rPr>
            </w:pPr>
          </w:p>
          <w:p w14:paraId="41030ACC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TO: 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Office of Information and Regulatory Affairs</w:t>
            </w:r>
          </w:p>
          <w:p w14:paraId="2CC201E3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Office of Management and Budget</w:t>
            </w:r>
          </w:p>
          <w:p w14:paraId="29CF29C6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824F46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THRU: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Department of Health and Human Services</w:t>
            </w:r>
          </w:p>
          <w:p w14:paraId="2127E8B4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Office of the Chief Information Officer</w:t>
            </w:r>
          </w:p>
          <w:p w14:paraId="131704AE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Office of Resources Management</w:t>
            </w:r>
          </w:p>
          <w:p w14:paraId="751B3F08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4DFC1C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FROM: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Mikia Currie</w:t>
            </w:r>
          </w:p>
          <w:p w14:paraId="17CD8EB9" w14:textId="676E685E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="00B35055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Chief </w:t>
            </w:r>
          </w:p>
          <w:p w14:paraId="43E90CCC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Project Clearance Branch</w:t>
            </w:r>
          </w:p>
          <w:p w14:paraId="5E9CD3C9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75B284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SUBJECT: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 xml:space="preserve">Non-Substantive Change Request for 0925-0299 </w:t>
            </w:r>
          </w:p>
          <w:p w14:paraId="5B4E4C64" w14:textId="77777777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Title: NIH Office of Intramural Training &amp; Education Application</w:t>
            </w:r>
          </w:p>
          <w:p w14:paraId="65D57B62" w14:textId="557F1E8A" w:rsidR="00404F0E" w:rsidRPr="00ED22BC" w:rsidRDefault="00404F0E" w:rsidP="00404F0E">
            <w:pPr>
              <w:tabs>
                <w:tab w:val="left" w:pos="1170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 xml:space="preserve">Expiration Date: </w:t>
            </w:r>
            <w:r w:rsidR="0082757F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June 30, 2019</w:t>
            </w:r>
          </w:p>
          <w:p w14:paraId="49EB3D63" w14:textId="77777777" w:rsidR="004C5796" w:rsidRPr="00ED22BC" w:rsidRDefault="004C5796" w:rsidP="004C5796">
            <w:pPr>
              <w:rPr>
                <w:rFonts w:ascii="Arial" w:hAnsi="Arial" w:cs="Arial"/>
                <w:noProof/>
                <w:color w:val="000000" w:themeColor="text1"/>
              </w:rPr>
            </w:pPr>
          </w:p>
          <w:p w14:paraId="609ED02F" w14:textId="77777777" w:rsidR="004C5796" w:rsidRPr="00ED22BC" w:rsidRDefault="004C5796" w:rsidP="004C5796">
            <w:pPr>
              <w:rPr>
                <w:rFonts w:ascii="Arial" w:hAnsi="Arial" w:cs="Arial"/>
                <w:color w:val="000000" w:themeColor="text1"/>
              </w:rPr>
            </w:pPr>
          </w:p>
          <w:p w14:paraId="47A59761" w14:textId="4B9272B0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NIH Office of Intramural Training &amp; Education (OITE) wishes to submit a non-substantive change request to our current OMB Clearance 0925-0299, expiration date </w:t>
            </w:r>
            <w:r w:rsidR="0082757F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June 30, 2019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.  This submission was recently approved for use by the OITE for the various training programs and opportunities</w:t>
            </w:r>
            <w:r w:rsidR="009B7B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offered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prospective intramural trainees</w:t>
            </w:r>
            <w:r w:rsidR="0082757F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hyperlink r:id="rId8" w:history="1">
              <w:r w:rsidR="0082757F" w:rsidRPr="00ED22BC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http://www.reginfo.gov/public/do/PRAViewICR?ref_nbr=201605-0925-001</w:t>
              </w:r>
            </w:hyperlink>
            <w:r w:rsidR="0082757F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36AD4B31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8DB97F" w14:textId="16918E7B" w:rsidR="0082757F" w:rsidRPr="00ED22BC" w:rsidRDefault="0082757F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Recently, the NIH Office of Intramural Training &amp; Education modified the eligibility requirements for the </w:t>
            </w:r>
            <w:proofErr w:type="spellStart"/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Postbaccalaureate</w:t>
            </w:r>
            <w:proofErr w:type="spellEnd"/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Training Program (PBT) to roll the Technical Training Program into the same research opportunity.  T</w:t>
            </w:r>
            <w:r w:rsidR="009B7BB8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reflect this change, the OITE wishes to modify the current PBT application form in the following manner:</w:t>
            </w:r>
          </w:p>
          <w:p w14:paraId="7B8A2D8E" w14:textId="77777777" w:rsidR="0082757F" w:rsidRPr="00ED22BC" w:rsidRDefault="0082757F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C01B16" w14:textId="174FD719" w:rsidR="0082757F" w:rsidRPr="00ED22BC" w:rsidRDefault="0082757F" w:rsidP="008275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Remove the question “Bachelor’s Degree is from an Accredited US Institution”</w:t>
            </w:r>
          </w:p>
          <w:p w14:paraId="6CFBA1DC" w14:textId="19068EA5" w:rsidR="0082757F" w:rsidRPr="00ED22BC" w:rsidRDefault="0082757F" w:rsidP="008275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Remove the question “Master’s Degree Earned”</w:t>
            </w:r>
          </w:p>
          <w:p w14:paraId="2B9B06DE" w14:textId="48FC9557" w:rsidR="0082757F" w:rsidRPr="00ED22BC" w:rsidRDefault="0082757F" w:rsidP="008275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Remove the question “Master’s Degree is from an Accredited US Institution”</w:t>
            </w:r>
          </w:p>
          <w:p w14:paraId="0CD3E78C" w14:textId="043FBEEB" w:rsidR="00F94043" w:rsidRPr="00ED22BC" w:rsidRDefault="00F94043" w:rsidP="008275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Add the question “I have been accepted into graduate or professional (medical, dental, pharmacy, veterinary, </w:t>
            </w:r>
            <w:proofErr w:type="spellStart"/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etc</w:t>
            </w:r>
            <w:proofErr w:type="spellEnd"/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…) school and have written permission from my school to delay entrance for up to a year to pursue a biomedical research project at the NIH.”</w:t>
            </w:r>
          </w:p>
          <w:p w14:paraId="41BD7171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31429A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D4DA25" w14:textId="74A0779D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F94043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NIH/OITE estimates no change in the 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respondent burde</w:t>
            </w:r>
            <w:r w:rsidR="00F94043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n for the proposed modification because this modification represents the merging of two training opportunities.</w:t>
            </w:r>
          </w:p>
          <w:p w14:paraId="2D3858B5" w14:textId="77777777" w:rsidR="003A3104" w:rsidRPr="00ED22BC" w:rsidRDefault="003A3104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19B4C0" w14:textId="4005EFED" w:rsidR="00F94043" w:rsidRPr="00ED22BC" w:rsidRDefault="00F94043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Currently Approved Respondent Burden</w:t>
            </w:r>
          </w:p>
          <w:tbl>
            <w:tblPr>
              <w:tblW w:w="78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1530"/>
              <w:gridCol w:w="1440"/>
              <w:gridCol w:w="1034"/>
            </w:tblGrid>
            <w:tr w:rsidR="00F94043" w:rsidRPr="00ED22BC" w14:paraId="2F98951E" w14:textId="77777777" w:rsidTr="00F94043">
              <w:trPr>
                <w:jc w:val="center"/>
              </w:trPr>
              <w:tc>
                <w:tcPr>
                  <w:tcW w:w="3827" w:type="dxa"/>
                  <w:shd w:val="clear" w:color="auto" w:fill="auto"/>
                  <w:vAlign w:val="bottom"/>
                </w:tcPr>
                <w:p w14:paraId="18C1B33B" w14:textId="77777777" w:rsidR="00404F0E" w:rsidRPr="00ED22BC" w:rsidRDefault="00404F0E" w:rsidP="00F94043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Type of Respondents</w:t>
                  </w:r>
                </w:p>
              </w:tc>
              <w:tc>
                <w:tcPr>
                  <w:tcW w:w="1530" w:type="dxa"/>
                  <w:shd w:val="clear" w:color="auto" w:fill="auto"/>
                  <w:vAlign w:val="bottom"/>
                </w:tcPr>
                <w:p w14:paraId="5A05A697" w14:textId="77777777" w:rsidR="00404F0E" w:rsidRPr="00ED22BC" w:rsidRDefault="00404F0E" w:rsidP="00F94043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Number of Respondents</w:t>
                  </w:r>
                </w:p>
              </w:tc>
              <w:tc>
                <w:tcPr>
                  <w:tcW w:w="1440" w:type="dxa"/>
                  <w:shd w:val="clear" w:color="auto" w:fill="auto"/>
                  <w:vAlign w:val="bottom"/>
                </w:tcPr>
                <w:p w14:paraId="25D4C5A0" w14:textId="77777777" w:rsidR="00404F0E" w:rsidRPr="00ED22BC" w:rsidRDefault="00404F0E" w:rsidP="00F94043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Participation Time</w:t>
                  </w:r>
                </w:p>
              </w:tc>
              <w:tc>
                <w:tcPr>
                  <w:tcW w:w="1034" w:type="dxa"/>
                  <w:shd w:val="clear" w:color="auto" w:fill="auto"/>
                  <w:vAlign w:val="bottom"/>
                </w:tcPr>
                <w:p w14:paraId="6EAE4BA3" w14:textId="2EEDAF3D" w:rsidR="00404F0E" w:rsidRPr="00ED22BC" w:rsidRDefault="00404F0E" w:rsidP="00F94043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Burden</w:t>
                  </w:r>
                  <w:r w:rsidR="00F94043"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(hours)</w:t>
                  </w:r>
                </w:p>
              </w:tc>
            </w:tr>
            <w:tr w:rsidR="00F94043" w:rsidRPr="00ED22BC" w14:paraId="73D0E028" w14:textId="77777777" w:rsidTr="00F94043">
              <w:trPr>
                <w:jc w:val="center"/>
              </w:trPr>
              <w:tc>
                <w:tcPr>
                  <w:tcW w:w="3827" w:type="dxa"/>
                  <w:shd w:val="clear" w:color="auto" w:fill="auto"/>
                </w:tcPr>
                <w:p w14:paraId="0B9D5EC4" w14:textId="6C9257BF" w:rsidR="00404F0E" w:rsidRPr="00ED22BC" w:rsidRDefault="00F94043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Postbaccalaureate</w:t>
                  </w:r>
                  <w:proofErr w:type="spellEnd"/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Training Program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2F4947E4" w14:textId="112F5FC2" w:rsidR="00404F0E" w:rsidRPr="00ED22BC" w:rsidRDefault="00404F0E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="00F94043"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,050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957C2A2" w14:textId="03BFD806" w:rsidR="00404F0E" w:rsidRPr="00ED22BC" w:rsidRDefault="00F94043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60 / 60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14:paraId="26D27B4C" w14:textId="6F6878B8" w:rsidR="00404F0E" w:rsidRPr="00ED22BC" w:rsidRDefault="00F94043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2,050</w:t>
                  </w:r>
                </w:p>
              </w:tc>
            </w:tr>
            <w:tr w:rsidR="00F94043" w:rsidRPr="00ED22BC" w14:paraId="11AB134C" w14:textId="77777777" w:rsidTr="00F94043">
              <w:trPr>
                <w:jc w:val="center"/>
              </w:trPr>
              <w:tc>
                <w:tcPr>
                  <w:tcW w:w="3827" w:type="dxa"/>
                  <w:shd w:val="clear" w:color="auto" w:fill="auto"/>
                </w:tcPr>
                <w:p w14:paraId="2F345EA9" w14:textId="77777777" w:rsidR="00404F0E" w:rsidRPr="00ED22BC" w:rsidRDefault="00404F0E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Totals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07204440" w14:textId="78AAAB7B" w:rsidR="00404F0E" w:rsidRPr="00ED22BC" w:rsidRDefault="00F94043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2,050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BE71055" w14:textId="77777777" w:rsidR="00404F0E" w:rsidRPr="00ED22BC" w:rsidRDefault="00404F0E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</w:tcPr>
                <w:p w14:paraId="6A6A78D9" w14:textId="5DC3B806" w:rsidR="00404F0E" w:rsidRPr="00ED22BC" w:rsidRDefault="00E86281" w:rsidP="0082757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2,05</w:t>
                  </w:r>
                  <w:r w:rsidR="00F94043" w:rsidRPr="00ED22B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65AFD831" w14:textId="77777777" w:rsidR="003A3104" w:rsidRPr="00ED22BC" w:rsidRDefault="003A3104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05B1BC" w14:textId="77777777" w:rsidR="003A3104" w:rsidRPr="00ED22BC" w:rsidRDefault="003A3104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1004C0" w14:textId="59644623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Enclosed you will find a copy of </w:t>
            </w:r>
            <w:r w:rsidR="00F94043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updated </w:t>
            </w:r>
            <w:proofErr w:type="spellStart"/>
            <w:r w:rsidR="00F94043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Postbaccalaureate</w:t>
            </w:r>
            <w:proofErr w:type="spellEnd"/>
            <w:r w:rsidR="00F94043"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Training Program (PBT) application</w:t>
            </w: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.  Should you have any questions or concerns regarding this request, please contact me at your earliest convenience.</w:t>
            </w:r>
          </w:p>
          <w:p w14:paraId="60933827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DE1A7F" w14:textId="1C0E9199" w:rsidR="00404F0E" w:rsidRPr="007E33E0" w:rsidRDefault="007E33E0" w:rsidP="007E33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Please Note: </w:t>
            </w:r>
            <w:r w:rsidRPr="007E33E0">
              <w:rPr>
                <w:rFonts w:ascii="Arial" w:hAnsi="Arial" w:cs="Arial"/>
                <w:color w:val="000000" w:themeColor="text1"/>
                <w:sz w:val="22"/>
                <w:szCs w:val="22"/>
              </w:rPr>
              <w:t>All proposed changes take place on the f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irst and second pages of survey instrument. </w:t>
            </w:r>
            <w:r w:rsidRPr="007E33E0">
              <w:rPr>
                <w:rFonts w:ascii="Arial" w:hAnsi="Arial" w:cs="Arial"/>
                <w:color w:val="000000" w:themeColor="text1"/>
                <w:sz w:val="22"/>
                <w:szCs w:val="22"/>
              </w:rPr>
              <w:t>Red-Italic text indicates text / fields that will be removed.  Green-italic text indicates text / fields that will be added.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 </w:t>
            </w:r>
            <w:bookmarkStart w:id="0" w:name="_GoBack"/>
            <w:bookmarkEnd w:id="0"/>
          </w:p>
          <w:p w14:paraId="05AB23F3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8EE265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Best regards,</w:t>
            </w:r>
          </w:p>
          <w:p w14:paraId="318FEA40" w14:textId="2E64D90B" w:rsidR="00404F0E" w:rsidRPr="00ED22BC" w:rsidRDefault="00A87A94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87A9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DE7349D" wp14:editId="59DA5F06">
                  <wp:extent cx="1767840" cy="396240"/>
                  <wp:effectExtent l="0" t="0" r="10160" b="10160"/>
                  <wp:docPr id="13" name="Picture 13" descr="SignaturePK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ignaturePK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1A5D82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823047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Patricia KM Wagner, PhD</w:t>
            </w:r>
          </w:p>
          <w:p w14:paraId="3482C493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Director of Admissions &amp; Registrar</w:t>
            </w:r>
          </w:p>
          <w:p w14:paraId="17BBF866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Graduate Partnerships Program</w:t>
            </w:r>
          </w:p>
          <w:p w14:paraId="21350EFD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Office of Intramural Training &amp; Education</w:t>
            </w:r>
          </w:p>
          <w:p w14:paraId="25747FD6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Cell: 240-476-3619</w:t>
            </w:r>
          </w:p>
          <w:p w14:paraId="4E18D840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22BC">
              <w:rPr>
                <w:rFonts w:ascii="Arial" w:hAnsi="Arial" w:cs="Arial"/>
                <w:color w:val="000000" w:themeColor="text1"/>
                <w:sz w:val="22"/>
                <w:szCs w:val="22"/>
              </w:rPr>
              <w:t>Email: wagnerpa@od.nih.gov</w:t>
            </w:r>
          </w:p>
          <w:p w14:paraId="1B890B5E" w14:textId="77777777" w:rsidR="00404F0E" w:rsidRPr="00ED22BC" w:rsidRDefault="00404F0E" w:rsidP="00404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85E060" w14:textId="77777777" w:rsidR="004C5796" w:rsidRPr="00ED22BC" w:rsidRDefault="004C5796" w:rsidP="00404F0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B9730E" w14:textId="7F028BF4" w:rsidR="004C5796" w:rsidRPr="00ED22BC" w:rsidRDefault="004C5796" w:rsidP="003A3104">
      <w:pPr>
        <w:pStyle w:val="OITEBodyText1PillGothic"/>
        <w:tabs>
          <w:tab w:val="left" w:pos="11340"/>
        </w:tabs>
        <w:ind w:right="180"/>
        <w:rPr>
          <w:rFonts w:ascii="Arial" w:hAnsi="Arial" w:cs="Arial"/>
          <w:color w:val="000000" w:themeColor="text1"/>
        </w:rPr>
      </w:pPr>
    </w:p>
    <w:sectPr w:rsidR="004C5796" w:rsidRPr="00ED22BC" w:rsidSect="00404F0E">
      <w:footerReference w:type="even" r:id="rId10"/>
      <w:footerReference w:type="default" r:id="rId11"/>
      <w:headerReference w:type="first" r:id="rId12"/>
      <w:pgSz w:w="12240" w:h="15840"/>
      <w:pgMar w:top="1440" w:right="0" w:bottom="1710" w:left="0" w:header="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5E3EA" w14:textId="77777777" w:rsidR="00F509BE" w:rsidRDefault="00F509BE">
      <w:r>
        <w:separator/>
      </w:r>
    </w:p>
  </w:endnote>
  <w:endnote w:type="continuationSeparator" w:id="0">
    <w:p w14:paraId="13A1BEF6" w14:textId="77777777" w:rsidR="00F509BE" w:rsidRDefault="00F5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ll Gothic 600mg 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5DB2C" w14:textId="77777777" w:rsidR="0082757F" w:rsidRDefault="0082757F" w:rsidP="004C57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85F43D" w14:textId="77777777" w:rsidR="0082757F" w:rsidRDefault="0082757F" w:rsidP="004C57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475A8" w14:textId="785DA78D" w:rsidR="0082757F" w:rsidRDefault="0082757F" w:rsidP="003A3104">
    <w:pPr>
      <w:pStyle w:val="Footer"/>
      <w:tabs>
        <w:tab w:val="clear" w:pos="4320"/>
        <w:tab w:val="clear" w:pos="8640"/>
        <w:tab w:val="center" w:pos="1134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2097D" w14:textId="77777777" w:rsidR="00F509BE" w:rsidRDefault="00F509BE">
      <w:r>
        <w:separator/>
      </w:r>
    </w:p>
  </w:footnote>
  <w:footnote w:type="continuationSeparator" w:id="0">
    <w:p w14:paraId="42ACC9AB" w14:textId="77777777" w:rsidR="00F509BE" w:rsidRDefault="00F50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3C40F" w14:textId="77777777" w:rsidR="0082757F" w:rsidRDefault="0082757F" w:rsidP="004C5796">
    <w:pPr>
      <w:pStyle w:val="Header"/>
      <w:ind w:right="-720"/>
    </w:pPr>
    <w:r>
      <w:rPr>
        <w:noProof/>
      </w:rPr>
      <w:drawing>
        <wp:inline distT="0" distB="0" distL="0" distR="0" wp14:anchorId="76F736BD" wp14:editId="04FBDE49">
          <wp:extent cx="7772400" cy="1838960"/>
          <wp:effectExtent l="0" t="0" r="0" b="0"/>
          <wp:docPr id="1" name="Picture 1" descr="Color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3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36BF"/>
    <w:multiLevelType w:val="hybridMultilevel"/>
    <w:tmpl w:val="1AA6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F3607"/>
    <w:multiLevelType w:val="hybridMultilevel"/>
    <w:tmpl w:val="02C23F64"/>
    <w:lvl w:ilvl="0" w:tplc="20FA6CCA">
      <w:start w:val="1"/>
      <w:numFmt w:val="bullet"/>
      <w:pStyle w:val="OITEBodyText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5CCA06FA"/>
    <w:multiLevelType w:val="hybridMultilevel"/>
    <w:tmpl w:val="BDB8D9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2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CD"/>
    <w:rsid w:val="000B60CD"/>
    <w:rsid w:val="000D1C74"/>
    <w:rsid w:val="00175D7C"/>
    <w:rsid w:val="002F3E8A"/>
    <w:rsid w:val="003506EB"/>
    <w:rsid w:val="003A3104"/>
    <w:rsid w:val="00404F0E"/>
    <w:rsid w:val="00441584"/>
    <w:rsid w:val="004C5796"/>
    <w:rsid w:val="007E33E0"/>
    <w:rsid w:val="0082757F"/>
    <w:rsid w:val="009B7BB8"/>
    <w:rsid w:val="00A87A94"/>
    <w:rsid w:val="00AD6AC6"/>
    <w:rsid w:val="00B35055"/>
    <w:rsid w:val="00E86281"/>
    <w:rsid w:val="00ED22BC"/>
    <w:rsid w:val="00F509BE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271E60"/>
  <w14:defaultImageDpi w14:val="300"/>
  <w15:docId w15:val="{C6E89A77-DA23-461D-9669-6354AF59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ion2">
    <w:name w:val="version 2"/>
    <w:basedOn w:val="Heading2"/>
    <w:pPr>
      <w:tabs>
        <w:tab w:val="left" w:pos="9187"/>
      </w:tabs>
      <w:spacing w:before="0" w:after="0"/>
    </w:pPr>
    <w:rPr>
      <w:rFonts w:ascii="Arial" w:hAnsi="Arial"/>
      <w:i w:val="0"/>
      <w:sz w:val="36"/>
    </w:rPr>
  </w:style>
  <w:style w:type="table" w:styleId="TableGrid">
    <w:name w:val="Table Grid"/>
    <w:basedOn w:val="TableNormal"/>
    <w:rsid w:val="007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4F44"/>
    <w:pPr>
      <w:tabs>
        <w:tab w:val="center" w:pos="4320"/>
        <w:tab w:val="right" w:pos="8640"/>
      </w:tabs>
    </w:pPr>
  </w:style>
  <w:style w:type="paragraph" w:customStyle="1" w:styleId="OITEBodyText1PillGothic">
    <w:name w:val="OITE Body Text 1 Pill Gothic"/>
    <w:basedOn w:val="Normal"/>
    <w:rsid w:val="00E67F46"/>
    <w:pPr>
      <w:spacing w:line="240" w:lineRule="exact"/>
    </w:pPr>
    <w:rPr>
      <w:rFonts w:ascii="Pill Gothic 600mg Regular" w:hAnsi="Pill Gothic 600mg Regular"/>
      <w:sz w:val="20"/>
    </w:rPr>
  </w:style>
  <w:style w:type="paragraph" w:customStyle="1" w:styleId="OITEBodyText2Verdana">
    <w:name w:val="OITE Body Text 2 Verdana"/>
    <w:basedOn w:val="OITEBodyText1PillGothic"/>
    <w:rsid w:val="00E67F46"/>
    <w:rPr>
      <w:rFonts w:ascii="Verdana" w:hAnsi="Verdana"/>
      <w:sz w:val="18"/>
    </w:rPr>
  </w:style>
  <w:style w:type="paragraph" w:customStyle="1" w:styleId="OITEBodyText3Times">
    <w:name w:val="OITE Body Text 3 Times"/>
    <w:basedOn w:val="OITEBodyText1PillGothic"/>
    <w:rsid w:val="00E67F46"/>
    <w:rPr>
      <w:rFonts w:ascii="Times New Roman" w:hAnsi="Times New Roman"/>
    </w:rPr>
  </w:style>
  <w:style w:type="paragraph" w:styleId="Footer">
    <w:name w:val="footer"/>
    <w:basedOn w:val="Normal"/>
    <w:semiHidden/>
    <w:rsid w:val="007E4F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7F46"/>
  </w:style>
  <w:style w:type="character" w:styleId="Hyperlink">
    <w:name w:val="Hyperlink"/>
    <w:basedOn w:val="DefaultParagraphFont"/>
    <w:rsid w:val="004C5796"/>
    <w:rPr>
      <w:color w:val="0000FF"/>
      <w:u w:val="single"/>
    </w:rPr>
  </w:style>
  <w:style w:type="paragraph" w:customStyle="1" w:styleId="OITEBodyTextBullet">
    <w:name w:val="OITE Body Text Bullet"/>
    <w:basedOn w:val="OITEBodyText2Verdana"/>
    <w:rsid w:val="00E67F46"/>
    <w:pPr>
      <w:numPr>
        <w:numId w:val="1"/>
      </w:numPr>
      <w:tabs>
        <w:tab w:val="clear" w:pos="612"/>
        <w:tab w:val="num" w:pos="342"/>
      </w:tabs>
      <w:ind w:left="342" w:hanging="450"/>
    </w:pPr>
  </w:style>
  <w:style w:type="paragraph" w:styleId="BalloonText">
    <w:name w:val="Balloon Text"/>
    <w:basedOn w:val="Normal"/>
    <w:semiHidden/>
    <w:rsid w:val="003506E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2757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nfo.gov/public/do/PRAViewICR?ref_nbr=201605-0925-0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NIH</Company>
  <LinksUpToDate>false</LinksUpToDate>
  <CharactersWithSpaces>2695</CharactersWithSpaces>
  <SharedDoc>false</SharedDoc>
  <HLinks>
    <vt:vector size="12" baseType="variant">
      <vt:variant>
        <vt:i4>1114239</vt:i4>
      </vt:variant>
      <vt:variant>
        <vt:i4>33</vt:i4>
      </vt:variant>
      <vt:variant>
        <vt:i4>0</vt:i4>
      </vt:variant>
      <vt:variant>
        <vt:i4>5</vt:i4>
      </vt:variant>
      <vt:variant>
        <vt:lpwstr>mailto:duffyca@od.nih.gov</vt:lpwstr>
      </vt:variant>
      <vt:variant>
        <vt:lpwstr/>
      </vt:variant>
      <vt:variant>
        <vt:i4>5242938</vt:i4>
      </vt:variant>
      <vt:variant>
        <vt:i4>30</vt:i4>
      </vt:variant>
      <vt:variant>
        <vt:i4>0</vt:i4>
      </vt:variant>
      <vt:variant>
        <vt:i4>5</vt:i4>
      </vt:variant>
      <vt:variant>
        <vt:lpwstr>mailto:warrenad@od.nih.gov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Wagner, Patricia (NIH/OD) [E]</dc:creator>
  <cp:keywords/>
  <cp:lastModifiedBy>Fountain, Marisa (NIH/OD) [E]</cp:lastModifiedBy>
  <cp:revision>6</cp:revision>
  <cp:lastPrinted>2008-03-11T20:13:00Z</cp:lastPrinted>
  <dcterms:created xsi:type="dcterms:W3CDTF">2016-07-06T15:56:00Z</dcterms:created>
  <dcterms:modified xsi:type="dcterms:W3CDTF">2016-07-07T16:56:00Z</dcterms:modified>
</cp:coreProperties>
</file>