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293E1" w14:textId="5E154B47" w:rsidR="007111E8" w:rsidRDefault="007111E8" w:rsidP="00DE4CF7">
      <w:pPr>
        <w:pStyle w:val="Heading1"/>
      </w:pPr>
      <w:r>
        <w:t>Supporting Statement</w:t>
      </w:r>
      <w:r w:rsidR="001B5B24">
        <w:t>,</w:t>
      </w:r>
      <w:r>
        <w:t xml:space="preserve"> </w:t>
      </w:r>
      <w:r w:rsidR="001B5B24">
        <w:t>Part A</w:t>
      </w:r>
    </w:p>
    <w:p w14:paraId="16CFE181" w14:textId="15797480" w:rsidR="007111E8" w:rsidRDefault="00CA4821" w:rsidP="00DE4CF7">
      <w:pPr>
        <w:pStyle w:val="Heading1"/>
      </w:pPr>
      <w:r>
        <w:t>Important Message from Medicare</w:t>
      </w:r>
      <w:r w:rsidR="008A427B">
        <w:t xml:space="preserve"> (IM)</w:t>
      </w:r>
    </w:p>
    <w:p w14:paraId="400ABF45" w14:textId="4841525A" w:rsidR="007111E8" w:rsidRDefault="00665103" w:rsidP="00DE4CF7">
      <w:pPr>
        <w:pStyle w:val="Heading1"/>
      </w:pPr>
      <w:r>
        <w:t xml:space="preserve">Contained in 42 </w:t>
      </w:r>
      <w:proofErr w:type="spellStart"/>
      <w:r>
        <w:t>CFR</w:t>
      </w:r>
      <w:proofErr w:type="spellEnd"/>
      <w:r w:rsidR="00CB3F9D">
        <w:t xml:space="preserve"> </w:t>
      </w:r>
      <w:r w:rsidR="00D525E1">
        <w:t>4</w:t>
      </w:r>
      <w:r w:rsidR="00CB3F9D">
        <w:t xml:space="preserve">05.1205 </w:t>
      </w:r>
      <w:r w:rsidR="003E0EE2">
        <w:t xml:space="preserve">and </w:t>
      </w:r>
      <w:r w:rsidR="00CB3F9D">
        <w:t>422.620</w:t>
      </w:r>
    </w:p>
    <w:p w14:paraId="3B2964C9" w14:textId="3E0C569A" w:rsidR="001B5B24" w:rsidRDefault="001B5B24" w:rsidP="00DE4CF7">
      <w:pPr>
        <w:pStyle w:val="Heading1"/>
      </w:pPr>
      <w:r>
        <w:t>CMS-R-193, OMB 0938-0692</w:t>
      </w:r>
    </w:p>
    <w:p w14:paraId="301EADE0" w14:textId="77777777" w:rsidR="007111E8" w:rsidRPr="00823168" w:rsidRDefault="007111E8">
      <w:pPr>
        <w:rPr>
          <w:rFonts w:ascii="Century Gothic" w:hAnsi="Century Gothic" w:cs="Arial"/>
          <w:u w:val="single"/>
        </w:rPr>
      </w:pPr>
    </w:p>
    <w:p w14:paraId="240146D7" w14:textId="156AB504" w:rsidR="00FD3C52" w:rsidRPr="00FD3C52" w:rsidRDefault="007111E8" w:rsidP="00DE4CF7">
      <w:pPr>
        <w:pStyle w:val="Body1"/>
      </w:pPr>
      <w:r w:rsidRPr="00823168">
        <w:t xml:space="preserve">This </w:t>
      </w:r>
      <w:r w:rsidR="008A427B" w:rsidRPr="00823168">
        <w:t xml:space="preserve">iteration </w:t>
      </w:r>
      <w:r w:rsidR="00E40526" w:rsidRPr="00823168">
        <w:t xml:space="preserve">requests the approval of a </w:t>
      </w:r>
      <w:proofErr w:type="spellStart"/>
      <w:r w:rsidR="00E40526" w:rsidRPr="00823168">
        <w:t>nonsubstan</w:t>
      </w:r>
      <w:r w:rsidR="002653A9">
        <w:t>ti</w:t>
      </w:r>
      <w:r w:rsidR="00E40526" w:rsidRPr="00823168">
        <w:t>ve</w:t>
      </w:r>
      <w:proofErr w:type="spellEnd"/>
      <w:r w:rsidR="00E40526" w:rsidRPr="00823168">
        <w:t xml:space="preserve"> change and </w:t>
      </w:r>
      <w:r w:rsidRPr="00823168">
        <w:t xml:space="preserve">requests </w:t>
      </w:r>
      <w:r w:rsidR="00E40526" w:rsidRPr="00823168">
        <w:t xml:space="preserve">a 3-year </w:t>
      </w:r>
      <w:r w:rsidR="0053250E" w:rsidRPr="00823168">
        <w:t>extension</w:t>
      </w:r>
      <w:r w:rsidR="007515E6" w:rsidRPr="00823168">
        <w:t xml:space="preserve"> </w:t>
      </w:r>
      <w:r w:rsidR="006B4304" w:rsidRPr="00823168">
        <w:t>of</w:t>
      </w:r>
      <w:r w:rsidR="00F91C4B" w:rsidRPr="00823168">
        <w:t xml:space="preserve"> </w:t>
      </w:r>
      <w:r w:rsidR="00E40526" w:rsidRPr="00823168">
        <w:t>OMB’s approval period.</w:t>
      </w:r>
      <w:r w:rsidR="00854558">
        <w:t xml:space="preserve"> </w:t>
      </w:r>
      <w:r w:rsidR="00E40526" w:rsidRPr="00823168">
        <w:t xml:space="preserve"> </w:t>
      </w:r>
      <w:r w:rsidR="00CA64A8">
        <w:t>It also adjusts our burden estimates based on more current data.</w:t>
      </w:r>
    </w:p>
    <w:p w14:paraId="60075F20" w14:textId="77777777" w:rsidR="007111E8" w:rsidRPr="00FD3C52" w:rsidRDefault="007111E8">
      <w:pPr>
        <w:rPr>
          <w:rFonts w:ascii="Century Gothic" w:hAnsi="Century Gothic" w:cs="Arial"/>
        </w:rPr>
      </w:pPr>
    </w:p>
    <w:p w14:paraId="15D9313C" w14:textId="298591E3" w:rsidR="007111E8" w:rsidRPr="00EF7226" w:rsidRDefault="007111E8" w:rsidP="00DE4CF7">
      <w:pPr>
        <w:pStyle w:val="Heading3"/>
        <w:rPr>
          <w:b/>
        </w:rPr>
      </w:pPr>
      <w:r w:rsidRPr="00EF7226">
        <w:rPr>
          <w:b/>
        </w:rPr>
        <w:t>Background</w:t>
      </w:r>
    </w:p>
    <w:p w14:paraId="48427FC5" w14:textId="77777777" w:rsidR="007111E8" w:rsidRPr="00011D92" w:rsidRDefault="007111E8" w:rsidP="00011D92">
      <w:pPr>
        <w:rPr>
          <w:rFonts w:ascii="Century Gothic" w:hAnsi="Century Gothic" w:cs="Arial"/>
        </w:rPr>
      </w:pPr>
    </w:p>
    <w:p w14:paraId="3A2C9284" w14:textId="043A6A7D" w:rsidR="00FD3C52" w:rsidRDefault="002C7A02" w:rsidP="00446997">
      <w:pPr>
        <w:pStyle w:val="Body2"/>
        <w:ind w:firstLine="0"/>
      </w:pPr>
      <w:r>
        <w:t xml:space="preserve">The IM </w:t>
      </w:r>
      <w:r w:rsidR="0028273B" w:rsidRPr="0028273B">
        <w:t>includ</w:t>
      </w:r>
      <w:r w:rsidR="009A6050">
        <w:t>es</w:t>
      </w:r>
      <w:r w:rsidR="0028273B" w:rsidRPr="0028273B">
        <w:t xml:space="preserve"> a statement of patients’ rights, information about when a beneficiary will and will not be liable for charges for a continued stay in a hospital, </w:t>
      </w:r>
      <w:r w:rsidR="00665103">
        <w:t xml:space="preserve">and </w:t>
      </w:r>
      <w:r w:rsidR="0028273B" w:rsidRPr="0028273B">
        <w:t xml:space="preserve">a detailed description of the </w:t>
      </w:r>
      <w:proofErr w:type="spellStart"/>
      <w:r w:rsidR="0028273B" w:rsidRPr="0028273B">
        <w:t>QIO</w:t>
      </w:r>
      <w:proofErr w:type="spellEnd"/>
      <w:r w:rsidR="0028273B" w:rsidRPr="0028273B">
        <w:t xml:space="preserve"> </w:t>
      </w:r>
      <w:r w:rsidR="00665103">
        <w:t>review process</w:t>
      </w:r>
      <w:r w:rsidR="0028273B" w:rsidRPr="0028273B">
        <w:t xml:space="preserve">. </w:t>
      </w:r>
      <w:r w:rsidR="00461E0D">
        <w:t xml:space="preserve"> </w:t>
      </w:r>
      <w:r w:rsidR="002831E4">
        <w:t>T</w:t>
      </w:r>
      <w:r w:rsidR="0028273B" w:rsidRPr="0028273B">
        <w:t xml:space="preserve">he IM </w:t>
      </w:r>
      <w:r>
        <w:t xml:space="preserve">also </w:t>
      </w:r>
      <w:r w:rsidR="0028273B" w:rsidRPr="0028273B">
        <w:t>include</w:t>
      </w:r>
      <w:r w:rsidR="0028273B">
        <w:t>s</w:t>
      </w:r>
      <w:r w:rsidR="0028273B" w:rsidRPr="0028273B">
        <w:t xml:space="preserve"> language </w:t>
      </w:r>
      <w:r w:rsidR="00C045DB">
        <w:t xml:space="preserve">emphasizing </w:t>
      </w:r>
      <w:r w:rsidR="0028273B" w:rsidRPr="0028273B">
        <w:t xml:space="preserve">the importance of </w:t>
      </w:r>
      <w:r w:rsidR="00794687">
        <w:t xml:space="preserve">beneficiaries </w:t>
      </w:r>
      <w:r w:rsidR="0028273B" w:rsidRPr="0028273B">
        <w:t xml:space="preserve">discussing discharge planning issues with physicians, plans, or hospital personnel to minimize the potential for disputes. </w:t>
      </w:r>
      <w:r w:rsidR="00854558">
        <w:t xml:space="preserve"> </w:t>
      </w:r>
      <w:r>
        <w:t>T</w:t>
      </w:r>
      <w:r w:rsidRPr="0028273B">
        <w:t>he IM must be signed by the beneficiary (or representative, if applicable) to indicate that he or she comprehends its contents, and the hospital must retain a copy of the signed notice.</w:t>
      </w:r>
    </w:p>
    <w:p w14:paraId="5AFDA5A6" w14:textId="77777777" w:rsidR="00446997" w:rsidRDefault="00446997" w:rsidP="00446997">
      <w:pPr>
        <w:pStyle w:val="Body2"/>
        <w:ind w:firstLine="0"/>
      </w:pPr>
    </w:p>
    <w:p w14:paraId="4FC8A706" w14:textId="5013F9A7" w:rsidR="007515E6" w:rsidRDefault="0028273B" w:rsidP="00446997">
      <w:pPr>
        <w:pStyle w:val="Body2"/>
        <w:ind w:firstLine="0"/>
        <w:rPr>
          <w:rFonts w:cs="Arial"/>
        </w:rPr>
      </w:pPr>
      <w:r>
        <w:t xml:space="preserve">The </w:t>
      </w:r>
      <w:r w:rsidR="007A5FBE">
        <w:t>IM must</w:t>
      </w:r>
      <w:r w:rsidR="00367F1A">
        <w:t xml:space="preserve"> </w:t>
      </w:r>
      <w:r>
        <w:t xml:space="preserve">be given within 2 calendar days of </w:t>
      </w:r>
      <w:r w:rsidR="00794687">
        <w:t xml:space="preserve">a Part </w:t>
      </w:r>
      <w:proofErr w:type="gramStart"/>
      <w:r w:rsidR="00794687">
        <w:t>A</w:t>
      </w:r>
      <w:proofErr w:type="gramEnd"/>
      <w:r w:rsidR="00794687">
        <w:t xml:space="preserve"> inpatient hospital </w:t>
      </w:r>
      <w:r>
        <w:t>admission</w:t>
      </w:r>
      <w:r w:rsidR="009E3345">
        <w:t>,</w:t>
      </w:r>
      <w:r>
        <w:t xml:space="preserve"> and</w:t>
      </w:r>
      <w:r w:rsidR="005F0657">
        <w:t xml:space="preserve"> depending on the length of stay, h</w:t>
      </w:r>
      <w:r w:rsidR="00665103">
        <w:t xml:space="preserve">ospitals </w:t>
      </w:r>
      <w:r w:rsidR="009E3345">
        <w:t xml:space="preserve">may </w:t>
      </w:r>
      <w:r w:rsidR="00794687">
        <w:t xml:space="preserve">also </w:t>
      </w:r>
      <w:r w:rsidR="00665103">
        <w:t>have to provide beneficiaries with a</w:t>
      </w:r>
      <w:r>
        <w:t xml:space="preserve"> </w:t>
      </w:r>
      <w:r w:rsidR="00A76C61">
        <w:t xml:space="preserve">follow-up </w:t>
      </w:r>
      <w:r>
        <w:t xml:space="preserve">copy of the signed IM within 2 calendar days of discharge. </w:t>
      </w:r>
      <w:r w:rsidR="002831E4">
        <w:t xml:space="preserve"> </w:t>
      </w:r>
      <w:r w:rsidR="002831E4">
        <w:rPr>
          <w:rFonts w:cs="Arial"/>
        </w:rPr>
        <w:t>Follow-up notice is n</w:t>
      </w:r>
      <w:r w:rsidR="00665103">
        <w:rPr>
          <w:rFonts w:cs="Arial"/>
        </w:rPr>
        <w:t xml:space="preserve">ot required if delivery of the original IM </w:t>
      </w:r>
      <w:r w:rsidR="00794687">
        <w:rPr>
          <w:rFonts w:cs="Arial"/>
        </w:rPr>
        <w:t xml:space="preserve">occurred </w:t>
      </w:r>
      <w:r w:rsidR="002831E4">
        <w:rPr>
          <w:rFonts w:cs="Arial"/>
        </w:rPr>
        <w:t xml:space="preserve">within 2 calendar days of discharge. </w:t>
      </w:r>
    </w:p>
    <w:p w14:paraId="5FBC6339" w14:textId="77777777" w:rsidR="007515E6" w:rsidRDefault="007515E6" w:rsidP="00446997">
      <w:pPr>
        <w:pStyle w:val="Body2"/>
        <w:ind w:firstLine="0"/>
        <w:rPr>
          <w:rFonts w:cs="Arial"/>
        </w:rPr>
      </w:pPr>
    </w:p>
    <w:p w14:paraId="3B4FAB38" w14:textId="1F8C2191" w:rsidR="003B21D6" w:rsidRDefault="00461E0D" w:rsidP="00785E73">
      <w:pPr>
        <w:pStyle w:val="Body10"/>
      </w:pPr>
      <w:r w:rsidRPr="00AF3A9E">
        <w:t>The IM has been minimally changed with this submission to include language informing beneficiaries of their rights under Section 504 of the Rehabili</w:t>
      </w:r>
      <w:r w:rsidR="001936FF" w:rsidRPr="00AF3A9E">
        <w:t>tation Act of 1973 (Section 504),</w:t>
      </w:r>
      <w:r w:rsidRPr="00AF3A9E">
        <w:t xml:space="preserve"> alerting the beneficiary to CMS’s nondiscrimination practices and the availability of alternate forms of this notice if needed.</w:t>
      </w:r>
    </w:p>
    <w:p w14:paraId="36DB669E" w14:textId="77777777" w:rsidR="003B21D6" w:rsidRDefault="003B21D6" w:rsidP="00785E73">
      <w:pPr>
        <w:pStyle w:val="Body10"/>
      </w:pPr>
    </w:p>
    <w:p w14:paraId="59377DF0" w14:textId="702B10B6" w:rsidR="0066797A" w:rsidRPr="0028273B" w:rsidRDefault="005F0657" w:rsidP="00785E73">
      <w:pPr>
        <w:pStyle w:val="Body10"/>
      </w:pPr>
      <w:r w:rsidRPr="00AF3A9E">
        <w:t xml:space="preserve">There are no </w:t>
      </w:r>
      <w:r w:rsidR="00461E0D" w:rsidRPr="00AF3A9E">
        <w:t xml:space="preserve">substantive </w:t>
      </w:r>
      <w:r w:rsidRPr="00AF3A9E">
        <w:t xml:space="preserve">changes to </w:t>
      </w:r>
      <w:r w:rsidR="007515E6" w:rsidRPr="00AF3A9E">
        <w:t>the IM form and instructions</w:t>
      </w:r>
      <w:r w:rsidR="001936FF" w:rsidRPr="00AF3A9E">
        <w:t>.</w:t>
      </w:r>
    </w:p>
    <w:p w14:paraId="40E7402C" w14:textId="77777777" w:rsidR="007111E8" w:rsidRPr="0028273B" w:rsidRDefault="007111E8" w:rsidP="00DE4CF7">
      <w:pPr>
        <w:pStyle w:val="Body2"/>
        <w:rPr>
          <w:rFonts w:cs="Arial"/>
        </w:rPr>
      </w:pPr>
    </w:p>
    <w:p w14:paraId="0295A59D" w14:textId="6A7EF1F0" w:rsidR="007111E8" w:rsidRPr="00EF7226" w:rsidRDefault="006E35A3" w:rsidP="00DE4CF7">
      <w:pPr>
        <w:pStyle w:val="heading4"/>
        <w:rPr>
          <w:b/>
        </w:rPr>
      </w:pPr>
      <w:r w:rsidRPr="00EF7226">
        <w:rPr>
          <w:b/>
        </w:rPr>
        <w:t>A</w:t>
      </w:r>
      <w:r w:rsidR="007111E8" w:rsidRPr="00EF7226">
        <w:rPr>
          <w:b/>
        </w:rPr>
        <w:t>.</w:t>
      </w:r>
      <w:r w:rsidR="007111E8" w:rsidRPr="00EF7226">
        <w:rPr>
          <w:b/>
        </w:rPr>
        <w:tab/>
        <w:t>J</w:t>
      </w:r>
      <w:r w:rsidR="00DE4CF7" w:rsidRPr="00EF7226">
        <w:rPr>
          <w:b/>
        </w:rPr>
        <w:t>ustification</w:t>
      </w:r>
    </w:p>
    <w:p w14:paraId="41FF3268" w14:textId="77777777" w:rsidR="007111E8" w:rsidRPr="0028273B" w:rsidRDefault="007111E8" w:rsidP="00DE4CF7">
      <w:pPr>
        <w:pStyle w:val="heading4"/>
      </w:pPr>
    </w:p>
    <w:p w14:paraId="763D865D" w14:textId="77777777" w:rsidR="007111E8" w:rsidRPr="0028273B" w:rsidRDefault="007111E8" w:rsidP="00DE4CF7">
      <w:pPr>
        <w:pStyle w:val="heading4"/>
      </w:pPr>
      <w:r w:rsidRPr="0028273B">
        <w:t>1.</w:t>
      </w:r>
      <w:r w:rsidRPr="0028273B">
        <w:tab/>
      </w:r>
      <w:r w:rsidR="00DE4CF7">
        <w:t>Need and Legal Basis</w:t>
      </w:r>
    </w:p>
    <w:p w14:paraId="315892AD" w14:textId="77777777" w:rsidR="007111E8" w:rsidRDefault="007111E8" w:rsidP="00B47C5C">
      <w:pPr>
        <w:rPr>
          <w:rFonts w:ascii="Century Gothic" w:hAnsi="Century Gothic" w:cs="Arial"/>
        </w:rPr>
      </w:pPr>
    </w:p>
    <w:p w14:paraId="5BB636CA" w14:textId="39E3B9ED" w:rsidR="00B47C5C" w:rsidRDefault="00B47C5C" w:rsidP="00B47C5C">
      <w:pPr>
        <w:rPr>
          <w:rFonts w:ascii="Century Gothic" w:hAnsi="Century Gothic" w:cs="Arial"/>
        </w:rPr>
      </w:pPr>
      <w:r w:rsidRPr="00B47C5C">
        <w:rPr>
          <w:rFonts w:ascii="Century Gothic" w:hAnsi="Century Gothic" w:cs="Arial"/>
        </w:rPr>
        <w:t xml:space="preserve">The </w:t>
      </w:r>
      <w:r w:rsidR="007A5FBE" w:rsidRPr="00B47C5C">
        <w:rPr>
          <w:rFonts w:ascii="Century Gothic" w:hAnsi="Century Gothic" w:cs="Arial"/>
        </w:rPr>
        <w:t>IM meets</w:t>
      </w:r>
      <w:r w:rsidRPr="00B47C5C">
        <w:rPr>
          <w:rFonts w:ascii="Century Gothic" w:hAnsi="Century Gothic" w:cs="Arial"/>
        </w:rPr>
        <w:t xml:space="preserve"> the requirements of </w:t>
      </w:r>
      <w:r>
        <w:rPr>
          <w:rFonts w:ascii="Century Gothic" w:hAnsi="Century Gothic" w:cs="Arial"/>
        </w:rPr>
        <w:t xml:space="preserve">our </w:t>
      </w:r>
      <w:r w:rsidRPr="00B47C5C">
        <w:rPr>
          <w:rFonts w:ascii="Century Gothic" w:hAnsi="Century Gothic" w:cs="Arial"/>
        </w:rPr>
        <w:t>Notification of</w:t>
      </w:r>
      <w:r w:rsidR="0017045C">
        <w:rPr>
          <w:rFonts w:ascii="Century Gothic" w:hAnsi="Century Gothic" w:cs="Arial"/>
        </w:rPr>
        <w:t xml:space="preserve"> </w:t>
      </w:r>
      <w:r w:rsidRPr="00B47C5C">
        <w:rPr>
          <w:rFonts w:ascii="Century Gothic" w:hAnsi="Century Gothic" w:cs="Arial"/>
        </w:rPr>
        <w:t xml:space="preserve">Hospital Discharge Appeal Rights final rule </w:t>
      </w:r>
      <w:r>
        <w:rPr>
          <w:rFonts w:ascii="Century Gothic" w:hAnsi="Century Gothic" w:cs="Arial"/>
        </w:rPr>
        <w:t>(</w:t>
      </w:r>
      <w:r w:rsidR="0017045C">
        <w:rPr>
          <w:rFonts w:ascii="Century Gothic" w:hAnsi="Century Gothic" w:cs="Arial"/>
        </w:rPr>
        <w:t xml:space="preserve">November 27, 2006; </w:t>
      </w:r>
      <w:r>
        <w:rPr>
          <w:rFonts w:ascii="Century Gothic" w:hAnsi="Century Gothic" w:cs="Arial"/>
        </w:rPr>
        <w:t xml:space="preserve">71 FR </w:t>
      </w:r>
      <w:r w:rsidRPr="00B47C5C">
        <w:rPr>
          <w:rFonts w:ascii="Century Gothic" w:hAnsi="Century Gothic" w:cs="Arial"/>
        </w:rPr>
        <w:t>68708</w:t>
      </w:r>
      <w:r>
        <w:rPr>
          <w:rFonts w:ascii="Century Gothic" w:hAnsi="Century Gothic" w:cs="Arial"/>
        </w:rPr>
        <w:t xml:space="preserve">) </w:t>
      </w:r>
      <w:r w:rsidRPr="00B47C5C">
        <w:rPr>
          <w:rFonts w:ascii="Century Gothic" w:hAnsi="Century Gothic" w:cs="Arial"/>
        </w:rPr>
        <w:t>and section 1866(a</w:t>
      </w:r>
      <w:proofErr w:type="gramStart"/>
      <w:r w:rsidRPr="00B47C5C">
        <w:rPr>
          <w:rFonts w:ascii="Century Gothic" w:hAnsi="Century Gothic" w:cs="Arial"/>
        </w:rPr>
        <w:t>)(</w:t>
      </w:r>
      <w:proofErr w:type="gramEnd"/>
      <w:r w:rsidRPr="00B47C5C">
        <w:rPr>
          <w:rFonts w:ascii="Century Gothic" w:hAnsi="Century Gothic" w:cs="Arial"/>
        </w:rPr>
        <w:t>1)(M</w:t>
      </w:r>
      <w:r>
        <w:rPr>
          <w:rFonts w:ascii="Century Gothic" w:hAnsi="Century Gothic" w:cs="Arial"/>
        </w:rPr>
        <w:t>) of the Social Security Act.</w:t>
      </w:r>
    </w:p>
    <w:p w14:paraId="7860C623" w14:textId="77777777" w:rsidR="00B47C5C" w:rsidRPr="0028273B" w:rsidRDefault="00B47C5C" w:rsidP="00B47C5C">
      <w:pPr>
        <w:rPr>
          <w:rFonts w:ascii="Century Gothic" w:hAnsi="Century Gothic" w:cs="Arial"/>
        </w:rPr>
      </w:pPr>
    </w:p>
    <w:p w14:paraId="2DFFB81D" w14:textId="77777777" w:rsidR="00094AA6" w:rsidRPr="00EE2C07" w:rsidRDefault="00211CE8" w:rsidP="00DE4CF7">
      <w:pPr>
        <w:pStyle w:val="Body3"/>
      </w:pPr>
      <w:r w:rsidRPr="0028273B">
        <w:t xml:space="preserve">Requirements </w:t>
      </w:r>
      <w:r w:rsidR="00FB3D54" w:rsidRPr="0028273B">
        <w:t xml:space="preserve">that hospitals notify </w:t>
      </w:r>
      <w:r w:rsidRPr="0028273B">
        <w:t>beneficiaries</w:t>
      </w:r>
      <w:r w:rsidR="00FB3D54" w:rsidRPr="0028273B">
        <w:t xml:space="preserve"> in</w:t>
      </w:r>
      <w:r w:rsidRPr="0028273B">
        <w:t xml:space="preserve"> inpatient hospital s</w:t>
      </w:r>
      <w:r w:rsidR="00FB3D54" w:rsidRPr="0028273B">
        <w:t>ettings of their</w:t>
      </w:r>
      <w:r w:rsidR="002362D4" w:rsidRPr="0028273B">
        <w:t xml:space="preserve"> rights</w:t>
      </w:r>
      <w:r w:rsidR="00B92262">
        <w:t>,</w:t>
      </w:r>
      <w:r w:rsidR="002362D4" w:rsidRPr="0028273B">
        <w:t xml:space="preserve"> including their discharge appeal rights</w:t>
      </w:r>
      <w:r w:rsidR="00B92262">
        <w:t>,</w:t>
      </w:r>
      <w:r w:rsidR="0028671E" w:rsidRPr="0028273B">
        <w:t xml:space="preserve"> are </w:t>
      </w:r>
      <w:r w:rsidR="004E697C" w:rsidRPr="0028273B">
        <w:lastRenderedPageBreak/>
        <w:t xml:space="preserve">referenced in </w:t>
      </w:r>
      <w:r w:rsidR="002362D4" w:rsidRPr="0028273B">
        <w:t>Section 1866(a</w:t>
      </w:r>
      <w:proofErr w:type="gramStart"/>
      <w:r w:rsidR="002362D4" w:rsidRPr="0028273B">
        <w:t>)(</w:t>
      </w:r>
      <w:proofErr w:type="gramEnd"/>
      <w:r w:rsidR="002362D4" w:rsidRPr="0028273B">
        <w:t xml:space="preserve">1)(M) of the Social </w:t>
      </w:r>
      <w:r w:rsidR="002362D4" w:rsidRPr="00EE2C07">
        <w:t xml:space="preserve">Security Act (the Act).  The authority for the right to an expedited determination is set forth at </w:t>
      </w:r>
      <w:r w:rsidR="004E697C" w:rsidRPr="00EE2C07">
        <w:t>Section</w:t>
      </w:r>
      <w:r w:rsidR="00E912E4">
        <w:t>s</w:t>
      </w:r>
      <w:r w:rsidR="004E697C" w:rsidRPr="00EE2C07">
        <w:t xml:space="preserve"> </w:t>
      </w:r>
      <w:r w:rsidR="004E697C" w:rsidRPr="00CA4821">
        <w:t>1869(c</w:t>
      </w:r>
      <w:proofErr w:type="gramStart"/>
      <w:r w:rsidR="004E697C" w:rsidRPr="00CA4821">
        <w:t>)(</w:t>
      </w:r>
      <w:proofErr w:type="gramEnd"/>
      <w:r w:rsidR="004E697C" w:rsidRPr="00CA4821">
        <w:t>3)(C)(iii)(III)</w:t>
      </w:r>
      <w:r w:rsidR="002362D4" w:rsidRPr="00CA4821">
        <w:t xml:space="preserve"> </w:t>
      </w:r>
      <w:r w:rsidR="00E912E4">
        <w:t>and 1154(a)</w:t>
      </w:r>
      <w:r w:rsidR="002362D4" w:rsidRPr="00CA4821">
        <w:t>of the Act</w:t>
      </w:r>
      <w:r w:rsidRPr="00CA4821">
        <w:t>.</w:t>
      </w:r>
      <w:r w:rsidR="002362D4" w:rsidRPr="00EE2C07">
        <w:t xml:space="preserve"> </w:t>
      </w:r>
    </w:p>
    <w:p w14:paraId="4646EC07" w14:textId="77777777" w:rsidR="00094AA6" w:rsidRDefault="00094AA6" w:rsidP="00DE4CF7">
      <w:pPr>
        <w:pStyle w:val="Body3"/>
      </w:pPr>
    </w:p>
    <w:p w14:paraId="29D9AAED" w14:textId="295D5702" w:rsidR="007111E8" w:rsidRPr="00094AA6" w:rsidRDefault="00046E2C" w:rsidP="00DE4CF7">
      <w:pPr>
        <w:pStyle w:val="Body3"/>
      </w:pPr>
      <w:r>
        <w:rPr>
          <w:rFonts w:cs="Arial"/>
        </w:rPr>
        <w:t xml:space="preserve">42 </w:t>
      </w:r>
      <w:proofErr w:type="spellStart"/>
      <w:r>
        <w:rPr>
          <w:rFonts w:cs="Arial"/>
        </w:rPr>
        <w:t>CFR</w:t>
      </w:r>
      <w:proofErr w:type="spellEnd"/>
      <w:r>
        <w:rPr>
          <w:rFonts w:cs="Arial"/>
        </w:rPr>
        <w:t xml:space="preserve"> </w:t>
      </w:r>
      <w:r w:rsidR="00F9094A">
        <w:rPr>
          <w:rFonts w:cs="Arial"/>
        </w:rPr>
        <w:t>405.1205</w:t>
      </w:r>
      <w:r>
        <w:rPr>
          <w:rFonts w:cs="Arial"/>
        </w:rPr>
        <w:t xml:space="preserve"> and </w:t>
      </w:r>
      <w:r w:rsidR="00F9094A">
        <w:rPr>
          <w:rFonts w:cs="Arial"/>
        </w:rPr>
        <w:t>422.620</w:t>
      </w:r>
      <w:r>
        <w:rPr>
          <w:rFonts w:cs="Arial"/>
        </w:rPr>
        <w:t xml:space="preserve"> </w:t>
      </w:r>
      <w:r w:rsidR="002362D4">
        <w:rPr>
          <w:rFonts w:cs="Arial"/>
        </w:rPr>
        <w:t xml:space="preserve">– </w:t>
      </w:r>
      <w:r w:rsidR="00094AA6">
        <w:rPr>
          <w:rFonts w:cs="Arial"/>
        </w:rPr>
        <w:t>T</w:t>
      </w:r>
      <w:r w:rsidR="007111E8">
        <w:rPr>
          <w:rFonts w:cs="Arial"/>
        </w:rPr>
        <w:t xml:space="preserve">he </w:t>
      </w:r>
      <w:r w:rsidR="00F9094A">
        <w:rPr>
          <w:rFonts w:cs="Arial"/>
        </w:rPr>
        <w:t>hospital mu</w:t>
      </w:r>
      <w:r w:rsidR="007111E8">
        <w:rPr>
          <w:rFonts w:cs="Arial"/>
        </w:rPr>
        <w:t xml:space="preserve">st deliver </w:t>
      </w:r>
      <w:r w:rsidR="00B21D9D">
        <w:rPr>
          <w:rFonts w:cs="Arial"/>
        </w:rPr>
        <w:t xml:space="preserve">valid, </w:t>
      </w:r>
      <w:r w:rsidR="007111E8">
        <w:rPr>
          <w:rFonts w:cs="Arial"/>
        </w:rPr>
        <w:t xml:space="preserve">written notice </w:t>
      </w:r>
      <w:r w:rsidR="002362D4">
        <w:rPr>
          <w:rFonts w:cs="Arial"/>
        </w:rPr>
        <w:t xml:space="preserve">(the IM) of a </w:t>
      </w:r>
      <w:r w:rsidR="00080A7C">
        <w:rPr>
          <w:rFonts w:cs="Arial"/>
        </w:rPr>
        <w:t xml:space="preserve">beneficiary’s </w:t>
      </w:r>
      <w:r w:rsidR="002362D4">
        <w:rPr>
          <w:rFonts w:cs="Arial"/>
        </w:rPr>
        <w:t xml:space="preserve">rights as a hospital </w:t>
      </w:r>
      <w:r w:rsidR="00C045DB">
        <w:rPr>
          <w:rFonts w:cs="Arial"/>
        </w:rPr>
        <w:t>in</w:t>
      </w:r>
      <w:r w:rsidR="002362D4">
        <w:rPr>
          <w:rFonts w:cs="Arial"/>
        </w:rPr>
        <w:t>patient</w:t>
      </w:r>
      <w:r w:rsidR="00080A7C">
        <w:rPr>
          <w:rFonts w:cs="Arial"/>
        </w:rPr>
        <w:t>,</w:t>
      </w:r>
      <w:r w:rsidR="002362D4">
        <w:rPr>
          <w:rFonts w:cs="Arial"/>
        </w:rPr>
        <w:t xml:space="preserve"> including discharge appeal rights</w:t>
      </w:r>
      <w:r w:rsidR="00094AA6">
        <w:rPr>
          <w:rFonts w:cs="Arial"/>
        </w:rPr>
        <w:t>,</w:t>
      </w:r>
      <w:r w:rsidR="005E2756">
        <w:rPr>
          <w:rFonts w:cs="Arial"/>
        </w:rPr>
        <w:t xml:space="preserve"> within 2 calendar days of admission</w:t>
      </w:r>
      <w:r w:rsidR="002362D4">
        <w:rPr>
          <w:rFonts w:cs="Arial"/>
        </w:rPr>
        <w:t>.</w:t>
      </w:r>
      <w:r w:rsidR="005E2756">
        <w:rPr>
          <w:rFonts w:cs="Arial"/>
        </w:rPr>
        <w:t xml:space="preserve">  A </w:t>
      </w:r>
      <w:r w:rsidR="00094AA6">
        <w:rPr>
          <w:rFonts w:cs="Arial"/>
        </w:rPr>
        <w:t xml:space="preserve">follow-up </w:t>
      </w:r>
      <w:r w:rsidR="005E2756">
        <w:rPr>
          <w:rFonts w:cs="Arial"/>
        </w:rPr>
        <w:t xml:space="preserve">copy of the </w:t>
      </w:r>
      <w:r w:rsidR="00D644BF">
        <w:rPr>
          <w:rFonts w:cs="Arial"/>
        </w:rPr>
        <w:t xml:space="preserve">signed </w:t>
      </w:r>
      <w:r w:rsidR="005E2756">
        <w:rPr>
          <w:rFonts w:cs="Arial"/>
        </w:rPr>
        <w:t xml:space="preserve">IM is given again no more than 2 calendar days </w:t>
      </w:r>
      <w:r w:rsidR="00094AA6">
        <w:rPr>
          <w:rFonts w:cs="Arial"/>
        </w:rPr>
        <w:t>before</w:t>
      </w:r>
      <w:r w:rsidR="00793245">
        <w:rPr>
          <w:rFonts w:cs="Arial"/>
        </w:rPr>
        <w:t xml:space="preserve"> discharge</w:t>
      </w:r>
      <w:r w:rsidR="005E2756">
        <w:rPr>
          <w:rFonts w:cs="Arial"/>
        </w:rPr>
        <w:t xml:space="preserve">. </w:t>
      </w:r>
      <w:r w:rsidR="002362D4">
        <w:rPr>
          <w:rFonts w:cs="Arial"/>
        </w:rPr>
        <w:t xml:space="preserve"> </w:t>
      </w:r>
      <w:r w:rsidR="00094AA6">
        <w:rPr>
          <w:rFonts w:cs="Arial"/>
        </w:rPr>
        <w:t>Follow-up notice is not required</w:t>
      </w:r>
      <w:r w:rsidR="0085074F">
        <w:rPr>
          <w:rFonts w:cs="Arial"/>
        </w:rPr>
        <w:t>,</w:t>
      </w:r>
      <w:r w:rsidR="00094AA6">
        <w:rPr>
          <w:rFonts w:cs="Arial"/>
        </w:rPr>
        <w:t xml:space="preserve"> if the admission IM </w:t>
      </w:r>
      <w:r w:rsidR="00080A7C">
        <w:rPr>
          <w:rFonts w:cs="Arial"/>
        </w:rPr>
        <w:t>is provided</w:t>
      </w:r>
      <w:r w:rsidR="00094AA6">
        <w:rPr>
          <w:rFonts w:cs="Arial"/>
        </w:rPr>
        <w:t xml:space="preserve"> within 2 calendar days of discharge. </w:t>
      </w:r>
    </w:p>
    <w:p w14:paraId="1E7F0C88" w14:textId="77777777" w:rsidR="007111E8" w:rsidRDefault="007111E8" w:rsidP="00DE4CF7">
      <w:pPr>
        <w:pStyle w:val="Body3"/>
      </w:pPr>
    </w:p>
    <w:p w14:paraId="0B108D5C" w14:textId="77777777" w:rsidR="007111E8" w:rsidRPr="005A4564" w:rsidRDefault="007111E8" w:rsidP="00DE4CF7">
      <w:pPr>
        <w:pStyle w:val="Body3"/>
      </w:pPr>
      <w:r w:rsidRPr="005A4564">
        <w:t>2.</w:t>
      </w:r>
      <w:r w:rsidRPr="005A4564">
        <w:tab/>
        <w:t>I</w:t>
      </w:r>
      <w:r w:rsidR="00DE4CF7">
        <w:t>nformation Users</w:t>
      </w:r>
    </w:p>
    <w:p w14:paraId="50005386" w14:textId="77777777" w:rsidR="00833D15" w:rsidRDefault="00833D15" w:rsidP="00DE4CF7">
      <w:pPr>
        <w:pStyle w:val="Body3"/>
      </w:pPr>
    </w:p>
    <w:p w14:paraId="272F0B3D" w14:textId="31B5F9D6" w:rsidR="00003146" w:rsidRDefault="00003146" w:rsidP="00003146">
      <w:pPr>
        <w:pStyle w:val="Body3"/>
      </w:pPr>
      <w:r>
        <w:t xml:space="preserve">Hospitals must deliver a hard copy of the IM to beneficiaries and enrollees at the time of admission, and a follow-up copy of the signed IM must be delivered at or near the time of discharge in many cases. </w:t>
      </w:r>
    </w:p>
    <w:p w14:paraId="02810F8E" w14:textId="77777777" w:rsidR="00003146" w:rsidRDefault="00003146" w:rsidP="00003146">
      <w:pPr>
        <w:pStyle w:val="Body3"/>
      </w:pPr>
    </w:p>
    <w:p w14:paraId="52CEFD13" w14:textId="31AA6C53" w:rsidR="00003146" w:rsidRDefault="00003146" w:rsidP="00003146">
      <w:pPr>
        <w:pStyle w:val="Body3"/>
      </w:pPr>
      <w:r>
        <w:t xml:space="preserve">The beneficiary must be given a paper copy of the signed IM, regardless of whether a paper or electronic version is issued and whether the signature is digitally captured or manually penned. </w:t>
      </w:r>
    </w:p>
    <w:p w14:paraId="41E1BEC1" w14:textId="77777777" w:rsidR="00252B4E" w:rsidRDefault="00252B4E" w:rsidP="00DE4CF7">
      <w:pPr>
        <w:pStyle w:val="Body3"/>
      </w:pPr>
    </w:p>
    <w:p w14:paraId="0C5FC8E2" w14:textId="77777777" w:rsidR="007111E8" w:rsidRDefault="007111E8" w:rsidP="00DE4CF7">
      <w:pPr>
        <w:pStyle w:val="Body3"/>
      </w:pPr>
      <w:r>
        <w:t>3.</w:t>
      </w:r>
      <w:r>
        <w:tab/>
      </w:r>
      <w:r w:rsidR="00DE4CF7">
        <w:t>Improved Information Technology</w:t>
      </w:r>
    </w:p>
    <w:p w14:paraId="51AA469D" w14:textId="77777777" w:rsidR="00807BEC" w:rsidRDefault="00807BEC" w:rsidP="00DE4CF7">
      <w:pPr>
        <w:pStyle w:val="Body3"/>
      </w:pPr>
    </w:p>
    <w:p w14:paraId="0C63DDF0" w14:textId="799271B4" w:rsidR="00ED727C" w:rsidRDefault="00170378" w:rsidP="00ED727C">
      <w:pPr>
        <w:pStyle w:val="Body3"/>
        <w:tabs>
          <w:tab w:val="left" w:pos="0"/>
        </w:tabs>
        <w:rPr>
          <w:rFonts w:cs="Arial"/>
        </w:rPr>
      </w:pPr>
      <w:r>
        <w:rPr>
          <w:rFonts w:cs="Arial"/>
        </w:rPr>
        <w:t xml:space="preserve">Hospitals </w:t>
      </w:r>
      <w:r w:rsidR="007111E8">
        <w:rPr>
          <w:rFonts w:cs="Arial"/>
        </w:rPr>
        <w:t xml:space="preserve">must deliver </w:t>
      </w:r>
      <w:r w:rsidR="00211CE8">
        <w:rPr>
          <w:rFonts w:cs="Arial"/>
        </w:rPr>
        <w:t xml:space="preserve">a </w:t>
      </w:r>
      <w:r w:rsidR="001667D4">
        <w:rPr>
          <w:rFonts w:cs="Arial"/>
        </w:rPr>
        <w:t>hard copy</w:t>
      </w:r>
      <w:r w:rsidR="00211CE8">
        <w:rPr>
          <w:rFonts w:cs="Arial"/>
        </w:rPr>
        <w:t xml:space="preserve"> of the </w:t>
      </w:r>
      <w:r w:rsidR="00FE4680">
        <w:rPr>
          <w:rFonts w:cs="Arial"/>
        </w:rPr>
        <w:t xml:space="preserve">IM to beneficiaries </w:t>
      </w:r>
      <w:r w:rsidR="00357F29">
        <w:rPr>
          <w:rFonts w:cs="Arial"/>
        </w:rPr>
        <w:t>and</w:t>
      </w:r>
      <w:r w:rsidR="00FE4680">
        <w:rPr>
          <w:rFonts w:cs="Arial"/>
        </w:rPr>
        <w:t xml:space="preserve"> enrollees at the tim</w:t>
      </w:r>
      <w:r w:rsidR="00665103">
        <w:rPr>
          <w:rFonts w:cs="Arial"/>
        </w:rPr>
        <w:t xml:space="preserve">e of </w:t>
      </w:r>
      <w:r w:rsidR="00CB0EBA">
        <w:rPr>
          <w:rFonts w:cs="Arial"/>
        </w:rPr>
        <w:t>admission</w:t>
      </w:r>
      <w:r w:rsidR="00665103">
        <w:rPr>
          <w:rFonts w:cs="Arial"/>
        </w:rPr>
        <w:t>, and a</w:t>
      </w:r>
      <w:r w:rsidR="00FE4680">
        <w:rPr>
          <w:rFonts w:cs="Arial"/>
        </w:rPr>
        <w:t xml:space="preserve"> </w:t>
      </w:r>
      <w:r w:rsidR="00357F29">
        <w:rPr>
          <w:rFonts w:cs="Arial"/>
        </w:rPr>
        <w:t xml:space="preserve">follow-up </w:t>
      </w:r>
      <w:r w:rsidR="00FE4680">
        <w:rPr>
          <w:rFonts w:cs="Arial"/>
        </w:rPr>
        <w:t>copy</w:t>
      </w:r>
      <w:r w:rsidR="00665103">
        <w:rPr>
          <w:rFonts w:cs="Arial"/>
        </w:rPr>
        <w:t xml:space="preserve"> of the signed IM</w:t>
      </w:r>
      <w:r w:rsidR="00FE4680">
        <w:rPr>
          <w:rFonts w:cs="Arial"/>
        </w:rPr>
        <w:t xml:space="preserve"> must be delivered at or near the time of discharge</w:t>
      </w:r>
      <w:r w:rsidR="00A26A32">
        <w:rPr>
          <w:rFonts w:cs="Arial"/>
        </w:rPr>
        <w:t xml:space="preserve"> in many cases</w:t>
      </w:r>
      <w:r w:rsidR="00211CE8" w:rsidRPr="0060301F">
        <w:rPr>
          <w:rFonts w:cs="Arial"/>
        </w:rPr>
        <w:t xml:space="preserve">. </w:t>
      </w:r>
      <w:r w:rsidR="007111E8" w:rsidRPr="0060301F">
        <w:rPr>
          <w:rFonts w:cs="Arial"/>
        </w:rPr>
        <w:t xml:space="preserve"> </w:t>
      </w:r>
      <w:r w:rsidR="00ED727C" w:rsidRPr="00ED727C">
        <w:rPr>
          <w:rFonts w:cs="Arial"/>
        </w:rPr>
        <w:t xml:space="preserve">Hospitals may store the signed copy of the IM </w:t>
      </w:r>
      <w:r w:rsidR="00ED727C">
        <w:rPr>
          <w:rFonts w:cs="Arial"/>
        </w:rPr>
        <w:t xml:space="preserve">electronically if electronic medical records are maintained. </w:t>
      </w:r>
    </w:p>
    <w:p w14:paraId="6E45FF0D" w14:textId="77777777" w:rsidR="00EF0162" w:rsidRPr="00ED727C" w:rsidRDefault="00EF0162" w:rsidP="00ED727C">
      <w:pPr>
        <w:pStyle w:val="Body3"/>
        <w:tabs>
          <w:tab w:val="left" w:pos="0"/>
        </w:tabs>
        <w:rPr>
          <w:rFonts w:cs="Arial"/>
        </w:rPr>
      </w:pPr>
    </w:p>
    <w:p w14:paraId="0E567EC7" w14:textId="63E9BB45" w:rsidR="0060301F" w:rsidRPr="0060301F" w:rsidRDefault="0060301F" w:rsidP="0060301F">
      <w:pPr>
        <w:pStyle w:val="Body3"/>
        <w:tabs>
          <w:tab w:val="left" w:pos="0"/>
        </w:tabs>
        <w:rPr>
          <w:rFonts w:cs="Arial"/>
        </w:rPr>
      </w:pPr>
      <w:r w:rsidRPr="0060301F">
        <w:rPr>
          <w:rFonts w:cs="Arial"/>
        </w:rPr>
        <w:t>If a hospital elects to issue an IM that is viewed on an electronic screen before signing, the beneficiary must be given the option of requesting paper issuance</w:t>
      </w:r>
      <w:r w:rsidR="00185319">
        <w:rPr>
          <w:rFonts w:cs="Arial"/>
        </w:rPr>
        <w:t>,</w:t>
      </w:r>
      <w:r w:rsidRPr="0060301F">
        <w:rPr>
          <w:rFonts w:cs="Arial"/>
        </w:rPr>
        <w:t xml:space="preserve"> </w:t>
      </w:r>
      <w:r w:rsidR="00357F29">
        <w:rPr>
          <w:rFonts w:cs="Arial"/>
        </w:rPr>
        <w:t xml:space="preserve">rather than </w:t>
      </w:r>
      <w:r w:rsidRPr="0060301F">
        <w:rPr>
          <w:rFonts w:cs="Arial"/>
        </w:rPr>
        <w:t xml:space="preserve">electronic </w:t>
      </w:r>
      <w:r w:rsidR="00357F29">
        <w:rPr>
          <w:rFonts w:cs="Arial"/>
        </w:rPr>
        <w:t>issuance</w:t>
      </w:r>
      <w:r w:rsidR="00185319">
        <w:rPr>
          <w:rFonts w:cs="Arial"/>
        </w:rPr>
        <w:t xml:space="preserve">. </w:t>
      </w:r>
      <w:r w:rsidRPr="0060301F">
        <w:rPr>
          <w:rFonts w:cs="Arial"/>
        </w:rPr>
        <w:t xml:space="preserve"> </w:t>
      </w:r>
      <w:r w:rsidR="00185319">
        <w:rPr>
          <w:rFonts w:cs="Arial"/>
        </w:rPr>
        <w:t>T</w:t>
      </w:r>
      <w:r w:rsidR="00185319" w:rsidRPr="00185319">
        <w:rPr>
          <w:rFonts w:cs="Arial"/>
        </w:rPr>
        <w:t>he beneficiary must be given a paper copy of the signed IM</w:t>
      </w:r>
      <w:r w:rsidR="00185319">
        <w:rPr>
          <w:rFonts w:cs="Arial"/>
        </w:rPr>
        <w:t>,</w:t>
      </w:r>
      <w:r w:rsidR="00185319" w:rsidRPr="00185319" w:rsidDel="00A26A32">
        <w:rPr>
          <w:rFonts w:cs="Arial"/>
        </w:rPr>
        <w:t xml:space="preserve"> </w:t>
      </w:r>
      <w:r w:rsidR="00185319">
        <w:rPr>
          <w:rFonts w:cs="Arial"/>
        </w:rPr>
        <w:t>r</w:t>
      </w:r>
      <w:r w:rsidRPr="0060301F">
        <w:rPr>
          <w:rFonts w:cs="Arial"/>
        </w:rPr>
        <w:t xml:space="preserve">egardless of whether a paper or electronic version is issued and whether the signature is digitally captured or manually penned. </w:t>
      </w:r>
    </w:p>
    <w:p w14:paraId="274A3EE2" w14:textId="77777777" w:rsidR="00807BEC" w:rsidRDefault="00807BEC" w:rsidP="00DE4CF7">
      <w:pPr>
        <w:pStyle w:val="Body3"/>
        <w:rPr>
          <w:rFonts w:cs="Arial"/>
        </w:rPr>
      </w:pPr>
    </w:p>
    <w:p w14:paraId="665B2C7B" w14:textId="4F9DC23F" w:rsidR="007111E8" w:rsidRDefault="0060301F" w:rsidP="00DE4CF7">
      <w:pPr>
        <w:pStyle w:val="Body3"/>
        <w:rPr>
          <w:rFonts w:cs="Arial"/>
        </w:rPr>
      </w:pPr>
      <w:r>
        <w:rPr>
          <w:rFonts w:cs="Arial"/>
        </w:rPr>
        <w:t>I</w:t>
      </w:r>
      <w:r w:rsidR="00974F2E">
        <w:rPr>
          <w:rFonts w:cs="Arial"/>
        </w:rPr>
        <w:t>n cases where the benef</w:t>
      </w:r>
      <w:r w:rsidR="005C5264">
        <w:rPr>
          <w:rFonts w:cs="Arial"/>
        </w:rPr>
        <w:t xml:space="preserve">iciary has a representative who is not physically available, hospitals are permitted to give </w:t>
      </w:r>
      <w:r w:rsidR="005255E4">
        <w:rPr>
          <w:rFonts w:cs="Arial"/>
        </w:rPr>
        <w:t xml:space="preserve">the IM </w:t>
      </w:r>
      <w:r w:rsidR="005C5264">
        <w:rPr>
          <w:rFonts w:cs="Arial"/>
        </w:rPr>
        <w:t>by telephone</w:t>
      </w:r>
      <w:r w:rsidR="00565D2C">
        <w:rPr>
          <w:rFonts w:cs="Arial"/>
        </w:rPr>
        <w:t>,</w:t>
      </w:r>
      <w:r w:rsidR="005C5264">
        <w:rPr>
          <w:rFonts w:cs="Arial"/>
        </w:rPr>
        <w:t xml:space="preserve"> </w:t>
      </w:r>
      <w:r w:rsidR="00565D2C">
        <w:rPr>
          <w:rFonts w:cs="Arial"/>
        </w:rPr>
        <w:t xml:space="preserve">provided </w:t>
      </w:r>
      <w:r w:rsidR="00357F29">
        <w:rPr>
          <w:rFonts w:cs="Arial"/>
        </w:rPr>
        <w:t xml:space="preserve">a </w:t>
      </w:r>
      <w:r w:rsidR="005C5264">
        <w:rPr>
          <w:rFonts w:cs="Arial"/>
        </w:rPr>
        <w:t xml:space="preserve">hard copy </w:t>
      </w:r>
      <w:r w:rsidR="00357F29">
        <w:rPr>
          <w:rFonts w:cs="Arial"/>
        </w:rPr>
        <w:t xml:space="preserve">is </w:t>
      </w:r>
      <w:r w:rsidR="005C5264">
        <w:rPr>
          <w:rFonts w:cs="Arial"/>
        </w:rPr>
        <w:t>delivered to the representative</w:t>
      </w:r>
      <w:r w:rsidR="00A26A32">
        <w:rPr>
          <w:rFonts w:cs="Arial"/>
        </w:rPr>
        <w:t xml:space="preserve"> for signature</w:t>
      </w:r>
      <w:r w:rsidR="005C5264">
        <w:rPr>
          <w:rFonts w:cs="Arial"/>
        </w:rPr>
        <w:t xml:space="preserve">. </w:t>
      </w:r>
    </w:p>
    <w:p w14:paraId="52C6565B" w14:textId="77777777" w:rsidR="00ED727C" w:rsidRDefault="00ED727C" w:rsidP="00DE4CF7">
      <w:pPr>
        <w:pStyle w:val="Body3"/>
        <w:rPr>
          <w:rFonts w:cs="Arial"/>
        </w:rPr>
      </w:pPr>
    </w:p>
    <w:p w14:paraId="1DEBBB93" w14:textId="77777777" w:rsidR="007111E8" w:rsidRPr="00DE4CF7" w:rsidRDefault="007111E8" w:rsidP="00DE4CF7">
      <w:pPr>
        <w:pStyle w:val="Body3"/>
        <w:rPr>
          <w:rFonts w:cs="Arial"/>
        </w:rPr>
      </w:pPr>
      <w:r>
        <w:rPr>
          <w:rFonts w:cs="Arial"/>
        </w:rPr>
        <w:t>4.</w:t>
      </w:r>
      <w:r>
        <w:rPr>
          <w:rFonts w:cs="Arial"/>
        </w:rPr>
        <w:tab/>
      </w:r>
      <w:r w:rsidRPr="00DE4CF7">
        <w:rPr>
          <w:rFonts w:cs="Arial"/>
        </w:rPr>
        <w:t>D</w:t>
      </w:r>
      <w:r w:rsidR="00DE4CF7">
        <w:rPr>
          <w:rFonts w:cs="Arial"/>
        </w:rPr>
        <w:t>uplication of Similar Information</w:t>
      </w:r>
    </w:p>
    <w:p w14:paraId="7787BA0F" w14:textId="77777777" w:rsidR="007111E8" w:rsidRDefault="007111E8" w:rsidP="00DE4CF7">
      <w:pPr>
        <w:pStyle w:val="Body3"/>
        <w:rPr>
          <w:rFonts w:cs="Arial"/>
          <w:u w:val="single"/>
        </w:rPr>
      </w:pPr>
    </w:p>
    <w:p w14:paraId="587611D4" w14:textId="7B36FF51" w:rsidR="0045077D" w:rsidRDefault="0045077D" w:rsidP="00DE4CF7">
      <w:pPr>
        <w:pStyle w:val="Body3"/>
        <w:rPr>
          <w:rFonts w:cs="Arial"/>
        </w:rPr>
      </w:pPr>
      <w:r>
        <w:rPr>
          <w:rFonts w:cs="Arial"/>
        </w:rPr>
        <w:t>There will not be any duplication of similar information</w:t>
      </w:r>
      <w:r w:rsidRPr="0045077D">
        <w:rPr>
          <w:rFonts w:cs="Arial"/>
        </w:rPr>
        <w:t>.  Therefore, this item is not applicable.</w:t>
      </w:r>
    </w:p>
    <w:p w14:paraId="070C6412" w14:textId="77777777" w:rsidR="00B73C22" w:rsidRDefault="00B73C22" w:rsidP="00DE4CF7">
      <w:pPr>
        <w:pStyle w:val="Body3"/>
        <w:rPr>
          <w:rFonts w:cs="Arial"/>
        </w:rPr>
      </w:pPr>
    </w:p>
    <w:p w14:paraId="0167C08A" w14:textId="77777777" w:rsidR="007111E8" w:rsidRPr="00DE4CF7" w:rsidRDefault="007111E8" w:rsidP="00DE4CF7">
      <w:pPr>
        <w:pStyle w:val="Body3"/>
        <w:rPr>
          <w:rFonts w:cs="Arial"/>
        </w:rPr>
      </w:pPr>
      <w:r>
        <w:rPr>
          <w:rFonts w:cs="Arial"/>
        </w:rPr>
        <w:lastRenderedPageBreak/>
        <w:t>5.</w:t>
      </w:r>
      <w:r>
        <w:rPr>
          <w:rFonts w:cs="Arial"/>
        </w:rPr>
        <w:tab/>
      </w:r>
      <w:r w:rsidR="00DE4CF7">
        <w:rPr>
          <w:rFonts w:cs="Arial"/>
        </w:rPr>
        <w:t>Small Business</w:t>
      </w:r>
      <w:r w:rsidRPr="00DE4CF7">
        <w:rPr>
          <w:rFonts w:cs="Arial"/>
        </w:rPr>
        <w:t xml:space="preserve"> </w:t>
      </w:r>
    </w:p>
    <w:p w14:paraId="045211E1" w14:textId="77777777" w:rsidR="007111E8" w:rsidRDefault="007111E8" w:rsidP="00DE4CF7">
      <w:pPr>
        <w:pStyle w:val="Body3"/>
        <w:rPr>
          <w:rFonts w:cs="Arial"/>
        </w:rPr>
      </w:pPr>
    </w:p>
    <w:p w14:paraId="5B848A81" w14:textId="1005EE9A" w:rsidR="00CF2595" w:rsidRDefault="005C5264" w:rsidP="00DE4CF7">
      <w:pPr>
        <w:pStyle w:val="Body3"/>
        <w:rPr>
          <w:rFonts w:cs="Arial"/>
        </w:rPr>
      </w:pPr>
      <w:r>
        <w:rPr>
          <w:rFonts w:cs="Arial"/>
        </w:rPr>
        <w:t xml:space="preserve">All hospitals are expected to give the IM in relevant situations. </w:t>
      </w:r>
      <w:r w:rsidR="00854558">
        <w:rPr>
          <w:rFonts w:cs="Arial"/>
        </w:rPr>
        <w:t xml:space="preserve"> </w:t>
      </w:r>
      <w:r>
        <w:rPr>
          <w:rFonts w:cs="Arial"/>
        </w:rPr>
        <w:t xml:space="preserve">The requirement does not impose any greater burden on small businesses than on large businesses since there is no difference in the information collected. </w:t>
      </w:r>
    </w:p>
    <w:p w14:paraId="06C24AD2" w14:textId="77777777" w:rsidR="005C5264" w:rsidRDefault="005C5264" w:rsidP="00DE4CF7">
      <w:pPr>
        <w:pStyle w:val="Body3"/>
        <w:rPr>
          <w:rFonts w:cs="Arial"/>
        </w:rPr>
      </w:pPr>
    </w:p>
    <w:p w14:paraId="245AB876" w14:textId="77777777" w:rsidR="008022E7" w:rsidRDefault="007111E8" w:rsidP="00DE4CF7">
      <w:pPr>
        <w:pStyle w:val="Body3"/>
        <w:rPr>
          <w:rFonts w:cs="Arial"/>
        </w:rPr>
      </w:pPr>
      <w:r>
        <w:rPr>
          <w:rFonts w:cs="Arial"/>
        </w:rPr>
        <w:t>6.</w:t>
      </w:r>
      <w:r>
        <w:rPr>
          <w:rFonts w:cs="Arial"/>
        </w:rPr>
        <w:tab/>
      </w:r>
      <w:r w:rsidR="00DE4CF7">
        <w:rPr>
          <w:rFonts w:cs="Arial"/>
        </w:rPr>
        <w:t>Less Frequent Collection</w:t>
      </w:r>
      <w:r w:rsidR="00DE4CF7">
        <w:rPr>
          <w:rFonts w:cs="Arial"/>
        </w:rPr>
        <w:br/>
      </w:r>
    </w:p>
    <w:p w14:paraId="32BC1347" w14:textId="47635637" w:rsidR="00535A06" w:rsidRDefault="008022E7" w:rsidP="00DE4CF7">
      <w:pPr>
        <w:pStyle w:val="Body3"/>
        <w:rPr>
          <w:rFonts w:cs="Arial"/>
        </w:rPr>
      </w:pPr>
      <w:r>
        <w:rPr>
          <w:rFonts w:cs="Arial"/>
        </w:rPr>
        <w:t>None.</w:t>
      </w:r>
    </w:p>
    <w:p w14:paraId="0347870A" w14:textId="77777777" w:rsidR="008022E7" w:rsidRDefault="008022E7" w:rsidP="00DE4CF7">
      <w:pPr>
        <w:pStyle w:val="Body3"/>
        <w:rPr>
          <w:rFonts w:cs="Arial"/>
        </w:rPr>
      </w:pPr>
    </w:p>
    <w:p w14:paraId="743C5EEF" w14:textId="77777777" w:rsidR="007111E8" w:rsidRDefault="007111E8" w:rsidP="00DE4CF7">
      <w:pPr>
        <w:pStyle w:val="Body3"/>
        <w:rPr>
          <w:rFonts w:cs="Arial"/>
          <w:u w:val="single"/>
        </w:rPr>
      </w:pPr>
      <w:r>
        <w:rPr>
          <w:rFonts w:cs="Arial"/>
        </w:rPr>
        <w:t>7.</w:t>
      </w:r>
      <w:r>
        <w:rPr>
          <w:rFonts w:cs="Arial"/>
        </w:rPr>
        <w:tab/>
      </w:r>
      <w:r w:rsidR="00DE4CF7">
        <w:rPr>
          <w:rFonts w:cs="Arial"/>
        </w:rPr>
        <w:t>Special Circumstances</w:t>
      </w:r>
      <w:r>
        <w:rPr>
          <w:rFonts w:cs="Arial"/>
          <w:u w:val="single"/>
        </w:rPr>
        <w:t xml:space="preserve"> </w:t>
      </w:r>
    </w:p>
    <w:p w14:paraId="564BCCB9" w14:textId="77777777" w:rsidR="00386EC6" w:rsidRDefault="00386EC6" w:rsidP="001406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14:paraId="3ACB6468" w14:textId="77777777" w:rsidR="001406C1" w:rsidRPr="000F6BB9" w:rsidRDefault="001406C1" w:rsidP="001406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r w:rsidRPr="000F6BB9">
        <w:rPr>
          <w:rFonts w:ascii="Century Gothic" w:hAnsi="Century Gothic"/>
        </w:rPr>
        <w:t>There are no special circumstances that would require an information collection to be conducted in a manner that requires respondents to:</w:t>
      </w:r>
    </w:p>
    <w:p w14:paraId="27D7C0ED" w14:textId="77777777" w:rsidR="001406C1" w:rsidRPr="000F6BB9" w:rsidRDefault="001406C1" w:rsidP="001406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entury Gothic" w:hAnsi="Century Gothic"/>
        </w:rPr>
      </w:pPr>
    </w:p>
    <w:p w14:paraId="1B110118" w14:textId="77777777"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Report information to the agency more often than quarterly;</w:t>
      </w:r>
    </w:p>
    <w:p w14:paraId="7663A3A6" w14:textId="77777777"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 xml:space="preserve">Prepare a written response to a collection of information in fewer than 30 days after receipt of it; </w:t>
      </w:r>
    </w:p>
    <w:p w14:paraId="6789FE67" w14:textId="77777777"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Submit more than an original and two copies of any document;</w:t>
      </w:r>
    </w:p>
    <w:p w14:paraId="33F1B339" w14:textId="77777777"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Retain records, other than health, medical, government contract, grant-in-aid, or tax records for more than three years;</w:t>
      </w:r>
    </w:p>
    <w:p w14:paraId="5A756A92" w14:textId="154B1D58"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Collect data in connection with a statistical survey that is not designed to produce valid and reliable results that can be generalized to the universe of study,</w:t>
      </w:r>
    </w:p>
    <w:p w14:paraId="65864D36" w14:textId="77777777"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Use a statistical data classification that has not been reviewed and approved by OMB;</w:t>
      </w:r>
    </w:p>
    <w:p w14:paraId="6C4CF937" w14:textId="31A11349"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001A2B2" w14:textId="72F360F6" w:rsidR="001406C1" w:rsidRPr="00C16A2E" w:rsidRDefault="001406C1" w:rsidP="00C16A2E">
      <w:pPr>
        <w:pStyle w:val="ListParagraph"/>
        <w:widowControl w:val="0"/>
        <w:numPr>
          <w:ilvl w:val="0"/>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entury Gothic" w:hAnsi="Century Gothic"/>
        </w:rPr>
      </w:pPr>
      <w:r w:rsidRPr="00C16A2E">
        <w:rPr>
          <w:rFonts w:ascii="Century Gothic" w:hAnsi="Century Gothic"/>
        </w:rPr>
        <w:t>Submit proprietary trade secret, or other confidential information unless the agency can demonstrate that it has instituted procedures to protect the information's confidentiality to the extent permitted by law.</w:t>
      </w:r>
    </w:p>
    <w:p w14:paraId="24DF303F" w14:textId="77777777" w:rsidR="00BB09DC" w:rsidRDefault="00BB09DC" w:rsidP="00DE4CF7">
      <w:pPr>
        <w:pStyle w:val="Body3"/>
        <w:rPr>
          <w:rFonts w:cs="Arial"/>
        </w:rPr>
      </w:pPr>
    </w:p>
    <w:p w14:paraId="4C2C88B1" w14:textId="77777777" w:rsidR="007111E8" w:rsidRDefault="007111E8" w:rsidP="00DE4CF7">
      <w:pPr>
        <w:pStyle w:val="Body3"/>
        <w:rPr>
          <w:rFonts w:cs="Arial"/>
          <w:u w:val="single"/>
        </w:rPr>
      </w:pPr>
      <w:r w:rsidRPr="00682920">
        <w:rPr>
          <w:rFonts w:cs="Arial"/>
        </w:rPr>
        <w:t>8.</w:t>
      </w:r>
      <w:r w:rsidRPr="00682920">
        <w:rPr>
          <w:rFonts w:cs="Arial"/>
        </w:rPr>
        <w:tab/>
      </w:r>
      <w:r w:rsidR="00DE4CF7" w:rsidRPr="00785E73">
        <w:rPr>
          <w:rFonts w:cs="Arial"/>
          <w:i/>
        </w:rPr>
        <w:t>Federal Register</w:t>
      </w:r>
      <w:r w:rsidR="00DE4CF7">
        <w:rPr>
          <w:rFonts w:cs="Arial"/>
        </w:rPr>
        <w:t xml:space="preserve"> Notice/Outside Consultation</w:t>
      </w:r>
    </w:p>
    <w:p w14:paraId="46ECD86C" w14:textId="77777777" w:rsidR="00E0099C" w:rsidRPr="00316383" w:rsidRDefault="00E0099C" w:rsidP="00E0099C">
      <w:pPr>
        <w:rPr>
          <w:rFonts w:ascii="Century Gothic" w:hAnsi="Century Gothic" w:cs="Arial"/>
          <w:u w:val="single"/>
        </w:rPr>
      </w:pPr>
    </w:p>
    <w:p w14:paraId="073784D3" w14:textId="2E85AD1B" w:rsidR="00E0099C" w:rsidRPr="00316383" w:rsidRDefault="00E0099C" w:rsidP="00E0099C">
      <w:pPr>
        <w:rPr>
          <w:rFonts w:ascii="Century Gothic" w:hAnsi="Century Gothic" w:cs="Arial"/>
          <w:u w:val="single"/>
        </w:rPr>
      </w:pPr>
      <w:r w:rsidRPr="000F6BB9">
        <w:rPr>
          <w:rFonts w:ascii="Century Gothic" w:hAnsi="Century Gothic"/>
        </w:rPr>
        <w:t xml:space="preserve">The 60-day notice published in the Federal Register on </w:t>
      </w:r>
      <w:r w:rsidR="00105D4B">
        <w:rPr>
          <w:rFonts w:ascii="Century Gothic" w:hAnsi="Century Gothic"/>
        </w:rPr>
        <w:t>December 8</w:t>
      </w:r>
      <w:bookmarkStart w:id="0" w:name="_GoBack"/>
      <w:bookmarkEnd w:id="0"/>
      <w:r w:rsidRPr="000F6BB9">
        <w:rPr>
          <w:rFonts w:ascii="Century Gothic" w:hAnsi="Century Gothic"/>
        </w:rPr>
        <w:t xml:space="preserve">, </w:t>
      </w:r>
      <w:r w:rsidRPr="00823168">
        <w:rPr>
          <w:rFonts w:ascii="Century Gothic" w:hAnsi="Century Gothic"/>
        </w:rPr>
        <w:t xml:space="preserve">2015 (80 FR </w:t>
      </w:r>
      <w:r w:rsidR="00105D4B" w:rsidRPr="00823168">
        <w:rPr>
          <w:rFonts w:ascii="Century Gothic" w:hAnsi="Century Gothic"/>
        </w:rPr>
        <w:t>76293</w:t>
      </w:r>
      <w:r w:rsidRPr="00823168">
        <w:rPr>
          <w:rFonts w:ascii="Century Gothic" w:hAnsi="Century Gothic"/>
        </w:rPr>
        <w:t xml:space="preserve">). </w:t>
      </w:r>
      <w:r w:rsidR="00296460">
        <w:rPr>
          <w:rFonts w:ascii="Century Gothic" w:hAnsi="Century Gothic"/>
        </w:rPr>
        <w:t xml:space="preserve"> </w:t>
      </w:r>
      <w:r w:rsidR="00105D4B" w:rsidRPr="00823168">
        <w:rPr>
          <w:rFonts w:ascii="Century Gothic" w:hAnsi="Century Gothic"/>
        </w:rPr>
        <w:t>A comment was received, but it was not relevant to this collection</w:t>
      </w:r>
      <w:r w:rsidRPr="00823168">
        <w:rPr>
          <w:rFonts w:ascii="Century Gothic" w:hAnsi="Century Gothic"/>
        </w:rPr>
        <w:t>.</w:t>
      </w:r>
      <w:r w:rsidR="00823168" w:rsidRPr="00823168">
        <w:rPr>
          <w:rFonts w:ascii="Century Gothic" w:hAnsi="Century Gothic"/>
        </w:rPr>
        <w:t xml:space="preserve"> </w:t>
      </w:r>
      <w:r w:rsidR="00823168">
        <w:rPr>
          <w:rFonts w:ascii="Century Gothic" w:hAnsi="Century Gothic"/>
        </w:rPr>
        <w:t>Consequently, w</w:t>
      </w:r>
      <w:r w:rsidR="00823168" w:rsidRPr="00823168">
        <w:rPr>
          <w:rFonts w:ascii="Century Gothic" w:hAnsi="Century Gothic"/>
        </w:rPr>
        <w:t xml:space="preserve">e are not providing a </w:t>
      </w:r>
      <w:r w:rsidR="00823168">
        <w:rPr>
          <w:rFonts w:ascii="Century Gothic" w:hAnsi="Century Gothic"/>
        </w:rPr>
        <w:t xml:space="preserve">separate </w:t>
      </w:r>
      <w:r w:rsidR="00823168" w:rsidRPr="00823168">
        <w:rPr>
          <w:rFonts w:ascii="Century Gothic" w:hAnsi="Century Gothic"/>
        </w:rPr>
        <w:t>response.</w:t>
      </w:r>
    </w:p>
    <w:p w14:paraId="69C8788D" w14:textId="4AC5A365" w:rsidR="00C34948" w:rsidRPr="00C34948" w:rsidRDefault="00C34948" w:rsidP="00C34948">
      <w:pPr>
        <w:rPr>
          <w:rFonts w:ascii="Century Gothic" w:hAnsi="Century Gothic" w:cs="Arial"/>
          <w:color w:val="000000"/>
          <w:szCs w:val="20"/>
        </w:rPr>
      </w:pPr>
      <w:r>
        <w:rPr>
          <w:rFonts w:cs="Arial"/>
        </w:rPr>
        <w:br w:type="page"/>
      </w:r>
    </w:p>
    <w:p w14:paraId="55268A31" w14:textId="77777777" w:rsidR="007111E8" w:rsidRDefault="007111E8" w:rsidP="00DE4CF7">
      <w:pPr>
        <w:pStyle w:val="Body3"/>
      </w:pPr>
      <w:r>
        <w:lastRenderedPageBreak/>
        <w:t>9.</w:t>
      </w:r>
      <w:r>
        <w:tab/>
        <w:t>P</w:t>
      </w:r>
      <w:r w:rsidR="00446997">
        <w:t>ayment/ Gift to Respondent</w:t>
      </w:r>
    </w:p>
    <w:p w14:paraId="42905A02" w14:textId="77777777" w:rsidR="007111E8" w:rsidRDefault="007111E8" w:rsidP="00DE4CF7">
      <w:pPr>
        <w:pStyle w:val="Body3"/>
      </w:pPr>
    </w:p>
    <w:p w14:paraId="36D9E142" w14:textId="6C97063A" w:rsidR="007111E8" w:rsidRDefault="007111E8" w:rsidP="00DE4CF7">
      <w:pPr>
        <w:pStyle w:val="Body3"/>
      </w:pPr>
      <w:r>
        <w:t xml:space="preserve">We </w:t>
      </w:r>
      <w:r w:rsidR="005255E4">
        <w:t xml:space="preserve">will not </w:t>
      </w:r>
      <w:r>
        <w:t>provide payment or gifts to respondents.</w:t>
      </w:r>
      <w:r w:rsidR="001D31F0">
        <w:t xml:space="preserve">  </w:t>
      </w:r>
      <w:r w:rsidR="001D31F0" w:rsidRPr="001D31F0">
        <w:t>Therefore, this item is not applicable.</w:t>
      </w:r>
    </w:p>
    <w:p w14:paraId="5FA37558" w14:textId="77777777" w:rsidR="007111E8" w:rsidRDefault="007111E8" w:rsidP="00DE4CF7">
      <w:pPr>
        <w:pStyle w:val="Body3"/>
      </w:pPr>
    </w:p>
    <w:p w14:paraId="1CD99F0A" w14:textId="77777777" w:rsidR="007111E8" w:rsidRDefault="007111E8" w:rsidP="00DE4CF7">
      <w:pPr>
        <w:pStyle w:val="Body3"/>
      </w:pPr>
      <w:r>
        <w:t>10.</w:t>
      </w:r>
      <w:r>
        <w:tab/>
        <w:t>C</w:t>
      </w:r>
      <w:r w:rsidR="00446997">
        <w:t>onfidentiality</w:t>
      </w:r>
    </w:p>
    <w:p w14:paraId="63B715F4" w14:textId="77777777" w:rsidR="007111E8" w:rsidRDefault="007111E8" w:rsidP="00DE4CF7">
      <w:pPr>
        <w:pStyle w:val="Body3"/>
      </w:pPr>
    </w:p>
    <w:p w14:paraId="01D20AE2" w14:textId="77777777" w:rsidR="007111E8" w:rsidRDefault="007111E8" w:rsidP="00DE4CF7">
      <w:pPr>
        <w:pStyle w:val="Body3"/>
      </w:pPr>
      <w:r>
        <w:t xml:space="preserve">We are not collecting information.  The provider and </w:t>
      </w:r>
      <w:proofErr w:type="spellStart"/>
      <w:r>
        <w:t>QIO</w:t>
      </w:r>
      <w:proofErr w:type="spellEnd"/>
      <w:r>
        <w:t xml:space="preserve"> will maintain records of notices and decisions, but those records do not become part of a federal system of records.  Therefore, this item is not applicable.</w:t>
      </w:r>
    </w:p>
    <w:p w14:paraId="71F84063" w14:textId="77777777" w:rsidR="007111E8" w:rsidRDefault="007111E8" w:rsidP="00DE4CF7">
      <w:pPr>
        <w:pStyle w:val="Body3"/>
      </w:pPr>
    </w:p>
    <w:p w14:paraId="5BCB1053" w14:textId="77777777" w:rsidR="007111E8" w:rsidRDefault="007111E8" w:rsidP="00DE4CF7">
      <w:pPr>
        <w:pStyle w:val="Body3"/>
      </w:pPr>
      <w:r>
        <w:t>11.</w:t>
      </w:r>
      <w:r>
        <w:tab/>
        <w:t>S</w:t>
      </w:r>
      <w:r w:rsidR="00446997">
        <w:t>ensitive Questions</w:t>
      </w:r>
    </w:p>
    <w:p w14:paraId="183E2263" w14:textId="77777777" w:rsidR="00446997" w:rsidRDefault="00446997" w:rsidP="00DE4CF7">
      <w:pPr>
        <w:pStyle w:val="Body3"/>
      </w:pPr>
    </w:p>
    <w:p w14:paraId="22B9E877" w14:textId="77777777" w:rsidR="007111E8" w:rsidRPr="00DD6217" w:rsidRDefault="007111E8" w:rsidP="00DE4CF7">
      <w:pPr>
        <w:pStyle w:val="Body3"/>
      </w:pPr>
      <w:r>
        <w:t xml:space="preserve">We do not require beneficiaries to answer any sensitive questions.  </w:t>
      </w:r>
      <w:r w:rsidRPr="00DD6217">
        <w:t>Therefore, this item is not applicable.</w:t>
      </w:r>
    </w:p>
    <w:p w14:paraId="5117CF0F" w14:textId="77777777" w:rsidR="007111E8" w:rsidRPr="00DD6217" w:rsidRDefault="007111E8" w:rsidP="00DE4CF7">
      <w:pPr>
        <w:pStyle w:val="Body3"/>
      </w:pPr>
    </w:p>
    <w:p w14:paraId="196F4446" w14:textId="77777777" w:rsidR="003F19A6" w:rsidRPr="00560B69" w:rsidRDefault="00446997" w:rsidP="00DE4CF7">
      <w:pPr>
        <w:pStyle w:val="Body3"/>
      </w:pPr>
      <w:r>
        <w:t xml:space="preserve">12.  </w:t>
      </w:r>
      <w:r>
        <w:tab/>
        <w:t>Burden Estimate</w:t>
      </w:r>
      <w:r w:rsidR="003F19A6" w:rsidRPr="00560B69">
        <w:t xml:space="preserve"> </w:t>
      </w:r>
    </w:p>
    <w:p w14:paraId="5C9AF264" w14:textId="77777777" w:rsidR="003F19A6" w:rsidRDefault="003F19A6" w:rsidP="00DE4CF7">
      <w:pPr>
        <w:pStyle w:val="Body3"/>
      </w:pPr>
    </w:p>
    <w:p w14:paraId="1310AD01" w14:textId="1B1A424B" w:rsidR="001111F3" w:rsidRPr="001111F3" w:rsidRDefault="001111F3" w:rsidP="001111F3">
      <w:pPr>
        <w:pStyle w:val="Body3"/>
      </w:pPr>
      <w:r w:rsidRPr="001111F3">
        <w:t xml:space="preserve">According to the </w:t>
      </w:r>
      <w:proofErr w:type="spellStart"/>
      <w:r w:rsidR="006E437D" w:rsidRPr="001111F3">
        <w:t>201</w:t>
      </w:r>
      <w:r w:rsidR="006E437D">
        <w:t>4</w:t>
      </w:r>
      <w:r w:rsidRPr="001111F3">
        <w:t>Medicare</w:t>
      </w:r>
      <w:proofErr w:type="spellEnd"/>
      <w:r w:rsidRPr="001111F3">
        <w:t xml:space="preserve"> CMS statistics published online by the U.S. Department of Health and Human Services (See:  </w:t>
      </w:r>
      <w:hyperlink r:id="rId6" w:history="1">
        <w:r w:rsidR="007563C7">
          <w:rPr>
            <w:rStyle w:val="Hyperlink"/>
          </w:rPr>
          <w:t>2015 CMS Statistics</w:t>
        </w:r>
      </w:hyperlink>
      <w:r w:rsidRPr="001111F3">
        <w:t xml:space="preserve">, Tables </w:t>
      </w:r>
      <w:proofErr w:type="spellStart"/>
      <w:r w:rsidRPr="001111F3">
        <w:t>II.1</w:t>
      </w:r>
      <w:proofErr w:type="spellEnd"/>
      <w:r w:rsidRPr="001111F3">
        <w:t xml:space="preserve"> and </w:t>
      </w:r>
      <w:proofErr w:type="spellStart"/>
      <w:r w:rsidRPr="001111F3">
        <w:t>V.6</w:t>
      </w:r>
      <w:proofErr w:type="spellEnd"/>
      <w:r w:rsidRPr="001111F3">
        <w:t xml:space="preserve">) there were </w:t>
      </w:r>
      <w:r w:rsidR="007563C7" w:rsidRPr="00E003F6">
        <w:rPr>
          <w:b/>
        </w:rPr>
        <w:t>6,142</w:t>
      </w:r>
      <w:r w:rsidRPr="00E003F6">
        <w:rPr>
          <w:b/>
        </w:rPr>
        <w:t xml:space="preserve"> hospitals participating in Medicare that would need to issue IM notices</w:t>
      </w:r>
      <w:r w:rsidRPr="001111F3">
        <w:t xml:space="preserve"> for approximately </w:t>
      </w:r>
      <w:r w:rsidR="00D15150">
        <w:t>14.8</w:t>
      </w:r>
      <w:r w:rsidRPr="001111F3">
        <w:t xml:space="preserve"> million inpatient discharges.  All of these inpatients would have received the initial IM.  We estimate that approximately 60%, or </w:t>
      </w:r>
      <w:r w:rsidR="00D15150">
        <w:t>8.88</w:t>
      </w:r>
      <w:r w:rsidRPr="001111F3">
        <w:t xml:space="preserve"> million of these beneficiaries, would have also received the follow-up copy of the signed IM at or near discharge.  Since there </w:t>
      </w:r>
      <w:r w:rsidR="004772AA">
        <w:t>are</w:t>
      </w:r>
      <w:r w:rsidRPr="001111F3">
        <w:t xml:space="preserve"> no quantifiable data on follow-up IM delivery occurrence, with prior PRA submissions, we estimated that the follow-up IM was probably delivered to 60% of all inpatients.  The public has been invited to comment on this approach and the resulting estimate; however, no comments were received on the assumption, and we have never received any alternative estimates.  Thus, we will continue to use this methodology with this package submission.  Delivery of the initial IM added to delivery of the follow-up copy of the IM results in a total of </w:t>
      </w:r>
      <w:r w:rsidR="00D15150" w:rsidRPr="00E003F6">
        <w:rPr>
          <w:b/>
        </w:rPr>
        <w:t>23.68</w:t>
      </w:r>
      <w:r w:rsidRPr="00E003F6">
        <w:rPr>
          <w:b/>
        </w:rPr>
        <w:t xml:space="preserve"> million IM notices delivered annually</w:t>
      </w:r>
      <w:r w:rsidRPr="001111F3">
        <w:t>.</w:t>
      </w:r>
    </w:p>
    <w:p w14:paraId="01C9B9BD" w14:textId="77777777" w:rsidR="001111F3" w:rsidRPr="001111F3" w:rsidRDefault="001111F3" w:rsidP="001111F3">
      <w:pPr>
        <w:pStyle w:val="Body3"/>
      </w:pPr>
      <w:r w:rsidRPr="001111F3">
        <w:t xml:space="preserve"> </w:t>
      </w:r>
    </w:p>
    <w:p w14:paraId="7742DAF4" w14:textId="6E0177EC" w:rsidR="001111F3" w:rsidRDefault="001111F3" w:rsidP="001111F3">
      <w:pPr>
        <w:pStyle w:val="Body3"/>
      </w:pPr>
      <w:r w:rsidRPr="001111F3">
        <w:t>Based on CMS Statistics for 201</w:t>
      </w:r>
      <w:r w:rsidR="005F3909">
        <w:t>4</w:t>
      </w:r>
      <w:r w:rsidRPr="001111F3">
        <w:t>, we estimate th</w:t>
      </w:r>
      <w:r w:rsidR="008A7CFC">
        <w:t>at there would be</w:t>
      </w:r>
      <w:r w:rsidRPr="001111F3">
        <w:t xml:space="preserve"> </w:t>
      </w:r>
      <w:r w:rsidR="00D15150" w:rsidRPr="00E003F6">
        <w:rPr>
          <w:b/>
        </w:rPr>
        <w:t>6,142</w:t>
      </w:r>
      <w:r w:rsidR="007A5FBE" w:rsidRPr="00E003F6">
        <w:rPr>
          <w:b/>
        </w:rPr>
        <w:t xml:space="preserve"> respondents</w:t>
      </w:r>
      <w:r w:rsidRPr="001111F3">
        <w:t xml:space="preserve"> delivering </w:t>
      </w:r>
      <w:r w:rsidR="00D15150" w:rsidRPr="00E003F6">
        <w:rPr>
          <w:b/>
        </w:rPr>
        <w:t>23.68</w:t>
      </w:r>
      <w:r w:rsidRPr="00E003F6">
        <w:rPr>
          <w:b/>
        </w:rPr>
        <w:t xml:space="preserve"> million </w:t>
      </w:r>
      <w:proofErr w:type="spellStart"/>
      <w:r w:rsidR="008A7CFC" w:rsidRPr="00E003F6">
        <w:rPr>
          <w:b/>
        </w:rPr>
        <w:t>IMs</w:t>
      </w:r>
      <w:proofErr w:type="spellEnd"/>
      <w:r w:rsidRPr="001111F3">
        <w:t xml:space="preserve">, which would average </w:t>
      </w:r>
      <w:r w:rsidR="00D15150" w:rsidRPr="00E003F6">
        <w:rPr>
          <w:b/>
        </w:rPr>
        <w:t>3,855</w:t>
      </w:r>
      <w:r w:rsidRPr="00E003F6">
        <w:rPr>
          <w:b/>
        </w:rPr>
        <w:t xml:space="preserve"> responses annually</w:t>
      </w:r>
      <w:r w:rsidRPr="001111F3">
        <w:t xml:space="preserve"> per respondent.</w:t>
      </w:r>
    </w:p>
    <w:p w14:paraId="43625C3F" w14:textId="77777777" w:rsidR="001111F3" w:rsidRDefault="001111F3" w:rsidP="00DE4CF7">
      <w:pPr>
        <w:pStyle w:val="Body3"/>
      </w:pPr>
    </w:p>
    <w:p w14:paraId="33E1F738" w14:textId="77777777" w:rsidR="00616686" w:rsidRPr="000F6BB9" w:rsidRDefault="00616686" w:rsidP="00EB5CEA">
      <w:pPr>
        <w:pStyle w:val="Body2"/>
        <w:ind w:firstLine="0"/>
        <w:rPr>
          <w:i/>
          <w:u w:val="single"/>
        </w:rPr>
      </w:pPr>
      <w:r w:rsidRPr="000F6BB9">
        <w:rPr>
          <w:i/>
          <w:u w:val="single"/>
        </w:rPr>
        <w:t>Wages</w:t>
      </w:r>
    </w:p>
    <w:p w14:paraId="7ED5E9D2" w14:textId="77777777" w:rsidR="00616686" w:rsidRPr="000F6BB9" w:rsidRDefault="00616686" w:rsidP="00616686">
      <w:pPr>
        <w:pStyle w:val="Body2"/>
        <w:rPr>
          <w:i/>
        </w:rPr>
      </w:pPr>
    </w:p>
    <w:p w14:paraId="6F780C41" w14:textId="3F7ABE4B" w:rsidR="00616686" w:rsidRPr="000F6BB9" w:rsidRDefault="00616686" w:rsidP="00616686">
      <w:pPr>
        <w:rPr>
          <w:rFonts w:ascii="Century Gothic" w:hAnsi="Century Gothic"/>
        </w:rPr>
      </w:pPr>
      <w:r w:rsidRPr="000F6BB9">
        <w:rPr>
          <w:rFonts w:ascii="Century Gothic" w:hAnsi="Century Gothic"/>
        </w:rPr>
        <w:t>To derive average costs, we used data from the U.S. Bureau of Labor Statistics’ May 201</w:t>
      </w:r>
      <w:r>
        <w:rPr>
          <w:rFonts w:ascii="Century Gothic" w:hAnsi="Century Gothic"/>
        </w:rPr>
        <w:t>5</w:t>
      </w:r>
      <w:r w:rsidRPr="000F6BB9">
        <w:rPr>
          <w:rFonts w:ascii="Century Gothic" w:hAnsi="Century Gothic"/>
        </w:rPr>
        <w:t xml:space="preserve"> National Occupational Employment and Wage Estimates for all salary estimates (</w:t>
      </w:r>
      <w:hyperlink r:id="rId7" w:history="1">
        <w:r w:rsidR="004772AA" w:rsidRPr="00A30B4B">
          <w:rPr>
            <w:rStyle w:val="Hyperlink"/>
            <w:rFonts w:ascii="Century Gothic" w:hAnsi="Century Gothic"/>
          </w:rPr>
          <w:t>http://www.bls.gov/oes/current/oes_nat.htm</w:t>
        </w:r>
      </w:hyperlink>
      <w:r w:rsidRPr="000F6BB9">
        <w:rPr>
          <w:rFonts w:ascii="Century Gothic" w:hAnsi="Century Gothic"/>
        </w:rPr>
        <w:t>).</w:t>
      </w:r>
      <w:r w:rsidR="004772AA">
        <w:rPr>
          <w:rFonts w:ascii="Century Gothic" w:hAnsi="Century Gothic"/>
        </w:rPr>
        <w:t xml:space="preserve"> </w:t>
      </w:r>
      <w:r w:rsidRPr="000F6BB9">
        <w:rPr>
          <w:rFonts w:ascii="Century Gothic" w:hAnsi="Century Gothic"/>
        </w:rPr>
        <w:t xml:space="preserve"> In this regard, the </w:t>
      </w:r>
      <w:r w:rsidRPr="000F6BB9">
        <w:rPr>
          <w:rFonts w:ascii="Century Gothic" w:hAnsi="Century Gothic"/>
        </w:rPr>
        <w:lastRenderedPageBreak/>
        <w:t>following table presents the mean hourly wage, the cost of fringe benefits (calculated at 100 percent of salary), and the adjusted hourly wage.</w:t>
      </w:r>
    </w:p>
    <w:p w14:paraId="6B7B1A43" w14:textId="77777777" w:rsidR="00616686" w:rsidRPr="000F6BB9" w:rsidRDefault="00616686" w:rsidP="00616686">
      <w:pPr>
        <w:ind w:firstLine="720"/>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766"/>
        <w:gridCol w:w="1636"/>
        <w:gridCol w:w="1714"/>
        <w:gridCol w:w="1740"/>
      </w:tblGrid>
      <w:tr w:rsidR="00616686" w:rsidRPr="000F6BB9" w14:paraId="5A37490F" w14:textId="77777777" w:rsidTr="00C16A2E">
        <w:tc>
          <w:tcPr>
            <w:tcW w:w="1774" w:type="dxa"/>
            <w:shd w:val="clear" w:color="auto" w:fill="auto"/>
          </w:tcPr>
          <w:p w14:paraId="6CAB77E5" w14:textId="77777777" w:rsidR="00616686" w:rsidRPr="000F6BB9" w:rsidRDefault="00616686" w:rsidP="00CE214D">
            <w:pPr>
              <w:rPr>
                <w:rFonts w:ascii="Century Gothic" w:hAnsi="Century Gothic"/>
                <w:sz w:val="20"/>
                <w:szCs w:val="20"/>
              </w:rPr>
            </w:pPr>
            <w:r w:rsidRPr="000F6BB9">
              <w:rPr>
                <w:rFonts w:ascii="Century Gothic" w:hAnsi="Century Gothic"/>
                <w:sz w:val="20"/>
                <w:szCs w:val="20"/>
              </w:rPr>
              <w:t>Occupation Title</w:t>
            </w:r>
          </w:p>
        </w:tc>
        <w:tc>
          <w:tcPr>
            <w:tcW w:w="1766" w:type="dxa"/>
            <w:shd w:val="clear" w:color="auto" w:fill="auto"/>
          </w:tcPr>
          <w:p w14:paraId="09237A44" w14:textId="77777777" w:rsidR="00616686" w:rsidRPr="000F6BB9" w:rsidRDefault="00616686" w:rsidP="00CE214D">
            <w:pPr>
              <w:rPr>
                <w:rFonts w:ascii="Century Gothic" w:hAnsi="Century Gothic"/>
                <w:sz w:val="20"/>
                <w:szCs w:val="20"/>
              </w:rPr>
            </w:pPr>
            <w:r w:rsidRPr="000F6BB9">
              <w:rPr>
                <w:rFonts w:ascii="Century Gothic" w:hAnsi="Century Gothic"/>
                <w:sz w:val="20"/>
                <w:szCs w:val="20"/>
              </w:rPr>
              <w:t>Occupation Code</w:t>
            </w:r>
          </w:p>
        </w:tc>
        <w:tc>
          <w:tcPr>
            <w:tcW w:w="1636" w:type="dxa"/>
            <w:shd w:val="clear" w:color="auto" w:fill="auto"/>
          </w:tcPr>
          <w:p w14:paraId="31162FBC" w14:textId="77777777" w:rsidR="00616686" w:rsidRPr="000F6BB9" w:rsidRDefault="00616686" w:rsidP="00CE214D">
            <w:pPr>
              <w:rPr>
                <w:rFonts w:ascii="Century Gothic" w:hAnsi="Century Gothic"/>
                <w:sz w:val="20"/>
                <w:szCs w:val="20"/>
              </w:rPr>
            </w:pPr>
            <w:r w:rsidRPr="000F6BB9">
              <w:rPr>
                <w:rFonts w:ascii="Century Gothic" w:hAnsi="Century Gothic"/>
                <w:sz w:val="20"/>
                <w:szCs w:val="20"/>
              </w:rPr>
              <w:t>Mean Hourly Wage ($/</w:t>
            </w:r>
            <w:proofErr w:type="spellStart"/>
            <w:r w:rsidRPr="000F6BB9">
              <w:rPr>
                <w:rFonts w:ascii="Century Gothic" w:hAnsi="Century Gothic"/>
                <w:sz w:val="20"/>
                <w:szCs w:val="20"/>
              </w:rPr>
              <w:t>hr</w:t>
            </w:r>
            <w:proofErr w:type="spellEnd"/>
            <w:r w:rsidRPr="000F6BB9">
              <w:rPr>
                <w:rFonts w:ascii="Century Gothic" w:hAnsi="Century Gothic"/>
                <w:sz w:val="20"/>
                <w:szCs w:val="20"/>
              </w:rPr>
              <w:t>)</w:t>
            </w:r>
          </w:p>
        </w:tc>
        <w:tc>
          <w:tcPr>
            <w:tcW w:w="1714" w:type="dxa"/>
            <w:shd w:val="clear" w:color="auto" w:fill="auto"/>
          </w:tcPr>
          <w:p w14:paraId="3B321F81" w14:textId="77777777" w:rsidR="00616686" w:rsidRPr="000F6BB9" w:rsidRDefault="00616686" w:rsidP="00CE214D">
            <w:pPr>
              <w:rPr>
                <w:rFonts w:ascii="Century Gothic" w:hAnsi="Century Gothic"/>
                <w:sz w:val="20"/>
                <w:szCs w:val="20"/>
              </w:rPr>
            </w:pPr>
            <w:r w:rsidRPr="000F6BB9">
              <w:rPr>
                <w:rFonts w:ascii="Century Gothic" w:hAnsi="Century Gothic"/>
                <w:sz w:val="20"/>
                <w:szCs w:val="20"/>
              </w:rPr>
              <w:t>Fringe Benefit ($/</w:t>
            </w:r>
            <w:proofErr w:type="spellStart"/>
            <w:r w:rsidRPr="000F6BB9">
              <w:rPr>
                <w:rFonts w:ascii="Century Gothic" w:hAnsi="Century Gothic"/>
                <w:sz w:val="20"/>
                <w:szCs w:val="20"/>
              </w:rPr>
              <w:t>hr</w:t>
            </w:r>
            <w:proofErr w:type="spellEnd"/>
            <w:r w:rsidRPr="000F6BB9">
              <w:rPr>
                <w:rFonts w:ascii="Century Gothic" w:hAnsi="Century Gothic"/>
                <w:sz w:val="20"/>
                <w:szCs w:val="20"/>
              </w:rPr>
              <w:t>)</w:t>
            </w:r>
          </w:p>
        </w:tc>
        <w:tc>
          <w:tcPr>
            <w:tcW w:w="1740" w:type="dxa"/>
            <w:shd w:val="clear" w:color="auto" w:fill="auto"/>
          </w:tcPr>
          <w:p w14:paraId="0CEF7A66" w14:textId="77777777" w:rsidR="00616686" w:rsidRPr="000F6BB9" w:rsidRDefault="00616686" w:rsidP="00CE214D">
            <w:pPr>
              <w:rPr>
                <w:rFonts w:ascii="Century Gothic" w:hAnsi="Century Gothic"/>
                <w:sz w:val="20"/>
                <w:szCs w:val="20"/>
              </w:rPr>
            </w:pPr>
            <w:r w:rsidRPr="000F6BB9">
              <w:rPr>
                <w:rFonts w:ascii="Century Gothic" w:hAnsi="Century Gothic"/>
                <w:sz w:val="20"/>
                <w:szCs w:val="20"/>
              </w:rPr>
              <w:t>Adjusted Hourly Wage ($/</w:t>
            </w:r>
            <w:proofErr w:type="spellStart"/>
            <w:r w:rsidRPr="000F6BB9">
              <w:rPr>
                <w:rFonts w:ascii="Century Gothic" w:hAnsi="Century Gothic"/>
                <w:sz w:val="20"/>
                <w:szCs w:val="20"/>
              </w:rPr>
              <w:t>hr</w:t>
            </w:r>
            <w:proofErr w:type="spellEnd"/>
            <w:r w:rsidRPr="000F6BB9">
              <w:rPr>
                <w:rFonts w:ascii="Century Gothic" w:hAnsi="Century Gothic"/>
                <w:sz w:val="20"/>
                <w:szCs w:val="20"/>
              </w:rPr>
              <w:t>)</w:t>
            </w:r>
          </w:p>
        </w:tc>
      </w:tr>
      <w:tr w:rsidR="00616686" w:rsidRPr="000F6BB9" w14:paraId="7ECB2810" w14:textId="77777777" w:rsidTr="00C16A2E">
        <w:tc>
          <w:tcPr>
            <w:tcW w:w="1774" w:type="dxa"/>
            <w:shd w:val="clear" w:color="auto" w:fill="auto"/>
          </w:tcPr>
          <w:p w14:paraId="15FAB286" w14:textId="30474FD6" w:rsidR="00616686" w:rsidRPr="000F6BB9" w:rsidRDefault="00462D27" w:rsidP="00CE214D">
            <w:pPr>
              <w:rPr>
                <w:rFonts w:ascii="Century Gothic" w:hAnsi="Century Gothic"/>
                <w:sz w:val="20"/>
                <w:szCs w:val="20"/>
              </w:rPr>
            </w:pPr>
            <w:r>
              <w:rPr>
                <w:rFonts w:ascii="Century Gothic" w:hAnsi="Century Gothic"/>
                <w:sz w:val="20"/>
                <w:szCs w:val="20"/>
              </w:rPr>
              <w:t xml:space="preserve">Other </w:t>
            </w:r>
            <w:r w:rsidR="00A9092D">
              <w:rPr>
                <w:rFonts w:ascii="Century Gothic" w:hAnsi="Century Gothic"/>
                <w:sz w:val="20"/>
                <w:szCs w:val="20"/>
              </w:rPr>
              <w:t xml:space="preserve">Healthcare Practitioners and Technical Occupations </w:t>
            </w:r>
          </w:p>
        </w:tc>
        <w:tc>
          <w:tcPr>
            <w:tcW w:w="1766" w:type="dxa"/>
            <w:shd w:val="clear" w:color="auto" w:fill="auto"/>
          </w:tcPr>
          <w:p w14:paraId="4D9F6BA3" w14:textId="23EB88B3" w:rsidR="00616686" w:rsidRPr="000F6BB9" w:rsidRDefault="00462D27" w:rsidP="00CE214D">
            <w:pPr>
              <w:rPr>
                <w:rFonts w:ascii="Century Gothic" w:hAnsi="Century Gothic"/>
                <w:sz w:val="20"/>
                <w:szCs w:val="20"/>
              </w:rPr>
            </w:pPr>
            <w:r>
              <w:rPr>
                <w:rFonts w:ascii="Century Gothic" w:hAnsi="Century Gothic"/>
                <w:sz w:val="20"/>
                <w:szCs w:val="20"/>
              </w:rPr>
              <w:t>29-9</w:t>
            </w:r>
            <w:r w:rsidR="00A9092D">
              <w:rPr>
                <w:rFonts w:ascii="Century Gothic" w:hAnsi="Century Gothic"/>
                <w:sz w:val="20"/>
                <w:szCs w:val="20"/>
              </w:rPr>
              <w:t>000</w:t>
            </w:r>
          </w:p>
        </w:tc>
        <w:tc>
          <w:tcPr>
            <w:tcW w:w="1636" w:type="dxa"/>
            <w:shd w:val="clear" w:color="auto" w:fill="auto"/>
          </w:tcPr>
          <w:p w14:paraId="77F12574" w14:textId="7905EA32" w:rsidR="00616686" w:rsidRPr="000F6BB9" w:rsidRDefault="00462D27" w:rsidP="00CE214D">
            <w:pPr>
              <w:rPr>
                <w:rFonts w:ascii="Century Gothic" w:hAnsi="Century Gothic"/>
                <w:sz w:val="20"/>
                <w:szCs w:val="20"/>
              </w:rPr>
            </w:pPr>
            <w:r>
              <w:rPr>
                <w:rFonts w:ascii="Century Gothic" w:hAnsi="Century Gothic"/>
                <w:sz w:val="20"/>
                <w:szCs w:val="20"/>
              </w:rPr>
              <w:t>29.72</w:t>
            </w:r>
          </w:p>
        </w:tc>
        <w:tc>
          <w:tcPr>
            <w:tcW w:w="1714" w:type="dxa"/>
            <w:shd w:val="clear" w:color="auto" w:fill="auto"/>
          </w:tcPr>
          <w:p w14:paraId="7936B9CA" w14:textId="6259318F" w:rsidR="00616686" w:rsidRPr="000F6BB9" w:rsidRDefault="00462D27" w:rsidP="00CE214D">
            <w:pPr>
              <w:rPr>
                <w:rFonts w:ascii="Century Gothic" w:hAnsi="Century Gothic"/>
                <w:sz w:val="20"/>
                <w:szCs w:val="20"/>
              </w:rPr>
            </w:pPr>
            <w:r>
              <w:rPr>
                <w:rFonts w:ascii="Century Gothic" w:hAnsi="Century Gothic"/>
                <w:sz w:val="20"/>
                <w:szCs w:val="20"/>
              </w:rPr>
              <w:t>29.72</w:t>
            </w:r>
          </w:p>
        </w:tc>
        <w:tc>
          <w:tcPr>
            <w:tcW w:w="1740" w:type="dxa"/>
            <w:shd w:val="clear" w:color="auto" w:fill="auto"/>
          </w:tcPr>
          <w:p w14:paraId="09102EA0" w14:textId="309655F0" w:rsidR="00616686" w:rsidRDefault="00462D27" w:rsidP="00CE214D">
            <w:pPr>
              <w:rPr>
                <w:rFonts w:ascii="Century Gothic" w:hAnsi="Century Gothic"/>
                <w:sz w:val="20"/>
                <w:szCs w:val="20"/>
              </w:rPr>
            </w:pPr>
            <w:r>
              <w:rPr>
                <w:rFonts w:ascii="Century Gothic" w:hAnsi="Century Gothic"/>
                <w:sz w:val="20"/>
                <w:szCs w:val="20"/>
              </w:rPr>
              <w:t>59.44</w:t>
            </w:r>
          </w:p>
          <w:p w14:paraId="438274E4" w14:textId="5C4CCAE2" w:rsidR="00462D27" w:rsidRPr="000F6BB9" w:rsidRDefault="00462D27" w:rsidP="00CE214D">
            <w:pPr>
              <w:rPr>
                <w:rFonts w:ascii="Century Gothic" w:hAnsi="Century Gothic"/>
                <w:sz w:val="20"/>
                <w:szCs w:val="20"/>
              </w:rPr>
            </w:pPr>
          </w:p>
        </w:tc>
      </w:tr>
    </w:tbl>
    <w:p w14:paraId="6B7C58CF" w14:textId="77777777" w:rsidR="00616686" w:rsidRPr="000F6BB9" w:rsidRDefault="00616686" w:rsidP="00616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rPr>
      </w:pPr>
    </w:p>
    <w:p w14:paraId="1C67E9B3" w14:textId="3EA602B8" w:rsidR="00616686" w:rsidRPr="000F6BB9" w:rsidRDefault="00616686" w:rsidP="0061668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rPr>
      </w:pPr>
      <w:r w:rsidRPr="000F6BB9">
        <w:rPr>
          <w:rFonts w:ascii="Century Gothic" w:hAnsi="Century Gothic"/>
        </w:rPr>
        <w:t xml:space="preserve">As indicated, we are adjusting our employee hourly wage estimates by a factor of 100 percent. </w:t>
      </w:r>
      <w:r w:rsidR="00296460">
        <w:rPr>
          <w:rFonts w:ascii="Century Gothic" w:hAnsi="Century Gothic"/>
        </w:rPr>
        <w:t xml:space="preserve"> </w:t>
      </w:r>
      <w:r w:rsidRPr="000F6BB9">
        <w:rPr>
          <w:rFonts w:ascii="Century Gothic" w:hAnsi="Century Gothic"/>
        </w:rPr>
        <w:t>This is necessarily a rough adjustment, both because fringe benefits and overhead costs vary significantly from employer to employer, and because methods of estimating these costs vary widely from study to study.</w:t>
      </w:r>
      <w:r w:rsidR="00296460">
        <w:rPr>
          <w:rFonts w:ascii="Century Gothic" w:hAnsi="Century Gothic"/>
        </w:rPr>
        <w:t xml:space="preserve"> </w:t>
      </w:r>
      <w:r w:rsidRPr="000F6BB9">
        <w:rPr>
          <w:rFonts w:ascii="Century Gothic" w:hAnsi="Century Gothic"/>
        </w:rPr>
        <w:t xml:space="preserve"> Nonetheless, there is no practical alternative and we believe that doubling the hourly wage to estimate total cost is a reasonably accurate estimation method.</w:t>
      </w:r>
    </w:p>
    <w:p w14:paraId="597D2C1A" w14:textId="77777777" w:rsidR="00616686" w:rsidRPr="003767A8" w:rsidRDefault="00616686" w:rsidP="00616686">
      <w:pPr>
        <w:rPr>
          <w:rFonts w:ascii="Century Gothic" w:hAnsi="Century Gothic" w:cs="Arial"/>
        </w:rPr>
      </w:pPr>
    </w:p>
    <w:p w14:paraId="3211C480" w14:textId="77777777" w:rsidR="00616686" w:rsidRPr="00FC2D06" w:rsidRDefault="00616686" w:rsidP="00616686">
      <w:pPr>
        <w:rPr>
          <w:rFonts w:ascii="Century Gothic" w:hAnsi="Century Gothic" w:cs="Arial"/>
          <w:i/>
          <w:u w:val="single"/>
        </w:rPr>
      </w:pPr>
      <w:r w:rsidRPr="00FC2D06">
        <w:rPr>
          <w:rFonts w:ascii="Century Gothic" w:hAnsi="Century Gothic" w:cs="Arial"/>
          <w:i/>
          <w:u w:val="single"/>
        </w:rPr>
        <w:t>Burden Estimates</w:t>
      </w:r>
    </w:p>
    <w:p w14:paraId="0DC76E3B" w14:textId="77777777" w:rsidR="00616686" w:rsidRPr="00560B69" w:rsidRDefault="00616686" w:rsidP="00DE4CF7">
      <w:pPr>
        <w:pStyle w:val="Body3"/>
      </w:pPr>
    </w:p>
    <w:p w14:paraId="3F51D2AD" w14:textId="596E009A" w:rsidR="00FB0878" w:rsidRPr="004772AA" w:rsidRDefault="005255E4" w:rsidP="004772AA">
      <w:pPr>
        <w:rPr>
          <w:rFonts w:ascii="Century Gothic" w:hAnsi="Century Gothic"/>
        </w:rPr>
      </w:pPr>
      <w:r w:rsidRPr="004772AA">
        <w:rPr>
          <w:rFonts w:ascii="Century Gothic" w:hAnsi="Century Gothic"/>
        </w:rPr>
        <w:t>By statute, t</w:t>
      </w:r>
      <w:r w:rsidR="003F19A6" w:rsidRPr="004772AA">
        <w:rPr>
          <w:rFonts w:ascii="Century Gothic" w:hAnsi="Century Gothic"/>
        </w:rPr>
        <w:t xml:space="preserve">he </w:t>
      </w:r>
      <w:r w:rsidR="00446997" w:rsidRPr="004772AA">
        <w:rPr>
          <w:rFonts w:ascii="Century Gothic" w:hAnsi="Century Gothic"/>
        </w:rPr>
        <w:t>IM</w:t>
      </w:r>
      <w:r w:rsidR="003F19A6" w:rsidRPr="004772AA">
        <w:rPr>
          <w:rFonts w:ascii="Century Gothic" w:hAnsi="Century Gothic"/>
        </w:rPr>
        <w:t xml:space="preserve"> </w:t>
      </w:r>
      <w:r w:rsidRPr="004772AA">
        <w:rPr>
          <w:rFonts w:ascii="Century Gothic" w:hAnsi="Century Gothic"/>
        </w:rPr>
        <w:t xml:space="preserve">must </w:t>
      </w:r>
      <w:r w:rsidR="003F19A6" w:rsidRPr="004772AA">
        <w:rPr>
          <w:rFonts w:ascii="Century Gothic" w:hAnsi="Century Gothic"/>
        </w:rPr>
        <w:t>be provided to all Medicare</w:t>
      </w:r>
      <w:r w:rsidR="004772AA" w:rsidRPr="004772AA">
        <w:rPr>
          <w:rFonts w:ascii="Century Gothic" w:hAnsi="Century Gothic"/>
        </w:rPr>
        <w:t xml:space="preserve"> b</w:t>
      </w:r>
      <w:r w:rsidR="004772AA">
        <w:rPr>
          <w:rFonts w:ascii="Century Gothic" w:hAnsi="Century Gothic"/>
        </w:rPr>
        <w:t>eneficiaries. </w:t>
      </w:r>
      <w:r w:rsidR="00430746">
        <w:rPr>
          <w:rFonts w:ascii="Century Gothic" w:hAnsi="Century Gothic"/>
        </w:rPr>
        <w:t xml:space="preserve"> </w:t>
      </w:r>
      <w:r w:rsidR="00D13F22" w:rsidRPr="004772AA">
        <w:rPr>
          <w:rFonts w:ascii="Century Gothic" w:hAnsi="Century Gothic"/>
        </w:rPr>
        <w:t>Consistent with o</w:t>
      </w:r>
      <w:r w:rsidR="00EB6FD2" w:rsidRPr="004772AA">
        <w:rPr>
          <w:rFonts w:ascii="Century Gothic" w:hAnsi="Century Gothic"/>
        </w:rPr>
        <w:t>ur</w:t>
      </w:r>
      <w:r w:rsidR="00D57AD1" w:rsidRPr="004772AA">
        <w:rPr>
          <w:rFonts w:ascii="Century Gothic" w:hAnsi="Century Gothic"/>
        </w:rPr>
        <w:t xml:space="preserve"> </w:t>
      </w:r>
      <w:r w:rsidR="00D13F22" w:rsidRPr="004772AA">
        <w:rPr>
          <w:rFonts w:ascii="Century Gothic" w:hAnsi="Century Gothic"/>
        </w:rPr>
        <w:t xml:space="preserve">last </w:t>
      </w:r>
      <w:r w:rsidR="00D57AD1" w:rsidRPr="004772AA">
        <w:rPr>
          <w:rFonts w:ascii="Century Gothic" w:hAnsi="Century Gothic"/>
        </w:rPr>
        <w:t>PRA submission</w:t>
      </w:r>
      <w:r w:rsidR="00430746">
        <w:rPr>
          <w:rFonts w:ascii="Century Gothic" w:hAnsi="Century Gothic"/>
        </w:rPr>
        <w:t>,</w:t>
      </w:r>
      <w:r w:rsidR="00D57AD1" w:rsidRPr="004772AA">
        <w:rPr>
          <w:rFonts w:ascii="Century Gothic" w:hAnsi="Century Gothic"/>
        </w:rPr>
        <w:t xml:space="preserve"> </w:t>
      </w:r>
      <w:r w:rsidR="00D13F22" w:rsidRPr="004772AA">
        <w:rPr>
          <w:rFonts w:ascii="Century Gothic" w:hAnsi="Century Gothic"/>
        </w:rPr>
        <w:t xml:space="preserve">we continue to estimate </w:t>
      </w:r>
      <w:r w:rsidR="002E4D18" w:rsidRPr="00F07027">
        <w:rPr>
          <w:rFonts w:ascii="Century Gothic" w:hAnsi="Century Gothic"/>
          <w:b/>
        </w:rPr>
        <w:t>1</w:t>
      </w:r>
      <w:r w:rsidR="00EB6FD2" w:rsidRPr="00F07027">
        <w:rPr>
          <w:rFonts w:ascii="Century Gothic" w:hAnsi="Century Gothic"/>
          <w:b/>
        </w:rPr>
        <w:t>2</w:t>
      </w:r>
      <w:r w:rsidR="003F19A6" w:rsidRPr="00F07027">
        <w:rPr>
          <w:rFonts w:ascii="Century Gothic" w:hAnsi="Century Gothic"/>
          <w:b/>
        </w:rPr>
        <w:t xml:space="preserve"> minute</w:t>
      </w:r>
      <w:r w:rsidR="002E4D18" w:rsidRPr="00F07027">
        <w:rPr>
          <w:rFonts w:ascii="Century Gothic" w:hAnsi="Century Gothic"/>
          <w:b/>
        </w:rPr>
        <w:t>s</w:t>
      </w:r>
      <w:r w:rsidR="003F19A6" w:rsidRPr="00F07027">
        <w:rPr>
          <w:rFonts w:ascii="Century Gothic" w:hAnsi="Century Gothic"/>
          <w:b/>
        </w:rPr>
        <w:t xml:space="preserve"> per </w:t>
      </w:r>
      <w:r w:rsidR="00D13F22" w:rsidRPr="00F07027">
        <w:rPr>
          <w:rFonts w:ascii="Century Gothic" w:hAnsi="Century Gothic"/>
          <w:b/>
        </w:rPr>
        <w:t xml:space="preserve">initial IM </w:t>
      </w:r>
      <w:r w:rsidR="003F19A6" w:rsidRPr="00F07027">
        <w:rPr>
          <w:rFonts w:ascii="Century Gothic" w:hAnsi="Century Gothic"/>
          <w:b/>
        </w:rPr>
        <w:t>notice</w:t>
      </w:r>
      <w:r w:rsidR="00EB6FD2" w:rsidRPr="00F07027">
        <w:rPr>
          <w:rFonts w:ascii="Century Gothic" w:hAnsi="Century Gothic"/>
          <w:b/>
        </w:rPr>
        <w:t xml:space="preserve"> and 3 minutes per </w:t>
      </w:r>
      <w:r w:rsidR="00D13F22" w:rsidRPr="00F07027">
        <w:rPr>
          <w:rFonts w:ascii="Century Gothic" w:hAnsi="Century Gothic"/>
          <w:b/>
        </w:rPr>
        <w:t xml:space="preserve">follow-up </w:t>
      </w:r>
      <w:r w:rsidR="00EB6FD2" w:rsidRPr="00F07027">
        <w:rPr>
          <w:rFonts w:ascii="Century Gothic" w:hAnsi="Century Gothic"/>
          <w:b/>
        </w:rPr>
        <w:t>notice</w:t>
      </w:r>
      <w:r w:rsidR="002E4D18" w:rsidRPr="004772AA">
        <w:rPr>
          <w:rFonts w:ascii="Century Gothic" w:hAnsi="Century Gothic"/>
        </w:rPr>
        <w:t xml:space="preserve">. </w:t>
      </w:r>
    </w:p>
    <w:p w14:paraId="410C035A" w14:textId="77777777" w:rsidR="004A7D51" w:rsidRDefault="004A7D51" w:rsidP="00DE4CF7">
      <w:pPr>
        <w:pStyle w:val="Body3"/>
      </w:pPr>
    </w:p>
    <w:p w14:paraId="06F9F687" w14:textId="29530084" w:rsidR="00643585" w:rsidRDefault="00EB6FD2" w:rsidP="00DE4CF7">
      <w:pPr>
        <w:pStyle w:val="Body3"/>
      </w:pPr>
      <w:r>
        <w:t xml:space="preserve">The </w:t>
      </w:r>
      <w:r w:rsidR="009F2EEB">
        <w:t xml:space="preserve">total </w:t>
      </w:r>
      <w:r>
        <w:t xml:space="preserve">annual </w:t>
      </w:r>
      <w:r w:rsidR="00B14D02">
        <w:t xml:space="preserve">time </w:t>
      </w:r>
      <w:r w:rsidR="009F2EEB">
        <w:t xml:space="preserve">(in aggregate) </w:t>
      </w:r>
      <w:r w:rsidR="00B14D02">
        <w:t xml:space="preserve">per </w:t>
      </w:r>
      <w:r>
        <w:t xml:space="preserve">response estimate </w:t>
      </w:r>
      <w:r w:rsidR="007A5FBE">
        <w:t>is calculated</w:t>
      </w:r>
      <w:r w:rsidR="0042361C">
        <w:t xml:space="preserve"> by multiplying the </w:t>
      </w:r>
      <w:r w:rsidR="00BE78A1">
        <w:t xml:space="preserve">number of </w:t>
      </w:r>
      <w:r w:rsidR="0042361C">
        <w:t xml:space="preserve">minutes per response </w:t>
      </w:r>
      <w:r>
        <w:t xml:space="preserve">for </w:t>
      </w:r>
      <w:r w:rsidR="0042361C">
        <w:t xml:space="preserve">each type of delivery by the </w:t>
      </w:r>
      <w:r w:rsidR="00643585">
        <w:t xml:space="preserve">number of </w:t>
      </w:r>
      <w:proofErr w:type="spellStart"/>
      <w:r w:rsidR="00643585">
        <w:t>IMs</w:t>
      </w:r>
      <w:proofErr w:type="spellEnd"/>
      <w:r w:rsidR="00643585">
        <w:t xml:space="preserve"> issued for each</w:t>
      </w:r>
      <w:r>
        <w:t>.</w:t>
      </w:r>
      <w:r w:rsidR="00643585">
        <w:t xml:space="preserve"> </w:t>
      </w:r>
    </w:p>
    <w:p w14:paraId="48C4E158" w14:textId="77777777" w:rsidR="00D13F22" w:rsidRDefault="00D13F22" w:rsidP="00DE4CF7">
      <w:pPr>
        <w:pStyle w:val="Body3"/>
      </w:pPr>
    </w:p>
    <w:p w14:paraId="3E04E1F0" w14:textId="31EA14E8" w:rsidR="009F2EEB" w:rsidRDefault="00643585" w:rsidP="00DE4CF7">
      <w:pPr>
        <w:pStyle w:val="Body3"/>
      </w:pPr>
      <w:r>
        <w:t xml:space="preserve">Initial IM: </w:t>
      </w:r>
      <w:r w:rsidR="00446997">
        <w:tab/>
      </w:r>
      <w:r w:rsidR="009F2EEB">
        <w:tab/>
      </w:r>
      <w:r w:rsidR="005F0929">
        <w:t>177,600,000</w:t>
      </w:r>
      <w:r>
        <w:t xml:space="preserve"> min</w:t>
      </w:r>
      <w:r w:rsidR="009F2EEB">
        <w:t xml:space="preserve"> (12 min x </w:t>
      </w:r>
      <w:r w:rsidR="005F0929">
        <w:t>14,800,000</w:t>
      </w:r>
      <w:r w:rsidR="009F2EEB">
        <w:t xml:space="preserve"> </w:t>
      </w:r>
      <w:proofErr w:type="spellStart"/>
      <w:r w:rsidR="009F2EEB">
        <w:t>IMs</w:t>
      </w:r>
      <w:proofErr w:type="spellEnd"/>
      <w:r w:rsidR="009F2EEB">
        <w:t>)</w:t>
      </w:r>
    </w:p>
    <w:p w14:paraId="680EFEB4" w14:textId="54CF5886" w:rsidR="00643585" w:rsidRDefault="00643585" w:rsidP="00DE4CF7">
      <w:pPr>
        <w:pStyle w:val="Body3"/>
      </w:pPr>
      <w:r>
        <w:t>Follow up IM:</w:t>
      </w:r>
      <w:r w:rsidR="00446997">
        <w:t xml:space="preserve"> </w:t>
      </w:r>
      <w:r w:rsidR="00ED3712">
        <w:tab/>
      </w:r>
      <w:r w:rsidR="005F0929">
        <w:t>26,640,000</w:t>
      </w:r>
      <w:r>
        <w:t xml:space="preserve"> min</w:t>
      </w:r>
      <w:r w:rsidR="00ED3712">
        <w:t xml:space="preserve"> (</w:t>
      </w:r>
      <w:r w:rsidR="00ED3712" w:rsidRPr="00ED3712">
        <w:t>3 min</w:t>
      </w:r>
      <w:r w:rsidR="00ED3712">
        <w:t xml:space="preserve"> </w:t>
      </w:r>
      <w:r w:rsidR="007A5FBE">
        <w:t xml:space="preserve">x </w:t>
      </w:r>
      <w:r w:rsidR="005F0929">
        <w:t>8,880,000</w:t>
      </w:r>
      <w:r w:rsidR="00ED3712" w:rsidRPr="00ED3712">
        <w:t xml:space="preserve"> </w:t>
      </w:r>
      <w:proofErr w:type="spellStart"/>
      <w:r w:rsidR="00ED3712" w:rsidRPr="00ED3712">
        <w:t>IMs</w:t>
      </w:r>
      <w:proofErr w:type="spellEnd"/>
      <w:r w:rsidR="00ED3712">
        <w:t>)</w:t>
      </w:r>
    </w:p>
    <w:p w14:paraId="224E2299" w14:textId="387A5BE6" w:rsidR="00643585" w:rsidRDefault="00ED3712" w:rsidP="00DE4CF7">
      <w:pPr>
        <w:pStyle w:val="Body3"/>
      </w:pPr>
      <w:r>
        <w:t>TOTAL</w:t>
      </w:r>
      <w:r>
        <w:tab/>
      </w:r>
      <w:r>
        <w:tab/>
      </w:r>
      <w:r w:rsidR="007A3B4E">
        <w:t>204,240,000</w:t>
      </w:r>
      <w:r>
        <w:t xml:space="preserve"> min (</w:t>
      </w:r>
      <w:r w:rsidR="007A3B4E" w:rsidRPr="00F07027">
        <w:rPr>
          <w:b/>
        </w:rPr>
        <w:t>3,404,000</w:t>
      </w:r>
      <w:r w:rsidRPr="00F07027">
        <w:rPr>
          <w:b/>
        </w:rPr>
        <w:t xml:space="preserve"> </w:t>
      </w:r>
      <w:proofErr w:type="spellStart"/>
      <w:r w:rsidRPr="00F07027">
        <w:rPr>
          <w:b/>
        </w:rPr>
        <w:t>hr</w:t>
      </w:r>
      <w:proofErr w:type="spellEnd"/>
      <w:r>
        <w:t>)</w:t>
      </w:r>
    </w:p>
    <w:p w14:paraId="41BF855D" w14:textId="77777777" w:rsidR="009F2EEB" w:rsidRDefault="009F2EEB" w:rsidP="00DE4CF7">
      <w:pPr>
        <w:pStyle w:val="Body3"/>
      </w:pPr>
    </w:p>
    <w:p w14:paraId="6653311E" w14:textId="6ACDAB86" w:rsidR="003357D6" w:rsidRDefault="003357D6" w:rsidP="00DE4CF7">
      <w:pPr>
        <w:pStyle w:val="Body3"/>
      </w:pPr>
      <w:r>
        <w:t>PER RESPONSE</w:t>
      </w:r>
      <w:r>
        <w:tab/>
      </w:r>
      <w:r w:rsidR="00321A74" w:rsidRPr="00321A74">
        <w:t xml:space="preserve">8.625 </w:t>
      </w:r>
      <w:r w:rsidR="00321A74">
        <w:t xml:space="preserve">min </w:t>
      </w:r>
      <w:r>
        <w:t>(</w:t>
      </w:r>
      <w:r w:rsidR="00D84E61">
        <w:t>204,240,000</w:t>
      </w:r>
      <w:r>
        <w:t xml:space="preserve"> min/</w:t>
      </w:r>
      <w:r w:rsidR="00D84E61">
        <w:t>23,680,000</w:t>
      </w:r>
      <w:r w:rsidRPr="003357D6">
        <w:t xml:space="preserve"> IM notices</w:t>
      </w:r>
      <w:r>
        <w:t>)</w:t>
      </w:r>
    </w:p>
    <w:p w14:paraId="20902956" w14:textId="77777777" w:rsidR="003357D6" w:rsidRDefault="003357D6" w:rsidP="00DE4CF7">
      <w:pPr>
        <w:pStyle w:val="Body3"/>
      </w:pPr>
    </w:p>
    <w:p w14:paraId="43012F45" w14:textId="43878336" w:rsidR="003F1EE4" w:rsidRDefault="00DB3F20" w:rsidP="00DE4CF7">
      <w:pPr>
        <w:pStyle w:val="Body3"/>
      </w:pPr>
      <w:r>
        <w:t xml:space="preserve">On </w:t>
      </w:r>
      <w:r w:rsidR="003F1EE4">
        <w:t xml:space="preserve">average, each hospital will deliver 2,410 initial </w:t>
      </w:r>
      <w:proofErr w:type="spellStart"/>
      <w:r w:rsidR="003F1EE4">
        <w:t>IMs</w:t>
      </w:r>
      <w:proofErr w:type="spellEnd"/>
      <w:r w:rsidR="003F1EE4">
        <w:t xml:space="preserve"> (14.8 million / 6,142 hospitals) and 1,446 follow-up </w:t>
      </w:r>
      <w:proofErr w:type="spellStart"/>
      <w:r w:rsidR="003F1EE4">
        <w:t>IMs</w:t>
      </w:r>
      <w:proofErr w:type="spellEnd"/>
      <w:r w:rsidR="003F1EE4">
        <w:t xml:space="preserve"> (8.88 million / 6,142 hospitals).  </w:t>
      </w:r>
      <w:r w:rsidR="004E1124">
        <w:t xml:space="preserve">By multiplying the number of minutes per response for each type of delivery we determined the time it would take for </w:t>
      </w:r>
      <w:r w:rsidR="004D29AA">
        <w:t>a</w:t>
      </w:r>
      <w:r w:rsidR="004E1124">
        <w:t xml:space="preserve"> hospital to deliver the initial IM to be 28,920 minu</w:t>
      </w:r>
      <w:r w:rsidR="004D29AA">
        <w:t xml:space="preserve">tes (482 hours) and </w:t>
      </w:r>
      <w:r w:rsidR="002552A0">
        <w:t>4,</w:t>
      </w:r>
      <w:r w:rsidR="004D29AA">
        <w:t>338 minutes (72.3 hours) to deliver the</w:t>
      </w:r>
      <w:r w:rsidR="002552A0">
        <w:t xml:space="preserve"> follow-up IM.  Using the total number o</w:t>
      </w:r>
      <w:r w:rsidR="0026259A">
        <w:t>f hours we are able to derive</w:t>
      </w:r>
      <w:r w:rsidR="002552A0">
        <w:t xml:space="preserve"> the</w:t>
      </w:r>
      <w:r w:rsidR="004D29AA">
        <w:t xml:space="preserve"> ave</w:t>
      </w:r>
      <w:r w:rsidR="001166C0">
        <w:t>rage costs</w:t>
      </w:r>
      <w:r w:rsidR="002552A0">
        <w:t xml:space="preserve"> for each hospital to be</w:t>
      </w:r>
      <w:r w:rsidR="004D29AA">
        <w:t xml:space="preserve"> $32,947.60 (554.3 hours x $59.44 hourly wage).</w:t>
      </w:r>
    </w:p>
    <w:p w14:paraId="4BB47517" w14:textId="77777777" w:rsidR="002E6D32" w:rsidRDefault="002E6D32" w:rsidP="00DE4CF7">
      <w:pPr>
        <w:pStyle w:val="Body3"/>
      </w:pPr>
    </w:p>
    <w:p w14:paraId="6991FA9B" w14:textId="45B4C6F4" w:rsidR="000F6FCE" w:rsidRDefault="000F6FCE" w:rsidP="00DE4CF7">
      <w:pPr>
        <w:pStyle w:val="Body3"/>
      </w:pPr>
      <w:r w:rsidRPr="00C363BA">
        <w:rPr>
          <w:rFonts w:cs="Arial"/>
        </w:rPr>
        <w:lastRenderedPageBreak/>
        <w:t>We estimate the annual cost f</w:t>
      </w:r>
      <w:r>
        <w:rPr>
          <w:rFonts w:cs="Arial"/>
        </w:rPr>
        <w:t>or</w:t>
      </w:r>
      <w:r w:rsidRPr="00C363BA">
        <w:rPr>
          <w:rFonts w:cs="Arial"/>
        </w:rPr>
        <w:t xml:space="preserve"> </w:t>
      </w:r>
      <w:r w:rsidR="0016717D" w:rsidRPr="0016717D">
        <w:rPr>
          <w:rFonts w:cs="Arial"/>
        </w:rPr>
        <w:t xml:space="preserve">hospitals </w:t>
      </w:r>
      <w:r w:rsidR="0016717D">
        <w:rPr>
          <w:rFonts w:cs="Arial"/>
        </w:rPr>
        <w:t xml:space="preserve">to provide the IM to </w:t>
      </w:r>
      <w:r w:rsidR="0016717D" w:rsidRPr="00D13F22">
        <w:t>all Medicare beneficiaries</w:t>
      </w:r>
      <w:r w:rsidR="0016717D" w:rsidRPr="0016717D">
        <w:rPr>
          <w:rFonts w:cs="Arial"/>
        </w:rPr>
        <w:t xml:space="preserve"> </w:t>
      </w:r>
      <w:r w:rsidR="00B204B0" w:rsidRPr="00B204B0">
        <w:rPr>
          <w:rFonts w:cs="Arial"/>
        </w:rPr>
        <w:t xml:space="preserve">and for beneficiaries enrolled in Medicare Advantage (MA) plans and other Medicare health plans subject to the MA regulations </w:t>
      </w:r>
      <w:r w:rsidR="00430746">
        <w:rPr>
          <w:rFonts w:cs="Arial"/>
        </w:rPr>
        <w:t>to be</w:t>
      </w:r>
      <w:r w:rsidR="0016717D">
        <w:rPr>
          <w:rFonts w:cs="Arial"/>
        </w:rPr>
        <w:t xml:space="preserve"> $</w:t>
      </w:r>
      <w:r w:rsidR="00462D27">
        <w:rPr>
          <w:rFonts w:cs="Arial"/>
        </w:rPr>
        <w:t>202,333,760</w:t>
      </w:r>
      <w:r w:rsidR="0016717D">
        <w:rPr>
          <w:rFonts w:cs="Arial"/>
        </w:rPr>
        <w:t xml:space="preserve">. </w:t>
      </w:r>
      <w:r w:rsidR="00F430B4">
        <w:rPr>
          <w:rFonts w:cs="Arial"/>
        </w:rPr>
        <w:t xml:space="preserve"> </w:t>
      </w:r>
      <w:r w:rsidR="0016717D">
        <w:rPr>
          <w:rFonts w:cs="Arial"/>
        </w:rPr>
        <w:t>O</w:t>
      </w:r>
      <w:r w:rsidR="0016717D">
        <w:t xml:space="preserve">ur expectation is that the IM notices will be prepared by a staff person with professional skills of </w:t>
      </w:r>
      <w:r w:rsidR="00462D27">
        <w:t xml:space="preserve">other </w:t>
      </w:r>
      <w:r w:rsidR="00810F11">
        <w:t xml:space="preserve">healthcare practitioners and technical occupations </w:t>
      </w:r>
      <w:r w:rsidR="0016717D">
        <w:t>at an adjusted rate of $</w:t>
      </w:r>
      <w:r w:rsidR="00462D27">
        <w:t>59.44</w:t>
      </w:r>
      <w:r w:rsidR="0016717D">
        <w:t>/hr.</w:t>
      </w:r>
    </w:p>
    <w:p w14:paraId="2DFF1C97" w14:textId="77777777" w:rsidR="000F6FCE" w:rsidRDefault="000F6FCE" w:rsidP="00DE4CF7">
      <w:pPr>
        <w:pStyle w:val="Body3"/>
      </w:pPr>
    </w:p>
    <w:p w14:paraId="7D97F71E" w14:textId="3E51FCFA" w:rsidR="00BE78A1" w:rsidRDefault="00BE78A1" w:rsidP="00C16A2E">
      <w:pPr>
        <w:pStyle w:val="Body3"/>
        <w:ind w:left="2160" w:hanging="2160"/>
      </w:pPr>
      <w:r>
        <w:t xml:space="preserve">Initial IM: </w:t>
      </w:r>
      <w:r>
        <w:tab/>
        <w:t>$</w:t>
      </w:r>
      <w:r w:rsidR="00462D27">
        <w:t>175,942,400</w:t>
      </w:r>
      <w:r>
        <w:t xml:space="preserve"> </w:t>
      </w:r>
      <w:r w:rsidR="00E07D49">
        <w:t>[</w:t>
      </w:r>
      <w:r w:rsidR="00D262A4">
        <w:t>2,960,000</w:t>
      </w:r>
      <w:r>
        <w:t xml:space="preserve"> </w:t>
      </w:r>
      <w:proofErr w:type="spellStart"/>
      <w:r>
        <w:t>hr</w:t>
      </w:r>
      <w:r w:rsidR="00E07D49">
        <w:t>s</w:t>
      </w:r>
      <w:proofErr w:type="spellEnd"/>
      <w:r w:rsidR="00793245">
        <w:t xml:space="preserve"> (177,600,000 min / 60</w:t>
      </w:r>
      <w:r w:rsidR="00E07D49">
        <w:t>) x</w:t>
      </w:r>
      <w:r>
        <w:t xml:space="preserve"> $</w:t>
      </w:r>
      <w:r w:rsidR="00462D27">
        <w:t>59.44</w:t>
      </w:r>
      <w:r>
        <w:t>/</w:t>
      </w:r>
      <w:proofErr w:type="spellStart"/>
      <w:r>
        <w:t>hr</w:t>
      </w:r>
      <w:proofErr w:type="spellEnd"/>
      <w:r w:rsidR="00E07D49">
        <w:t>]</w:t>
      </w:r>
    </w:p>
    <w:p w14:paraId="71A53FC5" w14:textId="77777777" w:rsidR="00793245" w:rsidRDefault="00793245" w:rsidP="00BE78A1">
      <w:pPr>
        <w:pStyle w:val="Body3"/>
      </w:pPr>
    </w:p>
    <w:p w14:paraId="49F04424" w14:textId="711B3B21" w:rsidR="00BE78A1" w:rsidRDefault="00BE78A1" w:rsidP="00C16A2E">
      <w:pPr>
        <w:pStyle w:val="Body3"/>
        <w:ind w:left="2160" w:hanging="2160"/>
      </w:pPr>
      <w:r>
        <w:t xml:space="preserve">Follow up IM: </w:t>
      </w:r>
      <w:r>
        <w:tab/>
        <w:t>$</w:t>
      </w:r>
      <w:r w:rsidR="00462D27">
        <w:t>26,391,360</w:t>
      </w:r>
      <w:r>
        <w:t xml:space="preserve"> </w:t>
      </w:r>
      <w:r w:rsidR="00E07D49">
        <w:t>[</w:t>
      </w:r>
      <w:r w:rsidR="00D262A4">
        <w:t>444,000</w:t>
      </w:r>
      <w:r w:rsidRPr="00ED3712">
        <w:t xml:space="preserve"> </w:t>
      </w:r>
      <w:proofErr w:type="spellStart"/>
      <w:r>
        <w:t>hr</w:t>
      </w:r>
      <w:r w:rsidR="00793245">
        <w:t>s</w:t>
      </w:r>
      <w:proofErr w:type="spellEnd"/>
      <w:r w:rsidR="00793245">
        <w:t xml:space="preserve"> (26,640,000 min / 60</w:t>
      </w:r>
      <w:r w:rsidR="00E07D49">
        <w:t>)</w:t>
      </w:r>
      <w:r>
        <w:t xml:space="preserve"> x $</w:t>
      </w:r>
      <w:r w:rsidR="00462D27">
        <w:t>59.44</w:t>
      </w:r>
      <w:r>
        <w:t>/</w:t>
      </w:r>
      <w:proofErr w:type="spellStart"/>
      <w:r>
        <w:t>hr</w:t>
      </w:r>
      <w:proofErr w:type="spellEnd"/>
      <w:r w:rsidR="00E07D49">
        <w:t>]</w:t>
      </w:r>
    </w:p>
    <w:p w14:paraId="70483680" w14:textId="77777777" w:rsidR="00793245" w:rsidRDefault="00793245" w:rsidP="00BE78A1">
      <w:pPr>
        <w:pStyle w:val="Body3"/>
      </w:pPr>
    </w:p>
    <w:p w14:paraId="2172F7DD" w14:textId="3CB84A90" w:rsidR="00BE78A1" w:rsidRDefault="00BE78A1" w:rsidP="00BE78A1">
      <w:pPr>
        <w:pStyle w:val="Body3"/>
      </w:pPr>
      <w:r>
        <w:t>TOTAL</w:t>
      </w:r>
      <w:r>
        <w:tab/>
      </w:r>
      <w:r>
        <w:tab/>
      </w:r>
      <w:r w:rsidR="0085619E">
        <w:tab/>
      </w:r>
      <w:r w:rsidRPr="003B4F7A">
        <w:rPr>
          <w:b/>
        </w:rPr>
        <w:t>$</w:t>
      </w:r>
      <w:r w:rsidR="00462D27" w:rsidRPr="003B4F7A">
        <w:rPr>
          <w:b/>
        </w:rPr>
        <w:t>202,333,760</w:t>
      </w:r>
    </w:p>
    <w:p w14:paraId="17A6CDFE" w14:textId="77777777" w:rsidR="000301CD" w:rsidRDefault="000301CD" w:rsidP="00DE4CF7">
      <w:pPr>
        <w:pStyle w:val="Body3"/>
        <w:rPr>
          <w:b/>
        </w:rPr>
      </w:pPr>
    </w:p>
    <w:p w14:paraId="75394FEE" w14:textId="77777777" w:rsidR="007111E8" w:rsidRPr="00DD6217" w:rsidRDefault="007111E8" w:rsidP="00DE4CF7">
      <w:pPr>
        <w:pStyle w:val="Body3"/>
      </w:pPr>
      <w:r w:rsidRPr="00DD6217">
        <w:t>13.</w:t>
      </w:r>
      <w:r w:rsidRPr="00DD6217">
        <w:tab/>
        <w:t>CAPITAL COSTS</w:t>
      </w:r>
      <w:r w:rsidRPr="00DD6217">
        <w:tab/>
      </w:r>
    </w:p>
    <w:p w14:paraId="32BC4251" w14:textId="77777777" w:rsidR="007111E8" w:rsidRPr="00DD6217" w:rsidRDefault="007111E8" w:rsidP="00DE4CF7">
      <w:pPr>
        <w:pStyle w:val="Body3"/>
      </w:pPr>
    </w:p>
    <w:p w14:paraId="7B48E3C8" w14:textId="127C36AF" w:rsidR="007111E8" w:rsidRPr="00DD6217" w:rsidRDefault="007111E8" w:rsidP="00DE4CF7">
      <w:pPr>
        <w:pStyle w:val="Body3"/>
      </w:pPr>
      <w:r w:rsidRPr="00DD6217">
        <w:t>There are no capital costs associated with this collection.</w:t>
      </w:r>
      <w:r w:rsidR="00995948">
        <w:t xml:space="preserve">  </w:t>
      </w:r>
      <w:r w:rsidR="00995948" w:rsidRPr="00995948">
        <w:t>Therefore, this item is not applicable.</w:t>
      </w:r>
    </w:p>
    <w:p w14:paraId="36575F00" w14:textId="77777777" w:rsidR="007111E8" w:rsidRPr="00DD6217" w:rsidRDefault="007111E8" w:rsidP="00DE4CF7">
      <w:pPr>
        <w:pStyle w:val="Body3"/>
      </w:pPr>
    </w:p>
    <w:p w14:paraId="50E459D7" w14:textId="77777777" w:rsidR="007111E8" w:rsidRPr="00DD6217" w:rsidRDefault="007111E8" w:rsidP="00DE4CF7">
      <w:pPr>
        <w:pStyle w:val="Body3"/>
      </w:pPr>
      <w:r w:rsidRPr="00DD6217">
        <w:t xml:space="preserve">14. </w:t>
      </w:r>
      <w:r w:rsidR="007E08AB" w:rsidRPr="00DD6217">
        <w:tab/>
      </w:r>
      <w:r w:rsidRPr="00DD6217">
        <w:t>COSTS TO FEDERAL GOVERNMENT</w:t>
      </w:r>
    </w:p>
    <w:p w14:paraId="63577AF3" w14:textId="77777777" w:rsidR="007111E8" w:rsidRPr="00DD6217" w:rsidRDefault="007111E8" w:rsidP="00DE4CF7">
      <w:pPr>
        <w:pStyle w:val="Body3"/>
      </w:pPr>
    </w:p>
    <w:p w14:paraId="2E14A10F" w14:textId="5F5BF79D" w:rsidR="006C6A47" w:rsidRPr="00DD6217" w:rsidRDefault="007111E8" w:rsidP="00DE4CF7">
      <w:pPr>
        <w:pStyle w:val="Body3"/>
      </w:pPr>
      <w:r w:rsidRPr="00DD6217">
        <w:t>There is no cost to the Federal Government for this collection</w:t>
      </w:r>
      <w:r w:rsidR="006C6A47" w:rsidRPr="00DD6217">
        <w:t>.</w:t>
      </w:r>
      <w:r w:rsidR="00995948">
        <w:t xml:space="preserve">  </w:t>
      </w:r>
      <w:r w:rsidR="00995948" w:rsidRPr="00995948">
        <w:t>Therefore, this item is not applicable.</w:t>
      </w:r>
    </w:p>
    <w:p w14:paraId="68737BB0" w14:textId="77777777" w:rsidR="006C6A47" w:rsidRPr="00DD6217" w:rsidRDefault="006C6A47" w:rsidP="00DE4CF7">
      <w:pPr>
        <w:pStyle w:val="Body3"/>
      </w:pPr>
    </w:p>
    <w:p w14:paraId="315CF477" w14:textId="77777777" w:rsidR="007111E8" w:rsidRPr="00225A61" w:rsidRDefault="007111E8" w:rsidP="00DE4CF7">
      <w:pPr>
        <w:pStyle w:val="Body3"/>
        <w:rPr>
          <w:lang w:val="es-US"/>
        </w:rPr>
      </w:pPr>
      <w:r w:rsidRPr="00DD6217">
        <w:t>15.</w:t>
      </w:r>
      <w:r w:rsidRPr="00DD6217">
        <w:tab/>
        <w:t xml:space="preserve">PROGRAM OR BURDEN CHANGES </w:t>
      </w:r>
    </w:p>
    <w:p w14:paraId="561B57CA" w14:textId="77777777" w:rsidR="007111E8" w:rsidRDefault="007111E8" w:rsidP="00DE4CF7">
      <w:pPr>
        <w:pStyle w:val="Body3"/>
      </w:pPr>
    </w:p>
    <w:p w14:paraId="2013DF0C" w14:textId="6C19E71D" w:rsidR="00981837" w:rsidRDefault="008923F8" w:rsidP="00DE4CF7">
      <w:pPr>
        <w:pStyle w:val="Body3"/>
      </w:pPr>
      <w:r w:rsidRPr="008923F8">
        <w:t>The IM has been minimally changed with this submission to include language informing beneficiaries of their rights under Section 504 of the Rehabilitation Act of 1973 (Section 504), alerting the beneficiary to CMS’s nondiscrimination practices and the availability of alternate forms of this notice if needed.</w:t>
      </w:r>
    </w:p>
    <w:p w14:paraId="1E219B12" w14:textId="77777777" w:rsidR="00981837" w:rsidRDefault="00981837" w:rsidP="00DE4CF7">
      <w:pPr>
        <w:pStyle w:val="Body3"/>
      </w:pPr>
    </w:p>
    <w:p w14:paraId="37E46012" w14:textId="38C43534" w:rsidR="008E76BB" w:rsidRDefault="008E76BB" w:rsidP="00DE4CF7">
      <w:pPr>
        <w:pStyle w:val="Body3"/>
      </w:pPr>
      <w:r w:rsidRPr="00850C3E">
        <w:t>The Section 504 requirement was in effect with the pr</w:t>
      </w:r>
      <w:r>
        <w:t xml:space="preserve">ior-approved </w:t>
      </w:r>
      <w:r w:rsidRPr="00850C3E">
        <w:t>notice</w:t>
      </w:r>
      <w:r>
        <w:t xml:space="preserve">. </w:t>
      </w:r>
      <w:r w:rsidRPr="00850C3E">
        <w:t xml:space="preserve"> </w:t>
      </w:r>
      <w:r>
        <w:t>I</w:t>
      </w:r>
      <w:r w:rsidRPr="00850C3E">
        <w:t xml:space="preserve">ncluding standard CMS language to advise the beneficiary of </w:t>
      </w:r>
      <w:r>
        <w:t xml:space="preserve">CMS’s </w:t>
      </w:r>
      <w:r w:rsidRPr="00850C3E">
        <w:t xml:space="preserve">nondiscrimination </w:t>
      </w:r>
      <w:r>
        <w:t xml:space="preserve">policies </w:t>
      </w:r>
      <w:r w:rsidRPr="00850C3E">
        <w:t xml:space="preserve">and availability of alternate forms of this notice is not expected to </w:t>
      </w:r>
      <w:r>
        <w:t xml:space="preserve">greatly </w:t>
      </w:r>
      <w:r w:rsidRPr="00850C3E">
        <w:t xml:space="preserve">change </w:t>
      </w:r>
      <w:r>
        <w:t xml:space="preserve">respondent </w:t>
      </w:r>
      <w:r w:rsidRPr="00850C3E">
        <w:t xml:space="preserve">burden associated with the </w:t>
      </w:r>
      <w:r w:rsidR="00E07D49">
        <w:t>IM</w:t>
      </w:r>
      <w:r w:rsidRPr="00850C3E">
        <w:t>.</w:t>
      </w:r>
    </w:p>
    <w:p w14:paraId="5F23EC66" w14:textId="77777777" w:rsidR="008E76BB" w:rsidRDefault="008E76BB" w:rsidP="00DE4CF7">
      <w:pPr>
        <w:pStyle w:val="Body3"/>
      </w:pPr>
    </w:p>
    <w:p w14:paraId="7203C310" w14:textId="5A39D47F" w:rsidR="008C47E9" w:rsidRDefault="008923F8" w:rsidP="00DE4CF7">
      <w:pPr>
        <w:pStyle w:val="Body3"/>
      </w:pPr>
      <w:r w:rsidRPr="008923F8">
        <w:t>There are no substantive changes to the IM form and instructions.</w:t>
      </w:r>
    </w:p>
    <w:p w14:paraId="155F1F1F" w14:textId="77777777" w:rsidR="008C47E9" w:rsidRDefault="008C47E9" w:rsidP="00DE4CF7">
      <w:pPr>
        <w:pStyle w:val="Body3"/>
      </w:pPr>
    </w:p>
    <w:p w14:paraId="286BCBF3" w14:textId="3FA946D9" w:rsidR="008F2CB0" w:rsidRDefault="009B0D79" w:rsidP="00DE4CF7">
      <w:pPr>
        <w:pStyle w:val="Body3"/>
      </w:pPr>
      <w:r>
        <w:t xml:space="preserve">The total annual hour burden has </w:t>
      </w:r>
      <w:r w:rsidR="00CD650B">
        <w:t xml:space="preserve">increased </w:t>
      </w:r>
      <w:r w:rsidR="00EE39A4">
        <w:t xml:space="preserve">by </w:t>
      </w:r>
      <w:r w:rsidR="00EE39A4" w:rsidRPr="0047533B">
        <w:rPr>
          <w:b/>
        </w:rPr>
        <w:t>428,000 hours</w:t>
      </w:r>
      <w:r w:rsidR="00EE39A4">
        <w:t xml:space="preserve"> </w:t>
      </w:r>
      <w:r>
        <w:t xml:space="preserve">due </w:t>
      </w:r>
      <w:r w:rsidR="008C47E9">
        <w:t xml:space="preserve">to the Medicare program’s general growth and an increase in inpatient hospitalization claims. </w:t>
      </w:r>
      <w:r w:rsidR="00292FE0">
        <w:t xml:space="preserve"> </w:t>
      </w:r>
      <w:r w:rsidR="00263954">
        <w:t xml:space="preserve">Although the number of Medicare participating </w:t>
      </w:r>
      <w:r w:rsidR="00263954">
        <w:lastRenderedPageBreak/>
        <w:t xml:space="preserve">hospitals decreased by </w:t>
      </w:r>
      <w:r w:rsidR="00E32E0F">
        <w:t>27</w:t>
      </w:r>
      <w:r w:rsidR="00263954">
        <w:t xml:space="preserve"> facilities since our last PRA submission, </w:t>
      </w:r>
      <w:r>
        <w:t>the number of annual inpatient hospitalizations</w:t>
      </w:r>
      <w:r w:rsidR="00FA0EF2">
        <w:t xml:space="preserve"> </w:t>
      </w:r>
      <w:r w:rsidR="00263954">
        <w:t xml:space="preserve">has </w:t>
      </w:r>
      <w:r w:rsidR="00FA0EF2">
        <w:t>increas</w:t>
      </w:r>
      <w:r w:rsidR="008C47E9">
        <w:t xml:space="preserve">ed </w:t>
      </w:r>
      <w:r w:rsidR="00FA0EF2">
        <w:t xml:space="preserve">by </w:t>
      </w:r>
      <w:r w:rsidR="00DD691A">
        <w:t xml:space="preserve"> from 12.4 million in the previous submission to 14.8 million</w:t>
      </w:r>
      <w:r w:rsidR="00B1571D">
        <w:t>, an increase of 2.4 million</w:t>
      </w:r>
      <w:r w:rsidR="00E97CCC">
        <w:t xml:space="preserve">. </w:t>
      </w:r>
      <w:r w:rsidR="00CD650B">
        <w:t xml:space="preserve"> </w:t>
      </w:r>
      <w:r w:rsidR="00E97CCC">
        <w:t>With this increase</w:t>
      </w:r>
      <w:r w:rsidR="00CE6497">
        <w:t xml:space="preserve"> in inpatient hospitalizations</w:t>
      </w:r>
      <w:r w:rsidR="00E97CCC">
        <w:t>, t</w:t>
      </w:r>
      <w:r w:rsidR="00C045BD">
        <w:t>he estimated annual number of responses</w:t>
      </w:r>
      <w:r w:rsidR="00CD650B">
        <w:t xml:space="preserve"> </w:t>
      </w:r>
      <w:r w:rsidR="00E97CCC">
        <w:t xml:space="preserve">has increased </w:t>
      </w:r>
      <w:r w:rsidR="00CD650B">
        <w:t xml:space="preserve">by </w:t>
      </w:r>
      <w:r w:rsidR="00E32E0F" w:rsidRPr="0047533B">
        <w:rPr>
          <w:b/>
        </w:rPr>
        <w:t>3.84</w:t>
      </w:r>
      <w:r w:rsidR="00D406CB" w:rsidRPr="0047533B">
        <w:rPr>
          <w:b/>
        </w:rPr>
        <w:t xml:space="preserve"> million</w:t>
      </w:r>
      <w:r w:rsidR="008C47E9">
        <w:t xml:space="preserve"> </w:t>
      </w:r>
      <w:r w:rsidR="00CD650B">
        <w:t>annually</w:t>
      </w:r>
      <w:r w:rsidR="00CC4D6A">
        <w:t>,</w:t>
      </w:r>
      <w:r w:rsidR="00DD691A">
        <w:t xml:space="preserve"> from 19.84 million in 2013 to 23.68 million in this submission</w:t>
      </w:r>
      <w:r w:rsidR="00C045BD">
        <w:t xml:space="preserve">. </w:t>
      </w:r>
      <w:r w:rsidR="00292FE0">
        <w:t xml:space="preserve"> </w:t>
      </w:r>
    </w:p>
    <w:p w14:paraId="11D58FFB" w14:textId="77777777" w:rsidR="008F2CB0" w:rsidRDefault="008F2CB0" w:rsidP="00DE4CF7">
      <w:pPr>
        <w:pStyle w:val="Body3"/>
      </w:pPr>
    </w:p>
    <w:p w14:paraId="7D39A7B9" w14:textId="7081B181" w:rsidR="00887834" w:rsidRDefault="007D724D" w:rsidP="00DE4CF7">
      <w:pPr>
        <w:pStyle w:val="Body3"/>
      </w:pPr>
      <w:r>
        <w:t>T</w:t>
      </w:r>
      <w:r w:rsidR="00E97CCC">
        <w:t>here is a</w:t>
      </w:r>
      <w:r w:rsidR="00865841">
        <w:t xml:space="preserve"> </w:t>
      </w:r>
      <w:r w:rsidR="00865841" w:rsidRPr="0047533B">
        <w:rPr>
          <w:b/>
        </w:rPr>
        <w:t>$</w:t>
      </w:r>
      <w:r w:rsidR="0026259A" w:rsidRPr="0047533B">
        <w:rPr>
          <w:b/>
        </w:rPr>
        <w:t>112.7</w:t>
      </w:r>
      <w:r w:rsidR="00865841" w:rsidRPr="0047533B">
        <w:rPr>
          <w:b/>
        </w:rPr>
        <w:t xml:space="preserve"> million </w:t>
      </w:r>
      <w:r w:rsidR="00E97CCC" w:rsidRPr="0047533B">
        <w:rPr>
          <w:b/>
        </w:rPr>
        <w:t>increase</w:t>
      </w:r>
      <w:r w:rsidR="00E97CCC">
        <w:t xml:space="preserve"> in the annual cost estimate from $</w:t>
      </w:r>
      <w:r w:rsidR="00D406CB">
        <w:t>89.</w:t>
      </w:r>
      <w:r w:rsidR="0026259A">
        <w:t>6</w:t>
      </w:r>
      <w:r w:rsidR="00E97CCC">
        <w:t xml:space="preserve"> million to $</w:t>
      </w:r>
      <w:r w:rsidR="0026259A">
        <w:t>202.3</w:t>
      </w:r>
      <w:r w:rsidR="00E97CCC">
        <w:t xml:space="preserve"> million.</w:t>
      </w:r>
      <w:r w:rsidR="000F2109">
        <w:t xml:space="preserve"> </w:t>
      </w:r>
      <w:r w:rsidR="00E97CCC">
        <w:t xml:space="preserve"> </w:t>
      </w:r>
      <w:r>
        <w:t xml:space="preserve">This is likely due to the </w:t>
      </w:r>
      <w:r w:rsidR="00860963">
        <w:t>wage adjustment</w:t>
      </w:r>
      <w:r>
        <w:t xml:space="preserve"> which accounts for fringe benefits and overhead costs.</w:t>
      </w:r>
    </w:p>
    <w:p w14:paraId="27E45EA4" w14:textId="77777777" w:rsidR="00C045BD" w:rsidRPr="00DD6217" w:rsidRDefault="00C045BD" w:rsidP="00DE4CF7">
      <w:pPr>
        <w:pStyle w:val="Body3"/>
      </w:pPr>
    </w:p>
    <w:p w14:paraId="7F0F8BEC" w14:textId="77777777" w:rsidR="007111E8" w:rsidRPr="00DD6217" w:rsidRDefault="007111E8" w:rsidP="00DE4CF7">
      <w:pPr>
        <w:pStyle w:val="Body3"/>
      </w:pPr>
      <w:r w:rsidRPr="00DD6217">
        <w:t>16.</w:t>
      </w:r>
      <w:r w:rsidRPr="00DD6217">
        <w:tab/>
        <w:t>PUBLICATION AND TABULATION DATES</w:t>
      </w:r>
    </w:p>
    <w:p w14:paraId="1277CE7B" w14:textId="77777777" w:rsidR="007111E8" w:rsidRPr="00DD6217" w:rsidRDefault="007111E8" w:rsidP="00DE4CF7">
      <w:pPr>
        <w:pStyle w:val="Body3"/>
      </w:pPr>
    </w:p>
    <w:p w14:paraId="1938EDF9" w14:textId="13690C58" w:rsidR="007111E8" w:rsidRPr="00DD6217" w:rsidRDefault="007111E8" w:rsidP="00DE4CF7">
      <w:pPr>
        <w:pStyle w:val="Body3"/>
      </w:pPr>
      <w:r w:rsidRPr="00DD6217">
        <w:t xml:space="preserve">These </w:t>
      </w:r>
      <w:r w:rsidR="003E17AF">
        <w:t xml:space="preserve">blank </w:t>
      </w:r>
      <w:r w:rsidRPr="00DD6217">
        <w:t xml:space="preserve">notices </w:t>
      </w:r>
      <w:r w:rsidR="003E17AF">
        <w:t xml:space="preserve">are posted </w:t>
      </w:r>
      <w:r w:rsidRPr="00DD6217">
        <w:t>on the Internet; however, no aggregate or individual data will be tabulated from the</w:t>
      </w:r>
      <w:r w:rsidR="00EB48B1">
        <w:t xml:space="preserve"> completed forms.</w:t>
      </w:r>
    </w:p>
    <w:p w14:paraId="380E2028" w14:textId="77777777" w:rsidR="007111E8" w:rsidRPr="00DD6217" w:rsidRDefault="007111E8" w:rsidP="00DE4CF7">
      <w:pPr>
        <w:pStyle w:val="Body3"/>
      </w:pPr>
    </w:p>
    <w:p w14:paraId="10F468F0" w14:textId="77777777" w:rsidR="007111E8" w:rsidRPr="00DD6217" w:rsidRDefault="007111E8" w:rsidP="00DE4CF7">
      <w:pPr>
        <w:pStyle w:val="Body3"/>
      </w:pPr>
      <w:r w:rsidRPr="00DD6217">
        <w:t>17.</w:t>
      </w:r>
      <w:r w:rsidRPr="00DD6217">
        <w:tab/>
        <w:t>EXPIRATION DATE</w:t>
      </w:r>
    </w:p>
    <w:p w14:paraId="0B6A80D4" w14:textId="77777777" w:rsidR="007111E8" w:rsidRPr="00DD6217" w:rsidRDefault="007111E8" w:rsidP="00DE4CF7">
      <w:pPr>
        <w:pStyle w:val="Body3"/>
      </w:pPr>
    </w:p>
    <w:p w14:paraId="0FDCFCFE" w14:textId="587A4D8E" w:rsidR="007111E8" w:rsidRPr="00DD6217" w:rsidRDefault="007111E8" w:rsidP="00DE4CF7">
      <w:pPr>
        <w:pStyle w:val="Body3"/>
      </w:pPr>
      <w:r w:rsidRPr="00DD6217">
        <w:t>We are not requesting exemption.</w:t>
      </w:r>
      <w:r w:rsidR="00292FE0" w:rsidRPr="00292FE0">
        <w:t xml:space="preserve"> </w:t>
      </w:r>
      <w:r w:rsidR="00292FE0">
        <w:t xml:space="preserve"> </w:t>
      </w:r>
      <w:r w:rsidR="00292FE0" w:rsidRPr="00292FE0">
        <w:t>Therefore, this item is not applicable.</w:t>
      </w:r>
    </w:p>
    <w:p w14:paraId="2BE243B0" w14:textId="77777777" w:rsidR="007111E8" w:rsidRPr="00DD6217" w:rsidRDefault="007111E8" w:rsidP="00DE4CF7">
      <w:pPr>
        <w:pStyle w:val="Body3"/>
      </w:pPr>
    </w:p>
    <w:p w14:paraId="224B7F3F" w14:textId="77777777" w:rsidR="007111E8" w:rsidRPr="00DD6217" w:rsidRDefault="007111E8" w:rsidP="00DE4CF7">
      <w:pPr>
        <w:pStyle w:val="Body3"/>
      </w:pPr>
      <w:r w:rsidRPr="00DD6217">
        <w:t>18.</w:t>
      </w:r>
      <w:r w:rsidRPr="00DD6217">
        <w:tab/>
        <w:t>CERTIFICATION STATEMENT</w:t>
      </w:r>
    </w:p>
    <w:p w14:paraId="455D523A" w14:textId="77777777" w:rsidR="007111E8" w:rsidRPr="00DD6217" w:rsidRDefault="007111E8" w:rsidP="00DE4CF7">
      <w:pPr>
        <w:pStyle w:val="Body3"/>
      </w:pPr>
    </w:p>
    <w:p w14:paraId="282859B5" w14:textId="6328DC31" w:rsidR="007111E8" w:rsidRDefault="007111E8" w:rsidP="00DE4CF7">
      <w:pPr>
        <w:pStyle w:val="Body3"/>
      </w:pPr>
      <w:r>
        <w:t>There are no exceptions to the certification statement.</w:t>
      </w:r>
      <w:r w:rsidR="00292FE0">
        <w:t xml:space="preserve">  </w:t>
      </w:r>
      <w:r w:rsidR="00292FE0" w:rsidRPr="00292FE0">
        <w:t>Therefore, this item is not applicable.</w:t>
      </w:r>
    </w:p>
    <w:p w14:paraId="2F06380A" w14:textId="77777777" w:rsidR="007111E8" w:rsidRDefault="007111E8" w:rsidP="00DE4CF7">
      <w:pPr>
        <w:pStyle w:val="Body3"/>
      </w:pPr>
    </w:p>
    <w:p w14:paraId="1CA0B5D2" w14:textId="0CEA670C" w:rsidR="007111E8" w:rsidRPr="00EF7226" w:rsidRDefault="00B050B5" w:rsidP="00DE4CF7">
      <w:pPr>
        <w:pStyle w:val="Body3"/>
        <w:rPr>
          <w:b/>
        </w:rPr>
      </w:pPr>
      <w:r w:rsidRPr="00EF7226">
        <w:rPr>
          <w:b/>
        </w:rPr>
        <w:t>B</w:t>
      </w:r>
      <w:r w:rsidR="007111E8" w:rsidRPr="00EF7226">
        <w:rPr>
          <w:b/>
        </w:rPr>
        <w:t>.</w:t>
      </w:r>
      <w:r w:rsidR="007111E8" w:rsidRPr="00EF7226">
        <w:rPr>
          <w:b/>
        </w:rPr>
        <w:tab/>
      </w:r>
      <w:r w:rsidR="005C218A" w:rsidRPr="00EF7226">
        <w:rPr>
          <w:b/>
        </w:rPr>
        <w:t>Collection of Information Employing Statistical Methods</w:t>
      </w:r>
      <w:r w:rsidR="007111E8" w:rsidRPr="00EF7226">
        <w:rPr>
          <w:b/>
        </w:rPr>
        <w:tab/>
      </w:r>
    </w:p>
    <w:p w14:paraId="5C6BF920" w14:textId="77777777" w:rsidR="007111E8" w:rsidRDefault="007111E8" w:rsidP="00DE4CF7">
      <w:pPr>
        <w:pStyle w:val="Body3"/>
      </w:pPr>
    </w:p>
    <w:p w14:paraId="3541378A" w14:textId="15D009CB" w:rsidR="007111E8" w:rsidRDefault="007111E8" w:rsidP="00DE4CF7">
      <w:pPr>
        <w:pStyle w:val="Body3"/>
      </w:pPr>
      <w:r>
        <w:t>There are no statistical methods associated with this collection.</w:t>
      </w:r>
      <w:r w:rsidR="00292FE0">
        <w:t xml:space="preserve">  </w:t>
      </w:r>
      <w:r w:rsidR="00292FE0" w:rsidRPr="00292FE0">
        <w:t>Therefore, this item is not applicable.</w:t>
      </w:r>
    </w:p>
    <w:p w14:paraId="2FFC6791" w14:textId="77777777" w:rsidR="00326AC9" w:rsidRDefault="00326AC9" w:rsidP="00DE4CF7">
      <w:pPr>
        <w:pStyle w:val="Body3"/>
      </w:pPr>
    </w:p>
    <w:sectPr w:rsidR="00326AC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4FE6"/>
    <w:multiLevelType w:val="hybridMultilevel"/>
    <w:tmpl w:val="CF84909E"/>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4D6929"/>
    <w:multiLevelType w:val="hybridMultilevel"/>
    <w:tmpl w:val="3D82FBA0"/>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25269A4"/>
    <w:multiLevelType w:val="hybridMultilevel"/>
    <w:tmpl w:val="22382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86E32"/>
    <w:multiLevelType w:val="hybridMultilevel"/>
    <w:tmpl w:val="D8863E1E"/>
    <w:lvl w:ilvl="0" w:tplc="EEEEE06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C34422"/>
    <w:multiLevelType w:val="hybridMultilevel"/>
    <w:tmpl w:val="07DE1A3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CFD7830"/>
    <w:multiLevelType w:val="hybridMultilevel"/>
    <w:tmpl w:val="FF0AC1EE"/>
    <w:lvl w:ilvl="0" w:tplc="51C4675C">
      <w:start w:val="1"/>
      <w:numFmt w:val="upperLetter"/>
      <w:lvlText w:val="%1."/>
      <w:lvlJc w:val="left"/>
      <w:pPr>
        <w:ind w:left="810" w:hanging="360"/>
      </w:pPr>
      <w:rPr>
        <w:rFonts w:hint="default"/>
        <w:b/>
        <w:i/>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0E2C9D"/>
    <w:multiLevelType w:val="hybridMultilevel"/>
    <w:tmpl w:val="778E0EC6"/>
    <w:lvl w:ilvl="0" w:tplc="598251F4">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EB674BE"/>
    <w:multiLevelType w:val="hybridMultilevel"/>
    <w:tmpl w:val="CA220E62"/>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112455"/>
    <w:multiLevelType w:val="hybridMultilevel"/>
    <w:tmpl w:val="2D7C6938"/>
    <w:lvl w:ilvl="0" w:tplc="598251F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9" w15:restartNumberingAfterBreak="0">
    <w:nsid w:val="5A39118D"/>
    <w:multiLevelType w:val="hybridMultilevel"/>
    <w:tmpl w:val="F1EEE9BE"/>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954C6A"/>
    <w:multiLevelType w:val="hybridMultilevel"/>
    <w:tmpl w:val="87486E94"/>
    <w:lvl w:ilvl="0" w:tplc="81DC6C2E">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BC786F"/>
    <w:multiLevelType w:val="hybridMultilevel"/>
    <w:tmpl w:val="00D4410C"/>
    <w:lvl w:ilvl="0" w:tplc="598251F4">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050871"/>
    <w:multiLevelType w:val="hybridMultilevel"/>
    <w:tmpl w:val="F8AA2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3DF0D92"/>
    <w:multiLevelType w:val="hybridMultilevel"/>
    <w:tmpl w:val="75D256DE"/>
    <w:lvl w:ilvl="0" w:tplc="F1A60392">
      <w:start w:val="1"/>
      <w:numFmt w:val="bullet"/>
      <w:lvlText w:val=""/>
      <w:lvlJc w:val="left"/>
      <w:pPr>
        <w:tabs>
          <w:tab w:val="num" w:pos="720"/>
        </w:tabs>
        <w:ind w:left="720" w:hanging="360"/>
      </w:pPr>
      <w:rPr>
        <w:rFonts w:ascii="Symbol" w:hAnsi="Symbol" w:hint="default"/>
        <w:sz w:val="20"/>
      </w:rPr>
    </w:lvl>
    <w:lvl w:ilvl="1" w:tplc="56789A42" w:tentative="1">
      <w:start w:val="1"/>
      <w:numFmt w:val="bullet"/>
      <w:lvlText w:val="o"/>
      <w:lvlJc w:val="left"/>
      <w:pPr>
        <w:tabs>
          <w:tab w:val="num" w:pos="1440"/>
        </w:tabs>
        <w:ind w:left="1440" w:hanging="360"/>
      </w:pPr>
      <w:rPr>
        <w:rFonts w:ascii="Courier New" w:hAnsi="Courier New" w:hint="default"/>
        <w:sz w:val="20"/>
      </w:rPr>
    </w:lvl>
    <w:lvl w:ilvl="2" w:tplc="5DF88A16" w:tentative="1">
      <w:start w:val="1"/>
      <w:numFmt w:val="bullet"/>
      <w:lvlText w:val=""/>
      <w:lvlJc w:val="left"/>
      <w:pPr>
        <w:tabs>
          <w:tab w:val="num" w:pos="2160"/>
        </w:tabs>
        <w:ind w:left="2160" w:hanging="360"/>
      </w:pPr>
      <w:rPr>
        <w:rFonts w:ascii="Wingdings" w:hAnsi="Wingdings" w:hint="default"/>
        <w:sz w:val="20"/>
      </w:rPr>
    </w:lvl>
    <w:lvl w:ilvl="3" w:tplc="EB12CBC2" w:tentative="1">
      <w:start w:val="1"/>
      <w:numFmt w:val="bullet"/>
      <w:lvlText w:val=""/>
      <w:lvlJc w:val="left"/>
      <w:pPr>
        <w:tabs>
          <w:tab w:val="num" w:pos="2880"/>
        </w:tabs>
        <w:ind w:left="2880" w:hanging="360"/>
      </w:pPr>
      <w:rPr>
        <w:rFonts w:ascii="Wingdings" w:hAnsi="Wingdings" w:hint="default"/>
        <w:sz w:val="20"/>
      </w:rPr>
    </w:lvl>
    <w:lvl w:ilvl="4" w:tplc="5BD6898A" w:tentative="1">
      <w:start w:val="1"/>
      <w:numFmt w:val="bullet"/>
      <w:lvlText w:val=""/>
      <w:lvlJc w:val="left"/>
      <w:pPr>
        <w:tabs>
          <w:tab w:val="num" w:pos="3600"/>
        </w:tabs>
        <w:ind w:left="3600" w:hanging="360"/>
      </w:pPr>
      <w:rPr>
        <w:rFonts w:ascii="Wingdings" w:hAnsi="Wingdings" w:hint="default"/>
        <w:sz w:val="20"/>
      </w:rPr>
    </w:lvl>
    <w:lvl w:ilvl="5" w:tplc="11CADA84" w:tentative="1">
      <w:start w:val="1"/>
      <w:numFmt w:val="bullet"/>
      <w:lvlText w:val=""/>
      <w:lvlJc w:val="left"/>
      <w:pPr>
        <w:tabs>
          <w:tab w:val="num" w:pos="4320"/>
        </w:tabs>
        <w:ind w:left="4320" w:hanging="360"/>
      </w:pPr>
      <w:rPr>
        <w:rFonts w:ascii="Wingdings" w:hAnsi="Wingdings" w:hint="default"/>
        <w:sz w:val="20"/>
      </w:rPr>
    </w:lvl>
    <w:lvl w:ilvl="6" w:tplc="7C287A50" w:tentative="1">
      <w:start w:val="1"/>
      <w:numFmt w:val="bullet"/>
      <w:lvlText w:val=""/>
      <w:lvlJc w:val="left"/>
      <w:pPr>
        <w:tabs>
          <w:tab w:val="num" w:pos="5040"/>
        </w:tabs>
        <w:ind w:left="5040" w:hanging="360"/>
      </w:pPr>
      <w:rPr>
        <w:rFonts w:ascii="Wingdings" w:hAnsi="Wingdings" w:hint="default"/>
        <w:sz w:val="20"/>
      </w:rPr>
    </w:lvl>
    <w:lvl w:ilvl="7" w:tplc="B6A8DF2E" w:tentative="1">
      <w:start w:val="1"/>
      <w:numFmt w:val="bullet"/>
      <w:lvlText w:val=""/>
      <w:lvlJc w:val="left"/>
      <w:pPr>
        <w:tabs>
          <w:tab w:val="num" w:pos="5760"/>
        </w:tabs>
        <w:ind w:left="5760" w:hanging="360"/>
      </w:pPr>
      <w:rPr>
        <w:rFonts w:ascii="Wingdings" w:hAnsi="Wingdings" w:hint="default"/>
        <w:sz w:val="20"/>
      </w:rPr>
    </w:lvl>
    <w:lvl w:ilvl="8" w:tplc="9F9A3FC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7E6F2BA8"/>
    <w:multiLevelType w:val="hybridMultilevel"/>
    <w:tmpl w:val="2874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9"/>
  </w:num>
  <w:num w:numId="5">
    <w:abstractNumId w:val="8"/>
  </w:num>
  <w:num w:numId="6">
    <w:abstractNumId w:val="13"/>
  </w:num>
  <w:num w:numId="7">
    <w:abstractNumId w:val="12"/>
  </w:num>
  <w:num w:numId="8">
    <w:abstractNumId w:val="6"/>
  </w:num>
  <w:num w:numId="9">
    <w:abstractNumId w:val="0"/>
  </w:num>
  <w:num w:numId="10">
    <w:abstractNumId w:val="7"/>
  </w:num>
  <w:num w:numId="11">
    <w:abstractNumId w:val="1"/>
  </w:num>
  <w:num w:numId="12">
    <w:abstractNumId w:val="3"/>
  </w:num>
  <w:num w:numId="13">
    <w:abstractNumId w:val="10"/>
  </w:num>
  <w:num w:numId="1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E1"/>
    <w:rsid w:val="000014A5"/>
    <w:rsid w:val="000015D7"/>
    <w:rsid w:val="00003146"/>
    <w:rsid w:val="00011D92"/>
    <w:rsid w:val="00011DB1"/>
    <w:rsid w:val="00020DB1"/>
    <w:rsid w:val="00022B2D"/>
    <w:rsid w:val="000301CD"/>
    <w:rsid w:val="00045E53"/>
    <w:rsid w:val="00046E2C"/>
    <w:rsid w:val="00062DAE"/>
    <w:rsid w:val="00066024"/>
    <w:rsid w:val="00080A7C"/>
    <w:rsid w:val="00091274"/>
    <w:rsid w:val="000932F3"/>
    <w:rsid w:val="00094AA6"/>
    <w:rsid w:val="000B5CFB"/>
    <w:rsid w:val="000C5B69"/>
    <w:rsid w:val="000F026F"/>
    <w:rsid w:val="000F2109"/>
    <w:rsid w:val="000F6FCE"/>
    <w:rsid w:val="00105934"/>
    <w:rsid w:val="00105D4B"/>
    <w:rsid w:val="001073A0"/>
    <w:rsid w:val="001111F3"/>
    <w:rsid w:val="001166C0"/>
    <w:rsid w:val="001406C1"/>
    <w:rsid w:val="001418E6"/>
    <w:rsid w:val="0016111F"/>
    <w:rsid w:val="001667D4"/>
    <w:rsid w:val="0016717D"/>
    <w:rsid w:val="00170378"/>
    <w:rsid w:val="0017045C"/>
    <w:rsid w:val="00174FD8"/>
    <w:rsid w:val="00185319"/>
    <w:rsid w:val="001936FF"/>
    <w:rsid w:val="001B5B24"/>
    <w:rsid w:val="001C4188"/>
    <w:rsid w:val="001D167E"/>
    <w:rsid w:val="001D31F0"/>
    <w:rsid w:val="001D7C5D"/>
    <w:rsid w:val="001E0D4F"/>
    <w:rsid w:val="001E3833"/>
    <w:rsid w:val="001F1732"/>
    <w:rsid w:val="00211CE8"/>
    <w:rsid w:val="002240ED"/>
    <w:rsid w:val="00225A61"/>
    <w:rsid w:val="002362D4"/>
    <w:rsid w:val="00236A21"/>
    <w:rsid w:val="00245880"/>
    <w:rsid w:val="0024739B"/>
    <w:rsid w:val="00252B4E"/>
    <w:rsid w:val="00252B83"/>
    <w:rsid w:val="002552A0"/>
    <w:rsid w:val="0026259A"/>
    <w:rsid w:val="00263954"/>
    <w:rsid w:val="002653A9"/>
    <w:rsid w:val="00271EC7"/>
    <w:rsid w:val="00274D98"/>
    <w:rsid w:val="00277FE9"/>
    <w:rsid w:val="0028124E"/>
    <w:rsid w:val="0028273B"/>
    <w:rsid w:val="002831E4"/>
    <w:rsid w:val="0028671E"/>
    <w:rsid w:val="00292FE0"/>
    <w:rsid w:val="00296460"/>
    <w:rsid w:val="002C0E6A"/>
    <w:rsid w:val="002C7A02"/>
    <w:rsid w:val="002D4441"/>
    <w:rsid w:val="002D6741"/>
    <w:rsid w:val="002D6BBB"/>
    <w:rsid w:val="002E0692"/>
    <w:rsid w:val="002E4D18"/>
    <w:rsid w:val="002E6696"/>
    <w:rsid w:val="002E6D32"/>
    <w:rsid w:val="00300FCF"/>
    <w:rsid w:val="003014BA"/>
    <w:rsid w:val="00304E40"/>
    <w:rsid w:val="00311D60"/>
    <w:rsid w:val="003145E2"/>
    <w:rsid w:val="00317428"/>
    <w:rsid w:val="00321A74"/>
    <w:rsid w:val="00323EC8"/>
    <w:rsid w:val="003253B0"/>
    <w:rsid w:val="00325DB5"/>
    <w:rsid w:val="0032684B"/>
    <w:rsid w:val="00326AC9"/>
    <w:rsid w:val="003357D6"/>
    <w:rsid w:val="0034307C"/>
    <w:rsid w:val="003469ED"/>
    <w:rsid w:val="00346B99"/>
    <w:rsid w:val="00352566"/>
    <w:rsid w:val="00357F29"/>
    <w:rsid w:val="00362AAE"/>
    <w:rsid w:val="00367890"/>
    <w:rsid w:val="00367F1A"/>
    <w:rsid w:val="003747E0"/>
    <w:rsid w:val="0037665C"/>
    <w:rsid w:val="00377079"/>
    <w:rsid w:val="00386EC6"/>
    <w:rsid w:val="003878A8"/>
    <w:rsid w:val="003B21D6"/>
    <w:rsid w:val="003B4F7A"/>
    <w:rsid w:val="003B6E17"/>
    <w:rsid w:val="003D4D87"/>
    <w:rsid w:val="003E0EE2"/>
    <w:rsid w:val="003E17AF"/>
    <w:rsid w:val="003E4A88"/>
    <w:rsid w:val="003F02AC"/>
    <w:rsid w:val="003F19A6"/>
    <w:rsid w:val="003F1EE4"/>
    <w:rsid w:val="003F2905"/>
    <w:rsid w:val="003F6A25"/>
    <w:rsid w:val="0040286A"/>
    <w:rsid w:val="00407567"/>
    <w:rsid w:val="0042361C"/>
    <w:rsid w:val="00430746"/>
    <w:rsid w:val="00430786"/>
    <w:rsid w:val="00432512"/>
    <w:rsid w:val="004405D2"/>
    <w:rsid w:val="00446997"/>
    <w:rsid w:val="0045077D"/>
    <w:rsid w:val="00453A37"/>
    <w:rsid w:val="00454FA1"/>
    <w:rsid w:val="00461E0D"/>
    <w:rsid w:val="00462D27"/>
    <w:rsid w:val="00470E47"/>
    <w:rsid w:val="0047533B"/>
    <w:rsid w:val="004772AA"/>
    <w:rsid w:val="004773C9"/>
    <w:rsid w:val="00491615"/>
    <w:rsid w:val="00492891"/>
    <w:rsid w:val="004945D9"/>
    <w:rsid w:val="004A7D51"/>
    <w:rsid w:val="004D29AA"/>
    <w:rsid w:val="004E1124"/>
    <w:rsid w:val="004E697C"/>
    <w:rsid w:val="0050065F"/>
    <w:rsid w:val="00501F99"/>
    <w:rsid w:val="005028EA"/>
    <w:rsid w:val="00507097"/>
    <w:rsid w:val="00520F03"/>
    <w:rsid w:val="0052228D"/>
    <w:rsid w:val="0052348F"/>
    <w:rsid w:val="005255E4"/>
    <w:rsid w:val="005303B0"/>
    <w:rsid w:val="0053250E"/>
    <w:rsid w:val="00535A06"/>
    <w:rsid w:val="00540D8B"/>
    <w:rsid w:val="005414ED"/>
    <w:rsid w:val="00546E2F"/>
    <w:rsid w:val="0056593A"/>
    <w:rsid w:val="00565D2C"/>
    <w:rsid w:val="00596ED8"/>
    <w:rsid w:val="005A4564"/>
    <w:rsid w:val="005B139B"/>
    <w:rsid w:val="005B65AB"/>
    <w:rsid w:val="005C13E4"/>
    <w:rsid w:val="005C218A"/>
    <w:rsid w:val="005C39FD"/>
    <w:rsid w:val="005C5264"/>
    <w:rsid w:val="005D2BC9"/>
    <w:rsid w:val="005E2756"/>
    <w:rsid w:val="005F0657"/>
    <w:rsid w:val="005F0929"/>
    <w:rsid w:val="005F3909"/>
    <w:rsid w:val="0060301F"/>
    <w:rsid w:val="0061438F"/>
    <w:rsid w:val="00616686"/>
    <w:rsid w:val="00616F54"/>
    <w:rsid w:val="00617EEC"/>
    <w:rsid w:val="006236AD"/>
    <w:rsid w:val="00624265"/>
    <w:rsid w:val="00626D51"/>
    <w:rsid w:val="00631FD9"/>
    <w:rsid w:val="00641E84"/>
    <w:rsid w:val="00643585"/>
    <w:rsid w:val="00655B51"/>
    <w:rsid w:val="00665103"/>
    <w:rsid w:val="00666451"/>
    <w:rsid w:val="0066797A"/>
    <w:rsid w:val="00682920"/>
    <w:rsid w:val="00696546"/>
    <w:rsid w:val="006A1F12"/>
    <w:rsid w:val="006A7F46"/>
    <w:rsid w:val="006B4304"/>
    <w:rsid w:val="006B7514"/>
    <w:rsid w:val="006C6A47"/>
    <w:rsid w:val="006E1670"/>
    <w:rsid w:val="006E35A3"/>
    <w:rsid w:val="006E437D"/>
    <w:rsid w:val="006F0546"/>
    <w:rsid w:val="006F2392"/>
    <w:rsid w:val="006F2DD7"/>
    <w:rsid w:val="006F3DF3"/>
    <w:rsid w:val="007066FA"/>
    <w:rsid w:val="00710029"/>
    <w:rsid w:val="007111E8"/>
    <w:rsid w:val="00716A18"/>
    <w:rsid w:val="0073787B"/>
    <w:rsid w:val="00747177"/>
    <w:rsid w:val="00747F57"/>
    <w:rsid w:val="007515E6"/>
    <w:rsid w:val="007563C7"/>
    <w:rsid w:val="00764464"/>
    <w:rsid w:val="007834CA"/>
    <w:rsid w:val="00785E73"/>
    <w:rsid w:val="00790665"/>
    <w:rsid w:val="00793245"/>
    <w:rsid w:val="00794687"/>
    <w:rsid w:val="007A2360"/>
    <w:rsid w:val="007A3B4E"/>
    <w:rsid w:val="007A5396"/>
    <w:rsid w:val="007A5FBE"/>
    <w:rsid w:val="007C473A"/>
    <w:rsid w:val="007D724D"/>
    <w:rsid w:val="007E01BD"/>
    <w:rsid w:val="007E0218"/>
    <w:rsid w:val="007E08AB"/>
    <w:rsid w:val="007E457B"/>
    <w:rsid w:val="008022E7"/>
    <w:rsid w:val="00807BEC"/>
    <w:rsid w:val="00810F11"/>
    <w:rsid w:val="00817431"/>
    <w:rsid w:val="00823168"/>
    <w:rsid w:val="00833D15"/>
    <w:rsid w:val="0083474B"/>
    <w:rsid w:val="008456A0"/>
    <w:rsid w:val="0085074F"/>
    <w:rsid w:val="008528FE"/>
    <w:rsid w:val="00852D61"/>
    <w:rsid w:val="00854558"/>
    <w:rsid w:val="00854948"/>
    <w:rsid w:val="0085619E"/>
    <w:rsid w:val="00857A1A"/>
    <w:rsid w:val="00860963"/>
    <w:rsid w:val="00865841"/>
    <w:rsid w:val="00887834"/>
    <w:rsid w:val="008923F8"/>
    <w:rsid w:val="00895288"/>
    <w:rsid w:val="008A427B"/>
    <w:rsid w:val="008A7CFC"/>
    <w:rsid w:val="008C47E9"/>
    <w:rsid w:val="008D2589"/>
    <w:rsid w:val="008E76BB"/>
    <w:rsid w:val="008F2AF8"/>
    <w:rsid w:val="008F2CB0"/>
    <w:rsid w:val="008F4E1F"/>
    <w:rsid w:val="00934179"/>
    <w:rsid w:val="009465D5"/>
    <w:rsid w:val="00950E6E"/>
    <w:rsid w:val="00953718"/>
    <w:rsid w:val="009578A8"/>
    <w:rsid w:val="00971AD0"/>
    <w:rsid w:val="00972521"/>
    <w:rsid w:val="00974F2E"/>
    <w:rsid w:val="00981837"/>
    <w:rsid w:val="0098465C"/>
    <w:rsid w:val="00993B63"/>
    <w:rsid w:val="00995948"/>
    <w:rsid w:val="009A6050"/>
    <w:rsid w:val="009B0D79"/>
    <w:rsid w:val="009B2723"/>
    <w:rsid w:val="009B44E7"/>
    <w:rsid w:val="009C6A98"/>
    <w:rsid w:val="009E0E5D"/>
    <w:rsid w:val="009E1A7E"/>
    <w:rsid w:val="009E3345"/>
    <w:rsid w:val="009F2EEB"/>
    <w:rsid w:val="009F4348"/>
    <w:rsid w:val="009F7D85"/>
    <w:rsid w:val="00A05657"/>
    <w:rsid w:val="00A06EB3"/>
    <w:rsid w:val="00A26A32"/>
    <w:rsid w:val="00A50178"/>
    <w:rsid w:val="00A52120"/>
    <w:rsid w:val="00A624BF"/>
    <w:rsid w:val="00A64164"/>
    <w:rsid w:val="00A65BFB"/>
    <w:rsid w:val="00A76C61"/>
    <w:rsid w:val="00A82C18"/>
    <w:rsid w:val="00A906D2"/>
    <w:rsid w:val="00A9092D"/>
    <w:rsid w:val="00AB38DC"/>
    <w:rsid w:val="00AB6ECC"/>
    <w:rsid w:val="00AC70AC"/>
    <w:rsid w:val="00AD2A70"/>
    <w:rsid w:val="00AE20CD"/>
    <w:rsid w:val="00AE4581"/>
    <w:rsid w:val="00AF3A9E"/>
    <w:rsid w:val="00AF41A4"/>
    <w:rsid w:val="00B02DE4"/>
    <w:rsid w:val="00B050B5"/>
    <w:rsid w:val="00B14D02"/>
    <w:rsid w:val="00B1571D"/>
    <w:rsid w:val="00B1761B"/>
    <w:rsid w:val="00B204B0"/>
    <w:rsid w:val="00B21D9D"/>
    <w:rsid w:val="00B2266B"/>
    <w:rsid w:val="00B27B45"/>
    <w:rsid w:val="00B30B5B"/>
    <w:rsid w:val="00B47B58"/>
    <w:rsid w:val="00B47C5C"/>
    <w:rsid w:val="00B53D8B"/>
    <w:rsid w:val="00B73C22"/>
    <w:rsid w:val="00B92262"/>
    <w:rsid w:val="00BA0B8B"/>
    <w:rsid w:val="00BB09DC"/>
    <w:rsid w:val="00BB684A"/>
    <w:rsid w:val="00BC1592"/>
    <w:rsid w:val="00BE0169"/>
    <w:rsid w:val="00BE78A1"/>
    <w:rsid w:val="00BF355D"/>
    <w:rsid w:val="00C045BD"/>
    <w:rsid w:val="00C045DB"/>
    <w:rsid w:val="00C05386"/>
    <w:rsid w:val="00C114CB"/>
    <w:rsid w:val="00C16A2E"/>
    <w:rsid w:val="00C34948"/>
    <w:rsid w:val="00C35768"/>
    <w:rsid w:val="00C54AC1"/>
    <w:rsid w:val="00C56C3B"/>
    <w:rsid w:val="00C57CF3"/>
    <w:rsid w:val="00C64DA4"/>
    <w:rsid w:val="00C8197B"/>
    <w:rsid w:val="00C83B10"/>
    <w:rsid w:val="00C914AA"/>
    <w:rsid w:val="00C94E6E"/>
    <w:rsid w:val="00C96C95"/>
    <w:rsid w:val="00CA1552"/>
    <w:rsid w:val="00CA4821"/>
    <w:rsid w:val="00CA64A8"/>
    <w:rsid w:val="00CB0EBA"/>
    <w:rsid w:val="00CB20BC"/>
    <w:rsid w:val="00CB3F9D"/>
    <w:rsid w:val="00CC4D6A"/>
    <w:rsid w:val="00CD650B"/>
    <w:rsid w:val="00CD6DE8"/>
    <w:rsid w:val="00CE6497"/>
    <w:rsid w:val="00CF2595"/>
    <w:rsid w:val="00CF5D00"/>
    <w:rsid w:val="00D10167"/>
    <w:rsid w:val="00D13F22"/>
    <w:rsid w:val="00D142AB"/>
    <w:rsid w:val="00D15150"/>
    <w:rsid w:val="00D21B18"/>
    <w:rsid w:val="00D21FE6"/>
    <w:rsid w:val="00D262A4"/>
    <w:rsid w:val="00D361AD"/>
    <w:rsid w:val="00D406CB"/>
    <w:rsid w:val="00D40AE6"/>
    <w:rsid w:val="00D51062"/>
    <w:rsid w:val="00D525E1"/>
    <w:rsid w:val="00D57AD1"/>
    <w:rsid w:val="00D610F3"/>
    <w:rsid w:val="00D63788"/>
    <w:rsid w:val="00D644BF"/>
    <w:rsid w:val="00D654FA"/>
    <w:rsid w:val="00D727F9"/>
    <w:rsid w:val="00D77116"/>
    <w:rsid w:val="00D77F33"/>
    <w:rsid w:val="00D8259C"/>
    <w:rsid w:val="00D84E61"/>
    <w:rsid w:val="00DA4224"/>
    <w:rsid w:val="00DA5799"/>
    <w:rsid w:val="00DB11D1"/>
    <w:rsid w:val="00DB177D"/>
    <w:rsid w:val="00DB24A8"/>
    <w:rsid w:val="00DB3F20"/>
    <w:rsid w:val="00DC3A89"/>
    <w:rsid w:val="00DD6217"/>
    <w:rsid w:val="00DD691A"/>
    <w:rsid w:val="00DE4CF7"/>
    <w:rsid w:val="00DE7074"/>
    <w:rsid w:val="00E003F6"/>
    <w:rsid w:val="00E0099C"/>
    <w:rsid w:val="00E01A31"/>
    <w:rsid w:val="00E07D49"/>
    <w:rsid w:val="00E32E0F"/>
    <w:rsid w:val="00E347E5"/>
    <w:rsid w:val="00E40526"/>
    <w:rsid w:val="00E43160"/>
    <w:rsid w:val="00E8449C"/>
    <w:rsid w:val="00E85963"/>
    <w:rsid w:val="00E87179"/>
    <w:rsid w:val="00E87CF9"/>
    <w:rsid w:val="00E912E4"/>
    <w:rsid w:val="00E97CCC"/>
    <w:rsid w:val="00EA3D68"/>
    <w:rsid w:val="00EA59A0"/>
    <w:rsid w:val="00EB48B1"/>
    <w:rsid w:val="00EB5CEA"/>
    <w:rsid w:val="00EB6FD2"/>
    <w:rsid w:val="00ED3476"/>
    <w:rsid w:val="00ED3712"/>
    <w:rsid w:val="00ED727C"/>
    <w:rsid w:val="00EE04C3"/>
    <w:rsid w:val="00EE1F79"/>
    <w:rsid w:val="00EE2C07"/>
    <w:rsid w:val="00EE39A4"/>
    <w:rsid w:val="00EF0162"/>
    <w:rsid w:val="00EF7226"/>
    <w:rsid w:val="00F07027"/>
    <w:rsid w:val="00F34F48"/>
    <w:rsid w:val="00F400C0"/>
    <w:rsid w:val="00F430B4"/>
    <w:rsid w:val="00F550F3"/>
    <w:rsid w:val="00F60CDA"/>
    <w:rsid w:val="00F60EC1"/>
    <w:rsid w:val="00F61381"/>
    <w:rsid w:val="00F630AC"/>
    <w:rsid w:val="00F662A3"/>
    <w:rsid w:val="00F706F9"/>
    <w:rsid w:val="00F74B0D"/>
    <w:rsid w:val="00F81C15"/>
    <w:rsid w:val="00F836E6"/>
    <w:rsid w:val="00F9094A"/>
    <w:rsid w:val="00F91C4B"/>
    <w:rsid w:val="00F959B2"/>
    <w:rsid w:val="00F96847"/>
    <w:rsid w:val="00FA0EF2"/>
    <w:rsid w:val="00FB0878"/>
    <w:rsid w:val="00FB2BCD"/>
    <w:rsid w:val="00FB3D54"/>
    <w:rsid w:val="00FB4469"/>
    <w:rsid w:val="00FB6FA1"/>
    <w:rsid w:val="00FC2424"/>
    <w:rsid w:val="00FC2D06"/>
    <w:rsid w:val="00FC33CB"/>
    <w:rsid w:val="00FC71A5"/>
    <w:rsid w:val="00FD3C52"/>
    <w:rsid w:val="00FE4680"/>
    <w:rsid w:val="00FE6BA3"/>
    <w:rsid w:val="00FE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040DF"/>
  <w15:docId w15:val="{CB30C9A4-6B94-487A-B225-2D823896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after="48"/>
    </w:pPr>
    <w:rPr>
      <w:rFonts w:ascii="Verdana" w:hAnsi="Verdana"/>
      <w:sz w:val="20"/>
      <w:szCs w:val="20"/>
    </w:rPr>
  </w:style>
  <w:style w:type="paragraph" w:styleId="PlainText">
    <w:name w:val="Plain Text"/>
    <w:basedOn w:val="Normal"/>
    <w:rPr>
      <w:rFonts w:ascii="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3">
    <w:name w:val="Body Text Indent 3"/>
    <w:basedOn w:val="Normal"/>
    <w:rsid w:val="00F550F3"/>
    <w:pPr>
      <w:spacing w:line="480" w:lineRule="auto"/>
      <w:ind w:firstLine="720"/>
    </w:pPr>
    <w:rPr>
      <w:rFonts w:ascii="Courier New" w:hAnsi="Courier New"/>
      <w:b/>
      <w:bCs/>
      <w:color w:val="000000"/>
      <w:u w:val="single"/>
    </w:rPr>
  </w:style>
  <w:style w:type="paragraph" w:styleId="BodyText2">
    <w:name w:val="Body Text 2"/>
    <w:basedOn w:val="Normal"/>
    <w:rsid w:val="0024739B"/>
    <w:pPr>
      <w:spacing w:after="120" w:line="480" w:lineRule="auto"/>
    </w:pPr>
  </w:style>
  <w:style w:type="character" w:styleId="Strong">
    <w:name w:val="Strong"/>
    <w:qFormat/>
    <w:rsid w:val="0024739B"/>
    <w:rPr>
      <w:b/>
      <w:bCs/>
    </w:rPr>
  </w:style>
  <w:style w:type="paragraph" w:styleId="BalloonText">
    <w:name w:val="Balloon Text"/>
    <w:basedOn w:val="Normal"/>
    <w:semiHidden/>
    <w:rsid w:val="00AE4581"/>
    <w:rPr>
      <w:rFonts w:ascii="Tahoma" w:hAnsi="Tahoma" w:cs="Tahoma"/>
      <w:sz w:val="16"/>
      <w:szCs w:val="16"/>
    </w:rPr>
  </w:style>
  <w:style w:type="character" w:styleId="CommentReference">
    <w:name w:val="annotation reference"/>
    <w:uiPriority w:val="99"/>
    <w:rsid w:val="008456A0"/>
    <w:rPr>
      <w:sz w:val="16"/>
      <w:szCs w:val="16"/>
    </w:rPr>
  </w:style>
  <w:style w:type="paragraph" w:styleId="CommentText">
    <w:name w:val="annotation text"/>
    <w:basedOn w:val="Normal"/>
    <w:link w:val="CommentTextChar"/>
    <w:uiPriority w:val="99"/>
    <w:rsid w:val="008456A0"/>
    <w:rPr>
      <w:sz w:val="20"/>
      <w:szCs w:val="20"/>
    </w:rPr>
  </w:style>
  <w:style w:type="character" w:customStyle="1" w:styleId="CommentTextChar">
    <w:name w:val="Comment Text Char"/>
    <w:basedOn w:val="DefaultParagraphFont"/>
    <w:link w:val="CommentText"/>
    <w:uiPriority w:val="99"/>
    <w:rsid w:val="008456A0"/>
  </w:style>
  <w:style w:type="paragraph" w:styleId="CommentSubject">
    <w:name w:val="annotation subject"/>
    <w:basedOn w:val="CommentText"/>
    <w:next w:val="CommentText"/>
    <w:link w:val="CommentSubjectChar"/>
    <w:rsid w:val="008456A0"/>
    <w:rPr>
      <w:b/>
      <w:bCs/>
    </w:rPr>
  </w:style>
  <w:style w:type="character" w:customStyle="1" w:styleId="CommentSubjectChar">
    <w:name w:val="Comment Subject Char"/>
    <w:link w:val="CommentSubject"/>
    <w:rsid w:val="008456A0"/>
    <w:rPr>
      <w:b/>
      <w:bCs/>
    </w:rPr>
  </w:style>
  <w:style w:type="paragraph" w:customStyle="1" w:styleId="Heading1">
    <w:name w:val="Heading1"/>
    <w:basedOn w:val="Normal"/>
    <w:qFormat/>
    <w:rsid w:val="00DE4CF7"/>
    <w:pPr>
      <w:jc w:val="center"/>
    </w:pPr>
    <w:rPr>
      <w:rFonts w:ascii="Century Gothic" w:hAnsi="Century Gothic" w:cs="Arial"/>
    </w:rPr>
  </w:style>
  <w:style w:type="paragraph" w:customStyle="1" w:styleId="Body1">
    <w:name w:val="Body 1"/>
    <w:basedOn w:val="Normal"/>
    <w:qFormat/>
    <w:rsid w:val="00DE4CF7"/>
    <w:rPr>
      <w:rFonts w:ascii="Century Gothic" w:hAnsi="Century Gothic" w:cs="Arial"/>
    </w:rPr>
  </w:style>
  <w:style w:type="paragraph" w:customStyle="1" w:styleId="Heading3">
    <w:name w:val="Heading3"/>
    <w:basedOn w:val="Normal"/>
    <w:qFormat/>
    <w:rsid w:val="00DE4CF7"/>
    <w:rPr>
      <w:rFonts w:ascii="Century Gothic" w:hAnsi="Century Gothic" w:cs="Arial"/>
    </w:rPr>
  </w:style>
  <w:style w:type="paragraph" w:customStyle="1" w:styleId="Heading2">
    <w:name w:val="Heading2"/>
    <w:basedOn w:val="Normal"/>
    <w:qFormat/>
    <w:rsid w:val="00DE4CF7"/>
    <w:rPr>
      <w:rFonts w:ascii="Century Gothic" w:hAnsi="Century Gothic" w:cs="Arial"/>
      <w:u w:val="single"/>
    </w:rPr>
  </w:style>
  <w:style w:type="paragraph" w:customStyle="1" w:styleId="Body2">
    <w:name w:val="Body2"/>
    <w:basedOn w:val="Normal"/>
    <w:qFormat/>
    <w:rsid w:val="00DE4CF7"/>
    <w:pPr>
      <w:ind w:firstLine="720"/>
    </w:pPr>
    <w:rPr>
      <w:rFonts w:ascii="Century Gothic" w:hAnsi="Century Gothic" w:cs="Courier New"/>
    </w:rPr>
  </w:style>
  <w:style w:type="paragraph" w:customStyle="1" w:styleId="heading4">
    <w:name w:val="heading4"/>
    <w:basedOn w:val="Normal"/>
    <w:qFormat/>
    <w:rsid w:val="00DE4CF7"/>
    <w:rPr>
      <w:rFonts w:ascii="Century Gothic" w:hAnsi="Century Gothic" w:cs="Arial"/>
    </w:rPr>
  </w:style>
  <w:style w:type="paragraph" w:customStyle="1" w:styleId="Body3">
    <w:name w:val="Body 3"/>
    <w:basedOn w:val="Normal"/>
    <w:qFormat/>
    <w:rsid w:val="00DE4CF7"/>
    <w:rPr>
      <w:rFonts w:ascii="Century Gothic" w:hAnsi="Century Gothic" w:cs="Courier New"/>
      <w:color w:val="000000"/>
      <w:szCs w:val="20"/>
    </w:rPr>
  </w:style>
  <w:style w:type="paragraph" w:customStyle="1" w:styleId="Heading5">
    <w:name w:val="Heading5"/>
    <w:basedOn w:val="Normal"/>
    <w:qFormat/>
    <w:rsid w:val="00DE4CF7"/>
    <w:rPr>
      <w:rFonts w:ascii="Century Gothic" w:hAnsi="Century Gothic" w:cs="Arial"/>
    </w:rPr>
  </w:style>
  <w:style w:type="paragraph" w:customStyle="1" w:styleId="Body4">
    <w:name w:val="Body4"/>
    <w:basedOn w:val="Normal"/>
    <w:qFormat/>
    <w:rsid w:val="00DE4CF7"/>
    <w:rPr>
      <w:rFonts w:ascii="Century Gothic" w:hAnsi="Century Gothic" w:cs="Arial"/>
    </w:rPr>
  </w:style>
  <w:style w:type="paragraph" w:customStyle="1" w:styleId="Body40">
    <w:name w:val="Body 4"/>
    <w:basedOn w:val="Body4"/>
    <w:qFormat/>
    <w:rsid w:val="00DE4CF7"/>
  </w:style>
  <w:style w:type="paragraph" w:customStyle="1" w:styleId="Heading6">
    <w:name w:val="Heading6"/>
    <w:basedOn w:val="Body40"/>
    <w:qFormat/>
    <w:rsid w:val="00DE4CF7"/>
  </w:style>
  <w:style w:type="character" w:styleId="Hyperlink">
    <w:name w:val="Hyperlink"/>
    <w:rsid w:val="00022B2D"/>
    <w:rPr>
      <w:color w:val="0000FF"/>
      <w:u w:val="single"/>
    </w:rPr>
  </w:style>
  <w:style w:type="paragraph" w:customStyle="1" w:styleId="Body10">
    <w:name w:val="Body1"/>
    <w:basedOn w:val="Normal"/>
    <w:qFormat/>
    <w:rsid w:val="00461E0D"/>
    <w:rPr>
      <w:rFonts w:ascii="Century Gothic" w:hAnsi="Century Gothic" w:cs="Arial"/>
    </w:rPr>
  </w:style>
  <w:style w:type="character" w:styleId="FollowedHyperlink">
    <w:name w:val="FollowedHyperlink"/>
    <w:basedOn w:val="DefaultParagraphFont"/>
    <w:rsid w:val="00461E0D"/>
    <w:rPr>
      <w:color w:val="800080" w:themeColor="followedHyperlink"/>
      <w:u w:val="single"/>
    </w:rPr>
  </w:style>
  <w:style w:type="paragraph" w:styleId="Revision">
    <w:name w:val="Revision"/>
    <w:hidden/>
    <w:uiPriority w:val="99"/>
    <w:semiHidden/>
    <w:rsid w:val="00DB11D1"/>
    <w:rPr>
      <w:sz w:val="24"/>
      <w:szCs w:val="24"/>
    </w:rPr>
  </w:style>
  <w:style w:type="paragraph" w:styleId="ListParagraph">
    <w:name w:val="List Paragraph"/>
    <w:basedOn w:val="Normal"/>
    <w:uiPriority w:val="34"/>
    <w:qFormat/>
    <w:rsid w:val="000F0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ms.gov/Research-Statistics-Data-and-Systems/Statistics-Trends-and-Reports/CMS-Statistics-Reference-Booklet/2015.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ACA9-74F1-45E2-BD59-BD93E0F4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2012</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the Important Message from Medicare</vt:lpstr>
    </vt:vector>
  </TitlesOfParts>
  <Company>CMS</Company>
  <LinksUpToDate>false</LinksUpToDate>
  <CharactersWithSpaces>13195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Important Message from Medicare</dc:title>
  <dc:subject>PRA supporting statement for IM</dc:subject>
  <dc:creator>CMS/CPC/MEAG/DAP</dc:creator>
  <cp:keywords>Important Message, IM, CMS-R-193, supporting statement</cp:keywords>
  <cp:lastModifiedBy>Mitch Bryman</cp:lastModifiedBy>
  <cp:revision>4</cp:revision>
  <cp:lastPrinted>2009-11-19T21:05:00Z</cp:lastPrinted>
  <dcterms:created xsi:type="dcterms:W3CDTF">2016-07-18T18:09:00Z</dcterms:created>
  <dcterms:modified xsi:type="dcterms:W3CDTF">2016-07-18T18:44:00Z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-1800820230</vt:i4>
  </property>
  <property fmtid="{D5CDD505-2E9C-101B-9397-08002B2CF9AE}" pid="4" name="_EmailSubject">
    <vt:lpwstr>Action Needed by May  20 - CMS-10066, OMB 0938-1019 (Detailed Notice of Discharge (DND))</vt:lpwstr>
  </property>
  <property fmtid="{D5CDD505-2E9C-101B-9397-08002B2CF9AE}" pid="5" name="_AuthorEmail">
    <vt:lpwstr>Sabrina.Sparkman@cms.hhs.gov</vt:lpwstr>
  </property>
  <property fmtid="{D5CDD505-2E9C-101B-9397-08002B2CF9AE}" pid="6" name="_AuthorEmailDisplayName">
    <vt:lpwstr>Sparkman, Sabrina M. (CMS/CM)</vt:lpwstr>
  </property>
  <property fmtid="{D5CDD505-2E9C-101B-9397-08002B2CF9AE}" pid="7" name="_PreviousAdHocReviewCycleID">
    <vt:i4>1590899214</vt:i4>
  </property>
  <property fmtid="{D5CDD505-2E9C-101B-9397-08002B2CF9AE}" pid="8" name="_ReviewingToolsShownOnce">
    <vt:lpwstr/>
  </property>
</Properties>
</file>