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55" w:rsidRDefault="008D7755" w:rsidP="008D7755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3F4046">
        <w:rPr>
          <w:rFonts w:ascii="Times New Roman" w:hAnsi="Times New Roman"/>
          <w:b/>
          <w:bCs/>
          <w:szCs w:val="24"/>
        </w:rPr>
        <w:t>Justif</w:t>
      </w:r>
      <w:r>
        <w:rPr>
          <w:rFonts w:ascii="Times New Roman" w:hAnsi="Times New Roman"/>
          <w:b/>
          <w:bCs/>
          <w:szCs w:val="24"/>
        </w:rPr>
        <w:t>ication for the Non-Substantive Changes for</w:t>
      </w:r>
      <w:r w:rsidRPr="003F4046">
        <w:rPr>
          <w:rFonts w:ascii="Times New Roman" w:hAnsi="Times New Roman"/>
          <w:b/>
          <w:bCs/>
          <w:szCs w:val="24"/>
        </w:rPr>
        <w:t xml:space="preserve"> </w:t>
      </w:r>
    </w:p>
    <w:p w:rsidR="008D7755" w:rsidRPr="00B82D14" w:rsidRDefault="008D7755" w:rsidP="008D7755">
      <w:pPr>
        <w:spacing w:after="0"/>
        <w:jc w:val="center"/>
        <w:rPr>
          <w:rFonts w:ascii="Times New Roman" w:hAnsi="Times New Roman"/>
          <w:b/>
          <w:szCs w:val="24"/>
        </w:rPr>
      </w:pPr>
      <w:r w:rsidRPr="003F4046">
        <w:rPr>
          <w:rFonts w:ascii="Times New Roman" w:hAnsi="Times New Roman"/>
          <w:b/>
          <w:bCs/>
          <w:szCs w:val="24"/>
        </w:rPr>
        <w:t xml:space="preserve">Social Security Administration’s </w:t>
      </w:r>
      <w:r w:rsidRPr="008914FC">
        <w:rPr>
          <w:rFonts w:ascii="Times New Roman" w:hAnsi="Times New Roman"/>
          <w:b/>
          <w:color w:val="000000"/>
          <w:szCs w:val="24"/>
        </w:rPr>
        <w:t>Public Credentialing and Authentication Process</w:t>
      </w:r>
    </w:p>
    <w:p w:rsidR="008D7755" w:rsidRPr="003F4046" w:rsidRDefault="008D7755" w:rsidP="008D7755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</w:t>
      </w:r>
      <w:r w:rsidRPr="00316F10">
        <w:rPr>
          <w:rFonts w:ascii="Times New Roman" w:hAnsi="Times New Roman"/>
          <w:b/>
          <w:bCs/>
          <w:szCs w:val="24"/>
        </w:rPr>
        <w:t>20 CFR 401.45, 20 CFR 402</w:t>
      </w:r>
    </w:p>
    <w:p w:rsidR="008D7755" w:rsidRDefault="008D7755" w:rsidP="008D7755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OMB Control Number:</w:t>
      </w:r>
      <w:r w:rsidRPr="003F4046">
        <w:rPr>
          <w:rFonts w:ascii="Times New Roman" w:hAnsi="Times New Roman"/>
          <w:b/>
          <w:bCs/>
          <w:szCs w:val="24"/>
        </w:rPr>
        <w:t xml:space="preserve"> 0960-0789</w:t>
      </w:r>
    </w:p>
    <w:p w:rsidR="008D7755" w:rsidRDefault="008D7755" w:rsidP="008D7755">
      <w:pPr>
        <w:contextualSpacing/>
        <w:jc w:val="center"/>
        <w:rPr>
          <w:rFonts w:ascii="Times New Roman" w:hAnsi="Times New Roman"/>
          <w:b/>
          <w:bCs/>
          <w:szCs w:val="24"/>
        </w:rPr>
      </w:pPr>
    </w:p>
    <w:p w:rsidR="00D31C30" w:rsidRDefault="00D31C30" w:rsidP="008D7755">
      <w:pPr>
        <w:contextualSpacing/>
        <w:jc w:val="center"/>
        <w:rPr>
          <w:rFonts w:ascii="Times New Roman" w:hAnsi="Times New Roman"/>
          <w:b/>
          <w:bCs/>
          <w:szCs w:val="24"/>
        </w:rPr>
      </w:pPr>
    </w:p>
    <w:p w:rsidR="008D7755" w:rsidRPr="00342927" w:rsidRDefault="008D7755" w:rsidP="008D7755">
      <w:pPr>
        <w:contextualSpacing/>
        <w:rPr>
          <w:rFonts w:ascii="Times New Roman" w:hAnsi="Times New Roman"/>
          <w:b/>
          <w:bCs/>
          <w:szCs w:val="24"/>
          <w:u w:val="single"/>
        </w:rPr>
      </w:pPr>
      <w:r w:rsidRPr="00342927">
        <w:rPr>
          <w:rFonts w:ascii="Times New Roman" w:hAnsi="Times New Roman"/>
          <w:b/>
          <w:bCs/>
          <w:szCs w:val="24"/>
          <w:u w:val="single"/>
        </w:rPr>
        <w:t>Background</w:t>
      </w:r>
    </w:p>
    <w:p w:rsidR="00A67C9B" w:rsidRDefault="008D7755" w:rsidP="003D5CA4">
      <w:pPr>
        <w:pStyle w:val="NormalWeb"/>
      </w:pPr>
      <w:r w:rsidRPr="00B74A92">
        <w:rPr>
          <w:bCs/>
          <w:color w:val="000000"/>
        </w:rPr>
        <w:t xml:space="preserve">Since </w:t>
      </w:r>
      <w:r>
        <w:rPr>
          <w:bCs/>
          <w:color w:val="000000"/>
        </w:rPr>
        <w:t xml:space="preserve">we established it in </w:t>
      </w:r>
      <w:r w:rsidRPr="00B74A92">
        <w:rPr>
          <w:bCs/>
          <w:color w:val="000000"/>
        </w:rPr>
        <w:t xml:space="preserve">May of 2012, </w:t>
      </w:r>
      <w:r>
        <w:rPr>
          <w:bCs/>
          <w:color w:val="000000"/>
        </w:rPr>
        <w:t xml:space="preserve">SSA uses </w:t>
      </w:r>
      <w:r w:rsidRPr="00B74A92">
        <w:rPr>
          <w:bCs/>
          <w:color w:val="000000"/>
        </w:rPr>
        <w:t>the Social Security Administration</w:t>
      </w:r>
      <w:r>
        <w:rPr>
          <w:bCs/>
          <w:color w:val="000000"/>
        </w:rPr>
        <w:t>’s Public Credentialing and Authentication Process (hereafter called “electronic access”) to</w:t>
      </w:r>
      <w:r w:rsidRPr="00B74A92">
        <w:rPr>
          <w:bCs/>
          <w:color w:val="000000"/>
        </w:rPr>
        <w:t xml:space="preserve"> </w:t>
      </w:r>
      <w:r>
        <w:rPr>
          <w:bCs/>
          <w:color w:val="000000"/>
        </w:rPr>
        <w:t>provide a secure, centralized gateway</w:t>
      </w:r>
      <w:r w:rsidRPr="00B74A92">
        <w:rPr>
          <w:color w:val="000000"/>
        </w:rPr>
        <w:t xml:space="preserve"> to </w:t>
      </w:r>
      <w:r>
        <w:rPr>
          <w:color w:val="000000"/>
        </w:rPr>
        <w:t xml:space="preserve">Social Security’s </w:t>
      </w:r>
      <w:r w:rsidRPr="00B74A92">
        <w:rPr>
          <w:color w:val="000000"/>
        </w:rPr>
        <w:t>public-facing electronic services.</w:t>
      </w:r>
      <w:r w:rsidR="00A736CD">
        <w:rPr>
          <w:color w:val="000000"/>
        </w:rPr>
        <w:t xml:space="preserve"> </w:t>
      </w:r>
      <w:r w:rsidR="0070270E">
        <w:rPr>
          <w:color w:val="000000"/>
        </w:rPr>
        <w:t xml:space="preserve"> </w:t>
      </w:r>
      <w:r w:rsidR="0070270E">
        <w:t xml:space="preserve">In an effort to meet </w:t>
      </w:r>
      <w:r w:rsidR="003D5CA4">
        <w:t xml:space="preserve">the Agency’s </w:t>
      </w:r>
      <w:r w:rsidR="0070270E">
        <w:t xml:space="preserve">strategic goal to deliver innovative, quality services, </w:t>
      </w:r>
      <w:r w:rsidR="00A736CD">
        <w:t xml:space="preserve">we will place </w:t>
      </w:r>
      <w:r w:rsidR="00A67C9B">
        <w:t>several applications behind the electronic access system (</w:t>
      </w:r>
      <w:r w:rsidR="00A67C9B" w:rsidRPr="004F66BE">
        <w:rPr>
          <w:rFonts w:ascii="Georgia" w:hAnsi="Georgia"/>
          <w:i/>
          <w:iCs/>
          <w:color w:val="FF0000"/>
        </w:rPr>
        <w:t>my</w:t>
      </w:r>
      <w:r w:rsidR="00A67C9B" w:rsidRPr="006462AA">
        <w:t xml:space="preserve"> </w:t>
      </w:r>
      <w:r w:rsidR="00A67C9B">
        <w:rPr>
          <w:rFonts w:ascii="Georgia" w:hAnsi="Georgia"/>
          <w:color w:val="0054A6"/>
        </w:rPr>
        <w:t>Social Security</w:t>
      </w:r>
      <w:r w:rsidR="00A67C9B">
        <w:t>).</w:t>
      </w:r>
    </w:p>
    <w:p w:rsidR="00A67C9B" w:rsidRDefault="002236DE" w:rsidP="003D5CA4">
      <w:pPr>
        <w:pStyle w:val="NormalWeb"/>
      </w:pPr>
      <w:r>
        <w:t xml:space="preserve">The </w:t>
      </w:r>
      <w:r w:rsidR="00A67C9B">
        <w:t xml:space="preserve">Contractor Access to eFolders </w:t>
      </w:r>
      <w:r>
        <w:t xml:space="preserve">application </w:t>
      </w:r>
      <w:r w:rsidR="00223737">
        <w:t>uses</w:t>
      </w:r>
      <w:r>
        <w:t xml:space="preserve"> the electronic access system (</w:t>
      </w:r>
      <w:r w:rsidRPr="004F66BE">
        <w:rPr>
          <w:rFonts w:ascii="Georgia" w:hAnsi="Georgia"/>
          <w:i/>
          <w:iCs/>
          <w:color w:val="FF0000"/>
        </w:rPr>
        <w:t>my</w:t>
      </w:r>
      <w:r w:rsidRPr="006462AA">
        <w:t xml:space="preserve"> </w:t>
      </w:r>
      <w:r>
        <w:rPr>
          <w:rFonts w:ascii="Georgia" w:hAnsi="Georgia"/>
          <w:color w:val="0054A6"/>
        </w:rPr>
        <w:t>Social Security</w:t>
      </w:r>
      <w:r>
        <w:t>)</w:t>
      </w:r>
      <w:r w:rsidR="00223737">
        <w:t xml:space="preserve"> for registration and authentication of its users</w:t>
      </w:r>
      <w:r>
        <w:t xml:space="preserve">. </w:t>
      </w:r>
      <w:r w:rsidR="00A736CD">
        <w:t xml:space="preserve"> </w:t>
      </w:r>
      <w:r w:rsidR="00223737">
        <w:t xml:space="preserve">Once the users sign in through the electronic access system, </w:t>
      </w:r>
      <w:r w:rsidR="00A736CD">
        <w:t>the system leads them</w:t>
      </w:r>
      <w:r w:rsidR="00223737">
        <w:t xml:space="preserve"> out to another portal to access the application. </w:t>
      </w:r>
      <w:r w:rsidR="00A736CD">
        <w:t xml:space="preserve"> </w:t>
      </w:r>
      <w:r>
        <w:t xml:space="preserve">This application allowed the expansion of online services to contracted third parties (Medical and Vocational Experts). </w:t>
      </w:r>
      <w:r w:rsidR="00A736CD">
        <w:t xml:space="preserve"> </w:t>
      </w:r>
      <w:r>
        <w:t xml:space="preserve">These experts can now review and download case documentation stored in the electronic folder (eFolder) for the claimant. </w:t>
      </w:r>
      <w:r w:rsidR="00A736CD">
        <w:t xml:space="preserve"> We implemented this a</w:t>
      </w:r>
      <w:r>
        <w:t>pplication on April 30, 2016.</w:t>
      </w:r>
    </w:p>
    <w:p w:rsidR="00372C30" w:rsidRPr="00A67C9B" w:rsidRDefault="00A736CD" w:rsidP="003D5CA4">
      <w:pPr>
        <w:pStyle w:val="NormalWeb"/>
      </w:pPr>
      <w:r>
        <w:t>We are modifying t</w:t>
      </w:r>
      <w:r w:rsidR="002236DE">
        <w:t xml:space="preserve">he </w:t>
      </w:r>
      <w:r w:rsidR="0070270E">
        <w:t xml:space="preserve">Internet Application Status (iAPS) </w:t>
      </w:r>
      <w:r w:rsidR="002236DE">
        <w:t xml:space="preserve">application </w:t>
      </w:r>
      <w:r w:rsidR="0070270E">
        <w:t>to better support applicants needs when requesting the status of their initial benef</w:t>
      </w:r>
      <w:r w:rsidR="003D5CA4">
        <w:t>it application online.</w:t>
      </w:r>
      <w:r w:rsidR="00A67C9B">
        <w:t xml:space="preserve"> </w:t>
      </w:r>
      <w:r>
        <w:t xml:space="preserve"> </w:t>
      </w:r>
      <w:proofErr w:type="spellStart"/>
      <w:proofErr w:type="gramStart"/>
      <w:r w:rsidR="00A67C9B">
        <w:t>iAPS</w:t>
      </w:r>
      <w:proofErr w:type="spellEnd"/>
      <w:proofErr w:type="gramEnd"/>
      <w:r w:rsidR="00A67C9B">
        <w:t xml:space="preserve"> </w:t>
      </w:r>
      <w:r w:rsidR="005072E4">
        <w:t>is also migrating</w:t>
      </w:r>
      <w:r w:rsidR="00A67C9B">
        <w:t xml:space="preserve"> </w:t>
      </w:r>
      <w:r w:rsidR="003D5CA4">
        <w:t>behind the electronic access system (</w:t>
      </w:r>
      <w:r w:rsidR="003D5CA4" w:rsidRPr="004F66BE">
        <w:rPr>
          <w:rFonts w:ascii="Georgia" w:hAnsi="Georgia"/>
          <w:i/>
          <w:iCs/>
          <w:color w:val="FF0000"/>
        </w:rPr>
        <w:t>my</w:t>
      </w:r>
      <w:r w:rsidR="003D5CA4" w:rsidRPr="006462AA">
        <w:t xml:space="preserve"> </w:t>
      </w:r>
      <w:r w:rsidR="003D5CA4">
        <w:rPr>
          <w:rFonts w:ascii="Georgia" w:hAnsi="Georgia"/>
          <w:color w:val="0054A6"/>
        </w:rPr>
        <w:t>Social Security</w:t>
      </w:r>
      <w:r w:rsidR="003D5CA4">
        <w:t>)</w:t>
      </w:r>
      <w:r w:rsidR="005072E4">
        <w:t xml:space="preserve">. </w:t>
      </w:r>
      <w:r>
        <w:t xml:space="preserve"> </w:t>
      </w:r>
      <w:r w:rsidR="005072E4">
        <w:t>This application</w:t>
      </w:r>
      <w:r w:rsidR="00A67C9B">
        <w:t xml:space="preserve"> </w:t>
      </w:r>
      <w:r w:rsidR="003D5CA4">
        <w:t xml:space="preserve">will </w:t>
      </w:r>
      <w:r w:rsidR="0070270E">
        <w:t>provide a secure service delivery channel that will allow the Agency to provide detailed status information without requiring a confirmation number.</w:t>
      </w:r>
      <w:r>
        <w:t xml:space="preserve"> </w:t>
      </w:r>
      <w:r w:rsidR="003D5CA4">
        <w:t xml:space="preserve"> </w:t>
      </w:r>
      <w:r w:rsidR="00E22069">
        <w:t xml:space="preserve">In doing so, the application will now go by the new name of myAPS to be consistent with all </w:t>
      </w:r>
      <w:r w:rsidR="00E22069" w:rsidRPr="004F66BE">
        <w:rPr>
          <w:rFonts w:ascii="Georgia" w:hAnsi="Georgia"/>
          <w:i/>
          <w:iCs/>
          <w:color w:val="FF0000"/>
        </w:rPr>
        <w:t>my</w:t>
      </w:r>
      <w:r w:rsidR="00E22069" w:rsidRPr="006462AA">
        <w:t xml:space="preserve"> </w:t>
      </w:r>
      <w:r w:rsidR="00E22069">
        <w:rPr>
          <w:rFonts w:ascii="Georgia" w:hAnsi="Georgia"/>
          <w:color w:val="0054A6"/>
        </w:rPr>
        <w:t>Social Security</w:t>
      </w:r>
      <w:r w:rsidR="00E22069">
        <w:t xml:space="preserve"> application names. </w:t>
      </w:r>
    </w:p>
    <w:p w:rsidR="008D7755" w:rsidRPr="003F4046" w:rsidRDefault="008D7755" w:rsidP="008D7755">
      <w:pPr>
        <w:spacing w:after="0"/>
        <w:rPr>
          <w:rFonts w:ascii="Times New Roman" w:hAnsi="Times New Roman"/>
          <w:b/>
          <w:bCs/>
          <w:szCs w:val="24"/>
          <w:u w:val="single"/>
        </w:rPr>
      </w:pPr>
      <w:r w:rsidRPr="003F4046">
        <w:rPr>
          <w:rFonts w:ascii="Times New Roman" w:hAnsi="Times New Roman"/>
          <w:b/>
          <w:bCs/>
          <w:szCs w:val="24"/>
          <w:u w:val="single"/>
        </w:rPr>
        <w:t>Revisions to the Collection Instrument</w:t>
      </w:r>
    </w:p>
    <w:p w:rsidR="008D7755" w:rsidRDefault="008D7755" w:rsidP="008D7755">
      <w:pPr>
        <w:spacing w:after="0"/>
        <w:rPr>
          <w:rFonts w:ascii="Times New Roman" w:hAnsi="Times New Roman"/>
          <w:bCs/>
          <w:szCs w:val="24"/>
        </w:rPr>
      </w:pPr>
    </w:p>
    <w:p w:rsidR="008D7755" w:rsidRPr="00223737" w:rsidRDefault="008D7755" w:rsidP="00166B43">
      <w:pPr>
        <w:numPr>
          <w:ilvl w:val="0"/>
          <w:numId w:val="1"/>
        </w:numPr>
        <w:spacing w:after="0"/>
        <w:rPr>
          <w:rFonts w:ascii="Times New Roman" w:hAnsi="Times New Roman"/>
          <w:bCs/>
          <w:szCs w:val="24"/>
        </w:rPr>
      </w:pPr>
      <w:r w:rsidRPr="00200602">
        <w:rPr>
          <w:rFonts w:ascii="Times New Roman" w:hAnsi="Times New Roman"/>
          <w:b/>
          <w:bCs/>
          <w:szCs w:val="24"/>
          <w:u w:val="single"/>
        </w:rPr>
        <w:t>Change #1</w:t>
      </w:r>
      <w:r w:rsidRPr="00200602">
        <w:rPr>
          <w:rFonts w:ascii="Times New Roman" w:hAnsi="Times New Roman"/>
          <w:b/>
          <w:bCs/>
          <w:szCs w:val="24"/>
        </w:rPr>
        <w:t xml:space="preserve">:  </w:t>
      </w:r>
      <w:r w:rsidR="0061692B">
        <w:rPr>
          <w:rFonts w:ascii="Times New Roman" w:hAnsi="Times New Roman"/>
          <w:bCs/>
          <w:szCs w:val="24"/>
        </w:rPr>
        <w:t xml:space="preserve">The </w:t>
      </w:r>
      <w:r w:rsidR="00116572">
        <w:rPr>
          <w:rFonts w:ascii="Times New Roman" w:hAnsi="Times New Roman"/>
          <w:bCs/>
          <w:szCs w:val="24"/>
        </w:rPr>
        <w:t xml:space="preserve">Contractor Access to eFolders </w:t>
      </w:r>
      <w:r w:rsidR="0061692B">
        <w:rPr>
          <w:rFonts w:ascii="Times New Roman" w:hAnsi="Times New Roman"/>
          <w:bCs/>
          <w:szCs w:val="24"/>
        </w:rPr>
        <w:t xml:space="preserve">application </w:t>
      </w:r>
      <w:r w:rsidR="00223737">
        <w:rPr>
          <w:rFonts w:ascii="Times New Roman" w:hAnsi="Times New Roman"/>
          <w:bCs/>
          <w:szCs w:val="24"/>
        </w:rPr>
        <w:t xml:space="preserve">uses </w:t>
      </w:r>
      <w:r w:rsidR="00223737" w:rsidRPr="00223737">
        <w:rPr>
          <w:rFonts w:ascii="Times New Roman" w:hAnsi="Times New Roman"/>
          <w:bCs/>
          <w:szCs w:val="24"/>
        </w:rPr>
        <w:t>the electronic access system</w:t>
      </w:r>
      <w:r w:rsidR="00223737">
        <w:t xml:space="preserve"> (</w:t>
      </w:r>
      <w:r w:rsidR="00223737" w:rsidRPr="004F66BE">
        <w:rPr>
          <w:rFonts w:ascii="Georgia" w:hAnsi="Georgia"/>
          <w:i/>
          <w:iCs/>
          <w:color w:val="FF0000"/>
        </w:rPr>
        <w:t>my</w:t>
      </w:r>
      <w:r w:rsidR="00223737" w:rsidRPr="006462AA">
        <w:t xml:space="preserve"> </w:t>
      </w:r>
      <w:r w:rsidR="00223737">
        <w:rPr>
          <w:rFonts w:ascii="Georgia" w:hAnsi="Georgia"/>
          <w:color w:val="0054A6"/>
        </w:rPr>
        <w:t>Social Security</w:t>
      </w:r>
      <w:r w:rsidR="00223737">
        <w:t xml:space="preserve">) </w:t>
      </w:r>
      <w:r w:rsidR="00223737" w:rsidRPr="00223737">
        <w:rPr>
          <w:rFonts w:ascii="Times New Roman" w:hAnsi="Times New Roman"/>
          <w:bCs/>
          <w:szCs w:val="24"/>
        </w:rPr>
        <w:t>for registration and authentication of its users</w:t>
      </w:r>
      <w:r w:rsidR="00997B2A">
        <w:rPr>
          <w:rFonts w:ascii="Times New Roman" w:hAnsi="Times New Roman"/>
          <w:bCs/>
          <w:szCs w:val="24"/>
        </w:rPr>
        <w:t>.</w:t>
      </w:r>
    </w:p>
    <w:p w:rsidR="008D7755" w:rsidRPr="00223737" w:rsidRDefault="008D7755" w:rsidP="00166B43">
      <w:pPr>
        <w:spacing w:after="0"/>
        <w:ind w:left="360"/>
        <w:rPr>
          <w:rFonts w:ascii="Times New Roman" w:hAnsi="Times New Roman"/>
          <w:bCs/>
          <w:szCs w:val="24"/>
        </w:rPr>
      </w:pPr>
    </w:p>
    <w:p w:rsidR="008D7755" w:rsidRDefault="008D7755" w:rsidP="0061692B">
      <w:pPr>
        <w:spacing w:after="0"/>
        <w:ind w:left="360"/>
        <w:rPr>
          <w:rFonts w:ascii="Times New Roman" w:hAnsi="Times New Roman"/>
          <w:szCs w:val="24"/>
        </w:rPr>
      </w:pPr>
      <w:r w:rsidRPr="004F66BE">
        <w:rPr>
          <w:rFonts w:ascii="Times New Roman" w:hAnsi="Times New Roman"/>
          <w:b/>
          <w:szCs w:val="24"/>
          <w:u w:val="single"/>
        </w:rPr>
        <w:t>Justification #1:</w:t>
      </w:r>
      <w:r w:rsidRPr="004F66BE">
        <w:rPr>
          <w:rFonts w:ascii="Times New Roman" w:hAnsi="Times New Roman"/>
          <w:szCs w:val="24"/>
        </w:rPr>
        <w:t xml:space="preserve">  </w:t>
      </w:r>
      <w:r w:rsidR="000F60DE">
        <w:rPr>
          <w:rFonts w:ascii="Times New Roman" w:hAnsi="Times New Roman"/>
          <w:szCs w:val="24"/>
        </w:rPr>
        <w:t>In using the electronic access system for registration and authentication, the</w:t>
      </w:r>
      <w:r w:rsidR="00116572">
        <w:rPr>
          <w:rFonts w:ascii="Times New Roman" w:hAnsi="Times New Roman"/>
          <w:szCs w:val="24"/>
        </w:rPr>
        <w:t xml:space="preserve"> Contractor Access to eFolder</w:t>
      </w:r>
      <w:r w:rsidR="0061692B">
        <w:rPr>
          <w:rFonts w:ascii="Times New Roman" w:hAnsi="Times New Roman"/>
          <w:szCs w:val="24"/>
        </w:rPr>
        <w:t xml:space="preserve"> </w:t>
      </w:r>
      <w:r w:rsidR="00116572">
        <w:rPr>
          <w:rFonts w:ascii="Times New Roman" w:hAnsi="Times New Roman"/>
          <w:szCs w:val="24"/>
        </w:rPr>
        <w:t xml:space="preserve">application </w:t>
      </w:r>
      <w:r w:rsidR="000F60DE">
        <w:rPr>
          <w:rFonts w:ascii="Times New Roman" w:hAnsi="Times New Roman"/>
          <w:szCs w:val="24"/>
        </w:rPr>
        <w:t>can</w:t>
      </w:r>
      <w:r w:rsidR="0061692B">
        <w:rPr>
          <w:rFonts w:ascii="Times New Roman" w:hAnsi="Times New Roman"/>
          <w:szCs w:val="24"/>
        </w:rPr>
        <w:t xml:space="preserve"> provide a more secure service delivery channel for </w:t>
      </w:r>
      <w:r w:rsidR="00116572">
        <w:rPr>
          <w:rFonts w:ascii="Times New Roman" w:hAnsi="Times New Roman"/>
          <w:szCs w:val="24"/>
        </w:rPr>
        <w:t>our third party contractors.</w:t>
      </w:r>
      <w:r w:rsidR="0061692B">
        <w:rPr>
          <w:rFonts w:ascii="Times New Roman" w:hAnsi="Times New Roman"/>
          <w:szCs w:val="24"/>
        </w:rPr>
        <w:t xml:space="preserve"> </w:t>
      </w:r>
    </w:p>
    <w:p w:rsidR="002236DE" w:rsidRDefault="002236DE" w:rsidP="0061692B">
      <w:pPr>
        <w:spacing w:after="0"/>
        <w:ind w:left="360"/>
        <w:rPr>
          <w:rFonts w:ascii="Times New Roman" w:hAnsi="Times New Roman"/>
          <w:szCs w:val="24"/>
        </w:rPr>
      </w:pPr>
    </w:p>
    <w:p w:rsidR="002236DE" w:rsidRDefault="00116572" w:rsidP="002236DE">
      <w:pPr>
        <w:numPr>
          <w:ilvl w:val="0"/>
          <w:numId w:val="1"/>
        </w:num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Change #2</w:t>
      </w:r>
      <w:r w:rsidR="002236DE" w:rsidRPr="00200602">
        <w:rPr>
          <w:rFonts w:ascii="Times New Roman" w:hAnsi="Times New Roman"/>
          <w:b/>
          <w:bCs/>
          <w:szCs w:val="24"/>
        </w:rPr>
        <w:t xml:space="preserve">:  </w:t>
      </w:r>
      <w:r w:rsidR="00A736CD">
        <w:rPr>
          <w:rFonts w:ascii="Times New Roman" w:hAnsi="Times New Roman"/>
          <w:bCs/>
          <w:szCs w:val="24"/>
        </w:rPr>
        <w:t>We will place t</w:t>
      </w:r>
      <w:r w:rsidR="002236DE">
        <w:rPr>
          <w:rFonts w:ascii="Times New Roman" w:hAnsi="Times New Roman"/>
          <w:bCs/>
          <w:szCs w:val="24"/>
        </w:rPr>
        <w:t xml:space="preserve">he Internet Application Status (iAPS) application behind </w:t>
      </w:r>
      <w:proofErr w:type="gramStart"/>
      <w:r w:rsidR="002236DE">
        <w:rPr>
          <w:rFonts w:ascii="Times New Roman" w:hAnsi="Times New Roman"/>
          <w:bCs/>
          <w:szCs w:val="24"/>
        </w:rPr>
        <w:t xml:space="preserve">the </w:t>
      </w:r>
      <w:r w:rsidR="002236DE" w:rsidRPr="004F66BE">
        <w:rPr>
          <w:rFonts w:ascii="Georgia" w:hAnsi="Georgia"/>
          <w:i/>
          <w:iCs/>
          <w:color w:val="FF0000"/>
        </w:rPr>
        <w:t>my</w:t>
      </w:r>
      <w:proofErr w:type="gramEnd"/>
      <w:r w:rsidR="002236DE" w:rsidRPr="006462AA">
        <w:t xml:space="preserve"> </w:t>
      </w:r>
      <w:r w:rsidR="002236DE" w:rsidRPr="004F66BE">
        <w:rPr>
          <w:rFonts w:ascii="Georgia" w:hAnsi="Georgia"/>
          <w:color w:val="0054A6"/>
        </w:rPr>
        <w:t>Social Security</w:t>
      </w:r>
      <w:r w:rsidR="002236DE">
        <w:rPr>
          <w:rFonts w:ascii="Times New Roman" w:hAnsi="Times New Roman"/>
          <w:bCs/>
          <w:szCs w:val="24"/>
        </w:rPr>
        <w:t xml:space="preserve"> electronic access portal, and </w:t>
      </w:r>
      <w:r w:rsidR="00A736CD">
        <w:rPr>
          <w:rFonts w:ascii="Times New Roman" w:hAnsi="Times New Roman"/>
          <w:bCs/>
          <w:szCs w:val="24"/>
        </w:rPr>
        <w:t>will rename it</w:t>
      </w:r>
      <w:r w:rsidR="002236DE">
        <w:rPr>
          <w:rFonts w:ascii="Times New Roman" w:hAnsi="Times New Roman"/>
          <w:bCs/>
          <w:szCs w:val="24"/>
        </w:rPr>
        <w:t xml:space="preserve"> </w:t>
      </w:r>
      <w:proofErr w:type="spellStart"/>
      <w:r w:rsidR="002236DE">
        <w:rPr>
          <w:rFonts w:ascii="Times New Roman" w:hAnsi="Times New Roman"/>
          <w:bCs/>
          <w:szCs w:val="24"/>
        </w:rPr>
        <w:t>myAPS</w:t>
      </w:r>
      <w:proofErr w:type="spellEnd"/>
      <w:r w:rsidR="002236DE">
        <w:rPr>
          <w:rFonts w:ascii="Times New Roman" w:hAnsi="Times New Roman"/>
          <w:bCs/>
          <w:szCs w:val="24"/>
        </w:rPr>
        <w:t>.</w:t>
      </w:r>
    </w:p>
    <w:p w:rsidR="002236DE" w:rsidRPr="004F66BE" w:rsidRDefault="002236DE" w:rsidP="002236DE">
      <w:pPr>
        <w:spacing w:after="0"/>
        <w:ind w:left="360"/>
        <w:rPr>
          <w:rFonts w:ascii="Times New Roman" w:hAnsi="Times New Roman"/>
          <w:szCs w:val="24"/>
        </w:rPr>
      </w:pPr>
    </w:p>
    <w:p w:rsidR="00A828E9" w:rsidRDefault="00116572" w:rsidP="000F60DE">
      <w:pPr>
        <w:spacing w:after="0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Justification #2</w:t>
      </w:r>
      <w:r w:rsidR="002236DE" w:rsidRPr="004F66BE">
        <w:rPr>
          <w:rFonts w:ascii="Times New Roman" w:hAnsi="Times New Roman"/>
          <w:b/>
          <w:szCs w:val="24"/>
          <w:u w:val="single"/>
        </w:rPr>
        <w:t>:</w:t>
      </w:r>
      <w:r w:rsidR="002236DE" w:rsidRPr="004F66BE">
        <w:rPr>
          <w:rFonts w:ascii="Times New Roman" w:hAnsi="Times New Roman"/>
          <w:szCs w:val="24"/>
        </w:rPr>
        <w:t xml:space="preserve">  </w:t>
      </w:r>
      <w:r w:rsidR="002236DE">
        <w:rPr>
          <w:rFonts w:ascii="Times New Roman" w:hAnsi="Times New Roman"/>
          <w:szCs w:val="24"/>
        </w:rPr>
        <w:t xml:space="preserve">We are placing iAPS/myAPS behind the electronic access portal to provide a more secure service delivery channel for our customers. </w:t>
      </w:r>
    </w:p>
    <w:p w:rsidR="00A736CD" w:rsidRDefault="00A736CD" w:rsidP="000F60DE">
      <w:pPr>
        <w:spacing w:after="0"/>
        <w:ind w:left="360"/>
        <w:rPr>
          <w:rFonts w:ascii="Times New Roman" w:hAnsi="Times New Roman"/>
          <w:szCs w:val="24"/>
        </w:rPr>
      </w:pPr>
    </w:p>
    <w:p w:rsidR="00A736CD" w:rsidRDefault="00A736CD" w:rsidP="008D7755">
      <w:pPr>
        <w:widowControl w:val="0"/>
        <w:spacing w:after="0"/>
        <w:rPr>
          <w:rFonts w:ascii="Times New Roman" w:hAnsi="Times New Roman"/>
          <w:b/>
          <w:szCs w:val="24"/>
          <w:u w:val="single"/>
        </w:rPr>
      </w:pPr>
    </w:p>
    <w:p w:rsidR="00A736CD" w:rsidRDefault="00A736CD" w:rsidP="008D7755">
      <w:pPr>
        <w:widowControl w:val="0"/>
        <w:spacing w:after="0"/>
        <w:rPr>
          <w:rFonts w:ascii="Times New Roman" w:hAnsi="Times New Roman"/>
          <w:b/>
          <w:szCs w:val="24"/>
          <w:u w:val="single"/>
        </w:rPr>
      </w:pPr>
    </w:p>
    <w:p w:rsidR="008D7755" w:rsidRDefault="008D7755" w:rsidP="008D7755">
      <w:pPr>
        <w:widowControl w:val="0"/>
        <w:spacing w:after="0"/>
        <w:rPr>
          <w:rFonts w:ascii="Times New Roman" w:hAnsi="Times New Roman"/>
          <w:b/>
          <w:szCs w:val="24"/>
          <w:u w:val="single"/>
        </w:rPr>
      </w:pPr>
      <w:r w:rsidRPr="00FB49B4">
        <w:rPr>
          <w:rFonts w:ascii="Times New Roman" w:hAnsi="Times New Roman"/>
          <w:b/>
          <w:szCs w:val="24"/>
          <w:u w:val="single"/>
        </w:rPr>
        <w:lastRenderedPageBreak/>
        <w:t>Estimates of Public Reporting Burden</w:t>
      </w:r>
    </w:p>
    <w:p w:rsidR="00A828E9" w:rsidRDefault="00A828E9" w:rsidP="008D7755">
      <w:pPr>
        <w:widowControl w:val="0"/>
        <w:spacing w:after="0"/>
        <w:rPr>
          <w:rFonts w:ascii="Times New Roman" w:hAnsi="Times New Roman"/>
          <w:b/>
          <w:szCs w:val="24"/>
          <w:u w:val="single"/>
        </w:rPr>
      </w:pPr>
    </w:p>
    <w:p w:rsidR="00A828E9" w:rsidRPr="00A828E9" w:rsidRDefault="00A828E9" w:rsidP="00A828E9">
      <w:pPr>
        <w:spacing w:after="0"/>
        <w:rPr>
          <w:rFonts w:ascii="Times New Roman" w:hAnsi="Times New Roman"/>
          <w:szCs w:val="24"/>
        </w:rPr>
      </w:pPr>
      <w:r w:rsidRPr="001E103E">
        <w:rPr>
          <w:rFonts w:ascii="Times New Roman" w:hAnsi="Times New Roman"/>
          <w:szCs w:val="24"/>
        </w:rPr>
        <w:t>We are adjusting the reporting burden to this information collection</w:t>
      </w:r>
      <w:r>
        <w:rPr>
          <w:rFonts w:ascii="Times New Roman" w:hAnsi="Times New Roman"/>
          <w:szCs w:val="24"/>
        </w:rPr>
        <w:t xml:space="preserve">, because we expect </w:t>
      </w:r>
      <w:r w:rsidR="0070270E">
        <w:rPr>
          <w:rFonts w:ascii="Times New Roman" w:hAnsi="Times New Roman"/>
          <w:szCs w:val="24"/>
        </w:rPr>
        <w:t xml:space="preserve">additional customers to register and access the website for the additional services </w:t>
      </w:r>
      <w:r w:rsidR="00A736CD">
        <w:rPr>
          <w:rFonts w:ascii="Times New Roman" w:hAnsi="Times New Roman"/>
          <w:szCs w:val="24"/>
        </w:rPr>
        <w:t>we will offer</w:t>
      </w:r>
      <w:r w:rsidR="0070270E">
        <w:rPr>
          <w:rFonts w:ascii="Times New Roman" w:hAnsi="Times New Roman"/>
          <w:szCs w:val="24"/>
        </w:rPr>
        <w:t>.</w:t>
      </w:r>
      <w:r w:rsidR="00A736C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We also expect the number of respondents or burden hours we reported in o</w:t>
      </w:r>
      <w:r w:rsidRPr="001E103E">
        <w:rPr>
          <w:rFonts w:ascii="Times New Roman" w:hAnsi="Times New Roman"/>
          <w:szCs w:val="24"/>
        </w:rPr>
        <w:t>ur existing burden estimate</w:t>
      </w:r>
      <w:r>
        <w:rPr>
          <w:rFonts w:ascii="Times New Roman" w:hAnsi="Times New Roman"/>
          <w:szCs w:val="24"/>
        </w:rPr>
        <w:t xml:space="preserve"> to change.  OMB approved the current burden estimate </w:t>
      </w:r>
      <w:r w:rsidRPr="001E103E">
        <w:rPr>
          <w:rFonts w:ascii="Times New Roman" w:hAnsi="Times New Roman"/>
          <w:szCs w:val="24"/>
        </w:rPr>
        <w:t xml:space="preserve">on </w:t>
      </w:r>
      <w:r w:rsidR="0061692B">
        <w:rPr>
          <w:rFonts w:ascii="Times New Roman" w:hAnsi="Times New Roman"/>
          <w:szCs w:val="24"/>
        </w:rPr>
        <w:t>3/25/16</w:t>
      </w:r>
      <w:r>
        <w:rPr>
          <w:rFonts w:ascii="Times New Roman" w:hAnsi="Times New Roman"/>
          <w:szCs w:val="24"/>
        </w:rPr>
        <w:t>.</w:t>
      </w:r>
    </w:p>
    <w:p w:rsidR="008D7755" w:rsidRDefault="008D7755" w:rsidP="008D7755">
      <w:pPr>
        <w:widowControl w:val="0"/>
        <w:spacing w:after="0"/>
        <w:rPr>
          <w:rFonts w:ascii="Times New Roman" w:hAnsi="Times New Roman"/>
          <w:b/>
          <w:szCs w:val="24"/>
        </w:rPr>
      </w:pPr>
    </w:p>
    <w:p w:rsidR="00E1051F" w:rsidRDefault="00E1051F" w:rsidP="008D7755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We </w:t>
      </w:r>
      <w:r w:rsidRPr="003B0EA1">
        <w:rPr>
          <w:rFonts w:ascii="Times New Roman" w:hAnsi="Times New Roman"/>
          <w:szCs w:val="24"/>
        </w:rPr>
        <w:t xml:space="preserve">estimate that </w:t>
      </w:r>
      <w:r w:rsidR="00FA2738">
        <w:rPr>
          <w:rFonts w:ascii="Times New Roman" w:hAnsi="Times New Roman"/>
          <w:szCs w:val="24"/>
        </w:rPr>
        <w:t>46</w:t>
      </w:r>
      <w:r w:rsidR="003B0EA1" w:rsidRPr="003B0EA1">
        <w:rPr>
          <w:rFonts w:ascii="Times New Roman" w:hAnsi="Times New Roman"/>
          <w:szCs w:val="24"/>
        </w:rPr>
        <w:t>,140,116</w:t>
      </w:r>
      <w:r w:rsidRPr="003B0EA1">
        <w:rPr>
          <w:rFonts w:ascii="Times New Roman" w:hAnsi="Times New Roman"/>
          <w:szCs w:val="24"/>
        </w:rPr>
        <w:t xml:space="preserve"> respondents </w:t>
      </w:r>
      <w:r w:rsidR="003B0EA1">
        <w:rPr>
          <w:rFonts w:ascii="Times New Roman" w:hAnsi="Times New Roman"/>
          <w:szCs w:val="24"/>
        </w:rPr>
        <w:t xml:space="preserve">will </w:t>
      </w:r>
      <w:r w:rsidRPr="003B0EA1">
        <w:rPr>
          <w:rFonts w:ascii="Times New Roman" w:hAnsi="Times New Roman"/>
          <w:szCs w:val="24"/>
        </w:rPr>
        <w:t>use</w:t>
      </w:r>
      <w:r>
        <w:rPr>
          <w:rFonts w:ascii="Times New Roman" w:hAnsi="Times New Roman"/>
          <w:szCs w:val="24"/>
        </w:rPr>
        <w:t xml:space="preserve"> the Internet process annually to create and manage an account with SSA </w:t>
      </w:r>
      <w:r w:rsidRPr="009010E8">
        <w:rPr>
          <w:rFonts w:ascii="Times New Roman" w:hAnsi="Times New Roman"/>
          <w:szCs w:val="24"/>
        </w:rPr>
        <w:t>and then authenticate to gain access to our secured online services</w:t>
      </w:r>
      <w:r w:rsidR="000F6F1E" w:rsidRPr="009010E8">
        <w:rPr>
          <w:rFonts w:ascii="Times New Roman" w:hAnsi="Times New Roman"/>
          <w:szCs w:val="24"/>
        </w:rPr>
        <w:t xml:space="preserve">.  </w:t>
      </w:r>
      <w:r w:rsidRPr="009010E8">
        <w:rPr>
          <w:rFonts w:ascii="Times New Roman" w:hAnsi="Times New Roman"/>
          <w:szCs w:val="24"/>
        </w:rPr>
        <w:t>We estimate that it takes an average of 8 minutes to</w:t>
      </w:r>
      <w:r>
        <w:rPr>
          <w:rFonts w:ascii="Times New Roman" w:hAnsi="Times New Roman"/>
          <w:szCs w:val="24"/>
        </w:rPr>
        <w:t xml:space="preserve"> complete a transaction, resulting in an annual reporting </w:t>
      </w:r>
      <w:r w:rsidRPr="003B0EA1">
        <w:rPr>
          <w:rFonts w:ascii="Times New Roman" w:hAnsi="Times New Roman"/>
          <w:szCs w:val="24"/>
        </w:rPr>
        <w:t xml:space="preserve">burden of </w:t>
      </w:r>
      <w:r w:rsidR="00FA2738">
        <w:rPr>
          <w:rFonts w:ascii="Times New Roman" w:hAnsi="Times New Roman"/>
          <w:szCs w:val="24"/>
        </w:rPr>
        <w:t>6,15</w:t>
      </w:r>
      <w:r w:rsidR="003B0EA1" w:rsidRPr="003B0EA1">
        <w:rPr>
          <w:rFonts w:ascii="Times New Roman" w:hAnsi="Times New Roman"/>
          <w:szCs w:val="24"/>
        </w:rPr>
        <w:t>2,015</w:t>
      </w:r>
      <w:r w:rsidRPr="003B0EA1">
        <w:rPr>
          <w:rFonts w:ascii="Times New Roman" w:hAnsi="Times New Roman"/>
          <w:szCs w:val="24"/>
        </w:rPr>
        <w:t xml:space="preserve"> hours.</w:t>
      </w:r>
    </w:p>
    <w:p w:rsidR="00E1051F" w:rsidRDefault="00E1051F" w:rsidP="008D7755">
      <w:pPr>
        <w:spacing w:after="0"/>
        <w:rPr>
          <w:rFonts w:ascii="Times New Roman" w:hAnsi="Times New Roman"/>
          <w:szCs w:val="24"/>
        </w:rPr>
      </w:pPr>
    </w:p>
    <w:p w:rsidR="00E1051F" w:rsidRDefault="00E1051F" w:rsidP="008D7755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We </w:t>
      </w:r>
      <w:r w:rsidRPr="003B0EA1">
        <w:rPr>
          <w:rFonts w:ascii="Times New Roman" w:hAnsi="Times New Roman"/>
          <w:szCs w:val="24"/>
        </w:rPr>
        <w:t>estimate that 2</w:t>
      </w:r>
      <w:r w:rsidR="00C9728E" w:rsidRPr="003B0EA1">
        <w:rPr>
          <w:rFonts w:ascii="Times New Roman" w:hAnsi="Times New Roman"/>
          <w:szCs w:val="24"/>
        </w:rPr>
        <w:t>,</w:t>
      </w:r>
      <w:r w:rsidR="003B0EA1" w:rsidRPr="003B0EA1">
        <w:rPr>
          <w:rFonts w:ascii="Times New Roman" w:hAnsi="Times New Roman"/>
          <w:szCs w:val="24"/>
        </w:rPr>
        <w:t>444,557</w:t>
      </w:r>
      <w:r w:rsidRPr="003B0EA1">
        <w:rPr>
          <w:rFonts w:ascii="Times New Roman" w:hAnsi="Times New Roman"/>
          <w:szCs w:val="24"/>
        </w:rPr>
        <w:t xml:space="preserve"> respondents </w:t>
      </w:r>
      <w:r w:rsidR="003B0EA1">
        <w:rPr>
          <w:rFonts w:ascii="Times New Roman" w:hAnsi="Times New Roman"/>
          <w:szCs w:val="24"/>
        </w:rPr>
        <w:t xml:space="preserve">will </w:t>
      </w:r>
      <w:r w:rsidRPr="003B0EA1">
        <w:rPr>
          <w:rFonts w:ascii="Times New Roman" w:hAnsi="Times New Roman"/>
          <w:szCs w:val="24"/>
        </w:rPr>
        <w:t>use</w:t>
      </w:r>
      <w:r>
        <w:rPr>
          <w:rFonts w:ascii="Times New Roman" w:hAnsi="Times New Roman"/>
          <w:szCs w:val="24"/>
        </w:rPr>
        <w:t xml:space="preserve"> the Intranet process annually to create and manage an account with us</w:t>
      </w:r>
      <w:r w:rsidR="000F6F1E">
        <w:rPr>
          <w:rFonts w:ascii="Times New Roman" w:hAnsi="Times New Roman"/>
          <w:szCs w:val="24"/>
        </w:rPr>
        <w:t xml:space="preserve">.  </w:t>
      </w:r>
      <w:r>
        <w:rPr>
          <w:rFonts w:ascii="Times New Roman" w:hAnsi="Times New Roman"/>
          <w:szCs w:val="24"/>
        </w:rPr>
        <w:t xml:space="preserve">We estimate that it takes an </w:t>
      </w:r>
      <w:r w:rsidRPr="009010E8">
        <w:rPr>
          <w:rFonts w:ascii="Times New Roman" w:hAnsi="Times New Roman"/>
          <w:szCs w:val="24"/>
        </w:rPr>
        <w:t>average of 8 minutes to</w:t>
      </w:r>
      <w:r>
        <w:rPr>
          <w:rFonts w:ascii="Times New Roman" w:hAnsi="Times New Roman"/>
          <w:szCs w:val="24"/>
        </w:rPr>
        <w:t xml:space="preserve"> complete this transaction, resulting in an annual reporting burden </w:t>
      </w:r>
      <w:r w:rsidRPr="003B38AD">
        <w:rPr>
          <w:rFonts w:ascii="Times New Roman" w:hAnsi="Times New Roman"/>
          <w:szCs w:val="24"/>
        </w:rPr>
        <w:t xml:space="preserve">of </w:t>
      </w:r>
      <w:r w:rsidR="003B38AD" w:rsidRPr="003B38AD">
        <w:rPr>
          <w:rFonts w:ascii="Times New Roman" w:hAnsi="Times New Roman"/>
          <w:szCs w:val="24"/>
        </w:rPr>
        <w:t>325,941</w:t>
      </w:r>
      <w:r w:rsidRPr="003B38AD">
        <w:rPr>
          <w:rFonts w:ascii="Times New Roman" w:hAnsi="Times New Roman"/>
          <w:szCs w:val="24"/>
        </w:rPr>
        <w:t xml:space="preserve"> hours.</w:t>
      </w:r>
      <w:r>
        <w:rPr>
          <w:rFonts w:ascii="Times New Roman" w:hAnsi="Times New Roman"/>
          <w:szCs w:val="24"/>
        </w:rPr>
        <w:t xml:space="preserve"> </w:t>
      </w:r>
    </w:p>
    <w:p w:rsidR="00E1051F" w:rsidRDefault="00E1051F" w:rsidP="008D7755">
      <w:pPr>
        <w:spacing w:after="0"/>
        <w:rPr>
          <w:rFonts w:ascii="Times New Roman" w:hAnsi="Times New Roman"/>
          <w:szCs w:val="24"/>
        </w:rPr>
      </w:pPr>
    </w:p>
    <w:p w:rsidR="00A828E9" w:rsidRDefault="00E1051F" w:rsidP="007735F0">
      <w:pPr>
        <w:spacing w:after="0"/>
        <w:rPr>
          <w:rFonts w:ascii="Times New Roman" w:hAnsi="Times New Roman"/>
          <w:szCs w:val="24"/>
        </w:rPr>
      </w:pPr>
      <w:r w:rsidRPr="007735F0">
        <w:rPr>
          <w:rFonts w:ascii="Times New Roman" w:hAnsi="Times New Roman"/>
          <w:szCs w:val="24"/>
        </w:rPr>
        <w:t xml:space="preserve">We use different modalities to collect the information, via the Internet and the </w:t>
      </w:r>
      <w:r w:rsidR="007735F0">
        <w:rPr>
          <w:rFonts w:ascii="Times New Roman" w:hAnsi="Times New Roman"/>
          <w:szCs w:val="24"/>
        </w:rPr>
        <w:t>Intranet</w:t>
      </w:r>
      <w:r w:rsidR="000F6F1E">
        <w:rPr>
          <w:rFonts w:ascii="Times New Roman" w:hAnsi="Times New Roman"/>
          <w:szCs w:val="24"/>
        </w:rPr>
        <w:t>.</w:t>
      </w:r>
      <w:r w:rsidR="000F6F1E" w:rsidRPr="007735F0">
        <w:rPr>
          <w:rFonts w:ascii="Times New Roman" w:hAnsi="Times New Roman"/>
          <w:szCs w:val="24"/>
        </w:rPr>
        <w:t xml:space="preserve">  </w:t>
      </w:r>
      <w:r w:rsidRPr="007735F0">
        <w:rPr>
          <w:rFonts w:ascii="Times New Roman" w:hAnsi="Times New Roman"/>
          <w:szCs w:val="24"/>
        </w:rPr>
        <w:t>We included an estimated number of registrations and sign-ins when we calculated the tota</w:t>
      </w:r>
      <w:r w:rsidR="007735F0">
        <w:rPr>
          <w:rFonts w:ascii="Times New Roman" w:hAnsi="Times New Roman"/>
          <w:szCs w:val="24"/>
        </w:rPr>
        <w:t>l number of annual respondents</w:t>
      </w:r>
      <w:r w:rsidR="000F6F1E">
        <w:rPr>
          <w:rFonts w:ascii="Times New Roman" w:hAnsi="Times New Roman"/>
          <w:szCs w:val="24"/>
        </w:rPr>
        <w:t>.</w:t>
      </w:r>
      <w:r w:rsidR="000F6F1E" w:rsidRPr="007735F0">
        <w:rPr>
          <w:rFonts w:ascii="Times New Roman" w:hAnsi="Times New Roman"/>
          <w:szCs w:val="24"/>
        </w:rPr>
        <w:t xml:space="preserve">  </w:t>
      </w:r>
      <w:r w:rsidR="003E13C4">
        <w:rPr>
          <w:rFonts w:ascii="Times New Roman" w:hAnsi="Times New Roman"/>
          <w:szCs w:val="24"/>
        </w:rPr>
        <w:t>Taking data from each application</w:t>
      </w:r>
      <w:r w:rsidR="005072E4">
        <w:rPr>
          <w:rFonts w:ascii="Times New Roman" w:hAnsi="Times New Roman"/>
          <w:szCs w:val="24"/>
        </w:rPr>
        <w:t xml:space="preserve"> sponsor</w:t>
      </w:r>
      <w:r w:rsidR="003E13C4">
        <w:rPr>
          <w:rFonts w:ascii="Times New Roman" w:hAnsi="Times New Roman"/>
          <w:szCs w:val="24"/>
        </w:rPr>
        <w:t xml:space="preserve">, we estimated that an </w:t>
      </w:r>
      <w:r w:rsidR="003E13C4" w:rsidRPr="003B38AD">
        <w:rPr>
          <w:rFonts w:ascii="Times New Roman" w:hAnsi="Times New Roman"/>
          <w:szCs w:val="24"/>
        </w:rPr>
        <w:t>additional 501,500 registrations</w:t>
      </w:r>
      <w:r w:rsidR="003E13C4">
        <w:rPr>
          <w:rFonts w:ascii="Times New Roman" w:hAnsi="Times New Roman"/>
          <w:szCs w:val="24"/>
        </w:rPr>
        <w:t xml:space="preserve"> would </w:t>
      </w:r>
      <w:r w:rsidR="00A736CD">
        <w:rPr>
          <w:rFonts w:ascii="Times New Roman" w:hAnsi="Times New Roman"/>
          <w:szCs w:val="24"/>
        </w:rPr>
        <w:t xml:space="preserve">register </w:t>
      </w:r>
      <w:r w:rsidR="003E13C4">
        <w:rPr>
          <w:rFonts w:ascii="Times New Roman" w:hAnsi="Times New Roman"/>
          <w:szCs w:val="24"/>
        </w:rPr>
        <w:t>due to the</w:t>
      </w:r>
      <w:r w:rsidR="0061692B">
        <w:rPr>
          <w:rFonts w:ascii="Times New Roman" w:hAnsi="Times New Roman"/>
          <w:szCs w:val="24"/>
        </w:rPr>
        <w:t xml:space="preserve"> additional services </w:t>
      </w:r>
      <w:r w:rsidR="00A736CD">
        <w:rPr>
          <w:rFonts w:ascii="Times New Roman" w:hAnsi="Times New Roman"/>
          <w:szCs w:val="24"/>
        </w:rPr>
        <w:t>we will offer</w:t>
      </w:r>
      <w:r w:rsidR="000F6F1E">
        <w:rPr>
          <w:rFonts w:ascii="Times New Roman" w:hAnsi="Times New Roman"/>
          <w:szCs w:val="24"/>
        </w:rPr>
        <w:t xml:space="preserve">.  </w:t>
      </w:r>
      <w:r w:rsidRPr="007735F0">
        <w:rPr>
          <w:rFonts w:ascii="Times New Roman" w:hAnsi="Times New Roman"/>
          <w:szCs w:val="24"/>
        </w:rPr>
        <w:t>We estimated the number of minutes for completion by averaging the “time-on-task” figures we obtained from our usability testing.</w:t>
      </w:r>
    </w:p>
    <w:p w:rsidR="00A828E9" w:rsidRDefault="00A828E9" w:rsidP="007735F0">
      <w:pPr>
        <w:spacing w:after="0"/>
        <w:rPr>
          <w:rFonts w:ascii="Times New Roman" w:hAnsi="Times New Roman"/>
          <w:szCs w:val="24"/>
        </w:rPr>
      </w:pPr>
    </w:p>
    <w:p w:rsidR="00E1051F" w:rsidRPr="007735F0" w:rsidRDefault="00E1051F" w:rsidP="007735F0">
      <w:pPr>
        <w:spacing w:after="0"/>
        <w:rPr>
          <w:rFonts w:ascii="Times New Roman" w:hAnsi="Times New Roman"/>
          <w:szCs w:val="24"/>
        </w:rPr>
      </w:pPr>
      <w:r w:rsidRPr="007735F0">
        <w:rPr>
          <w:rFonts w:ascii="Times New Roman" w:hAnsi="Times New Roman"/>
          <w:szCs w:val="24"/>
        </w:rPr>
        <w:t>See chart below with the updated figures:</w:t>
      </w:r>
    </w:p>
    <w:p w:rsidR="00E1051F" w:rsidRPr="007735F0" w:rsidRDefault="00E1051F" w:rsidP="007735F0">
      <w:pPr>
        <w:spacing w:after="0"/>
        <w:rPr>
          <w:rFonts w:ascii="Times New Roman" w:hAnsi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710"/>
        <w:gridCol w:w="1620"/>
        <w:gridCol w:w="1440"/>
        <w:gridCol w:w="1710"/>
      </w:tblGrid>
      <w:tr w:rsidR="00E1051F" w:rsidRPr="003B38AD" w:rsidTr="00A736CD">
        <w:trPr>
          <w:trHeight w:val="638"/>
        </w:trPr>
        <w:tc>
          <w:tcPr>
            <w:tcW w:w="2790" w:type="dxa"/>
          </w:tcPr>
          <w:p w:rsidR="00E1051F" w:rsidRPr="00A736CD" w:rsidRDefault="00E1051F" w:rsidP="00A736C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736CD">
              <w:rPr>
                <w:rFonts w:ascii="Times New Roman" w:hAnsi="Times New Roman"/>
                <w:b/>
                <w:szCs w:val="24"/>
              </w:rPr>
              <w:t>Modality of Completion</w:t>
            </w:r>
          </w:p>
        </w:tc>
        <w:tc>
          <w:tcPr>
            <w:tcW w:w="1710" w:type="dxa"/>
          </w:tcPr>
          <w:p w:rsidR="00E1051F" w:rsidRPr="00A736CD" w:rsidRDefault="00E1051F" w:rsidP="00A736C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736CD">
              <w:rPr>
                <w:rFonts w:ascii="Times New Roman" w:hAnsi="Times New Roman"/>
                <w:b/>
                <w:szCs w:val="24"/>
              </w:rPr>
              <w:t>Number of Respondents</w:t>
            </w:r>
          </w:p>
        </w:tc>
        <w:tc>
          <w:tcPr>
            <w:tcW w:w="1620" w:type="dxa"/>
          </w:tcPr>
          <w:p w:rsidR="00E1051F" w:rsidRPr="00A736CD" w:rsidRDefault="00E1051F" w:rsidP="00A736C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736CD">
              <w:rPr>
                <w:rFonts w:ascii="Times New Roman" w:hAnsi="Times New Roman"/>
                <w:b/>
                <w:szCs w:val="24"/>
              </w:rPr>
              <w:t>Frequency of Response</w:t>
            </w:r>
          </w:p>
        </w:tc>
        <w:tc>
          <w:tcPr>
            <w:tcW w:w="1440" w:type="dxa"/>
          </w:tcPr>
          <w:p w:rsidR="00E1051F" w:rsidRPr="00A736CD" w:rsidRDefault="00E1051F" w:rsidP="00A736C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736CD">
              <w:rPr>
                <w:rFonts w:ascii="Times New Roman" w:hAnsi="Times New Roman"/>
                <w:b/>
                <w:szCs w:val="24"/>
              </w:rPr>
              <w:t>Average Burden Per Response (minutes)</w:t>
            </w:r>
          </w:p>
        </w:tc>
        <w:tc>
          <w:tcPr>
            <w:tcW w:w="1710" w:type="dxa"/>
          </w:tcPr>
          <w:p w:rsidR="00E1051F" w:rsidRPr="00A736CD" w:rsidRDefault="00E1051F" w:rsidP="00A736C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736CD">
              <w:rPr>
                <w:rFonts w:ascii="Times New Roman" w:hAnsi="Times New Roman"/>
                <w:b/>
                <w:szCs w:val="24"/>
              </w:rPr>
              <w:t>Total Annual Burden Hours (hours)</w:t>
            </w:r>
          </w:p>
        </w:tc>
      </w:tr>
      <w:tr w:rsidR="00E1051F" w:rsidRPr="003B38AD" w:rsidTr="00A736CD">
        <w:trPr>
          <w:trHeight w:val="440"/>
        </w:trPr>
        <w:tc>
          <w:tcPr>
            <w:tcW w:w="2790" w:type="dxa"/>
          </w:tcPr>
          <w:p w:rsidR="00116572" w:rsidRPr="003B38AD" w:rsidRDefault="00E1051F" w:rsidP="007735F0">
            <w:pPr>
              <w:spacing w:after="0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Internet Respondents</w:t>
            </w:r>
          </w:p>
        </w:tc>
        <w:tc>
          <w:tcPr>
            <w:tcW w:w="1710" w:type="dxa"/>
          </w:tcPr>
          <w:p w:rsidR="003E13C4" w:rsidRPr="003B38AD" w:rsidRDefault="00FA2738" w:rsidP="00A736CD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</w:t>
            </w:r>
            <w:r w:rsidR="003B38AD" w:rsidRPr="003B38AD">
              <w:rPr>
                <w:rFonts w:ascii="Times New Roman" w:hAnsi="Times New Roman"/>
                <w:szCs w:val="24"/>
              </w:rPr>
              <w:t>,140,116</w:t>
            </w:r>
          </w:p>
        </w:tc>
        <w:tc>
          <w:tcPr>
            <w:tcW w:w="1620" w:type="dxa"/>
          </w:tcPr>
          <w:p w:rsidR="00E1051F" w:rsidRPr="003B38AD" w:rsidRDefault="00E1051F" w:rsidP="00A736CD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40" w:type="dxa"/>
          </w:tcPr>
          <w:p w:rsidR="00E1051F" w:rsidRPr="003B38AD" w:rsidRDefault="00E1051F" w:rsidP="00A736CD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710" w:type="dxa"/>
          </w:tcPr>
          <w:p w:rsidR="00E1051F" w:rsidRPr="003B38AD" w:rsidRDefault="00FA2738" w:rsidP="00A736CD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6,1</w:t>
            </w:r>
            <w:r w:rsidR="003B38AD" w:rsidRPr="003B38AD">
              <w:rPr>
                <w:rFonts w:ascii="Times New Roman" w:hAnsi="Times New Roman"/>
                <w:szCs w:val="24"/>
              </w:rPr>
              <w:t>52,015</w:t>
            </w:r>
          </w:p>
        </w:tc>
      </w:tr>
      <w:tr w:rsidR="00E1051F" w:rsidRPr="003B38AD" w:rsidTr="00A736CD">
        <w:trPr>
          <w:trHeight w:val="413"/>
        </w:trPr>
        <w:tc>
          <w:tcPr>
            <w:tcW w:w="2790" w:type="dxa"/>
            <w:tcBorders>
              <w:bottom w:val="single" w:sz="4" w:space="0" w:color="auto"/>
            </w:tcBorders>
          </w:tcPr>
          <w:p w:rsidR="00116572" w:rsidRPr="003B38AD" w:rsidRDefault="00E1051F" w:rsidP="00116572">
            <w:pPr>
              <w:spacing w:after="0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Intranet Respondents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16572" w:rsidRPr="003B38AD" w:rsidRDefault="003B38AD" w:rsidP="00A736CD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2,444,557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1051F" w:rsidRPr="003B38AD" w:rsidRDefault="00E1051F" w:rsidP="00A736CD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1051F" w:rsidRPr="003B38AD" w:rsidRDefault="00E1051F" w:rsidP="00A736CD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16572" w:rsidRPr="003B38AD" w:rsidRDefault="003B38AD" w:rsidP="00A736CD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325,941</w:t>
            </w:r>
          </w:p>
        </w:tc>
      </w:tr>
      <w:tr w:rsidR="00E1051F" w:rsidRPr="003B38AD" w:rsidTr="00A736CD">
        <w:trPr>
          <w:trHeight w:val="224"/>
        </w:trPr>
        <w:tc>
          <w:tcPr>
            <w:tcW w:w="2790" w:type="dxa"/>
            <w:tcBorders>
              <w:bottom w:val="single" w:sz="4" w:space="0" w:color="auto"/>
            </w:tcBorders>
          </w:tcPr>
          <w:p w:rsidR="00E1051F" w:rsidRPr="003B38AD" w:rsidRDefault="00E1051F" w:rsidP="007735F0">
            <w:pPr>
              <w:spacing w:after="0"/>
              <w:rPr>
                <w:rFonts w:ascii="Times New Roman" w:hAnsi="Times New Roman"/>
                <w:szCs w:val="24"/>
              </w:rPr>
            </w:pPr>
            <w:r w:rsidRPr="003B38AD">
              <w:rPr>
                <w:rFonts w:ascii="Times New Roman" w:hAnsi="Times New Roman"/>
                <w:szCs w:val="24"/>
              </w:rPr>
              <w:t>Totals: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1051F" w:rsidRPr="003B38AD" w:rsidRDefault="00FA2738" w:rsidP="00A736CD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</w:t>
            </w:r>
            <w:r w:rsidR="003B38AD" w:rsidRPr="003B38AD">
              <w:rPr>
                <w:rFonts w:ascii="Times New Roman" w:hAnsi="Times New Roman"/>
                <w:szCs w:val="24"/>
              </w:rPr>
              <w:t>,584,673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1051F" w:rsidRPr="003B38AD" w:rsidRDefault="00E1051F" w:rsidP="00A736CD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1051F" w:rsidRPr="003B38AD" w:rsidRDefault="00E1051F" w:rsidP="00A736CD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1051F" w:rsidRPr="003B38AD" w:rsidRDefault="00FA2738" w:rsidP="00A736CD">
            <w:pPr>
              <w:spacing w:after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6,4</w:t>
            </w:r>
            <w:r w:rsidR="003B38AD" w:rsidRPr="003B38AD">
              <w:rPr>
                <w:rFonts w:ascii="Times New Roman" w:hAnsi="Times New Roman"/>
                <w:szCs w:val="24"/>
              </w:rPr>
              <w:t>77,956</w:t>
            </w:r>
          </w:p>
        </w:tc>
      </w:tr>
    </w:tbl>
    <w:p w:rsidR="00E1051F" w:rsidRPr="003B38AD" w:rsidRDefault="00E1051F" w:rsidP="007735F0">
      <w:pPr>
        <w:spacing w:after="0"/>
        <w:rPr>
          <w:rFonts w:ascii="Times New Roman" w:hAnsi="Times New Roman"/>
          <w:szCs w:val="24"/>
        </w:rPr>
      </w:pPr>
    </w:p>
    <w:p w:rsidR="00675D9F" w:rsidRPr="00A828E9" w:rsidRDefault="00E1051F" w:rsidP="00A828E9">
      <w:pPr>
        <w:spacing w:after="0"/>
        <w:rPr>
          <w:rFonts w:ascii="Times New Roman" w:hAnsi="Times New Roman"/>
          <w:szCs w:val="24"/>
        </w:rPr>
      </w:pPr>
      <w:r w:rsidRPr="003B38AD">
        <w:rPr>
          <w:rFonts w:ascii="Times New Roman" w:hAnsi="Times New Roman"/>
          <w:szCs w:val="24"/>
        </w:rPr>
        <w:t xml:space="preserve">The total annual burden for this information collection </w:t>
      </w:r>
      <w:bookmarkStart w:id="0" w:name="_GoBack"/>
      <w:bookmarkEnd w:id="0"/>
      <w:r w:rsidRPr="003B38AD">
        <w:rPr>
          <w:rFonts w:ascii="Times New Roman" w:hAnsi="Times New Roman"/>
          <w:szCs w:val="24"/>
        </w:rPr>
        <w:t xml:space="preserve">is </w:t>
      </w:r>
      <w:r w:rsidR="00FA2738" w:rsidRPr="00A736CD">
        <w:rPr>
          <w:rFonts w:ascii="Times New Roman" w:hAnsi="Times New Roman"/>
          <w:b/>
          <w:szCs w:val="24"/>
        </w:rPr>
        <w:t>6,4</w:t>
      </w:r>
      <w:r w:rsidR="003B38AD" w:rsidRPr="00A736CD">
        <w:rPr>
          <w:rFonts w:ascii="Times New Roman" w:hAnsi="Times New Roman"/>
          <w:b/>
          <w:szCs w:val="24"/>
        </w:rPr>
        <w:t>77,956</w:t>
      </w:r>
      <w:r w:rsidR="003B38AD" w:rsidRPr="003B38AD">
        <w:rPr>
          <w:rFonts w:ascii="Times New Roman" w:hAnsi="Times New Roman"/>
          <w:szCs w:val="24"/>
        </w:rPr>
        <w:t xml:space="preserve"> </w:t>
      </w:r>
      <w:r w:rsidRPr="003B38AD">
        <w:rPr>
          <w:rFonts w:ascii="Times New Roman" w:hAnsi="Times New Roman"/>
          <w:szCs w:val="24"/>
        </w:rPr>
        <w:t>hours</w:t>
      </w:r>
      <w:r w:rsidR="000F6F1E" w:rsidRPr="003B38AD">
        <w:rPr>
          <w:rFonts w:ascii="Times New Roman" w:hAnsi="Times New Roman"/>
          <w:szCs w:val="24"/>
        </w:rPr>
        <w:t>.</w:t>
      </w:r>
    </w:p>
    <w:sectPr w:rsidR="00675D9F" w:rsidRPr="00A828E9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C2996"/>
    <w:multiLevelType w:val="hybridMultilevel"/>
    <w:tmpl w:val="47D4F5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E1664D3"/>
    <w:multiLevelType w:val="hybridMultilevel"/>
    <w:tmpl w:val="56E4D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36242"/>
    <w:multiLevelType w:val="hybridMultilevel"/>
    <w:tmpl w:val="BD9E03AC"/>
    <w:lvl w:ilvl="0" w:tplc="526C8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74B49"/>
    <w:multiLevelType w:val="hybridMultilevel"/>
    <w:tmpl w:val="D1B80C70"/>
    <w:name w:val="WW8Num102"/>
    <w:lvl w:ilvl="0" w:tplc="2828E91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ourier New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4">
    <w:nsid w:val="7CF649D0"/>
    <w:multiLevelType w:val="hybridMultilevel"/>
    <w:tmpl w:val="51D26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55"/>
    <w:rsid w:val="000432CC"/>
    <w:rsid w:val="000A2965"/>
    <w:rsid w:val="000A4E49"/>
    <w:rsid w:val="000E3ECE"/>
    <w:rsid w:val="000F60DE"/>
    <w:rsid w:val="000F6F1E"/>
    <w:rsid w:val="00116572"/>
    <w:rsid w:val="00142976"/>
    <w:rsid w:val="00154820"/>
    <w:rsid w:val="00161604"/>
    <w:rsid w:val="00166B43"/>
    <w:rsid w:val="00181D38"/>
    <w:rsid w:val="0018516A"/>
    <w:rsid w:val="001C0729"/>
    <w:rsid w:val="001C3D2F"/>
    <w:rsid w:val="002236DE"/>
    <w:rsid w:val="00223737"/>
    <w:rsid w:val="00230975"/>
    <w:rsid w:val="002361C9"/>
    <w:rsid w:val="002672CE"/>
    <w:rsid w:val="00280A23"/>
    <w:rsid w:val="002B14FE"/>
    <w:rsid w:val="002D43F4"/>
    <w:rsid w:val="00312118"/>
    <w:rsid w:val="00313237"/>
    <w:rsid w:val="00316F10"/>
    <w:rsid w:val="00320082"/>
    <w:rsid w:val="0035556B"/>
    <w:rsid w:val="00372C30"/>
    <w:rsid w:val="0039682A"/>
    <w:rsid w:val="003A28ED"/>
    <w:rsid w:val="003B0EA1"/>
    <w:rsid w:val="003B38AD"/>
    <w:rsid w:val="003D5CA4"/>
    <w:rsid w:val="003E13C4"/>
    <w:rsid w:val="003F49AE"/>
    <w:rsid w:val="003F7F73"/>
    <w:rsid w:val="004255E7"/>
    <w:rsid w:val="00426DE9"/>
    <w:rsid w:val="004332A6"/>
    <w:rsid w:val="00453E1F"/>
    <w:rsid w:val="004A18BD"/>
    <w:rsid w:val="004F2E20"/>
    <w:rsid w:val="004F6613"/>
    <w:rsid w:val="005072E4"/>
    <w:rsid w:val="00532627"/>
    <w:rsid w:val="00560022"/>
    <w:rsid w:val="00577C60"/>
    <w:rsid w:val="0058295F"/>
    <w:rsid w:val="005841E7"/>
    <w:rsid w:val="005961BF"/>
    <w:rsid w:val="0061170A"/>
    <w:rsid w:val="0061692B"/>
    <w:rsid w:val="00623095"/>
    <w:rsid w:val="00642EC5"/>
    <w:rsid w:val="0067117F"/>
    <w:rsid w:val="00675D9F"/>
    <w:rsid w:val="006D3D17"/>
    <w:rsid w:val="006E4ED0"/>
    <w:rsid w:val="0070035E"/>
    <w:rsid w:val="0070270E"/>
    <w:rsid w:val="0072417D"/>
    <w:rsid w:val="00741CD6"/>
    <w:rsid w:val="00760CF6"/>
    <w:rsid w:val="007735F0"/>
    <w:rsid w:val="007749D9"/>
    <w:rsid w:val="00783C56"/>
    <w:rsid w:val="00794759"/>
    <w:rsid w:val="007F0E37"/>
    <w:rsid w:val="00857928"/>
    <w:rsid w:val="00866C05"/>
    <w:rsid w:val="008A2871"/>
    <w:rsid w:val="008D40B6"/>
    <w:rsid w:val="008D7755"/>
    <w:rsid w:val="008F4A10"/>
    <w:rsid w:val="009010E8"/>
    <w:rsid w:val="00901B5B"/>
    <w:rsid w:val="00985658"/>
    <w:rsid w:val="00997B2A"/>
    <w:rsid w:val="009A191D"/>
    <w:rsid w:val="009D3265"/>
    <w:rsid w:val="009D5DC3"/>
    <w:rsid w:val="009F26E7"/>
    <w:rsid w:val="00A260E2"/>
    <w:rsid w:val="00A41674"/>
    <w:rsid w:val="00A4318E"/>
    <w:rsid w:val="00A51F00"/>
    <w:rsid w:val="00A67C9B"/>
    <w:rsid w:val="00A70B9A"/>
    <w:rsid w:val="00A736CD"/>
    <w:rsid w:val="00A828E9"/>
    <w:rsid w:val="00AD757E"/>
    <w:rsid w:val="00B143A8"/>
    <w:rsid w:val="00B2554F"/>
    <w:rsid w:val="00B761A6"/>
    <w:rsid w:val="00BC54A3"/>
    <w:rsid w:val="00C1425A"/>
    <w:rsid w:val="00C1569F"/>
    <w:rsid w:val="00C239E0"/>
    <w:rsid w:val="00C677D3"/>
    <w:rsid w:val="00C75C49"/>
    <w:rsid w:val="00C83F37"/>
    <w:rsid w:val="00C8434F"/>
    <w:rsid w:val="00C9728E"/>
    <w:rsid w:val="00D07BCC"/>
    <w:rsid w:val="00D17DC6"/>
    <w:rsid w:val="00D31C30"/>
    <w:rsid w:val="00D339E9"/>
    <w:rsid w:val="00D34531"/>
    <w:rsid w:val="00D82230"/>
    <w:rsid w:val="00D964A5"/>
    <w:rsid w:val="00DA4D88"/>
    <w:rsid w:val="00E1051F"/>
    <w:rsid w:val="00E22069"/>
    <w:rsid w:val="00E47019"/>
    <w:rsid w:val="00E5707B"/>
    <w:rsid w:val="00E670FE"/>
    <w:rsid w:val="00E904C6"/>
    <w:rsid w:val="00E93925"/>
    <w:rsid w:val="00EA2ECA"/>
    <w:rsid w:val="00EC03E2"/>
    <w:rsid w:val="00F16A85"/>
    <w:rsid w:val="00F22A10"/>
    <w:rsid w:val="00F23393"/>
    <w:rsid w:val="00F23D0F"/>
    <w:rsid w:val="00F31A57"/>
    <w:rsid w:val="00F81125"/>
    <w:rsid w:val="00F95F7A"/>
    <w:rsid w:val="00FA2738"/>
    <w:rsid w:val="00FA3941"/>
    <w:rsid w:val="00FA3C86"/>
    <w:rsid w:val="00FA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link w:val="NoSpacingChar"/>
    <w:uiPriority w:val="1"/>
    <w:qFormat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NoSpacingChar">
    <w:name w:val="No Spacing Char"/>
    <w:link w:val="NoSpacing"/>
    <w:rsid w:val="008D7755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8D7755"/>
    <w:pPr>
      <w:spacing w:after="0"/>
      <w:ind w:left="720"/>
    </w:pPr>
    <w:rPr>
      <w:rFonts w:eastAsia="Calibri" w:cs="Calibri"/>
      <w:sz w:val="22"/>
      <w:szCs w:val="22"/>
    </w:rPr>
  </w:style>
  <w:style w:type="paragraph" w:styleId="HTMLPreformatted">
    <w:name w:val="HTML Preformatted"/>
    <w:basedOn w:val="Normal"/>
    <w:link w:val="HTMLPreformattedChar"/>
    <w:rsid w:val="00E10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SimSun" w:hAnsi="Courier New" w:cs="Courier New"/>
      <w:sz w:val="20"/>
      <w:lang w:eastAsia="zh-CN"/>
    </w:rPr>
  </w:style>
  <w:style w:type="character" w:customStyle="1" w:styleId="HTMLPreformattedChar">
    <w:name w:val="HTML Preformatted Char"/>
    <w:link w:val="HTMLPreformatted"/>
    <w:rsid w:val="00E1051F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uiPriority w:val="99"/>
    <w:semiHidden/>
    <w:unhideWhenUsed/>
    <w:rsid w:val="004F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61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F661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6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6613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70270E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link w:val="NoSpacingChar"/>
    <w:uiPriority w:val="1"/>
    <w:qFormat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NoSpacingChar">
    <w:name w:val="No Spacing Char"/>
    <w:link w:val="NoSpacing"/>
    <w:rsid w:val="008D7755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8D7755"/>
    <w:pPr>
      <w:spacing w:after="0"/>
      <w:ind w:left="720"/>
    </w:pPr>
    <w:rPr>
      <w:rFonts w:eastAsia="Calibri" w:cs="Calibri"/>
      <w:sz w:val="22"/>
      <w:szCs w:val="22"/>
    </w:rPr>
  </w:style>
  <w:style w:type="paragraph" w:styleId="HTMLPreformatted">
    <w:name w:val="HTML Preformatted"/>
    <w:basedOn w:val="Normal"/>
    <w:link w:val="HTMLPreformattedChar"/>
    <w:rsid w:val="00E10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SimSun" w:hAnsi="Courier New" w:cs="Courier New"/>
      <w:sz w:val="20"/>
      <w:lang w:eastAsia="zh-CN"/>
    </w:rPr>
  </w:style>
  <w:style w:type="character" w:customStyle="1" w:styleId="HTMLPreformattedChar">
    <w:name w:val="HTML Preformatted Char"/>
    <w:link w:val="HTMLPreformatted"/>
    <w:rsid w:val="00E1051F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uiPriority w:val="99"/>
    <w:semiHidden/>
    <w:unhideWhenUsed/>
    <w:rsid w:val="004F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61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F661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6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6613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70270E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Chatel Madison, OEST, DSA</dc:creator>
  <cp:lastModifiedBy>889123</cp:lastModifiedBy>
  <cp:revision>2</cp:revision>
  <cp:lastPrinted>2016-02-23T19:49:00Z</cp:lastPrinted>
  <dcterms:created xsi:type="dcterms:W3CDTF">2016-07-26T19:31:00Z</dcterms:created>
  <dcterms:modified xsi:type="dcterms:W3CDTF">2016-07-26T19:31:00Z</dcterms:modified>
</cp:coreProperties>
</file>