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Borders>
          <w:top w:val="single" w:sz="36" w:space="0" w:color="FFFFFF"/>
        </w:tblBorders>
        <w:shd w:val="clear" w:color="auto" w:fill="FFFFFF"/>
        <w:tblCellMar>
          <w:left w:w="0" w:type="dxa"/>
          <w:right w:w="0" w:type="dxa"/>
        </w:tblCellMar>
        <w:tblLook w:val="04A0" w:firstRow="1" w:lastRow="0" w:firstColumn="1" w:lastColumn="0" w:noHBand="0" w:noVBand="1"/>
      </w:tblPr>
      <w:tblGrid>
        <w:gridCol w:w="9450"/>
      </w:tblGrid>
      <w:tr w:rsidR="002F1441" w:rsidRPr="002F1441" w:rsidTr="002F1441">
        <w:trPr>
          <w:tblCellSpacing w:w="15" w:type="dxa"/>
        </w:trPr>
        <w:tc>
          <w:tcPr>
            <w:tcW w:w="0" w:type="auto"/>
            <w:shd w:val="clear" w:color="auto" w:fill="FFFFFF"/>
            <w:tcMar>
              <w:top w:w="15" w:type="dxa"/>
              <w:left w:w="15" w:type="dxa"/>
              <w:bottom w:w="15" w:type="dxa"/>
              <w:right w:w="15" w:type="dxa"/>
            </w:tcMar>
            <w:hideMark/>
          </w:tcPr>
          <w:p w:rsidR="002F1441" w:rsidRPr="002F1441" w:rsidRDefault="002F1441" w:rsidP="002F1441">
            <w:pPr>
              <w:spacing w:after="0" w:line="240" w:lineRule="auto"/>
              <w:outlineLvl w:val="2"/>
              <w:rPr>
                <w:rFonts w:ascii="Times New Roman" w:eastAsia="Times New Roman" w:hAnsi="Times New Roman" w:cs="Times New Roman"/>
                <w:b/>
                <w:bCs/>
                <w:caps/>
                <w:sz w:val="27"/>
                <w:szCs w:val="27"/>
              </w:rPr>
            </w:pPr>
            <w:r w:rsidRPr="002F1441">
              <w:rPr>
                <w:rFonts w:ascii="Times New Roman" w:eastAsia="Times New Roman" w:hAnsi="Times New Roman" w:cs="Times New Roman"/>
                <w:b/>
                <w:bCs/>
                <w:caps/>
                <w:sz w:val="27"/>
                <w:szCs w:val="27"/>
              </w:rPr>
              <w:t>Electronic Code of Federal Regulations</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24"/>
            </w:tblGrid>
            <w:tr w:rsidR="002F1441" w:rsidRPr="002F1441" w:rsidTr="002F1441">
              <w:trPr>
                <w:tblCellSpacing w:w="15" w:type="dxa"/>
                <w:jc w:val="center"/>
              </w:trPr>
              <w:tc>
                <w:tcPr>
                  <w:tcW w:w="0" w:type="auto"/>
                  <w:hideMark/>
                </w:tcPr>
                <w:p w:rsidR="002F1441" w:rsidRPr="002F1441" w:rsidRDefault="002F1441" w:rsidP="002F1441">
                  <w:pPr>
                    <w:spacing w:before="100" w:beforeAutospacing="1" w:after="100" w:afterAutospacing="1" w:line="240" w:lineRule="auto"/>
                    <w:jc w:val="center"/>
                    <w:rPr>
                      <w:rFonts w:ascii="Arial" w:eastAsia="Times New Roman" w:hAnsi="Arial" w:cs="Arial"/>
                      <w:b/>
                      <w:bCs/>
                      <w:color w:val="FF0000"/>
                      <w:sz w:val="27"/>
                      <w:szCs w:val="27"/>
                    </w:rPr>
                  </w:pPr>
                  <w:r w:rsidRPr="002F1441">
                    <w:rPr>
                      <w:rFonts w:ascii="Arial" w:eastAsia="Times New Roman" w:hAnsi="Arial" w:cs="Arial"/>
                      <w:b/>
                      <w:bCs/>
                      <w:color w:val="FF0000"/>
                      <w:sz w:val="27"/>
                      <w:szCs w:val="27"/>
                    </w:rPr>
                    <w:t>e-CFR Data is current as of January 30, 2015</w:t>
                  </w:r>
                </w:p>
              </w:tc>
            </w:tr>
          </w:tbl>
          <w:p w:rsidR="002F1441" w:rsidRPr="002F1441" w:rsidRDefault="002F1441" w:rsidP="002F1441">
            <w:pPr>
              <w:spacing w:after="0" w:line="240" w:lineRule="auto"/>
              <w:jc w:val="center"/>
              <w:rPr>
                <w:rFonts w:ascii="Arial" w:eastAsia="Times New Roman" w:hAnsi="Arial" w:cs="Arial"/>
                <w:vanish/>
                <w:sz w:val="20"/>
                <w:szCs w:val="20"/>
              </w:rPr>
            </w:pPr>
          </w:p>
          <w:p w:rsidR="002F1441" w:rsidRPr="002F1441" w:rsidRDefault="002F1441" w:rsidP="002F1441">
            <w:pPr>
              <w:spacing w:before="200" w:after="100" w:afterAutospacing="1" w:line="240" w:lineRule="auto"/>
              <w:rPr>
                <w:rFonts w:ascii="Arial" w:eastAsia="Times New Roman" w:hAnsi="Arial" w:cs="Arial"/>
                <w:sz w:val="20"/>
                <w:szCs w:val="20"/>
              </w:rPr>
            </w:pPr>
            <w:bookmarkStart w:id="0" w:name="_GoBack"/>
            <w:bookmarkEnd w:id="0"/>
            <w:r w:rsidRPr="002F1441">
              <w:rPr>
                <w:rFonts w:ascii="Arial" w:eastAsia="Times New Roman" w:hAnsi="Arial" w:cs="Arial"/>
                <w:sz w:val="20"/>
                <w:szCs w:val="20"/>
              </w:rPr>
              <w:t xml:space="preserve">Title 29: Labor </w:t>
            </w:r>
            <w:r w:rsidRPr="002F1441">
              <w:rPr>
                <w:rFonts w:ascii="Arial" w:eastAsia="Times New Roman" w:hAnsi="Arial" w:cs="Arial"/>
                <w:sz w:val="20"/>
                <w:szCs w:val="20"/>
              </w:rPr>
              <w:br/>
            </w:r>
            <w:hyperlink r:id="rId5" w:history="1">
              <w:r w:rsidRPr="002F1441">
                <w:rPr>
                  <w:rFonts w:ascii="Arial" w:eastAsia="Times New Roman" w:hAnsi="Arial" w:cs="Arial"/>
                  <w:color w:val="0000FF"/>
                  <w:sz w:val="17"/>
                  <w:szCs w:val="17"/>
                </w:rPr>
                <w:t>PART 1910—OCCUPATIONAL SAFETY AND HEALTH STANDARDS (CONTINUED)</w:t>
              </w:r>
            </w:hyperlink>
            <w:r w:rsidRPr="002F1441">
              <w:rPr>
                <w:rFonts w:ascii="Arial" w:eastAsia="Times New Roman" w:hAnsi="Arial" w:cs="Arial"/>
                <w:sz w:val="20"/>
                <w:szCs w:val="20"/>
              </w:rPr>
              <w:t xml:space="preserve"> </w:t>
            </w:r>
            <w:r w:rsidRPr="002F1441">
              <w:rPr>
                <w:rFonts w:ascii="Arial" w:eastAsia="Times New Roman" w:hAnsi="Arial" w:cs="Arial"/>
                <w:sz w:val="20"/>
                <w:szCs w:val="20"/>
              </w:rPr>
              <w:br/>
            </w:r>
            <w:hyperlink r:id="rId6" w:history="1">
              <w:r w:rsidRPr="002F1441">
                <w:rPr>
                  <w:rFonts w:ascii="Arial" w:eastAsia="Times New Roman" w:hAnsi="Arial" w:cs="Arial"/>
                  <w:color w:val="0000FF"/>
                  <w:sz w:val="17"/>
                  <w:szCs w:val="17"/>
                </w:rPr>
                <w:t>Subpart Z—Toxic and Hazardous Substances</w:t>
              </w:r>
            </w:hyperlink>
            <w:r w:rsidRPr="002F1441">
              <w:rPr>
                <w:rFonts w:ascii="Arial" w:eastAsia="Times New Roman" w:hAnsi="Arial" w:cs="Arial"/>
                <w:sz w:val="20"/>
                <w:szCs w:val="20"/>
              </w:rPr>
              <w:t xml:space="preserve"> </w:t>
            </w:r>
          </w:p>
          <w:p w:rsidR="002F1441" w:rsidRPr="002F1441" w:rsidRDefault="002F1441" w:rsidP="002F1441">
            <w:pPr>
              <w:spacing w:after="0" w:line="240" w:lineRule="auto"/>
              <w:jc w:val="center"/>
              <w:rPr>
                <w:rFonts w:ascii="Arial" w:eastAsia="Times New Roman" w:hAnsi="Arial" w:cs="Arial"/>
                <w:sz w:val="20"/>
                <w:szCs w:val="20"/>
              </w:rPr>
            </w:pPr>
            <w:r w:rsidRPr="002F1441">
              <w:rPr>
                <w:rFonts w:ascii="Arial" w:eastAsia="Times New Roman" w:hAnsi="Arial" w:cs="Arial"/>
                <w:sz w:val="20"/>
                <w:szCs w:val="20"/>
              </w:rPr>
              <w:pict>
                <v:rect id="_x0000_i1026" style="width:0;height:1.5pt" o:hralign="center" o:hrstd="t" o:hr="t" fillcolor="#a0a0a0" stroked="f"/>
              </w:pict>
            </w:r>
          </w:p>
          <w:p w:rsidR="002F1441" w:rsidRPr="002F1441" w:rsidRDefault="002F1441" w:rsidP="002F1441">
            <w:pPr>
              <w:spacing w:before="200" w:after="100" w:line="240" w:lineRule="auto"/>
              <w:outlineLvl w:val="1"/>
              <w:rPr>
                <w:rFonts w:ascii="Arial" w:eastAsia="Times New Roman" w:hAnsi="Arial" w:cs="Arial"/>
                <w:b/>
                <w:bCs/>
                <w:sz w:val="20"/>
                <w:szCs w:val="20"/>
              </w:rPr>
            </w:pPr>
            <w:bookmarkStart w:id="1" w:name="_top"/>
            <w:bookmarkEnd w:id="1"/>
            <w:proofErr w:type="gramStart"/>
            <w:r w:rsidRPr="002F1441">
              <w:rPr>
                <w:rFonts w:ascii="Arial" w:eastAsia="Times New Roman" w:hAnsi="Arial" w:cs="Arial"/>
                <w:b/>
                <w:bCs/>
                <w:sz w:val="20"/>
                <w:szCs w:val="20"/>
              </w:rPr>
              <w:t>§1910.1200   Hazard communication</w:t>
            </w:r>
            <w:proofErr w:type="gramEnd"/>
            <w:r w:rsidRPr="002F1441">
              <w:rPr>
                <w:rFonts w:ascii="Arial" w:eastAsia="Times New Roman" w:hAnsi="Arial" w:cs="Arial"/>
                <w:b/>
                <w:bCs/>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(a) </w:t>
            </w:r>
            <w:r w:rsidRPr="002F1441">
              <w:rPr>
                <w:rFonts w:ascii="Arial" w:eastAsia="Times New Roman" w:hAnsi="Arial" w:cs="Arial"/>
                <w:i/>
                <w:iCs/>
                <w:sz w:val="20"/>
                <w:szCs w:val="20"/>
              </w:rPr>
              <w:t>Purpose.</w:t>
            </w:r>
            <w:r w:rsidRPr="002F1441">
              <w:rPr>
                <w:rFonts w:ascii="Arial" w:eastAsia="Times New Roman" w:hAnsi="Arial" w:cs="Arial"/>
                <w:sz w:val="20"/>
                <w:szCs w:val="20"/>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(b) </w:t>
            </w:r>
            <w:r w:rsidRPr="002F1441">
              <w:rPr>
                <w:rFonts w:ascii="Arial" w:eastAsia="Times New Roman" w:hAnsi="Arial" w:cs="Arial"/>
                <w:i/>
                <w:iCs/>
                <w:sz w:val="20"/>
                <w:szCs w:val="20"/>
              </w:rPr>
              <w:t>Scope and application.</w:t>
            </w:r>
            <w:r w:rsidRPr="002F1441">
              <w:rPr>
                <w:rFonts w:ascii="Arial" w:eastAsia="Times New Roman" w:hAnsi="Arial" w:cs="Arial"/>
                <w:sz w:val="20"/>
                <w:szCs w:val="20"/>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This section applies to any chemical which is known to be present in the workplace in such a manner that employees may be exposed under normal conditions of use or in a foreseeable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This section applies to laboratories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Employers shall maintain any safety data sheets that are received with incoming shipments of hazardous chemicals, and ensure that they are readily accessible during each workshift to laboratory </w:t>
            </w:r>
            <w:r w:rsidRPr="002F1441">
              <w:rPr>
                <w:rFonts w:ascii="Arial" w:eastAsia="Times New Roman" w:hAnsi="Arial" w:cs="Arial"/>
                <w:sz w:val="20"/>
                <w:szCs w:val="20"/>
              </w:rPr>
              <w:lastRenderedPageBreak/>
              <w:t>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6) and (g)(7)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Employers shall ensure that labels on incoming containers of hazardous chemicals are not removed or defaced;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Employers shall ensure that employees are provided with information and training in accordance with paragraph (h) of this section (except for the location and availability of the written hazard communication program under paragraph (h</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2)(iii) of this section), to the extent necessary to protect them in the event of a spill or leak of a hazardous chemical from a sealed container.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This section does not require labeling of the following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 Any pesticide as such term is defined in the Federal Insecticide, Fungicide, and Rodenticide Act (7 U.S.C. 136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chemical substance or mixture as such terms are defined in the Toxic Substances Control Act (15 U.S.C. 2601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the labeling requirements of that Act and labeling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Any food, food additive, color additive, drug, cosmetic, or medical or veterinary device or product, including materials intended for use as ingredients in such products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flavors and fragrances), as such terms are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or the Virus-Serum-Toxin Act of 1913 (21 U.S.C. 151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those Acts, when they are subject to the labeling requirements under those Acts by either the Food and Drug Administration or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(iv) Any distilled spirits (beverage alcohols), wine, or malt beverage intended for nonindustrial use, as such terms are defined in the Federal Alcohol Administration Act (27 U.S.C. 201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when subject to the labeling requirements of that Act and labeling regulations issued under that Act by the Bureau of Alcohol, Tobacco, Firearms and Explosives;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 xml:space="preserve">(v)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et seq.</w:t>
            </w:r>
            <w:r w:rsidRPr="002F1441">
              <w:rPr>
                <w:rFonts w:ascii="Arial" w:eastAsia="Times New Roman" w:hAnsi="Arial" w:cs="Arial"/>
                <w:sz w:val="20"/>
                <w:szCs w:val="20"/>
              </w:rPr>
              <w:t>) respectively, when subject to a consumer product safety standard or labeling requirement of those Acts, or regulations issued under those Acts by the Consumer Product Safety Commission;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 Agricultural or vegetable seed treated with pesticides and labeled in accordance with the Federal Seed Act (7 U.S.C. 1551 </w:t>
            </w:r>
            <w:r w:rsidRPr="002F1441">
              <w:rPr>
                <w:rFonts w:ascii="Arial" w:eastAsia="Times New Roman" w:hAnsi="Arial" w:cs="Arial"/>
                <w:i/>
                <w:iCs/>
                <w:sz w:val="20"/>
                <w:szCs w:val="20"/>
              </w:rPr>
              <w:t>et seq.</w:t>
            </w:r>
            <w:r w:rsidRPr="002F1441">
              <w:rPr>
                <w:rFonts w:ascii="Arial" w:eastAsia="Times New Roman" w:hAnsi="Arial" w:cs="Arial"/>
                <w:sz w:val="20"/>
                <w:szCs w:val="20"/>
              </w:rPr>
              <w:t>) and the labeling regulations issued under that Act by the Department of Agriculture.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(6) This section does not apply to: (i) Any hazardous waste as such term is defined by the Solid Waste Disposal Act, as amended by the Resource Conservation and Recovery Act of 1976, as amended (42 U.S.C. 6901 </w:t>
            </w:r>
            <w:r w:rsidRPr="002F1441">
              <w:rPr>
                <w:rFonts w:ascii="Arial" w:eastAsia="Times New Roman" w:hAnsi="Arial" w:cs="Arial"/>
                <w:i/>
                <w:iCs/>
                <w:sz w:val="20"/>
                <w:szCs w:val="20"/>
              </w:rPr>
              <w:t>et seq.</w:t>
            </w:r>
            <w:r w:rsidRPr="002F1441">
              <w:rPr>
                <w:rFonts w:ascii="Arial" w:eastAsia="Times New Roman" w:hAnsi="Arial" w:cs="Arial"/>
                <w:sz w:val="20"/>
                <w:szCs w:val="20"/>
              </w:rPr>
              <w:t>), when subject to regulations issued under that Act by the Environmental Protection Agency;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Any hazardous substance as such term is defined by the Comprehensive Environmental Response, Compensation and Liability Act (CERCLA) (42 U.S.C. 9601 </w:t>
            </w:r>
            <w:r w:rsidRPr="002F1441">
              <w:rPr>
                <w:rFonts w:ascii="Arial" w:eastAsia="Times New Roman" w:hAnsi="Arial" w:cs="Arial"/>
                <w:i/>
                <w:iCs/>
                <w:sz w:val="20"/>
                <w:szCs w:val="20"/>
              </w:rPr>
              <w:t>et seq.</w:t>
            </w:r>
            <w:r w:rsidRPr="002F1441">
              <w:rPr>
                <w:rFonts w:ascii="Arial" w:eastAsia="Times New Roman" w:hAnsi="Arial" w:cs="Arial"/>
                <w:sz w:val="20"/>
                <w:szCs w:val="20"/>
              </w:rPr>
              <w:t>) when the hazardous substance is the focus of remedial or removal action being conducted under CERCLA in accordance with Environmental Protection Agency regulations.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Tobacco or tobacco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Articles (as that term is defined in paragraph (c)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Food or alcoholic beverages which are sold, used, or prepared in a retail establishment (such as a grocery store, restaurant, or drinking place), and foods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(vii) Any drug, as that term is defined in the Federal Food, Drug, and Cosmetic Act (21 U.S.C. 301 </w:t>
            </w:r>
            <w:r w:rsidRPr="002F1441">
              <w:rPr>
                <w:rFonts w:ascii="Arial" w:eastAsia="Times New Roman" w:hAnsi="Arial" w:cs="Arial"/>
                <w:i/>
                <w:iCs/>
                <w:sz w:val="20"/>
                <w:szCs w:val="20"/>
              </w:rPr>
              <w:t>et seq.</w:t>
            </w:r>
            <w:r w:rsidRPr="002F1441">
              <w:rPr>
                <w:rFonts w:ascii="Arial" w:eastAsia="Times New Roman" w:hAnsi="Arial" w:cs="Arial"/>
                <w:sz w:val="20"/>
                <w:szCs w:val="20"/>
              </w:rPr>
              <w:t>), when it is in solid, final form for direct administration to the patient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tablets or pills); drugs which are packaged by the chemical manufacturer for sale to consumers in a retail establishment (</w:t>
            </w:r>
            <w:r w:rsidRPr="002F1441">
              <w:rPr>
                <w:rFonts w:ascii="Arial" w:eastAsia="Times New Roman" w:hAnsi="Arial" w:cs="Arial"/>
                <w:i/>
                <w:iCs/>
                <w:sz w:val="20"/>
                <w:szCs w:val="20"/>
              </w:rPr>
              <w:t>e.g.</w:t>
            </w:r>
            <w:r w:rsidRPr="002F1441">
              <w:rPr>
                <w:rFonts w:ascii="Arial" w:eastAsia="Times New Roman" w:hAnsi="Arial" w:cs="Arial"/>
                <w:sz w:val="20"/>
                <w:szCs w:val="20"/>
              </w:rPr>
              <w:t>, over-the-counter drugs); and drugs intended for personal consumption by employees while in the workplace (</w:t>
            </w:r>
            <w:r w:rsidRPr="002F1441">
              <w:rPr>
                <w:rFonts w:ascii="Arial" w:eastAsia="Times New Roman" w:hAnsi="Arial" w:cs="Arial"/>
                <w:i/>
                <w:iCs/>
                <w:sz w:val="20"/>
                <w:szCs w:val="20"/>
              </w:rPr>
              <w:t>e.g.</w:t>
            </w:r>
            <w:r w:rsidRPr="002F1441">
              <w:rPr>
                <w:rFonts w:ascii="Arial" w:eastAsia="Times New Roman" w:hAnsi="Arial" w:cs="Arial"/>
                <w:sz w:val="20"/>
                <w:szCs w:val="20"/>
              </w:rPr>
              <w:t>, first aid supplies);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Cosmetics which are packaged for sale to consumers in a retail establishment, and cosmetics intended for personal consumption by employees while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(ix) Any consumer product or hazardous substance, as those terms are defined in the Consumer Product Safety Act (15 U.S.C. 2051 </w:t>
            </w:r>
            <w:r w:rsidRPr="002F1441">
              <w:rPr>
                <w:rFonts w:ascii="Arial" w:eastAsia="Times New Roman" w:hAnsi="Arial" w:cs="Arial"/>
                <w:i/>
                <w:iCs/>
                <w:sz w:val="20"/>
                <w:szCs w:val="20"/>
              </w:rPr>
              <w:t>et seq.</w:t>
            </w:r>
            <w:r w:rsidRPr="002F1441">
              <w:rPr>
                <w:rFonts w:ascii="Arial" w:eastAsia="Times New Roman" w:hAnsi="Arial" w:cs="Arial"/>
                <w:sz w:val="20"/>
                <w:szCs w:val="20"/>
              </w:rPr>
              <w:t xml:space="preserve">) and Federal Hazardous Substances Act (15 U.S.C. 1261 </w:t>
            </w:r>
            <w:r w:rsidRPr="002F1441">
              <w:rPr>
                <w:rFonts w:ascii="Arial" w:eastAsia="Times New Roman" w:hAnsi="Arial" w:cs="Arial"/>
                <w:i/>
                <w:iCs/>
                <w:sz w:val="20"/>
                <w:szCs w:val="20"/>
              </w:rPr>
              <w:t>et seq.</w:t>
            </w:r>
            <w:r w:rsidRPr="002F1441">
              <w:rPr>
                <w:rFonts w:ascii="Arial" w:eastAsia="Times New Roman" w:hAnsi="Arial" w:cs="Arial"/>
                <w:sz w:val="20"/>
                <w:szCs w:val="20"/>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Nuisance particulates where the chemical manufacturer or importer can establish that they do not pose any physical or health hazard covered under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(xi) Ionizing and nonionizing radiation;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 Biological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(c) </w:t>
            </w:r>
            <w:r w:rsidRPr="002F1441">
              <w:rPr>
                <w:rFonts w:ascii="Arial" w:eastAsia="Times New Roman" w:hAnsi="Arial" w:cs="Arial"/>
                <w:i/>
                <w:iCs/>
                <w:sz w:val="20"/>
                <w:szCs w:val="20"/>
              </w:rPr>
              <w:t>Definitions. Article</w:t>
            </w:r>
            <w:r w:rsidRPr="002F1441">
              <w:rPr>
                <w:rFonts w:ascii="Arial" w:eastAsia="Times New Roman" w:hAnsi="Arial" w:cs="Arial"/>
                <w:sz w:val="20"/>
                <w:szCs w:val="20"/>
              </w:rPr>
              <w:t xml:space="preserve"> means a manufactured item other than a fluid or particle: (i) which is formed to a specific shape or design during manufacture; (ii) which has end use function(s) dependent in whole or in part upon its shape or design during end use; and (iii) which under normal conditions of use does not release more than very small quantities,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minute or trace amounts of a hazardous chemical (as determined under paragraph (d) of this section), and does not pose a physical hazard or health risk to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Assistant Secretary</w:t>
            </w:r>
            <w:r w:rsidRPr="002F1441">
              <w:rPr>
                <w:rFonts w:ascii="Arial" w:eastAsia="Times New Roman" w:hAnsi="Arial" w:cs="Arial"/>
                <w:sz w:val="20"/>
                <w:szCs w:val="20"/>
              </w:rPr>
              <w:t xml:space="preserve"> means the Assistant Secretary of Labor for Occupational Safety and Health, U.S. Department of Labor,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w:t>
            </w:r>
            <w:r w:rsidRPr="002F1441">
              <w:rPr>
                <w:rFonts w:ascii="Arial" w:eastAsia="Times New Roman" w:hAnsi="Arial" w:cs="Arial"/>
                <w:sz w:val="20"/>
                <w:szCs w:val="20"/>
              </w:rPr>
              <w:t xml:space="preserve"> means any substance, or mixture of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manufacturer</w:t>
            </w:r>
            <w:r w:rsidRPr="002F1441">
              <w:rPr>
                <w:rFonts w:ascii="Arial" w:eastAsia="Times New Roman" w:hAnsi="Arial" w:cs="Arial"/>
                <w:sz w:val="20"/>
                <w:szCs w:val="20"/>
              </w:rPr>
              <w:t xml:space="preserve"> means an employer with a workplace where chemical(s) are produced for use or distribution.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Chemical name</w:t>
            </w:r>
            <w:r w:rsidRPr="002F1441">
              <w:rPr>
                <w:rFonts w:ascii="Arial" w:eastAsia="Times New Roman" w:hAnsi="Arial" w:cs="Arial"/>
                <w:sz w:val="20"/>
                <w:szCs w:val="20"/>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Classification</w:t>
            </w:r>
            <w:r w:rsidRPr="002F1441">
              <w:rPr>
                <w:rFonts w:ascii="Arial" w:eastAsia="Times New Roman" w:hAnsi="Arial" w:cs="Arial"/>
                <w:sz w:val="20"/>
                <w:szCs w:val="20"/>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Commercial account</w:t>
            </w:r>
            <w:r w:rsidRPr="002F1441">
              <w:rPr>
                <w:rFonts w:ascii="Arial" w:eastAsia="Times New Roman" w:hAnsi="Arial" w:cs="Arial"/>
                <w:sz w:val="20"/>
                <w:szCs w:val="20"/>
              </w:rPr>
              <w:t xml:space="preserve"> means an arrangement whereby a retail distributor sells hazardous chemicals to an employer, generally in large quantities over time and/or at costs that are below the regular retail price.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Common name</w:t>
            </w:r>
            <w:r w:rsidRPr="002F1441">
              <w:rPr>
                <w:rFonts w:ascii="Arial" w:eastAsia="Times New Roman" w:hAnsi="Arial" w:cs="Arial"/>
                <w:sz w:val="20"/>
                <w:szCs w:val="20"/>
              </w:rPr>
              <w:t xml:space="preserve"> means any designation or identification such as code name, code number, trade name, brand name or generic name used to identify a chemical other than by its chemical name.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Container</w:t>
            </w:r>
            <w:r w:rsidRPr="002F1441">
              <w:rPr>
                <w:rFonts w:ascii="Arial" w:eastAsia="Times New Roman" w:hAnsi="Arial" w:cs="Arial"/>
                <w:sz w:val="20"/>
                <w:szCs w:val="20"/>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Designated representative</w:t>
            </w:r>
            <w:r w:rsidRPr="002F1441">
              <w:rPr>
                <w:rFonts w:ascii="Arial" w:eastAsia="Times New Roman" w:hAnsi="Arial" w:cs="Arial"/>
                <w:sz w:val="20"/>
                <w:szCs w:val="20"/>
              </w:rPr>
              <w:t xml:space="preserve"> means any individual or organization to </w:t>
            </w:r>
            <w:proofErr w:type="gramStart"/>
            <w:r w:rsidRPr="002F1441">
              <w:rPr>
                <w:rFonts w:ascii="Arial" w:eastAsia="Times New Roman" w:hAnsi="Arial" w:cs="Arial"/>
                <w:sz w:val="20"/>
                <w:szCs w:val="20"/>
              </w:rPr>
              <w:t>whom</w:t>
            </w:r>
            <w:proofErr w:type="gramEnd"/>
            <w:r w:rsidRPr="002F1441">
              <w:rPr>
                <w:rFonts w:ascii="Arial" w:eastAsia="Times New Roman" w:hAnsi="Arial" w:cs="Arial"/>
                <w:sz w:val="20"/>
                <w:szCs w:val="20"/>
              </w:rPr>
              <w:t xml:space="preserve"> an employee gives written authorization to exercise such employee's rights under this section. A recognized or certified collective bargaining agent shall be treated automatically as a designated representative without regard to written employee authorization.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Director</w:t>
            </w:r>
            <w:r w:rsidRPr="002F1441">
              <w:rPr>
                <w:rFonts w:ascii="Arial" w:eastAsia="Times New Roman" w:hAnsi="Arial" w:cs="Arial"/>
                <w:sz w:val="20"/>
                <w:szCs w:val="20"/>
              </w:rPr>
              <w:t xml:space="preserve"> means the Director, National Institute for Occupational Safety and Health, U.S. Department of Health and Human Services, or designee.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Distributor</w:t>
            </w:r>
            <w:r w:rsidRPr="002F1441">
              <w:rPr>
                <w:rFonts w:ascii="Arial" w:eastAsia="Times New Roman" w:hAnsi="Arial" w:cs="Arial"/>
                <w:sz w:val="20"/>
                <w:szCs w:val="20"/>
              </w:rPr>
              <w:t xml:space="preserve"> means a business, other than a chemical manufacturer or importer, which supplies hazardous chemicals to other distributors or to employers.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lastRenderedPageBreak/>
              <w:t>Employee</w:t>
            </w:r>
            <w:r w:rsidRPr="002F1441">
              <w:rPr>
                <w:rFonts w:ascii="Arial" w:eastAsia="Times New Roman" w:hAnsi="Arial" w:cs="Arial"/>
                <w:sz w:val="20"/>
                <w:szCs w:val="20"/>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proofErr w:type="gramStart"/>
            <w:r w:rsidRPr="002F1441">
              <w:rPr>
                <w:rFonts w:ascii="Arial" w:eastAsia="Times New Roman" w:hAnsi="Arial" w:cs="Arial"/>
                <w:i/>
                <w:iCs/>
                <w:sz w:val="20"/>
                <w:szCs w:val="20"/>
              </w:rPr>
              <w:t>Employer</w:t>
            </w:r>
            <w:proofErr w:type="gramEnd"/>
            <w:r w:rsidRPr="002F1441">
              <w:rPr>
                <w:rFonts w:ascii="Arial" w:eastAsia="Times New Roman" w:hAnsi="Arial" w:cs="Arial"/>
                <w:sz w:val="20"/>
                <w:szCs w:val="20"/>
              </w:rPr>
              <w:t xml:space="preserve"> means a person engaged in a business where chemicals are either used, distributed, or are produced for use or distribution, including a contractor or subcontractor.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Exposure</w:t>
            </w:r>
            <w:r w:rsidRPr="002F1441">
              <w:rPr>
                <w:rFonts w:ascii="Arial" w:eastAsia="Times New Roman" w:hAnsi="Arial" w:cs="Arial"/>
                <w:sz w:val="20"/>
                <w:szCs w:val="20"/>
              </w:rPr>
              <w:t xml:space="preserve"> or </w:t>
            </w:r>
            <w:r w:rsidRPr="002F1441">
              <w:rPr>
                <w:rFonts w:ascii="Arial" w:eastAsia="Times New Roman" w:hAnsi="Arial" w:cs="Arial"/>
                <w:i/>
                <w:iCs/>
                <w:sz w:val="20"/>
                <w:szCs w:val="20"/>
              </w:rPr>
              <w:t>exposed</w:t>
            </w:r>
            <w:r w:rsidRPr="002F1441">
              <w:rPr>
                <w:rFonts w:ascii="Arial" w:eastAsia="Times New Roman" w:hAnsi="Arial" w:cs="Arial"/>
                <w:sz w:val="20"/>
                <w:szCs w:val="20"/>
              </w:rPr>
              <w:t xml:space="preserve"> means that an employee is subjected in the course of employment to a chemical that is a physical or health hazard, and includes potential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accidental or possible) exposure. “Subjected” in terms of health hazards includes any route of entry (</w:t>
            </w:r>
            <w:r w:rsidRPr="002F1441">
              <w:rPr>
                <w:rFonts w:ascii="Arial" w:eastAsia="Times New Roman" w:hAnsi="Arial" w:cs="Arial"/>
                <w:i/>
                <w:iCs/>
                <w:sz w:val="20"/>
                <w:szCs w:val="20"/>
              </w:rPr>
              <w:t>e.g.</w:t>
            </w:r>
            <w:r w:rsidRPr="002F1441">
              <w:rPr>
                <w:rFonts w:ascii="Arial" w:eastAsia="Times New Roman" w:hAnsi="Arial" w:cs="Arial"/>
                <w:sz w:val="20"/>
                <w:szCs w:val="20"/>
              </w:rPr>
              <w:t xml:space="preserve"> inhalation, ingestion, skin contact or absorption.)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Foreseeable emergency</w:t>
            </w:r>
            <w:r w:rsidRPr="002F1441">
              <w:rPr>
                <w:rFonts w:ascii="Arial" w:eastAsia="Times New Roman" w:hAnsi="Arial" w:cs="Arial"/>
                <w:sz w:val="20"/>
                <w:szCs w:val="20"/>
              </w:rPr>
              <w:t xml:space="preserve"> means any potential occurrence such as, but not limited to, equipment failure, rupture of containers, or failure of control equipment which could result in an uncontrolled release of a hazardous chemical into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category</w:t>
            </w:r>
            <w:r w:rsidRPr="002F1441">
              <w:rPr>
                <w:rFonts w:ascii="Arial" w:eastAsia="Times New Roman" w:hAnsi="Arial" w:cs="Arial"/>
                <w:sz w:val="20"/>
                <w:szCs w:val="20"/>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class</w:t>
            </w:r>
            <w:r w:rsidRPr="002F1441">
              <w:rPr>
                <w:rFonts w:ascii="Arial" w:eastAsia="Times New Roman" w:hAnsi="Arial" w:cs="Arial"/>
                <w:sz w:val="20"/>
                <w:szCs w:val="20"/>
              </w:rPr>
              <w:t xml:space="preserve"> means the nature of the physical or health hazards, e.g., flammable solid, carcinogen, oral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not otherwise classified (HNOC)</w:t>
            </w:r>
            <w:r w:rsidRPr="002F1441">
              <w:rPr>
                <w:rFonts w:ascii="Arial" w:eastAsia="Times New Roman" w:hAnsi="Arial" w:cs="Arial"/>
                <w:sz w:val="20"/>
                <w:szCs w:val="20"/>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 statement</w:t>
            </w:r>
            <w:r w:rsidRPr="002F1441">
              <w:rPr>
                <w:rFonts w:ascii="Arial" w:eastAsia="Times New Roman" w:hAnsi="Arial" w:cs="Arial"/>
                <w:sz w:val="20"/>
                <w:szCs w:val="20"/>
              </w:rPr>
              <w:t xml:space="preserve"> means a statement assigned to a hazard class and category that describes the nature of the hazard(s) of a chemical, including, where appropriate,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Hazardous chemical</w:t>
            </w:r>
            <w:r w:rsidRPr="002F1441">
              <w:rPr>
                <w:rFonts w:ascii="Arial" w:eastAsia="Times New Roman" w:hAnsi="Arial" w:cs="Arial"/>
                <w:sz w:val="20"/>
                <w:szCs w:val="20"/>
              </w:rPr>
              <w:t xml:space="preserve"> means any chemical which is classified as a physical hazard or a health hazard, a simple asphyxiant, combustible dust, pyrophoric gas, or hazard not otherwise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Health hazard</w:t>
            </w:r>
            <w:r w:rsidRPr="002F1441">
              <w:rPr>
                <w:rFonts w:ascii="Arial" w:eastAsia="Times New Roman" w:hAnsi="Arial" w:cs="Arial"/>
                <w:sz w:val="20"/>
                <w:szCs w:val="20"/>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Immediate use</w:t>
            </w:r>
            <w:r w:rsidRPr="002F1441">
              <w:rPr>
                <w:rFonts w:ascii="Arial" w:eastAsia="Times New Roman" w:hAnsi="Arial" w:cs="Arial"/>
                <w:sz w:val="20"/>
                <w:szCs w:val="20"/>
              </w:rPr>
              <w:t xml:space="preserve"> means that the hazardous chemical will be under the control of and used only by the person who transfers it from a labeled container and only within the work shift in which it is transferred.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Importer</w:t>
            </w:r>
            <w:r w:rsidRPr="002F1441">
              <w:rPr>
                <w:rFonts w:ascii="Arial" w:eastAsia="Times New Roman" w:hAnsi="Arial" w:cs="Arial"/>
                <w:sz w:val="20"/>
                <w:szCs w:val="20"/>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Label</w:t>
            </w:r>
            <w:r w:rsidRPr="002F1441">
              <w:rPr>
                <w:rFonts w:ascii="Arial" w:eastAsia="Times New Roman" w:hAnsi="Arial" w:cs="Arial"/>
                <w:sz w:val="20"/>
                <w:szCs w:val="20"/>
              </w:rPr>
              <w:t xml:space="preserve"> means an appropriate group of written, printed or graphic information elements concerning a hazardous chemical that is affixed to, printed on, or attached to the immediate container of a hazardous </w:t>
            </w:r>
            <w:r w:rsidRPr="002F1441">
              <w:rPr>
                <w:rFonts w:ascii="Arial" w:eastAsia="Times New Roman" w:hAnsi="Arial" w:cs="Arial"/>
                <w:sz w:val="20"/>
                <w:szCs w:val="20"/>
              </w:rPr>
              <w:lastRenderedPageBreak/>
              <w:t>chemical, or to the outside packaging.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Label elements</w:t>
            </w:r>
            <w:r w:rsidRPr="002F1441">
              <w:rPr>
                <w:rFonts w:ascii="Arial" w:eastAsia="Times New Roman" w:hAnsi="Arial" w:cs="Arial"/>
                <w:sz w:val="20"/>
                <w:szCs w:val="20"/>
              </w:rPr>
              <w:t xml:space="preserve"> means the specified pictogram, hazard statement, signal word and precautionary statement for each hazard class and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Mixture</w:t>
            </w:r>
            <w:r w:rsidRPr="002F1441">
              <w:rPr>
                <w:rFonts w:ascii="Arial" w:eastAsia="Times New Roman" w:hAnsi="Arial" w:cs="Arial"/>
                <w:sz w:val="20"/>
                <w:szCs w:val="20"/>
              </w:rPr>
              <w:t xml:space="preserve"> means a combination or a solution composed of two or more substances in which they do not react.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Physical hazard</w:t>
            </w:r>
            <w:r w:rsidRPr="002F1441">
              <w:rPr>
                <w:rFonts w:ascii="Arial" w:eastAsia="Times New Roman" w:hAnsi="Arial" w:cs="Arial"/>
                <w:sz w:val="20"/>
                <w:szCs w:val="20"/>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B to §1910.1200—Physical Hazard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Pictogram</w:t>
            </w:r>
            <w:r w:rsidRPr="002F1441">
              <w:rPr>
                <w:rFonts w:ascii="Arial" w:eastAsia="Times New Roman" w:hAnsi="Arial" w:cs="Arial"/>
                <w:sz w:val="20"/>
                <w:szCs w:val="20"/>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Precautionary statement</w:t>
            </w:r>
            <w:r w:rsidRPr="002F1441">
              <w:rPr>
                <w:rFonts w:ascii="Arial" w:eastAsia="Times New Roman" w:hAnsi="Arial" w:cs="Arial"/>
                <w:sz w:val="20"/>
                <w:szCs w:val="20"/>
              </w:rPr>
              <w:t xml:space="preserve"> means a phrase that describes recommended measures that should be taken to minimize or prevent adverse effects resulting from exposure to a hazardous </w:t>
            </w:r>
            <w:proofErr w:type="gramStart"/>
            <w:r w:rsidRPr="002F1441">
              <w:rPr>
                <w:rFonts w:ascii="Arial" w:eastAsia="Times New Roman" w:hAnsi="Arial" w:cs="Arial"/>
                <w:sz w:val="20"/>
                <w:szCs w:val="20"/>
              </w:rPr>
              <w:t>chemical,</w:t>
            </w:r>
            <w:proofErr w:type="gramEnd"/>
            <w:r w:rsidRPr="002F1441">
              <w:rPr>
                <w:rFonts w:ascii="Arial" w:eastAsia="Times New Roman" w:hAnsi="Arial" w:cs="Arial"/>
                <w:sz w:val="20"/>
                <w:szCs w:val="20"/>
              </w:rPr>
              <w:t xml:space="preserve"> or improper storage or handling.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Produce</w:t>
            </w:r>
            <w:r w:rsidRPr="002F1441">
              <w:rPr>
                <w:rFonts w:ascii="Arial" w:eastAsia="Times New Roman" w:hAnsi="Arial" w:cs="Arial"/>
                <w:sz w:val="20"/>
                <w:szCs w:val="20"/>
              </w:rPr>
              <w:t xml:space="preserve"> means to manufacture, process, formulate, blend, extract, generate, emit, or repackage.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Product identifier</w:t>
            </w:r>
            <w:r w:rsidRPr="002F1441">
              <w:rPr>
                <w:rFonts w:ascii="Arial" w:eastAsia="Times New Roman" w:hAnsi="Arial" w:cs="Arial"/>
                <w:sz w:val="20"/>
                <w:szCs w:val="20"/>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Pyrophoric gas</w:t>
            </w:r>
            <w:r w:rsidRPr="002F1441">
              <w:rPr>
                <w:rFonts w:ascii="Arial" w:eastAsia="Times New Roman" w:hAnsi="Arial" w:cs="Arial"/>
                <w:sz w:val="20"/>
                <w:szCs w:val="20"/>
              </w:rPr>
              <w:t xml:space="preserve"> means a chemical in a gaseous state that will ignite spontaneously in air at a temperature of 130 degrees F (54.4 degrees C) or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Responsible party</w:t>
            </w:r>
            <w:r w:rsidRPr="002F1441">
              <w:rPr>
                <w:rFonts w:ascii="Arial" w:eastAsia="Times New Roman" w:hAnsi="Arial" w:cs="Arial"/>
                <w:sz w:val="20"/>
                <w:szCs w:val="20"/>
              </w:rPr>
              <w:t xml:space="preserve"> means someone who can provide additional information on the hazardous chemical and appropriate emergency procedures, if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Safety data sheet (SDS)</w:t>
            </w:r>
            <w:r w:rsidRPr="002F1441">
              <w:rPr>
                <w:rFonts w:ascii="Arial" w:eastAsia="Times New Roman" w:hAnsi="Arial" w:cs="Arial"/>
                <w:sz w:val="20"/>
                <w:szCs w:val="20"/>
              </w:rPr>
              <w:t xml:space="preserve"> means written or printed material concerning a hazardous chemical that is prepared in accordance with paragraph (g)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Signal word</w:t>
            </w:r>
            <w:r w:rsidRPr="002F1441">
              <w:rPr>
                <w:rFonts w:ascii="Arial" w:eastAsia="Times New Roman" w:hAnsi="Arial" w:cs="Arial"/>
                <w:sz w:val="20"/>
                <w:szCs w:val="20"/>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Simple asphyxiant</w:t>
            </w:r>
            <w:r w:rsidRPr="002F1441">
              <w:rPr>
                <w:rFonts w:ascii="Arial" w:eastAsia="Times New Roman" w:hAnsi="Arial" w:cs="Arial"/>
                <w:sz w:val="20"/>
                <w:szCs w:val="20"/>
              </w:rPr>
              <w:t xml:space="preserve"> means a substance or mixture that displaces oxygen in the ambient atmosphere, and can thus cause oxygen deprivation in those who are exposed, leading to unconsciousness and death.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Specific chemical identity</w:t>
            </w:r>
            <w:r w:rsidRPr="002F1441">
              <w:rPr>
                <w:rFonts w:ascii="Arial" w:eastAsia="Times New Roman" w:hAnsi="Arial" w:cs="Arial"/>
                <w:sz w:val="20"/>
                <w:szCs w:val="20"/>
              </w:rPr>
              <w:t xml:space="preserve"> means the chemical name, Chemical Abstracts Service (CAS) Registry Number, or any other information that reveals the precise chemical designation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Substance</w:t>
            </w:r>
            <w:r w:rsidRPr="002F1441">
              <w:rPr>
                <w:rFonts w:ascii="Arial" w:eastAsia="Times New Roman" w:hAnsi="Arial" w:cs="Arial"/>
                <w:sz w:val="20"/>
                <w:szCs w:val="20"/>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w:t>
            </w:r>
            <w:r w:rsidRPr="002F1441">
              <w:rPr>
                <w:rFonts w:ascii="Arial" w:eastAsia="Times New Roman" w:hAnsi="Arial" w:cs="Arial"/>
                <w:sz w:val="20"/>
                <w:szCs w:val="20"/>
              </w:rPr>
              <w:lastRenderedPageBreak/>
              <w:t>affecting the stability of the substance or changing its 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Trade secret</w:t>
            </w:r>
            <w:r w:rsidRPr="002F1441">
              <w:rPr>
                <w:rFonts w:ascii="Arial" w:eastAsia="Times New Roman" w:hAnsi="Arial" w:cs="Arial"/>
                <w:sz w:val="20"/>
                <w:szCs w:val="20"/>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Use</w:t>
            </w:r>
            <w:r w:rsidRPr="002F1441">
              <w:rPr>
                <w:rFonts w:ascii="Arial" w:eastAsia="Times New Roman" w:hAnsi="Arial" w:cs="Arial"/>
                <w:sz w:val="20"/>
                <w:szCs w:val="20"/>
              </w:rPr>
              <w:t xml:space="preserve"> means to package, handle, react, emit, extract, generate as a byproduct, or transfer.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 area</w:t>
            </w:r>
            <w:r w:rsidRPr="002F1441">
              <w:rPr>
                <w:rFonts w:ascii="Arial" w:eastAsia="Times New Roman" w:hAnsi="Arial" w:cs="Arial"/>
                <w:sz w:val="20"/>
                <w:szCs w:val="20"/>
              </w:rPr>
              <w:t xml:space="preserve"> means a room or defined space in a workplace where hazardous chemicals are produced or used, and where employees are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i/>
                <w:iCs/>
                <w:sz w:val="20"/>
                <w:szCs w:val="20"/>
              </w:rPr>
              <w:t>Workplace</w:t>
            </w:r>
            <w:r w:rsidRPr="002F1441">
              <w:rPr>
                <w:rFonts w:ascii="Arial" w:eastAsia="Times New Roman" w:hAnsi="Arial" w:cs="Arial"/>
                <w:sz w:val="20"/>
                <w:szCs w:val="20"/>
              </w:rPr>
              <w:t xml:space="preserve"> means an establishment, job site, or project, at one geographical location containing one or more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(d) </w:t>
            </w:r>
            <w:r w:rsidRPr="002F1441">
              <w:rPr>
                <w:rFonts w:ascii="Arial" w:eastAsia="Times New Roman" w:hAnsi="Arial" w:cs="Arial"/>
                <w:i/>
                <w:iCs/>
                <w:sz w:val="20"/>
                <w:szCs w:val="20"/>
              </w:rPr>
              <w:t>Hazard classification.</w:t>
            </w:r>
            <w:r w:rsidRPr="002F1441">
              <w:rPr>
                <w:rFonts w:ascii="Arial" w:eastAsia="Times New Roman" w:hAnsi="Arial" w:cs="Arial"/>
                <w:sz w:val="20"/>
                <w:szCs w:val="20"/>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Mixtures.</w:t>
            </w:r>
            <w:r w:rsidRPr="002F1441">
              <w:rPr>
                <w:rFonts w:ascii="Arial" w:eastAsia="Times New Roman" w:hAnsi="Arial" w:cs="Arial"/>
                <w:sz w:val="20"/>
                <w:szCs w:val="20"/>
              </w:rPr>
              <w:t xml:space="preserve"> (i)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(e) </w:t>
            </w:r>
            <w:r w:rsidRPr="002F1441">
              <w:rPr>
                <w:rFonts w:ascii="Arial" w:eastAsia="Times New Roman" w:hAnsi="Arial" w:cs="Arial"/>
                <w:i/>
                <w:iCs/>
                <w:sz w:val="20"/>
                <w:szCs w:val="20"/>
              </w:rPr>
              <w:t>Written hazard communication program.</w:t>
            </w:r>
            <w:r w:rsidRPr="002F1441">
              <w:rPr>
                <w:rFonts w:ascii="Arial" w:eastAsia="Times New Roman" w:hAnsi="Arial" w:cs="Arial"/>
                <w:sz w:val="20"/>
                <w:szCs w:val="20"/>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A list of the hazardous chemicals known to be present using a product identifier that is referenced on the appropriate safety data sheet (the list may be compiled for the workplace as a whole or for individual work areas);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employees of the hazards of non-routine tasks (for example, the cleaning of reactor vessels), and the hazards associated with chemicals contained in unlabeled pipes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Multi-employer workplaces.</w:t>
            </w:r>
            <w:r w:rsidRPr="002F1441">
              <w:rPr>
                <w:rFonts w:ascii="Arial" w:eastAsia="Times New Roman" w:hAnsi="Arial" w:cs="Arial"/>
                <w:sz w:val="20"/>
                <w:szCs w:val="20"/>
              </w:rPr>
              <w:t xml:space="preserve"> Employers who produce, use, or store hazardous chemicals at a workplace in such a way that the employees of other employer(s) may be exposed (for example, </w:t>
            </w:r>
            <w:r w:rsidRPr="002F1441">
              <w:rPr>
                <w:rFonts w:ascii="Arial" w:eastAsia="Times New Roman" w:hAnsi="Arial" w:cs="Arial"/>
                <w:sz w:val="20"/>
                <w:szCs w:val="20"/>
              </w:rPr>
              <w:lastRenderedPageBreak/>
              <w:t>employees of a construction contractor working on-site) shall additionally ensure that the hazard communication programs developed and implemented under this paragraph (e) include the following: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methods the employer will use to provide the other employer(s) on-site access to safety data sheets for each hazardous chemical the other employer(s)' employees may be exposed to while working;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methods the employer will use to inform the other employer(s) of any precautionary measures that need to be taken to protect employees during the workplace's normal operating conditions and in foreseeable emergencies;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methods the employer will use to inform the other employer(s) of the labeling system used in the workplace.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employer may rely on an existing hazard communication program to comply with these requirements, provided that it meets the criteria established in this paragraph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employer shall make the written hazard communication program available, upon request, to employees, their designated representatives, the Assistant Secretary and the Director, in accordance with the requirements of 29 CFR 1910.20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Where employees must travel between workplaces during a workshift,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written hazard communication program may be kept at the primary workplace facility.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(f) </w:t>
            </w:r>
            <w:r w:rsidRPr="002F1441">
              <w:rPr>
                <w:rFonts w:ascii="Arial" w:eastAsia="Times New Roman" w:hAnsi="Arial" w:cs="Arial"/>
                <w:i/>
                <w:iCs/>
                <w:sz w:val="20"/>
                <w:szCs w:val="20"/>
              </w:rPr>
              <w:t>Labels and other forms of warning</w:t>
            </w:r>
            <w:r w:rsidRPr="002F1441">
              <w:rPr>
                <w:rFonts w:ascii="Arial" w:eastAsia="Times New Roman" w:hAnsi="Arial" w:cs="Arial"/>
                <w:sz w:val="20"/>
                <w:szCs w:val="20"/>
              </w:rPr>
              <w:t xml:space="preserve">—(1) </w:t>
            </w:r>
            <w:r w:rsidRPr="002F1441">
              <w:rPr>
                <w:rFonts w:ascii="Arial" w:eastAsia="Times New Roman" w:hAnsi="Arial" w:cs="Arial"/>
                <w:i/>
                <w:iCs/>
                <w:sz w:val="20"/>
                <w:szCs w:val="20"/>
              </w:rPr>
              <w:t>Labels on shipped containers.</w:t>
            </w:r>
            <w:r w:rsidRPr="002F1441">
              <w:rPr>
                <w:rFonts w:ascii="Arial" w:eastAsia="Times New Roman" w:hAnsi="Arial" w:cs="Arial"/>
                <w:sz w:val="20"/>
                <w:szCs w:val="20"/>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Product identifier;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Signal word;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Hazard statement(s);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Precautionary statement(s);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Name, address, and telephone number of the chemical manufacturer, importer, or other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importer, or distributor shall ensure that the information provided under paragraphs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1)(i) through (v) of this section is in accordance with Appendix C to §1910.1200, for each hazard class and associated hazard category for the hazardous chemical, prominently displayed, and in English (other languages may also be included if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The chemical manufacturer, importer, or distributor shall ensure that the information provided under paragraphs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1)(ii) through (iv) of this section is located together on the label, tag, or mark.</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(4</w:t>
            </w:r>
            <w:r w:rsidRPr="002F1441">
              <w:rPr>
                <w:rFonts w:ascii="Arial" w:eastAsia="Times New Roman" w:hAnsi="Arial" w:cs="Arial"/>
                <w:i/>
                <w:iCs/>
                <w:sz w:val="20"/>
                <w:szCs w:val="20"/>
              </w:rPr>
              <w:t>) Solid materials.</w:t>
            </w:r>
            <w:r w:rsidRPr="002F1441">
              <w:rPr>
                <w:rFonts w:ascii="Arial" w:eastAsia="Times New Roman" w:hAnsi="Arial" w:cs="Arial"/>
                <w:sz w:val="20"/>
                <w:szCs w:val="20"/>
              </w:rPr>
              <w:t xml:space="preserve"> (i)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label may be transmitted with the initial shipment itself, or with the safety data sheet that is to be provided prior to or at the time of the first shipment;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2F1441">
              <w:rPr>
                <w:rFonts w:ascii="Arial" w:eastAsia="Times New Roman" w:hAnsi="Arial" w:cs="Arial"/>
                <w:i/>
                <w:iCs/>
                <w:sz w:val="20"/>
                <w:szCs w:val="20"/>
              </w:rPr>
              <w:t>et seq.</w:t>
            </w:r>
            <w:r w:rsidRPr="002F1441">
              <w:rPr>
                <w:rFonts w:ascii="Arial" w:eastAsia="Times New Roman" w:hAnsi="Arial" w:cs="Arial"/>
                <w:sz w:val="20"/>
                <w:szCs w:val="20"/>
              </w:rPr>
              <w:t>) and regulations issued under that Act by the Department of Transportation.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Workplace labeling. Except as provided in paragraphs (f)(7) and (f)(8) of this section, the employer shall ensure that each container of hazardous chemicals in the workplace is labeled, tagged or marked with either: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information specified under paragraphs (f)(1)(i) through (v) of this section for labels on shipped containers;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The employer shall not remove or deface existing labels on incoming containers of hazardous chemicals, unless the container is immediately marked with the required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(11) Chemical manufacturers, importers, distributors, or employers who become newly aware of any significant information regarding the hazards of a chemical shall revise the labels for the chemical within </w:t>
            </w:r>
            <w:r w:rsidRPr="002F1441">
              <w:rPr>
                <w:rFonts w:ascii="Arial" w:eastAsia="Times New Roman" w:hAnsi="Arial" w:cs="Arial"/>
                <w:sz w:val="20"/>
                <w:szCs w:val="20"/>
              </w:rPr>
              <w:lastRenderedPageBreak/>
              <w:t>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(g) </w:t>
            </w:r>
            <w:r w:rsidRPr="002F1441">
              <w:rPr>
                <w:rFonts w:ascii="Arial" w:eastAsia="Times New Roman" w:hAnsi="Arial" w:cs="Arial"/>
                <w:i/>
                <w:iCs/>
                <w:sz w:val="20"/>
                <w:szCs w:val="20"/>
              </w:rPr>
              <w:t>Safety data sheets.</w:t>
            </w:r>
            <w:r w:rsidRPr="002F1441">
              <w:rPr>
                <w:rFonts w:ascii="Arial" w:eastAsia="Times New Roman" w:hAnsi="Arial" w:cs="Arial"/>
                <w:sz w:val="20"/>
                <w:szCs w:val="20"/>
              </w:rPr>
              <w:t xml:space="preserve"> (1) Chemical manufacturers and importers shall obtain or develop a safety data sheet for each hazardous chemical they produce or import. Employers shall have a safety data sheet in the workplace for each hazardous chemical which they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Appendix D to §1910.1200—Safety Data Sheets, for the specific content of each section of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Section 1,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Section 2, Hazard(s) identification;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Section 3, Composition/information on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Section 4, First-aid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Section 5, Fire-fighting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Section 6, Accidental release measures;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Section 7, Handling and storage;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(viii) Section 8, Exposure controls/personal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(ix) Section 9, Physical and chemical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 Section 10, Stability and reactivity;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 Section 11, Toxicological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 Section 12, Ecological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(xiii) Section 13, Disposal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(xiv) Section 14, Transport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 Section 15, Regulatory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(xvi) Section 16, Other information, including date of preparation or last revision.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 to paragraph (</w:t>
            </w:r>
            <w:r w:rsidRPr="002F1441">
              <w:rPr>
                <w:rFonts w:ascii="Arial" w:eastAsia="Times New Roman" w:hAnsi="Arial" w:cs="Arial"/>
                <w:sz w:val="18"/>
                <w:szCs w:val="18"/>
              </w:rPr>
              <w:t>g</w:t>
            </w:r>
            <w:proofErr w:type="gramStart"/>
            <w:r w:rsidRPr="002F1441">
              <w:rPr>
                <w:rFonts w:ascii="Arial" w:eastAsia="Times New Roman" w:hAnsi="Arial" w:cs="Arial"/>
                <w:smallCaps/>
                <w:sz w:val="18"/>
                <w:szCs w:val="18"/>
              </w:rPr>
              <w:t>)(</w:t>
            </w:r>
            <w:proofErr w:type="gramEnd"/>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To be consistent with the GHS, an SDS must also include the headings in paragraphs (g)(2)(xii) through (g)(2)(xv) in order.</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 to paragraph (</w:t>
            </w:r>
            <w:r w:rsidRPr="002F1441">
              <w:rPr>
                <w:rFonts w:ascii="Arial" w:eastAsia="Times New Roman" w:hAnsi="Arial" w:cs="Arial"/>
                <w:sz w:val="18"/>
                <w:szCs w:val="18"/>
              </w:rPr>
              <w:t>g</w:t>
            </w:r>
            <w:proofErr w:type="gramStart"/>
            <w:r w:rsidRPr="002F1441">
              <w:rPr>
                <w:rFonts w:ascii="Arial" w:eastAsia="Times New Roman" w:hAnsi="Arial" w:cs="Arial"/>
                <w:smallCaps/>
                <w:sz w:val="18"/>
                <w:szCs w:val="18"/>
              </w:rPr>
              <w:t>)(</w:t>
            </w:r>
            <w:proofErr w:type="gramEnd"/>
            <w:r w:rsidRPr="002F1441">
              <w:rPr>
                <w:rFonts w:ascii="Arial" w:eastAsia="Times New Roman" w:hAnsi="Arial" w:cs="Arial"/>
                <w:smallCaps/>
                <w:sz w:val="18"/>
                <w:szCs w:val="18"/>
              </w:rPr>
              <w:t>2):</w:t>
            </w:r>
            <w:r w:rsidRPr="002F1441">
              <w:rPr>
                <w:rFonts w:ascii="Arial" w:eastAsia="Times New Roman" w:hAnsi="Arial" w:cs="Arial"/>
                <w:sz w:val="18"/>
                <w:szCs w:val="18"/>
              </w:rPr>
              <w:t xml:space="preserve"> OSHA will not be enforcing information requirements in sections 12 through 15, as </w:t>
            </w:r>
            <w:r w:rsidRPr="002F1441">
              <w:rPr>
                <w:rFonts w:ascii="Arial" w:eastAsia="Times New Roman" w:hAnsi="Arial" w:cs="Arial"/>
                <w:sz w:val="18"/>
                <w:szCs w:val="18"/>
              </w:rPr>
              <w:lastRenderedPageBreak/>
              <w:t>these areas are not under its jurisdiction.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If no relevant information is found for any sub-heading within a section on the safety data sheet, the chemical manufacturer, importer or employer preparing the safety data sheet shall mark it to indicate that no applicable information was found.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Where complex mixtures have similar hazards and contents (i.e. the chemical ingredients are essentially the same, but the specific composition varies from mixture to mixture), the chemical manufacturer, importer or employer may prepare one safety data sheet to apply to all of these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(6)(i) Chemical manufacturers or importers shall ensure that distributors and employers are provided an appropriate safety data sheet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chemical manufacturer or importer shall either provide safety data sheets with the shipped containers or send them to the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If the safety data sheet is not provided with a shipment that has been labeled as a hazardous chemical, the distributor or employer shall obtain one from the chemical manufacturer or importer as soon as possible;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chemical manufacturer or importer shall also provide distributors or employers with a safety data sheet upon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(7)(i) Distributors shall ensure that material data sheets, and updated information, are provided to other distributors and employers with their initial shipment and with the first shipment after a safety data sheet is updated;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distributor shall either provide safety data sheets with the shipped containers, or send them to the other distributor or employer prior to or at the time of the shipment;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Retail distributors selling hazardous chemicals to employers having a commercial account shall provide a safety data sheet to such employers upon request, and shall post a sign or otherwise inform them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If an employer without a commercial account purchases a hazardous chemical from a retail distributor not required to have safety data sheets on file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 retail distributor does not have commercial accounts and does not use the materials), the retail distributor shall provide the employer, </w:t>
            </w:r>
            <w:r w:rsidRPr="002F1441">
              <w:rPr>
                <w:rFonts w:ascii="Arial" w:eastAsia="Times New Roman" w:hAnsi="Arial" w:cs="Arial"/>
                <w:sz w:val="20"/>
                <w:szCs w:val="20"/>
              </w:rPr>
              <w:lastRenderedPageBreak/>
              <w:t>upon request, with the name, address, and telephone number of the chemical manufacturer, importer, or distributor from which a safety data sheet can be obtained;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 Wholesale distributors shall also provide safety data sheets to employers or other distributors upon request;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(9) Where employees must travel between workplaces during a workshift, </w:t>
            </w:r>
            <w:r w:rsidRPr="002F1441">
              <w:rPr>
                <w:rFonts w:ascii="Arial" w:eastAsia="Times New Roman" w:hAnsi="Arial" w:cs="Arial"/>
                <w:i/>
                <w:iCs/>
                <w:sz w:val="20"/>
                <w:szCs w:val="20"/>
              </w:rPr>
              <w:t>i.e.,</w:t>
            </w:r>
            <w:r w:rsidRPr="002F1441">
              <w:rPr>
                <w:rFonts w:ascii="Arial" w:eastAsia="Times New Roman" w:hAnsi="Arial" w:cs="Arial"/>
                <w:sz w:val="20"/>
                <w:szCs w:val="20"/>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Safety data sheets shall also be made readily available, upon request, to designated representatives, the Assistant Secretary, and the Director, in accordance with the requirements of §1910.1020(e).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(h) </w:t>
            </w:r>
            <w:r w:rsidRPr="002F1441">
              <w:rPr>
                <w:rFonts w:ascii="Arial" w:eastAsia="Times New Roman" w:hAnsi="Arial" w:cs="Arial"/>
                <w:i/>
                <w:iCs/>
                <w:sz w:val="20"/>
                <w:szCs w:val="20"/>
              </w:rPr>
              <w:t>Employee information and training.</w:t>
            </w:r>
            <w:r w:rsidRPr="002F1441">
              <w:rPr>
                <w:rFonts w:ascii="Arial" w:eastAsia="Times New Roman" w:hAnsi="Arial" w:cs="Arial"/>
                <w:sz w:val="20"/>
                <w:szCs w:val="20"/>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(2) </w:t>
            </w:r>
            <w:r w:rsidRPr="002F1441">
              <w:rPr>
                <w:rFonts w:ascii="Arial" w:eastAsia="Times New Roman" w:hAnsi="Arial" w:cs="Arial"/>
                <w:i/>
                <w:iCs/>
                <w:sz w:val="20"/>
                <w:szCs w:val="20"/>
              </w:rPr>
              <w:t>Information.</w:t>
            </w:r>
            <w:r w:rsidRPr="002F1441">
              <w:rPr>
                <w:rFonts w:ascii="Arial" w:eastAsia="Times New Roman" w:hAnsi="Arial" w:cs="Arial"/>
                <w:sz w:val="20"/>
                <w:szCs w:val="20"/>
              </w:rPr>
              <w:t xml:space="preserve"> Employees shall be informed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requirements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Any operations in their work area where hazardous chemicals are present;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location and availability of the written hazard communication program, including the required list(s) of hazardous chemicals, and safety data sheets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(3) </w:t>
            </w:r>
            <w:r w:rsidRPr="002F1441">
              <w:rPr>
                <w:rFonts w:ascii="Arial" w:eastAsia="Times New Roman" w:hAnsi="Arial" w:cs="Arial"/>
                <w:i/>
                <w:iCs/>
                <w:sz w:val="20"/>
                <w:szCs w:val="20"/>
              </w:rPr>
              <w:t>Training.</w:t>
            </w:r>
            <w:r w:rsidRPr="002F1441">
              <w:rPr>
                <w:rFonts w:ascii="Arial" w:eastAsia="Times New Roman" w:hAnsi="Arial" w:cs="Arial"/>
                <w:sz w:val="20"/>
                <w:szCs w:val="20"/>
              </w:rPr>
              <w:t xml:space="preserve"> Employee training shall include at least: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 Methods and observations that may be used to detect the presence or release of a hazardous chemical in the work area (such as monitoring conducted by the employer, continuous monitoring </w:t>
            </w:r>
            <w:r w:rsidRPr="002F1441">
              <w:rPr>
                <w:rFonts w:ascii="Arial" w:eastAsia="Times New Roman" w:hAnsi="Arial" w:cs="Arial"/>
                <w:sz w:val="20"/>
                <w:szCs w:val="20"/>
              </w:rPr>
              <w:lastRenderedPageBreak/>
              <w:t>devices, visual appearance or odor of hazardous chemicals when being released, etc.);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physical, health, simple asphyxiation, combustible dust, and pyrophoric gas hazards, as well as hazards not otherwise classified, of the chemicals in the work area;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 </w:t>
            </w:r>
            <w:r w:rsidRPr="002F1441">
              <w:rPr>
                <w:rFonts w:ascii="Arial" w:eastAsia="Times New Roman" w:hAnsi="Arial" w:cs="Arial"/>
                <w:i/>
                <w:iCs/>
                <w:sz w:val="20"/>
                <w:szCs w:val="20"/>
              </w:rPr>
              <w:t>Trade secrets.</w:t>
            </w:r>
            <w:r w:rsidRPr="002F1441">
              <w:rPr>
                <w:rFonts w:ascii="Arial" w:eastAsia="Times New Roman" w:hAnsi="Arial" w:cs="Arial"/>
                <w:sz w:val="20"/>
                <w:szCs w:val="20"/>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claim that the information withheld is a trade secret can be supported;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Information contained in the safety data sheet concerning the properties and effects of the hazardous chemical is disclosed;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safety data sheet indicates that the specific chemical identity and/or percentage of composition is being withheld as a trade secret;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specific chemical identity and percentage is made available to health professionals, employees, and designated representatives in accordance with the applicable provisions of this paragraph (i).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(i</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3) and (4) of this section, as soon as circumstances permit.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In non-emergency situations, a chemical manufacturer, importer, or employer shall, upon request, disclose a specific chemical identity or percentage composition, otherwise permitted to be withheld under paragraph (i)(1) of this section, to a health professional (i.e. physician, industrial hygienist, toxicologist, epidemiologist, or occupational health nurse) providing medical or other occupational health services to exposed employee(s), and to employees or designated representatives,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request is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request describes with reasonable detail one or more of the following occupational health needs for the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lastRenderedPageBreak/>
              <w:t>(A) To assess the hazards of the chemicals to which employees will be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To conduct or assess sampling of the workplace atmosphere to determine employee exposure levels;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(C) To conduct pre-assignment or periodic medical surveillance of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To provide medical treatment to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(E) To select or assess appropriate personal protective equipment for exposed employees;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(F) To design or assess engineering controls or other protective measures for exposed employees;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(G) To conduct studies to determine the health effects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(i)(3)(ii)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(A) The properties and effects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(B) Measures for controlling workers' exposure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(C) Methods of monitoring and analyzing worker exposure to the chemical;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(D) Methods of diagnosing and treating harmful exposures to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The request includes a description of the procedures to be used to maintain the confidentiality of the disclosed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The health professional, and the employer or contractor of the services of the health professional (i.e.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(i)(6) of this section, except as authorized by the terms of the agreement or by 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(4) The confidentiality agreement authorized by paragraph (i)(3)(iv)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May restrict the use of the information to the health purposes indicated in the written statement of need;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May provide for appropriate legal remedies in the event of a breach of the agreement, including stipulation of a reasonable pre-estimate of likely damages;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May not include requirements for the posting of a penalty bond.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(5) Nothing in this standard is meant to preclude the parties from pursuing non-contractual remedies </w:t>
            </w:r>
            <w:r w:rsidRPr="002F1441">
              <w:rPr>
                <w:rFonts w:ascii="Arial" w:eastAsia="Times New Roman" w:hAnsi="Arial" w:cs="Arial"/>
                <w:sz w:val="20"/>
                <w:szCs w:val="20"/>
              </w:rPr>
              <w:lastRenderedPageBreak/>
              <w:t>to the extent permitted by law.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(7) If the chemical manufacturer, importer, or employer denies a written request for disclosure of a specific chemical identity or percentage composition, the denial must: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Be provided to the health professional, employee, or designated representative, within thirty days of the request;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Be in writing;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Include evidence to support the claim that the specific chemical identity or percent of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(iv) State the specific reasons why the request is being denied;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(v) Explain in detail how alternative information may satisfy the specific medical or occupational health need without revealing the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(8) The health professional, employee, or designated representative whose request for information is denied under paragraph (i</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3) of this section may refer the request and the written denial of the request to OSHA for consideration.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(9) When a health professional, employee, or designated representative refers the denial to OSHA under paragraph (i)(8) of this section, OSHA shall consider the evidence to determine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The chemical manufacturer, importer, or employer has supported the claim that the specific chemical identity or percentage composition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The health professional, employee, or designated representative has supported the claim that there is a medical or occupational health need for the information;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(iii) The health professional, employee or designated representative has demonstrated adequate means to protect the confidentiality.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(10)(i) If OSHA determines that the specific chemical identity or percentage composition requested under paragraph (i)(3)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w:t>
            </w:r>
            <w:r w:rsidRPr="002F1441">
              <w:rPr>
                <w:rFonts w:ascii="Arial" w:eastAsia="Times New Roman" w:hAnsi="Arial" w:cs="Arial"/>
                <w:sz w:val="20"/>
                <w:szCs w:val="20"/>
              </w:rPr>
              <w:lastRenderedPageBreak/>
              <w:t>the chemical manufacturer, importer, or employer.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(13) Nothing in this paragraph shall be construed as requiring the disclosure under any circumstances of process information which is a trade secret.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 xml:space="preserve">(j) </w:t>
            </w:r>
            <w:r w:rsidRPr="002F1441">
              <w:rPr>
                <w:rFonts w:ascii="Arial" w:eastAsia="Times New Roman" w:hAnsi="Arial" w:cs="Arial"/>
                <w:i/>
                <w:iCs/>
                <w:sz w:val="20"/>
                <w:szCs w:val="20"/>
              </w:rPr>
              <w:t>Effective dates.</w:t>
            </w:r>
            <w:r w:rsidRPr="002F1441">
              <w:rPr>
                <w:rFonts w:ascii="Arial" w:eastAsia="Times New Roman" w:hAnsi="Arial" w:cs="Arial"/>
                <w:sz w:val="20"/>
                <w:szCs w:val="20"/>
              </w:rPr>
              <w:t xml:space="preserve"> (1) Employers shall train employees regarding the new label elements and safety data sheets format by December 1, 2013.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(2) Chemical manufacturers, importers, distributors, and employers shall be in compliance with all modified provisions of this section no later than June 1, 2015, except: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 After December 1, 2015, the distributor shall not ship containers labeled by the chemical manufacturer or importer unless the label has been modified to comply with paragraph (f</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t>1) of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sidRPr="002F1441">
              <w:rPr>
                <w:rFonts w:ascii="Arial" w:eastAsia="Times New Roman" w:hAnsi="Arial" w:cs="Arial"/>
                <w:sz w:val="20"/>
                <w:szCs w:val="20"/>
              </w:rPr>
              <w:t>(3) Chemical manufacturers, importers, distributors, and employers may comply with either §1910.1200 revised as of October 1, 2011, or the current version of this standard, or both during the transition period.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A to §1910.1200—Health Hazard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   GENERAL CLASSIFICATION CONSIDERATIONS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A.0.1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A.0.1.1   The term “hazard classification” is used to indicate that only the intrinsic hazardous properties of chemicals are considered. Hazard classification incorporates three steps: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Identification of relevant data regarding the hazards of a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Subsequent review of those data to ascertain the hazards associated with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(c) Determination of whether the chemical will be classified as hazardous and the degree of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A.0.1.2   For many hazard classes, the criteria are semi-quantitative or qualitative and expert judgment is required to interpret the data for classification purposes.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A.0.2   Available Data, Test Methods and Test Data Quality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A.0.2.1   There is no requirement for testing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A.0.2.2   The criteria for determining health hazards are test method neutral, i.e., they do not specify particular test methods, as long as the methods are scientifically validated.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A.0.2.4   Existing test data are acceptable for classifying chemicals, although expert judgment also may be needed for classification purposes.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A.0.2.5   The effect of a chemical on biological systems is influenced, by the physico-chemical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A.0.2.6   For classification purposes, epidemiological data and experience on the effects of chemicals on humans (e.g., occupational data, data from accident databases) shall be taken into account in the evaluation of human health hazards of a chemical.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A.0.3   Classification Based on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experience such as epidemiological and clinical studies and well-documented case reports and observations.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w:t>
            </w:r>
            <w:r w:rsidRPr="002F1441">
              <w:rPr>
                <w:rFonts w:ascii="Arial" w:eastAsia="Times New Roman" w:hAnsi="Arial" w:cs="Arial"/>
                <w:sz w:val="18"/>
                <w:szCs w:val="18"/>
              </w:rPr>
              <w:lastRenderedPageBreak/>
              <w:t>action is not relevant to humans, the chemical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A.0.4   Considerations for the Classification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A.0.4.1   For most hazard classes, the recommended process of classification of mixtures is based on the following sequence: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test data are available for the complete mixture, the classification of the mixture will always be based on those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test data are not available for the mixture itself, the bridging principles designated in each health hazard chapter of this appendix shall be considered for classification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   Use of cut-off values/concentration limits.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A.0.4.3.2   If the classifier has information that the hazard of an ingredient will be evident (i.e., it presents a health risk) below the specified cut-off value/concentration limit, the mixture containing that ingredient shall be classified accordingly.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A.0.4.3.3   In exceptional cases, conclusive data may demonstrate that the hazard of an ingredient will not be evident (i.e.,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A.0.4.4   Synergistic or antagonistic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A.0.5   Bridging Principles for the Classification of Mixtures Where Test Data Are Not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A.0.5.1.1   Dilution.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new diluted mixture shall be classified as equivalent to the original tested mixture;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classification of acute toxicity in accordance with A.1 of this Appendix, paragraph A.1.3.6 (the additivity formula) shall be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A.0.5.1.2   Batching.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2F1441">
              <w:rPr>
                <w:rFonts w:ascii="Arial" w:eastAsia="Times New Roman" w:hAnsi="Arial" w:cs="Arial"/>
                <w:i/>
                <w:iCs/>
                <w:sz w:val="18"/>
                <w:szCs w:val="18"/>
              </w:rPr>
              <w:t>chemical manufacturer,</w:t>
            </w:r>
            <w:r w:rsidRPr="002F1441">
              <w:rPr>
                <w:rFonts w:ascii="Arial" w:eastAsia="Times New Roman" w:hAnsi="Arial" w:cs="Arial"/>
                <w:sz w:val="18"/>
                <w:szCs w:val="18"/>
              </w:rPr>
              <w:t xml:space="preserve"> unless there is reason to believe there is significant variation such that the toxicity of the untested batch has changed. If the latter occurs, a new classification is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A.0.5.1.3   Concentration of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A.0.5.1.4   Interpolation within one toxicity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A.0.5.1.5   Substantially similar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through A.10 of this Appendix, given the following set of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Where there are two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A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C +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concentration of ingredient B is essentially the same in both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concentration of ingredient A in mixture (i) equals that of ingredient C in mixture (ii);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(d) And data on toxicity for A and C are available and substantially equivalent; i.e., they are in the same hazard category and are not expected to affect the toxicity of B; then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If mixture (i) or (ii) is already classified based on test data, the other mixture can be assigned the same hazard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A.0.5.1.6   Aerosols.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   ACUTE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Acute toxicity</w:t>
            </w:r>
            <w:r w:rsidRPr="002F1441">
              <w:rPr>
                <w:rFonts w:ascii="Arial" w:eastAsia="Times New Roman" w:hAnsi="Arial" w:cs="Arial"/>
                <w:sz w:val="18"/>
                <w:szCs w:val="18"/>
              </w:rPr>
              <w:t xml:space="preserve"> refers to those adverse effects occurring following oral or dermal administration of a single dose of a substance, or multiple doses given within 24 hours, or an inhalation exposure of 4 hours.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A.1.1—Acute Toxicity Hazard Categories and Acute Toxicity Estimate (ATE) Values Defining the Respective 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294"/>
              <w:gridCol w:w="1135"/>
              <w:gridCol w:w="1460"/>
              <w:gridCol w:w="1579"/>
              <w:gridCol w:w="18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4</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 and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 and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&gt;200 and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&gt;1000 and ≤2000.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Inhalation—Gases (ppmV)</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&gt;500 and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&gt;2500 and ≤20000.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&gt;2.0 and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&gt;10.0 and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lastRenderedPageBreak/>
                    <w:t>Note (d)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Inhalation—Dusts and Mists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see: Note (a)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&gt;0.05 and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&gt;0.5 and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&gt;1.0 and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Gas concentrations are expressed in parts per million per volume (ppmV).</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Notes to Table A.1.1: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The acute toxicity estimate (ATE) for the classification of a substance is derived using the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The acute toxicity estimate (ATE) for the classification of a substance or ingredient in a mixture is derived using: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 xml:space="preserve">(i) </w:t>
            </w:r>
            <w:proofErr w:type="gramStart"/>
            <w:r w:rsidRPr="002F1441">
              <w:rPr>
                <w:rFonts w:ascii="Arial" w:eastAsia="Times New Roman" w:hAnsi="Arial" w:cs="Arial"/>
                <w:i/>
                <w:iCs/>
                <w:sz w:val="18"/>
                <w:szCs w:val="18"/>
              </w:rPr>
              <w:t>the</w:t>
            </w:r>
            <w:proofErr w:type="gramEnd"/>
            <w:r w:rsidRPr="002F1441">
              <w:rPr>
                <w:rFonts w:ascii="Arial" w:eastAsia="Times New Roman" w:hAnsi="Arial" w:cs="Arial"/>
                <w:i/>
                <w:iCs/>
                <w:sz w:val="18"/>
                <w:szCs w:val="18"/>
              </w:rPr>
              <w:t xml:space="preserve"> LD</w:t>
            </w:r>
            <w:r w:rsidRPr="002F1441">
              <w:rPr>
                <w:rFonts w:ascii="Arial" w:eastAsia="Times New Roman" w:hAnsi="Arial" w:cs="Arial"/>
                <w:sz w:val="18"/>
                <w:szCs w:val="18"/>
              </w:rPr>
              <w:t>50</w:t>
            </w:r>
            <w:r w:rsidRPr="002F1441">
              <w:rPr>
                <w:rFonts w:ascii="Arial" w:eastAsia="Times New Roman" w:hAnsi="Arial" w:cs="Arial"/>
                <w:i/>
                <w:iCs/>
                <w:sz w:val="18"/>
                <w:szCs w:val="18"/>
              </w:rPr>
              <w:t>/LC</w:t>
            </w:r>
            <w:r w:rsidRPr="002F1441">
              <w:rPr>
                <w:rFonts w:ascii="Arial" w:eastAsia="Times New Roman" w:hAnsi="Arial" w:cs="Arial"/>
                <w:sz w:val="18"/>
                <w:szCs w:val="18"/>
              </w:rPr>
              <w:t xml:space="preserve">50 </w:t>
            </w:r>
            <w:r w:rsidRPr="002F1441">
              <w:rPr>
                <w:rFonts w:ascii="Arial" w:eastAsia="Times New Roman" w:hAnsi="Arial" w:cs="Arial"/>
                <w:i/>
                <w:iCs/>
                <w:sz w:val="18"/>
                <w:szCs w:val="18"/>
              </w:rPr>
              <w:t>where available. Otherwise,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the appropriate conversion value from Table 1.2 that relates to the results of a range test,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the appropriate conversion value from Table 1.2 that relates to a classification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 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(d) For some substances the test atmosphere will be a vapor which consists of a combination of liquid and gaseous phases. For other substances the test atmosphere may consist of a vapor which is nearly all the gaseous phase. In these latter cases, classification is based on ppmV as follows: Category 1 (100 ppmV), Category 2 (500 ppmV), Category 3 (2500 ppmV), Category 4 (20000 ppmV).</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The terms “dust”, “mist” and “vapor” are defined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 Dust: solid particles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 Mist: liquid droplets of a substance or mixture suspended in a gas (usually air);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(iii) Vapor: the gaseous form of a substance or mixture released from its liquid or solid state.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value from among scientifically validated tests.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943475" cy="2924175"/>
                  <wp:effectExtent l="0" t="0" r="9525" b="9525"/>
                  <wp:docPr id="69" name="Picture 69"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FR graphic er26mr12.06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92417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A.1.3.3   For purposes of classifying the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Where a classified mixture is used as an ingredient of another mixture, the actual or derived acute toxicity estimate (ATE) for that mixture is used when calculating the classification of the new mixture using the formulas in A.1.3.6.1 and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If the converted acute toxicity point estimates for all ingredients of a mixture are within the same category, then the mixture should be classified in that category.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A.1.3.4   Classification of Mixtures Where Acute Toxicity Test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A.1.3.5   Classification of Mixtures Where Acute Toxicity Test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A.1.3.6   Classification of Mixtures Based on Ingredients of the Mixture (Additivity Formula)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A.1.3.6.1   Data available for all ingredients.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acute toxicity estimate (ATE) of ingredients is considered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Include ingredients with a known acute toxicity, which fall into any of the acute toxicity categories, or have an oral or dermal LD</w:t>
            </w:r>
            <w:r w:rsidRPr="002F1441">
              <w:rPr>
                <w:rFonts w:ascii="Arial" w:eastAsia="Times New Roman" w:hAnsi="Arial" w:cs="Arial"/>
                <w:sz w:val="13"/>
                <w:szCs w:val="13"/>
                <w:vertAlign w:val="subscript"/>
              </w:rPr>
              <w:t>50</w:t>
            </w:r>
            <w:r w:rsidRPr="002F1441">
              <w:rPr>
                <w:rFonts w:ascii="Arial" w:eastAsia="Times New Roman" w:hAnsi="Arial" w:cs="Arial"/>
                <w:sz w:val="18"/>
                <w:szCs w:val="18"/>
              </w:rPr>
              <w:t xml:space="preserve"> greater than 2000 but less than or equal to 5000 mg/kg body weight (or the equivalent dose for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Ignore ingredients that are presumed not acutely toxic (e.g., water, sugar);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Ignore ingredients if the data available are from a limit dose test (at the upper threshold for Category 4 for the appropriate route of exposure as provided in Table A.1.1) and do not show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ATE of the mixture is determined by calculation from the ATE values for all relevant ingredients according to the following formula below for oral, dermal or inhalation toxicity: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885825" cy="285750"/>
                  <wp:effectExtent l="0" t="0" r="9525" b="0"/>
                  <wp:docPr id="68" name="Picture 68"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26mr12.06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1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Ci = concentration of ingredient i</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n ingredients and i is running from 1 to 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ATEi = acute toxicity estimate of ingredient 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   Data are not available for one or more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A.1.3.6.2.1   Where an ATE is not available for an individual ingredient of the mixture, but available information provides a derived conversion value, the formula in A.1.3.6.1 may be applied. This information may include evaluation of: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Extrapolation between oral, dermal and inhalation acute toxicity estimates. Such an evaluation requires appropriate pharmacodynamic and pharmacokinetic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Evidence from human exposure that indicates toxic effects but does not provide lethal dose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(c) Evidence from any other toxicity tests/assays available on the substance that indicates toxic acute effects but does not necessarily provide lethal dose data;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Data from closely analogous substances using structure/activity relationships.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1847850" cy="352425"/>
                  <wp:effectExtent l="0" t="0" r="0" b="9525"/>
                  <wp:docPr id="67" name="Picture 67"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FR graphic er26mr12.06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1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A.1.2—Conversion From Experimentally Obtained Acute Toxicity Range Values (or Acute Toxicity Hazard Categories) to Acute Toxicity Point Estimates for Use in the Formulas for the Classification of Mixtures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088"/>
              <w:gridCol w:w="4271"/>
              <w:gridCol w:w="2985"/>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 routes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Classification category or experimentally obtained acute</w:t>
                  </w:r>
                  <w:r w:rsidRPr="002F1441">
                    <w:rPr>
                      <w:rFonts w:ascii="Arial" w:eastAsia="Times New Roman" w:hAnsi="Arial" w:cs="Arial"/>
                      <w:b/>
                      <w:bCs/>
                      <w:sz w:val="20"/>
                      <w:szCs w:val="20"/>
                    </w:rPr>
                    <w:br/>
                    <w:t>toxicity range estimate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Converted acute toxicity point estimate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(mg/kg bodyweight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&lt;Category 2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3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(mg/kg bodyweight)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&lt;Category 2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 &lt;Category 3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1000 &lt;Category 4 ≤2000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Gases (ppmV)</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2 ≤500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500 &lt;Category 3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700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2500 &lt;Category 4 ≤20000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4500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Vapors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2 ≤2.0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&lt;Category 3 ≤10.0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10.0 &lt;Category 4 ≤20.0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Dust/mist (mg/l)</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 &lt;Category 1 ≤0.05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0.05 &lt;Category 2 ≤0.5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0.5 &lt;Category 3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&lt;Category 4 ≤5.0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1.5</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Gas concentrations are expressed in parts per million per volume (ppmV).</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   SKIN CORROSION/IRRITATION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A.2.1.1   </w:t>
            </w:r>
            <w:r w:rsidRPr="002F1441">
              <w:rPr>
                <w:rFonts w:ascii="Arial" w:eastAsia="Times New Roman" w:hAnsi="Arial" w:cs="Arial"/>
                <w:i/>
                <w:iCs/>
                <w:sz w:val="18"/>
                <w:szCs w:val="18"/>
              </w:rPr>
              <w:t>Skin corrosion</w:t>
            </w:r>
            <w:r w:rsidRPr="002F1441">
              <w:rPr>
                <w:rFonts w:ascii="Arial" w:eastAsia="Times New Roman" w:hAnsi="Arial" w:cs="Arial"/>
                <w:sz w:val="18"/>
                <w:szCs w:val="18"/>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irritation</w:t>
            </w:r>
            <w:r w:rsidRPr="002F1441">
              <w:rPr>
                <w:rFonts w:ascii="Arial" w:eastAsia="Times New Roman" w:hAnsi="Arial" w:cs="Arial"/>
                <w:sz w:val="18"/>
                <w:szCs w:val="18"/>
              </w:rPr>
              <w:t xml:space="preserve"> is the production of reversible damage to the skin following the application of a test substance for up to 4 hours.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   Classification Criteria for Substances Using Animal Test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A.2.2.1   Corrosion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A.2.2.1.1   A corrosive substance is a chemical that produces destruction of skin tissue, namely, visible necrosis through the epidermis and into the dermis, in at least 1 of 3 tested animals after exposure up to </w:t>
            </w:r>
            <w:proofErr w:type="gramStart"/>
            <w:r w:rsidRPr="002F1441">
              <w:rPr>
                <w:rFonts w:ascii="Arial" w:eastAsia="Times New Roman" w:hAnsi="Arial" w:cs="Arial"/>
                <w:sz w:val="18"/>
                <w:szCs w:val="18"/>
              </w:rPr>
              <w:t>a 4</w:t>
            </w:r>
            <w:proofErr w:type="gramEnd"/>
            <w:r w:rsidRPr="002F1441">
              <w:rPr>
                <w:rFonts w:ascii="Arial" w:eastAsia="Times New Roman" w:hAnsi="Arial" w:cs="Arial"/>
                <w:sz w:val="18"/>
                <w:szCs w:val="18"/>
              </w:rPr>
              <w:t xml:space="preserve">-hour duration. Corrosive reactions are typified by ulcers, bleeding, </w:t>
            </w:r>
            <w:proofErr w:type="gramStart"/>
            <w:r w:rsidRPr="002F1441">
              <w:rPr>
                <w:rFonts w:ascii="Arial" w:eastAsia="Times New Roman" w:hAnsi="Arial" w:cs="Arial"/>
                <w:sz w:val="18"/>
                <w:szCs w:val="18"/>
              </w:rPr>
              <w:t>bloody</w:t>
            </w:r>
            <w:proofErr w:type="gramEnd"/>
            <w:r w:rsidRPr="002F1441">
              <w:rPr>
                <w:rFonts w:ascii="Arial" w:eastAsia="Times New Roman" w:hAnsi="Arial" w:cs="Arial"/>
                <w:sz w:val="18"/>
                <w:szCs w:val="18"/>
              </w:rPr>
              <w:t xml:space="preserve"> scabs and, by the end of observation at 14 days, by discoloration due to blanching of the skin, complete areas of alopecia and scars. Histopathology should be considered to discern questionable lesions.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A.2.2.1.2   Three sub-categories of Category 1 are provided in Table A.2.1, all of which shall be regulated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lastRenderedPageBreak/>
              <w:t>Table A.2.1—Skin Corrosion Category and Sub-Categories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02"/>
              <w:gridCol w:w="3163"/>
              <w:gridCol w:w="1650"/>
              <w:gridCol w:w="182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corrosive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sub-categories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Corrosive in ≥1 of 3 animals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Observation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min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&gt;3 min ≤1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1C</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&gt;1 h ≤4 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days.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A.2.2.2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A.2.2.2.1   A single irritant category (Category 2) is presented in the Table A.2.2. The major criterion for the irritant category is that at least 2 tested animals have a mean score of ≥2.3 ≤4.0.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A.2.2—Skin Irritation Category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84"/>
              <w:gridCol w:w="8160"/>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Irritant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Mean value of ≥2.3 ≤4.0 for erythema/eschar or for edema in at least 2 of 3 tested animals from gradings at 24, 48 and 72 hours after patch removal or, if reactions are delayed, from grades on 3 consecutive days after the onset of skin reactions;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Inflammation that persists to the end of the observation period normally 14 days in at least 2 animals, particularly taking into account alopecia (limited area), hyperkeratosis, hyperplasia, and scaling;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In some cases where there is pronounced variability of response among animals, with very definite positive effects related to chemical exposure in a single animal but less than the criteria above.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A.2.2.2.3   Reversibility of skin lesions is another consideration in evaluating irritant responses. When inflammation persists to the end of the observation period in 2 or more test animals, taking into consideration alopecia (limited area), hyperkeratosis, </w:t>
            </w:r>
            <w:proofErr w:type="gramStart"/>
            <w:r w:rsidRPr="002F1441">
              <w:rPr>
                <w:rFonts w:ascii="Arial" w:eastAsia="Times New Roman" w:hAnsi="Arial" w:cs="Arial"/>
                <w:sz w:val="18"/>
                <w:szCs w:val="18"/>
              </w:rPr>
              <w:t>hyperplasia</w:t>
            </w:r>
            <w:proofErr w:type="gramEnd"/>
            <w:r w:rsidRPr="002F1441">
              <w:rPr>
                <w:rFonts w:ascii="Arial" w:eastAsia="Times New Roman" w:hAnsi="Arial" w:cs="Arial"/>
                <w:sz w:val="18"/>
                <w:szCs w:val="18"/>
              </w:rPr>
              <w:t xml:space="preserve"> and scaling, then a chemical should be considered to be an irritant.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w:t>
            </w:r>
            <w:r w:rsidRPr="002F1441">
              <w:rPr>
                <w:rFonts w:ascii="Arial" w:eastAsia="Times New Roman" w:hAnsi="Arial" w:cs="Arial"/>
                <w:sz w:val="18"/>
                <w:szCs w:val="18"/>
              </w:rPr>
              <w:lastRenderedPageBreak/>
              <w:t>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A.2.3.2   A </w:t>
            </w:r>
            <w:r w:rsidRPr="002F1441">
              <w:rPr>
                <w:rFonts w:ascii="Arial" w:eastAsia="Times New Roman" w:hAnsi="Arial" w:cs="Arial"/>
                <w:i/>
                <w:iCs/>
                <w:sz w:val="18"/>
                <w:szCs w:val="18"/>
              </w:rPr>
              <w:t>tiered approach</w:t>
            </w:r>
            <w:r w:rsidRPr="002F1441">
              <w:rPr>
                <w:rFonts w:ascii="Arial" w:eastAsia="Times New Roman" w:hAnsi="Arial" w:cs="Arial"/>
                <w:sz w:val="18"/>
                <w:szCs w:val="18"/>
              </w:rPr>
              <w:t xml:space="preserve"> to the evaluation of initial information shall be used (Figure A.2.1) recognizing that all elements may not be relevant in certain cases.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A.2.3.3   The tiered approach explains how to organize information on a substance and to make a weight-of-evidence decision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629150" cy="6010275"/>
                  <wp:effectExtent l="0" t="0" r="0" b="9525"/>
                  <wp:docPr id="66" name="Picture 66"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FR graphic er26mr12.06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601027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1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2524125"/>
                  <wp:effectExtent l="0" t="0" r="0" b="9525"/>
                  <wp:docPr id="65" name="Picture 6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26mr12.06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1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A.2.4.1.1   The mixture shall be classified using the criteria for substances (See A.2.3).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A.2.4.3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A.2.4.3.1   For purposes of classifying the skin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A.2.4.3.3   Table A.2.3 below provides the cut-off value/concentration limits to be used to determine if the </w:t>
            </w:r>
            <w:r w:rsidRPr="002F1441">
              <w:rPr>
                <w:rFonts w:ascii="Arial" w:eastAsia="Times New Roman" w:hAnsi="Arial" w:cs="Arial"/>
                <w:sz w:val="18"/>
                <w:szCs w:val="18"/>
              </w:rPr>
              <w:lastRenderedPageBreak/>
              <w:t>mixture is considered to be an irritant or a corrosive to the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A.2.4.3.6   If there are data showing that (an) ingredient(s) may be corrosive or irritant at a concentration of &lt;1% (corrosive) or &lt;3% (irritant), the mixture shall be classified accordingly (See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xml:space="preserve"> paragraph A.0.4.3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A.2.3—Concentration of Ingredients of a Mixture Classified as Skin Category 1 or 2 That Would Trigger Classification of the Mixture as Hazardous to Skin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863"/>
              <w:gridCol w:w="2872"/>
              <w:gridCol w:w="260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corrosive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irritant</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&lt;5%.</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Skin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A.2.4—Concentration of Ingredients of a Mixture for Which the Additivity Approach Does Not Apply, That Would Trigger Classification of the Mixture as Hazardous to Skin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697"/>
              <w:gridCol w:w="1453"/>
              <w:gridCol w:w="119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Skin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   SERIOUS EYE DAMAGE/EYE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A.3.1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A.3.1.1   </w:t>
            </w:r>
            <w:r w:rsidRPr="002F1441">
              <w:rPr>
                <w:rFonts w:ascii="Arial" w:eastAsia="Times New Roman" w:hAnsi="Arial" w:cs="Arial"/>
                <w:i/>
                <w:iCs/>
                <w:sz w:val="18"/>
                <w:szCs w:val="18"/>
              </w:rPr>
              <w:t>Serious eye damage</w:t>
            </w:r>
            <w:r w:rsidRPr="002F1441">
              <w:rPr>
                <w:rFonts w:ascii="Arial" w:eastAsia="Times New Roman" w:hAnsi="Arial" w:cs="Arial"/>
                <w:sz w:val="18"/>
                <w:szCs w:val="18"/>
              </w:rPr>
              <w:t xml:space="preserve"> is the production of tissue damage in the eye, or serious physical decay of vision, following application of a test substance to the anterior surface of the eye, which is not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Eye irritation</w:t>
            </w:r>
            <w:r w:rsidRPr="002F1441">
              <w:rPr>
                <w:rFonts w:ascii="Arial" w:eastAsia="Times New Roman" w:hAnsi="Arial" w:cs="Arial"/>
                <w:sz w:val="18"/>
                <w:szCs w:val="18"/>
              </w:rPr>
              <w:t xml:space="preserve"> is the production of changes in the eye following the application of test substance to the anterior surface of the eye, which are fully reversible within 21 days of application.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relevant animal data, and human data such as epidemiological and clinical studies and well-documented case reports and observations.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A.3.2   Classification Criteria for Substances Using Animal Test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A.3.2.1   Irreversible effects on the eye/serious damage to eyes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iritis &gt;1.5 detected in a Draize eye test with rabbits, because severe lesions like these usually do not reverse within a 21-day observation period.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A.3.1—Irreversible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Serious Eye Damage Category 1 (irreversible effects on the eye) when it produces: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at least in one tested animal, effects on the cornea, iris or conjunctiva that are not expected to reverse or have not fully reversed within an observation period of normally 21 days;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corneal opacity ≥3;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(ii) iritis &gt;1.5;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proofErr w:type="gramStart"/>
                  <w:r w:rsidRPr="002F1441">
                    <w:rPr>
                      <w:rFonts w:ascii="Arial" w:eastAsia="Times New Roman" w:hAnsi="Arial" w:cs="Arial"/>
                      <w:sz w:val="20"/>
                      <w:szCs w:val="20"/>
                    </w:rPr>
                    <w:t>calculated</w:t>
                  </w:r>
                  <w:proofErr w:type="gramEnd"/>
                  <w:r w:rsidRPr="002F1441">
                    <w:rPr>
                      <w:rFonts w:ascii="Arial" w:eastAsia="Times New Roman" w:hAnsi="Arial" w:cs="Arial"/>
                      <w:sz w:val="20"/>
                      <w:szCs w:val="20"/>
                    </w:rPr>
                    <w:t xml:space="preserve"> as the mean scores following grading at 24, 48 and 72 hours after instillation of the substance.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A.3.2.2   Reversible effects on the eye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single category is provided in Table A.3.2 for substances that have the potential to induce reversible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A.3.2—Reversible Eye Effects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Eye irritant Category 2A (irritating to eyes) when it produces in at least in 2 of 3 tested animals a positive response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corneal opacity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(ii) iritis ≥1;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(iii) conjunctival redness ≥2;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(iv) conjunctival edema (chemosis)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proofErr w:type="gramStart"/>
                  <w:r w:rsidRPr="002F1441">
                    <w:rPr>
                      <w:rFonts w:ascii="Arial" w:eastAsia="Times New Roman" w:hAnsi="Arial" w:cs="Arial"/>
                      <w:sz w:val="20"/>
                      <w:szCs w:val="20"/>
                    </w:rPr>
                    <w:t>calculated</w:t>
                  </w:r>
                  <w:proofErr w:type="gramEnd"/>
                  <w:r w:rsidRPr="002F1441">
                    <w:rPr>
                      <w:rFonts w:ascii="Arial" w:eastAsia="Times New Roman" w:hAnsi="Arial" w:cs="Arial"/>
                      <w:sz w:val="20"/>
                      <w:szCs w:val="20"/>
                    </w:rPr>
                    <w:t xml:space="preserve"> as the mean scores following grading at 24, 48 and 72 hours after instillation of the substance, and which fully reverses within an observation period of normally 21 days.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 eye irritant is considered mildly irritating to eyes (Category 2B) when the effects listed above are fully reversible within 7 days of observation.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A.3.2.3   For those chemicals where there is pronounced variability among animal responses, this information may be taken into account in determining the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A.3.3   Classification Criteria for Substances Using Other Data Elements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alternatives that have been scientifically validated and accepted shall be used to make classification decisions. Likewise, pH extremes like ≤2 and ≥</w:t>
            </w:r>
            <w:proofErr w:type="gramStart"/>
            <w:r w:rsidRPr="002F1441">
              <w:rPr>
                <w:rFonts w:ascii="Arial" w:eastAsia="Times New Roman" w:hAnsi="Arial" w:cs="Arial"/>
                <w:sz w:val="18"/>
                <w:szCs w:val="18"/>
              </w:rPr>
              <w:t>11.5,</w:t>
            </w:r>
            <w:proofErr w:type="gramEnd"/>
            <w:r w:rsidRPr="002F1441">
              <w:rPr>
                <w:rFonts w:ascii="Arial" w:eastAsia="Times New Roman" w:hAnsi="Arial" w:cs="Arial"/>
                <w:sz w:val="18"/>
                <w:szCs w:val="18"/>
              </w:rPr>
              <w:t xml:space="preserve">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A.3.3.2   A tiered approach to the evaluation of initial information shall be used where </w:t>
            </w:r>
            <w:proofErr w:type="gramStart"/>
            <w:r w:rsidRPr="002F1441">
              <w:rPr>
                <w:rFonts w:ascii="Arial" w:eastAsia="Times New Roman" w:hAnsi="Arial" w:cs="Arial"/>
                <w:sz w:val="18"/>
                <w:szCs w:val="18"/>
              </w:rPr>
              <w:t>applicable,</w:t>
            </w:r>
            <w:proofErr w:type="gramEnd"/>
            <w:r w:rsidRPr="002F1441">
              <w:rPr>
                <w:rFonts w:ascii="Arial" w:eastAsia="Times New Roman" w:hAnsi="Arial" w:cs="Arial"/>
                <w:sz w:val="18"/>
                <w:szCs w:val="18"/>
              </w:rPr>
              <w:t xml:space="preserve"> recognizing that all elements may not be relevant in certain cases (Figure A.3.1).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A.3.3.3   The tiered approach explains how to organize existing information on a substance and to make a weight-of-evidence decision, where appropriate, about hazard assessment and hazard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657725" cy="6010275"/>
                  <wp:effectExtent l="0" t="0" r="9525" b="9525"/>
                  <wp:docPr id="64" name="Picture 64"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R graphic er26mr12.06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601027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1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1971675"/>
                  <wp:effectExtent l="0" t="0" r="0" b="9525"/>
                  <wp:docPr id="63" name="Picture 63"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97167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2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A.3.4.1.1   The mixture will be classified using the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A.3.4.1.2   Unlike other hazard classes, there are alternative tests available for skin corrosivity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A.3.4.2.1   Where the mixture itself has not been tested to determine its skin corrosivity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A.3.4.3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A.3.4.3.1   For purposes of classifying the eye corrosion/irritation hazards of mixtures in the tiered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w:t>
            </w:r>
            <w:r w:rsidRPr="002F1441">
              <w:rPr>
                <w:rFonts w:ascii="Arial" w:eastAsia="Times New Roman" w:hAnsi="Arial" w:cs="Arial"/>
                <w:sz w:val="18"/>
                <w:szCs w:val="18"/>
              </w:rPr>
              <w:lastRenderedPageBreak/>
              <w:t>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A.3.4.3.3   Table A.3.3 provides the cut-off value/concentration limits to be used to determine if the mixture should be classified as seriously damaging to the eye or an eye irritant.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A.3.4.3.6   If there are data showing that (an) ingredient(s) may be corrosive or irritant at a concentration of &lt;1% (corrosive) or &lt;3% (irritant), the mixture should be classified accordingly (See also paragraph A.0.4.3, </w:t>
            </w:r>
            <w:r w:rsidRPr="002F1441">
              <w:rPr>
                <w:rFonts w:ascii="Arial" w:eastAsia="Times New Roman" w:hAnsi="Arial" w:cs="Arial"/>
                <w:i/>
                <w:iCs/>
                <w:sz w:val="18"/>
                <w:szCs w:val="18"/>
              </w:rPr>
              <w:t>Use of cut-off values/concentration limits</w:t>
            </w:r>
            <w:r w:rsidRPr="002F1441">
              <w:rPr>
                <w:rFonts w:ascii="Arial" w:eastAsia="Times New Roman" w:hAnsi="Arial" w:cs="Arial"/>
                <w:sz w:val="18"/>
                <w:szCs w:val="18"/>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A.3.3—Concentration of Ingredients of a Mixture Classified as Skin Category 1 and/or Eye Category 1 or 2 That Would Trigger Classification of the Mixtures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98"/>
              <w:gridCol w:w="2412"/>
              <w:gridCol w:w="233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Sum of ingredients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Irreversible eye effects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Reversible eye effects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or Skin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Category 1 + Eye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but &lt;3%.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 (Skin Category 1 + Eye Category 1) + Eye 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A mixture may be classified as Eye Category 2B in cases when all relevant ingredients are classified as Eye Category 2B.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A.3.4—Concentration of Ingredients of a Mixture for Which the Additivity Approach Does Not Apply, That Would Trigger Classification of the Mixture as Hazardous to the Eye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6761"/>
              <w:gridCol w:w="1386"/>
              <w:gridCol w:w="119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Ingredient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Concentration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Mixture</w:t>
                  </w:r>
                  <w:r w:rsidRPr="002F1441">
                    <w:rPr>
                      <w:rFonts w:ascii="Arial" w:eastAsia="Times New Roman" w:hAnsi="Arial" w:cs="Arial"/>
                      <w:b/>
                      <w:bCs/>
                      <w:sz w:val="20"/>
                      <w:szCs w:val="20"/>
                    </w:rPr>
                    <w:br/>
                    <w:t>classified as:</w:t>
                  </w:r>
                  <w:r w:rsidRPr="002F1441">
                    <w:rPr>
                      <w:rFonts w:ascii="Arial" w:eastAsia="Times New Roman" w:hAnsi="Arial" w:cs="Arial"/>
                      <w:b/>
                      <w:bCs/>
                      <w:sz w:val="20"/>
                      <w:szCs w:val="20"/>
                    </w:rPr>
                    <w:br/>
                    <w:t>Eye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Acid with pH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Base with pH ≥11.5</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corrosive (Category 1) ingredients for which additivity does not apply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irritant (Category 2) ingredients for which additivity does not apply, including acids and bases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   RESPIRATORY 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A.4.1.1   </w:t>
            </w:r>
            <w:r w:rsidRPr="002F1441">
              <w:rPr>
                <w:rFonts w:ascii="Arial" w:eastAsia="Times New Roman" w:hAnsi="Arial" w:cs="Arial"/>
                <w:i/>
                <w:iCs/>
                <w:sz w:val="18"/>
                <w:szCs w:val="18"/>
              </w:rPr>
              <w:t>Respiratory sensitizer</w:t>
            </w:r>
            <w:r w:rsidRPr="002F1441">
              <w:rPr>
                <w:rFonts w:ascii="Arial" w:eastAsia="Times New Roman" w:hAnsi="Arial" w:cs="Arial"/>
                <w:sz w:val="18"/>
                <w:szCs w:val="18"/>
              </w:rPr>
              <w:t xml:space="preserve"> means a chemical that will lead to hypersensitivity of the airways following inhalation of the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Skin sensitizer</w:t>
            </w:r>
            <w:r w:rsidRPr="002F1441">
              <w:rPr>
                <w:rFonts w:ascii="Arial" w:eastAsia="Times New Roman" w:hAnsi="Arial" w:cs="Arial"/>
                <w:sz w:val="18"/>
                <w:szCs w:val="18"/>
              </w:rPr>
              <w:t xml:space="preserve"> means a chemical that will lead to an allergic response following skin contact.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A.4.1.4   Usually, for both skin and respiratory sensitization, lower levels are necessary for elicitation than are required for induction.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A.4.1.5   The hazard class “respiratory or skin sensitization” is differentiated into: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Respiratory sensitization;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A.4.2.1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A.4.2.1.1.2   Where data are not sufficient for sub-categorization, respiratory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A.4.1—Hazard Category and Sub-Categories for Respiratory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8"/>
              <w:gridCol w:w="822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respiratory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specific respiratory hypersensitivity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if there are positive results from an appropriate animal test.</w:t>
                  </w:r>
                  <w:r w:rsidRPr="002F1441">
                    <w:rPr>
                      <w:rFonts w:ascii="Arial" w:eastAsia="Times New Roman" w:hAnsi="Arial" w:cs="Arial"/>
                      <w:sz w:val="20"/>
                      <w:szCs w:val="20"/>
                      <w:vertAlign w:val="superscript"/>
                    </w:rPr>
                    <w:t>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or a probability of occurrence of a high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or a probability of occurrence of a low to moderate sensitization rate in humans based on animal or other tests.</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A.4.2.1.2.1   Evidence that a substance can lead to specific respiratory hypersensitivity will normally be based on human experience. In this context, hypersensitivity is normally seen as asthma, but other hypersensitivity reactions such as rhinitis/conjunctivitis and alveolitis are also considered. The condition will have the clinical character of an allergic reaction. However, immunological mechanisms do not have to be demonstrated.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A.4.2.1.2.2   When considering the human evidence, it is necessary that in addition to the evidence from the cases, the following be taken into account: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size of the population exposed;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extent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A.4.2.1.2.3   The evidence referred to above could be: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history and data from appropriate lung function tests related to exposure to the substance, confirmed by other supportive evidence which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immunological test (e.g., skin prick test);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(ii)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immunological test (e.g., serological analysis);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Studies that may indicate other specific hypersensitivity reactions where immunological mechanisms of action have not been proven, e.g., repeated low-level irritation, pharmacologically mediated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(iv) A chemical structure related to substances known to cause respiratory hypersensitivity;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(b) Data from positive bronchial challenge tests with the substance conducted according to accepted guidelines for the determination of a specific hypersensitivity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A.4.2.1.2.5   The results of positive bronchial challenge tests are considered to provide sufficient evidence for classification on their own. It is, however, recognized that in practice many of the examinations listed above will already have been carried out.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A.4.2.1.3.1   Data from appropriate animal studies</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which may be indicative of the potential of a substance to cause sensitization by inhalation in humans</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At this writing, recognized and validated animal models for the testing of respiratory hypersensitivity are not available. Under certain circumstances, data from animal studies may provide valuable information in a weight of evidence assessment.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Measurements of Immunoglobulin E (IgE) and other specific immunological parameters, for example in mice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Specific pulmonary responses in guinea pigs.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A.4.2.2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A.4.2.2.1.2   Where data are not sufficient for sub-categorization, skin sensitizers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A.4.2—Hazard Category and Sub-Categories for Skin Sensitizers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116"/>
              <w:gridCol w:w="82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is classified as a skin sensitizer.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if there is evidence in humans that the substance can lead to sensitization by skin contact in a substantial number of persons,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w:t>
                  </w:r>
                  <w:proofErr w:type="gramStart"/>
                  <w:r w:rsidRPr="002F1441">
                    <w:rPr>
                      <w:rFonts w:ascii="Arial" w:eastAsia="Times New Roman" w:hAnsi="Arial" w:cs="Arial"/>
                      <w:sz w:val="20"/>
                      <w:szCs w:val="20"/>
                    </w:rPr>
                    <w:t>if</w:t>
                  </w:r>
                  <w:proofErr w:type="gramEnd"/>
                  <w:r w:rsidRPr="002F1441">
                    <w:rPr>
                      <w:rFonts w:ascii="Arial" w:eastAsia="Times New Roman" w:hAnsi="Arial" w:cs="Arial"/>
                      <w:sz w:val="20"/>
                      <w:szCs w:val="20"/>
                    </w:rPr>
                    <w:t xml:space="preserve"> there are positive results from an appropriate animal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high frequency of occurrence in humans and/or a high potency in animals can be presumed to have the potential to produce significant sensitization in humans. Severity of reaction may also be considered.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showing a low to moderate frequency of occurrence in humans and/or a low to moderate potency in animals can be presumed to have the potential to produce sensitization in humans. Severity of reaction may also be considered.</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   Human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A.4.2.2.2.1   Human evidence for sub-category 1A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(Human Repeat Insult Patch Test (HRIPT), Human Maximization Test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high and substantial incidence of reactions in a defined population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high and substantial incidence of allergic contact dermatitis in relation to relatively low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A.4.2.2.2.2   Human evidence for sub-category 1B may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responses at &gt;500 µg/cm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xml:space="preserve"> (HRIPT, HMT—induction threshold);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Diagnostic patch test data where there is a relatively low but substantial incidence of reactions in a defined population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Other epidemiological evidence where there is a relatively low but substantial incidence of allergic contact dermatitis in relation to relatively high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2F1441">
              <w:rPr>
                <w:rFonts w:ascii="Arial" w:eastAsia="Times New Roman" w:hAnsi="Arial" w:cs="Arial"/>
                <w:sz w:val="13"/>
                <w:szCs w:val="13"/>
                <w:vertAlign w:val="superscript"/>
              </w:rPr>
              <w:t>4</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A.4.2.2.3.2   Animal test results for sub-category 1A can include data with values indicated in Table A.4.3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A.4.3—Animal Test Results for Sub-Category 1A</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72"/>
              <w:gridCol w:w="637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≥30% responding at ≤0.1% intradermal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&gt;0.1% to ≤1%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≥15% responding at ≤0.2% topical induction dose </w:t>
                  </w:r>
                  <w:r w:rsidRPr="002F1441">
                    <w:rPr>
                      <w:rFonts w:ascii="Arial" w:eastAsia="Times New Roman" w:hAnsi="Arial" w:cs="Arial"/>
                      <w:i/>
                      <w:iCs/>
                      <w:sz w:val="20"/>
                      <w:szCs w:val="20"/>
                    </w:rPr>
                    <w:t>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≥60% responding at &gt;0.2% to ≤20%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A.4.2.2.3.3   Animal test results for sub-category 1B can include data with values indicated in Table A.4.4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A.4.4—Animal Test Results for Sub-Category 1B</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656"/>
              <w:gridCol w:w="668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Assay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Local lymph node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EC3 value &gt;2%.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Guinea pig maximization test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to &lt;60% responding at &gt;0.1% to ≤1% intradermal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≥30% responding at &gt;1% intradermal induction dose.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Buehler assay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to &lt;60% responding at &gt;0.2% to ≤20% topical induction dose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≥15% responding at &gt;20% topical induction dose.</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EC3 refers to the estimated concentration of test chemical required to induce a stimulation index of 3 in the local lymph node assay.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A.4.2.2.4.1   For classification of a substance, evidence shall include one or more of the following using a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Positive data from patch testing,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showing allergic contact dermatitis caused by the substance. Situations in which a high proportion of those exposed exhibit characteristic symptoms are to be looked at with special concern, even if the number of cases is small;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Positive data from appropriate animal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experimental studies in man (See paragraph A.0.2.6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Well documented episodes of allergic contact dermatitis, normally obtained in more than one dermatology clinic;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Severity of reaction.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w:t>
            </w:r>
            <w:r w:rsidRPr="002F1441">
              <w:rPr>
                <w:rFonts w:ascii="Arial" w:eastAsia="Times New Roman" w:hAnsi="Arial" w:cs="Arial"/>
                <w:sz w:val="18"/>
                <w:szCs w:val="18"/>
              </w:rPr>
              <w:lastRenderedPageBreak/>
              <w:t>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Isolated episodes of allergic contact dermatitis;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Epidemiological studies of limited power, e.g., where chance, bias or confounders have not been ruled out fully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Data from animal tests, performed according to existing guidelines, which do not meet the criteria for a positive result described in A.4.2.2.3, but which are sufficiently close to the limit to be considered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Positive data from non-standard methods;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Positive results from close structural analogues.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   Immunological contact urticaria.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A.4.2.2.4.4.1   Substances meeting the criteria for classification as respiratory sensitizers may, in addition, cause immunological contact urticaria. Consideration shall be given to classifying these substances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A.4.2.2.4.4.2   Substances which cause immunological contact urticaria without meeting the criteria for respiratory sensitizers shall be considered for classification as skin sensitizers.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A.4.2.2.4.4.3   There is no recognized animal model available to identify substances which cause immunological contact urticaria. Therefore, classification will normally be based on human evidence, similar to that for skin sensitization.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A.4.3.1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A.4.3.3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A.4.5—Cut-Off Values/Concentration Limits of Ingredients of a Mixture Classified as Either Respiratory Sensitizers or Skin Sensitizers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079"/>
              <w:gridCol w:w="2046"/>
              <w:gridCol w:w="1100"/>
              <w:gridCol w:w="3119"/>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Respiratory Sensitizer</w:t>
                  </w:r>
                  <w:r w:rsidRPr="002F1441">
                    <w:rPr>
                      <w:rFonts w:ascii="Arial" w:eastAsia="Times New Roman" w:hAnsi="Arial" w:cs="Arial"/>
                      <w:b/>
                      <w:bCs/>
                      <w:sz w:val="20"/>
                      <w:szCs w:val="20"/>
                    </w:rPr>
                    <w:b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Skin Sensitizer</w:t>
                  </w:r>
                  <w:r w:rsidRPr="002F1441">
                    <w:rPr>
                      <w:rFonts w:ascii="Arial" w:eastAsia="Times New Roman" w:hAnsi="Arial" w:cs="Arial"/>
                      <w:b/>
                      <w:bCs/>
                      <w:sz w:val="20"/>
                      <w:szCs w:val="20"/>
                    </w:rPr>
                    <w:br/>
                    <w:t>Category 1</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Solid/liquid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All physical states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Respiratory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Category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Skin Sensitizer, Sub-category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   GERM CELL MUTAGENICITY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A.5.1.1   A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is defined as a permanent change in the amount or structure of the genetic material in a cell. The term </w:t>
            </w:r>
            <w:r w:rsidRPr="002F1441">
              <w:rPr>
                <w:rFonts w:ascii="Arial" w:eastAsia="Times New Roman" w:hAnsi="Arial" w:cs="Arial"/>
                <w:i/>
                <w:iCs/>
                <w:sz w:val="18"/>
                <w:szCs w:val="18"/>
              </w:rPr>
              <w:t>mutation</w:t>
            </w:r>
            <w:r w:rsidRPr="002F1441">
              <w:rPr>
                <w:rFonts w:ascii="Arial" w:eastAsia="Times New Roman" w:hAnsi="Arial" w:cs="Arial"/>
                <w:sz w:val="18"/>
                <w:szCs w:val="18"/>
              </w:rPr>
              <w:t xml:space="preserve"> applies both to heritable genetic changes that may be manifested at the phenotypic level and to the underlying DNA modifications when known (including, for example, specific base pair changes and chromosomal translocations). The term </w:t>
            </w:r>
            <w:r w:rsidRPr="002F1441">
              <w:rPr>
                <w:rFonts w:ascii="Arial" w:eastAsia="Times New Roman" w:hAnsi="Arial" w:cs="Arial"/>
                <w:i/>
                <w:iCs/>
                <w:sz w:val="18"/>
                <w:szCs w:val="18"/>
              </w:rPr>
              <w:t>mutagenic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mutagen</w:t>
            </w:r>
            <w:r w:rsidRPr="002F1441">
              <w:rPr>
                <w:rFonts w:ascii="Arial" w:eastAsia="Times New Roman" w:hAnsi="Arial" w:cs="Arial"/>
                <w:sz w:val="18"/>
                <w:szCs w:val="18"/>
              </w:rPr>
              <w:t xml:space="preserve"> will be used for agents giving rise to an increased occurrence of mutations in populations of cells and/or organisms.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A.5.1.2   The more general terms </w:t>
            </w:r>
            <w:r w:rsidRPr="002F1441">
              <w:rPr>
                <w:rFonts w:ascii="Arial" w:eastAsia="Times New Roman" w:hAnsi="Arial" w:cs="Arial"/>
                <w:i/>
                <w:iCs/>
                <w:sz w:val="18"/>
                <w:szCs w:val="18"/>
              </w:rPr>
              <w:t>genotoxic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genotoxicity</w:t>
            </w:r>
            <w:r w:rsidRPr="002F1441">
              <w:rPr>
                <w:rFonts w:ascii="Arial" w:eastAsia="Times New Roman" w:hAnsi="Arial" w:cs="Arial"/>
                <w:sz w:val="18"/>
                <w:szCs w:val="18"/>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Genotoxicity test results are usually taken as indicators for mutagenic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A.5.1.3   This hazard class is primarily concerned with chemicals that may cause mutations in the germ cells of humans that can be transmitted to the progeny. However, mutagenicity/genotoxicity tests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and in mammalian somatic cells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are also considered in classifying substances and mixtures within this hazard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A.5.2.1   The classification system provides for two different categories of germ cell mutagens to accommodate the weight of evidence available. The two-category system is described in the Figure A.5.1.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A.5.1—Hazard Categories for Germ Cell Mutagens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lastRenderedPageBreak/>
                    <w:t>CATEGORY 1:</w:t>
                  </w:r>
                  <w:r w:rsidRPr="002F1441">
                    <w:rPr>
                      <w:rFonts w:ascii="Arial" w:eastAsia="Times New Roman" w:hAnsi="Arial" w:cs="Arial"/>
                      <w:sz w:val="20"/>
                      <w:szCs w:val="20"/>
                    </w:rPr>
                    <w:t xml:space="preserve"> Substances known to induce heritable mutations or to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Substances known to induce heritable mutations in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Positive evidence from human epidemiological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Substances which should be regarded as if they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heritable germ cell mutagenicity tests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Positive result(s) from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mutagenicity tests in mammals, in combination with some evidence that the substance has potential to cause mutations to germ cells. This supporting evidence may, for example, be derived from mutagenicity/genotoxicity tests in germ cells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or by demonstrating the ability of the substance or its metabolite(s) to interact with the genetic material of germ cells;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Positive results from tests showing mutagenic effects in the germ cells of humans, without demonstration of transmission to progeny; for example, an increase in the frequency of aneuploidy in sperm cells of exposed people.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which cause concern for humans owing to the possibility that they may induce heritable mutations in the germ cells of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Positive evidence obtained from experiments in mammals and/or in some cases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experiments, obtained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(a) Somatic cell mutagenicity tests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in mammals;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Other </w:t>
                  </w:r>
                  <w:r w:rsidRPr="002F1441">
                    <w:rPr>
                      <w:rFonts w:ascii="Arial" w:eastAsia="Times New Roman" w:hAnsi="Arial" w:cs="Arial"/>
                      <w:i/>
                      <w:iCs/>
                      <w:sz w:val="20"/>
                      <w:szCs w:val="20"/>
                    </w:rPr>
                    <w:t>in vivo</w:t>
                  </w:r>
                  <w:r w:rsidRPr="002F1441">
                    <w:rPr>
                      <w:rFonts w:ascii="Arial" w:eastAsia="Times New Roman" w:hAnsi="Arial" w:cs="Arial"/>
                      <w:sz w:val="20"/>
                      <w:szCs w:val="20"/>
                    </w:rPr>
                    <w:t xml:space="preserve"> somatic cell genotoxicity tests which are supported by positive results from </w:t>
                  </w:r>
                  <w:r w:rsidRPr="002F1441">
                    <w:rPr>
                      <w:rFonts w:ascii="Arial" w:eastAsia="Times New Roman" w:hAnsi="Arial" w:cs="Arial"/>
                      <w:i/>
                      <w:iCs/>
                      <w:sz w:val="20"/>
                      <w:szCs w:val="20"/>
                    </w:rPr>
                    <w:t>in vitro</w:t>
                  </w:r>
                  <w:r w:rsidRPr="002F1441">
                    <w:rPr>
                      <w:rFonts w:ascii="Arial" w:eastAsia="Times New Roman" w:hAnsi="Arial" w:cs="Arial"/>
                      <w:sz w:val="20"/>
                      <w:szCs w:val="20"/>
                    </w:rPr>
                    <w:t xml:space="preserve"> mutagenicity assays.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288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b/>
                      <w:bCs/>
                      <w:sz w:val="20"/>
                      <w:szCs w:val="20"/>
                    </w:rPr>
                    <w:t>Note:</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Substances which are positive in in vitro mammalian mutagenicity assays, and which also show chemical structure activity relationship to known germ cell mutagens, should be considered for classification as Category 2 mutagens.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   Specific considerations for classification of substances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A.5.2.2.1   To arrive at a classification, test results are considered from experiments determining mutagenic and/or genotoxic effects in germ and/or somatic cells of exposed animals. Mutagenic and/or genotoxic effects determined in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tests shall also be considered.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A.5.2.2.2   The system is hazard based, classifying chemicals on the basis of their intrinsic ability to induce mutations in germ cells. The scheme is, therefore, not meant for the (quantitative) risk assessment of chemical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A.5.2.2.3   Classification for heritable effects in human germ cells is made on the basis of scientifically validated tests. Evaluation of the test results shall be done using expert judgment and all the available evidence shall be weighed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   Classification Criteria for Mixtures</w:t>
            </w:r>
            <w:r w:rsidRPr="002F1441">
              <w:rPr>
                <w:rFonts w:ascii="Arial" w:eastAsia="Times New Roman" w:hAnsi="Arial" w:cs="Arial"/>
                <w:kern w:val="36"/>
                <w:sz w:val="14"/>
                <w:szCs w:val="14"/>
                <w:vertAlign w:val="superscript"/>
              </w:rPr>
              <w:t>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lastRenderedPageBreak/>
              <w:t>5</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A.5.3.1.1   Classification of mixtures shall be based on the available test data for the individual ingredients of the mixture using cut-off values/concentration limits for the ingredients classified as germ cell mutagens.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A.5.1—Cut-Off Values/Concentration Limits of Ingredients of a Mixture Classified as Germ Cell Mutagens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452"/>
              <w:gridCol w:w="3446"/>
              <w:gridCol w:w="3446"/>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mutagen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mutagen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1A/B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mutagen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The cut-off values/concentration limits in the table above apply to solids and liquids (w/w units) as well as gases (v/v units).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A.5.3.2   Classification of Mixtures When Data Are Available for the Mixture Itself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A.5.4   Examples of Scientifically Validated Test Methods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A.5.4.1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heritable germ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Rodent dominant lethal mutation test (OECD 478)</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heritable translocation assay (OECD 485)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lastRenderedPageBreak/>
              <w:t>(c) Mouse specific locus test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A.5.4.2   Examples of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somatic cell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Mammalian bone marrow chromosome aberration test (OECD 475)</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Mouse spot test (OECD 484)</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Mammalian erythrocyte micronucleus test (OECD 474)</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A.5.4.3   Examples of mutagenicity/genotoxicity tests in germ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(a) Mutagenicity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 Mammalian spermatogonial chromosome aberration test (OECD 483)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Spermatid micronucleus assay</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Genotoxicity tests:</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 Sister chromatid exchange analysis in spermatogonia</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(ii) Unscheduled DNA synthesis test (UDS) in testicular cells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A.5.4.4   Examples of genotoxicity tests in somatic cells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Liver Unscheduled DNA Synthesis (UDS)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(OECD 486)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(b) Mammalian bone marrow Sister Chromatid Exchanges (SCE)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A.5.4.5   Examples of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mutagenicity tests are:</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chromosome aberration test (OECD 473)</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mammalian cell gene mutation test (OECD 476)</w:t>
            </w:r>
          </w:p>
          <w:p w:rsidR="002F1441" w:rsidRPr="002F1441" w:rsidRDefault="002F1441" w:rsidP="002F1441">
            <w:pPr>
              <w:spacing w:before="100" w:beforeAutospacing="1" w:after="100" w:afterAutospacing="1" w:line="240" w:lineRule="auto"/>
              <w:ind w:left="960"/>
              <w:jc w:val="center"/>
              <w:rPr>
                <w:rFonts w:ascii="Arial" w:eastAsia="Times New Roman" w:hAnsi="Arial" w:cs="Arial"/>
                <w:sz w:val="18"/>
                <w:szCs w:val="18"/>
              </w:rPr>
            </w:pPr>
            <w:r w:rsidRPr="002F1441">
              <w:rPr>
                <w:rFonts w:ascii="Arial" w:eastAsia="Times New Roman" w:hAnsi="Arial" w:cs="Arial"/>
                <w:sz w:val="18"/>
                <w:szCs w:val="18"/>
              </w:rPr>
              <w:t>(c) Bacterial reverse mutation tests (OECD 471)</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A.5.4.6   As new, scientifically validated tests </w:t>
            </w:r>
            <w:proofErr w:type="gramStart"/>
            <w:r w:rsidRPr="002F1441">
              <w:rPr>
                <w:rFonts w:ascii="Arial" w:eastAsia="Times New Roman" w:hAnsi="Arial" w:cs="Arial"/>
                <w:sz w:val="18"/>
                <w:szCs w:val="18"/>
              </w:rPr>
              <w:t>arise,</w:t>
            </w:r>
            <w:proofErr w:type="gramEnd"/>
            <w:r w:rsidRPr="002F1441">
              <w:rPr>
                <w:rFonts w:ascii="Arial" w:eastAsia="Times New Roman" w:hAnsi="Arial" w:cs="Arial"/>
                <w:sz w:val="18"/>
                <w:szCs w:val="18"/>
              </w:rPr>
              <w:t xml:space="preserve"> these may also be used in the total weight of evidence to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   CARCINOGENICITY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w:t>
            </w:r>
            <w:r w:rsidRPr="002F1441">
              <w:rPr>
                <w:rFonts w:ascii="Arial" w:eastAsia="Times New Roman" w:hAnsi="Arial" w:cs="Arial"/>
                <w:sz w:val="18"/>
                <w:szCs w:val="18"/>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of a substance or mixture as posing a carcinogenic hazard is based on its inherent properties and does not provide information on the level of the human cancer risk which the use of the substance or mixture may represent.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A.6.2   Classification Criteria for Substances</w:t>
            </w:r>
            <w:r w:rsidRPr="002F1441">
              <w:rPr>
                <w:rFonts w:ascii="Arial" w:eastAsia="Times New Roman" w:hAnsi="Arial" w:cs="Arial"/>
                <w:kern w:val="36"/>
                <w:sz w:val="14"/>
                <w:szCs w:val="14"/>
                <w:vertAlign w:val="superscript"/>
              </w:rPr>
              <w:t>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6</w:t>
            </w:r>
            <w:r w:rsidRPr="002F1441">
              <w:rPr>
                <w:rFonts w:ascii="Arial" w:eastAsia="Times New Roman" w:hAnsi="Arial" w:cs="Arial"/>
                <w:i/>
                <w:iCs/>
                <w:sz w:val="18"/>
                <w:szCs w:val="18"/>
              </w:rPr>
              <w:t>See Non-mandatory Appendix F Part A for further guidance regarding hazard classification for carcinogenicity. This appendix is consistent with the GHS adn is provided as guidance excerpted from the International Agency for Research on Cancer (IARC) “Monographs on the Evaluation of Carcinogenic Risks to Humans” (2006).</w:t>
            </w:r>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A.6.1—Hazard Categories for Carcinogens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w:t>
                  </w:r>
                  <w:r w:rsidRPr="002F1441">
                    <w:rPr>
                      <w:rFonts w:ascii="Arial" w:eastAsia="Times New Roman" w:hAnsi="Arial" w:cs="Arial"/>
                      <w:i/>
                      <w:iCs/>
                      <w:sz w:val="20"/>
                      <w:szCs w:val="20"/>
                    </w:rPr>
                    <w:t>Known or presumed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to have carcinogenic potential for humans. Classification in this category is largely based on human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to have carcinogenic potential for humans. Classification in this category is largely based on animal evidence.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1A and 1B is based on strength of evidence together with weight of evidence considerations (See paragraph A.6.2.5). Such evidence may be derived from:</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—human studies that establish a causal relationship between human exposure to a substance and the development of cancer (known human carcinogen);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92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—animal experiments for which there is sufficient evidence to demonstrate animal carcinogenicity (presumed human 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carcinogens.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w:t>
            </w:r>
            <w:r w:rsidRPr="002F1441">
              <w:rPr>
                <w:rFonts w:ascii="Arial" w:eastAsia="Times New Roman" w:hAnsi="Arial" w:cs="Arial"/>
                <w:sz w:val="18"/>
                <w:szCs w:val="18"/>
              </w:rPr>
              <w:lastRenderedPageBreak/>
              <w:t>regulatory agencies.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A.6.2.3   </w:t>
            </w:r>
            <w:r w:rsidRPr="002F1441">
              <w:rPr>
                <w:rFonts w:ascii="Arial" w:eastAsia="Times New Roman" w:hAnsi="Arial" w:cs="Arial"/>
                <w:i/>
                <w:iCs/>
                <w:sz w:val="18"/>
                <w:szCs w:val="18"/>
              </w:rPr>
              <w:t>Carcinogen classification</w:t>
            </w:r>
            <w:r w:rsidRPr="002F1441">
              <w:rPr>
                <w:rFonts w:ascii="Arial" w:eastAsia="Times New Roman" w:hAnsi="Arial" w:cs="Arial"/>
                <w:sz w:val="18"/>
                <w:szCs w:val="18"/>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A.6.2.4   </w:t>
            </w:r>
            <w:r w:rsidRPr="002F1441">
              <w:rPr>
                <w:rFonts w:ascii="Arial" w:eastAsia="Times New Roman" w:hAnsi="Arial" w:cs="Arial"/>
                <w:i/>
                <w:iCs/>
                <w:sz w:val="18"/>
                <w:szCs w:val="18"/>
              </w:rPr>
              <w:t>Strength of evidence</w:t>
            </w:r>
            <w:r w:rsidRPr="002F1441">
              <w:rPr>
                <w:rFonts w:ascii="Arial" w:eastAsia="Times New Roman" w:hAnsi="Arial" w:cs="Arial"/>
                <w:sz w:val="18"/>
                <w:szCs w:val="18"/>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   </w:t>
            </w:r>
            <w:r w:rsidRPr="002F1441">
              <w:rPr>
                <w:rFonts w:ascii="Arial" w:eastAsia="Times New Roman" w:hAnsi="Arial" w:cs="Arial"/>
                <w:i/>
                <w:iCs/>
                <w:sz w:val="18"/>
                <w:szCs w:val="18"/>
              </w:rPr>
              <w:t>Weight of evidence:</w:t>
            </w:r>
            <w:r w:rsidRPr="002F1441">
              <w:rPr>
                <w:rFonts w:ascii="Arial" w:eastAsia="Times New Roman" w:hAnsi="Arial" w:cs="Arial"/>
                <w:sz w:val="18"/>
                <w:szCs w:val="18"/>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A.6.2.5.2   Some important factors which may be taken into consideration, when assessing the overall level of concern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Tumor type and background incidence;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Multisite responses;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Progression of lesions to malignancy;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Additional factors which may increase or decrease the level of concern include: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Whether responses are in single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Whether responses are in a single species or several species;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Structural similarity or not to a substance(s) for which there is good evidence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Routes of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Comparison of absorption, distribution, metabolism and excretion between test animals and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(j) The possibility of a confounding effect of excessive toxicity at test doses;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(k) Mode of action and its relevance for humans, such as mutagenicity, cytotoxicity with growth stimulation, mitogenesis, immunosuppression.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lastRenderedPageBreak/>
              <w:t>Mutagenicity:</w:t>
            </w:r>
            <w:r w:rsidRPr="002F1441">
              <w:rPr>
                <w:rFonts w:ascii="Arial" w:eastAsia="Times New Roman" w:hAnsi="Arial" w:cs="Arial"/>
                <w:sz w:val="18"/>
                <w:szCs w:val="18"/>
              </w:rPr>
              <w:t xml:space="preserve"> It is recognized that genetic events are central in the overall process of cancer development. Therefore evidence of mutagenic activity </w:t>
            </w:r>
            <w:r w:rsidRPr="002F1441">
              <w:rPr>
                <w:rFonts w:ascii="Arial" w:eastAsia="Times New Roman" w:hAnsi="Arial" w:cs="Arial"/>
                <w:i/>
                <w:iCs/>
                <w:sz w:val="18"/>
                <w:szCs w:val="18"/>
              </w:rPr>
              <w:t>in vivo</w:t>
            </w:r>
            <w:r w:rsidRPr="002F1441">
              <w:rPr>
                <w:rFonts w:ascii="Arial" w:eastAsia="Times New Roman" w:hAnsi="Arial" w:cs="Arial"/>
                <w:sz w:val="18"/>
                <w:szCs w:val="18"/>
              </w:rPr>
              <w:t xml:space="preserve"> may indicate that a substance has a potential for carcinogenic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benzidine congener dyes.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A.6.2.5.5   It is important that whatever is known of the physico-chemical, toxicokinetic and toxicodynamic properties of the substances, as well as any available relevant information on chemical analogues, i.e., structure activity relationship, is taken into consideration when undertaking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   Classification Criteria for Mixtures</w:t>
            </w:r>
            <w:r w:rsidRPr="002F1441">
              <w:rPr>
                <w:rFonts w:ascii="Arial" w:eastAsia="Times New Roman" w:hAnsi="Arial" w:cs="Arial"/>
                <w:kern w:val="36"/>
                <w:sz w:val="14"/>
                <w:szCs w:val="14"/>
                <w:vertAlign w:val="superscript"/>
              </w:rPr>
              <w:t>7</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7</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A.6.3.1   The mixture shall be classified as a carcinogen when at least one ingredient has been classified as a Category 1 or Category 2 carcinogen and is present at or above the appropriate cut-off value/concentration limit as shown in Table A.6.1.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A.6.1—Cut-Off Values/Concentration Limits of Ingredients of a Mixture Classified as Carcinogen That Would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492"/>
              <w:gridCol w:w="2134"/>
              <w:gridCol w:w="27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r w:rsidRPr="002F1441">
                    <w:rPr>
                      <w:rFonts w:ascii="Arial" w:eastAsia="Times New Roman" w:hAnsi="Arial" w:cs="Arial"/>
                      <w:b/>
                      <w:bCs/>
                      <w:sz w:val="20"/>
                      <w:szCs w:val="20"/>
                    </w:rPr>
                    <w:br/>
                    <w:t>carcinogen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r w:rsidRPr="002F1441">
                    <w:rPr>
                      <w:rFonts w:ascii="Arial" w:eastAsia="Times New Roman" w:hAnsi="Arial" w:cs="Arial"/>
                      <w:b/>
                      <w:bCs/>
                      <w:sz w:val="20"/>
                      <w:szCs w:val="20"/>
                    </w:rPr>
                    <w:br/>
                    <w:t>carcinogen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carcinogen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≥0.1%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w:t>
            </w:r>
            <w:r w:rsidRPr="002F1441">
              <w:rPr>
                <w:rFonts w:ascii="Arial" w:eastAsia="Times New Roman" w:hAnsi="Arial" w:cs="Arial"/>
                <w:i/>
                <w:iCs/>
                <w:sz w:val="18"/>
                <w:szCs w:val="18"/>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Where the mixture itself has not been tested to determine its carcinogenic hazard, but there are sufficient data </w:t>
            </w:r>
            <w:r w:rsidRPr="002F1441">
              <w:rPr>
                <w:rFonts w:ascii="Arial" w:eastAsia="Times New Roman" w:hAnsi="Arial" w:cs="Arial"/>
                <w:sz w:val="18"/>
                <w:szCs w:val="18"/>
              </w:rPr>
              <w:lastRenderedPageBreak/>
              <w:t>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A.6.4   Classification of Carcinogenicity</w:t>
            </w:r>
            <w:r w:rsidRPr="002F1441">
              <w:rPr>
                <w:rFonts w:ascii="Arial" w:eastAsia="Times New Roman" w:hAnsi="Arial" w:cs="Arial"/>
                <w:kern w:val="36"/>
                <w:sz w:val="14"/>
                <w:szCs w:val="14"/>
                <w:vertAlign w:val="superscript"/>
              </w:rPr>
              <w:t>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8</w:t>
            </w:r>
            <w:r w:rsidRPr="002F1441">
              <w:rPr>
                <w:rFonts w:ascii="Arial" w:eastAsia="Times New Roman" w:hAnsi="Arial" w:cs="Arial"/>
                <w:i/>
                <w:iCs/>
                <w:sz w:val="18"/>
                <w:szCs w:val="18"/>
              </w:rPr>
              <w:t>See Non-mandatory Appendix F for further guidance regarding hazard classification for carcinogenicity and how to relate carcinogenicity classification information from IARC and NTP to GHS.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A.6.4.1.1   National Toxicology Program (NTP), “Report on Carcinogens” (latest edition);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A.6.4.1.2   International Agency for Research on Cancer (IARC) “Monographs on the Evaluation of Carcinogenic Risks to Humans” (latest editions)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   REPRODUCTIVE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A.7.1.1   </w:t>
            </w:r>
            <w:r w:rsidRPr="002F1441">
              <w:rPr>
                <w:rFonts w:ascii="Arial" w:eastAsia="Times New Roman" w:hAnsi="Arial" w:cs="Arial"/>
                <w:i/>
                <w:iCs/>
                <w:sz w:val="18"/>
                <w:szCs w:val="18"/>
              </w:rPr>
              <w:t>Reproductive toxicity</w:t>
            </w:r>
            <w:r w:rsidRPr="002F1441">
              <w:rPr>
                <w:rFonts w:ascii="Arial" w:eastAsia="Times New Roman" w:hAnsi="Arial" w:cs="Arial"/>
                <w:sz w:val="18"/>
                <w:szCs w:val="18"/>
              </w:rPr>
              <w:t xml:space="preserve"> includes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in adult males and females, as well as </w:t>
            </w:r>
            <w:r w:rsidRPr="002F1441">
              <w:rPr>
                <w:rFonts w:ascii="Arial" w:eastAsia="Times New Roman" w:hAnsi="Arial" w:cs="Arial"/>
                <w:i/>
                <w:iCs/>
                <w:sz w:val="18"/>
                <w:szCs w:val="18"/>
              </w:rPr>
              <w:t>adverse effects on development of the offspring.</w:t>
            </w:r>
            <w:r w:rsidRPr="002F1441">
              <w:rPr>
                <w:rFonts w:ascii="Arial" w:eastAsia="Times New Roman" w:hAnsi="Arial" w:cs="Arial"/>
                <w:sz w:val="18"/>
                <w:szCs w:val="18"/>
              </w:rPr>
              <w:t xml:space="preserve"> Some reproductive toxic effects cannot be clearly assigned to either impairment of sexual function and fertility or to developmental toxicity. Nonetheless, chemicals with these effects shall be classified as reproductive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For classification purposes, the known induction of genetically based inheritable effects in the offspring is addressed in </w:t>
            </w:r>
            <w:r w:rsidRPr="002F1441">
              <w:rPr>
                <w:rFonts w:ascii="Arial" w:eastAsia="Times New Roman" w:hAnsi="Arial" w:cs="Arial"/>
                <w:i/>
                <w:iCs/>
                <w:sz w:val="18"/>
                <w:szCs w:val="18"/>
              </w:rPr>
              <w:t>Germ cell mutagenicity</w:t>
            </w:r>
            <w:r w:rsidRPr="002F1441">
              <w:rPr>
                <w:rFonts w:ascii="Arial" w:eastAsia="Times New Roman" w:hAnsi="Arial" w:cs="Arial"/>
                <w:sz w:val="18"/>
                <w:szCs w:val="18"/>
              </w:rPr>
              <w:t xml:space="preserve"> (See A.5).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A.7.1.2   </w:t>
            </w:r>
            <w:r w:rsidRPr="002F1441">
              <w:rPr>
                <w:rFonts w:ascii="Arial" w:eastAsia="Times New Roman" w:hAnsi="Arial" w:cs="Arial"/>
                <w:i/>
                <w:iCs/>
                <w:sz w:val="18"/>
                <w:szCs w:val="18"/>
              </w:rPr>
              <w:t>Adverse effects on sexual function and fertility</w:t>
            </w:r>
            <w:r w:rsidRPr="002F1441">
              <w:rPr>
                <w:rFonts w:ascii="Arial" w:eastAsia="Times New Roman" w:hAnsi="Arial" w:cs="Arial"/>
                <w:sz w:val="18"/>
                <w:szCs w:val="18"/>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behaviour, fertility, parturition, pregnancy outcomes, premature reproductive senescence, or modifications in other functions that are dependent on the integrity of the reproductive systems.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A.7.1.3   </w:t>
            </w:r>
            <w:r w:rsidRPr="002F1441">
              <w:rPr>
                <w:rFonts w:ascii="Arial" w:eastAsia="Times New Roman" w:hAnsi="Arial" w:cs="Arial"/>
                <w:i/>
                <w:iCs/>
                <w:sz w:val="18"/>
                <w:szCs w:val="18"/>
              </w:rPr>
              <w:t xml:space="preserve">Adverse </w:t>
            </w:r>
            <w:proofErr w:type="gramStart"/>
            <w:r w:rsidRPr="002F1441">
              <w:rPr>
                <w:rFonts w:ascii="Arial" w:eastAsia="Times New Roman" w:hAnsi="Arial" w:cs="Arial"/>
                <w:i/>
                <w:iCs/>
                <w:sz w:val="18"/>
                <w:szCs w:val="18"/>
              </w:rPr>
              <w:t>effects</w:t>
            </w:r>
            <w:proofErr w:type="gramEnd"/>
            <w:r w:rsidRPr="002F1441">
              <w:rPr>
                <w:rFonts w:ascii="Arial" w:eastAsia="Times New Roman" w:hAnsi="Arial" w:cs="Arial"/>
                <w:i/>
                <w:iCs/>
                <w:sz w:val="18"/>
                <w:szCs w:val="18"/>
              </w:rPr>
              <w:t xml:space="preserve"> on development of the offspring</w:t>
            </w:r>
            <w:r w:rsidRPr="002F1441">
              <w:rPr>
                <w:rFonts w:ascii="Arial" w:eastAsia="Times New Roman" w:hAnsi="Arial" w:cs="Arial"/>
                <w:sz w:val="18"/>
                <w:szCs w:val="18"/>
              </w:rPr>
              <w:t xml:space="preserve">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A.7.1.4   Adverse effects on or via lactation are also included in reproductive toxicity, but for classification purposes, such effects are treated separately (See A.7.2.1).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A.7.2.1   For the purpose of classification for reproductive toxicity, substances shall be classified in one of two categories in accordance with Figure </w:t>
            </w:r>
            <w:proofErr w:type="gramStart"/>
            <w:r w:rsidRPr="002F1441">
              <w:rPr>
                <w:rFonts w:ascii="Arial" w:eastAsia="Times New Roman" w:hAnsi="Arial" w:cs="Arial"/>
                <w:sz w:val="18"/>
                <w:szCs w:val="18"/>
              </w:rPr>
              <w:t>A.7.1(</w:t>
            </w:r>
            <w:proofErr w:type="gramEnd"/>
            <w:r w:rsidRPr="002F1441">
              <w:rPr>
                <w:rFonts w:ascii="Arial" w:eastAsia="Times New Roman" w:hAnsi="Arial" w:cs="Arial"/>
                <w:sz w:val="18"/>
                <w:szCs w:val="18"/>
              </w:rPr>
              <w:t xml:space="preserve">a). Effects on sexual function and fertility, and on development, shall be considered. In addition, effects on or via lactation shall be classified in a separate hazard category in accordance with Figure </w:t>
            </w:r>
            <w:proofErr w:type="gramStart"/>
            <w:r w:rsidRPr="002F1441">
              <w:rPr>
                <w:rFonts w:ascii="Arial" w:eastAsia="Times New Roman" w:hAnsi="Arial" w:cs="Arial"/>
                <w:sz w:val="18"/>
                <w:szCs w:val="18"/>
              </w:rPr>
              <w:t>A.7.1(</w:t>
            </w:r>
            <w:proofErr w:type="gramEnd"/>
            <w:r w:rsidRPr="002F1441">
              <w:rPr>
                <w:rFonts w:ascii="Arial" w:eastAsia="Times New Roman" w:hAnsi="Arial" w:cs="Arial"/>
                <w:sz w:val="18"/>
                <w:szCs w:val="18"/>
              </w:rPr>
              <w:t>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lastRenderedPageBreak/>
              <w:t>Figure A.7.1(a)—Hazard Categories for Reproductive Toxicants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Known or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 Known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humans.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 Presumed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Suspected human reproductive toxicant.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A.7.1(b)—Hazard Category for Effects on or Via Lactation</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absorption, metabolism, distribution and excretion studies that indicate the likelihood the substance would be present in potentially toxic levels in breast milk; 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(b) results of one or two generation studies in animals which provide clear evidence of adverse effect in the offspring due to transfer in the milk or adverse effect on the quality of the milk; </w:t>
                  </w:r>
                  <w:r w:rsidRPr="002F1441">
                    <w:rPr>
                      <w:rFonts w:ascii="Arial" w:eastAsia="Times New Roman" w:hAnsi="Arial" w:cs="Arial"/>
                      <w:sz w:val="20"/>
                      <w:szCs w:val="20"/>
                    </w:rPr>
                    <w:lastRenderedPageBreak/>
                    <w:t>and/or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xml:space="preserve">(c) </w:t>
                  </w:r>
                  <w:proofErr w:type="gramStart"/>
                  <w:r w:rsidRPr="002F1441">
                    <w:rPr>
                      <w:rFonts w:ascii="Arial" w:eastAsia="Times New Roman" w:hAnsi="Arial" w:cs="Arial"/>
                      <w:sz w:val="20"/>
                      <w:szCs w:val="20"/>
                    </w:rPr>
                    <w:t>human</w:t>
                  </w:r>
                  <w:proofErr w:type="gramEnd"/>
                  <w:r w:rsidRPr="002F1441">
                    <w:rPr>
                      <w:rFonts w:ascii="Arial" w:eastAsia="Times New Roman" w:hAnsi="Arial" w:cs="Arial"/>
                      <w:sz w:val="20"/>
                      <w:szCs w:val="20"/>
                    </w:rPr>
                    <w:t xml:space="preserve"> evidence indicating a hazard to babies during the lactation period.</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A.7.2.2   Basis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A.7.2.2.2   In the evaluation of toxic effects on the developing offspring, it is important to consider the possible influence of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A.7.2.3   Weight of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A.7.2.3.2   Toxicokinetic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toxicokinetic differences are so marked that it is certain that the hazardous property will not be expressed in humans then a chemical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w:t>
            </w:r>
            <w:r w:rsidRPr="002F1441">
              <w:rPr>
                <w:rFonts w:ascii="Arial" w:eastAsia="Times New Roman" w:hAnsi="Arial" w:cs="Arial"/>
                <w:sz w:val="18"/>
                <w:szCs w:val="18"/>
              </w:rPr>
              <w:lastRenderedPageBreak/>
              <w:t>case-by-case basis when a causal relationship is established or refuted.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A.7.2.4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A.7.2.4.4   Some of the endpoints used to assess maternal toxicity are provided below. Data on these endpoints, if available, shall be evaluated in light of their statistical or biological significance and dose-response relationship.</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Mating index (Number of animals with seminal plugs or sperm/Number of mated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Fertility index (Number of animals with implants/Number of matings × 100)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(d) Gestation length (If allowed to deliver)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A.7.2.5   Animal and Experimental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A.7.2.5.1   A number of scientifically validated test methods are available, including methods for developmental toxicity testing (e.g., OECD Test Guideline 414, ICH Guideline S5A, 1993), methods for peri- and post-natal toxicity testing (e.g., ICH S5B, 1995), and methods for one or two-generation toxicity testing (e.g., OECD Test Guidelines 415, 416)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A.7.2.5.4   Evidence from </w:t>
            </w:r>
            <w:r w:rsidRPr="002F1441">
              <w:rPr>
                <w:rFonts w:ascii="Arial" w:eastAsia="Times New Roman" w:hAnsi="Arial" w:cs="Arial"/>
                <w:i/>
                <w:iCs/>
                <w:sz w:val="18"/>
                <w:szCs w:val="18"/>
              </w:rPr>
              <w:t>in vitro</w:t>
            </w:r>
            <w:r w:rsidRPr="002F1441">
              <w:rPr>
                <w:rFonts w:ascii="Arial" w:eastAsia="Times New Roman" w:hAnsi="Arial" w:cs="Arial"/>
                <w:sz w:val="18"/>
                <w:szCs w:val="18"/>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toxicokinetic differences are so marked that it is certain that the hazardous property will not be expressed in humans then a substance which produces an adverse effect on reproduction in experimental animals should not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A.7.2.5.7   There is general agreement about the concept of a limit dose, above which the production of an adverse effect may be considered to be outside the criteria which lead to classification. Some test guidelines specify a limit </w:t>
            </w:r>
            <w:proofErr w:type="gramStart"/>
            <w:r w:rsidRPr="002F1441">
              <w:rPr>
                <w:rFonts w:ascii="Arial" w:eastAsia="Times New Roman" w:hAnsi="Arial" w:cs="Arial"/>
                <w:sz w:val="18"/>
                <w:szCs w:val="18"/>
              </w:rPr>
              <w:t>dose,</w:t>
            </w:r>
            <w:proofErr w:type="gramEnd"/>
            <w:r w:rsidRPr="002F1441">
              <w:rPr>
                <w:rFonts w:ascii="Arial" w:eastAsia="Times New Roman" w:hAnsi="Arial" w:cs="Arial"/>
                <w:sz w:val="18"/>
                <w:szCs w:val="18"/>
              </w:rPr>
              <w:t xml:space="preserve"> other test guidelines qualify the limit dose with a statement that higher doses may be necessary if anticipated human exposure is sufficiently high that an adequate margin of exposure would not be achieved. Also, due to species differences in toxicokinetics, establishing a specific limit dose may not be adequate for situations where humans are more sensitive than the animal model.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A.7.2.5.8   In principle, adverse effects on reproduction seen only at very high dose levels in animal studies (for example doses that induce prostration, severe inappetence, excessive mortality) do not normally lead to classification, unless other information is available, for example, toxicokinetics information indicating that humans may be more susceptible than animals, to suggest that classification is appropriate.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A.7.2.5.9   However, specification of the actual “limit dose” will depend upon the test method that has been employed to provide the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   Classification Criteria for Mixtures</w:t>
            </w:r>
            <w:r w:rsidRPr="002F1441">
              <w:rPr>
                <w:rFonts w:ascii="Arial" w:eastAsia="Times New Roman" w:hAnsi="Arial" w:cs="Arial"/>
                <w:kern w:val="36"/>
                <w:sz w:val="14"/>
                <w:szCs w:val="14"/>
                <w:vertAlign w:val="superscript"/>
              </w:rPr>
              <w:t>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9</w:t>
            </w:r>
            <w:r w:rsidRPr="002F1441">
              <w:rPr>
                <w:rFonts w:ascii="Arial" w:eastAsia="Times New Roman" w:hAnsi="Arial" w:cs="Arial"/>
                <w:i/>
                <w:iCs/>
                <w:sz w:val="18"/>
                <w:szCs w:val="18"/>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A.7.3.1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A.7.1—Cut-Off Values/Concentration Limits of Ingredients of a Mixture Classified as Reproductive Toxicants or for Effects on or via Lactation That Trigger Classification of the Mixture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901"/>
              <w:gridCol w:w="2315"/>
              <w:gridCol w:w="2315"/>
              <w:gridCol w:w="181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Ingredients classified as: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Additional category for</w:t>
                  </w:r>
                  <w:r w:rsidRPr="002F1441">
                    <w:rPr>
                      <w:rFonts w:ascii="Arial" w:eastAsia="Times New Roman" w:hAnsi="Arial" w:cs="Arial"/>
                      <w:b/>
                      <w:bCs/>
                      <w:sz w:val="20"/>
                      <w:szCs w:val="20"/>
                    </w:rPr>
                    <w:br/>
                    <w:t>effects on or via lactation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reproductive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Additional category for effects on or via lactation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≥0.1%</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A.7.3.3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   SPECIFIC TARGET ORGAN TOXICITY SINGLE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A.8.1.1   </w:t>
            </w:r>
            <w:r w:rsidRPr="002F1441">
              <w:rPr>
                <w:rFonts w:ascii="Arial" w:eastAsia="Times New Roman" w:hAnsi="Arial" w:cs="Arial"/>
                <w:i/>
                <w:iCs/>
                <w:sz w:val="18"/>
                <w:szCs w:val="18"/>
              </w:rPr>
              <w:t>Specific target organ toxicity—single exposure, (STOT-SE)</w:t>
            </w:r>
            <w:r w:rsidRPr="002F1441">
              <w:rPr>
                <w:rFonts w:ascii="Arial" w:eastAsia="Times New Roman" w:hAnsi="Arial" w:cs="Arial"/>
                <w:sz w:val="18"/>
                <w:szCs w:val="18"/>
              </w:rPr>
              <w:t xml:space="preserve"> means specific, non-lethal target organ toxicity arising from a single exposure to a chemical. All significant health effects that can impair function, </w:t>
            </w:r>
            <w:proofErr w:type="gramStart"/>
            <w:r w:rsidRPr="002F1441">
              <w:rPr>
                <w:rFonts w:ascii="Arial" w:eastAsia="Times New Roman" w:hAnsi="Arial" w:cs="Arial"/>
                <w:sz w:val="18"/>
                <w:szCs w:val="18"/>
              </w:rPr>
              <w:t>both reversible</w:t>
            </w:r>
            <w:proofErr w:type="gramEnd"/>
            <w:r w:rsidRPr="002F1441">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repeated exposure is classified in accordance with </w:t>
            </w:r>
            <w:r w:rsidRPr="002F1441">
              <w:rPr>
                <w:rFonts w:ascii="Arial" w:eastAsia="Times New Roman" w:hAnsi="Arial" w:cs="Arial"/>
                <w:i/>
                <w:iCs/>
                <w:sz w:val="18"/>
                <w:szCs w:val="18"/>
              </w:rPr>
              <w:t>SPECIFIC TARGET ORGAN TOXICITY—REPEATED EXPOSURE</w:t>
            </w:r>
            <w:r w:rsidRPr="002F1441">
              <w:rPr>
                <w:rFonts w:ascii="Arial" w:eastAsia="Times New Roman" w:hAnsi="Arial" w:cs="Arial"/>
                <w:sz w:val="18"/>
                <w:szCs w:val="18"/>
              </w:rPr>
              <w:t xml:space="preserve"> (A.9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A.8.1.2   Classification identifies the chemical as being a specific target organ toxicant and, as such, it presents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A.8.1.5   Specific target organ toxicity can occur by any route that is relevant for humans, i.e., principally oral, dermal or inhalation.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A.8.1.6   The classification criteria for specific organ systemic toxicity single exposure are organized as criteria for substances Categories 1 and 2 (See A.8.2.1), criteria for substances Category 3 (See A.8.2.2) and criteria for mixtures (See A.8.3). See also Figure A.8.1.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   Classification Criteria for Substances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A.8.2.1   Substances of Category 1 and Category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w:t>
            </w:r>
            <w:r w:rsidRPr="002F1441">
              <w:rPr>
                <w:rFonts w:ascii="Arial" w:eastAsia="Times New Roman" w:hAnsi="Arial" w:cs="Arial"/>
                <w:sz w:val="18"/>
                <w:szCs w:val="18"/>
              </w:rPr>
              <w:lastRenderedPageBreak/>
              <w:t>the effect(s) observed, in accordance with Figure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A.8.1—Hazard Categories for Specific Target Organ Toxicity Following Single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2F1441">
                    <w:rPr>
                      <w:rFonts w:ascii="Arial" w:eastAsia="Times New Roman" w:hAnsi="Arial" w:cs="Arial"/>
                      <w:sz w:val="20"/>
                      <w:szCs w:val="20"/>
                    </w:rPr>
                    <w:br/>
                    <w:t>Substances are classified in Category 1 for STOT-SE on the basis of:</w:t>
                  </w:r>
                  <w:r w:rsidRPr="002F1441">
                    <w:rPr>
                      <w:rFonts w:ascii="Arial" w:eastAsia="Times New Roman" w:hAnsi="Arial" w:cs="Arial"/>
                      <w:sz w:val="20"/>
                      <w:szCs w:val="20"/>
                    </w:rPr>
                    <w:br/>
                    <w:t>(a) reliable and good quality evidence from human cases or epidemiological studies; or</w:t>
                  </w:r>
                  <w:r w:rsidRPr="002F1441">
                    <w:rPr>
                      <w:rFonts w:ascii="Arial" w:eastAsia="Times New Roman" w:hAnsi="Arial" w:cs="Arial"/>
                      <w:sz w:val="20"/>
                      <w:szCs w:val="20"/>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single exposure</w:t>
                  </w:r>
                  <w:r w:rsidRPr="002F1441">
                    <w:rPr>
                      <w:rFonts w:ascii="Arial" w:eastAsia="Times New Roman" w:hAnsi="Arial" w:cs="Arial"/>
                      <w:sz w:val="20"/>
                      <w:szCs w:val="20"/>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2F1441">
                    <w:rPr>
                      <w:rFonts w:ascii="Arial" w:eastAsia="Times New Roman" w:hAnsi="Arial" w:cs="Arial"/>
                      <w:sz w:val="20"/>
                      <w:szCs w:val="20"/>
                    </w:rPr>
                    <w:br/>
                    <w:t>In exceptional cases, human evidence can also be used to place a substance in Category 2 (See A.8.2.1.6).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3:</w:t>
                  </w:r>
                  <w:r w:rsidRPr="002F1441">
                    <w:rPr>
                      <w:rFonts w:ascii="Arial" w:eastAsia="Times New Roman" w:hAnsi="Arial" w:cs="Arial"/>
                      <w:sz w:val="20"/>
                      <w:szCs w:val="20"/>
                    </w:rPr>
                    <w:t xml:space="preserve"> Transient target organ effects</w:t>
                  </w:r>
                  <w:r w:rsidRPr="002F1441">
                    <w:rPr>
                      <w:rFonts w:ascii="Arial" w:eastAsia="Times New Roman" w:hAnsi="Arial" w:cs="Arial"/>
                      <w:sz w:val="20"/>
                      <w:szCs w:val="20"/>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The primary target organ/system shall be identified where possible, and where this is not possible, the substance shall be identified as a general toxicant. The data shall be evaluated and, where possible, shall not include secondary effects (e.g., a hepatotoxicant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A.8.2.1.2   The relevant route(s)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A.8.2.1.4   Weight of evidence of all available data, including human incidents, epidemiology, and studies conducted in experimental animals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w:t>
            </w:r>
            <w:r w:rsidRPr="002F1441">
              <w:rPr>
                <w:rFonts w:ascii="Arial" w:eastAsia="Times New Roman" w:hAnsi="Arial" w:cs="Arial"/>
                <w:sz w:val="18"/>
                <w:szCs w:val="18"/>
              </w:rPr>
              <w:lastRenderedPageBreak/>
              <w:t>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   Effects considered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A.8.2.1.7.1   Classification is supported by evidence associating single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resulting from single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A.8.2.1.8   Effects considered not to support classification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(e) Substance-induced species-specific mechanisms of toxicity, i.e., demonstrated with reasonable certainty to be not relevant for human health, shall not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   Guidance values to assist with classification based on the results obtained from studies conducted in experimental animals for Category 1 and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A.8.2.1.9.1   In order to help reach a decision about whether a substance shall be classified or not, and to what degree it shall be classified (Category 1 vs. Category 2)</w:t>
            </w:r>
            <w:proofErr w:type="gramStart"/>
            <w:r w:rsidRPr="002F1441">
              <w:rPr>
                <w:rFonts w:ascii="Arial" w:eastAsia="Times New Roman" w:hAnsi="Arial" w:cs="Arial"/>
                <w:sz w:val="18"/>
                <w:szCs w:val="18"/>
              </w:rPr>
              <w:t>,</w:t>
            </w:r>
            <w:proofErr w:type="gramEnd"/>
            <w:r w:rsidRPr="002F1441">
              <w:rPr>
                <w:rFonts w:ascii="Arial" w:eastAsia="Times New Roman" w:hAnsi="Arial" w:cs="Arial"/>
                <w:sz w:val="18"/>
                <w:szCs w:val="18"/>
              </w:rPr>
              <w:t xml:space="preserve">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w:t>
            </w:r>
            <w:proofErr w:type="gramStart"/>
            <w:r w:rsidRPr="002F1441">
              <w:rPr>
                <w:rFonts w:ascii="Arial" w:eastAsia="Times New Roman" w:hAnsi="Arial" w:cs="Arial"/>
                <w:sz w:val="18"/>
                <w:szCs w:val="18"/>
              </w:rPr>
              <w:t>property(</w:t>
            </w:r>
            <w:proofErr w:type="gramEnd"/>
            <w:r w:rsidRPr="002F1441">
              <w:rPr>
                <w:rFonts w:ascii="Arial" w:eastAsia="Times New Roman" w:hAnsi="Arial" w:cs="Arial"/>
                <w:sz w:val="18"/>
                <w:szCs w:val="18"/>
              </w:rPr>
              <w:t>ies) and also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A.8.2.1.9.3   The guidance value (C) ranges for single-dose exposure which has produced a significant non-lethal toxic effect are those applicable to acute toxicity testing, as indicated in Table A.8.1.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A.8.1—Guidance Value Ranges for Single-Dose Exposures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556"/>
              <w:gridCol w:w="1621"/>
              <w:gridCol w:w="1049"/>
              <w:gridCol w:w="1560"/>
              <w:gridCol w:w="2558"/>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 ranges for:</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3</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&gt;300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Guidance values do not apply.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 ≥C &gt;1,000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20,000 ≥C &gt;2,500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mg/1/4h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mg/l/4h</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≥C &gt;1.0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A.8.2.1.10.1   When a substance is characterized only by use of animal data the classification process includes </w:t>
            </w:r>
            <w:r w:rsidRPr="002F1441">
              <w:rPr>
                <w:rFonts w:ascii="Arial" w:eastAsia="Times New Roman" w:hAnsi="Arial" w:cs="Arial"/>
                <w:sz w:val="18"/>
                <w:szCs w:val="18"/>
              </w:rPr>
              <w:lastRenderedPageBreak/>
              <w:t>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A.8.2.2   Substances of Category 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A.8.2.2.1   Criteria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as Category 3 for respiratory tract irritation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Respiratory irritant effects (characterized by localized redness, edema, pruritis and/or pain) that impair function with symptoms such as cough, pain, choking, and breathing difficulties are included. It is recognized that this evaluation is based primarily on human data;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Subjective human observations supported by objective measurements of clear respiratory tract irritation (RTI) (e.g., electrophysiological responses, biomarkers of inflammation in nasal or bronchoalveolar lavage fluids);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(dyspnoea, rhinitis etc) and histopathology (e.g., hyperemia, edema, minimal inflammation, thickened mucous layer) which are reversible and may be reflective of the characteristic clinical symptoms described above. Such animal studies can be used as part of weight of evidence evaluation;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This special classification will occur only when more severe organ effects including the respiratory system are not observed as those effects would require a higher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A.8.2.2.2   Criteria for narcotic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classifying substances in Category 3 for narcotic effects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Narcotic effects observed in animal studies may include lethargy, lack of coordination righting reflex, narcosis, and ataxia. If these effects are not transient in nature, then they shall be considered for classification as Category 1 or 2.</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A.8.3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A.8.3.4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A.8.2—Cut-Off Values/Concentration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811"/>
              <w:gridCol w:w="3270"/>
              <w:gridCol w:w="3263"/>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 limits triggering classification of a 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A.8.3.4.3   Mixtures shall be classified for either or both single and repeated 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   SPECIFIC TARGET ORGAN TOXICITY REPEATED OR PROLONGED EXPOSURE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A.9.1.1   </w:t>
            </w:r>
            <w:r w:rsidRPr="002F1441">
              <w:rPr>
                <w:rFonts w:ascii="Arial" w:eastAsia="Times New Roman" w:hAnsi="Arial" w:cs="Arial"/>
                <w:i/>
                <w:iCs/>
                <w:sz w:val="18"/>
                <w:szCs w:val="18"/>
              </w:rPr>
              <w:t>Specific target organ toxicity—repeated exposure (STOT-RE)</w:t>
            </w:r>
            <w:r w:rsidRPr="002F1441">
              <w:rPr>
                <w:rFonts w:ascii="Arial" w:eastAsia="Times New Roman" w:hAnsi="Arial" w:cs="Arial"/>
                <w:sz w:val="18"/>
                <w:szCs w:val="18"/>
              </w:rPr>
              <w:t xml:space="preserve"> means specific target organ toxicity arising from repeated exposure to a substance or mixture. All significant health effects that can impair function, </w:t>
            </w:r>
            <w:proofErr w:type="gramStart"/>
            <w:r w:rsidRPr="002F1441">
              <w:rPr>
                <w:rFonts w:ascii="Arial" w:eastAsia="Times New Roman" w:hAnsi="Arial" w:cs="Arial"/>
                <w:sz w:val="18"/>
                <w:szCs w:val="18"/>
              </w:rPr>
              <w:t>both reversible</w:t>
            </w:r>
            <w:proofErr w:type="gramEnd"/>
            <w:r w:rsidRPr="002F1441">
              <w:rPr>
                <w:rFonts w:ascii="Arial" w:eastAsia="Times New Roman" w:hAnsi="Arial" w:cs="Arial"/>
                <w:sz w:val="18"/>
                <w:szCs w:val="18"/>
              </w:rPr>
              <w:t xml:space="preserve"> and irreversible, immediate and/or delayed and not specifically addressed in A.1 to A.7 and A.10 of this Appendix are included. Specific target organ toxicity following a single-event exposure is classified in accordance with </w:t>
            </w:r>
            <w:r w:rsidRPr="002F1441">
              <w:rPr>
                <w:rFonts w:ascii="Arial" w:eastAsia="Times New Roman" w:hAnsi="Arial" w:cs="Arial"/>
                <w:i/>
                <w:iCs/>
                <w:sz w:val="18"/>
                <w:szCs w:val="18"/>
              </w:rPr>
              <w:t>SPECIFIC TARGET ORGAN TOXICITY—SINGLE EXPOSURE</w:t>
            </w:r>
            <w:r w:rsidRPr="002F1441">
              <w:rPr>
                <w:rFonts w:ascii="Arial" w:eastAsia="Times New Roman" w:hAnsi="Arial" w:cs="Arial"/>
                <w:sz w:val="18"/>
                <w:szCs w:val="18"/>
              </w:rPr>
              <w:t xml:space="preserve"> (A.8 of this Appendix) and is therefore not included here.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A.9.1.2   Classification identifies the substance or mixture as being a specific target organ toxicant and, as such, it may present a potential for adverse health effects in people who are exposed to it.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A.9.1.4   Assessment shall take into consideration not only significant changes in a single organ or biological system but also generalized changes of a less severe nature involving several organs.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A.9.1.5   Specific target organ toxicity can occur by any route that is relevant for humans, e.g., principally oral, dermal or inhalation.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Figure A.9.1—Hazard Categories for Specific Target Organ Toxicity Following Repeated Exposure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9344"/>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1:</w:t>
                  </w:r>
                  <w:r w:rsidRPr="002F1441">
                    <w:rPr>
                      <w:rFonts w:ascii="Arial" w:eastAsia="Times New Roman" w:hAnsi="Arial" w:cs="Arial"/>
                      <w:sz w:val="20"/>
                      <w:szCs w:val="20"/>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1 for specific target organ toxicity (repeated exposure) on the basis of: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reliable and good quality evidence from human cases or epidemiological studies;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xml:space="preserve">(b) </w:t>
                  </w:r>
                  <w:proofErr w:type="gramStart"/>
                  <w:r w:rsidRPr="002F1441">
                    <w:rPr>
                      <w:rFonts w:ascii="Arial" w:eastAsia="Times New Roman" w:hAnsi="Arial" w:cs="Arial"/>
                      <w:sz w:val="20"/>
                      <w:szCs w:val="20"/>
                    </w:rPr>
                    <w:t>observations</w:t>
                  </w:r>
                  <w:proofErr w:type="gramEnd"/>
                  <w:r w:rsidRPr="002F1441">
                    <w:rPr>
                      <w:rFonts w:ascii="Arial" w:eastAsia="Times New Roman" w:hAnsi="Arial" w:cs="Arial"/>
                      <w:sz w:val="20"/>
                      <w:szCs w:val="20"/>
                    </w:rPr>
                    <w:t xml:space="preserve">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CATEGORY 2:</w:t>
                  </w:r>
                  <w:r w:rsidRPr="002F1441">
                    <w:rPr>
                      <w:rFonts w:ascii="Arial" w:eastAsia="Times New Roman" w:hAnsi="Arial" w:cs="Arial"/>
                      <w:sz w:val="20"/>
                      <w:szCs w:val="20"/>
                    </w:rPr>
                    <w:t xml:space="preserve"> Substances that, on the basis of evidence from studies in experimental animals can be presumed to have the potential to be harmful to human health following repeated or prolonged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960" w:type="dxa"/>
                    <w:bottom w:w="15" w:type="dxa"/>
                    <w:right w:w="15" w:type="dxa"/>
                  </w:tcMar>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exceptional cases human evidence can also be used to place a substance in Category 2 (See A.9.2.6).</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i/>
                      <w:iCs/>
                      <w:sz w:val="20"/>
                      <w:szCs w:val="20"/>
                    </w:rPr>
                    <w:t>Note: The primary target organ/system shall be identified where possible, or the substance shall be identified as a general toxicant. The data shall be carefully evaluated and, where possible, shall not include secondary effects (e.g., a hepatotoxicant can produce secondary effects in the nervous or gastro-intestinal systems).</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A.9.2.2   The relevant route of exposure by which the classified substance produces damage shall be identified.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A.9.2.3   Classification is determined by expert judgment, on the basis of the weight of all evidence available including the guidance presented below.</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A.9.2.4   Weight of evidence of all data, including human incidents, epidemiology, and studies conducted in experimental </w:t>
            </w:r>
            <w:proofErr w:type="gramStart"/>
            <w:r w:rsidRPr="002F1441">
              <w:rPr>
                <w:rFonts w:ascii="Arial" w:eastAsia="Times New Roman" w:hAnsi="Arial" w:cs="Arial"/>
                <w:sz w:val="18"/>
                <w:szCs w:val="18"/>
              </w:rPr>
              <w:t>animals,</w:t>
            </w:r>
            <w:proofErr w:type="gramEnd"/>
            <w:r w:rsidRPr="002F1441">
              <w:rPr>
                <w:rFonts w:ascii="Arial" w:eastAsia="Times New Roman" w:hAnsi="Arial" w:cs="Arial"/>
                <w:sz w:val="18"/>
                <w:szCs w:val="18"/>
              </w:rPr>
              <w:t xml:space="preserve"> is used to substantiate specific target organ toxic effects that merit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clinico-chemical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A.9.2.7   Effects Considered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A.9.2.7.1   Classification is supported by reliable evidence associating repeated exposure to the substance with a consistent and identifiable toxic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A.9.2.7.3   Evidence from appropriate studies in experimental animals can furnish much more detail, in the form </w:t>
            </w:r>
            <w:r w:rsidRPr="002F1441">
              <w:rPr>
                <w:rFonts w:ascii="Arial" w:eastAsia="Times New Roman" w:hAnsi="Arial" w:cs="Arial"/>
                <w:sz w:val="18"/>
                <w:szCs w:val="18"/>
              </w:rPr>
              <w:lastRenderedPageBreak/>
              <w:t>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Morbidity or death resulting from repeated or long-term exposure. Morbidity or death may result from repeated exposure, even to relatively low doses/concentrations, due to bioaccumulation of the substance or its metabolites, or due to the overwhelming of the de-toxification process by repeated exposure;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Significant functional changes in the central or peripheral nervous systems or other organ systems, including signs of central nervous system depression and effects on special senses (e.g., sight, hearing and sense of smell);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consistent and significant adverse change in clinical biochemistry, hematology, or urinalysis parameters;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Significant organ damage that may be noted at necropsy and/or subsequently seen or confirmed at microscopic examination;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Multi-focal or diffuse necrosis, fibrosis or granuloma formation in vital organs with regenerative capacity;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Morphological changes that are potentially reversible but provide clear evidence of marked organ dysfunction (e.g., severe fatty change in the liver);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Evidence of appreciable cell death (including cell degeneration and reduced cell number) in vital organs incapable of regeneration.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A.9.2.8   Effects Considered Not To Support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Effects may be seen in humans and/or animals that do not justify classification. Such effects include, but are not limited to:</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Clinical observations or small changes in bodyweight gain, food consumption or water intake that may have some toxicological importance but that do not, by themselves, indicate “significant”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Small changes in clinical biochemistry, hematology or urinalysis parameters and/or transient effects, when such changes or effects are of doubtful or of minimal toxicological importance;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Changes in organ weights with no evidence of organ dysfunction;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Adaptive responses that are not considered toxicologically relevant;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Substance-induced species-specific mechanisms of toxicity, i.e., demonstrated with reasonable certainty to be not relevant for human health, shall not justify classification.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A.9.2.9   Guidance Values To Assist With Classification Based on the Results Obtained From Studies Conducted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A.9.2.9.1   In studies conducted in experimental animals, reliance on observation of effects alone, without reference to the duration of experimental exposure and dose/concentration, omits a fundamental concept of toxicology, i.e., all substances are potentially toxic, and what </w:t>
            </w:r>
            <w:proofErr w:type="gramStart"/>
            <w:r w:rsidRPr="002F1441">
              <w:rPr>
                <w:rFonts w:ascii="Arial" w:eastAsia="Times New Roman" w:hAnsi="Arial" w:cs="Arial"/>
                <w:sz w:val="18"/>
                <w:szCs w:val="18"/>
              </w:rPr>
              <w:t>determines</w:t>
            </w:r>
            <w:proofErr w:type="gramEnd"/>
            <w:r w:rsidRPr="002F1441">
              <w:rPr>
                <w:rFonts w:ascii="Arial" w:eastAsia="Times New Roman" w:hAnsi="Arial" w:cs="Arial"/>
                <w:sz w:val="18"/>
                <w:szCs w:val="18"/>
              </w:rPr>
              <w:t xml:space="preserve"> the toxicity is a function of the dose/concentration and the duration of exposure. In most studies conducted in experimental animals the test guidelines use an upper limit dose value.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w:t>
            </w:r>
            <w:proofErr w:type="gramStart"/>
            <w:r w:rsidRPr="002F1441">
              <w:rPr>
                <w:rFonts w:ascii="Arial" w:eastAsia="Times New Roman" w:hAnsi="Arial" w:cs="Arial"/>
                <w:sz w:val="18"/>
                <w:szCs w:val="18"/>
              </w:rPr>
              <w:t>property(</w:t>
            </w:r>
            <w:proofErr w:type="gramEnd"/>
            <w:r w:rsidRPr="002F1441">
              <w:rPr>
                <w:rFonts w:ascii="Arial" w:eastAsia="Times New Roman" w:hAnsi="Arial" w:cs="Arial"/>
                <w:sz w:val="18"/>
                <w:szCs w:val="18"/>
              </w:rPr>
              <w:t>ies) and also the duration of exposure and the dose/concentration).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A.9.2.9.4   The decision to classify at all can be influenced by reference to the dose/concentration guidance values at or below which a significant toxic effect has been observed.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 xml:space="preserve">Table A.9.1—Guidance Values To Assist in Category 1 Classification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≤20.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≤0.02.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A.9.2.9.7   For Category 2 classification, significant toxic effects observed in a 90-day repeated-dose study conducted in experimental animals and seen to occur within the (suggested) guidance value ranges as indicated in Table A.9.2 would justify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A.9.2—Guidance Values To Assist in Category 2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[Applicable to a 90-day study]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3698"/>
              <w:gridCol w:w="2870"/>
              <w:gridCol w:w="2776"/>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Route of exposure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Units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Guidance values</w:t>
                  </w:r>
                  <w:r w:rsidRPr="002F1441">
                    <w:rPr>
                      <w:rFonts w:ascii="Arial" w:eastAsia="Times New Roman" w:hAnsi="Arial" w:cs="Arial"/>
                      <w:b/>
                      <w:bCs/>
                      <w:sz w:val="20"/>
                      <w:szCs w:val="20"/>
                    </w:rPr>
                    <w:br/>
                  </w:r>
                  <w:r w:rsidRPr="002F1441">
                    <w:rPr>
                      <w:rFonts w:ascii="Arial" w:eastAsia="Times New Roman" w:hAnsi="Arial" w:cs="Arial"/>
                      <w:b/>
                      <w:bCs/>
                      <w:sz w:val="20"/>
                      <w:szCs w:val="20"/>
                    </w:rPr>
                    <w:lastRenderedPageBreak/>
                    <w:t>(dose/concentration)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Oral (rat)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&lt;C ≤100.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Dermal (rat or rabbit)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mg/kg body weight/day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20 &lt;C ≤200.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ppmV/6h/day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50 &lt;C ≤250.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vapor</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0.2 &lt;C ≤1.0.</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Inhalation (rat) dust/mist/fume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mg/liter/6h/day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0.02 &lt;C ≤0.2.</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A.9.2.10   Other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A.9.2.10.1   When a substance is characterized only by use of animal data the classification process includes reference to dose/concentration guidance values as one of the elements that contribute to the weight of evidence approach.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   Classification Criteria for Mixtures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A.9.3.1   Mixtures are classified using the same criteria as for substances, or alternatively as described below. As with substances, mixtures may be classified for specific target organ toxicity following single exposure, repeated exposure, or both.</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A.9.3.2   Classification of Mixtures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A.9.3.3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A.9.3.4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A.9.3—Cut-Off Value/Concentration Limits of Ingredients of a Mixture Classified as a Specific Target Organ Toxicant That Would Trigger Classification of the Mixture as Category 1 or 2</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16"/>
              <w:gridCol w:w="2414"/>
              <w:gridCol w:w="2414"/>
            </w:tblGrid>
            <w:tr w:rsidR="002F1441" w:rsidRPr="002F1441" w:rsidTr="002F1441">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Ingredient classified as:</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Cut-off values/concentration</w:t>
                  </w:r>
                  <w:r w:rsidRPr="002F1441">
                    <w:rPr>
                      <w:rFonts w:ascii="Arial" w:eastAsia="Times New Roman" w:hAnsi="Arial" w:cs="Arial"/>
                      <w:b/>
                      <w:bCs/>
                      <w:sz w:val="20"/>
                      <w:szCs w:val="20"/>
                    </w:rPr>
                    <w:br/>
                    <w:t>limits triggering classification of a</w:t>
                  </w:r>
                  <w:r w:rsidRPr="002F1441">
                    <w:rPr>
                      <w:rFonts w:ascii="Arial" w:eastAsia="Times New Roman" w:hAnsi="Arial" w:cs="Arial"/>
                      <w:b/>
                      <w:bCs/>
                      <w:sz w:val="20"/>
                      <w:szCs w:val="20"/>
                    </w:rPr>
                    <w:br/>
                    <w:t>mixture as:</w:t>
                  </w:r>
                </w:p>
              </w:tc>
            </w:tr>
            <w:tr w:rsidR="002F1441" w:rsidRPr="002F1441" w:rsidTr="002F144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F1441" w:rsidRPr="002F1441" w:rsidRDefault="002F1441" w:rsidP="002F1441">
                  <w:pPr>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 2</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   Target organ toxicant</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jc w:val="right"/>
                    <w:rPr>
                      <w:rFonts w:ascii="Arial" w:eastAsia="Times New Roman" w:hAnsi="Arial" w:cs="Arial"/>
                      <w:sz w:val="20"/>
                      <w:szCs w:val="20"/>
                    </w:rPr>
                  </w:pPr>
                  <w:r w:rsidRPr="002F1441">
                    <w:rPr>
                      <w:rFonts w:ascii="Arial" w:eastAsia="Times New Roman" w:hAnsi="Arial" w:cs="Arial"/>
                      <w:sz w:val="20"/>
                      <w:szCs w:val="20"/>
                    </w:rPr>
                    <w:t>≥1.0%</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A.9.3.4.2   These cut-off values and consequent classifications shall be applied equally and appropriately to both single- and repeated-dose target organ toxicants.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A.9.3.4.3   Mixtures shall be classified for either or both single- and repeated-dose toxicity independently.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   ASPIRATION HAZARD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   Definitions and General and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A.10.1.1   </w:t>
            </w:r>
            <w:r w:rsidRPr="002F1441">
              <w:rPr>
                <w:rFonts w:ascii="Arial" w:eastAsia="Times New Roman" w:hAnsi="Arial" w:cs="Arial"/>
                <w:i/>
                <w:iCs/>
                <w:sz w:val="18"/>
                <w:szCs w:val="18"/>
              </w:rPr>
              <w:t>Aspiration</w:t>
            </w:r>
            <w:r w:rsidRPr="002F1441">
              <w:rPr>
                <w:rFonts w:ascii="Arial" w:eastAsia="Times New Roman" w:hAnsi="Arial" w:cs="Arial"/>
                <w:sz w:val="18"/>
                <w:szCs w:val="18"/>
              </w:rPr>
              <w:t xml:space="preserve"> means the entry of a liquid or solid chemical directly through the oral or nasal cavity, or indirectly from vomiting, into the trachea and lower respiratory system.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A.10.1.2   Aspiration toxicity includes severe acute effects such as chemical pneumonia, varying degrees of pulmonary injury or death following aspiration.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A.10.1.3   Aspiration is initiated at the moment of inspiration, in the time required to take one breath, as the causative material lodges at the crossroad of the upper respiratory and digestive tracts in the laryngopharyngeal region.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A.10.1.5   Specific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A.10.1.5.1   The classification criteria refer to kinematic viscosity. The following provides the conversion between dynamic and kinematic viscosity:</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2600325" cy="266700"/>
                  <wp:effectExtent l="0" t="0" r="9525" b="0"/>
                  <wp:docPr id="62" name="Picture 62"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13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2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A.10.1.5.2   Although the definition of aspiration in A.10.1.1 includes the entry of solids into the respiratory system, classification according to (b) in table A.10.1 for Category 1 is intended to apply to liquid substances and mixtures only.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A.10.1.5.3   Classification of aerosol/mist products.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Aerosol and mist products are usually dispensed in containers such as self-pressurized </w:t>
            </w:r>
            <w:proofErr w:type="gramStart"/>
            <w:r w:rsidRPr="002F1441">
              <w:rPr>
                <w:rFonts w:ascii="Arial" w:eastAsia="Times New Roman" w:hAnsi="Arial" w:cs="Arial"/>
                <w:sz w:val="18"/>
                <w:szCs w:val="18"/>
              </w:rPr>
              <w:t>containers,</w:t>
            </w:r>
            <w:proofErr w:type="gramEnd"/>
            <w:r w:rsidRPr="002F1441">
              <w:rPr>
                <w:rFonts w:ascii="Arial" w:eastAsia="Times New Roman" w:hAnsi="Arial" w:cs="Arial"/>
                <w:sz w:val="18"/>
                <w:szCs w:val="18"/>
              </w:rPr>
              <w:t xml:space="preserve">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A.10.2   Classification Criteria for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A.10.1—Criteria for Aspiration Toxicity</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5236"/>
              <w:gridCol w:w="410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 Chemicals known to cause human aspiration toxicity hazards or to be regarded as if they cause human aspiration toxicity hazard</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substance shall be classified in Category 1</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br/>
                    <w:t>(a) If reliable and good quality human evidence indicates that it causes aspiration toxicity (See note); or</w:t>
                  </w:r>
                  <w:r w:rsidRPr="002F1441">
                    <w:rPr>
                      <w:rFonts w:ascii="Arial" w:eastAsia="Times New Roman" w:hAnsi="Arial" w:cs="Arial"/>
                      <w:sz w:val="20"/>
                      <w:szCs w:val="20"/>
                    </w:rPr>
                    <w:br/>
                    <w:t>(b) If it is a hydrocarbon and has a kinematic viscosity ≤20.5 mm</w:t>
                  </w:r>
                  <w:r w:rsidRPr="002F1441">
                    <w:rPr>
                      <w:rFonts w:ascii="Arial" w:eastAsia="Times New Roman" w:hAnsi="Arial" w:cs="Arial"/>
                      <w:sz w:val="20"/>
                      <w:szCs w:val="20"/>
                      <w:vertAlign w:val="superscript"/>
                    </w:rPr>
                    <w:t>2</w:t>
                  </w:r>
                  <w:r w:rsidRPr="002F1441">
                    <w:rPr>
                      <w:rFonts w:ascii="Arial" w:eastAsia="Times New Roman" w:hAnsi="Arial" w:cs="Arial"/>
                      <w:sz w:val="20"/>
                      <w:szCs w:val="20"/>
                    </w:rPr>
                    <w:t>/s, measured at 40 °C.</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b/>
                <w:bCs/>
                <w:sz w:val="18"/>
                <w:szCs w:val="18"/>
              </w:rPr>
              <w:t>Note:</w:t>
            </w:r>
            <w:r w:rsidRPr="002F1441">
              <w:rPr>
                <w:rFonts w:ascii="Arial" w:eastAsia="Times New Roman" w:hAnsi="Arial" w:cs="Arial"/>
                <w:sz w:val="18"/>
                <w:szCs w:val="18"/>
              </w:rPr>
              <w:t xml:space="preserve"> Examples of substances included in Category 1 are certain hydrocarbons, turpentine and pine oil.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   Classification Criteria for Mixtures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A.10.3.1   Classification When Data Are Available for the Complete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mixture shall be classified in Category 1 based on reliable and good quality human evidence.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A.10.3.2   Classification of Mixtures When Data Are Not Available for the Complete Mixture: Bridging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A.10.3.2.1   Where the mixture itself has not been tested to determine its aspiration toxicity, but there are </w:t>
            </w:r>
            <w:r w:rsidRPr="002F1441">
              <w:rPr>
                <w:rFonts w:ascii="Arial" w:eastAsia="Times New Roman" w:hAnsi="Arial" w:cs="Arial"/>
                <w:sz w:val="18"/>
                <w:szCs w:val="18"/>
              </w:rPr>
              <w:lastRenderedPageBreak/>
              <w:t>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A.10.3.3   Classification of Mixtures When Data Are Available for All Ingredients or Only for Some Ingredients of the Mixture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A.10.3.3.1   A mixture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shall be classified in Category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A.10.3.3.2   In the case of a mixture which separates into two or more distinct layers, one of which contains ≥10% of an ingredient or ingredients classified in Category 1 and has a kinematic viscosity ≤20.5 mm</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/s, measured at 40 °C, then the entire mixture shall be classified in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B to §1910.1200—Physical Criteria (Mandatory)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   EXPLOSIVES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Definitions and General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B.1.1.1   An </w:t>
            </w:r>
            <w:r w:rsidRPr="002F1441">
              <w:rPr>
                <w:rFonts w:ascii="Arial" w:eastAsia="Times New Roman" w:hAnsi="Arial" w:cs="Arial"/>
                <w:i/>
                <w:iCs/>
                <w:sz w:val="18"/>
                <w:szCs w:val="18"/>
              </w:rPr>
              <w:t>explosive chemical</w:t>
            </w:r>
            <w:r w:rsidRPr="002F1441">
              <w:rPr>
                <w:rFonts w:ascii="Arial" w:eastAsia="Times New Roman" w:hAnsi="Arial" w:cs="Arial"/>
                <w:sz w:val="18"/>
                <w:szCs w:val="18"/>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chemical</w:t>
            </w:r>
            <w:r w:rsidRPr="002F1441">
              <w:rPr>
                <w:rFonts w:ascii="Arial" w:eastAsia="Times New Roman" w:hAnsi="Arial" w:cs="Arial"/>
                <w:sz w:val="18"/>
                <w:szCs w:val="18"/>
              </w:rPr>
              <w:t xml:space="preserve"> is a chemical designed to produce an effect by heat, light, sound, gas or smoke or a combination of these as the result of non-detonative self-sustaining exothermic chemical reactions.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explosive item</w:t>
            </w:r>
            <w:r w:rsidRPr="002F1441">
              <w:rPr>
                <w:rFonts w:ascii="Arial" w:eastAsia="Times New Roman" w:hAnsi="Arial" w:cs="Arial"/>
                <w:sz w:val="18"/>
                <w:szCs w:val="18"/>
              </w:rPr>
              <w:t xml:space="preserve"> is an item containing one or more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pyrotechnic item</w:t>
            </w:r>
            <w:r w:rsidRPr="002F1441">
              <w:rPr>
                <w:rFonts w:ascii="Arial" w:eastAsia="Times New Roman" w:hAnsi="Arial" w:cs="Arial"/>
                <w:sz w:val="18"/>
                <w:szCs w:val="18"/>
              </w:rPr>
              <w:t xml:space="preserve"> is an item containing one or more pyrotechnic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unstable explosive</w:t>
            </w:r>
            <w:r w:rsidRPr="002F1441">
              <w:rPr>
                <w:rFonts w:ascii="Arial" w:eastAsia="Times New Roman" w:hAnsi="Arial" w:cs="Arial"/>
                <w:sz w:val="18"/>
                <w:szCs w:val="18"/>
              </w:rPr>
              <w:t xml:space="preserve"> is an explosive which is thermally unstable and/or too sensitive for normal handling, transport, or use.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An </w:t>
            </w:r>
            <w:r w:rsidRPr="002F1441">
              <w:rPr>
                <w:rFonts w:ascii="Arial" w:eastAsia="Times New Roman" w:hAnsi="Arial" w:cs="Arial"/>
                <w:i/>
                <w:iCs/>
                <w:sz w:val="18"/>
                <w:szCs w:val="18"/>
              </w:rPr>
              <w:t>intentional explosive</w:t>
            </w:r>
            <w:r w:rsidRPr="002F1441">
              <w:rPr>
                <w:rFonts w:ascii="Arial" w:eastAsia="Times New Roman" w:hAnsi="Arial" w:cs="Arial"/>
                <w:sz w:val="18"/>
                <w:szCs w:val="18"/>
              </w:rPr>
              <w:t xml:space="preserve"> is a chemical or item which is manufactured with a view to produce a practical explosive or pyrotechnic effect.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   The class of explosives comprises: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Explosive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Chemicals and items not included under (a) and (b) above which are manufactured with the view to producing a practical explosive or pyrotechnic effect.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Chemicals and items of this class shall be classified as unstable explosives or shall be assigned to one of the following six divisions depending on the type of hazard they present: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(a) Division 1.1—Chemicals and items which have a mass explosion hazard (a mass explosion is one which affects almost the entire quantity present virtually instantaneously);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Division 1.2—Chemicals and items which have a projection hazard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Division 1.3—Chemicals and items which have a fire hazard and either a minor blast hazard or a minor projection hazard or both, but not a mass explosion hazard: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Combustion of which gives rise to considerable radiant heat;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Which burn one after another, producing minor blast or projection effects or both;</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Division 1.5—Very insensitive chemicals which have a mass explosion hazard: chemicals which have a mass explosion hazard but are so insensitive that there is very little probability of initiation or of transition from burning to detonation under normal conditions;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w:t>
            </w:r>
            <w:proofErr w:type="gramStart"/>
            <w:r w:rsidRPr="002F1441">
              <w:rPr>
                <w:rFonts w:ascii="Arial" w:eastAsia="Times New Roman" w:hAnsi="Arial" w:cs="Arial"/>
                <w:sz w:val="18"/>
                <w:szCs w:val="18"/>
              </w:rPr>
              <w:t>f</w:t>
            </w:r>
            <w:proofErr w:type="gramEnd"/>
            <w:r w:rsidRPr="002F1441">
              <w:rPr>
                <w:rFonts w:ascii="Arial" w:eastAsia="Times New Roman" w:hAnsi="Arial" w:cs="Arial"/>
                <w:sz w:val="18"/>
                <w:szCs w:val="18"/>
              </w:rPr>
              <w:t>) Division 1.6—Extremely insensitive items which do not have a mass explosion hazard: items which contain only extremely insensitive detonating chemicals and which demonstrate a negligible probability of accidental initiation or propagation.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Neither a Series 1 type (a) propagation of detonation test nor a Series 2 type (a) test of sensitivity to detonative shock is necessary if the exothermic decomposition energy of organic materials is less than 800 J/g.</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   If a mixture contains any known explosives, the acceptance procedure is necessary for classification.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B.1.3.4   A chemical is not classified as explosive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There are no chemical groups associated with explosive properties present in the molecule. Examples of groups which may indicate explosive properties are given in Table A6.1 in Appendix 6 of the UN ST/SG/AC.10 </w:t>
            </w:r>
            <w:r w:rsidRPr="002F1441">
              <w:rPr>
                <w:rFonts w:ascii="Arial" w:eastAsia="Times New Roman" w:hAnsi="Arial" w:cs="Arial"/>
                <w:sz w:val="18"/>
                <w:szCs w:val="18"/>
              </w:rPr>
              <w:lastRenderedPageBreak/>
              <w:t>(incorporated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substance contains chemical groups associated with explosive properties which include oxygen and the calculated oxygen balance is less than −200.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oxygen balance is calculated for the chemical reaction:</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w:t>
            </w:r>
            <w:r w:rsidRPr="002F1441">
              <w:rPr>
                <w:rFonts w:ascii="Arial" w:eastAsia="Times New Roman" w:hAnsi="Arial" w:cs="Arial"/>
                <w:sz w:val="13"/>
                <w:szCs w:val="13"/>
                <w:vertAlign w:val="subscript"/>
              </w:rPr>
              <w:t>X</w:t>
            </w:r>
            <w:r w:rsidRPr="002F1441">
              <w:rPr>
                <w:rFonts w:ascii="Arial" w:eastAsia="Times New Roman" w:hAnsi="Arial" w:cs="Arial"/>
                <w:sz w:val="18"/>
                <w:szCs w:val="18"/>
              </w:rPr>
              <w:t>H</w:t>
            </w:r>
            <w:r w:rsidRPr="002F1441">
              <w:rPr>
                <w:rFonts w:ascii="Arial" w:eastAsia="Times New Roman" w:hAnsi="Arial" w:cs="Arial"/>
                <w:sz w:val="13"/>
                <w:szCs w:val="13"/>
                <w:vertAlign w:val="subscript"/>
              </w:rPr>
              <w:t>y</w:t>
            </w:r>
            <w:r w:rsidRPr="002F1441">
              <w:rPr>
                <w:rFonts w:ascii="Arial" w:eastAsia="Times New Roman" w:hAnsi="Arial" w:cs="Arial"/>
                <w:sz w:val="18"/>
                <w:szCs w:val="18"/>
              </w:rPr>
              <w:t>O</w:t>
            </w:r>
            <w:r w:rsidRPr="002F1441">
              <w:rPr>
                <w:rFonts w:ascii="Arial" w:eastAsia="Times New Roman" w:hAnsi="Arial" w:cs="Arial"/>
                <w:sz w:val="13"/>
                <w:szCs w:val="13"/>
                <w:vertAlign w:val="subscript"/>
              </w:rPr>
              <w:t>z</w:t>
            </w:r>
            <w:r w:rsidRPr="002F1441">
              <w:rPr>
                <w:rFonts w:ascii="Arial" w:eastAsia="Times New Roman" w:hAnsi="Arial" w:cs="Arial"/>
                <w:sz w:val="18"/>
                <w:szCs w:val="18"/>
              </w:rPr>
              <w:t xml:space="preserve"> + [x + (y/4) − (z/2)] 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x. CO</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 xml:space="preserve"> + (y/2) H</w:t>
            </w:r>
            <w:r w:rsidRPr="002F1441">
              <w:rPr>
                <w:rFonts w:ascii="Arial" w:eastAsia="Times New Roman" w:hAnsi="Arial" w:cs="Arial"/>
                <w:sz w:val="13"/>
                <w:szCs w:val="13"/>
                <w:vertAlign w:val="subscript"/>
              </w:rPr>
              <w:t>2</w:t>
            </w:r>
            <w:r w:rsidRPr="002F1441">
              <w:rPr>
                <w:rFonts w:ascii="Arial" w:eastAsia="Times New Roman" w:hAnsi="Arial" w:cs="Arial"/>
                <w:sz w:val="18"/>
                <w:szCs w:val="18"/>
              </w:rPr>
              <w:t>O</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using the formula: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oxygen balance = −1600 [2x +(y/2) −z]/molecular weight;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For mixtures of inorganic oxidizing substances with organic material(s), the concentration of the inorganic oxidizing substance is: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Less than 15%, by mass, if the oxidizing substance is assigned to Category 1 or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Less than 30%, by mass, if the oxidizing substance is assigned to Category 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gas</w:t>
            </w:r>
            <w:r w:rsidRPr="002F1441">
              <w:rPr>
                <w:rFonts w:ascii="Arial" w:eastAsia="Times New Roman" w:hAnsi="Arial" w:cs="Arial"/>
                <w:sz w:val="18"/>
                <w:szCs w:val="18"/>
              </w:rPr>
              <w:t xml:space="preserve"> means a gas having a flammable range with air at 20 °C (68 °F) and a standard pressure of 101.3 kPa (14.7 psi).</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gas shall be classified in one of the two categories for this class in accordance with Table B.2.1: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B.2.1—Criteria for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Gases, which at 20 °C (68 °F) and a standard pressure of 101.3 kPa (14.7 psi):</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(a) are ignitable when in a mixture of 13% or less by volume in air;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      (b) </w:t>
                  </w:r>
                  <w:proofErr w:type="gramStart"/>
                  <w:r w:rsidRPr="002F1441">
                    <w:rPr>
                      <w:rFonts w:ascii="Arial" w:eastAsia="Times New Roman" w:hAnsi="Arial" w:cs="Arial"/>
                      <w:sz w:val="20"/>
                      <w:szCs w:val="20"/>
                    </w:rPr>
                    <w:t>have</w:t>
                  </w:r>
                  <w:proofErr w:type="gramEnd"/>
                  <w:r w:rsidRPr="002F1441">
                    <w:rPr>
                      <w:rFonts w:ascii="Arial" w:eastAsia="Times New Roman" w:hAnsi="Arial" w:cs="Arial"/>
                      <w:sz w:val="20"/>
                      <w:szCs w:val="20"/>
                    </w:rPr>
                    <w:t xml:space="preserve"> a flammable range with air of at least 12 percentage points regardless of the lower flammable limit.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Gases, other than those of Category 1, which, at 20 °C (68 °F) and a standard pressure of 101.3 kPa (14.7 psi), have a flammable range while mixed in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Aerosols should not be classified as flammable gases. See B.3.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Flammability shall be determined by tests or by calculation in accordance with ISO 10156 (incorporated by reference; See §1910.6). Where insufficient data are available to use this method, equivalent validated methods may be used.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   FLAMMABLE AEROSOLS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Aerosol</w:t>
            </w:r>
            <w:r w:rsidRPr="002F1441">
              <w:rPr>
                <w:rFonts w:ascii="Arial" w:eastAsia="Times New Roman" w:hAnsi="Arial" w:cs="Arial"/>
                <w:sz w:val="18"/>
                <w:szCs w:val="18"/>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B.3.2.1   Aerosols shall be considered for classification as flammable if they contain any component which is classified as flammable in accordance with this Appendix, i.e.:</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liquids (See B.6);</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gases (See B.2);</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Flammable solids (See B.7).</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Flammable components do not include pyrophoric, self-heating or water-reactive chemicals.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Flammable aerosols do not fall additionally within the scope of flammable gases, flammable liquids, or flammable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B.3.2.2   A flammable aerosol shall be classified in one of the two categories for this class in accordance with Table B.3.1.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B.3.1—Criteria for Flammable Aerosols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≥85% flammable components and the chemical heat of combustion is ≥30 kJ/g; or</w:t>
                  </w:r>
                  <w:r w:rsidRPr="002F1441">
                    <w:rPr>
                      <w:rFonts w:ascii="Arial" w:eastAsia="Times New Roman" w:hAnsi="Arial" w:cs="Arial"/>
                      <w:sz w:val="20"/>
                      <w:szCs w:val="20"/>
                    </w:rPr>
                    <w:br/>
                    <w:t>(a) For spray aerosols, in the ignition distance test, ignition occurs at a distance ≥75 cm (29.5 in), or</w:t>
                  </w:r>
                  <w:r w:rsidRPr="002F1441">
                    <w:rPr>
                      <w:rFonts w:ascii="Arial" w:eastAsia="Times New Roman" w:hAnsi="Arial" w:cs="Arial"/>
                      <w:sz w:val="20"/>
                      <w:szCs w:val="20"/>
                    </w:rPr>
                    <w:br/>
                    <w:t>(b) For foam aerosols, in the aerosol foam flammability test</w:t>
                  </w:r>
                  <w:r w:rsidRPr="002F1441">
                    <w:rPr>
                      <w:rFonts w:ascii="Arial" w:eastAsia="Times New Roman" w:hAnsi="Arial" w:cs="Arial"/>
                      <w:sz w:val="20"/>
                      <w:szCs w:val="20"/>
                    </w:rPr>
                    <w:br/>
                    <w:t>(i) The flame height is ≥20 cm (7.87 in) and the flame duration ≥2 s; or</w:t>
                  </w:r>
                  <w:r w:rsidRPr="002F1441">
                    <w:rPr>
                      <w:rFonts w:ascii="Arial" w:eastAsia="Times New Roman" w:hAnsi="Arial" w:cs="Arial"/>
                      <w:sz w:val="20"/>
                      <w:szCs w:val="20"/>
                    </w:rPr>
                    <w:br/>
                    <w:t>(ii) The flame height is ≥4 cm (1.57 in) and the flame duration ≥7 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Contains &gt;1% flammable components, or the heat of combustion is ≥20 kJ/g; and</w:t>
                  </w:r>
                  <w:r w:rsidRPr="002F1441">
                    <w:rPr>
                      <w:rFonts w:ascii="Arial" w:eastAsia="Times New Roman" w:hAnsi="Arial" w:cs="Arial"/>
                      <w:sz w:val="20"/>
                      <w:szCs w:val="20"/>
                    </w:rPr>
                    <w:br/>
                    <w:t>(a) for spray aerosols, in the ignition distance test, ignition occurs at a distance ≥15 cm (5.9 in), or</w:t>
                  </w:r>
                  <w:r w:rsidRPr="002F1441">
                    <w:rPr>
                      <w:rFonts w:ascii="Arial" w:eastAsia="Times New Roman" w:hAnsi="Arial" w:cs="Arial"/>
                      <w:sz w:val="20"/>
                      <w:szCs w:val="20"/>
                    </w:rPr>
                    <w:br/>
                    <w:t>in the enclosed space ignition test, the</w:t>
                  </w:r>
                  <w:r w:rsidRPr="002F1441">
                    <w:rPr>
                      <w:rFonts w:ascii="Arial" w:eastAsia="Times New Roman" w:hAnsi="Arial" w:cs="Arial"/>
                      <w:sz w:val="20"/>
                      <w:szCs w:val="20"/>
                    </w:rPr>
                    <w:br/>
                    <w:t>(i) Time equivalent is ≤300 s/m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r w:rsidRPr="002F1441">
                    <w:rPr>
                      <w:rFonts w:ascii="Arial" w:eastAsia="Times New Roman" w:hAnsi="Arial" w:cs="Arial"/>
                      <w:sz w:val="20"/>
                      <w:szCs w:val="20"/>
                    </w:rPr>
                    <w:br/>
                    <w:t>(ii) Deflagration density is ≤300 g/m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br/>
                    <w:t>(b) For foam aerosols, in the aerosol foam flammability test, the flame height is ≥4 cm and the flame duration is ≥2 s</w:t>
                  </w:r>
                  <w:r w:rsidRPr="002F1441">
                    <w:rPr>
                      <w:rFonts w:ascii="Arial" w:eastAsia="Times New Roman" w:hAnsi="Arial" w:cs="Arial"/>
                      <w:sz w:val="20"/>
                      <w:szCs w:val="20"/>
                    </w:rPr>
                    <w:br/>
                    <w:t>and it does not meet the criteria for Category 1</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lastRenderedPageBreak/>
              <w:t>Note:</w:t>
            </w:r>
            <w:r w:rsidRPr="002F1441">
              <w:rPr>
                <w:rFonts w:ascii="Arial" w:eastAsia="Times New Roman" w:hAnsi="Arial" w:cs="Arial"/>
                <w:sz w:val="18"/>
                <w:szCs w:val="18"/>
              </w:rPr>
              <w:t xml:space="preserve"> Aerosols not submitted to the flammability classification procedures in this Appendix shall be classified as extremely flammable (Category 1).</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B.3.3.2   The chemical heat of combustion (ΔHc), in kilojoules per gram (kJ/g), is the product of the theoretical heat of combustion (ΔHcomb), and </w:t>
            </w:r>
            <w:proofErr w:type="gramStart"/>
            <w:r w:rsidRPr="002F1441">
              <w:rPr>
                <w:rFonts w:ascii="Arial" w:eastAsia="Times New Roman" w:hAnsi="Arial" w:cs="Arial"/>
                <w:sz w:val="18"/>
                <w:szCs w:val="18"/>
              </w:rPr>
              <w:t>a combustion</w:t>
            </w:r>
            <w:proofErr w:type="gramEnd"/>
            <w:r w:rsidRPr="002F1441">
              <w:rPr>
                <w:rFonts w:ascii="Arial" w:eastAsia="Times New Roman" w:hAnsi="Arial" w:cs="Arial"/>
                <w:sz w:val="18"/>
                <w:szCs w:val="18"/>
              </w:rPr>
              <w:t xml:space="preserve"> efficiency, usually less than 1.0 (a typical combustion efficiency is 0.95 or 95%).</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For a composite aerosol formulation, the chemical heat of combustion is the summation of the weighted heats of combustion for the individual components, as follows:</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1790700" cy="200025"/>
                  <wp:effectExtent l="0" t="0" r="0" b="9525"/>
                  <wp:docPr id="61" name="Picture 61"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06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2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ΔHc = chemical heat of combustion (kJ/g);</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wi% = mass fraction of component i in the product;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ΔHc(i) = specific heat of combustion (kJ/g) of component i in the product;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chemical heats of combustion shall be found in literature, calculated or determined by tests (See ASTM D240-02, ISO 13943, Sections 86.1 to 86.3, and NFPA 30B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B.3.3.3   The Ignition Distance Test, Enclosed Space Ignition Test and Aerosol Foam Flammability Test shall be performed in accordance with sub-sections 31.4, 31.5 and 31.6 of the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   OXIDIZING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gas</w:t>
            </w:r>
            <w:r w:rsidRPr="002F1441">
              <w:rPr>
                <w:rFonts w:ascii="Arial" w:eastAsia="Times New Roman" w:hAnsi="Arial" w:cs="Arial"/>
                <w:sz w:val="18"/>
                <w:szCs w:val="18"/>
              </w:rPr>
              <w:t xml:space="preserve"> means any gas which may, generally by providing oxygen, cause or contribute to the combustion of other material more than air does.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gas shall be classified in a single category for this class in accordance with Table B.4.1: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B.4.1—Criteria for Oxidizing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gas which may, generally by providing oxygen, cause or contribute to the combustion of other material more than air does.</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Classification shall be in accordance with tests or calculation methods as described in ISO 10156 (incorporated by reference; See §1910.6) and ISO 10156-2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   GASES UNDER PRESSURE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Gases under pressure</w:t>
            </w:r>
            <w:r w:rsidRPr="002F1441">
              <w:rPr>
                <w:rFonts w:ascii="Arial" w:eastAsia="Times New Roman" w:hAnsi="Arial" w:cs="Arial"/>
                <w:sz w:val="18"/>
                <w:szCs w:val="18"/>
              </w:rPr>
              <w:t xml:space="preserve"> are gases which are contained in a receptacle at a pressure of 200 kPa (29 psi) (gauge) or more, or which are liquefied or liquefied and refrigerated.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They comprise compressed gases, liquefied gases, dissolved gases and refrigerated liquefied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Gases under pressure shall be classified in one of four groups in accordance with Table B.5.1: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B.5.1—Criteria for Gases Under Pressure</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827"/>
              <w:gridCol w:w="751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Group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Compressed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entirely gaseous at −50 °C (−8 °F), including all gases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≤−50 °C (−58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partially liquid at temperatures above −50 °C (−58 °F). A distinction is made between: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High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between −50 °C (−58 °F) and +65 °C (149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Low pressure liquefied gas: A gas with a critical temperature</w:t>
                  </w:r>
                  <w:r w:rsidRPr="002F1441">
                    <w:rPr>
                      <w:rFonts w:ascii="Arial" w:eastAsia="Times New Roman" w:hAnsi="Arial" w:cs="Arial"/>
                      <w:sz w:val="20"/>
                      <w:szCs w:val="20"/>
                      <w:vertAlign w:val="superscript"/>
                    </w:rPr>
                    <w:t>1</w:t>
                  </w:r>
                  <w:r w:rsidRPr="002F1441">
                    <w:rPr>
                      <w:rFonts w:ascii="Arial" w:eastAsia="Times New Roman" w:hAnsi="Arial" w:cs="Arial"/>
                      <w:sz w:val="20"/>
                      <w:szCs w:val="20"/>
                    </w:rPr>
                    <w:t xml:space="preserve"> above +65 °C (149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Refrigerated liquefied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is made partially liquid because of its low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Dissolved gas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gas which when under pressure is dissolved in a liquid phase solvent.</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vertAlign w:val="superscript"/>
              </w:rPr>
              <w:t>1</w:t>
            </w:r>
            <w:r w:rsidRPr="002F1441">
              <w:rPr>
                <w:rFonts w:ascii="Arial" w:eastAsia="Times New Roman" w:hAnsi="Arial" w:cs="Arial"/>
                <w:i/>
                <w:iCs/>
                <w:sz w:val="18"/>
                <w:szCs w:val="18"/>
              </w:rPr>
              <w:t>The critical temperature is the temperature above which a pure gas cannot be liquefied, regardless of the degree of compression.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   FLAMMABLE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liquid</w:t>
            </w:r>
            <w:r w:rsidRPr="002F1441">
              <w:rPr>
                <w:rFonts w:ascii="Arial" w:eastAsia="Times New Roman" w:hAnsi="Arial" w:cs="Arial"/>
                <w:sz w:val="18"/>
                <w:szCs w:val="18"/>
              </w:rPr>
              <w:t xml:space="preserve"> means a liquid having a flash point of not more than 93 °C (199.4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Flash point</w:t>
            </w:r>
            <w:r w:rsidRPr="002F1441">
              <w:rPr>
                <w:rFonts w:ascii="Arial" w:eastAsia="Times New Roman" w:hAnsi="Arial" w:cs="Arial"/>
                <w:sz w:val="18"/>
                <w:szCs w:val="18"/>
              </w:rPr>
              <w:t xml:space="preserve"> means the minimum temperature at which a liquid gives off vapor in sufficient concentration to form an ignitable mixture with air near the surface of the liquid, as determined by a method identified in Section B.6.3.</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flammable liquid shall be classified in one of four categories in accordance with Table B.6.1: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B.6.1—Criteria for Flammable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226"/>
              <w:gridCol w:w="811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&lt;23 °C (73.4 °F) and initial boiling point &gt;35 °C (95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≥23 °C (73.4 °F) and ≤60 °C (140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Flash point &gt;60 °C (140 °F) and ≤93 °C (199.4 °F).</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flash point shall be determined in accordance with ASTM D56-05, ASTM D3278, ASTM D3828, ASTM D93-08 (incorporated by reference; See §1910.6), or any other method specified in GHS Revision 3, Chapter 2.6.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initial boiling point shall be determined in accordance with ASTM D86-07a or ASTM D1078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   FLAMMABLE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Flammable solid</w:t>
            </w:r>
            <w:r w:rsidRPr="002F1441">
              <w:rPr>
                <w:rFonts w:ascii="Arial" w:eastAsia="Times New Roman" w:hAnsi="Arial" w:cs="Arial"/>
                <w:sz w:val="18"/>
                <w:szCs w:val="18"/>
              </w:rPr>
              <w:t xml:space="preserve"> means a solid which is a readily combustible solid, or which may cause or contribute to fire through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Readily combustible solids</w:t>
            </w:r>
            <w:r w:rsidRPr="002F1441">
              <w:rPr>
                <w:rFonts w:ascii="Arial" w:eastAsia="Times New Roman" w:hAnsi="Arial" w:cs="Arial"/>
                <w:sz w:val="18"/>
                <w:szCs w:val="18"/>
              </w:rPr>
              <w:t xml:space="preserve"> are powdered, granular, or pasty chemicals which are dangerous if they can be easily ignited by brief contact with an ignition source, such as a burning match, and if the flame spreads rapidly.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B.7.2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B.7.2.2   Powders of metals or metal alloys shall be classified as flammable solids when they can be ignited and the reaction spreads over the whole length of the sample in 10 min or 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B.7.2.3   Solids which may cause fire through friction shall be classified in this class by analogy with existing entries (e.g., matches) until definitive criteria are established.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B.7.2.4   A flammable solid shall be classified in one of the two categories for this class using Method N.1 as described in Part III, sub-section 33.2.1 of the UN ST/SG/AC.10 (incorporated by reference; See §1910.6), in accordance with Table B.7.1: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B.7.1—Criteria for Flammable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16"/>
              <w:gridCol w:w="7828"/>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does not stop fire;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≤5 min.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Burning rate test: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Chemicals other than metal powders: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Wetted zone stops the fire for at least 4 min;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Burning time &lt;45 s or burning rate &gt;2.2 mm/s.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Metal powders: Burning time &gt;5 min and ≤10 min.</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   SELF-REACTIVE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B.8.1   Definitions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Self-reactive chemicals</w:t>
            </w:r>
            <w:r w:rsidRPr="002F1441">
              <w:rPr>
                <w:rFonts w:ascii="Arial" w:eastAsia="Times New Roman" w:hAnsi="Arial" w:cs="Arial"/>
                <w:sz w:val="18"/>
                <w:szCs w:val="18"/>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self-reactive chemical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B.8.2.1   A self-reactive chemical shall be considered for classification in this class unless: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It is classified as an explosive according to B.1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It is classified as an organic peroxide according to B.15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Its heat of decomposition is less than 300 J/g;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Its self-accelerating decomposition temperature (SADT) is greater than 75 °C (167 °F) for a 50 kg (110 lb) package.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B.8.2.3   Self-reactive chemicals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self-reactive chemical which can detonate or deflagrate rapidly, as packaged, will be defined as self-reactive chemical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self-reactive chemical possessing explosive properties and which, as packaged, neither detonates nor deflagrates rapidly, but is liable to undergo a thermal explosion in that package will be defined as self-reactive chemical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self-reactive chemical possessing explosive properties when the chemical as packaged cannot detonate or deflagrate rapidly or undergo a thermal explosion will be defined as self-reactive chemical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Any self-reactive chemical which in laboratory testing meets the criteria in (d)(i), (ii), or (iii) will be defined as self-reactive chemical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self-reactive chemical which, in laboratory testing, neither detonates nor deflagrates at all and shows low or no effect when heated under confinement will be defined as self-reactive chemical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Any self-reactive chemical which, in laboratory testing, neither detonates in the cavitated state nor deflagrates at all and shows only a low or no effect when heated under confinement as well as low or no explosive power will be defined as self-reactive chemical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Any self-reactive chemical which, in laboratory testing, neither detonates in the cavitated state nor deflagrates at all and shows no effect when heated under confinement nor any explosive power, provided that it is thermally stable (self-accelerating decomposition temperature is 60 °C (140 °F) to 75 °C (167 °F) for a 50 kg (110 lb)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B.8.3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B.8.3.1   For purposes of classification, the properties of self-reactive chemicals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B.8.3.2   Self-accelerating decomposition temperature (SADT) shall be determined in accordance with the UN ST/SG/AC.10, Part II, section 28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B.8.3.3   The classification procedures for self-reactive substances and mixtures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There are no chemical groups present in the molecule associated with explosive or self-reactive properties; examples of such groups are given in Tables A6.1 and A6.2 in the Appendix 6 of the UN ST/SG/AC.10 (incorporated by reference; See §1910.6);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For a single organic substance or a homogeneous mixture of organic substances, the estimated SADT is greater than 75 °C (167 °F) or the exothermic decomposition energy is less than 300 J/g. The onset temperature and </w:t>
            </w:r>
            <w:r w:rsidRPr="002F1441">
              <w:rPr>
                <w:rFonts w:ascii="Arial" w:eastAsia="Times New Roman" w:hAnsi="Arial" w:cs="Arial"/>
                <w:sz w:val="18"/>
                <w:szCs w:val="18"/>
              </w:rPr>
              <w:lastRenderedPageBreak/>
              <w:t>decomposition energy may be estimated using a suitable calorimetric technique (See 20.3.3.3 in Part II of the UN ST/SG/AC.10 (incorporated by reference; See §1910.6)).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   PYROPHORIC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liquid</w:t>
            </w:r>
            <w:r w:rsidRPr="002F1441">
              <w:rPr>
                <w:rFonts w:ascii="Arial" w:eastAsia="Times New Roman" w:hAnsi="Arial" w:cs="Arial"/>
                <w:sz w:val="18"/>
                <w:szCs w:val="18"/>
              </w:rPr>
              <w:t xml:space="preserve"> means a liquid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liquid shall be classified in a single category for this class using test N.3 in Part III, sub-section 33.3.1.5 of the UN ST/SG/AC.10 (incorporated by reference; See §1910.6), in accordance with Table B.9.1: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B.9.1—Criteria for Pyrophoric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liquid ignites within 5 min when added to an inert carrier and exposed to air, or it ignites or chars a filter paper on contact with air within 5 min.</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B.9.3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pyrophoric liquids need not be applied when experience in production or handling shows that the chemical does not ignite spontaneously on coming into contact with air at normal temperatures (i.e., the substance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   PYROPHORIC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Pyrophoric solid</w:t>
            </w:r>
            <w:r w:rsidRPr="002F1441">
              <w:rPr>
                <w:rFonts w:ascii="Arial" w:eastAsia="Times New Roman" w:hAnsi="Arial" w:cs="Arial"/>
                <w:sz w:val="18"/>
                <w:szCs w:val="18"/>
              </w:rPr>
              <w:t xml:space="preserve"> means a solid which, even in small quantities, is liable to ignite within five minutes after coming into contact with air.</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pyrophoric solid shall be classified in a single category for this class using test N.2 in Part III, sub-section 33.3.1.4 of the UN ST/SG/AC.10 (incorporated by reference; See §1910.6), in accordance with Table B.10.1: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B.10.1—Criteria for Pyrophoric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345"/>
              <w:gridCol w:w="7999"/>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solid ignites within 5 min of coming into contact with air.</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B.10.3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The classification procedure for pyrophoric solids need not be applied when experience in production or handling shows that the chemical does not ignite spontaneously on coming into contact with air at normal temperatures (i.e., the chemical is known to be stable at room temperature for prolonged periods of time (days)).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   SELF-HEATING CHEMICALS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self-heating chemical</w:t>
            </w:r>
            <w:r w:rsidRPr="002F1441">
              <w:rPr>
                <w:rFonts w:ascii="Arial" w:eastAsia="Times New Roman" w:hAnsi="Arial" w:cs="Arial"/>
                <w:sz w:val="18"/>
                <w:szCs w:val="18"/>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w:t>
            </w:r>
            <w:proofErr w:type="gramStart"/>
            <w:r w:rsidRPr="002F1441">
              <w:rPr>
                <w:rFonts w:ascii="Arial" w:eastAsia="Times New Roman" w:hAnsi="Arial" w:cs="Arial"/>
                <w:sz w:val="18"/>
                <w:szCs w:val="18"/>
              </w:rPr>
              <w:t>rise</w:t>
            </w:r>
            <w:proofErr w:type="gramEnd"/>
            <w:r w:rsidRPr="002F1441">
              <w:rPr>
                <w:rFonts w:ascii="Arial" w:eastAsia="Times New Roman" w:hAnsi="Arial" w:cs="Arial"/>
                <w:sz w:val="18"/>
                <w:szCs w:val="18"/>
              </w:rPr>
              <w:t xml:space="preserve"> which, after an induction time, may lead to self-ignition and combustion.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B.11.1—Criteria for Self-Heating Chemicals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positive result is obtained in a test using a 25 mm sample cube at 140 °C (284 °F).</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negative result is obtained in a test using a 25 mm cube sample at 140 °C (284 °F), a positive result is obtained in a test using a 100 mm sample cube at 140 °C (284 °F),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unit volume of the chemical is more than 3 m</w:t>
                  </w:r>
                  <w:r w:rsidRPr="002F1441">
                    <w:rPr>
                      <w:rFonts w:ascii="Arial" w:eastAsia="Times New Roman" w:hAnsi="Arial" w:cs="Arial"/>
                      <w:sz w:val="20"/>
                      <w:szCs w:val="20"/>
                      <w:vertAlign w:val="superscript"/>
                    </w:rPr>
                    <w:t>3</w:t>
                  </w:r>
                  <w:r w:rsidRPr="002F1441">
                    <w:rPr>
                      <w:rFonts w:ascii="Arial" w:eastAsia="Times New Roman" w:hAnsi="Arial" w:cs="Arial"/>
                      <w:sz w:val="20"/>
                      <w:szCs w:val="20"/>
                    </w:rPr>
                    <w:t>;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A positive result is obtained in a test using a 100 mm cube sample at 120 °C (248 °F) and the unit volume of the chemical is more than 450 liters;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A positive result is obtained in a test using a 100 mm cube sample at 100 °C (212 °F).</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B.11.2.2   Chemicals with a temperature of spontaneous combustion higher than 50 °C (122 °F) for a volume of 27 m</w:t>
            </w:r>
            <w:r w:rsidRPr="002F1441">
              <w:rPr>
                <w:rFonts w:ascii="Arial" w:eastAsia="Times New Roman" w:hAnsi="Arial" w:cs="Arial"/>
                <w:sz w:val="13"/>
                <w:szCs w:val="13"/>
                <w:vertAlign w:val="superscript"/>
              </w:rPr>
              <w:t>3</w:t>
            </w:r>
            <w:r w:rsidRPr="002F1441">
              <w:rPr>
                <w:rFonts w:ascii="Arial" w:eastAsia="Times New Roman" w:hAnsi="Arial" w:cs="Arial"/>
                <w:sz w:val="18"/>
                <w:szCs w:val="18"/>
              </w:rPr>
              <w:t xml:space="preserve"> shall not be classified as self-heating chemicals.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B.11.2.3   Chemicals with a spontaneous ignition temperature higher than 50 °C (122 °F) for a volume of 450 liters shall not be classified in Category 1 of this class.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B.11.3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B.11.3.1   The classification procedure for self-heating chemicals need not be applied if the results of a screening test can be adequately correlated with the classification test and an appropriate safety margin is applied.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B.11.3.2   Examples of screening tests are: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The Grewer Oven test (VDI guideline 2263, part 1, 1990, Test methods for the Determination of the Safety Characteristics of Dusts) with an onset temperature 80°K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2F1441">
              <w:rPr>
                <w:rFonts w:ascii="Arial" w:eastAsia="Times New Roman" w:hAnsi="Arial" w:cs="Arial"/>
                <w:i/>
                <w:iCs/>
                <w:sz w:val="18"/>
                <w:szCs w:val="18"/>
              </w:rPr>
              <w:t>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   CHEMICALS WHICH, IN CONTACT WITH WATER, EMIT FLAMMABLE GASES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Chemicals which, in contact with water, emit flammable gases</w:t>
            </w:r>
            <w:r w:rsidRPr="002F1441">
              <w:rPr>
                <w:rFonts w:ascii="Arial" w:eastAsia="Times New Roman" w:hAnsi="Arial" w:cs="Arial"/>
                <w:sz w:val="18"/>
                <w:szCs w:val="18"/>
              </w:rPr>
              <w:t xml:space="preserve"> are solid or liquid chemicals which, by interaction with water, are liable to become spontaneously flammable or to give off flammable gases in dangerous quantities.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B.12.1—Criteria for Chemicals Which, in Contact With Water, Emit Flammable Gases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B.12.2.2   A chemical is classified as a chemical which, in contact with water emits flammable gases if spontaneous ignition takes place in any step of the test procedure.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B.12.3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classification procedure for this class need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structure of the chemical does not contain metals or metalloids;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Experience in production or handling shows that the chemical does not react with water, (e.g., the chemical is manufactured with water or washed with water);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The chemical is known to be soluble in water to form a stable mixture.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   OXIDIZING LIQUIDS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lastRenderedPageBreak/>
              <w:t>B.13.1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liquid</w:t>
            </w:r>
            <w:r w:rsidRPr="002F1441">
              <w:rPr>
                <w:rFonts w:ascii="Arial" w:eastAsia="Times New Roman" w:hAnsi="Arial" w:cs="Arial"/>
                <w:sz w:val="18"/>
                <w:szCs w:val="18"/>
              </w:rPr>
              <w:t xml:space="preserve"> means a liquid which, while in itself not necessarily combustible, may, generally by yielding 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liquid shall be classified in one of the three categories for this class using test O.2 in Part III, sub-section 34.4.2 of the UN ST/SG/AC.10 (incorporated by reference; See §1910.6), in accordance with Table B.13.1: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B.13.1—Criteria for Oxidizing Liquids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Category</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spontaneously ignites; or the mean pressure rise time of a 1:1 mixture, by mass, of chemical and cellulose is less than that of a 1:1 mixture, by mass, of 50% perchloric acid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B.13.3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B.13.3.3   In the event of divergence between test results and known experience in the handling and use of chemicals which shows them to be oxidizing, judgments based on known experience shall take precedence over test results.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(kieselguhr)) in place of the cellulose in order to clarify the nature of the reaction.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   OXIDIZING SOLIDS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Oxidizing solid</w:t>
            </w:r>
            <w:r w:rsidRPr="002F1441">
              <w:rPr>
                <w:rFonts w:ascii="Arial" w:eastAsia="Times New Roman" w:hAnsi="Arial" w:cs="Arial"/>
                <w:sz w:val="18"/>
                <w:szCs w:val="18"/>
              </w:rPr>
              <w:t xml:space="preserve"> means a solid which, while in </w:t>
            </w:r>
            <w:proofErr w:type="gramStart"/>
            <w:r w:rsidRPr="002F1441">
              <w:rPr>
                <w:rFonts w:ascii="Arial" w:eastAsia="Times New Roman" w:hAnsi="Arial" w:cs="Arial"/>
                <w:sz w:val="18"/>
                <w:szCs w:val="18"/>
              </w:rPr>
              <w:t>itself</w:t>
            </w:r>
            <w:proofErr w:type="gramEnd"/>
            <w:r w:rsidRPr="002F1441">
              <w:rPr>
                <w:rFonts w:ascii="Arial" w:eastAsia="Times New Roman" w:hAnsi="Arial" w:cs="Arial"/>
                <w:sz w:val="18"/>
                <w:szCs w:val="18"/>
              </w:rPr>
              <w:t xml:space="preserve"> is not necessarily combustible, may, generally by yielding </w:t>
            </w:r>
            <w:r w:rsidRPr="002F1441">
              <w:rPr>
                <w:rFonts w:ascii="Arial" w:eastAsia="Times New Roman" w:hAnsi="Arial" w:cs="Arial"/>
                <w:sz w:val="18"/>
                <w:szCs w:val="18"/>
              </w:rPr>
              <w:lastRenderedPageBreak/>
              <w:t>oxygen, cause, or contribute to, the combustion of other material.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 oxidizing solid shall be classified in one of the three categories for this class using test O.1 in Part III, sub-section 34.4.1 of the UN ST/SG/AC.10 (incorporated by reference; See §1910.6), in accordance with Table B.14.1: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B.14.1—Criteria for Oxidizing Solids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less than the mean burning time of a 3:2 mixture, by mass, of potassium bromate and cellulose.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1:</w:t>
            </w:r>
            <w:r w:rsidRPr="002F1441">
              <w:rPr>
                <w:rFonts w:ascii="Arial" w:eastAsia="Times New Roman" w:hAnsi="Arial" w:cs="Arial"/>
                <w:sz w:val="18"/>
                <w:szCs w:val="18"/>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t>Note 2:</w:t>
            </w:r>
            <w:r w:rsidRPr="002F1441">
              <w:rPr>
                <w:rFonts w:ascii="Arial" w:eastAsia="Times New Roman" w:hAnsi="Arial" w:cs="Arial"/>
                <w:sz w:val="18"/>
                <w:szCs w:val="18"/>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B.14.3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B.14.3.1   For organic chemicals, the classification procedure for this class shall not be applied if: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The chemical does not contain oxygen, fluorine or chlorine;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The chemical contains oxygen, fluorine or chlorine and these elements are chemically bonded only to carbon or hydrogen.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B.14.3.2   For inorganic chemicals, the classification procedure for this class shall not be applied if the chemical does not contain oxygen or halogen atoms.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B.14.3.3   In the event of divergence between test results and known experience in the handling and use of chemicals which shows them to be oxidizing, judgements based on known experience shall take precedence over test results.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   ORGANIC PEROXIDES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B.15.1.1   </w:t>
            </w:r>
            <w:r w:rsidRPr="002F1441">
              <w:rPr>
                <w:rFonts w:ascii="Arial" w:eastAsia="Times New Roman" w:hAnsi="Arial" w:cs="Arial"/>
                <w:i/>
                <w:iCs/>
                <w:sz w:val="18"/>
                <w:szCs w:val="18"/>
              </w:rPr>
              <w:t>Organic peroxide</w:t>
            </w:r>
            <w:r w:rsidRPr="002F1441">
              <w:rPr>
                <w:rFonts w:ascii="Arial" w:eastAsia="Times New Roman" w:hAnsi="Arial" w:cs="Arial"/>
                <w:sz w:val="18"/>
                <w:szCs w:val="18"/>
              </w:rPr>
              <w:t xml:space="preserve"> means a liquid or solid organic chemical which contains the bivalent -0-0- structure </w:t>
            </w:r>
            <w:r w:rsidRPr="002F1441">
              <w:rPr>
                <w:rFonts w:ascii="Arial" w:eastAsia="Times New Roman" w:hAnsi="Arial" w:cs="Arial"/>
                <w:sz w:val="18"/>
                <w:szCs w:val="18"/>
              </w:rPr>
              <w:lastRenderedPageBreak/>
              <w:t xml:space="preserve">and as such is considered a derivative of hydrogen peroxide, where one or both of the hydrogen atoms have been replaced by organic radicals. The term organic peroxide includes organic peroxide mixtures containing </w:t>
            </w:r>
            <w:proofErr w:type="gramStart"/>
            <w:r w:rsidRPr="002F1441">
              <w:rPr>
                <w:rFonts w:ascii="Arial" w:eastAsia="Times New Roman" w:hAnsi="Arial" w:cs="Arial"/>
                <w:sz w:val="18"/>
                <w:szCs w:val="18"/>
              </w:rPr>
              <w:t>at least one organic peroxide</w:t>
            </w:r>
            <w:proofErr w:type="gramEnd"/>
            <w:r w:rsidRPr="002F1441">
              <w:rPr>
                <w:rFonts w:ascii="Arial" w:eastAsia="Times New Roman" w:hAnsi="Arial" w:cs="Arial"/>
                <w:sz w:val="18"/>
                <w:szCs w:val="18"/>
              </w:rPr>
              <w:t>. Organic peroxides are thermally unstable chemicals, which may undergo exothermic self-accelerating decomposition. In addition, they may have one or more of the following properties: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Be liable to explosive decomposition;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Burn rapidly;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Be sensitive to impact or friction;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(d) React dangerously with other substances.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B.15.1.2   </w:t>
            </w:r>
            <w:proofErr w:type="gramStart"/>
            <w:r w:rsidRPr="002F1441">
              <w:rPr>
                <w:rFonts w:ascii="Arial" w:eastAsia="Times New Roman" w:hAnsi="Arial" w:cs="Arial"/>
                <w:sz w:val="18"/>
                <w:szCs w:val="18"/>
              </w:rPr>
              <w:t>An organic</w:t>
            </w:r>
            <w:proofErr w:type="gramEnd"/>
            <w:r w:rsidRPr="002F1441">
              <w:rPr>
                <w:rFonts w:ascii="Arial" w:eastAsia="Times New Roman" w:hAnsi="Arial" w:cs="Arial"/>
                <w:sz w:val="18"/>
                <w:szCs w:val="18"/>
              </w:rPr>
              <w:t xml:space="preserve"> peroxide is regarded as possessing explosive properties when in laboratory testing the formulation is liable to detonate, to deflagrate rapidly or to show a violent effect when heated under confinement.</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B.15.2.1   Any organic peroxide shall be considered for classification in this class, unless it contains: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Not more than 1.0% available oxygen from the organic peroxides when containing not more than 1.0% hydrogen peroxide;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Not more than 0.5% available oxygen from the organic peroxides when containing more than 1.0% but not more than 7.0% hydrogen peroxide.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mallCaps/>
                <w:sz w:val="18"/>
                <w:szCs w:val="18"/>
              </w:rPr>
              <w:t>Note:</w:t>
            </w:r>
            <w:r w:rsidRPr="002F1441">
              <w:rPr>
                <w:rFonts w:ascii="Arial" w:eastAsia="Times New Roman" w:hAnsi="Arial" w:cs="Arial"/>
                <w:sz w:val="18"/>
                <w:szCs w:val="18"/>
              </w:rPr>
              <w:t>The available oxygen content (%) of an organic peroxide mixture is given by the formula:</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742950" cy="323850"/>
                  <wp:effectExtent l="0" t="0" r="0" b="0"/>
                  <wp:docPr id="60" name="Picture 6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2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Where: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n</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number of peroxygen groups per molecule of organic peroxide </w:t>
            </w:r>
            <w:r w:rsidRPr="002F1441">
              <w:rPr>
                <w:rFonts w:ascii="Arial" w:eastAsia="Times New Roman" w:hAnsi="Arial" w:cs="Arial"/>
                <w:i/>
                <w:iCs/>
                <w:sz w:val="18"/>
                <w:szCs w:val="18"/>
              </w:rPr>
              <w:t>i</w:t>
            </w:r>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i/>
                <w:iCs/>
                <w:sz w:val="18"/>
                <w:szCs w:val="18"/>
              </w:rPr>
              <w:t>c</w:t>
            </w:r>
            <w:r w:rsidRPr="002F1441">
              <w:rPr>
                <w:rFonts w:ascii="Arial" w:eastAsia="Times New Roman" w:hAnsi="Arial" w:cs="Arial"/>
                <w:i/>
                <w:iCs/>
                <w:sz w:val="13"/>
                <w:szCs w:val="13"/>
                <w:vertAlign w:val="subscript"/>
              </w:rPr>
              <w:t>i</w:t>
            </w:r>
            <w:r w:rsidRPr="002F1441">
              <w:rPr>
                <w:rFonts w:ascii="Arial" w:eastAsia="Times New Roman" w:hAnsi="Arial" w:cs="Arial"/>
                <w:sz w:val="18"/>
                <w:szCs w:val="18"/>
              </w:rPr>
              <w:t xml:space="preserve"> = concentration (mass %) of organic peroxide </w:t>
            </w:r>
            <w:r w:rsidRPr="002F1441">
              <w:rPr>
                <w:rFonts w:ascii="Arial" w:eastAsia="Times New Roman" w:hAnsi="Arial" w:cs="Arial"/>
                <w:i/>
                <w:iCs/>
                <w:sz w:val="18"/>
                <w:szCs w:val="18"/>
              </w:rPr>
              <w:t>i</w:t>
            </w:r>
            <w:r w:rsidRPr="002F1441">
              <w:rPr>
                <w:rFonts w:ascii="Arial" w:eastAsia="Times New Roman" w:hAnsi="Arial" w:cs="Arial"/>
                <w:sz w:val="18"/>
                <w:szCs w:val="18"/>
              </w:rPr>
              <w:t>;</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proofErr w:type="gramStart"/>
            <w:r w:rsidRPr="002F1441">
              <w:rPr>
                <w:rFonts w:ascii="Arial" w:eastAsia="Times New Roman" w:hAnsi="Arial" w:cs="Arial"/>
                <w:i/>
                <w:iCs/>
                <w:sz w:val="18"/>
                <w:szCs w:val="18"/>
              </w:rPr>
              <w:t>m</w:t>
            </w:r>
            <w:r w:rsidRPr="002F1441">
              <w:rPr>
                <w:rFonts w:ascii="Arial" w:eastAsia="Times New Roman" w:hAnsi="Arial" w:cs="Arial"/>
                <w:i/>
                <w:iCs/>
                <w:sz w:val="13"/>
                <w:szCs w:val="13"/>
                <w:vertAlign w:val="subscript"/>
              </w:rPr>
              <w:t>i</w:t>
            </w:r>
            <w:proofErr w:type="gramEnd"/>
            <w:r w:rsidRPr="002F1441">
              <w:rPr>
                <w:rFonts w:ascii="Arial" w:eastAsia="Times New Roman" w:hAnsi="Arial" w:cs="Arial"/>
                <w:sz w:val="18"/>
                <w:szCs w:val="18"/>
              </w:rPr>
              <w:t xml:space="preserve"> = molecular mass of organic peroxide </w:t>
            </w:r>
            <w:r w:rsidRPr="002F1441">
              <w:rPr>
                <w:rFonts w:ascii="Arial" w:eastAsia="Times New Roman" w:hAnsi="Arial" w:cs="Arial"/>
                <w:i/>
                <w:iCs/>
                <w:sz w:val="18"/>
                <w:szCs w:val="18"/>
              </w:rPr>
              <w:t>i.</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B.15.2.2   Organic peroxides shall be classified in one of the seven categories of “Types A to G” for this class, according to the following principles: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Any organic peroxide which, as packaged, can detonate or deflagrate rapidly shall be defined as organic peroxide TYPE 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Any organic peroxide possessing explosive properties and which, as packaged, neither detonates nor deflagrates rapidly, but is liable to undergo a thermal explosion in that package shall be defined as organic peroxide TYPE 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 Any organic peroxide possessing explosive properties when the chemical as packaged cannot detonate or deflagrate rapidly or undergo a thermal explosion shall be defined as organic peroxide TYPE 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(d) Any organic peroxide which in laboratory testing meets the criteria in (d)(i), (ii), or (iii) shall be defined as organic peroxide TYPE 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 Detonates partially, does not deflagrate rapidly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 Does not detonate at all, deflagrates slowly and shows no violent effect when heated under confinement;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(iii) Does not detonate or deflagrate at all and shows a medium effect when heated under confinement;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(e) Any organic peroxide which, in laboratory testing, neither detonates nor deflagrates at all and shows low or no effect when heated under confinement shall be defined as organic peroxide TYPE 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(f) Any organic peroxide which, in laboratory testing, neither detonates in the cavitated state nor deflagrates at all and shows only a low or no effect when heated under confinement as well as low or no explosive power shall be defined as organic peroxide TYPE F;</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 Any organic peroxide which, in laboratory testing, neither detonates in the cavitated state nor deflagrates at all and shows no effect when heated under confinement nor any explosive power, provided that it is thermally stable (self-accelerating decomposition temperature is 60 °C (140 °F) or higher for a 50 kg (110 lb)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B.15.3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B.15.3.1   For purposes of classification, the properties of organic peroxides shall be determined in accordance with test series A to H as described in Part II of the UN ST/SG/AC.10 (incorporated by reference; See §1910.6).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B.15.3.2   Self-accelerating decomposition temperature (SADT) shall be determined in accordance with the UN ST/SG/AC.10 (incorporated by reference; See §1910.6), Part II, section 28.</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B.15.3.3   Mixtures of organic peroxides may be classified as the same type of organic peroxide as that of the most dangerous ingredient. However, as two stable ingredients can form a thermally less stable mixture, the SADT of the mixture shall be determined.</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   CORROSIVE TO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B.16.1   Definition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chemical which is corrosive to metals</w:t>
            </w:r>
            <w:r w:rsidRPr="002F1441">
              <w:rPr>
                <w:rFonts w:ascii="Arial" w:eastAsia="Times New Roman" w:hAnsi="Arial" w:cs="Arial"/>
                <w:sz w:val="18"/>
                <w:szCs w:val="18"/>
              </w:rPr>
              <w:t xml:space="preserve"> means a chemical which by chemical action will materially damage, or even destroy, metals.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B.16.2   Classification Criteria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chemical which is corrosive to metals shall be classified in a single category for this class, using the test in Part III, sub-section 37.4 of the UN ST/SG/AC.10 (incorporated by reference; See §1910.6), in accordance with Table B.16.1: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Table B.16.1—Criteria for Chemicals Corrosive to Metal</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897"/>
              <w:gridCol w:w="844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 xml:space="preserve">Category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Criteria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Corrosion rate on either steel or aluminium surfaces exceeding 6.25 mm per year at a test </w:t>
                  </w:r>
                  <w:r w:rsidRPr="002F1441">
                    <w:rPr>
                      <w:rFonts w:ascii="Arial" w:eastAsia="Times New Roman" w:hAnsi="Arial" w:cs="Arial"/>
                      <w:sz w:val="20"/>
                      <w:szCs w:val="20"/>
                    </w:rPr>
                    <w:lastRenderedPageBreak/>
                    <w:t>temperature of 55 °C (131 °F) when tested on both materials.</w:t>
                  </w:r>
                </w:p>
              </w:tc>
            </w:tr>
          </w:tbl>
          <w:p w:rsidR="002F1441" w:rsidRPr="002F1441" w:rsidRDefault="002F1441" w:rsidP="002F1441">
            <w:pPr>
              <w:spacing w:before="200" w:after="100" w:afterAutospacing="1" w:line="240" w:lineRule="auto"/>
              <w:ind w:firstLine="480"/>
              <w:rPr>
                <w:rFonts w:ascii="Arial" w:eastAsia="Times New Roman" w:hAnsi="Arial" w:cs="Arial"/>
                <w:sz w:val="18"/>
                <w:szCs w:val="18"/>
              </w:rPr>
            </w:pPr>
            <w:r w:rsidRPr="002F1441">
              <w:rPr>
                <w:rFonts w:ascii="Arial" w:eastAsia="Times New Roman" w:hAnsi="Arial" w:cs="Arial"/>
                <w:smallCaps/>
                <w:sz w:val="18"/>
                <w:szCs w:val="18"/>
              </w:rPr>
              <w:lastRenderedPageBreak/>
              <w:t>Note:</w:t>
            </w:r>
            <w:r w:rsidRPr="002F1441">
              <w:rPr>
                <w:rFonts w:ascii="Arial" w:eastAsia="Times New Roman" w:hAnsi="Arial" w:cs="Arial"/>
                <w:sz w:val="18"/>
                <w:szCs w:val="18"/>
              </w:rPr>
              <w:t xml:space="preserve"> Where an initial test on either steel or aluminium indicates the chemical being tested is corrosive, the follow-up test on the other metal is not necessary.</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B.16.3   Additional Classification Considerations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specimen to be used for the test shall be made of the following materials: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For the purposes of testing steel, steel types S235JR+CR (1.0037 resp.St 37-2), S275J2G3+CR (1.0144 resp.St 44-3), ISO 3574, Unified Numbering System (UNS) G 10200, or SAE 1020;</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For the purposes of testing aluminium: Non-clad types 7075-T6 or AZ5GU-T6.</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C to §1910.1200—Allocation of Label Elements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   The label for each hazardous chemical shall include the product identifier used on the safety data sheet.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C.1.1   The labels on shipped containers shall also include the name, address, and telephone number of the chemical manufacturer, importer, or responsible party.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C.2.1   Precedence of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C.2.1.1   If the signal word “Danger” is included, the signal word “Warning” shall not appear;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C.2.1.2   If the skull and crossbones pictogram is included, the exclamation mark pictogram shall not appear where it is used for acute toxicity;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C.2.1.3   If the corrosive pictogram is included, the exclamation mark pictogram shall not appear where it is used for skin or eye irritation;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C.2.1.4   If the health hazard pictogram is included for respiratory sensitization, the exclamation mark pictogram shall not appear where it is used for skin sensitization or for skin or eye irritation.</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C.2.2   Hazard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C.2.2.1   The text of all applicable hazard statements shall appear on the label, except as otherwise specified. The information in italics shall be included as part of the hazard statement as provided. For example: “causes damage to organs </w:t>
            </w:r>
            <w:r w:rsidRPr="002F1441">
              <w:rPr>
                <w:rFonts w:ascii="Arial" w:eastAsia="Times New Roman" w:hAnsi="Arial" w:cs="Arial"/>
                <w:i/>
                <w:iCs/>
                <w:sz w:val="18"/>
                <w:szCs w:val="18"/>
              </w:rPr>
              <w:t>(state all organs affected)</w:t>
            </w:r>
            <w:r w:rsidRPr="002F1441">
              <w:rPr>
                <w:rFonts w:ascii="Arial" w:eastAsia="Times New Roman" w:hAnsi="Arial" w:cs="Arial"/>
                <w:sz w:val="18"/>
                <w:szCs w:val="18"/>
              </w:rPr>
              <w:t xml:space="preserve"> through prolonged or repeated exposure </w:t>
            </w:r>
            <w:r w:rsidRPr="002F1441">
              <w:rPr>
                <w:rFonts w:ascii="Arial" w:eastAsia="Times New Roman" w:hAnsi="Arial" w:cs="Arial"/>
                <w:i/>
                <w:iCs/>
                <w:sz w:val="18"/>
                <w:szCs w:val="18"/>
              </w:rPr>
              <w:t>(state route of exposure if no other routes of exposure cause the hazard)</w:t>
            </w:r>
            <w:r w:rsidRPr="002F1441">
              <w:rPr>
                <w:rFonts w:ascii="Arial" w:eastAsia="Times New Roman" w:hAnsi="Arial" w:cs="Arial"/>
                <w:sz w:val="18"/>
                <w:szCs w:val="18"/>
              </w:rPr>
              <w:t>”. Hazard statements may be combined where appropriate to reduce the information on the label and improve readability, as long as all of the hazards are conveyed as required.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C.2.2.2   If the chemical manufacturer, importer, or responsible party can demonstrate that all or part of the hazard statement is inappropriate to a specific substance or mixture, the corresponding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C.2.3   Pictograms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C.2.3.1   Pictograms shall be in the shape of a square set at a point and shall include a black hazard symbol on </w:t>
            </w:r>
            <w:r w:rsidRPr="002F1441">
              <w:rPr>
                <w:rFonts w:ascii="Arial" w:eastAsia="Times New Roman" w:hAnsi="Arial" w:cs="Arial"/>
                <w:sz w:val="18"/>
                <w:szCs w:val="18"/>
              </w:rPr>
              <w:lastRenderedPageBreak/>
              <w:t>a white background with a red frame sufficiently wide to be clearly visible. A square red frame set at a point without a hazard symbol is not a pictogram and is not permitted on the label.</w:t>
            </w:r>
          </w:p>
          <w:p w:rsidR="002F1441" w:rsidRPr="002F1441" w:rsidRDefault="002F1441" w:rsidP="002F1441">
            <w:pPr>
              <w:spacing w:after="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4962525" cy="6153150"/>
                  <wp:effectExtent l="0" t="0" r="9525" b="0"/>
                  <wp:docPr id="59" name="Picture 59"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9.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2525" cy="615315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2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Pr>
                <w:rFonts w:ascii="Arial" w:eastAsia="Times New Roman" w:hAnsi="Arial" w:cs="Arial"/>
                <w:noProof/>
                <w:sz w:val="18"/>
                <w:szCs w:val="18"/>
              </w:rPr>
              <w:lastRenderedPageBreak/>
              <w:drawing>
                <wp:inline distT="0" distB="0" distL="0" distR="0">
                  <wp:extent cx="4457700" cy="2009775"/>
                  <wp:effectExtent l="0" t="0" r="0" b="9525"/>
                  <wp:docPr id="58" name="Picture 58"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7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hyperlink r:id="rId3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18"/>
                <w:szCs w:val="18"/>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C.2.4   Precautionary Statement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C.2.4.3   When three full stops (*</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 appear in the precautionary statement text, they indicate that all applicable conditions are not listed. For example, in “Use explosion-proof electrical/ventilating/lighting/*</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*/equipment”, the use of “*  *  *” indicates that other equipment may need to be specified. In such cases, the chemical manufacturer, importer, or responsible party can choose the other conditions to be specified.</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C.2.4.4   When text </w:t>
            </w:r>
            <w:r w:rsidRPr="002F1441">
              <w:rPr>
                <w:rFonts w:ascii="Arial" w:eastAsia="Times New Roman" w:hAnsi="Arial" w:cs="Arial"/>
                <w:i/>
                <w:iCs/>
                <w:sz w:val="18"/>
                <w:szCs w:val="18"/>
              </w:rPr>
              <w:t>in italics</w:t>
            </w:r>
            <w:r w:rsidRPr="002F1441">
              <w:rPr>
                <w:rFonts w:ascii="Arial" w:eastAsia="Times New Roman" w:hAnsi="Arial" w:cs="Arial"/>
                <w:sz w:val="18"/>
                <w:szCs w:val="18"/>
              </w:rPr>
              <w:t xml:space="preserve"> is used in a precautionary statement, this indicates specific conditions applying to the use or allocation of the precautionary statement. For example, “Use explosion-proof electrical/ventilating/lighting/*</w:t>
            </w:r>
            <w:proofErr w:type="gramStart"/>
            <w:r w:rsidRPr="002F1441">
              <w:rPr>
                <w:rFonts w:ascii="Arial" w:eastAsia="Times New Roman" w:hAnsi="Arial" w:cs="Arial"/>
                <w:sz w:val="18"/>
                <w:szCs w:val="18"/>
              </w:rPr>
              <w:t>  *</w:t>
            </w:r>
            <w:proofErr w:type="gramEnd"/>
            <w:r w:rsidRPr="002F1441">
              <w:rPr>
                <w:rFonts w:ascii="Arial" w:eastAsia="Times New Roman" w:hAnsi="Arial" w:cs="Arial"/>
                <w:sz w:val="18"/>
                <w:szCs w:val="18"/>
              </w:rPr>
              <w:t>  */equipment” is only required for flammable solids “</w:t>
            </w:r>
            <w:r w:rsidRPr="002F1441">
              <w:rPr>
                <w:rFonts w:ascii="Arial" w:eastAsia="Times New Roman" w:hAnsi="Arial" w:cs="Arial"/>
                <w:i/>
                <w:iCs/>
                <w:sz w:val="18"/>
                <w:szCs w:val="18"/>
              </w:rPr>
              <w:t>if dust clouds can occur</w:t>
            </w:r>
            <w:r w:rsidRPr="002F1441">
              <w:rPr>
                <w:rFonts w:ascii="Arial" w:eastAsia="Times New Roman" w:hAnsi="Arial" w:cs="Arial"/>
                <w:sz w:val="18"/>
                <w:szCs w:val="18"/>
              </w:rPr>
              <w:t>”. Text in italics is intended to be an explanatory, conditional note and is not intended to appear on the label.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C.2.4.8   If the chemical manufacturer, importer, or responsible party can demonstrate that a precautionary statement is inappropriate to a specific substance or mixture, the precautionary statement may be omitted from the label.</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C.3   Supplementary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C.3.1   To ensure that non-standardized information does not lead to unnecessarily wide variation or undermine the required </w:t>
            </w:r>
            <w:proofErr w:type="gramStart"/>
            <w:r w:rsidRPr="002F1441">
              <w:rPr>
                <w:rFonts w:ascii="Arial" w:eastAsia="Times New Roman" w:hAnsi="Arial" w:cs="Arial"/>
                <w:sz w:val="18"/>
                <w:szCs w:val="18"/>
              </w:rPr>
              <w:t>information,</w:t>
            </w:r>
            <w:proofErr w:type="gramEnd"/>
            <w:r w:rsidRPr="002F1441">
              <w:rPr>
                <w:rFonts w:ascii="Arial" w:eastAsia="Times New Roman" w:hAnsi="Arial" w:cs="Arial"/>
                <w:sz w:val="18"/>
                <w:szCs w:val="18"/>
              </w:rPr>
              <w:t xml:space="preserve"> supplementary information on the label is limited to when it provides further detail and does not contradict or cast doubt on the validity of the standardized hazard information.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C.3.2   Where the chemical manufacturer, importer, or distributor chooses to add supplementary information on the label, the placement of supplemental information shall not impede identification of information required by this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002F1441" w:rsidRPr="002F1441" w:rsidRDefault="002F1441" w:rsidP="002F1441">
            <w:pPr>
              <w:spacing w:after="0" w:line="240" w:lineRule="auto"/>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790950" cy="6181725"/>
                  <wp:effectExtent l="0" t="0" r="0" b="9525"/>
                  <wp:docPr id="57" name="Picture 57"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7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3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81375" cy="6181725"/>
                  <wp:effectExtent l="0" t="0" r="9525" b="9525"/>
                  <wp:docPr id="56" name="Picture 56"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07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13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3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95575" cy="6181725"/>
                  <wp:effectExtent l="0" t="0" r="9525" b="9525"/>
                  <wp:docPr id="55" name="Picture 5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7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3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86250" cy="6181725"/>
                  <wp:effectExtent l="0" t="0" r="0" b="9525"/>
                  <wp:docPr id="54" name="Picture 54"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7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3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57675" cy="6181725"/>
                  <wp:effectExtent l="0" t="0" r="9525" b="9525"/>
                  <wp:docPr id="53" name="Picture 53"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7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4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57675" cy="6181725"/>
                  <wp:effectExtent l="0" t="0" r="9525" b="9525"/>
                  <wp:docPr id="52" name="Picture 52"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76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4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33825" cy="6181725"/>
                  <wp:effectExtent l="0" t="0" r="9525" b="9525"/>
                  <wp:docPr id="51" name="Picture 51"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4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50" name="Picture 5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4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62250" cy="6181725"/>
                  <wp:effectExtent l="0" t="0" r="0" b="9525"/>
                  <wp:docPr id="49" name="Picture 49"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9.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4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62425" cy="6181725"/>
                  <wp:effectExtent l="0" t="0" r="9525" b="9525"/>
                  <wp:docPr id="48" name="Picture 48"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8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5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81475" cy="6181725"/>
                  <wp:effectExtent l="0" t="0" r="9525" b="9525"/>
                  <wp:docPr id="47" name="Picture 47"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8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4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5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86100" cy="6181725"/>
                  <wp:effectExtent l="0" t="0" r="0" b="9525"/>
                  <wp:docPr id="46" name="Picture 46"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8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61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5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52725" cy="6181725"/>
                  <wp:effectExtent l="0" t="0" r="9525" b="9525"/>
                  <wp:docPr id="45" name="Picture 4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8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5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286000" cy="6181725"/>
                  <wp:effectExtent l="0" t="0" r="0" b="9525"/>
                  <wp:docPr id="44" name="Picture 44"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8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5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571875" cy="6181725"/>
                  <wp:effectExtent l="0" t="0" r="9525" b="9525"/>
                  <wp:docPr id="43" name="Picture 43"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8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6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00525" cy="6181725"/>
                  <wp:effectExtent l="0" t="0" r="9525" b="9525"/>
                  <wp:docPr id="42" name="Picture 42"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6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41" name="Picture 41"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7.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6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676650" cy="6181725"/>
                  <wp:effectExtent l="0" t="0" r="0" b="9525"/>
                  <wp:docPr id="40" name="Picture 4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8.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66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6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76575" cy="6096000"/>
                  <wp:effectExtent l="0" t="0" r="9525" b="0"/>
                  <wp:docPr id="39" name="Picture 39"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75" cy="609600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6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71950" cy="6181725"/>
                  <wp:effectExtent l="0" t="0" r="0" b="9525"/>
                  <wp:docPr id="38" name="Picture 38"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9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7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52800" cy="6181725"/>
                  <wp:effectExtent l="0" t="0" r="0" b="9525"/>
                  <wp:docPr id="37" name="Picture 37"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9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7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295650" cy="6181725"/>
                  <wp:effectExtent l="0" t="0" r="0" b="9525"/>
                  <wp:docPr id="36" name="Picture 36"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9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56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7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895600" cy="6181725"/>
                  <wp:effectExtent l="0" t="0" r="0" b="9525"/>
                  <wp:docPr id="35" name="Picture 3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9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7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24225" cy="6181725"/>
                  <wp:effectExtent l="0" t="0" r="9525" b="9525"/>
                  <wp:docPr id="34" name="Picture 34"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9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42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7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57450" cy="6181725"/>
                  <wp:effectExtent l="0" t="0" r="0" b="9525"/>
                  <wp:docPr id="33" name="Picture 33"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9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74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8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47950" cy="6181725"/>
                  <wp:effectExtent l="0" t="0" r="0" b="9525"/>
                  <wp:docPr id="32" name="Picture 32"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8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305175" cy="6181725"/>
                  <wp:effectExtent l="0" t="0" r="9525" b="9525"/>
                  <wp:docPr id="31" name="Picture 31"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8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19575" cy="6181725"/>
                  <wp:effectExtent l="0" t="0" r="9525" b="9525"/>
                  <wp:docPr id="30" name="Picture 3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8.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8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410075" cy="6181725"/>
                  <wp:effectExtent l="0" t="0" r="9525" b="9525"/>
                  <wp:docPr id="29" name="Picture 29"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00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8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19575" cy="6181725"/>
                  <wp:effectExtent l="0" t="0" r="9525" b="9525"/>
                  <wp:docPr id="28" name="Picture 28"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10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95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9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057400" cy="6181725"/>
                  <wp:effectExtent l="0" t="0" r="0" b="9525"/>
                  <wp:docPr id="27" name="Picture 27"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10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74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9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47925" cy="6191250"/>
                  <wp:effectExtent l="0" t="0" r="9525" b="0"/>
                  <wp:docPr id="26" name="Picture 26"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10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47925" cy="6191250"/>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9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009775" cy="6181725"/>
                  <wp:effectExtent l="0" t="0" r="9525" b="9525"/>
                  <wp:docPr id="25" name="Picture 2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10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97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9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076575" cy="6181725"/>
                  <wp:effectExtent l="0" t="0" r="9525" b="9525"/>
                  <wp:docPr id="24" name="Picture 24"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10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9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67000" cy="6181725"/>
                  <wp:effectExtent l="0" t="0" r="0" b="9525"/>
                  <wp:docPr id="23" name="Picture 23"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10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0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143125" cy="6181725"/>
                  <wp:effectExtent l="0" t="0" r="9525" b="9525"/>
                  <wp:docPr id="22" name="Picture 22"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6.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0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419350" cy="6181725"/>
                  <wp:effectExtent l="0" t="0" r="0" b="9525"/>
                  <wp:docPr id="21" name="Picture 21"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93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0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00525" cy="6181725"/>
                  <wp:effectExtent l="0" t="0" r="9525" b="9525"/>
                  <wp:docPr id="20" name="Picture 2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05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0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219325" cy="6181725"/>
                  <wp:effectExtent l="0" t="0" r="9525" b="9525"/>
                  <wp:docPr id="19" name="Picture 19"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9.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93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0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352925" cy="6181725"/>
                  <wp:effectExtent l="0" t="0" r="9525" b="9525"/>
                  <wp:docPr id="18" name="Picture 18"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1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29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1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86200" cy="6181725"/>
                  <wp:effectExtent l="0" t="0" r="0" b="9525"/>
                  <wp:docPr id="17" name="Picture 17"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1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1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90975" cy="6181725"/>
                  <wp:effectExtent l="0" t="0" r="9525" b="9525"/>
                  <wp:docPr id="16" name="Picture 16"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1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909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1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33825" cy="6181725"/>
                  <wp:effectExtent l="0" t="0" r="9525" b="9525"/>
                  <wp:docPr id="15" name="Picture 1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1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338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1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143250" cy="6181725"/>
                  <wp:effectExtent l="0" t="0" r="0" b="9525"/>
                  <wp:docPr id="14" name="Picture 14"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14.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1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143250" cy="6181725"/>
                  <wp:effectExtent l="0" t="0" r="0" b="9525"/>
                  <wp:docPr id="13" name="Picture 13"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15.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2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448050" cy="6181725"/>
                  <wp:effectExtent l="0" t="0" r="0" b="9525"/>
                  <wp:docPr id="12" name="Picture 12"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6.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480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2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790825" cy="6181725"/>
                  <wp:effectExtent l="0" t="0" r="9525" b="9525"/>
                  <wp:docPr id="11" name="Picture 11"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08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2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647950" cy="6181725"/>
                  <wp:effectExtent l="0" t="0" r="0" b="9525"/>
                  <wp:docPr id="10" name="Picture 1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479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2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14775" cy="6181725"/>
                  <wp:effectExtent l="0" t="0" r="9525" b="9525"/>
                  <wp:docPr id="9" name="Picture 9"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9.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47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2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38575" cy="6181725"/>
                  <wp:effectExtent l="0" t="0" r="9525" b="9525"/>
                  <wp:docPr id="8" name="Picture 8"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2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385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3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95725" cy="6181725"/>
                  <wp:effectExtent l="0" t="0" r="9525" b="9525"/>
                  <wp:docPr id="7" name="Picture 7"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21.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957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3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62400" cy="6181725"/>
                  <wp:effectExtent l="0" t="0" r="0" b="9525"/>
                  <wp:docPr id="6" name="Picture 6"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22.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3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71925" cy="6181725"/>
                  <wp:effectExtent l="0" t="0" r="9525" b="9525"/>
                  <wp:docPr id="5" name="Picture 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2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7192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36"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62400" cy="6181725"/>
                  <wp:effectExtent l="0" t="0" r="0" b="9525"/>
                  <wp:docPr id="4" name="Picture 4"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2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38"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143375" cy="6181725"/>
                  <wp:effectExtent l="0" t="0" r="9525" b="9525"/>
                  <wp:docPr id="3" name="Picture 3"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25.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3375"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40"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2914650" cy="6181725"/>
                  <wp:effectExtent l="0" t="0" r="0" b="9525"/>
                  <wp:docPr id="2" name="Picture 2"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46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42"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4286250" cy="6181725"/>
                  <wp:effectExtent l="0" t="0" r="0" b="9525"/>
                  <wp:docPr id="1" name="Picture 1"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0" cy="6181725"/>
                          </a:xfrm>
                          <a:prstGeom prst="rect">
                            <a:avLst/>
                          </a:prstGeom>
                          <a:noFill/>
                          <a:ln>
                            <a:noFill/>
                          </a:ln>
                        </pic:spPr>
                      </pic:pic>
                    </a:graphicData>
                  </a:graphic>
                </wp:inline>
              </w:drawing>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20"/>
                <w:szCs w:val="20"/>
              </w:rPr>
            </w:pPr>
            <w:hyperlink r:id="rId144" w:history="1">
              <w:r w:rsidRPr="002F1441">
                <w:rPr>
                  <w:rFonts w:ascii="Arial" w:eastAsia="Times New Roman" w:hAnsi="Arial" w:cs="Arial"/>
                  <w:color w:val="0000FF"/>
                  <w:sz w:val="17"/>
                  <w:szCs w:val="17"/>
                </w:rPr>
                <w:t>View or download PDF</w:t>
              </w:r>
            </w:hyperlink>
            <w:r w:rsidRPr="002F1441">
              <w:rPr>
                <w:rFonts w:ascii="Arial" w:eastAsia="Times New Roman" w:hAnsi="Arial" w:cs="Arial"/>
                <w:sz w:val="20"/>
                <w:szCs w:val="20"/>
              </w:rPr>
              <w:t xml:space="preserve"> </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D to §1910.1200—Safety Data Sheets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20"/>
                <w:szCs w:val="20"/>
              </w:rPr>
            </w:pPr>
            <w:r w:rsidRPr="002F1441">
              <w:rPr>
                <w:rFonts w:ascii="Arial" w:eastAsia="Times New Roman" w:hAnsi="Arial" w:cs="Arial"/>
                <w:b/>
                <w:bCs/>
                <w:smallCaps/>
                <w:sz w:val="20"/>
                <w:szCs w:val="20"/>
              </w:rPr>
              <w:t>Table D.1—Minimum Information for an SDS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2792"/>
              <w:gridCol w:w="6552"/>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lastRenderedPageBreak/>
                    <w:t>Heading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Subheading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Product identifier used on the label;</w:t>
                  </w:r>
                  <w:r w:rsidRPr="002F1441">
                    <w:rPr>
                      <w:rFonts w:ascii="Arial" w:eastAsia="Times New Roman" w:hAnsi="Arial" w:cs="Arial"/>
                      <w:sz w:val="20"/>
                      <w:szCs w:val="20"/>
                    </w:rPr>
                    <w:br/>
                    <w:t>(b) Other means of identification;</w:t>
                  </w:r>
                  <w:r w:rsidRPr="002F1441">
                    <w:rPr>
                      <w:rFonts w:ascii="Arial" w:eastAsia="Times New Roman" w:hAnsi="Arial" w:cs="Arial"/>
                      <w:sz w:val="20"/>
                      <w:szCs w:val="20"/>
                    </w:rPr>
                    <w:br/>
                    <w:t>(c) Recommended use of the chemical and restrictions on use;</w:t>
                  </w:r>
                  <w:r w:rsidRPr="002F1441">
                    <w:rPr>
                      <w:rFonts w:ascii="Arial" w:eastAsia="Times New Roman" w:hAnsi="Arial" w:cs="Arial"/>
                      <w:sz w:val="20"/>
                      <w:szCs w:val="20"/>
                    </w:rPr>
                    <w:br/>
                    <w:t>(d) Name, address, and telephone number of the chemical manufacturer, importer, or other responsible party;</w:t>
                  </w:r>
                  <w:r w:rsidRPr="002F1441">
                    <w:rPr>
                      <w:rFonts w:ascii="Arial" w:eastAsia="Times New Roman" w:hAnsi="Arial" w:cs="Arial"/>
                      <w:sz w:val="20"/>
                      <w:szCs w:val="20"/>
                    </w:rPr>
                    <w:br/>
                    <w:t>(e) Emergency phone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Hazard(s) identification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Classification of the chemical in accordance with paragraph (d) of §1910.1200;</w:t>
                  </w:r>
                  <w:r w:rsidRPr="002F1441">
                    <w:rPr>
                      <w:rFonts w:ascii="Arial" w:eastAsia="Times New Roman" w:hAnsi="Arial" w:cs="Arial"/>
                      <w:sz w:val="20"/>
                      <w:szCs w:val="20"/>
                    </w:rPr>
                    <w:br/>
                    <w:t>(b) Signal word, hazard statement(s), symbol(s) and precautionary statement(s) in accordance with paragraph (f) of §1910.1200. (Hazard symbols may be provided as graphical reproductions in black and white or the name of the symbol, e.g., flame, skull and crossbones);</w:t>
                  </w:r>
                  <w:r w:rsidRPr="002F1441">
                    <w:rPr>
                      <w:rFonts w:ascii="Arial" w:eastAsia="Times New Roman" w:hAnsi="Arial" w:cs="Arial"/>
                      <w:sz w:val="20"/>
                      <w:szCs w:val="20"/>
                    </w:rPr>
                    <w:br/>
                    <w:t>(c) Describe any hazards not otherwise classified that have been identified during the classification process;</w:t>
                  </w:r>
                  <w:r w:rsidRPr="002F1441">
                    <w:rPr>
                      <w:rFonts w:ascii="Arial" w:eastAsia="Times New Roman" w:hAnsi="Arial" w:cs="Arial"/>
                      <w:sz w:val="20"/>
                      <w:szCs w:val="20"/>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3. Composition/information on ingredients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Except as provided for in paragraph (i) of §1910.1200 on trade secrets: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Chemical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Common name and synonyms;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CAS number and other unique identifiers;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Impurities and stabilizing additives which are themselves classified and which contribute to the classification of the substance.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Mixtures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In addition to the information required for substances: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The chemical name and concentration (exact percentage) or concentration ranges of all ingredients which are classified as health hazards in accordance with paragraph (d) of §1910.1200 and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 Are present above their cut-off/concentration limits; 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(2) Present a health risk below the cut-off/concentration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The concentration (exact percentage) shall be specified unless a trade secret claim is made in accordance with paragraph (i) of §1910.1200, when there is batch-to-batch variability in the production of a mixture, or for a group of substantially similar mixtures (</w:t>
                  </w:r>
                  <w:r w:rsidRPr="002F1441">
                    <w:rPr>
                      <w:rFonts w:ascii="Arial" w:eastAsia="Times New Roman" w:hAnsi="Arial" w:cs="Arial"/>
                      <w:i/>
                      <w:iCs/>
                      <w:sz w:val="20"/>
                      <w:szCs w:val="20"/>
                    </w:rPr>
                    <w:t>See</w:t>
                  </w:r>
                  <w:r w:rsidRPr="002F1441">
                    <w:rPr>
                      <w:rFonts w:ascii="Arial" w:eastAsia="Times New Roman" w:hAnsi="Arial" w:cs="Arial"/>
                      <w:sz w:val="20"/>
                      <w:szCs w:val="20"/>
                    </w:rPr>
                    <w:t xml:space="preserve"> A.0.5.1.2) with similar chemical composition. In these cases, concentration ranges may be used.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For All Chemicals Where a Trade Secret is Claimed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Where a trade secret is claimed in accordance with paragraph (i) of §1910.1200, a statement that the specific chemical identity and/or exact percentage (concentration) of composition has been withheld as a trade </w:t>
                  </w:r>
                  <w:r w:rsidRPr="002F1441">
                    <w:rPr>
                      <w:rFonts w:ascii="Arial" w:eastAsia="Times New Roman" w:hAnsi="Arial" w:cs="Arial"/>
                      <w:sz w:val="20"/>
                      <w:szCs w:val="20"/>
                    </w:rPr>
                    <w:lastRenderedPageBreak/>
                    <w:t>secret is required.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4. First-aid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Description of necessary measures, subdivided according to the different routes of exposure, i.e., inhalation, skin and eye contact, and ingestion</w:t>
                  </w:r>
                  <w:proofErr w:type="gramStart"/>
                  <w:r w:rsidRPr="002F1441">
                    <w:rPr>
                      <w:rFonts w:ascii="Arial" w:eastAsia="Times New Roman" w:hAnsi="Arial" w:cs="Arial"/>
                      <w:sz w:val="20"/>
                      <w:szCs w:val="20"/>
                    </w:rPr>
                    <w:t>;</w:t>
                  </w:r>
                  <w:proofErr w:type="gramEnd"/>
                  <w:r w:rsidRPr="002F1441">
                    <w:rPr>
                      <w:rFonts w:ascii="Arial" w:eastAsia="Times New Roman" w:hAnsi="Arial" w:cs="Arial"/>
                      <w:sz w:val="20"/>
                      <w:szCs w:val="20"/>
                    </w:rPr>
                    <w:br/>
                    <w:t>(b) Most important symptoms/effects, acute and delayed.</w:t>
                  </w:r>
                  <w:r w:rsidRPr="002F1441">
                    <w:rPr>
                      <w:rFonts w:ascii="Arial" w:eastAsia="Times New Roman" w:hAnsi="Arial" w:cs="Arial"/>
                      <w:sz w:val="20"/>
                      <w:szCs w:val="20"/>
                    </w:rPr>
                    <w:br/>
                    <w:t>(c) Indication of immediate medical attention and special treatment needed, if necessary.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5. Fire-fighting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Suitable (and unsuitable) extinguishing media.</w:t>
                  </w:r>
                  <w:r w:rsidRPr="002F1441">
                    <w:rPr>
                      <w:rFonts w:ascii="Arial" w:eastAsia="Times New Roman" w:hAnsi="Arial" w:cs="Arial"/>
                      <w:sz w:val="20"/>
                      <w:szCs w:val="20"/>
                    </w:rPr>
                    <w:br/>
                    <w:t>(b) Specific hazards arising from the chemical (e.g., nature of any hazardous combustion products).</w:t>
                  </w:r>
                  <w:r w:rsidRPr="002F1441">
                    <w:rPr>
                      <w:rFonts w:ascii="Arial" w:eastAsia="Times New Roman" w:hAnsi="Arial" w:cs="Arial"/>
                      <w:sz w:val="20"/>
                      <w:szCs w:val="20"/>
                    </w:rPr>
                    <w:br/>
                    <w:t>(c) Special protective equipment and precautions for fire-fighters.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6. Accidental release measures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Personal precautions, protective equipment, and emergency procedures.</w:t>
                  </w:r>
                  <w:r w:rsidRPr="002F1441">
                    <w:rPr>
                      <w:rFonts w:ascii="Arial" w:eastAsia="Times New Roman" w:hAnsi="Arial" w:cs="Arial"/>
                      <w:sz w:val="20"/>
                      <w:szCs w:val="20"/>
                    </w:rPr>
                    <w:br/>
                    <w:t>(b) Methods and materials for containment and cleaning up.</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7. Handling and storage</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Precautions for safe handling.</w:t>
                  </w:r>
                  <w:r w:rsidRPr="002F1441">
                    <w:rPr>
                      <w:rFonts w:ascii="Arial" w:eastAsia="Times New Roman" w:hAnsi="Arial" w:cs="Arial"/>
                      <w:sz w:val="20"/>
                      <w:szCs w:val="20"/>
                    </w:rPr>
                    <w:br/>
                    <w:t>(b) Conditions for safe storage, including any incompatibilities.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8. Exposure controls/personal protection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2F1441">
                    <w:rPr>
                      <w:rFonts w:ascii="Arial" w:eastAsia="Times New Roman" w:hAnsi="Arial" w:cs="Arial"/>
                      <w:sz w:val="20"/>
                      <w:szCs w:val="20"/>
                    </w:rPr>
                    <w:br/>
                    <w:t>(b) Appropriate engineering controls.</w:t>
                  </w:r>
                  <w:r w:rsidRPr="002F1441">
                    <w:rPr>
                      <w:rFonts w:ascii="Arial" w:eastAsia="Times New Roman" w:hAnsi="Arial" w:cs="Arial"/>
                      <w:sz w:val="20"/>
                      <w:szCs w:val="20"/>
                    </w:rPr>
                    <w:br/>
                    <w:t>(c) Individual protection measures, such as personal protective equipment.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9. Physical and chemical properties</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Appearance (physical state, color, etc.);</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Odor;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Odor threshold;</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pH;</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Melting point/freezing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Initial boiling point and boiling range;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 Flash point;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(h) Evaporation rate;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(i) Flammability (solid, gas);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(j) Upper/lower flammability or explosive limits;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 Vapor pressure;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(l) Vapor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(m) Relative density;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(n) Solubility(ies);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(o) Partition coefficient: n-octanol/water;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(p) Auto-ignition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(q) Decomposition temperature;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 Viscosity.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10. Stability and reactivity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Reactivity;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Chemical stability;</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Possibility of hazardous reactions;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Conditions to avoid (e.g., static discharge, shock, or vibration);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Incompatible materials;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Hazardous decomposition products.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11. Toxicological information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the various toxicological (health) effects and the available data used to identify those effects, including: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Information on the likely routes of exposure (inhalation, ingestion, skin and eye contact);</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Symptoms related to the physical, chemical and toxicological characteristics;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Delayed and immediate effects and also chronic effects from short- and long-term exposure;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Numerical measures of toxicity (such as acute toxicity estimates).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12. Ecological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Ecotoxicity (aquatic and terrestrial, where available);</w:t>
                  </w:r>
                  <w:r w:rsidRPr="002F1441">
                    <w:rPr>
                      <w:rFonts w:ascii="Arial" w:eastAsia="Times New Roman" w:hAnsi="Arial" w:cs="Arial"/>
                      <w:sz w:val="20"/>
                      <w:szCs w:val="20"/>
                    </w:rPr>
                    <w:br/>
                    <w:t>(b) Persistence and degradability;</w:t>
                  </w:r>
                  <w:r w:rsidRPr="002F1441">
                    <w:rPr>
                      <w:rFonts w:ascii="Arial" w:eastAsia="Times New Roman" w:hAnsi="Arial" w:cs="Arial"/>
                      <w:sz w:val="20"/>
                      <w:szCs w:val="20"/>
                    </w:rPr>
                    <w:br/>
                    <w:t>(c) Bioaccumulative potential;</w:t>
                  </w:r>
                  <w:r w:rsidRPr="002F1441">
                    <w:rPr>
                      <w:rFonts w:ascii="Arial" w:eastAsia="Times New Roman" w:hAnsi="Arial" w:cs="Arial"/>
                      <w:sz w:val="20"/>
                      <w:szCs w:val="20"/>
                    </w:rPr>
                    <w:br/>
                    <w:t>(d) Mobility in soil;</w:t>
                  </w:r>
                  <w:r w:rsidRPr="002F1441">
                    <w:rPr>
                      <w:rFonts w:ascii="Arial" w:eastAsia="Times New Roman" w:hAnsi="Arial" w:cs="Arial"/>
                      <w:sz w:val="20"/>
                      <w:szCs w:val="20"/>
                    </w:rPr>
                    <w:br/>
                    <w:t>(e) Other adverse effects (such as hazardous to the ozone layer).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13. Disposal considerations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Description of waste residues and information on their safe handling and methods of disposal, including the disposal of any contaminated packaging.</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14. Transport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(a) UN number;</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(b) UN proper shipping name;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 Transport hazard class(es);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(d) Packing group, if applicable;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(e) Environmental hazards (e.g., Marine pollutant (Yes/No));</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(f) Transport in bulk (according to Annex II of MARPOL 73/78 and the IBC Code);</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 xml:space="preserve">(g) Special precautions which a user needs to be aware of, or needs to </w:t>
                  </w:r>
                  <w:r w:rsidRPr="002F1441">
                    <w:rPr>
                      <w:rFonts w:ascii="Arial" w:eastAsia="Times New Roman" w:hAnsi="Arial" w:cs="Arial"/>
                      <w:sz w:val="20"/>
                      <w:szCs w:val="20"/>
                    </w:rPr>
                    <w:lastRenderedPageBreak/>
                    <w:t>comply with, in connection with transport or conveyance either within or outside their premises.</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lastRenderedPageBreak/>
                    <w:t>15. Regulatory information (Non-mandatory)</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Safety, health and environmental regulations specific for the product in question.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16. Other information, including date of preparation or last revision</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The date of preparation of the SDS or the last change to it.</w:t>
                  </w:r>
                </w:p>
              </w:tc>
            </w:tr>
          </w:tbl>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E to §1910.1200—Definition of “Trade Secret” (Mandatory)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The following is a reprint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section 757, comment </w:t>
            </w:r>
            <w:r w:rsidRPr="002F1441">
              <w:rPr>
                <w:rFonts w:ascii="Arial" w:eastAsia="Times New Roman" w:hAnsi="Arial" w:cs="Arial"/>
                <w:i/>
                <w:iCs/>
                <w:sz w:val="18"/>
                <w:szCs w:val="18"/>
              </w:rPr>
              <w:t>b</w:t>
            </w:r>
            <w:r w:rsidRPr="002F1441">
              <w:rPr>
                <w:rFonts w:ascii="Arial" w:eastAsia="Times New Roman" w:hAnsi="Arial" w:cs="Arial"/>
                <w:sz w:val="18"/>
                <w:szCs w:val="18"/>
              </w:rPr>
              <w:t xml:space="preserve"> (1939):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b. Definition of trade secret.</w:t>
            </w:r>
            <w:r w:rsidRPr="002F1441">
              <w:rPr>
                <w:rFonts w:ascii="Arial" w:eastAsia="Times New Roman" w:hAnsi="Arial" w:cs="Arial"/>
                <w:sz w:val="18"/>
                <w:szCs w:val="18"/>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2F1441">
              <w:rPr>
                <w:rFonts w:ascii="Arial" w:eastAsia="Times New Roman" w:hAnsi="Arial" w:cs="Arial"/>
                <w:i/>
                <w:iCs/>
                <w:sz w:val="18"/>
                <w:szCs w:val="18"/>
              </w:rPr>
              <w:t>Restatement of Torts</w:t>
            </w:r>
            <w:r w:rsidRPr="002F1441">
              <w:rPr>
                <w:rFonts w:ascii="Arial" w:eastAsia="Times New Roman" w:hAnsi="Arial" w:cs="Arial"/>
                <w:sz w:val="18"/>
                <w:szCs w:val="18"/>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Secrecy.</w:t>
            </w:r>
            <w:r w:rsidRPr="002F1441">
              <w:rPr>
                <w:rFonts w:ascii="Arial" w:eastAsia="Times New Roman" w:hAnsi="Arial" w:cs="Arial"/>
                <w:sz w:val="18"/>
                <w:szCs w:val="18"/>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w:t>
            </w:r>
            <w:proofErr w:type="gramStart"/>
            <w:r w:rsidRPr="002F1441">
              <w:rPr>
                <w:rFonts w:ascii="Arial" w:eastAsia="Times New Roman" w:hAnsi="Arial" w:cs="Arial"/>
                <w:sz w:val="18"/>
                <w:szCs w:val="18"/>
              </w:rPr>
              <w:t>proprietor of the business know</w:t>
            </w:r>
            <w:proofErr w:type="gramEnd"/>
            <w:r w:rsidRPr="002F1441">
              <w:rPr>
                <w:rFonts w:ascii="Arial" w:eastAsia="Times New Roman" w:hAnsi="Arial" w:cs="Arial"/>
                <w:sz w:val="18"/>
                <w:szCs w:val="18"/>
              </w:rPr>
              <w:t xml:space="preserve">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Novelty and prior art.</w:t>
            </w:r>
            <w:r w:rsidRPr="002F1441">
              <w:rPr>
                <w:rFonts w:ascii="Arial" w:eastAsia="Times New Roman" w:hAnsi="Arial" w:cs="Arial"/>
                <w:sz w:val="18"/>
                <w:szCs w:val="18"/>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w:t>
            </w:r>
            <w:r w:rsidRPr="002F1441">
              <w:rPr>
                <w:rFonts w:ascii="Arial" w:eastAsia="Times New Roman" w:hAnsi="Arial" w:cs="Arial"/>
                <w:sz w:val="18"/>
                <w:szCs w:val="18"/>
              </w:rPr>
              <w:lastRenderedPageBreak/>
              <w:t>inappropriate.</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Appendix F to §1910.1200—Guidance for Hazard Classifications Re: Carcinogenicity (Non-Mandatory)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mandatory criteria for classification of a chemical for carcinogenicity under HCS (§1910.1200) are found in Appendix A.6 to this section. This non-mandatory Appendix provides additional guidance on hazard classification for carcinogenicity. Part A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(RoC), and Part D is a table that compares GHS carcinogen hazard categories to carcinogen classifications under IARC and NTP, allowing classifiers to be able to use information from IARC and NTP RoC carcinogen classifications to complete their classifications under the GHS, and thus the HCS.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A: Background Guidance</w:t>
            </w:r>
            <w:r w:rsidRPr="002F1441">
              <w:rPr>
                <w:rFonts w:ascii="Arial" w:eastAsia="Times New Roman" w:hAnsi="Arial" w:cs="Arial"/>
                <w:kern w:val="36"/>
                <w:sz w:val="14"/>
                <w:szCs w:val="14"/>
                <w:vertAlign w:val="superscript"/>
              </w:rPr>
              <w:t>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1</w:t>
            </w:r>
            <w:r w:rsidRPr="002F1441">
              <w:rPr>
                <w:rFonts w:ascii="Arial" w:eastAsia="Times New Roman" w:hAnsi="Arial" w:cs="Arial"/>
                <w:i/>
                <w:iCs/>
                <w:sz w:val="18"/>
                <w:szCs w:val="18"/>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As noted in Footnote 6 of Appendix A.6. </w:t>
            </w:r>
            <w:proofErr w:type="gramStart"/>
            <w:r w:rsidRPr="002F1441">
              <w:rPr>
                <w:rFonts w:ascii="Arial" w:eastAsia="Times New Roman" w:hAnsi="Arial" w:cs="Arial"/>
                <w:sz w:val="18"/>
                <w:szCs w:val="18"/>
              </w:rPr>
              <w:t>to</w:t>
            </w:r>
            <w:proofErr w:type="gramEnd"/>
            <w:r w:rsidRPr="002F1441">
              <w:rPr>
                <w:rFonts w:ascii="Arial" w:eastAsia="Times New Roman" w:hAnsi="Arial" w:cs="Arial"/>
                <w:sz w:val="18"/>
                <w:szCs w:val="18"/>
              </w:rPr>
              <w:t xml:space="preserve">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from studies in humans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In some instances, the above categories may be used to classify the degree of evidence related to carcinogenicity in specific organs or tissues.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Carcinogenicity in experimental animals: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evidence relevant to carcinogenicity in experimental animals is classified into one of the following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Guidance on How To Consider Important Factors in Classification of Carcinogenicity (See Reference Section)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weight of evidence analysis called for in GHS and the HCS (§1910.1200) is an integrative approach that considers important factors in determining carcinogenic potential along with the strength of evidence analysis. The IPCS “</w:t>
            </w:r>
            <w:r w:rsidRPr="002F1441">
              <w:rPr>
                <w:rFonts w:ascii="Arial" w:eastAsia="Times New Roman" w:hAnsi="Arial" w:cs="Arial"/>
                <w:i/>
                <w:iCs/>
                <w:sz w:val="18"/>
                <w:szCs w:val="18"/>
              </w:rPr>
              <w:t>Conceptual Framework for Evaluating a Mode of Action for Chemical Carcinogenesis”</w:t>
            </w:r>
            <w:r w:rsidRPr="002F1441">
              <w:rPr>
                <w:rFonts w:ascii="Arial" w:eastAsia="Times New Roman" w:hAnsi="Arial" w:cs="Arial"/>
                <w:sz w:val="18"/>
                <w:szCs w:val="18"/>
              </w:rPr>
              <w:t xml:space="preserve"> (2001), International Life Sciences Institute (ILSI) “</w:t>
            </w:r>
            <w:r w:rsidRPr="002F1441">
              <w:rPr>
                <w:rFonts w:ascii="Arial" w:eastAsia="Times New Roman" w:hAnsi="Arial" w:cs="Arial"/>
                <w:i/>
                <w:iCs/>
                <w:sz w:val="18"/>
                <w:szCs w:val="18"/>
              </w:rPr>
              <w:t>Framework for Human Relevance Analysis of Information on Carcinogenic Modes of Action”</w:t>
            </w:r>
            <w:r w:rsidRPr="002F1441">
              <w:rPr>
                <w:rFonts w:ascii="Arial" w:eastAsia="Times New Roman" w:hAnsi="Arial" w:cs="Arial"/>
                <w:sz w:val="18"/>
                <w:szCs w:val="18"/>
              </w:rPr>
              <w:t xml:space="preserve"> (Meek,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Cohen </w:t>
            </w:r>
            <w:r w:rsidRPr="002F1441">
              <w:rPr>
                <w:rFonts w:ascii="Arial" w:eastAsia="Times New Roman" w:hAnsi="Arial" w:cs="Arial"/>
                <w:i/>
                <w:iCs/>
                <w:sz w:val="18"/>
                <w:szCs w:val="18"/>
              </w:rPr>
              <w:t>et al.,</w:t>
            </w:r>
            <w:r w:rsidRPr="002F1441">
              <w:rPr>
                <w:rFonts w:ascii="Arial" w:eastAsia="Times New Roman" w:hAnsi="Arial" w:cs="Arial"/>
                <w:sz w:val="18"/>
                <w:szCs w:val="18"/>
              </w:rPr>
              <w:t xml:space="preserve"> 2003, 2004), and Preamble to the IARC Monographs (2006; Section B.6. (Scientific Review and Evaluation; Evaluation and Rationale)) </w:t>
            </w:r>
            <w:proofErr w:type="gramStart"/>
            <w:r w:rsidRPr="002F1441">
              <w:rPr>
                <w:rFonts w:ascii="Arial" w:eastAsia="Times New Roman" w:hAnsi="Arial" w:cs="Arial"/>
                <w:sz w:val="18"/>
                <w:szCs w:val="18"/>
              </w:rPr>
              <w:t>provide</w:t>
            </w:r>
            <w:proofErr w:type="gramEnd"/>
            <w:r w:rsidRPr="002F1441">
              <w:rPr>
                <w:rFonts w:ascii="Arial" w:eastAsia="Times New Roman" w:hAnsi="Arial" w:cs="Arial"/>
                <w:sz w:val="18"/>
                <w:szCs w:val="18"/>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Mode of Action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toxicokinetics/toxicodynamics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in Multiple Animal Experiments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Responses Are in One Sex or Both Sexes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Any case of gender-specific tumors should be evaluated in light of the total tumorigenic response to the substance observed at other sites (multi-site responses or incidence above background) in determining the carcinogenic potential of the substance.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patho-physiological difference consistent with the mode of action to explain the single sex response.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Confounding Effects of Excessive Toxicity or Localized Effects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lastRenderedPageBreak/>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Tumor Type, Reduced Tumor Latency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Unusual tumor types or tumors occurring with reduced latency may add to the weight of evidence for the carcinogenic potential of a substance, even if the tumors are not statistically significant.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Toxicokinetic behavior is normally assumed to be similar in animals and humans, at least from a qualitative perspective. On the other hand, certain tumor types in animals may be associated with toxicokinetics or toxicodynamics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2F1441">
              <w:rPr>
                <w:rFonts w:ascii="Arial" w:eastAsia="Times New Roman" w:hAnsi="Arial" w:cs="Arial"/>
                <w:sz w:val="13"/>
                <w:szCs w:val="13"/>
                <w:vertAlign w:val="superscript"/>
              </w:rPr>
              <w:t>2</w:t>
            </w:r>
            <w:r w:rsidRPr="002F1441">
              <w:rPr>
                <w:rFonts w:ascii="Arial" w:eastAsia="Times New Roman" w:hAnsi="Arial" w:cs="Arial"/>
                <w:sz w:val="18"/>
                <w:szCs w:val="18"/>
              </w:rPr>
              <w:t>). Even when a particular tumor type may be discounted, expert judgment must be used in assessing the total tumor profile in any animal experiment.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2</w:t>
            </w:r>
            <w:r w:rsidRPr="002F1441">
              <w:rPr>
                <w:rFonts w:ascii="Arial" w:eastAsia="Times New Roman" w:hAnsi="Arial" w:cs="Arial"/>
                <w:i/>
                <w:iCs/>
                <w:sz w:val="18"/>
                <w:szCs w:val="18"/>
              </w:rPr>
              <w:t xml:space="preserve">While most international agencies do not consider kidney tumors coincident with α2u-globulin nephropathy to be a predictor of risk in </w:t>
            </w:r>
            <w:proofErr w:type="gramStart"/>
            <w:r w:rsidRPr="002F1441">
              <w:rPr>
                <w:rFonts w:ascii="Arial" w:eastAsia="Times New Roman" w:hAnsi="Arial" w:cs="Arial"/>
                <w:i/>
                <w:iCs/>
                <w:sz w:val="18"/>
                <w:szCs w:val="18"/>
              </w:rPr>
              <w:t>humans,</w:t>
            </w:r>
            <w:proofErr w:type="gramEnd"/>
            <w:r w:rsidRPr="002F1441">
              <w:rPr>
                <w:rFonts w:ascii="Arial" w:eastAsia="Times New Roman" w:hAnsi="Arial" w:cs="Arial"/>
                <w:i/>
                <w:iCs/>
                <w:sz w:val="18"/>
                <w:szCs w:val="18"/>
              </w:rPr>
              <w:t xml:space="preserve"> this view is not universally held. (See: Doi et al., 2007).</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B: International Agency for Research on Cancer (IARC)</w:t>
            </w:r>
            <w:r w:rsidRPr="002F1441">
              <w:rPr>
                <w:rFonts w:ascii="Arial" w:eastAsia="Times New Roman" w:hAnsi="Arial" w:cs="Arial"/>
                <w:kern w:val="36"/>
                <w:sz w:val="14"/>
                <w:szCs w:val="14"/>
                <w:vertAlign w:val="superscript"/>
              </w:rPr>
              <w:t>3</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3</w:t>
            </w:r>
            <w:r w:rsidRPr="002F1441">
              <w:rPr>
                <w:rFonts w:ascii="Arial" w:eastAsia="Times New Roman" w:hAnsi="Arial" w:cs="Arial"/>
                <w:i/>
                <w:iCs/>
                <w:sz w:val="18"/>
                <w:szCs w:val="18"/>
              </w:rPr>
              <w:t>Preamble of the International Agency for Research on Cancer (IARC) “Monographs on the Evaluation of Carcinogenic Risks to Humans” (2006).</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IARC Carcinogen Classification Categories: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1: The agent is </w:t>
            </w:r>
            <w:r w:rsidRPr="002F1441">
              <w:rPr>
                <w:rFonts w:ascii="Arial" w:eastAsia="Times New Roman" w:hAnsi="Arial" w:cs="Arial"/>
                <w:i/>
                <w:iCs/>
                <w:sz w:val="18"/>
                <w:szCs w:val="18"/>
              </w:rPr>
              <w:t>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humans. Exceptionally, an agent may be placed in this category when evidence of carcinogenicity in humans is less than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in exposed humans that the agent acts through a relevant mechanism of carcinogenicity.</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Group 2:</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includes agents for which, at one extreme, the degree of evidence of carcinogenicity in humans is almost </w:t>
            </w:r>
            <w:r w:rsidRPr="002F1441">
              <w:rPr>
                <w:rFonts w:ascii="Arial" w:eastAsia="Times New Roman" w:hAnsi="Arial" w:cs="Arial"/>
                <w:i/>
                <w:iCs/>
                <w:sz w:val="18"/>
                <w:szCs w:val="18"/>
              </w:rPr>
              <w:t>sufficient,</w:t>
            </w:r>
            <w:r w:rsidRPr="002F1441">
              <w:rPr>
                <w:rFonts w:ascii="Arial" w:eastAsia="Times New Roman" w:hAnsi="Arial" w:cs="Arial"/>
                <w:sz w:val="18"/>
                <w:szCs w:val="18"/>
              </w:rPr>
              <w:t xml:space="preserve"> as well as those for which, at the other extreme, there are no human data but for which there is evidence of carcinogenicity in experimental animals. Agents are assigned to either Group 2A (</w:t>
            </w:r>
            <w:r w:rsidRPr="002F1441">
              <w:rPr>
                <w:rFonts w:ascii="Arial" w:eastAsia="Times New Roman" w:hAnsi="Arial" w:cs="Arial"/>
                <w:i/>
                <w:iCs/>
                <w:sz w:val="18"/>
                <w:szCs w:val="18"/>
              </w:rPr>
              <w:t>probably carcinogenic to humans</w:t>
            </w:r>
            <w:r w:rsidRPr="002F1441">
              <w:rPr>
                <w:rFonts w:ascii="Arial" w:eastAsia="Times New Roman" w:hAnsi="Arial" w:cs="Arial"/>
                <w:sz w:val="18"/>
                <w:szCs w:val="18"/>
              </w:rPr>
              <w:t>) or Group 2B (</w:t>
            </w:r>
            <w:r w:rsidRPr="002F1441">
              <w:rPr>
                <w:rFonts w:ascii="Arial" w:eastAsia="Times New Roman" w:hAnsi="Arial" w:cs="Arial"/>
                <w:i/>
                <w:iCs/>
                <w:sz w:val="18"/>
                <w:szCs w:val="18"/>
              </w:rPr>
              <w:t>possibly carcinogenic to humans</w:t>
            </w:r>
            <w:r w:rsidRPr="002F1441">
              <w:rPr>
                <w:rFonts w:ascii="Arial" w:eastAsia="Times New Roman" w:hAnsi="Arial" w:cs="Arial"/>
                <w:sz w:val="18"/>
                <w:szCs w:val="18"/>
              </w:rPr>
              <w:t xml:space="preserve">) on the basis of epidemiological and experimental evidence of carcinogenicity and mechanistic and other relevant data. The terms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and </w:t>
            </w:r>
            <w:r w:rsidRPr="002F1441">
              <w:rPr>
                <w:rFonts w:ascii="Arial" w:eastAsia="Times New Roman" w:hAnsi="Arial" w:cs="Arial"/>
                <w:i/>
                <w:iCs/>
                <w:sz w:val="18"/>
                <w:szCs w:val="18"/>
              </w:rPr>
              <w:t>possibly carcinogenic</w:t>
            </w:r>
            <w:r w:rsidRPr="002F1441">
              <w:rPr>
                <w:rFonts w:ascii="Arial" w:eastAsia="Times New Roman" w:hAnsi="Arial" w:cs="Arial"/>
                <w:sz w:val="18"/>
                <w:szCs w:val="18"/>
              </w:rPr>
              <w:t xml:space="preserve"> have no quantitative significance and are used simply as descriptors of different levels of evidence of human carcinogenicity, with </w:t>
            </w:r>
            <w:r w:rsidRPr="002F1441">
              <w:rPr>
                <w:rFonts w:ascii="Arial" w:eastAsia="Times New Roman" w:hAnsi="Arial" w:cs="Arial"/>
                <w:i/>
                <w:iCs/>
                <w:sz w:val="18"/>
                <w:szCs w:val="18"/>
              </w:rPr>
              <w:t>probably carcinogenic</w:t>
            </w:r>
            <w:r w:rsidRPr="002F1441">
              <w:rPr>
                <w:rFonts w:ascii="Arial" w:eastAsia="Times New Roman" w:hAnsi="Arial" w:cs="Arial"/>
                <w:sz w:val="18"/>
                <w:szCs w:val="18"/>
              </w:rPr>
              <w:t xml:space="preserve"> signifying a higher level of evidence than </w:t>
            </w:r>
            <w:r w:rsidRPr="002F1441">
              <w:rPr>
                <w:rFonts w:ascii="Arial" w:eastAsia="Times New Roman" w:hAnsi="Arial" w:cs="Arial"/>
                <w:i/>
                <w:iCs/>
                <w:sz w:val="18"/>
                <w:szCs w:val="18"/>
              </w:rPr>
              <w:t>possibly carcinogenic.</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2A: The agent is </w:t>
            </w:r>
            <w:r w:rsidRPr="002F1441">
              <w:rPr>
                <w:rFonts w:ascii="Arial" w:eastAsia="Times New Roman" w:hAnsi="Arial" w:cs="Arial"/>
                <w:i/>
                <w:iCs/>
                <w:sz w:val="18"/>
                <w:szCs w:val="18"/>
              </w:rPr>
              <w:t>probably carcinogenic to human.</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when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cases, an agent may be classified in this category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and strong evidence that the carcinogenesis is mediated by a mechanism that also operates in humans. Exceptionally, an agent may be classified in this category solely on the basis of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 agent may be assigned to this category if it clearly belongs, based on mechanistic considerations, to a </w:t>
            </w:r>
            <w:r w:rsidRPr="002F1441">
              <w:rPr>
                <w:rFonts w:ascii="Arial" w:eastAsia="Times New Roman" w:hAnsi="Arial" w:cs="Arial"/>
                <w:sz w:val="18"/>
                <w:szCs w:val="18"/>
              </w:rPr>
              <w:lastRenderedPageBreak/>
              <w:t>class of agents for which one or more members have been classified in Group 1 or Group 2A.</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Group 2B: The agent is </w:t>
            </w:r>
            <w:r w:rsidRPr="002F1441">
              <w:rPr>
                <w:rFonts w:ascii="Arial" w:eastAsia="Times New Roman" w:hAnsi="Arial" w:cs="Arial"/>
                <w:i/>
                <w:iCs/>
                <w:sz w:val="18"/>
                <w:szCs w:val="18"/>
              </w:rPr>
              <w:t>possibly carcinogenic to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This category is used for agents for </w:t>
            </w:r>
            <w:proofErr w:type="gramStart"/>
            <w:r w:rsidRPr="002F1441">
              <w:rPr>
                <w:rFonts w:ascii="Arial" w:eastAsia="Times New Roman" w:hAnsi="Arial" w:cs="Arial"/>
                <w:sz w:val="18"/>
                <w:szCs w:val="18"/>
              </w:rPr>
              <w:t>which</w:t>
            </w:r>
            <w:proofErr w:type="gramEnd"/>
            <w:r w:rsidRPr="002F1441">
              <w:rPr>
                <w:rFonts w:ascii="Arial" w:eastAsia="Times New Roman" w:hAnsi="Arial" w:cs="Arial"/>
                <w:sz w:val="18"/>
                <w:szCs w:val="18"/>
              </w:rPr>
              <w:t xml:space="preserve"> there is </w:t>
            </w:r>
            <w:r w:rsidRPr="002F1441">
              <w:rPr>
                <w:rFonts w:ascii="Arial" w:eastAsia="Times New Roman" w:hAnsi="Arial" w:cs="Arial"/>
                <w:i/>
                <w:iCs/>
                <w:sz w:val="18"/>
                <w:szCs w:val="18"/>
              </w:rPr>
              <w:t>limited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It may also be used when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but there is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In some instances, an agent for which there is </w:t>
            </w:r>
            <w:r w:rsidRPr="002F1441">
              <w:rPr>
                <w:rFonts w:ascii="Arial" w:eastAsia="Times New Roman" w:hAnsi="Arial" w:cs="Arial"/>
                <w:i/>
                <w:iCs/>
                <w:sz w:val="18"/>
                <w:szCs w:val="18"/>
              </w:rPr>
              <w:t>inadequate evidence of carcinogenicity</w:t>
            </w:r>
            <w:r w:rsidRPr="002F1441">
              <w:rPr>
                <w:rFonts w:ascii="Arial" w:eastAsia="Times New Roman" w:hAnsi="Arial" w:cs="Arial"/>
                <w:sz w:val="18"/>
                <w:szCs w:val="18"/>
              </w:rPr>
              <w:t xml:space="preserve"> in humans and less than </w:t>
            </w:r>
            <w:r w:rsidRPr="002F1441">
              <w:rPr>
                <w:rFonts w:ascii="Arial" w:eastAsia="Times New Roman" w:hAnsi="Arial" w:cs="Arial"/>
                <w:i/>
                <w:iCs/>
                <w:sz w:val="18"/>
                <w:szCs w:val="18"/>
              </w:rPr>
              <w:t>sufficient evidence of carcinogenicity</w:t>
            </w:r>
            <w:r w:rsidRPr="002F1441">
              <w:rPr>
                <w:rFonts w:ascii="Arial" w:eastAsia="Times New Roman" w:hAnsi="Arial" w:cs="Arial"/>
                <w:sz w:val="18"/>
                <w:szCs w:val="18"/>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Part C: National Toxicology Program (NTP), “Report on Carcinogens”, Background Guidance</w:t>
            </w:r>
          </w:p>
          <w:p w:rsidR="002F1441" w:rsidRPr="002F1441" w:rsidRDefault="002F1441" w:rsidP="002F1441">
            <w:pPr>
              <w:spacing w:before="200" w:after="100" w:line="240" w:lineRule="auto"/>
              <w:jc w:val="center"/>
              <w:outlineLvl w:val="1"/>
              <w:rPr>
                <w:rFonts w:ascii="Arial" w:eastAsia="Times New Roman" w:hAnsi="Arial" w:cs="Arial"/>
                <w:i/>
                <w:iCs/>
                <w:sz w:val="20"/>
                <w:szCs w:val="20"/>
              </w:rPr>
            </w:pPr>
            <w:r w:rsidRPr="002F1441">
              <w:rPr>
                <w:rFonts w:ascii="Arial" w:eastAsia="Times New Roman" w:hAnsi="Arial" w:cs="Arial"/>
                <w:i/>
                <w:iCs/>
                <w:sz w:val="20"/>
                <w:szCs w:val="20"/>
              </w:rPr>
              <w:t>NTP Listing Criteria</w:t>
            </w:r>
            <w:r w:rsidRPr="002F1441">
              <w:rPr>
                <w:rFonts w:ascii="Arial" w:eastAsia="Times New Roman" w:hAnsi="Arial" w:cs="Arial"/>
                <w:i/>
                <w:iCs/>
                <w:sz w:val="14"/>
                <w:szCs w:val="14"/>
                <w:vertAlign w:val="superscript"/>
              </w:rPr>
              <w:t>4</w:t>
            </w:r>
            <w:r w:rsidRPr="002F1441">
              <w:rPr>
                <w:rFonts w:ascii="Arial" w:eastAsia="Times New Roman" w:hAnsi="Arial" w:cs="Arial"/>
                <w:i/>
                <w:iCs/>
                <w:sz w:val="20"/>
                <w:szCs w:val="20"/>
              </w:rPr>
              <w:t>:</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4</w:t>
            </w:r>
            <w:r w:rsidRPr="002F1441">
              <w:rPr>
                <w:rFonts w:ascii="Arial" w:eastAsia="Times New Roman" w:hAnsi="Arial" w:cs="Arial"/>
                <w:i/>
                <w:iCs/>
                <w:sz w:val="18"/>
                <w:szCs w:val="18"/>
              </w:rPr>
              <w:t>See: http://ntp.niehs.nih.gov/go/15209.</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criteria for listing an agent, substance, mixture, or exposure circumstance in the Report on Carcinogens (RoC) are as follows: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Known To Be A Human Carcinogen: There is sufficient evidence of carcinogenicity from studies in humans</w:t>
            </w:r>
            <w:r w:rsidRPr="002F1441">
              <w:rPr>
                <w:rFonts w:ascii="Arial" w:eastAsia="Times New Roman" w:hAnsi="Arial" w:cs="Arial"/>
                <w:sz w:val="13"/>
                <w:szCs w:val="13"/>
                <w:vertAlign w:val="superscript"/>
              </w:rPr>
              <w:t>5</w:t>
            </w:r>
            <w:r w:rsidRPr="002F1441">
              <w:rPr>
                <w:rFonts w:ascii="Arial" w:eastAsia="Times New Roman" w:hAnsi="Arial" w:cs="Arial"/>
                <w:sz w:val="18"/>
                <w:szCs w:val="18"/>
              </w:rPr>
              <w:t xml:space="preserve"> that indicates a causal relationship between exposure to the agent, substance, or mixture, and human cancer.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3"/>
                <w:szCs w:val="13"/>
                <w:vertAlign w:val="superscript"/>
              </w:rPr>
              <w:t>5</w:t>
            </w:r>
            <w:r w:rsidRPr="002F1441">
              <w:rPr>
                <w:rFonts w:ascii="Arial" w:eastAsia="Times New Roman" w:hAnsi="Arial" w:cs="Arial"/>
                <w:i/>
                <w:iCs/>
                <w:sz w:val="18"/>
                <w:szCs w:val="18"/>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i/>
                <w:iCs/>
                <w:sz w:val="18"/>
                <w:szCs w:val="18"/>
              </w:rPr>
              <w:t>or</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 xml:space="preserve">Part D: Table Relating Approximate Equivalences Among IARC, NTP RoC, and GHS Carcinogenicity </w:t>
            </w:r>
            <w:r w:rsidRPr="002F1441">
              <w:rPr>
                <w:rFonts w:ascii="Arial" w:eastAsia="Times New Roman" w:hAnsi="Arial" w:cs="Arial"/>
                <w:smallCaps/>
                <w:kern w:val="36"/>
                <w:sz w:val="20"/>
                <w:szCs w:val="20"/>
              </w:rPr>
              <w:lastRenderedPageBreak/>
              <w:t>Classifications</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b/>
                <w:bCs/>
                <w:smallCaps/>
                <w:sz w:val="18"/>
                <w:szCs w:val="18"/>
              </w:rPr>
            </w:pPr>
            <w:r w:rsidRPr="002F1441">
              <w:rPr>
                <w:rFonts w:ascii="Arial" w:eastAsia="Times New Roman" w:hAnsi="Arial" w:cs="Arial"/>
                <w:b/>
                <w:bCs/>
                <w:smallCaps/>
                <w:sz w:val="18"/>
                <w:szCs w:val="18"/>
              </w:rPr>
              <w:t>Approximate Equivalences Among Carcinogen Classification Schemes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1533"/>
              <w:gridCol w:w="1974"/>
              <w:gridCol w:w="5837"/>
            </w:tblGrid>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IARC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GHS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F1441" w:rsidRPr="002F1441" w:rsidRDefault="002F1441" w:rsidP="002F1441">
                  <w:pPr>
                    <w:spacing w:after="0" w:line="240" w:lineRule="auto"/>
                    <w:jc w:val="center"/>
                    <w:rPr>
                      <w:rFonts w:ascii="Arial" w:eastAsia="Times New Roman" w:hAnsi="Arial" w:cs="Arial"/>
                      <w:b/>
                      <w:bCs/>
                      <w:sz w:val="20"/>
                      <w:szCs w:val="20"/>
                    </w:rPr>
                  </w:pPr>
                  <w:r w:rsidRPr="002F1441">
                    <w:rPr>
                      <w:rFonts w:ascii="Arial" w:eastAsia="Times New Roman" w:hAnsi="Arial" w:cs="Arial"/>
                      <w:b/>
                      <w:bCs/>
                      <w:sz w:val="20"/>
                      <w:szCs w:val="20"/>
                    </w:rPr>
                    <w:t>NTP RoC</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1</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Known.</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2A</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1B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r w:rsidR="002F1441" w:rsidRPr="002F1441" w:rsidTr="002F1441">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Group 2B</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Category 2</w:t>
                  </w:r>
                </w:p>
              </w:tc>
              <w:tc>
                <w:tcPr>
                  <w:tcW w:w="0" w:type="auto"/>
                  <w:tcBorders>
                    <w:top w:val="single" w:sz="6" w:space="0" w:color="000000"/>
                    <w:left w:val="single" w:sz="6" w:space="0" w:color="000000"/>
                    <w:bottom w:val="single" w:sz="6" w:space="0" w:color="000000"/>
                    <w:right w:val="single" w:sz="6" w:space="0" w:color="000000"/>
                  </w:tcBorders>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t>Reasonably Anticipated (See Note 1).</w:t>
                  </w:r>
                </w:p>
              </w:tc>
            </w:tr>
          </w:tbl>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i/>
                <w:iCs/>
                <w:sz w:val="18"/>
                <w:szCs w:val="18"/>
              </w:rPr>
              <w:t>Note 1:</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1. </w:t>
            </w:r>
            <w:r w:rsidRPr="002F1441">
              <w:rPr>
                <w:rFonts w:ascii="Arial" w:eastAsia="Times New Roman" w:hAnsi="Arial" w:cs="Arial"/>
                <w:i/>
                <w:iCs/>
                <w:sz w:val="18"/>
                <w:szCs w:val="18"/>
              </w:rPr>
              <w:t>Limited evidence of carcinogenicity from studies in humans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2. </w:t>
            </w:r>
            <w:r w:rsidRPr="002F1441">
              <w:rPr>
                <w:rFonts w:ascii="Arial" w:eastAsia="Times New Roman" w:hAnsi="Arial" w:cs="Arial"/>
                <w:i/>
                <w:iCs/>
                <w:sz w:val="18"/>
                <w:szCs w:val="18"/>
              </w:rPr>
              <w:t>Sufficient evidence of carcinogenicity from studies in experimental animals (again, essentially corresponding to IARC 2A/GHS 1B);</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3. </w:t>
            </w:r>
            <w:r w:rsidRPr="002F1441">
              <w:rPr>
                <w:rFonts w:ascii="Arial" w:eastAsia="Times New Roman" w:hAnsi="Arial" w:cs="Arial"/>
                <w:i/>
                <w:iCs/>
                <w:sz w:val="18"/>
                <w:szCs w:val="18"/>
              </w:rPr>
              <w:t>Less than sufficient evidence of carcinogenicity in humans or laboratory animals; however: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a. </w:t>
            </w:r>
            <w:r w:rsidRPr="002F1441">
              <w:rPr>
                <w:rFonts w:ascii="Arial" w:eastAsia="Times New Roman" w:hAnsi="Arial" w:cs="Arial"/>
                <w:i/>
                <w:iCs/>
                <w:sz w:val="18"/>
                <w:szCs w:val="18"/>
              </w:rPr>
              <w:t>The agent, substance, or mixture belongs to a well-defined, structurally-related class of substances whose members are listed in a previous RoC as either “Known” or “Reasonably Anticipated” to be a human carcinogen, or</w:t>
            </w:r>
          </w:p>
          <w:p w:rsidR="002F1441" w:rsidRPr="002F1441" w:rsidRDefault="002F1441" w:rsidP="002F1441">
            <w:pPr>
              <w:spacing w:before="100" w:beforeAutospacing="1" w:after="100" w:afterAutospacing="1" w:line="240" w:lineRule="auto"/>
              <w:ind w:firstLine="480"/>
              <w:jc w:val="center"/>
              <w:rPr>
                <w:rFonts w:ascii="Arial" w:eastAsia="Times New Roman" w:hAnsi="Arial" w:cs="Arial"/>
                <w:sz w:val="18"/>
                <w:szCs w:val="18"/>
              </w:rPr>
            </w:pPr>
            <w:r w:rsidRPr="002F1441">
              <w:rPr>
                <w:rFonts w:ascii="Arial" w:eastAsia="Times New Roman" w:hAnsi="Arial" w:cs="Arial"/>
                <w:sz w:val="18"/>
                <w:szCs w:val="18"/>
              </w:rPr>
              <w:t xml:space="preserve">b. </w:t>
            </w:r>
            <w:r w:rsidRPr="002F1441">
              <w:rPr>
                <w:rFonts w:ascii="Arial" w:eastAsia="Times New Roman" w:hAnsi="Arial" w:cs="Arial"/>
                <w:i/>
                <w:iCs/>
                <w:sz w:val="18"/>
                <w:szCs w:val="18"/>
              </w:rPr>
              <w:t>There is convincing relevant information that the agent acts through mechanisms indicating it would likely cause cancer in humans.</w:t>
            </w:r>
          </w:p>
          <w:p w:rsidR="002F1441" w:rsidRPr="002F1441" w:rsidRDefault="002F1441" w:rsidP="002F1441">
            <w:pPr>
              <w:spacing w:before="200" w:after="100" w:line="240" w:lineRule="auto"/>
              <w:jc w:val="center"/>
              <w:outlineLvl w:val="0"/>
              <w:rPr>
                <w:rFonts w:ascii="Arial" w:eastAsia="Times New Roman" w:hAnsi="Arial" w:cs="Arial"/>
                <w:smallCaps/>
                <w:kern w:val="36"/>
                <w:sz w:val="20"/>
                <w:szCs w:val="20"/>
              </w:rPr>
            </w:pPr>
            <w:r w:rsidRPr="002F1441">
              <w:rPr>
                <w:rFonts w:ascii="Arial" w:eastAsia="Times New Roman" w:hAnsi="Arial" w:cs="Arial"/>
                <w:smallCaps/>
                <w:kern w:val="36"/>
                <w:sz w:val="20"/>
                <w:szCs w:val="20"/>
              </w:rPr>
              <w:t>*References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J. Klaunig, M.E. Meek, R.N. Hill, T. Pastoor, L. Lehman-McKeeman, J. Bucher, D.G. Longfellow, J. Seed, V. Dellarco, P. Fenner-Crisp, and D. Patton. 2004. Evaluating the human relevance of chemically induced animal tumors. </w:t>
            </w:r>
            <w:r w:rsidRPr="002F1441">
              <w:rPr>
                <w:rFonts w:ascii="Arial" w:eastAsia="Times New Roman" w:hAnsi="Arial" w:cs="Arial"/>
                <w:i/>
                <w:iCs/>
                <w:sz w:val="18"/>
                <w:szCs w:val="18"/>
              </w:rPr>
              <w:t>Toxicol. Sci.</w:t>
            </w:r>
            <w:r w:rsidRPr="002F1441">
              <w:rPr>
                <w:rFonts w:ascii="Arial" w:eastAsia="Times New Roman" w:hAnsi="Arial" w:cs="Arial"/>
                <w:sz w:val="18"/>
                <w:szCs w:val="18"/>
              </w:rPr>
              <w:t xml:space="preserve"> 78(2):181-186.</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Cohen, S.M., M.E. Meek, J.E. Klaunig, D.E. Patton, P.A. Fenner-Crisp. 2003. The human relevance of information on carcinogenic modes of action: Overview. </w:t>
            </w:r>
            <w:r w:rsidRPr="002F1441">
              <w:rPr>
                <w:rFonts w:ascii="Arial" w:eastAsia="Times New Roman" w:hAnsi="Arial" w:cs="Arial"/>
                <w:i/>
                <w:iCs/>
                <w:sz w:val="18"/>
                <w:szCs w:val="18"/>
              </w:rPr>
              <w:t>Crit. Rev. Toxicol.</w:t>
            </w:r>
            <w:r w:rsidRPr="002F1441">
              <w:rPr>
                <w:rFonts w:ascii="Arial" w:eastAsia="Times New Roman" w:hAnsi="Arial" w:cs="Arial"/>
                <w:sz w:val="18"/>
                <w:szCs w:val="18"/>
              </w:rPr>
              <w:t xml:space="preserve"> 33(6):581-9.</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Meek, M.E., J.R. Bucher, S.M. Cohen, V. Dellarco, R.N. Hill, L. Lehman-McKeeman, D.G. Longfellow, T. Pastoor, J. Seed, D.E. Patton. 2003. A framework for human relevance analysis of information on carcinogenic modes of action. </w:t>
            </w:r>
            <w:r w:rsidRPr="002F1441">
              <w:rPr>
                <w:rFonts w:ascii="Arial" w:eastAsia="Times New Roman" w:hAnsi="Arial" w:cs="Arial"/>
                <w:i/>
                <w:iCs/>
                <w:sz w:val="18"/>
                <w:szCs w:val="18"/>
              </w:rPr>
              <w:t>Crit. Rev. Toxicol.</w:t>
            </w:r>
            <w:r w:rsidRPr="002F1441">
              <w:rPr>
                <w:rFonts w:ascii="Arial" w:eastAsia="Times New Roman" w:hAnsi="Arial" w:cs="Arial"/>
                <w:sz w:val="18"/>
                <w:szCs w:val="18"/>
              </w:rPr>
              <w:t xml:space="preserve"> 33(6):591-653.</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Sonich-Mullin, C., R. Fielder, J. Wiltse, K. Baetcke, J. Dempsey, P. Fenner-Crisp, D. Grant, M. Hartley, A. Knapp, D. Kroese, I. Mangelsdorf, E. Meek, J.M. Rice, and M. Younes. 2001. The conceptual framework for evaluating a mode of action for chemical carcinogenesis. </w:t>
            </w:r>
            <w:r w:rsidRPr="002F1441">
              <w:rPr>
                <w:rFonts w:ascii="Arial" w:eastAsia="Times New Roman" w:hAnsi="Arial" w:cs="Arial"/>
                <w:i/>
                <w:iCs/>
                <w:sz w:val="18"/>
                <w:szCs w:val="18"/>
              </w:rPr>
              <w:t>Reg. Toxicol. Pharm.</w:t>
            </w:r>
            <w:r w:rsidRPr="002F1441">
              <w:rPr>
                <w:rFonts w:ascii="Arial" w:eastAsia="Times New Roman" w:hAnsi="Arial" w:cs="Arial"/>
                <w:sz w:val="18"/>
                <w:szCs w:val="18"/>
              </w:rPr>
              <w:t xml:space="preserve"> 34:146-152.</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International Programme on Chemical Safety Harmonization Group. 2004. Report of the First Meeting of the Cancer Working Group. World Health Organization. Report IPCS/HSC-CWG-1/04. Geneva.</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International Agency for Research on Cancer. IARC Monographs on the Evaluation of Carcinogenic Risks to Human. Preambles to Volumes. World Health Organization. Lyon, France.</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Cohen, S.M., P.A. Fenner-Crisp, and D.E. Patton. 2003. Special Issue: Cancer Modes of Action and Human Relevance. Critical Reviews in Toxicology, R.O. McClellan, ed., Volume 33/Issue 6. CRC Press.</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lastRenderedPageBreak/>
              <w:t>Capen, C.C., E. Dybing, and J.D. Wilbourn. 1999. Species differences in thyroid, kidney and urinary bladder carcinogenesis. International Agency for Research on Cancer, Scientific Publication N° 147.</w:t>
            </w:r>
          </w:p>
          <w:p w:rsidR="002F1441" w:rsidRPr="002F1441" w:rsidRDefault="002F1441" w:rsidP="002F1441">
            <w:pPr>
              <w:spacing w:before="200" w:after="100" w:line="240" w:lineRule="auto"/>
              <w:ind w:left="960" w:hanging="960"/>
              <w:jc w:val="center"/>
              <w:rPr>
                <w:rFonts w:ascii="Arial" w:eastAsia="Times New Roman" w:hAnsi="Arial" w:cs="Arial"/>
                <w:sz w:val="18"/>
                <w:szCs w:val="18"/>
              </w:rPr>
            </w:pPr>
            <w:r w:rsidRPr="002F1441">
              <w:rPr>
                <w:rFonts w:ascii="Arial" w:eastAsia="Times New Roman" w:hAnsi="Arial" w:cs="Arial"/>
                <w:sz w:val="18"/>
                <w:szCs w:val="18"/>
              </w:rPr>
              <w:t xml:space="preserve">Doi, A.M., G. Hill, J. Seely, J.R. Hailey, G. Kissling, and J.R. Buchera. 2007. α2u-Globulin nephropathy and renal tumors in National Toxicology Program studies. </w:t>
            </w:r>
            <w:r w:rsidRPr="002F1441">
              <w:rPr>
                <w:rFonts w:ascii="Arial" w:eastAsia="Times New Roman" w:hAnsi="Arial" w:cs="Arial"/>
                <w:i/>
                <w:iCs/>
                <w:sz w:val="18"/>
                <w:szCs w:val="18"/>
              </w:rPr>
              <w:t>Toxicol. Pathol.</w:t>
            </w:r>
            <w:r w:rsidRPr="002F1441">
              <w:rPr>
                <w:rFonts w:ascii="Arial" w:eastAsia="Times New Roman" w:hAnsi="Arial" w:cs="Arial"/>
                <w:sz w:val="18"/>
                <w:szCs w:val="18"/>
              </w:rPr>
              <w:t xml:space="preserve"> 35:533-540.</w:t>
            </w:r>
          </w:p>
          <w:p w:rsidR="002F1441" w:rsidRPr="002F1441" w:rsidRDefault="002F1441" w:rsidP="002F1441">
            <w:pPr>
              <w:spacing w:before="200" w:after="100" w:afterAutospacing="1" w:line="240" w:lineRule="auto"/>
              <w:rPr>
                <w:rFonts w:ascii="Arial" w:eastAsia="Times New Roman" w:hAnsi="Arial" w:cs="Arial"/>
                <w:sz w:val="18"/>
                <w:szCs w:val="18"/>
              </w:rPr>
            </w:pPr>
            <w:r w:rsidRPr="002F1441">
              <w:rPr>
                <w:rFonts w:ascii="Arial" w:eastAsia="Times New Roman" w:hAnsi="Arial" w:cs="Arial"/>
                <w:sz w:val="18"/>
                <w:szCs w:val="18"/>
              </w:rPr>
              <w:t>[59 FR 6170, Feb. 9, 1994, as amended at 59 FR 17479, Apr. 13, 1994; 59 FR 65948, Dec. 22, 1994; 61 FR 9245, Mar. 7. 1996; 77 FR 17785, Mar. 26, 2012; 78 FR 9313, Feb. 8, 2013]</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2F1441" w:rsidRPr="002F1441" w:rsidTr="002F1441">
              <w:trPr>
                <w:tblCellSpacing w:w="15" w:type="dxa"/>
                <w:jc w:val="center"/>
              </w:trPr>
              <w:tc>
                <w:tcPr>
                  <w:tcW w:w="0" w:type="auto"/>
                  <w:hideMark/>
                </w:tcPr>
                <w:p w:rsidR="002F1441" w:rsidRPr="002F1441" w:rsidRDefault="002F1441" w:rsidP="002F1441">
                  <w:pPr>
                    <w:spacing w:after="0" w:line="240" w:lineRule="auto"/>
                    <w:rPr>
                      <w:rFonts w:ascii="Arial" w:eastAsia="Times New Roman" w:hAnsi="Arial" w:cs="Arial"/>
                      <w:sz w:val="20"/>
                      <w:szCs w:val="20"/>
                    </w:rPr>
                  </w:pPr>
                  <w:r w:rsidRPr="002F1441">
                    <w:rPr>
                      <w:rFonts w:ascii="Arial" w:eastAsia="Times New Roman" w:hAnsi="Arial" w:cs="Arial"/>
                      <w:sz w:val="20"/>
                      <w:szCs w:val="20"/>
                    </w:rPr>
                    <w:pict>
                      <v:rect id="_x0000_i1096" style="width:327.6pt;height:1.5pt" o:hrpct="700" o:hralign="center" o:hrstd="t" o:hr="t" fillcolor="#a0a0a0" stroked="f"/>
                    </w:pict>
                  </w:r>
                </w:p>
                <w:p w:rsidR="002F1441" w:rsidRPr="002F1441" w:rsidRDefault="002F1441" w:rsidP="002F1441">
                  <w:pPr>
                    <w:spacing w:after="0" w:line="240" w:lineRule="auto"/>
                    <w:rPr>
                      <w:rFonts w:ascii="Arial" w:eastAsia="Times New Roman" w:hAnsi="Arial" w:cs="Arial"/>
                      <w:sz w:val="20"/>
                      <w:szCs w:val="20"/>
                    </w:rPr>
                  </w:pPr>
                </w:p>
                <w:p w:rsidR="002F1441" w:rsidRPr="002F1441" w:rsidRDefault="002F1441" w:rsidP="002F1441">
                  <w:pPr>
                    <w:spacing w:before="100" w:beforeAutospacing="1" w:after="240" w:line="240" w:lineRule="auto"/>
                    <w:rPr>
                      <w:rFonts w:ascii="Arial" w:eastAsia="Times New Roman" w:hAnsi="Arial" w:cs="Arial"/>
                      <w:sz w:val="17"/>
                      <w:szCs w:val="17"/>
                    </w:rPr>
                  </w:pPr>
                  <w:r w:rsidRPr="002F1441">
                    <w:rPr>
                      <w:rFonts w:ascii="Arial" w:eastAsia="Times New Roman" w:hAnsi="Arial" w:cs="Arial"/>
                      <w:sz w:val="17"/>
                      <w:szCs w:val="17"/>
                    </w:rPr>
                    <w:t xml:space="preserve">For questions or comments regarding e-CFR editorial content, features, or design, email </w:t>
                  </w:r>
                  <w:hyperlink r:id="rId145" w:history="1">
                    <w:r w:rsidRPr="002F1441">
                      <w:rPr>
                        <w:rFonts w:ascii="Arial" w:eastAsia="Times New Roman" w:hAnsi="Arial" w:cs="Arial"/>
                        <w:color w:val="0000FF"/>
                        <w:sz w:val="17"/>
                        <w:szCs w:val="17"/>
                      </w:rPr>
                      <w:t>ecfr@nara.gov</w:t>
                    </w:r>
                  </w:hyperlink>
                  <w:r w:rsidRPr="002F1441">
                    <w:rPr>
                      <w:rFonts w:ascii="Arial" w:eastAsia="Times New Roman" w:hAnsi="Arial" w:cs="Arial"/>
                      <w:sz w:val="17"/>
                      <w:szCs w:val="17"/>
                    </w:rPr>
                    <w:t>.</w:t>
                  </w:r>
                  <w:r w:rsidRPr="002F1441">
                    <w:rPr>
                      <w:rFonts w:ascii="Arial" w:eastAsia="Times New Roman" w:hAnsi="Arial" w:cs="Arial"/>
                      <w:sz w:val="17"/>
                      <w:szCs w:val="17"/>
                    </w:rPr>
                    <w:br/>
                    <w:t xml:space="preserve">For questions concerning e-CFR programming and delivery issues, email </w:t>
                  </w:r>
                  <w:hyperlink r:id="rId146" w:history="1">
                    <w:r w:rsidRPr="002F1441">
                      <w:rPr>
                        <w:rFonts w:ascii="Arial" w:eastAsia="Times New Roman" w:hAnsi="Arial" w:cs="Arial"/>
                        <w:color w:val="0000FF"/>
                        <w:sz w:val="17"/>
                        <w:szCs w:val="17"/>
                      </w:rPr>
                      <w:t>webteam@gpo.gov</w:t>
                    </w:r>
                  </w:hyperlink>
                  <w:r w:rsidRPr="002F1441">
                    <w:rPr>
                      <w:rFonts w:ascii="Arial" w:eastAsia="Times New Roman" w:hAnsi="Arial" w:cs="Arial"/>
                      <w:sz w:val="17"/>
                      <w:szCs w:val="17"/>
                    </w:rPr>
                    <w:t>.</w:t>
                  </w:r>
                </w:p>
              </w:tc>
            </w:tr>
          </w:tbl>
          <w:p w:rsidR="002F1441" w:rsidRPr="002F1441" w:rsidRDefault="002F1441" w:rsidP="002F1441">
            <w:pPr>
              <w:spacing w:after="0" w:line="240" w:lineRule="auto"/>
              <w:jc w:val="center"/>
              <w:rPr>
                <w:rFonts w:ascii="Arial" w:eastAsia="Times New Roman" w:hAnsi="Arial" w:cs="Arial"/>
                <w:sz w:val="20"/>
                <w:szCs w:val="20"/>
              </w:rPr>
            </w:pPr>
          </w:p>
        </w:tc>
      </w:tr>
    </w:tbl>
    <w:p w:rsidR="002F1441" w:rsidRPr="002F1441" w:rsidRDefault="002F1441" w:rsidP="002F1441">
      <w:pPr>
        <w:shd w:val="clear" w:color="auto" w:fill="FFFFFF"/>
        <w:spacing w:after="0" w:line="240" w:lineRule="auto"/>
        <w:rPr>
          <w:rFonts w:ascii="Arial" w:eastAsia="Times New Roman" w:hAnsi="Arial" w:cs="Arial"/>
          <w:color w:val="000000"/>
          <w:sz w:val="15"/>
          <w:szCs w:val="15"/>
          <w:lang w:val="en"/>
        </w:rPr>
      </w:pPr>
      <w:r w:rsidRPr="002F1441">
        <w:rPr>
          <w:rFonts w:ascii="Arial" w:eastAsia="Times New Roman" w:hAnsi="Arial" w:cs="Arial"/>
          <w:color w:val="000000"/>
          <w:sz w:val="15"/>
          <w:szCs w:val="15"/>
          <w:lang w:val="en"/>
        </w:rPr>
        <w:lastRenderedPageBreak/>
        <w:t xml:space="preserve">732 North Capitol </w:t>
      </w:r>
      <w:proofErr w:type="gramStart"/>
      <w:r w:rsidRPr="002F1441">
        <w:rPr>
          <w:rFonts w:ascii="Arial" w:eastAsia="Times New Roman" w:hAnsi="Arial" w:cs="Arial"/>
          <w:color w:val="000000"/>
          <w:sz w:val="15"/>
          <w:szCs w:val="15"/>
          <w:lang w:val="en"/>
        </w:rPr>
        <w:t>Street</w:t>
      </w:r>
      <w:proofErr w:type="gramEnd"/>
      <w:r w:rsidRPr="002F1441">
        <w:rPr>
          <w:rFonts w:ascii="Arial" w:eastAsia="Times New Roman" w:hAnsi="Arial" w:cs="Arial"/>
          <w:color w:val="000000"/>
          <w:sz w:val="15"/>
          <w:szCs w:val="15"/>
          <w:lang w:val="en"/>
        </w:rPr>
        <w:t xml:space="preserve">, NW, Washington, DC 20401-0001     202.512.1800 </w:t>
      </w:r>
    </w:p>
    <w:p w:rsidR="002F1441" w:rsidRPr="002F1441" w:rsidRDefault="002F1441" w:rsidP="002F1441">
      <w:pPr>
        <w:shd w:val="clear" w:color="auto" w:fill="FFFFFF"/>
        <w:spacing w:line="240" w:lineRule="auto"/>
        <w:jc w:val="right"/>
        <w:rPr>
          <w:rFonts w:ascii="Arial" w:eastAsia="Times New Roman" w:hAnsi="Arial" w:cs="Arial"/>
          <w:color w:val="000000"/>
          <w:sz w:val="15"/>
          <w:szCs w:val="15"/>
          <w:lang w:val="en"/>
        </w:rPr>
      </w:pPr>
      <w:hyperlink r:id="rId147" w:history="1">
        <w:r w:rsidRPr="002F1441">
          <w:rPr>
            <w:rFonts w:ascii="Arial" w:eastAsia="Times New Roman" w:hAnsi="Arial" w:cs="Arial"/>
            <w:color w:val="0066CC"/>
            <w:sz w:val="15"/>
            <w:szCs w:val="15"/>
            <w:lang w:val="en"/>
          </w:rPr>
          <w:t>Privacy</w:t>
        </w:r>
      </w:hyperlink>
      <w:r w:rsidRPr="002F1441">
        <w:rPr>
          <w:rFonts w:ascii="Arial" w:eastAsia="Times New Roman" w:hAnsi="Arial" w:cs="Arial"/>
          <w:color w:val="000000"/>
          <w:sz w:val="15"/>
          <w:szCs w:val="15"/>
          <w:lang w:val="en"/>
        </w:rPr>
        <w:t xml:space="preserve">   |   </w:t>
      </w:r>
      <w:hyperlink r:id="rId148" w:history="1">
        <w:r w:rsidRPr="002F1441">
          <w:rPr>
            <w:rFonts w:ascii="Arial" w:eastAsia="Times New Roman" w:hAnsi="Arial" w:cs="Arial"/>
            <w:color w:val="0066CC"/>
            <w:sz w:val="15"/>
            <w:szCs w:val="15"/>
            <w:lang w:val="en"/>
          </w:rPr>
          <w:t>Important Links</w:t>
        </w:r>
      </w:hyperlink>
      <w:r w:rsidRPr="002F1441">
        <w:rPr>
          <w:rFonts w:ascii="Arial" w:eastAsia="Times New Roman" w:hAnsi="Arial" w:cs="Arial"/>
          <w:color w:val="000000"/>
          <w:sz w:val="15"/>
          <w:szCs w:val="15"/>
          <w:lang w:val="en"/>
        </w:rPr>
        <w:t xml:space="preserve">   |   </w:t>
      </w:r>
      <w:hyperlink r:id="rId149" w:history="1">
        <w:r w:rsidRPr="002F1441">
          <w:rPr>
            <w:rFonts w:ascii="Arial" w:eastAsia="Times New Roman" w:hAnsi="Arial" w:cs="Arial"/>
            <w:color w:val="0066CC"/>
            <w:sz w:val="15"/>
            <w:szCs w:val="15"/>
            <w:lang w:val="en"/>
          </w:rPr>
          <w:t>Accessibility</w:t>
        </w:r>
      </w:hyperlink>
      <w:r w:rsidRPr="002F1441">
        <w:rPr>
          <w:rFonts w:ascii="Arial" w:eastAsia="Times New Roman" w:hAnsi="Arial" w:cs="Arial"/>
          <w:color w:val="000000"/>
          <w:sz w:val="15"/>
          <w:szCs w:val="15"/>
          <w:lang w:val="en"/>
        </w:rPr>
        <w:t xml:space="preserve">   |   </w:t>
      </w:r>
      <w:hyperlink r:id="rId150" w:history="1">
        <w:r w:rsidRPr="002F1441">
          <w:rPr>
            <w:rFonts w:ascii="Arial" w:eastAsia="Times New Roman" w:hAnsi="Arial" w:cs="Arial"/>
            <w:color w:val="0066CC"/>
            <w:sz w:val="15"/>
            <w:szCs w:val="15"/>
            <w:lang w:val="en"/>
          </w:rPr>
          <w:t>Sitemap</w:t>
        </w:r>
      </w:hyperlink>
      <w:r w:rsidRPr="002F1441">
        <w:rPr>
          <w:rFonts w:ascii="Arial" w:eastAsia="Times New Roman" w:hAnsi="Arial" w:cs="Arial"/>
          <w:color w:val="000000"/>
          <w:sz w:val="15"/>
          <w:szCs w:val="15"/>
          <w:lang w:val="en"/>
        </w:rPr>
        <w:t xml:space="preserve">   |   </w:t>
      </w:r>
      <w:hyperlink r:id="rId151" w:history="1">
        <w:r w:rsidRPr="002F1441">
          <w:rPr>
            <w:rFonts w:ascii="Arial" w:eastAsia="Times New Roman" w:hAnsi="Arial" w:cs="Arial"/>
            <w:color w:val="0066CC"/>
            <w:sz w:val="15"/>
            <w:szCs w:val="15"/>
            <w:lang w:val="en"/>
          </w:rPr>
          <w:t>COOP</w:t>
        </w:r>
      </w:hyperlink>
      <w:r w:rsidRPr="002F1441">
        <w:rPr>
          <w:rFonts w:ascii="Arial" w:eastAsia="Times New Roman" w:hAnsi="Arial" w:cs="Arial"/>
          <w:color w:val="000000"/>
          <w:sz w:val="15"/>
          <w:szCs w:val="15"/>
          <w:lang w:val="en"/>
        </w:rPr>
        <w:t xml:space="preserve"> </w:t>
      </w:r>
    </w:p>
    <w:p w:rsidR="00E76649" w:rsidRDefault="002F1441"/>
    <w:sectPr w:rsidR="00E76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41"/>
    <w:rsid w:val="002F1441"/>
    <w:rsid w:val="00555D3A"/>
    <w:rsid w:val="00DC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1441"/>
    <w:pPr>
      <w:spacing w:before="200" w:after="100" w:line="240" w:lineRule="auto"/>
      <w:jc w:val="center"/>
      <w:outlineLvl w:val="0"/>
    </w:pPr>
    <w:rPr>
      <w:rFonts w:ascii="Times New Roman" w:eastAsia="Times New Roman" w:hAnsi="Times New Roman" w:cs="Times New Roman"/>
      <w:b/>
      <w:bCs/>
      <w:kern w:val="36"/>
      <w:sz w:val="20"/>
      <w:szCs w:val="20"/>
    </w:rPr>
  </w:style>
  <w:style w:type="paragraph" w:styleId="Heading2">
    <w:name w:val="heading 2"/>
    <w:basedOn w:val="Normal"/>
    <w:link w:val="Heading2Char"/>
    <w:uiPriority w:val="9"/>
    <w:qFormat/>
    <w:rsid w:val="002F1441"/>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qFormat/>
    <w:rsid w:val="002F1441"/>
    <w:pPr>
      <w:spacing w:before="200" w:after="100" w:line="240" w:lineRule="auto"/>
      <w:jc w:val="center"/>
      <w:outlineLvl w:val="2"/>
    </w:pPr>
    <w:rPr>
      <w:rFonts w:ascii="Times New Roman" w:eastAsia="Times New Roman" w:hAnsi="Times New Roman" w:cs="Times New Roman"/>
      <w:b/>
      <w:bCs/>
      <w:sz w:val="20"/>
      <w:szCs w:val="20"/>
    </w:rPr>
  </w:style>
  <w:style w:type="paragraph" w:styleId="Heading4">
    <w:name w:val="heading 4"/>
    <w:basedOn w:val="Normal"/>
    <w:link w:val="Heading4Char"/>
    <w:uiPriority w:val="9"/>
    <w:qFormat/>
    <w:rsid w:val="002F1441"/>
    <w:pPr>
      <w:spacing w:before="200" w:after="100" w:line="240" w:lineRule="auto"/>
      <w:jc w:val="center"/>
      <w:outlineLvl w:val="3"/>
    </w:pPr>
    <w:rPr>
      <w:rFonts w:ascii="Times New Roman" w:eastAsia="Times New Roman" w:hAnsi="Times New Roman" w:cs="Times New Roman"/>
      <w:b/>
      <w:bCs/>
      <w:sz w:val="20"/>
      <w:szCs w:val="20"/>
    </w:rPr>
  </w:style>
  <w:style w:type="paragraph" w:styleId="Heading5">
    <w:name w:val="heading 5"/>
    <w:basedOn w:val="Normal"/>
    <w:link w:val="Heading5Char"/>
    <w:uiPriority w:val="9"/>
    <w:qFormat/>
    <w:rsid w:val="002F1441"/>
    <w:pPr>
      <w:spacing w:before="200" w:after="100" w:line="240" w:lineRule="auto"/>
      <w:jc w:val="cente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441"/>
    <w:rPr>
      <w:rFonts w:ascii="Times New Roman" w:eastAsia="Times New Roman" w:hAnsi="Times New Roman" w:cs="Times New Roman"/>
      <w:b/>
      <w:bCs/>
      <w:kern w:val="36"/>
      <w:sz w:val="20"/>
      <w:szCs w:val="20"/>
    </w:rPr>
  </w:style>
  <w:style w:type="character" w:customStyle="1" w:styleId="Heading2Char">
    <w:name w:val="Heading 2 Char"/>
    <w:basedOn w:val="DefaultParagraphFont"/>
    <w:link w:val="Heading2"/>
    <w:uiPriority w:val="9"/>
    <w:rsid w:val="002F1441"/>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2F144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2F144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2F1441"/>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F1441"/>
    <w:rPr>
      <w:rFonts w:ascii="Arial" w:hAnsi="Arial" w:cs="Arial" w:hint="default"/>
      <w:strike w:val="0"/>
      <w:dstrike w:val="0"/>
      <w:color w:val="0000FF"/>
      <w:sz w:val="17"/>
      <w:szCs w:val="17"/>
      <w:u w:val="none"/>
      <w:effect w:val="none"/>
    </w:rPr>
  </w:style>
  <w:style w:type="character" w:styleId="FollowedHyperlink">
    <w:name w:val="FollowedHyperlink"/>
    <w:basedOn w:val="DefaultParagraphFont"/>
    <w:uiPriority w:val="99"/>
    <w:semiHidden/>
    <w:unhideWhenUsed/>
    <w:rsid w:val="002F1441"/>
    <w:rPr>
      <w:rFonts w:ascii="Arial" w:hAnsi="Arial" w:cs="Arial" w:hint="default"/>
      <w:strike w:val="0"/>
      <w:dstrike w:val="0"/>
      <w:color w:val="800080"/>
      <w:sz w:val="17"/>
      <w:szCs w:val="17"/>
      <w:u w:val="none"/>
      <w:effect w:val="none"/>
    </w:rPr>
  </w:style>
  <w:style w:type="paragraph" w:styleId="NormalWeb">
    <w:name w:val="Normal (Web)"/>
    <w:basedOn w:val="Normal"/>
    <w:uiPriority w:val="99"/>
    <w:semiHidden/>
    <w:unhideWhenUsed/>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2F14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2F1441"/>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2F1441"/>
    <w:pPr>
      <w:spacing w:before="100" w:beforeAutospacing="1" w:after="100" w:afterAutospacing="1" w:line="240" w:lineRule="auto"/>
      <w:jc w:val="center"/>
    </w:pPr>
    <w:rPr>
      <w:rFonts w:ascii="Arial" w:eastAsia="Times New Roman" w:hAnsi="Arial" w:cs="Arial"/>
      <w:b/>
      <w:bCs/>
      <w:color w:val="FF0000"/>
      <w:sz w:val="27"/>
      <w:szCs w:val="27"/>
    </w:rPr>
  </w:style>
  <w:style w:type="paragraph" w:customStyle="1" w:styleId="contact">
    <w:name w:val="contact"/>
    <w:basedOn w:val="Normal"/>
    <w:rsid w:val="002F1441"/>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op-menu">
    <w:name w:val="top-menu"/>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op-menu-pipe">
    <w:name w:val="top-menu-pipe"/>
    <w:basedOn w:val="Normal"/>
    <w:rsid w:val="002F1441"/>
    <w:pPr>
      <w:spacing w:after="0" w:line="240" w:lineRule="auto"/>
      <w:ind w:firstLine="480"/>
    </w:pPr>
    <w:rPr>
      <w:rFonts w:ascii="Times New Roman" w:eastAsia="Times New Roman" w:hAnsi="Times New Roman" w:cs="Times New Roman"/>
      <w:sz w:val="24"/>
      <w:szCs w:val="24"/>
    </w:rPr>
  </w:style>
  <w:style w:type="paragraph" w:customStyle="1" w:styleId="clear">
    <w:name w:val="clear"/>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2F1441"/>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icelink">
    <w:name w:val="noticelink"/>
    <w:basedOn w:val="Normal"/>
    <w:rsid w:val="002F1441"/>
    <w:pPr>
      <w:spacing w:before="100" w:beforeAutospacing="1" w:after="100" w:afterAutospacing="1" w:line="240" w:lineRule="auto"/>
      <w:ind w:firstLine="480"/>
    </w:pPr>
    <w:rPr>
      <w:rFonts w:ascii="Times New Roman" w:eastAsia="Times New Roman" w:hAnsi="Times New Roman" w:cs="Times New Roman"/>
      <w:color w:val="0000FF"/>
      <w:sz w:val="21"/>
      <w:szCs w:val="21"/>
      <w:u w:val="single"/>
    </w:rPr>
  </w:style>
  <w:style w:type="paragraph" w:customStyle="1" w:styleId="menu-home-title">
    <w:name w:val="menu-home-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0000"/>
      <w:sz w:val="24"/>
      <w:szCs w:val="24"/>
    </w:rPr>
  </w:style>
  <w:style w:type="paragraph" w:customStyle="1" w:styleId="menu-customers-title">
    <w:name w:val="menu-custome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666633"/>
      <w:sz w:val="24"/>
      <w:szCs w:val="24"/>
    </w:rPr>
  </w:style>
  <w:style w:type="paragraph" w:customStyle="1" w:styleId="menu-vendors-title">
    <w:name w:val="menu-vendors-title"/>
    <w:basedOn w:val="Normal"/>
    <w:rsid w:val="002F1441"/>
    <w:pPr>
      <w:spacing w:before="100" w:beforeAutospacing="1" w:after="100" w:afterAutospacing="1" w:line="240" w:lineRule="auto"/>
      <w:ind w:firstLine="480"/>
    </w:pPr>
    <w:rPr>
      <w:rFonts w:ascii="Times New Roman" w:eastAsia="Times New Roman" w:hAnsi="Times New Roman" w:cs="Times New Roman"/>
      <w:color w:val="333366"/>
      <w:sz w:val="24"/>
      <w:szCs w:val="24"/>
    </w:rPr>
  </w:style>
  <w:style w:type="paragraph" w:customStyle="1" w:styleId="menu-libraries-title">
    <w:name w:val="menu-libraries-title"/>
    <w:basedOn w:val="Normal"/>
    <w:rsid w:val="002F1441"/>
    <w:pPr>
      <w:spacing w:before="100" w:beforeAutospacing="1" w:after="100" w:afterAutospacing="1" w:line="240" w:lineRule="auto"/>
      <w:ind w:firstLine="480"/>
    </w:pPr>
    <w:rPr>
      <w:rFonts w:ascii="Times New Roman" w:eastAsia="Times New Roman" w:hAnsi="Times New Roman" w:cs="Times New Roman"/>
      <w:color w:val="006666"/>
      <w:sz w:val="24"/>
      <w:szCs w:val="24"/>
    </w:rPr>
  </w:style>
  <w:style w:type="paragraph" w:customStyle="1" w:styleId="two-col-layout-table">
    <w:name w:val="two-col-layout-table"/>
    <w:basedOn w:val="Normal"/>
    <w:rsid w:val="002F1441"/>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2F1441"/>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menu-search-title">
    <w:name w:val="menu-search-title"/>
    <w:basedOn w:val="Normal"/>
    <w:rsid w:val="002F1441"/>
    <w:pPr>
      <w:spacing w:before="100" w:beforeAutospacing="1" w:after="100" w:afterAutospacing="1" w:line="240" w:lineRule="auto"/>
      <w:ind w:firstLine="480"/>
    </w:pPr>
    <w:rPr>
      <w:rFonts w:ascii="Times New Roman" w:eastAsia="Times New Roman" w:hAnsi="Times New Roman" w:cs="Times New Roman"/>
      <w:color w:val="990033"/>
      <w:sz w:val="24"/>
      <w:szCs w:val="24"/>
    </w:rPr>
  </w:style>
  <w:style w:type="paragraph" w:customStyle="1" w:styleId="left-menu-title">
    <w:name w:val="left-menu-title"/>
    <w:basedOn w:val="Normal"/>
    <w:rsid w:val="002F1441"/>
    <w:pPr>
      <w:spacing w:before="100" w:beforeAutospacing="1" w:after="100" w:afterAutospacing="1" w:line="210" w:lineRule="atLeast"/>
      <w:ind w:firstLine="480"/>
    </w:pPr>
    <w:rPr>
      <w:rFonts w:ascii="Times New Roman" w:eastAsia="Times New Roman" w:hAnsi="Times New Roman" w:cs="Times New Roman"/>
      <w:b/>
      <w:bCs/>
      <w:spacing w:val="15"/>
      <w:sz w:val="17"/>
      <w:szCs w:val="17"/>
    </w:rPr>
  </w:style>
  <w:style w:type="paragraph" w:customStyle="1" w:styleId="left-menu-sublinks">
    <w:name w:val="left-menu-sublinks"/>
    <w:basedOn w:val="Normal"/>
    <w:rsid w:val="002F1441"/>
    <w:pPr>
      <w:spacing w:before="100" w:beforeAutospacing="1" w:after="100" w:afterAutospacing="1" w:line="240" w:lineRule="auto"/>
      <w:ind w:left="150" w:firstLine="480"/>
    </w:pPr>
    <w:rPr>
      <w:rFonts w:ascii="Times New Roman" w:eastAsia="Times New Roman" w:hAnsi="Times New Roman" w:cs="Times New Roman"/>
      <w:sz w:val="24"/>
      <w:szCs w:val="24"/>
    </w:rPr>
  </w:style>
  <w:style w:type="paragraph" w:customStyle="1" w:styleId="sidebar-title-bar">
    <w:name w:val="sidebar-title-bar"/>
    <w:basedOn w:val="Normal"/>
    <w:rsid w:val="002F1441"/>
    <w:pPr>
      <w:shd w:val="clear" w:color="auto" w:fill="999999"/>
      <w:spacing w:before="100" w:beforeAutospacing="1" w:after="100" w:afterAutospacing="1" w:line="240" w:lineRule="auto"/>
      <w:ind w:firstLine="480"/>
    </w:pPr>
    <w:rPr>
      <w:rFonts w:ascii="Times New Roman" w:eastAsia="Times New Roman" w:hAnsi="Times New Roman" w:cs="Times New Roman"/>
      <w:color w:val="FFFFFF"/>
      <w:spacing w:val="20"/>
      <w:sz w:val="17"/>
      <w:szCs w:val="17"/>
    </w:rPr>
  </w:style>
  <w:style w:type="paragraph" w:customStyle="1" w:styleId="collection-latest-resources-mask">
    <w:name w:val="collection-latest-resources-mask"/>
    <w:basedOn w:val="Normal"/>
    <w:rsid w:val="002F1441"/>
    <w:pPr>
      <w:spacing w:before="150" w:after="100" w:afterAutospacing="1" w:line="240" w:lineRule="auto"/>
      <w:ind w:firstLine="480"/>
    </w:pPr>
    <w:rPr>
      <w:rFonts w:ascii="Times New Roman" w:eastAsia="Times New Roman" w:hAnsi="Times New Roman" w:cs="Times New Roman"/>
      <w:sz w:val="24"/>
      <w:szCs w:val="24"/>
    </w:rPr>
  </w:style>
  <w:style w:type="paragraph" w:customStyle="1" w:styleId="vert-spacer-450">
    <w:name w:val="vert-spacer-450"/>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2F1441"/>
    <w:pPr>
      <w:spacing w:after="0" w:line="240" w:lineRule="auto"/>
      <w:ind w:firstLine="480"/>
    </w:pPr>
    <w:rPr>
      <w:rFonts w:ascii="Times New Roman" w:eastAsia="Times New Roman" w:hAnsi="Times New Roman" w:cs="Times New Roman"/>
      <w:caps/>
      <w:sz w:val="27"/>
      <w:szCs w:val="27"/>
    </w:rPr>
  </w:style>
  <w:style w:type="paragraph" w:customStyle="1" w:styleId="hd1">
    <w:name w:val="h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2F1441"/>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z w:val="20"/>
      <w:szCs w:val="20"/>
    </w:rPr>
  </w:style>
  <w:style w:type="paragraph" w:customStyle="1" w:styleId="frp">
    <w:name w:val="frp"/>
    <w:basedOn w:val="Normal"/>
    <w:rsid w:val="002F1441"/>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2F144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2F1441"/>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2F1441"/>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2F1441"/>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ontentsp">
    <w:name w:val="contentsp"/>
    <w:basedOn w:val="Normal"/>
    <w:rsid w:val="002F1441"/>
    <w:pPr>
      <w:spacing w:before="200" w:after="100" w:afterAutospacing="1" w:line="240" w:lineRule="auto"/>
    </w:pPr>
    <w:rPr>
      <w:rFonts w:ascii="Times New Roman" w:eastAsia="Times New Roman" w:hAnsi="Times New Roman" w:cs="Times New Roman"/>
      <w:b/>
      <w:bCs/>
      <w:sz w:val="20"/>
      <w:szCs w:val="20"/>
    </w:rPr>
  </w:style>
  <w:style w:type="paragraph" w:customStyle="1" w:styleId="contentsg">
    <w:name w:val="contentsg"/>
    <w:basedOn w:val="Normal"/>
    <w:rsid w:val="002F1441"/>
    <w:pPr>
      <w:spacing w:before="200" w:after="100" w:afterAutospacing="1" w:line="240" w:lineRule="auto"/>
    </w:pPr>
    <w:rPr>
      <w:rFonts w:ascii="Times New Roman" w:eastAsia="Times New Roman" w:hAnsi="Times New Roman" w:cs="Times New Roman"/>
      <w:smallCaps/>
      <w:sz w:val="20"/>
      <w:szCs w:val="20"/>
    </w:rPr>
  </w:style>
  <w:style w:type="paragraph" w:customStyle="1" w:styleId="updatetitle">
    <w:name w:val="update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2F14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pdatebodytest">
    <w:name w:val="updatebodytest"/>
    <w:basedOn w:val="Normal"/>
    <w:rsid w:val="002F14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2F1441"/>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parauth">
    <w:name w:val="par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2F1441"/>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2F1441"/>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2F1441"/>
    <w:pPr>
      <w:spacing w:before="200" w:after="100" w:line="240" w:lineRule="auto"/>
      <w:ind w:firstLine="480"/>
      <w:jc w:val="center"/>
    </w:pPr>
    <w:rPr>
      <w:rFonts w:ascii="Times New Roman" w:eastAsia="Times New Roman" w:hAnsi="Times New Roman" w:cs="Times New Roman"/>
      <w:smallCaps/>
      <w:sz w:val="20"/>
      <w:szCs w:val="20"/>
    </w:rPr>
  </w:style>
  <w:style w:type="paragraph" w:customStyle="1" w:styleId="sphead">
    <w:name w:val="sphead"/>
    <w:basedOn w:val="Normal"/>
    <w:rsid w:val="002F1441"/>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2F1441"/>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2F1441"/>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2F1441"/>
    <w:pPr>
      <w:spacing w:before="200" w:after="100" w:line="240" w:lineRule="auto"/>
      <w:jc w:val="center"/>
    </w:pPr>
    <w:rPr>
      <w:rFonts w:ascii="Times New Roman" w:eastAsia="Times New Roman" w:hAnsi="Times New Roman" w:cs="Times New Roman"/>
      <w:smallCaps/>
      <w:sz w:val="20"/>
      <w:szCs w:val="20"/>
    </w:rPr>
  </w:style>
  <w:style w:type="paragraph" w:customStyle="1" w:styleId="stars">
    <w:name w:val="stars"/>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2F1441"/>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2F1441"/>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2F1441"/>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2F1441"/>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2F1441"/>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2F1441"/>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2F1441"/>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2F1441"/>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2F1441"/>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2F1441"/>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2F1441"/>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2F1441"/>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2F1441"/>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title">
    <w:name w:val="gpotbl_title"/>
    <w:basedOn w:val="Normal"/>
    <w:rsid w:val="002F1441"/>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2F1441"/>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2F144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character" w:customStyle="1" w:styleId="fpdash">
    <w:name w:val="fpdash"/>
    <w:basedOn w:val="DefaultParagraphFont"/>
    <w:rsid w:val="002F1441"/>
    <w:rPr>
      <w:shd w:val="clear" w:color="auto" w:fill="FFFFFF"/>
    </w:rPr>
  </w:style>
  <w:style w:type="character" w:customStyle="1" w:styleId="pdash">
    <w:name w:val="pdash"/>
    <w:basedOn w:val="DefaultParagraphFont"/>
    <w:rsid w:val="002F1441"/>
    <w:rPr>
      <w:shd w:val="clear" w:color="auto" w:fill="FFFFFF"/>
    </w:rPr>
  </w:style>
  <w:style w:type="character" w:styleId="Emphasis">
    <w:name w:val="Emphasis"/>
    <w:basedOn w:val="DefaultParagraphFont"/>
    <w:uiPriority w:val="20"/>
    <w:qFormat/>
    <w:rsid w:val="002F1441"/>
    <w:rPr>
      <w:i/>
      <w:iCs/>
    </w:rPr>
  </w:style>
  <w:style w:type="paragraph" w:customStyle="1" w:styleId="gpotblnote">
    <w:name w:val="gpotbl_note"/>
    <w:basedOn w:val="Normal"/>
    <w:rsid w:val="002F1441"/>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Strong">
    <w:name w:val="Strong"/>
    <w:basedOn w:val="DefaultParagraphFont"/>
    <w:uiPriority w:val="22"/>
    <w:qFormat/>
    <w:rsid w:val="002F1441"/>
    <w:rPr>
      <w:b/>
      <w:bCs/>
    </w:rPr>
  </w:style>
  <w:style w:type="character" w:customStyle="1" w:styleId="su1">
    <w:name w:val="su1"/>
    <w:basedOn w:val="DefaultParagraphFont"/>
    <w:rsid w:val="002F1441"/>
    <w:rPr>
      <w:smallCaps w:val="0"/>
      <w:sz w:val="17"/>
      <w:szCs w:val="17"/>
      <w:vertAlign w:val="superscript"/>
    </w:rPr>
  </w:style>
  <w:style w:type="paragraph" w:styleId="BalloonText">
    <w:name w:val="Balloon Text"/>
    <w:basedOn w:val="Normal"/>
    <w:link w:val="BalloonTextChar"/>
    <w:uiPriority w:val="99"/>
    <w:semiHidden/>
    <w:unhideWhenUsed/>
    <w:rsid w:val="002F1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110501">
      <w:bodyDiv w:val="1"/>
      <w:marLeft w:val="0"/>
      <w:marRight w:val="0"/>
      <w:marTop w:val="30"/>
      <w:marBottom w:val="750"/>
      <w:divBdr>
        <w:top w:val="none" w:sz="0" w:space="0" w:color="auto"/>
        <w:left w:val="none" w:sz="0" w:space="0" w:color="auto"/>
        <w:bottom w:val="none" w:sz="0" w:space="0" w:color="auto"/>
        <w:right w:val="none" w:sz="0" w:space="0" w:color="auto"/>
      </w:divBdr>
      <w:divsChild>
        <w:div w:id="168913840">
          <w:marLeft w:val="0"/>
          <w:marRight w:val="0"/>
          <w:marTop w:val="0"/>
          <w:marBottom w:val="0"/>
          <w:divBdr>
            <w:top w:val="none" w:sz="0" w:space="0" w:color="auto"/>
            <w:left w:val="none" w:sz="0" w:space="0" w:color="auto"/>
            <w:bottom w:val="none" w:sz="0" w:space="0" w:color="auto"/>
            <w:right w:val="none" w:sz="0" w:space="0" w:color="auto"/>
          </w:divBdr>
          <w:divsChild>
            <w:div w:id="1470854978">
              <w:marLeft w:val="0"/>
              <w:marRight w:val="0"/>
              <w:marTop w:val="0"/>
              <w:marBottom w:val="0"/>
              <w:divBdr>
                <w:top w:val="none" w:sz="0" w:space="0" w:color="auto"/>
                <w:left w:val="none" w:sz="0" w:space="0" w:color="auto"/>
                <w:bottom w:val="none" w:sz="0" w:space="0" w:color="auto"/>
                <w:right w:val="none" w:sz="0" w:space="0" w:color="auto"/>
              </w:divBdr>
            </w:div>
            <w:div w:id="1758860630">
              <w:marLeft w:val="0"/>
              <w:marRight w:val="0"/>
              <w:marTop w:val="0"/>
              <w:marBottom w:val="0"/>
              <w:divBdr>
                <w:top w:val="none" w:sz="0" w:space="0" w:color="auto"/>
                <w:left w:val="none" w:sz="0" w:space="0" w:color="auto"/>
                <w:bottom w:val="none" w:sz="0" w:space="0" w:color="auto"/>
                <w:right w:val="none" w:sz="0" w:space="0" w:color="auto"/>
              </w:divBdr>
              <w:divsChild>
                <w:div w:id="813909467">
                  <w:marLeft w:val="0"/>
                  <w:marRight w:val="0"/>
                  <w:marTop w:val="0"/>
                  <w:marBottom w:val="0"/>
                  <w:divBdr>
                    <w:top w:val="none" w:sz="0" w:space="0" w:color="auto"/>
                    <w:left w:val="none" w:sz="0" w:space="0" w:color="auto"/>
                    <w:bottom w:val="none" w:sz="0" w:space="0" w:color="auto"/>
                    <w:right w:val="none" w:sz="0" w:space="0" w:color="auto"/>
                  </w:divBdr>
                  <w:divsChild>
                    <w:div w:id="1396704841">
                      <w:marLeft w:val="0"/>
                      <w:marRight w:val="0"/>
                      <w:marTop w:val="0"/>
                      <w:marBottom w:val="0"/>
                      <w:divBdr>
                        <w:top w:val="none" w:sz="0" w:space="0" w:color="auto"/>
                        <w:left w:val="none" w:sz="0" w:space="0" w:color="auto"/>
                        <w:bottom w:val="none" w:sz="0" w:space="0" w:color="auto"/>
                        <w:right w:val="none" w:sz="0" w:space="0" w:color="auto"/>
                      </w:divBdr>
                    </w:div>
                    <w:div w:id="1735354966">
                      <w:marLeft w:val="0"/>
                      <w:marRight w:val="0"/>
                      <w:marTop w:val="0"/>
                      <w:marBottom w:val="0"/>
                      <w:divBdr>
                        <w:top w:val="single" w:sz="12" w:space="0" w:color="000000"/>
                        <w:left w:val="single" w:sz="12" w:space="0" w:color="000000"/>
                        <w:bottom w:val="single" w:sz="12" w:space="0" w:color="000000"/>
                        <w:right w:val="single" w:sz="12" w:space="0" w:color="000000"/>
                      </w:divBdr>
                    </w:div>
                    <w:div w:id="104615446">
                      <w:marLeft w:val="0"/>
                      <w:marRight w:val="0"/>
                      <w:marTop w:val="0"/>
                      <w:marBottom w:val="0"/>
                      <w:divBdr>
                        <w:top w:val="none" w:sz="0" w:space="0" w:color="auto"/>
                        <w:left w:val="none" w:sz="0" w:space="0" w:color="auto"/>
                        <w:bottom w:val="none" w:sz="0" w:space="0" w:color="auto"/>
                        <w:right w:val="none" w:sz="0" w:space="0" w:color="auto"/>
                      </w:divBdr>
                    </w:div>
                  </w:divsChild>
                </w:div>
                <w:div w:id="226766897">
                  <w:marLeft w:val="0"/>
                  <w:marRight w:val="0"/>
                  <w:marTop w:val="0"/>
                  <w:marBottom w:val="0"/>
                  <w:divBdr>
                    <w:top w:val="none" w:sz="0" w:space="0" w:color="auto"/>
                    <w:left w:val="none" w:sz="0" w:space="0" w:color="auto"/>
                    <w:bottom w:val="none" w:sz="0" w:space="0" w:color="auto"/>
                    <w:right w:val="none" w:sz="0" w:space="0" w:color="auto"/>
                  </w:divBdr>
                  <w:divsChild>
                    <w:div w:id="2008509412">
                      <w:marLeft w:val="0"/>
                      <w:marRight w:val="0"/>
                      <w:marTop w:val="0"/>
                      <w:marBottom w:val="0"/>
                      <w:divBdr>
                        <w:top w:val="none" w:sz="0" w:space="0" w:color="auto"/>
                        <w:left w:val="none" w:sz="0" w:space="0" w:color="auto"/>
                        <w:bottom w:val="none" w:sz="0" w:space="0" w:color="auto"/>
                        <w:right w:val="none" w:sz="0" w:space="0" w:color="auto"/>
                      </w:divBdr>
                    </w:div>
                    <w:div w:id="1616011889">
                      <w:marLeft w:val="0"/>
                      <w:marRight w:val="0"/>
                      <w:marTop w:val="0"/>
                      <w:marBottom w:val="0"/>
                      <w:divBdr>
                        <w:top w:val="single" w:sz="12" w:space="0" w:color="000000"/>
                        <w:left w:val="single" w:sz="12" w:space="0" w:color="000000"/>
                        <w:bottom w:val="single" w:sz="12" w:space="0" w:color="000000"/>
                        <w:right w:val="single" w:sz="12" w:space="0" w:color="000000"/>
                      </w:divBdr>
                    </w:div>
                    <w:div w:id="480969515">
                      <w:marLeft w:val="0"/>
                      <w:marRight w:val="0"/>
                      <w:marTop w:val="0"/>
                      <w:marBottom w:val="0"/>
                      <w:divBdr>
                        <w:top w:val="none" w:sz="0" w:space="0" w:color="auto"/>
                        <w:left w:val="none" w:sz="0" w:space="0" w:color="auto"/>
                        <w:bottom w:val="none" w:sz="0" w:space="0" w:color="auto"/>
                        <w:right w:val="none" w:sz="0" w:space="0" w:color="auto"/>
                      </w:divBdr>
                    </w:div>
                  </w:divsChild>
                </w:div>
                <w:div w:id="473716398">
                  <w:marLeft w:val="0"/>
                  <w:marRight w:val="0"/>
                  <w:marTop w:val="0"/>
                  <w:marBottom w:val="0"/>
                  <w:divBdr>
                    <w:top w:val="none" w:sz="0" w:space="0" w:color="auto"/>
                    <w:left w:val="none" w:sz="0" w:space="0" w:color="auto"/>
                    <w:bottom w:val="none" w:sz="0" w:space="0" w:color="auto"/>
                    <w:right w:val="none" w:sz="0" w:space="0" w:color="auto"/>
                  </w:divBdr>
                  <w:divsChild>
                    <w:div w:id="1529754705">
                      <w:marLeft w:val="0"/>
                      <w:marRight w:val="0"/>
                      <w:marTop w:val="0"/>
                      <w:marBottom w:val="0"/>
                      <w:divBdr>
                        <w:top w:val="none" w:sz="0" w:space="0" w:color="auto"/>
                        <w:left w:val="none" w:sz="0" w:space="0" w:color="auto"/>
                        <w:bottom w:val="none" w:sz="0" w:space="0" w:color="auto"/>
                        <w:right w:val="none" w:sz="0" w:space="0" w:color="auto"/>
                      </w:divBdr>
                    </w:div>
                    <w:div w:id="35569174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0925393">
                  <w:marLeft w:val="0"/>
                  <w:marRight w:val="0"/>
                  <w:marTop w:val="0"/>
                  <w:marBottom w:val="0"/>
                  <w:divBdr>
                    <w:top w:val="none" w:sz="0" w:space="0" w:color="auto"/>
                    <w:left w:val="none" w:sz="0" w:space="0" w:color="auto"/>
                    <w:bottom w:val="none" w:sz="0" w:space="0" w:color="auto"/>
                    <w:right w:val="none" w:sz="0" w:space="0" w:color="auto"/>
                  </w:divBdr>
                  <w:divsChild>
                    <w:div w:id="1829441561">
                      <w:marLeft w:val="0"/>
                      <w:marRight w:val="0"/>
                      <w:marTop w:val="0"/>
                      <w:marBottom w:val="0"/>
                      <w:divBdr>
                        <w:top w:val="none" w:sz="0" w:space="0" w:color="auto"/>
                        <w:left w:val="none" w:sz="0" w:space="0" w:color="auto"/>
                        <w:bottom w:val="none" w:sz="0" w:space="0" w:color="auto"/>
                        <w:right w:val="none" w:sz="0" w:space="0" w:color="auto"/>
                      </w:divBdr>
                    </w:div>
                    <w:div w:id="3194285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26463979">
                  <w:marLeft w:val="0"/>
                  <w:marRight w:val="0"/>
                  <w:marTop w:val="0"/>
                  <w:marBottom w:val="0"/>
                  <w:divBdr>
                    <w:top w:val="none" w:sz="0" w:space="0" w:color="auto"/>
                    <w:left w:val="none" w:sz="0" w:space="0" w:color="auto"/>
                    <w:bottom w:val="none" w:sz="0" w:space="0" w:color="auto"/>
                    <w:right w:val="none" w:sz="0" w:space="0" w:color="auto"/>
                  </w:divBdr>
                  <w:divsChild>
                    <w:div w:id="1555462811">
                      <w:marLeft w:val="0"/>
                      <w:marRight w:val="0"/>
                      <w:marTop w:val="0"/>
                      <w:marBottom w:val="0"/>
                      <w:divBdr>
                        <w:top w:val="none" w:sz="0" w:space="0" w:color="auto"/>
                        <w:left w:val="none" w:sz="0" w:space="0" w:color="auto"/>
                        <w:bottom w:val="none" w:sz="0" w:space="0" w:color="auto"/>
                        <w:right w:val="none" w:sz="0" w:space="0" w:color="auto"/>
                      </w:divBdr>
                    </w:div>
                    <w:div w:id="174799082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63625218">
                  <w:marLeft w:val="0"/>
                  <w:marRight w:val="0"/>
                  <w:marTop w:val="0"/>
                  <w:marBottom w:val="0"/>
                  <w:divBdr>
                    <w:top w:val="none" w:sz="0" w:space="0" w:color="auto"/>
                    <w:left w:val="none" w:sz="0" w:space="0" w:color="auto"/>
                    <w:bottom w:val="none" w:sz="0" w:space="0" w:color="auto"/>
                    <w:right w:val="none" w:sz="0" w:space="0" w:color="auto"/>
                  </w:divBdr>
                  <w:divsChild>
                    <w:div w:id="9718335">
                      <w:marLeft w:val="0"/>
                      <w:marRight w:val="0"/>
                      <w:marTop w:val="0"/>
                      <w:marBottom w:val="0"/>
                      <w:divBdr>
                        <w:top w:val="none" w:sz="0" w:space="0" w:color="auto"/>
                        <w:left w:val="none" w:sz="0" w:space="0" w:color="auto"/>
                        <w:bottom w:val="none" w:sz="0" w:space="0" w:color="auto"/>
                        <w:right w:val="none" w:sz="0" w:space="0" w:color="auto"/>
                      </w:divBdr>
                    </w:div>
                    <w:div w:id="178811639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94281347">
                  <w:marLeft w:val="0"/>
                  <w:marRight w:val="0"/>
                  <w:marTop w:val="0"/>
                  <w:marBottom w:val="0"/>
                  <w:divBdr>
                    <w:top w:val="none" w:sz="0" w:space="0" w:color="auto"/>
                    <w:left w:val="none" w:sz="0" w:space="0" w:color="auto"/>
                    <w:bottom w:val="none" w:sz="0" w:space="0" w:color="auto"/>
                    <w:right w:val="none" w:sz="0" w:space="0" w:color="auto"/>
                  </w:divBdr>
                  <w:divsChild>
                    <w:div w:id="1800683111">
                      <w:marLeft w:val="0"/>
                      <w:marRight w:val="0"/>
                      <w:marTop w:val="0"/>
                      <w:marBottom w:val="0"/>
                      <w:divBdr>
                        <w:top w:val="none" w:sz="0" w:space="0" w:color="auto"/>
                        <w:left w:val="none" w:sz="0" w:space="0" w:color="auto"/>
                        <w:bottom w:val="none" w:sz="0" w:space="0" w:color="auto"/>
                        <w:right w:val="none" w:sz="0" w:space="0" w:color="auto"/>
                      </w:divBdr>
                    </w:div>
                    <w:div w:id="48994829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75001876">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 w:id="214087910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47972262">
                  <w:marLeft w:val="0"/>
                  <w:marRight w:val="0"/>
                  <w:marTop w:val="0"/>
                  <w:marBottom w:val="0"/>
                  <w:divBdr>
                    <w:top w:val="none" w:sz="0" w:space="0" w:color="auto"/>
                    <w:left w:val="none" w:sz="0" w:space="0" w:color="auto"/>
                    <w:bottom w:val="none" w:sz="0" w:space="0" w:color="auto"/>
                    <w:right w:val="none" w:sz="0" w:space="0" w:color="auto"/>
                  </w:divBdr>
                  <w:divsChild>
                    <w:div w:id="913390208">
                      <w:marLeft w:val="0"/>
                      <w:marRight w:val="0"/>
                      <w:marTop w:val="0"/>
                      <w:marBottom w:val="0"/>
                      <w:divBdr>
                        <w:top w:val="none" w:sz="0" w:space="0" w:color="auto"/>
                        <w:left w:val="none" w:sz="0" w:space="0" w:color="auto"/>
                        <w:bottom w:val="none" w:sz="0" w:space="0" w:color="auto"/>
                        <w:right w:val="none" w:sz="0" w:space="0" w:color="auto"/>
                      </w:divBdr>
                    </w:div>
                    <w:div w:id="603922009">
                      <w:marLeft w:val="0"/>
                      <w:marRight w:val="0"/>
                      <w:marTop w:val="0"/>
                      <w:marBottom w:val="0"/>
                      <w:divBdr>
                        <w:top w:val="single" w:sz="12" w:space="0" w:color="000000"/>
                        <w:left w:val="single" w:sz="12" w:space="0" w:color="000000"/>
                        <w:bottom w:val="single" w:sz="12" w:space="0" w:color="000000"/>
                        <w:right w:val="single" w:sz="12" w:space="0" w:color="000000"/>
                      </w:divBdr>
                    </w:div>
                    <w:div w:id="1151363162">
                      <w:marLeft w:val="0"/>
                      <w:marRight w:val="0"/>
                      <w:marTop w:val="0"/>
                      <w:marBottom w:val="0"/>
                      <w:divBdr>
                        <w:top w:val="none" w:sz="0" w:space="0" w:color="auto"/>
                        <w:left w:val="none" w:sz="0" w:space="0" w:color="auto"/>
                        <w:bottom w:val="none" w:sz="0" w:space="0" w:color="auto"/>
                        <w:right w:val="none" w:sz="0" w:space="0" w:color="auto"/>
                      </w:divBdr>
                    </w:div>
                  </w:divsChild>
                </w:div>
                <w:div w:id="439421062">
                  <w:marLeft w:val="0"/>
                  <w:marRight w:val="0"/>
                  <w:marTop w:val="0"/>
                  <w:marBottom w:val="0"/>
                  <w:divBdr>
                    <w:top w:val="none" w:sz="0" w:space="0" w:color="auto"/>
                    <w:left w:val="none" w:sz="0" w:space="0" w:color="auto"/>
                    <w:bottom w:val="none" w:sz="0" w:space="0" w:color="auto"/>
                    <w:right w:val="none" w:sz="0" w:space="0" w:color="auto"/>
                  </w:divBdr>
                  <w:divsChild>
                    <w:div w:id="1923761731">
                      <w:marLeft w:val="0"/>
                      <w:marRight w:val="0"/>
                      <w:marTop w:val="0"/>
                      <w:marBottom w:val="0"/>
                      <w:divBdr>
                        <w:top w:val="none" w:sz="0" w:space="0" w:color="auto"/>
                        <w:left w:val="none" w:sz="0" w:space="0" w:color="auto"/>
                        <w:bottom w:val="none" w:sz="0" w:space="0" w:color="auto"/>
                        <w:right w:val="none" w:sz="0" w:space="0" w:color="auto"/>
                      </w:divBdr>
                    </w:div>
                    <w:div w:id="147757599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77882755">
                  <w:marLeft w:val="0"/>
                  <w:marRight w:val="0"/>
                  <w:marTop w:val="0"/>
                  <w:marBottom w:val="0"/>
                  <w:divBdr>
                    <w:top w:val="none" w:sz="0" w:space="0" w:color="auto"/>
                    <w:left w:val="none" w:sz="0" w:space="0" w:color="auto"/>
                    <w:bottom w:val="none" w:sz="0" w:space="0" w:color="auto"/>
                    <w:right w:val="none" w:sz="0" w:space="0" w:color="auto"/>
                  </w:divBdr>
                  <w:divsChild>
                    <w:div w:id="400953780">
                      <w:marLeft w:val="0"/>
                      <w:marRight w:val="0"/>
                      <w:marTop w:val="0"/>
                      <w:marBottom w:val="0"/>
                      <w:divBdr>
                        <w:top w:val="none" w:sz="0" w:space="0" w:color="auto"/>
                        <w:left w:val="none" w:sz="0" w:space="0" w:color="auto"/>
                        <w:bottom w:val="none" w:sz="0" w:space="0" w:color="auto"/>
                        <w:right w:val="none" w:sz="0" w:space="0" w:color="auto"/>
                      </w:divBdr>
                    </w:div>
                    <w:div w:id="51728084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180689">
                  <w:marLeft w:val="0"/>
                  <w:marRight w:val="0"/>
                  <w:marTop w:val="0"/>
                  <w:marBottom w:val="0"/>
                  <w:divBdr>
                    <w:top w:val="none" w:sz="0" w:space="0" w:color="auto"/>
                    <w:left w:val="none" w:sz="0" w:space="0" w:color="auto"/>
                    <w:bottom w:val="none" w:sz="0" w:space="0" w:color="auto"/>
                    <w:right w:val="none" w:sz="0" w:space="0" w:color="auto"/>
                  </w:divBdr>
                </w:div>
                <w:div w:id="778257136">
                  <w:marLeft w:val="0"/>
                  <w:marRight w:val="0"/>
                  <w:marTop w:val="0"/>
                  <w:marBottom w:val="0"/>
                  <w:divBdr>
                    <w:top w:val="none" w:sz="0" w:space="0" w:color="auto"/>
                    <w:left w:val="none" w:sz="0" w:space="0" w:color="auto"/>
                    <w:bottom w:val="none" w:sz="0" w:space="0" w:color="auto"/>
                    <w:right w:val="none" w:sz="0" w:space="0" w:color="auto"/>
                  </w:divBdr>
                </w:div>
                <w:div w:id="206526984">
                  <w:marLeft w:val="0"/>
                  <w:marRight w:val="0"/>
                  <w:marTop w:val="0"/>
                  <w:marBottom w:val="0"/>
                  <w:divBdr>
                    <w:top w:val="none" w:sz="0" w:space="0" w:color="auto"/>
                    <w:left w:val="none" w:sz="0" w:space="0" w:color="auto"/>
                    <w:bottom w:val="none" w:sz="0" w:space="0" w:color="auto"/>
                    <w:right w:val="none" w:sz="0" w:space="0" w:color="auto"/>
                  </w:divBdr>
                </w:div>
                <w:div w:id="1127433299">
                  <w:marLeft w:val="0"/>
                  <w:marRight w:val="0"/>
                  <w:marTop w:val="0"/>
                  <w:marBottom w:val="0"/>
                  <w:divBdr>
                    <w:top w:val="none" w:sz="0" w:space="0" w:color="auto"/>
                    <w:left w:val="none" w:sz="0" w:space="0" w:color="auto"/>
                    <w:bottom w:val="none" w:sz="0" w:space="0" w:color="auto"/>
                    <w:right w:val="none" w:sz="0" w:space="0" w:color="auto"/>
                  </w:divBdr>
                  <w:divsChild>
                    <w:div w:id="155267684">
                      <w:marLeft w:val="0"/>
                      <w:marRight w:val="0"/>
                      <w:marTop w:val="0"/>
                      <w:marBottom w:val="0"/>
                      <w:divBdr>
                        <w:top w:val="none" w:sz="0" w:space="0" w:color="auto"/>
                        <w:left w:val="none" w:sz="0" w:space="0" w:color="auto"/>
                        <w:bottom w:val="none" w:sz="0" w:space="0" w:color="auto"/>
                        <w:right w:val="none" w:sz="0" w:space="0" w:color="auto"/>
                      </w:divBdr>
                    </w:div>
                    <w:div w:id="139462288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6109347">
                  <w:marLeft w:val="0"/>
                  <w:marRight w:val="0"/>
                  <w:marTop w:val="0"/>
                  <w:marBottom w:val="0"/>
                  <w:divBdr>
                    <w:top w:val="none" w:sz="0" w:space="0" w:color="auto"/>
                    <w:left w:val="none" w:sz="0" w:space="0" w:color="auto"/>
                    <w:bottom w:val="none" w:sz="0" w:space="0" w:color="auto"/>
                    <w:right w:val="none" w:sz="0" w:space="0" w:color="auto"/>
                  </w:divBdr>
                </w:div>
                <w:div w:id="668758022">
                  <w:marLeft w:val="0"/>
                  <w:marRight w:val="0"/>
                  <w:marTop w:val="0"/>
                  <w:marBottom w:val="0"/>
                  <w:divBdr>
                    <w:top w:val="none" w:sz="0" w:space="0" w:color="auto"/>
                    <w:left w:val="none" w:sz="0" w:space="0" w:color="auto"/>
                    <w:bottom w:val="none" w:sz="0" w:space="0" w:color="auto"/>
                    <w:right w:val="none" w:sz="0" w:space="0" w:color="auto"/>
                  </w:divBdr>
                  <w:divsChild>
                    <w:div w:id="1692411236">
                      <w:marLeft w:val="0"/>
                      <w:marRight w:val="0"/>
                      <w:marTop w:val="0"/>
                      <w:marBottom w:val="0"/>
                      <w:divBdr>
                        <w:top w:val="none" w:sz="0" w:space="0" w:color="auto"/>
                        <w:left w:val="none" w:sz="0" w:space="0" w:color="auto"/>
                        <w:bottom w:val="none" w:sz="0" w:space="0" w:color="auto"/>
                        <w:right w:val="none" w:sz="0" w:space="0" w:color="auto"/>
                      </w:divBdr>
                    </w:div>
                    <w:div w:id="1633633194">
                      <w:marLeft w:val="0"/>
                      <w:marRight w:val="0"/>
                      <w:marTop w:val="0"/>
                      <w:marBottom w:val="0"/>
                      <w:divBdr>
                        <w:top w:val="single" w:sz="12" w:space="0" w:color="000000"/>
                        <w:left w:val="single" w:sz="12" w:space="0" w:color="000000"/>
                        <w:bottom w:val="single" w:sz="12" w:space="0" w:color="000000"/>
                        <w:right w:val="single" w:sz="12" w:space="0" w:color="000000"/>
                      </w:divBdr>
                    </w:div>
                    <w:div w:id="1837768674">
                      <w:marLeft w:val="0"/>
                      <w:marRight w:val="0"/>
                      <w:marTop w:val="0"/>
                      <w:marBottom w:val="0"/>
                      <w:divBdr>
                        <w:top w:val="none" w:sz="0" w:space="0" w:color="auto"/>
                        <w:left w:val="none" w:sz="0" w:space="0" w:color="auto"/>
                        <w:bottom w:val="none" w:sz="0" w:space="0" w:color="auto"/>
                        <w:right w:val="none" w:sz="0" w:space="0" w:color="auto"/>
                      </w:divBdr>
                    </w:div>
                  </w:divsChild>
                </w:div>
                <w:div w:id="1759910534">
                  <w:marLeft w:val="0"/>
                  <w:marRight w:val="0"/>
                  <w:marTop w:val="0"/>
                  <w:marBottom w:val="0"/>
                  <w:divBdr>
                    <w:top w:val="none" w:sz="0" w:space="0" w:color="auto"/>
                    <w:left w:val="none" w:sz="0" w:space="0" w:color="auto"/>
                    <w:bottom w:val="none" w:sz="0" w:space="0" w:color="auto"/>
                    <w:right w:val="none" w:sz="0" w:space="0" w:color="auto"/>
                  </w:divBdr>
                  <w:divsChild>
                    <w:div w:id="765854513">
                      <w:marLeft w:val="0"/>
                      <w:marRight w:val="0"/>
                      <w:marTop w:val="0"/>
                      <w:marBottom w:val="0"/>
                      <w:divBdr>
                        <w:top w:val="none" w:sz="0" w:space="0" w:color="auto"/>
                        <w:left w:val="none" w:sz="0" w:space="0" w:color="auto"/>
                        <w:bottom w:val="none" w:sz="0" w:space="0" w:color="auto"/>
                        <w:right w:val="none" w:sz="0" w:space="0" w:color="auto"/>
                      </w:divBdr>
                    </w:div>
                    <w:div w:id="993876928">
                      <w:marLeft w:val="0"/>
                      <w:marRight w:val="0"/>
                      <w:marTop w:val="0"/>
                      <w:marBottom w:val="0"/>
                      <w:divBdr>
                        <w:top w:val="single" w:sz="12" w:space="0" w:color="000000"/>
                        <w:left w:val="single" w:sz="12" w:space="0" w:color="000000"/>
                        <w:bottom w:val="single" w:sz="12" w:space="0" w:color="000000"/>
                        <w:right w:val="single" w:sz="12" w:space="0" w:color="000000"/>
                      </w:divBdr>
                    </w:div>
                    <w:div w:id="2069451474">
                      <w:marLeft w:val="0"/>
                      <w:marRight w:val="0"/>
                      <w:marTop w:val="0"/>
                      <w:marBottom w:val="0"/>
                      <w:divBdr>
                        <w:top w:val="none" w:sz="0" w:space="0" w:color="auto"/>
                        <w:left w:val="none" w:sz="0" w:space="0" w:color="auto"/>
                        <w:bottom w:val="none" w:sz="0" w:space="0" w:color="auto"/>
                        <w:right w:val="none" w:sz="0" w:space="0" w:color="auto"/>
                      </w:divBdr>
                    </w:div>
                  </w:divsChild>
                </w:div>
                <w:div w:id="1270352147">
                  <w:marLeft w:val="0"/>
                  <w:marRight w:val="0"/>
                  <w:marTop w:val="0"/>
                  <w:marBottom w:val="0"/>
                  <w:divBdr>
                    <w:top w:val="none" w:sz="0" w:space="0" w:color="auto"/>
                    <w:left w:val="none" w:sz="0" w:space="0" w:color="auto"/>
                    <w:bottom w:val="none" w:sz="0" w:space="0" w:color="auto"/>
                    <w:right w:val="none" w:sz="0" w:space="0" w:color="auto"/>
                  </w:divBdr>
                  <w:divsChild>
                    <w:div w:id="94179699">
                      <w:marLeft w:val="0"/>
                      <w:marRight w:val="0"/>
                      <w:marTop w:val="0"/>
                      <w:marBottom w:val="0"/>
                      <w:divBdr>
                        <w:top w:val="none" w:sz="0" w:space="0" w:color="auto"/>
                        <w:left w:val="none" w:sz="0" w:space="0" w:color="auto"/>
                        <w:bottom w:val="none" w:sz="0" w:space="0" w:color="auto"/>
                        <w:right w:val="none" w:sz="0" w:space="0" w:color="auto"/>
                      </w:divBdr>
                    </w:div>
                    <w:div w:id="20643250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00705278">
                  <w:marLeft w:val="0"/>
                  <w:marRight w:val="0"/>
                  <w:marTop w:val="0"/>
                  <w:marBottom w:val="0"/>
                  <w:divBdr>
                    <w:top w:val="none" w:sz="0" w:space="0" w:color="auto"/>
                    <w:left w:val="none" w:sz="0" w:space="0" w:color="auto"/>
                    <w:bottom w:val="none" w:sz="0" w:space="0" w:color="auto"/>
                    <w:right w:val="none" w:sz="0" w:space="0" w:color="auto"/>
                  </w:divBdr>
                  <w:divsChild>
                    <w:div w:id="616527707">
                      <w:marLeft w:val="0"/>
                      <w:marRight w:val="0"/>
                      <w:marTop w:val="0"/>
                      <w:marBottom w:val="0"/>
                      <w:divBdr>
                        <w:top w:val="none" w:sz="0" w:space="0" w:color="auto"/>
                        <w:left w:val="none" w:sz="0" w:space="0" w:color="auto"/>
                        <w:bottom w:val="none" w:sz="0" w:space="0" w:color="auto"/>
                        <w:right w:val="none" w:sz="0" w:space="0" w:color="auto"/>
                      </w:divBdr>
                    </w:div>
                    <w:div w:id="77975814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30516811">
                  <w:marLeft w:val="0"/>
                  <w:marRight w:val="0"/>
                  <w:marTop w:val="0"/>
                  <w:marBottom w:val="0"/>
                  <w:divBdr>
                    <w:top w:val="none" w:sz="0" w:space="0" w:color="auto"/>
                    <w:left w:val="none" w:sz="0" w:space="0" w:color="auto"/>
                    <w:bottom w:val="none" w:sz="0" w:space="0" w:color="auto"/>
                    <w:right w:val="none" w:sz="0" w:space="0" w:color="auto"/>
                  </w:divBdr>
                </w:div>
                <w:div w:id="1600213678">
                  <w:marLeft w:val="0"/>
                  <w:marRight w:val="0"/>
                  <w:marTop w:val="0"/>
                  <w:marBottom w:val="0"/>
                  <w:divBdr>
                    <w:top w:val="none" w:sz="0" w:space="0" w:color="auto"/>
                    <w:left w:val="none" w:sz="0" w:space="0" w:color="auto"/>
                    <w:bottom w:val="none" w:sz="0" w:space="0" w:color="auto"/>
                    <w:right w:val="none" w:sz="0" w:space="0" w:color="auto"/>
                  </w:divBdr>
                  <w:divsChild>
                    <w:div w:id="966814890">
                      <w:marLeft w:val="0"/>
                      <w:marRight w:val="0"/>
                      <w:marTop w:val="0"/>
                      <w:marBottom w:val="0"/>
                      <w:divBdr>
                        <w:top w:val="none" w:sz="0" w:space="0" w:color="auto"/>
                        <w:left w:val="none" w:sz="0" w:space="0" w:color="auto"/>
                        <w:bottom w:val="none" w:sz="0" w:space="0" w:color="auto"/>
                        <w:right w:val="none" w:sz="0" w:space="0" w:color="auto"/>
                      </w:divBdr>
                    </w:div>
                    <w:div w:id="1510486672">
                      <w:marLeft w:val="0"/>
                      <w:marRight w:val="0"/>
                      <w:marTop w:val="0"/>
                      <w:marBottom w:val="0"/>
                      <w:divBdr>
                        <w:top w:val="single" w:sz="12" w:space="0" w:color="000000"/>
                        <w:left w:val="single" w:sz="12" w:space="0" w:color="000000"/>
                        <w:bottom w:val="single" w:sz="12" w:space="0" w:color="000000"/>
                        <w:right w:val="single" w:sz="12" w:space="0" w:color="000000"/>
                      </w:divBdr>
                    </w:div>
                    <w:div w:id="1523933143">
                      <w:marLeft w:val="0"/>
                      <w:marRight w:val="0"/>
                      <w:marTop w:val="0"/>
                      <w:marBottom w:val="0"/>
                      <w:divBdr>
                        <w:top w:val="none" w:sz="0" w:space="0" w:color="auto"/>
                        <w:left w:val="none" w:sz="0" w:space="0" w:color="auto"/>
                        <w:bottom w:val="none" w:sz="0" w:space="0" w:color="auto"/>
                        <w:right w:val="none" w:sz="0" w:space="0" w:color="auto"/>
                      </w:divBdr>
                    </w:div>
                  </w:divsChild>
                </w:div>
                <w:div w:id="1831478760">
                  <w:marLeft w:val="0"/>
                  <w:marRight w:val="0"/>
                  <w:marTop w:val="0"/>
                  <w:marBottom w:val="0"/>
                  <w:divBdr>
                    <w:top w:val="none" w:sz="0" w:space="0" w:color="auto"/>
                    <w:left w:val="none" w:sz="0" w:space="0" w:color="auto"/>
                    <w:bottom w:val="none" w:sz="0" w:space="0" w:color="auto"/>
                    <w:right w:val="none" w:sz="0" w:space="0" w:color="auto"/>
                  </w:divBdr>
                </w:div>
                <w:div w:id="21440181">
                  <w:marLeft w:val="0"/>
                  <w:marRight w:val="0"/>
                  <w:marTop w:val="0"/>
                  <w:marBottom w:val="0"/>
                  <w:divBdr>
                    <w:top w:val="none" w:sz="0" w:space="0" w:color="auto"/>
                    <w:left w:val="none" w:sz="0" w:space="0" w:color="auto"/>
                    <w:bottom w:val="none" w:sz="0" w:space="0" w:color="auto"/>
                    <w:right w:val="none" w:sz="0" w:space="0" w:color="auto"/>
                  </w:divBdr>
                  <w:divsChild>
                    <w:div w:id="899830535">
                      <w:marLeft w:val="0"/>
                      <w:marRight w:val="0"/>
                      <w:marTop w:val="0"/>
                      <w:marBottom w:val="0"/>
                      <w:divBdr>
                        <w:top w:val="none" w:sz="0" w:space="0" w:color="auto"/>
                        <w:left w:val="none" w:sz="0" w:space="0" w:color="auto"/>
                        <w:bottom w:val="none" w:sz="0" w:space="0" w:color="auto"/>
                        <w:right w:val="none" w:sz="0" w:space="0" w:color="auto"/>
                      </w:divBdr>
                    </w:div>
                    <w:div w:id="211663281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19890094">
                  <w:marLeft w:val="0"/>
                  <w:marRight w:val="0"/>
                  <w:marTop w:val="0"/>
                  <w:marBottom w:val="0"/>
                  <w:divBdr>
                    <w:top w:val="none" w:sz="0" w:space="0" w:color="auto"/>
                    <w:left w:val="none" w:sz="0" w:space="0" w:color="auto"/>
                    <w:bottom w:val="none" w:sz="0" w:space="0" w:color="auto"/>
                    <w:right w:val="none" w:sz="0" w:space="0" w:color="auto"/>
                  </w:divBdr>
                </w:div>
                <w:div w:id="2125155602">
                  <w:marLeft w:val="0"/>
                  <w:marRight w:val="0"/>
                  <w:marTop w:val="0"/>
                  <w:marBottom w:val="0"/>
                  <w:divBdr>
                    <w:top w:val="none" w:sz="0" w:space="0" w:color="auto"/>
                    <w:left w:val="none" w:sz="0" w:space="0" w:color="auto"/>
                    <w:bottom w:val="none" w:sz="0" w:space="0" w:color="auto"/>
                    <w:right w:val="none" w:sz="0" w:space="0" w:color="auto"/>
                  </w:divBdr>
                  <w:divsChild>
                    <w:div w:id="169416015">
                      <w:marLeft w:val="0"/>
                      <w:marRight w:val="0"/>
                      <w:marTop w:val="0"/>
                      <w:marBottom w:val="0"/>
                      <w:divBdr>
                        <w:top w:val="none" w:sz="0" w:space="0" w:color="auto"/>
                        <w:left w:val="none" w:sz="0" w:space="0" w:color="auto"/>
                        <w:bottom w:val="none" w:sz="0" w:space="0" w:color="auto"/>
                        <w:right w:val="none" w:sz="0" w:space="0" w:color="auto"/>
                      </w:divBdr>
                    </w:div>
                    <w:div w:id="1687441557">
                      <w:marLeft w:val="0"/>
                      <w:marRight w:val="0"/>
                      <w:marTop w:val="0"/>
                      <w:marBottom w:val="0"/>
                      <w:divBdr>
                        <w:top w:val="single" w:sz="12" w:space="0" w:color="000000"/>
                        <w:left w:val="single" w:sz="12" w:space="0" w:color="000000"/>
                        <w:bottom w:val="single" w:sz="12" w:space="0" w:color="000000"/>
                        <w:right w:val="single" w:sz="12" w:space="0" w:color="000000"/>
                      </w:divBdr>
                    </w:div>
                    <w:div w:id="1920140725">
                      <w:marLeft w:val="0"/>
                      <w:marRight w:val="0"/>
                      <w:marTop w:val="0"/>
                      <w:marBottom w:val="0"/>
                      <w:divBdr>
                        <w:top w:val="none" w:sz="0" w:space="0" w:color="auto"/>
                        <w:left w:val="none" w:sz="0" w:space="0" w:color="auto"/>
                        <w:bottom w:val="none" w:sz="0" w:space="0" w:color="auto"/>
                        <w:right w:val="none" w:sz="0" w:space="0" w:color="auto"/>
                      </w:divBdr>
                    </w:div>
                  </w:divsChild>
                </w:div>
                <w:div w:id="1486970174">
                  <w:marLeft w:val="0"/>
                  <w:marRight w:val="0"/>
                  <w:marTop w:val="0"/>
                  <w:marBottom w:val="0"/>
                  <w:divBdr>
                    <w:top w:val="none" w:sz="0" w:space="0" w:color="auto"/>
                    <w:left w:val="none" w:sz="0" w:space="0" w:color="auto"/>
                    <w:bottom w:val="none" w:sz="0" w:space="0" w:color="auto"/>
                    <w:right w:val="none" w:sz="0" w:space="0" w:color="auto"/>
                  </w:divBdr>
                </w:div>
                <w:div w:id="251622190">
                  <w:marLeft w:val="0"/>
                  <w:marRight w:val="0"/>
                  <w:marTop w:val="0"/>
                  <w:marBottom w:val="0"/>
                  <w:divBdr>
                    <w:top w:val="none" w:sz="0" w:space="0" w:color="auto"/>
                    <w:left w:val="none" w:sz="0" w:space="0" w:color="auto"/>
                    <w:bottom w:val="none" w:sz="0" w:space="0" w:color="auto"/>
                    <w:right w:val="none" w:sz="0" w:space="0" w:color="auto"/>
                  </w:divBdr>
                  <w:divsChild>
                    <w:div w:id="1161193926">
                      <w:marLeft w:val="0"/>
                      <w:marRight w:val="0"/>
                      <w:marTop w:val="0"/>
                      <w:marBottom w:val="0"/>
                      <w:divBdr>
                        <w:top w:val="none" w:sz="0" w:space="0" w:color="auto"/>
                        <w:left w:val="none" w:sz="0" w:space="0" w:color="auto"/>
                        <w:bottom w:val="none" w:sz="0" w:space="0" w:color="auto"/>
                        <w:right w:val="none" w:sz="0" w:space="0" w:color="auto"/>
                      </w:divBdr>
                    </w:div>
                    <w:div w:id="110916071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2429128">
                  <w:marLeft w:val="0"/>
                  <w:marRight w:val="0"/>
                  <w:marTop w:val="0"/>
                  <w:marBottom w:val="0"/>
                  <w:divBdr>
                    <w:top w:val="none" w:sz="0" w:space="0" w:color="auto"/>
                    <w:left w:val="none" w:sz="0" w:space="0" w:color="auto"/>
                    <w:bottom w:val="none" w:sz="0" w:space="0" w:color="auto"/>
                    <w:right w:val="none" w:sz="0" w:space="0" w:color="auto"/>
                  </w:divBdr>
                  <w:divsChild>
                    <w:div w:id="1460758688">
                      <w:marLeft w:val="0"/>
                      <w:marRight w:val="0"/>
                      <w:marTop w:val="0"/>
                      <w:marBottom w:val="0"/>
                      <w:divBdr>
                        <w:top w:val="none" w:sz="0" w:space="0" w:color="auto"/>
                        <w:left w:val="none" w:sz="0" w:space="0" w:color="auto"/>
                        <w:bottom w:val="none" w:sz="0" w:space="0" w:color="auto"/>
                        <w:right w:val="none" w:sz="0" w:space="0" w:color="auto"/>
                      </w:divBdr>
                    </w:div>
                    <w:div w:id="149556425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4954009">
                  <w:marLeft w:val="0"/>
                  <w:marRight w:val="0"/>
                  <w:marTop w:val="0"/>
                  <w:marBottom w:val="0"/>
                  <w:divBdr>
                    <w:top w:val="none" w:sz="0" w:space="0" w:color="auto"/>
                    <w:left w:val="none" w:sz="0" w:space="0" w:color="auto"/>
                    <w:bottom w:val="none" w:sz="0" w:space="0" w:color="auto"/>
                    <w:right w:val="none" w:sz="0" w:space="0" w:color="auto"/>
                  </w:divBdr>
                </w:div>
                <w:div w:id="764346420">
                  <w:marLeft w:val="0"/>
                  <w:marRight w:val="0"/>
                  <w:marTop w:val="0"/>
                  <w:marBottom w:val="0"/>
                  <w:divBdr>
                    <w:top w:val="none" w:sz="0" w:space="0" w:color="auto"/>
                    <w:left w:val="none" w:sz="0" w:space="0" w:color="auto"/>
                    <w:bottom w:val="none" w:sz="0" w:space="0" w:color="auto"/>
                    <w:right w:val="none" w:sz="0" w:space="0" w:color="auto"/>
                  </w:divBdr>
                  <w:divsChild>
                    <w:div w:id="1697341687">
                      <w:marLeft w:val="0"/>
                      <w:marRight w:val="0"/>
                      <w:marTop w:val="0"/>
                      <w:marBottom w:val="0"/>
                      <w:divBdr>
                        <w:top w:val="none" w:sz="0" w:space="0" w:color="auto"/>
                        <w:left w:val="none" w:sz="0" w:space="0" w:color="auto"/>
                        <w:bottom w:val="none" w:sz="0" w:space="0" w:color="auto"/>
                        <w:right w:val="none" w:sz="0" w:space="0" w:color="auto"/>
                      </w:divBdr>
                    </w:div>
                    <w:div w:id="10383558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43056167">
                  <w:marLeft w:val="0"/>
                  <w:marRight w:val="0"/>
                  <w:marTop w:val="0"/>
                  <w:marBottom w:val="0"/>
                  <w:divBdr>
                    <w:top w:val="none" w:sz="0" w:space="0" w:color="auto"/>
                    <w:left w:val="none" w:sz="0" w:space="0" w:color="auto"/>
                    <w:bottom w:val="none" w:sz="0" w:space="0" w:color="auto"/>
                    <w:right w:val="none" w:sz="0" w:space="0" w:color="auto"/>
                  </w:divBdr>
                  <w:divsChild>
                    <w:div w:id="1676297947">
                      <w:marLeft w:val="0"/>
                      <w:marRight w:val="0"/>
                      <w:marTop w:val="0"/>
                      <w:marBottom w:val="0"/>
                      <w:divBdr>
                        <w:top w:val="none" w:sz="0" w:space="0" w:color="auto"/>
                        <w:left w:val="none" w:sz="0" w:space="0" w:color="auto"/>
                        <w:bottom w:val="none" w:sz="0" w:space="0" w:color="auto"/>
                        <w:right w:val="none" w:sz="0" w:space="0" w:color="auto"/>
                      </w:divBdr>
                    </w:div>
                    <w:div w:id="200272931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46772905">
                  <w:marLeft w:val="0"/>
                  <w:marRight w:val="0"/>
                  <w:marTop w:val="0"/>
                  <w:marBottom w:val="0"/>
                  <w:divBdr>
                    <w:top w:val="none" w:sz="0" w:space="0" w:color="auto"/>
                    <w:left w:val="none" w:sz="0" w:space="0" w:color="auto"/>
                    <w:bottom w:val="none" w:sz="0" w:space="0" w:color="auto"/>
                    <w:right w:val="none" w:sz="0" w:space="0" w:color="auto"/>
                  </w:divBdr>
                  <w:divsChild>
                    <w:div w:id="2131972511">
                      <w:marLeft w:val="0"/>
                      <w:marRight w:val="0"/>
                      <w:marTop w:val="0"/>
                      <w:marBottom w:val="0"/>
                      <w:divBdr>
                        <w:top w:val="none" w:sz="0" w:space="0" w:color="auto"/>
                        <w:left w:val="none" w:sz="0" w:space="0" w:color="auto"/>
                        <w:bottom w:val="none" w:sz="0" w:space="0" w:color="auto"/>
                        <w:right w:val="none" w:sz="0" w:space="0" w:color="auto"/>
                      </w:divBdr>
                    </w:div>
                    <w:div w:id="20215469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0151566">
                  <w:marLeft w:val="0"/>
                  <w:marRight w:val="0"/>
                  <w:marTop w:val="0"/>
                  <w:marBottom w:val="0"/>
                  <w:divBdr>
                    <w:top w:val="none" w:sz="0" w:space="0" w:color="auto"/>
                    <w:left w:val="none" w:sz="0" w:space="0" w:color="auto"/>
                    <w:bottom w:val="none" w:sz="0" w:space="0" w:color="auto"/>
                    <w:right w:val="none" w:sz="0" w:space="0" w:color="auto"/>
                  </w:divBdr>
                  <w:divsChild>
                    <w:div w:id="1291470932">
                      <w:marLeft w:val="0"/>
                      <w:marRight w:val="0"/>
                      <w:marTop w:val="0"/>
                      <w:marBottom w:val="0"/>
                      <w:divBdr>
                        <w:top w:val="none" w:sz="0" w:space="0" w:color="auto"/>
                        <w:left w:val="none" w:sz="0" w:space="0" w:color="auto"/>
                        <w:bottom w:val="none" w:sz="0" w:space="0" w:color="auto"/>
                        <w:right w:val="none" w:sz="0" w:space="0" w:color="auto"/>
                      </w:divBdr>
                    </w:div>
                    <w:div w:id="221139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73183722">
                  <w:marLeft w:val="0"/>
                  <w:marRight w:val="0"/>
                  <w:marTop w:val="0"/>
                  <w:marBottom w:val="0"/>
                  <w:divBdr>
                    <w:top w:val="none" w:sz="0" w:space="0" w:color="auto"/>
                    <w:left w:val="none" w:sz="0" w:space="0" w:color="auto"/>
                    <w:bottom w:val="none" w:sz="0" w:space="0" w:color="auto"/>
                    <w:right w:val="none" w:sz="0" w:space="0" w:color="auto"/>
                  </w:divBdr>
                  <w:divsChild>
                    <w:div w:id="1275286877">
                      <w:marLeft w:val="0"/>
                      <w:marRight w:val="0"/>
                      <w:marTop w:val="0"/>
                      <w:marBottom w:val="0"/>
                      <w:divBdr>
                        <w:top w:val="none" w:sz="0" w:space="0" w:color="auto"/>
                        <w:left w:val="none" w:sz="0" w:space="0" w:color="auto"/>
                        <w:bottom w:val="none" w:sz="0" w:space="0" w:color="auto"/>
                        <w:right w:val="none" w:sz="0" w:space="0" w:color="auto"/>
                      </w:divBdr>
                    </w:div>
                    <w:div w:id="8312887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37292538">
                  <w:marLeft w:val="0"/>
                  <w:marRight w:val="0"/>
                  <w:marTop w:val="0"/>
                  <w:marBottom w:val="0"/>
                  <w:divBdr>
                    <w:top w:val="none" w:sz="0" w:space="0" w:color="auto"/>
                    <w:left w:val="none" w:sz="0" w:space="0" w:color="auto"/>
                    <w:bottom w:val="none" w:sz="0" w:space="0" w:color="auto"/>
                    <w:right w:val="none" w:sz="0" w:space="0" w:color="auto"/>
                  </w:divBdr>
                  <w:divsChild>
                    <w:div w:id="1910649951">
                      <w:marLeft w:val="0"/>
                      <w:marRight w:val="0"/>
                      <w:marTop w:val="0"/>
                      <w:marBottom w:val="0"/>
                      <w:divBdr>
                        <w:top w:val="none" w:sz="0" w:space="0" w:color="auto"/>
                        <w:left w:val="none" w:sz="0" w:space="0" w:color="auto"/>
                        <w:bottom w:val="none" w:sz="0" w:space="0" w:color="auto"/>
                        <w:right w:val="none" w:sz="0" w:space="0" w:color="auto"/>
                      </w:divBdr>
                    </w:div>
                    <w:div w:id="18887595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1702531">
                  <w:marLeft w:val="0"/>
                  <w:marRight w:val="0"/>
                  <w:marTop w:val="0"/>
                  <w:marBottom w:val="0"/>
                  <w:divBdr>
                    <w:top w:val="none" w:sz="0" w:space="0" w:color="auto"/>
                    <w:left w:val="none" w:sz="0" w:space="0" w:color="auto"/>
                    <w:bottom w:val="none" w:sz="0" w:space="0" w:color="auto"/>
                    <w:right w:val="none" w:sz="0" w:space="0" w:color="auto"/>
                  </w:divBdr>
                  <w:divsChild>
                    <w:div w:id="1932086331">
                      <w:marLeft w:val="0"/>
                      <w:marRight w:val="0"/>
                      <w:marTop w:val="0"/>
                      <w:marBottom w:val="0"/>
                      <w:divBdr>
                        <w:top w:val="none" w:sz="0" w:space="0" w:color="auto"/>
                        <w:left w:val="none" w:sz="0" w:space="0" w:color="auto"/>
                        <w:bottom w:val="none" w:sz="0" w:space="0" w:color="auto"/>
                        <w:right w:val="none" w:sz="0" w:space="0" w:color="auto"/>
                      </w:divBdr>
                    </w:div>
                    <w:div w:id="94496554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26058821">
                  <w:marLeft w:val="0"/>
                  <w:marRight w:val="0"/>
                  <w:marTop w:val="0"/>
                  <w:marBottom w:val="0"/>
                  <w:divBdr>
                    <w:top w:val="none" w:sz="0" w:space="0" w:color="auto"/>
                    <w:left w:val="none" w:sz="0" w:space="0" w:color="auto"/>
                    <w:bottom w:val="none" w:sz="0" w:space="0" w:color="auto"/>
                    <w:right w:val="none" w:sz="0" w:space="0" w:color="auto"/>
                  </w:divBdr>
                  <w:divsChild>
                    <w:div w:id="1820922172">
                      <w:marLeft w:val="0"/>
                      <w:marRight w:val="0"/>
                      <w:marTop w:val="0"/>
                      <w:marBottom w:val="0"/>
                      <w:divBdr>
                        <w:top w:val="none" w:sz="0" w:space="0" w:color="auto"/>
                        <w:left w:val="none" w:sz="0" w:space="0" w:color="auto"/>
                        <w:bottom w:val="none" w:sz="0" w:space="0" w:color="auto"/>
                        <w:right w:val="none" w:sz="0" w:space="0" w:color="auto"/>
                      </w:divBdr>
                    </w:div>
                    <w:div w:id="8308285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01710138">
                  <w:marLeft w:val="0"/>
                  <w:marRight w:val="0"/>
                  <w:marTop w:val="0"/>
                  <w:marBottom w:val="0"/>
                  <w:divBdr>
                    <w:top w:val="none" w:sz="0" w:space="0" w:color="auto"/>
                    <w:left w:val="none" w:sz="0" w:space="0" w:color="auto"/>
                    <w:bottom w:val="none" w:sz="0" w:space="0" w:color="auto"/>
                    <w:right w:val="none" w:sz="0" w:space="0" w:color="auto"/>
                  </w:divBdr>
                  <w:divsChild>
                    <w:div w:id="1872915611">
                      <w:marLeft w:val="0"/>
                      <w:marRight w:val="0"/>
                      <w:marTop w:val="0"/>
                      <w:marBottom w:val="0"/>
                      <w:divBdr>
                        <w:top w:val="none" w:sz="0" w:space="0" w:color="auto"/>
                        <w:left w:val="none" w:sz="0" w:space="0" w:color="auto"/>
                        <w:bottom w:val="none" w:sz="0" w:space="0" w:color="auto"/>
                        <w:right w:val="none" w:sz="0" w:space="0" w:color="auto"/>
                      </w:divBdr>
                    </w:div>
                    <w:div w:id="981620778">
                      <w:marLeft w:val="0"/>
                      <w:marRight w:val="0"/>
                      <w:marTop w:val="0"/>
                      <w:marBottom w:val="0"/>
                      <w:divBdr>
                        <w:top w:val="single" w:sz="12" w:space="0" w:color="000000"/>
                        <w:left w:val="single" w:sz="12" w:space="0" w:color="000000"/>
                        <w:bottom w:val="single" w:sz="12" w:space="0" w:color="000000"/>
                        <w:right w:val="single" w:sz="12" w:space="0" w:color="000000"/>
                      </w:divBdr>
                    </w:div>
                    <w:div w:id="16471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734">
              <w:marLeft w:val="0"/>
              <w:marRight w:val="0"/>
              <w:marTop w:val="0"/>
              <w:marBottom w:val="0"/>
              <w:divBdr>
                <w:top w:val="none" w:sz="0" w:space="0" w:color="auto"/>
                <w:left w:val="none" w:sz="0" w:space="0" w:color="auto"/>
                <w:bottom w:val="none" w:sz="0" w:space="0" w:color="auto"/>
                <w:right w:val="none" w:sz="0" w:space="0" w:color="auto"/>
              </w:divBdr>
              <w:divsChild>
                <w:div w:id="1883903067">
                  <w:marLeft w:val="0"/>
                  <w:marRight w:val="0"/>
                  <w:marTop w:val="0"/>
                  <w:marBottom w:val="0"/>
                  <w:divBdr>
                    <w:top w:val="none" w:sz="0" w:space="0" w:color="auto"/>
                    <w:left w:val="none" w:sz="0" w:space="0" w:color="auto"/>
                    <w:bottom w:val="none" w:sz="0" w:space="0" w:color="auto"/>
                    <w:right w:val="none" w:sz="0" w:space="0" w:color="auto"/>
                  </w:divBdr>
                  <w:divsChild>
                    <w:div w:id="331565281">
                      <w:marLeft w:val="0"/>
                      <w:marRight w:val="0"/>
                      <w:marTop w:val="0"/>
                      <w:marBottom w:val="0"/>
                      <w:divBdr>
                        <w:top w:val="none" w:sz="0" w:space="0" w:color="auto"/>
                        <w:left w:val="none" w:sz="0" w:space="0" w:color="auto"/>
                        <w:bottom w:val="none" w:sz="0" w:space="0" w:color="auto"/>
                        <w:right w:val="none" w:sz="0" w:space="0" w:color="auto"/>
                      </w:divBdr>
                    </w:div>
                    <w:div w:id="6345310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4604122">
                  <w:marLeft w:val="0"/>
                  <w:marRight w:val="0"/>
                  <w:marTop w:val="0"/>
                  <w:marBottom w:val="0"/>
                  <w:divBdr>
                    <w:top w:val="none" w:sz="0" w:space="0" w:color="auto"/>
                    <w:left w:val="none" w:sz="0" w:space="0" w:color="auto"/>
                    <w:bottom w:val="none" w:sz="0" w:space="0" w:color="auto"/>
                    <w:right w:val="none" w:sz="0" w:space="0" w:color="auto"/>
                  </w:divBdr>
                  <w:divsChild>
                    <w:div w:id="21708538">
                      <w:marLeft w:val="0"/>
                      <w:marRight w:val="0"/>
                      <w:marTop w:val="0"/>
                      <w:marBottom w:val="0"/>
                      <w:divBdr>
                        <w:top w:val="none" w:sz="0" w:space="0" w:color="auto"/>
                        <w:left w:val="none" w:sz="0" w:space="0" w:color="auto"/>
                        <w:bottom w:val="none" w:sz="0" w:space="0" w:color="auto"/>
                        <w:right w:val="none" w:sz="0" w:space="0" w:color="auto"/>
                      </w:divBdr>
                    </w:div>
                    <w:div w:id="18642502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01870716">
                  <w:marLeft w:val="0"/>
                  <w:marRight w:val="0"/>
                  <w:marTop w:val="0"/>
                  <w:marBottom w:val="0"/>
                  <w:divBdr>
                    <w:top w:val="none" w:sz="0" w:space="0" w:color="auto"/>
                    <w:left w:val="none" w:sz="0" w:space="0" w:color="auto"/>
                    <w:bottom w:val="none" w:sz="0" w:space="0" w:color="auto"/>
                    <w:right w:val="none" w:sz="0" w:space="0" w:color="auto"/>
                  </w:divBdr>
                  <w:divsChild>
                    <w:div w:id="1919750688">
                      <w:marLeft w:val="0"/>
                      <w:marRight w:val="0"/>
                      <w:marTop w:val="0"/>
                      <w:marBottom w:val="0"/>
                      <w:divBdr>
                        <w:top w:val="none" w:sz="0" w:space="0" w:color="auto"/>
                        <w:left w:val="none" w:sz="0" w:space="0" w:color="auto"/>
                        <w:bottom w:val="none" w:sz="0" w:space="0" w:color="auto"/>
                        <w:right w:val="none" w:sz="0" w:space="0" w:color="auto"/>
                      </w:divBdr>
                    </w:div>
                    <w:div w:id="88795966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93629951">
                  <w:marLeft w:val="0"/>
                  <w:marRight w:val="0"/>
                  <w:marTop w:val="0"/>
                  <w:marBottom w:val="0"/>
                  <w:divBdr>
                    <w:top w:val="none" w:sz="0" w:space="0" w:color="auto"/>
                    <w:left w:val="none" w:sz="0" w:space="0" w:color="auto"/>
                    <w:bottom w:val="none" w:sz="0" w:space="0" w:color="auto"/>
                    <w:right w:val="none" w:sz="0" w:space="0" w:color="auto"/>
                  </w:divBdr>
                  <w:divsChild>
                    <w:div w:id="48963190">
                      <w:marLeft w:val="0"/>
                      <w:marRight w:val="0"/>
                      <w:marTop w:val="0"/>
                      <w:marBottom w:val="0"/>
                      <w:divBdr>
                        <w:top w:val="none" w:sz="0" w:space="0" w:color="auto"/>
                        <w:left w:val="none" w:sz="0" w:space="0" w:color="auto"/>
                        <w:bottom w:val="none" w:sz="0" w:space="0" w:color="auto"/>
                        <w:right w:val="none" w:sz="0" w:space="0" w:color="auto"/>
                      </w:divBdr>
                    </w:div>
                    <w:div w:id="1593128511">
                      <w:marLeft w:val="0"/>
                      <w:marRight w:val="0"/>
                      <w:marTop w:val="0"/>
                      <w:marBottom w:val="0"/>
                      <w:divBdr>
                        <w:top w:val="single" w:sz="12" w:space="0" w:color="000000"/>
                        <w:left w:val="single" w:sz="12" w:space="0" w:color="000000"/>
                        <w:bottom w:val="single" w:sz="12" w:space="0" w:color="000000"/>
                        <w:right w:val="single" w:sz="12" w:space="0" w:color="000000"/>
                      </w:divBdr>
                    </w:div>
                    <w:div w:id="709111895">
                      <w:marLeft w:val="0"/>
                      <w:marRight w:val="0"/>
                      <w:marTop w:val="0"/>
                      <w:marBottom w:val="0"/>
                      <w:divBdr>
                        <w:top w:val="none" w:sz="0" w:space="0" w:color="auto"/>
                        <w:left w:val="none" w:sz="0" w:space="0" w:color="auto"/>
                        <w:bottom w:val="none" w:sz="0" w:space="0" w:color="auto"/>
                        <w:right w:val="none" w:sz="0" w:space="0" w:color="auto"/>
                      </w:divBdr>
                    </w:div>
                  </w:divsChild>
                </w:div>
                <w:div w:id="777943594">
                  <w:marLeft w:val="0"/>
                  <w:marRight w:val="0"/>
                  <w:marTop w:val="0"/>
                  <w:marBottom w:val="0"/>
                  <w:divBdr>
                    <w:top w:val="none" w:sz="0" w:space="0" w:color="auto"/>
                    <w:left w:val="none" w:sz="0" w:space="0" w:color="auto"/>
                    <w:bottom w:val="none" w:sz="0" w:space="0" w:color="auto"/>
                    <w:right w:val="none" w:sz="0" w:space="0" w:color="auto"/>
                  </w:divBdr>
                  <w:divsChild>
                    <w:div w:id="1712924606">
                      <w:marLeft w:val="0"/>
                      <w:marRight w:val="0"/>
                      <w:marTop w:val="0"/>
                      <w:marBottom w:val="0"/>
                      <w:divBdr>
                        <w:top w:val="none" w:sz="0" w:space="0" w:color="auto"/>
                        <w:left w:val="none" w:sz="0" w:space="0" w:color="auto"/>
                        <w:bottom w:val="none" w:sz="0" w:space="0" w:color="auto"/>
                        <w:right w:val="none" w:sz="0" w:space="0" w:color="auto"/>
                      </w:divBdr>
                    </w:div>
                    <w:div w:id="2053366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9719834">
                  <w:marLeft w:val="0"/>
                  <w:marRight w:val="0"/>
                  <w:marTop w:val="0"/>
                  <w:marBottom w:val="0"/>
                  <w:divBdr>
                    <w:top w:val="none" w:sz="0" w:space="0" w:color="auto"/>
                    <w:left w:val="none" w:sz="0" w:space="0" w:color="auto"/>
                    <w:bottom w:val="none" w:sz="0" w:space="0" w:color="auto"/>
                    <w:right w:val="none" w:sz="0" w:space="0" w:color="auto"/>
                  </w:divBdr>
                  <w:divsChild>
                    <w:div w:id="1521435736">
                      <w:marLeft w:val="0"/>
                      <w:marRight w:val="0"/>
                      <w:marTop w:val="0"/>
                      <w:marBottom w:val="0"/>
                      <w:divBdr>
                        <w:top w:val="none" w:sz="0" w:space="0" w:color="auto"/>
                        <w:left w:val="none" w:sz="0" w:space="0" w:color="auto"/>
                        <w:bottom w:val="none" w:sz="0" w:space="0" w:color="auto"/>
                        <w:right w:val="none" w:sz="0" w:space="0" w:color="auto"/>
                      </w:divBdr>
                    </w:div>
                    <w:div w:id="130129988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40710876">
                  <w:marLeft w:val="0"/>
                  <w:marRight w:val="0"/>
                  <w:marTop w:val="0"/>
                  <w:marBottom w:val="0"/>
                  <w:divBdr>
                    <w:top w:val="none" w:sz="0" w:space="0" w:color="auto"/>
                    <w:left w:val="none" w:sz="0" w:space="0" w:color="auto"/>
                    <w:bottom w:val="none" w:sz="0" w:space="0" w:color="auto"/>
                    <w:right w:val="none" w:sz="0" w:space="0" w:color="auto"/>
                  </w:divBdr>
                  <w:divsChild>
                    <w:div w:id="1658532312">
                      <w:marLeft w:val="0"/>
                      <w:marRight w:val="0"/>
                      <w:marTop w:val="0"/>
                      <w:marBottom w:val="0"/>
                      <w:divBdr>
                        <w:top w:val="none" w:sz="0" w:space="0" w:color="auto"/>
                        <w:left w:val="none" w:sz="0" w:space="0" w:color="auto"/>
                        <w:bottom w:val="none" w:sz="0" w:space="0" w:color="auto"/>
                        <w:right w:val="none" w:sz="0" w:space="0" w:color="auto"/>
                      </w:divBdr>
                    </w:div>
                    <w:div w:id="166535307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6541669">
                  <w:marLeft w:val="0"/>
                  <w:marRight w:val="0"/>
                  <w:marTop w:val="0"/>
                  <w:marBottom w:val="0"/>
                  <w:divBdr>
                    <w:top w:val="none" w:sz="0" w:space="0" w:color="auto"/>
                    <w:left w:val="none" w:sz="0" w:space="0" w:color="auto"/>
                    <w:bottom w:val="none" w:sz="0" w:space="0" w:color="auto"/>
                    <w:right w:val="none" w:sz="0" w:space="0" w:color="auto"/>
                  </w:divBdr>
                  <w:divsChild>
                    <w:div w:id="1406029380">
                      <w:marLeft w:val="0"/>
                      <w:marRight w:val="0"/>
                      <w:marTop w:val="0"/>
                      <w:marBottom w:val="0"/>
                      <w:divBdr>
                        <w:top w:val="none" w:sz="0" w:space="0" w:color="auto"/>
                        <w:left w:val="none" w:sz="0" w:space="0" w:color="auto"/>
                        <w:bottom w:val="none" w:sz="0" w:space="0" w:color="auto"/>
                        <w:right w:val="none" w:sz="0" w:space="0" w:color="auto"/>
                      </w:divBdr>
                    </w:div>
                    <w:div w:id="204290087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45329633">
                  <w:marLeft w:val="0"/>
                  <w:marRight w:val="0"/>
                  <w:marTop w:val="0"/>
                  <w:marBottom w:val="0"/>
                  <w:divBdr>
                    <w:top w:val="none" w:sz="0" w:space="0" w:color="auto"/>
                    <w:left w:val="none" w:sz="0" w:space="0" w:color="auto"/>
                    <w:bottom w:val="none" w:sz="0" w:space="0" w:color="auto"/>
                    <w:right w:val="none" w:sz="0" w:space="0" w:color="auto"/>
                  </w:divBdr>
                  <w:divsChild>
                    <w:div w:id="681128325">
                      <w:marLeft w:val="0"/>
                      <w:marRight w:val="0"/>
                      <w:marTop w:val="0"/>
                      <w:marBottom w:val="0"/>
                      <w:divBdr>
                        <w:top w:val="none" w:sz="0" w:space="0" w:color="auto"/>
                        <w:left w:val="none" w:sz="0" w:space="0" w:color="auto"/>
                        <w:bottom w:val="none" w:sz="0" w:space="0" w:color="auto"/>
                        <w:right w:val="none" w:sz="0" w:space="0" w:color="auto"/>
                      </w:divBdr>
                    </w:div>
                    <w:div w:id="124349075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142530844">
                  <w:marLeft w:val="0"/>
                  <w:marRight w:val="0"/>
                  <w:marTop w:val="0"/>
                  <w:marBottom w:val="0"/>
                  <w:divBdr>
                    <w:top w:val="none" w:sz="0" w:space="0" w:color="auto"/>
                    <w:left w:val="none" w:sz="0" w:space="0" w:color="auto"/>
                    <w:bottom w:val="none" w:sz="0" w:space="0" w:color="auto"/>
                    <w:right w:val="none" w:sz="0" w:space="0" w:color="auto"/>
                  </w:divBdr>
                  <w:divsChild>
                    <w:div w:id="1615290464">
                      <w:marLeft w:val="0"/>
                      <w:marRight w:val="0"/>
                      <w:marTop w:val="0"/>
                      <w:marBottom w:val="0"/>
                      <w:divBdr>
                        <w:top w:val="none" w:sz="0" w:space="0" w:color="auto"/>
                        <w:left w:val="none" w:sz="0" w:space="0" w:color="auto"/>
                        <w:bottom w:val="none" w:sz="0" w:space="0" w:color="auto"/>
                        <w:right w:val="none" w:sz="0" w:space="0" w:color="auto"/>
                      </w:divBdr>
                    </w:div>
                    <w:div w:id="128958355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8928398">
                  <w:marLeft w:val="0"/>
                  <w:marRight w:val="0"/>
                  <w:marTop w:val="0"/>
                  <w:marBottom w:val="0"/>
                  <w:divBdr>
                    <w:top w:val="none" w:sz="0" w:space="0" w:color="auto"/>
                    <w:left w:val="none" w:sz="0" w:space="0" w:color="auto"/>
                    <w:bottom w:val="none" w:sz="0" w:space="0" w:color="auto"/>
                    <w:right w:val="none" w:sz="0" w:space="0" w:color="auto"/>
                  </w:divBdr>
                  <w:divsChild>
                    <w:div w:id="1811510989">
                      <w:marLeft w:val="0"/>
                      <w:marRight w:val="0"/>
                      <w:marTop w:val="0"/>
                      <w:marBottom w:val="0"/>
                      <w:divBdr>
                        <w:top w:val="none" w:sz="0" w:space="0" w:color="auto"/>
                        <w:left w:val="none" w:sz="0" w:space="0" w:color="auto"/>
                        <w:bottom w:val="none" w:sz="0" w:space="0" w:color="auto"/>
                        <w:right w:val="none" w:sz="0" w:space="0" w:color="auto"/>
                      </w:divBdr>
                    </w:div>
                    <w:div w:id="9634639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75741113">
                  <w:marLeft w:val="0"/>
                  <w:marRight w:val="0"/>
                  <w:marTop w:val="0"/>
                  <w:marBottom w:val="0"/>
                  <w:divBdr>
                    <w:top w:val="none" w:sz="0" w:space="0" w:color="auto"/>
                    <w:left w:val="none" w:sz="0" w:space="0" w:color="auto"/>
                    <w:bottom w:val="none" w:sz="0" w:space="0" w:color="auto"/>
                    <w:right w:val="none" w:sz="0" w:space="0" w:color="auto"/>
                  </w:divBdr>
                  <w:divsChild>
                    <w:div w:id="1887140067">
                      <w:marLeft w:val="0"/>
                      <w:marRight w:val="0"/>
                      <w:marTop w:val="0"/>
                      <w:marBottom w:val="0"/>
                      <w:divBdr>
                        <w:top w:val="none" w:sz="0" w:space="0" w:color="auto"/>
                        <w:left w:val="none" w:sz="0" w:space="0" w:color="auto"/>
                        <w:bottom w:val="none" w:sz="0" w:space="0" w:color="auto"/>
                        <w:right w:val="none" w:sz="0" w:space="0" w:color="auto"/>
                      </w:divBdr>
                    </w:div>
                    <w:div w:id="5023612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09084916">
                  <w:marLeft w:val="0"/>
                  <w:marRight w:val="0"/>
                  <w:marTop w:val="0"/>
                  <w:marBottom w:val="0"/>
                  <w:divBdr>
                    <w:top w:val="none" w:sz="0" w:space="0" w:color="auto"/>
                    <w:left w:val="none" w:sz="0" w:space="0" w:color="auto"/>
                    <w:bottom w:val="none" w:sz="0" w:space="0" w:color="auto"/>
                    <w:right w:val="none" w:sz="0" w:space="0" w:color="auto"/>
                  </w:divBdr>
                  <w:divsChild>
                    <w:div w:id="113139289">
                      <w:marLeft w:val="0"/>
                      <w:marRight w:val="0"/>
                      <w:marTop w:val="0"/>
                      <w:marBottom w:val="0"/>
                      <w:divBdr>
                        <w:top w:val="none" w:sz="0" w:space="0" w:color="auto"/>
                        <w:left w:val="none" w:sz="0" w:space="0" w:color="auto"/>
                        <w:bottom w:val="none" w:sz="0" w:space="0" w:color="auto"/>
                        <w:right w:val="none" w:sz="0" w:space="0" w:color="auto"/>
                      </w:divBdr>
                    </w:div>
                    <w:div w:id="53616523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675767274">
              <w:marLeft w:val="0"/>
              <w:marRight w:val="0"/>
              <w:marTop w:val="0"/>
              <w:marBottom w:val="0"/>
              <w:divBdr>
                <w:top w:val="none" w:sz="0" w:space="0" w:color="auto"/>
                <w:left w:val="none" w:sz="0" w:space="0" w:color="auto"/>
                <w:bottom w:val="none" w:sz="0" w:space="0" w:color="auto"/>
                <w:right w:val="none" w:sz="0" w:space="0" w:color="auto"/>
              </w:divBdr>
            </w:div>
            <w:div w:id="2130468869">
              <w:marLeft w:val="0"/>
              <w:marRight w:val="0"/>
              <w:marTop w:val="0"/>
              <w:marBottom w:val="0"/>
              <w:divBdr>
                <w:top w:val="none" w:sz="0" w:space="0" w:color="auto"/>
                <w:left w:val="none" w:sz="0" w:space="0" w:color="auto"/>
                <w:bottom w:val="none" w:sz="0" w:space="0" w:color="auto"/>
                <w:right w:val="none" w:sz="0" w:space="0" w:color="auto"/>
              </w:divBdr>
            </w:div>
            <w:div w:id="1098720608">
              <w:marLeft w:val="0"/>
              <w:marRight w:val="0"/>
              <w:marTop w:val="0"/>
              <w:marBottom w:val="0"/>
              <w:divBdr>
                <w:top w:val="none" w:sz="0" w:space="0" w:color="auto"/>
                <w:left w:val="none" w:sz="0" w:space="0" w:color="auto"/>
                <w:bottom w:val="none" w:sz="0" w:space="0" w:color="auto"/>
                <w:right w:val="none" w:sz="0" w:space="0" w:color="auto"/>
              </w:divBdr>
              <w:divsChild>
                <w:div w:id="1220632568">
                  <w:marLeft w:val="0"/>
                  <w:marRight w:val="0"/>
                  <w:marTop w:val="0"/>
                  <w:marBottom w:val="0"/>
                  <w:divBdr>
                    <w:top w:val="none" w:sz="0" w:space="0" w:color="auto"/>
                    <w:left w:val="none" w:sz="0" w:space="0" w:color="auto"/>
                    <w:bottom w:val="none" w:sz="0" w:space="0" w:color="auto"/>
                    <w:right w:val="none" w:sz="0" w:space="0" w:color="auto"/>
                  </w:divBdr>
                </w:div>
                <w:div w:id="8616304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64594216">
              <w:marLeft w:val="0"/>
              <w:marRight w:val="0"/>
              <w:marTop w:val="0"/>
              <w:marBottom w:val="0"/>
              <w:divBdr>
                <w:top w:val="none" w:sz="0" w:space="0" w:color="auto"/>
                <w:left w:val="none" w:sz="0" w:space="0" w:color="auto"/>
                <w:bottom w:val="none" w:sz="0" w:space="0" w:color="auto"/>
                <w:right w:val="none" w:sz="0" w:space="0" w:color="auto"/>
              </w:divBdr>
            </w:div>
            <w:div w:id="46223298">
              <w:marLeft w:val="0"/>
              <w:marRight w:val="0"/>
              <w:marTop w:val="0"/>
              <w:marBottom w:val="0"/>
              <w:divBdr>
                <w:top w:val="none" w:sz="0" w:space="0" w:color="auto"/>
                <w:left w:val="none" w:sz="0" w:space="0" w:color="auto"/>
                <w:bottom w:val="none" w:sz="0" w:space="0" w:color="auto"/>
                <w:right w:val="none" w:sz="0" w:space="0" w:color="auto"/>
              </w:divBdr>
              <w:divsChild>
                <w:div w:id="30959374">
                  <w:marLeft w:val="0"/>
                  <w:marRight w:val="0"/>
                  <w:marTop w:val="0"/>
                  <w:marBottom w:val="0"/>
                  <w:divBdr>
                    <w:top w:val="none" w:sz="0" w:space="0" w:color="auto"/>
                    <w:left w:val="none" w:sz="0" w:space="0" w:color="auto"/>
                    <w:bottom w:val="none" w:sz="0" w:space="0" w:color="auto"/>
                    <w:right w:val="none" w:sz="0" w:space="0" w:color="auto"/>
                  </w:divBdr>
                </w:div>
                <w:div w:id="695543225">
                  <w:marLeft w:val="0"/>
                  <w:marRight w:val="0"/>
                  <w:marTop w:val="0"/>
                  <w:marBottom w:val="0"/>
                  <w:divBdr>
                    <w:top w:val="none" w:sz="0" w:space="0" w:color="auto"/>
                    <w:left w:val="none" w:sz="0" w:space="0" w:color="auto"/>
                    <w:bottom w:val="none" w:sz="0" w:space="0" w:color="auto"/>
                    <w:right w:val="none" w:sz="0" w:space="0" w:color="auto"/>
                  </w:divBdr>
                </w:div>
                <w:div w:id="959728583">
                  <w:marLeft w:val="0"/>
                  <w:marRight w:val="0"/>
                  <w:marTop w:val="0"/>
                  <w:marBottom w:val="0"/>
                  <w:divBdr>
                    <w:top w:val="none" w:sz="0" w:space="0" w:color="auto"/>
                    <w:left w:val="none" w:sz="0" w:space="0" w:color="auto"/>
                    <w:bottom w:val="none" w:sz="0" w:space="0" w:color="auto"/>
                    <w:right w:val="none" w:sz="0" w:space="0" w:color="auto"/>
                  </w:divBdr>
                </w:div>
                <w:div w:id="800076339">
                  <w:marLeft w:val="0"/>
                  <w:marRight w:val="0"/>
                  <w:marTop w:val="0"/>
                  <w:marBottom w:val="0"/>
                  <w:divBdr>
                    <w:top w:val="none" w:sz="0" w:space="0" w:color="auto"/>
                    <w:left w:val="none" w:sz="0" w:space="0" w:color="auto"/>
                    <w:bottom w:val="none" w:sz="0" w:space="0" w:color="auto"/>
                    <w:right w:val="none" w:sz="0" w:space="0" w:color="auto"/>
                  </w:divBdr>
                </w:div>
                <w:div w:id="1469933084">
                  <w:marLeft w:val="0"/>
                  <w:marRight w:val="0"/>
                  <w:marTop w:val="0"/>
                  <w:marBottom w:val="0"/>
                  <w:divBdr>
                    <w:top w:val="none" w:sz="0" w:space="0" w:color="auto"/>
                    <w:left w:val="none" w:sz="0" w:space="0" w:color="auto"/>
                    <w:bottom w:val="none" w:sz="0" w:space="0" w:color="auto"/>
                    <w:right w:val="none" w:sz="0" w:space="0" w:color="auto"/>
                  </w:divBdr>
                </w:div>
                <w:div w:id="1716157906">
                  <w:marLeft w:val="0"/>
                  <w:marRight w:val="0"/>
                  <w:marTop w:val="0"/>
                  <w:marBottom w:val="0"/>
                  <w:divBdr>
                    <w:top w:val="none" w:sz="0" w:space="0" w:color="auto"/>
                    <w:left w:val="none" w:sz="0" w:space="0" w:color="auto"/>
                    <w:bottom w:val="none" w:sz="0" w:space="0" w:color="auto"/>
                    <w:right w:val="none" w:sz="0" w:space="0" w:color="auto"/>
                  </w:divBdr>
                  <w:divsChild>
                    <w:div w:id="1768303985">
                      <w:marLeft w:val="0"/>
                      <w:marRight w:val="0"/>
                      <w:marTop w:val="0"/>
                      <w:marBottom w:val="0"/>
                      <w:divBdr>
                        <w:top w:val="none" w:sz="0" w:space="0" w:color="auto"/>
                        <w:left w:val="none" w:sz="0" w:space="0" w:color="auto"/>
                        <w:bottom w:val="none" w:sz="0" w:space="0" w:color="auto"/>
                        <w:right w:val="none" w:sz="0" w:space="0" w:color="auto"/>
                      </w:divBdr>
                    </w:div>
                    <w:div w:id="10602083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315652743">
          <w:marLeft w:val="0"/>
          <w:marRight w:val="0"/>
          <w:marTop w:val="30"/>
          <w:marBottom w:val="75"/>
          <w:divBdr>
            <w:top w:val="single" w:sz="6" w:space="0" w:color="FFFFFF"/>
            <w:left w:val="single" w:sz="6" w:space="0" w:color="FFFFFF"/>
            <w:bottom w:val="single" w:sz="6" w:space="0" w:color="FFFFFF"/>
            <w:right w:val="single" w:sz="6" w:space="0" w:color="FFFFFF"/>
          </w:divBdr>
          <w:divsChild>
            <w:div w:id="1893538934">
              <w:marLeft w:val="0"/>
              <w:marRight w:val="0"/>
              <w:marTop w:val="0"/>
              <w:marBottom w:val="0"/>
              <w:divBdr>
                <w:top w:val="single" w:sz="6" w:space="0" w:color="FFFFFF"/>
                <w:left w:val="single" w:sz="6" w:space="8" w:color="FFFFFF"/>
                <w:bottom w:val="single" w:sz="6" w:space="0" w:color="FFFFFF"/>
                <w:right w:val="single" w:sz="6" w:space="0" w:color="FFFFFF"/>
              </w:divBdr>
            </w:div>
            <w:div w:id="1647737258">
              <w:marLeft w:val="0"/>
              <w:marRight w:val="0"/>
              <w:marTop w:val="0"/>
              <w:marBottom w:val="0"/>
              <w:divBdr>
                <w:top w:val="single" w:sz="6" w:space="0" w:color="FFFFFF"/>
                <w:left w:val="single" w:sz="6" w:space="0" w:color="FFFFFF"/>
                <w:bottom w:val="single" w:sz="6" w:space="0" w:color="FFFFFF"/>
                <w:right w:val="single" w:sz="6" w:space="8" w:color="FFFFFF"/>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cfr.gov/graphics/pdfs/er26mr12.068.pdf" TargetMode="External"/><Relationship Id="rId117" Type="http://schemas.openxmlformats.org/officeDocument/2006/relationships/image" Target="media/image56.gif"/><Relationship Id="rId21" Type="http://schemas.openxmlformats.org/officeDocument/2006/relationships/image" Target="media/image8.gif"/><Relationship Id="rId42" Type="http://schemas.openxmlformats.org/officeDocument/2006/relationships/hyperlink" Target="http://www.ecfr.gov/graphics/pdfs/er26mr12.076.pdf" TargetMode="External"/><Relationship Id="rId47" Type="http://schemas.openxmlformats.org/officeDocument/2006/relationships/image" Target="media/image21.gif"/><Relationship Id="rId63" Type="http://schemas.openxmlformats.org/officeDocument/2006/relationships/image" Target="media/image29.gif"/><Relationship Id="rId68" Type="http://schemas.openxmlformats.org/officeDocument/2006/relationships/hyperlink" Target="http://www.ecfr.gov/graphics/pdfs/er26mr12.089.pdf" TargetMode="External"/><Relationship Id="rId84" Type="http://schemas.openxmlformats.org/officeDocument/2006/relationships/hyperlink" Target="http://www.ecfr.gov/graphics/pdfs/er26mr12.097.pdf" TargetMode="External"/><Relationship Id="rId89" Type="http://schemas.openxmlformats.org/officeDocument/2006/relationships/image" Target="media/image42.gif"/><Relationship Id="rId112" Type="http://schemas.openxmlformats.org/officeDocument/2006/relationships/hyperlink" Target="http://www.ecfr.gov/graphics/pdfs/er26mr12.111.pdf" TargetMode="External"/><Relationship Id="rId133" Type="http://schemas.openxmlformats.org/officeDocument/2006/relationships/image" Target="media/image64.gif"/><Relationship Id="rId138" Type="http://schemas.openxmlformats.org/officeDocument/2006/relationships/hyperlink" Target="http://www.ecfr.gov/graphics/pdfs/er26mr12.124.pdf" TargetMode="External"/><Relationship Id="rId16" Type="http://schemas.openxmlformats.org/officeDocument/2006/relationships/hyperlink" Target="http://www.ecfr.gov/graphics/pdfs/er26mr12.064.pdf" TargetMode="External"/><Relationship Id="rId107" Type="http://schemas.openxmlformats.org/officeDocument/2006/relationships/image" Target="media/image51.gif"/><Relationship Id="rId11" Type="http://schemas.openxmlformats.org/officeDocument/2006/relationships/image" Target="media/image3.gif"/><Relationship Id="rId32" Type="http://schemas.openxmlformats.org/officeDocument/2006/relationships/hyperlink" Target="http://www.ecfr.gov/graphics/pdfs/er26mr12.071.pdf" TargetMode="External"/><Relationship Id="rId37" Type="http://schemas.openxmlformats.org/officeDocument/2006/relationships/image" Target="media/image16.gif"/><Relationship Id="rId53" Type="http://schemas.openxmlformats.org/officeDocument/2006/relationships/image" Target="media/image24.gif"/><Relationship Id="rId58" Type="http://schemas.openxmlformats.org/officeDocument/2006/relationships/hyperlink" Target="http://www.ecfr.gov/graphics/pdfs/er26mr12.084.pdf" TargetMode="External"/><Relationship Id="rId74" Type="http://schemas.openxmlformats.org/officeDocument/2006/relationships/hyperlink" Target="http://www.ecfr.gov/graphics/pdfs/er26mr12.092.pdf" TargetMode="External"/><Relationship Id="rId79" Type="http://schemas.openxmlformats.org/officeDocument/2006/relationships/image" Target="media/image37.gif"/><Relationship Id="rId102" Type="http://schemas.openxmlformats.org/officeDocument/2006/relationships/hyperlink" Target="http://www.ecfr.gov/graphics/pdfs/er26mr12.106.pdf" TargetMode="External"/><Relationship Id="rId123" Type="http://schemas.openxmlformats.org/officeDocument/2006/relationships/image" Target="media/image59.gif"/><Relationship Id="rId128" Type="http://schemas.openxmlformats.org/officeDocument/2006/relationships/hyperlink" Target="http://www.ecfr.gov/graphics/pdfs/er26mr12.119.pdf" TargetMode="External"/><Relationship Id="rId144" Type="http://schemas.openxmlformats.org/officeDocument/2006/relationships/hyperlink" Target="http://www.ecfr.gov/graphics/pdfs/er26mr12.127.pdf" TargetMode="External"/><Relationship Id="rId149" Type="http://schemas.openxmlformats.org/officeDocument/2006/relationships/hyperlink" Target="http://www.gpo.gov/etc/section-508.htm" TargetMode="External"/><Relationship Id="rId5" Type="http://schemas.openxmlformats.org/officeDocument/2006/relationships/hyperlink" Target="http://www.ecfr.gov/cgi-bin/retrieveECFR?gp=&amp;SID=64523fa4b4ba4b87048ddd932f7e5fb0&amp;n=pt29.6.1910&amp;r=PART&amp;ty=HTML" TargetMode="External"/><Relationship Id="rId90" Type="http://schemas.openxmlformats.org/officeDocument/2006/relationships/hyperlink" Target="http://www.ecfr.gov/graphics/pdfs/er26mr12.100.pdf" TargetMode="External"/><Relationship Id="rId95" Type="http://schemas.openxmlformats.org/officeDocument/2006/relationships/image" Target="media/image45.gif"/><Relationship Id="rId22" Type="http://schemas.openxmlformats.org/officeDocument/2006/relationships/hyperlink" Target="http://www.ecfr.gov/graphics/pdfs/er26mr12.130.pdf" TargetMode="External"/><Relationship Id="rId27" Type="http://schemas.openxmlformats.org/officeDocument/2006/relationships/image" Target="media/image11.gif"/><Relationship Id="rId43" Type="http://schemas.openxmlformats.org/officeDocument/2006/relationships/image" Target="media/image19.gif"/><Relationship Id="rId48" Type="http://schemas.openxmlformats.org/officeDocument/2006/relationships/hyperlink" Target="http://www.ecfr.gov/graphics/pdfs/er26mr12.079.pdf" TargetMode="External"/><Relationship Id="rId64" Type="http://schemas.openxmlformats.org/officeDocument/2006/relationships/hyperlink" Target="http://www.ecfr.gov/graphics/pdfs/er26mr12.087.pdf" TargetMode="External"/><Relationship Id="rId69" Type="http://schemas.openxmlformats.org/officeDocument/2006/relationships/image" Target="media/image32.gif"/><Relationship Id="rId113" Type="http://schemas.openxmlformats.org/officeDocument/2006/relationships/image" Target="media/image54.gif"/><Relationship Id="rId118" Type="http://schemas.openxmlformats.org/officeDocument/2006/relationships/hyperlink" Target="http://www.ecfr.gov/graphics/pdfs/er26mr12.114.pdf" TargetMode="External"/><Relationship Id="rId134" Type="http://schemas.openxmlformats.org/officeDocument/2006/relationships/hyperlink" Target="http://www.ecfr.gov/graphics/pdfs/er26mr12.122.pdf" TargetMode="External"/><Relationship Id="rId139" Type="http://schemas.openxmlformats.org/officeDocument/2006/relationships/image" Target="media/image67.gif"/><Relationship Id="rId80" Type="http://schemas.openxmlformats.org/officeDocument/2006/relationships/hyperlink" Target="http://www.ecfr.gov/graphics/pdfs/er26mr12.095.pdf" TargetMode="External"/><Relationship Id="rId85" Type="http://schemas.openxmlformats.org/officeDocument/2006/relationships/image" Target="media/image40.gif"/><Relationship Id="rId150" Type="http://schemas.openxmlformats.org/officeDocument/2006/relationships/hyperlink" Target="http://www.gpo.gov/etc/sitemap.htm" TargetMode="External"/><Relationship Id="rId12" Type="http://schemas.openxmlformats.org/officeDocument/2006/relationships/hyperlink" Target="http://www.ecfr.gov/graphics/pdfs/er26mr12.062.pdf" TargetMode="External"/><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hyperlink" Target="http://www.ecfr.gov/graphics/pdfs/er26mr12.074.pdf" TargetMode="External"/><Relationship Id="rId46" Type="http://schemas.openxmlformats.org/officeDocument/2006/relationships/hyperlink" Target="http://www.ecfr.gov/graphics/pdfs/er26mr12.078.pdf" TargetMode="External"/><Relationship Id="rId59" Type="http://schemas.openxmlformats.org/officeDocument/2006/relationships/image" Target="media/image27.gif"/><Relationship Id="rId67" Type="http://schemas.openxmlformats.org/officeDocument/2006/relationships/image" Target="media/image31.gif"/><Relationship Id="rId103" Type="http://schemas.openxmlformats.org/officeDocument/2006/relationships/image" Target="media/image49.gif"/><Relationship Id="rId108" Type="http://schemas.openxmlformats.org/officeDocument/2006/relationships/hyperlink" Target="http://www.ecfr.gov/graphics/pdfs/er26mr12.109.pdf" TargetMode="External"/><Relationship Id="rId116" Type="http://schemas.openxmlformats.org/officeDocument/2006/relationships/hyperlink" Target="http://www.ecfr.gov/graphics/pdfs/er26mr12.113.pdf" TargetMode="External"/><Relationship Id="rId124" Type="http://schemas.openxmlformats.org/officeDocument/2006/relationships/hyperlink" Target="http://www.ecfr.gov/graphics/pdfs/er26mr12.117.pdf" TargetMode="External"/><Relationship Id="rId129" Type="http://schemas.openxmlformats.org/officeDocument/2006/relationships/image" Target="media/image62.gif"/><Relationship Id="rId137" Type="http://schemas.openxmlformats.org/officeDocument/2006/relationships/image" Target="media/image66.gif"/><Relationship Id="rId20" Type="http://schemas.openxmlformats.org/officeDocument/2006/relationships/hyperlink" Target="http://www.ecfr.gov/graphics/pdfs/er26mr12.066.pdf" TargetMode="External"/><Relationship Id="rId41" Type="http://schemas.openxmlformats.org/officeDocument/2006/relationships/image" Target="media/image18.gif"/><Relationship Id="rId54" Type="http://schemas.openxmlformats.org/officeDocument/2006/relationships/hyperlink" Target="http://www.ecfr.gov/graphics/pdfs/er26mr12.082.pdf" TargetMode="External"/><Relationship Id="rId62" Type="http://schemas.openxmlformats.org/officeDocument/2006/relationships/hyperlink" Target="http://www.ecfr.gov/graphics/pdfs/er26mr12.086.pdf" TargetMode="External"/><Relationship Id="rId70" Type="http://schemas.openxmlformats.org/officeDocument/2006/relationships/hyperlink" Target="http://www.ecfr.gov/graphics/pdfs/er26mr12.090.pdf" TargetMode="External"/><Relationship Id="rId75" Type="http://schemas.openxmlformats.org/officeDocument/2006/relationships/image" Target="media/image35.gif"/><Relationship Id="rId83" Type="http://schemas.openxmlformats.org/officeDocument/2006/relationships/image" Target="media/image39.gif"/><Relationship Id="rId88" Type="http://schemas.openxmlformats.org/officeDocument/2006/relationships/hyperlink" Target="http://www.ecfr.gov/graphics/pdfs/er26mr12.099.pdf" TargetMode="External"/><Relationship Id="rId91" Type="http://schemas.openxmlformats.org/officeDocument/2006/relationships/image" Target="media/image43.gif"/><Relationship Id="rId96" Type="http://schemas.openxmlformats.org/officeDocument/2006/relationships/hyperlink" Target="http://www.ecfr.gov/graphics/pdfs/er26mr12.103.pdf" TargetMode="External"/><Relationship Id="rId111" Type="http://schemas.openxmlformats.org/officeDocument/2006/relationships/image" Target="media/image53.gif"/><Relationship Id="rId132" Type="http://schemas.openxmlformats.org/officeDocument/2006/relationships/hyperlink" Target="http://www.ecfr.gov/graphics/pdfs/er26mr12.121.pdf" TargetMode="External"/><Relationship Id="rId140" Type="http://schemas.openxmlformats.org/officeDocument/2006/relationships/hyperlink" Target="http://www.ecfr.gov/graphics/pdfs/er26mr12.125.pdf" TargetMode="External"/><Relationship Id="rId145" Type="http://schemas.openxmlformats.org/officeDocument/2006/relationships/hyperlink" Target="mailto:ecfr@nara.gov" TargetMode="Externa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cfr.gov/cgi-bin/retrieveECFR?gp=&amp;SID=64523fa4b4ba4b87048ddd932f7e5fb0&amp;n=sp29.6.1910.z&amp;r=SUBPART&amp;ty=HTML" TargetMode="External"/><Relationship Id="rId15" Type="http://schemas.openxmlformats.org/officeDocument/2006/relationships/image" Target="media/image5.gif"/><Relationship Id="rId23" Type="http://schemas.openxmlformats.org/officeDocument/2006/relationships/image" Target="media/image9.gif"/><Relationship Id="rId28" Type="http://schemas.openxmlformats.org/officeDocument/2006/relationships/hyperlink" Target="http://www.ecfr.gov/graphics/pdfs/er26mr12.069.pdf" TargetMode="External"/><Relationship Id="rId36" Type="http://schemas.openxmlformats.org/officeDocument/2006/relationships/hyperlink" Target="http://www.ecfr.gov/graphics/pdfs/er26mr12.073.pdf" TargetMode="External"/><Relationship Id="rId49" Type="http://schemas.openxmlformats.org/officeDocument/2006/relationships/image" Target="media/image22.gif"/><Relationship Id="rId57" Type="http://schemas.openxmlformats.org/officeDocument/2006/relationships/image" Target="media/image26.gif"/><Relationship Id="rId106" Type="http://schemas.openxmlformats.org/officeDocument/2006/relationships/hyperlink" Target="http://www.ecfr.gov/graphics/pdfs/er26mr12.108.pdf" TargetMode="External"/><Relationship Id="rId114" Type="http://schemas.openxmlformats.org/officeDocument/2006/relationships/hyperlink" Target="http://www.ecfr.gov/graphics/pdfs/er26mr12.112.pdf" TargetMode="External"/><Relationship Id="rId119" Type="http://schemas.openxmlformats.org/officeDocument/2006/relationships/image" Target="media/image57.gif"/><Relationship Id="rId127" Type="http://schemas.openxmlformats.org/officeDocument/2006/relationships/image" Target="media/image61.gif"/><Relationship Id="rId10" Type="http://schemas.openxmlformats.org/officeDocument/2006/relationships/hyperlink" Target="http://www.ecfr.gov/graphics/pdfs/er26mr12.061.pdf" TargetMode="External"/><Relationship Id="rId31" Type="http://schemas.openxmlformats.org/officeDocument/2006/relationships/image" Target="media/image13.gif"/><Relationship Id="rId44" Type="http://schemas.openxmlformats.org/officeDocument/2006/relationships/hyperlink" Target="http://www.ecfr.gov/graphics/pdfs/er26mr12.077.pdf" TargetMode="External"/><Relationship Id="rId52" Type="http://schemas.openxmlformats.org/officeDocument/2006/relationships/hyperlink" Target="http://www.ecfr.gov/graphics/pdfs/er26mr12.081.pdf" TargetMode="External"/><Relationship Id="rId60" Type="http://schemas.openxmlformats.org/officeDocument/2006/relationships/hyperlink" Target="http://www.ecfr.gov/graphics/pdfs/er26mr12.085.pdf" TargetMode="External"/><Relationship Id="rId65" Type="http://schemas.openxmlformats.org/officeDocument/2006/relationships/image" Target="media/image30.gif"/><Relationship Id="rId73" Type="http://schemas.openxmlformats.org/officeDocument/2006/relationships/image" Target="media/image34.gif"/><Relationship Id="rId78" Type="http://schemas.openxmlformats.org/officeDocument/2006/relationships/hyperlink" Target="http://www.ecfr.gov/graphics/pdfs/er26mr12.094.pdf" TargetMode="External"/><Relationship Id="rId81" Type="http://schemas.openxmlformats.org/officeDocument/2006/relationships/image" Target="media/image38.gif"/><Relationship Id="rId86" Type="http://schemas.openxmlformats.org/officeDocument/2006/relationships/hyperlink" Target="http://www.ecfr.gov/graphics/pdfs/er26mr12.098.pdf" TargetMode="External"/><Relationship Id="rId94" Type="http://schemas.openxmlformats.org/officeDocument/2006/relationships/hyperlink" Target="http://www.ecfr.gov/graphics/pdfs/er26mr12.102.pdf" TargetMode="External"/><Relationship Id="rId99" Type="http://schemas.openxmlformats.org/officeDocument/2006/relationships/image" Target="media/image47.gif"/><Relationship Id="rId101" Type="http://schemas.openxmlformats.org/officeDocument/2006/relationships/image" Target="media/image48.gif"/><Relationship Id="rId122" Type="http://schemas.openxmlformats.org/officeDocument/2006/relationships/hyperlink" Target="http://www.ecfr.gov/graphics/pdfs/er26mr12.116.pdf" TargetMode="External"/><Relationship Id="rId130" Type="http://schemas.openxmlformats.org/officeDocument/2006/relationships/hyperlink" Target="http://www.ecfr.gov/graphics/pdfs/er26mr12.120.pdf" TargetMode="External"/><Relationship Id="rId135" Type="http://schemas.openxmlformats.org/officeDocument/2006/relationships/image" Target="media/image65.gif"/><Relationship Id="rId143" Type="http://schemas.openxmlformats.org/officeDocument/2006/relationships/image" Target="media/image69.gif"/><Relationship Id="rId148" Type="http://schemas.openxmlformats.org/officeDocument/2006/relationships/hyperlink" Target="http://www.gpo.gov/etc/implinks.htm" TargetMode="External"/><Relationship Id="rId151" Type="http://schemas.openxmlformats.org/officeDocument/2006/relationships/hyperlink" Target="http://www.gpo.gov/about/coop.htm" TargetMode="Externa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hyperlink" Target="http://www.ecfr.gov/graphics/pdfs/er26mr12.065.pdf" TargetMode="External"/><Relationship Id="rId39" Type="http://schemas.openxmlformats.org/officeDocument/2006/relationships/image" Target="media/image17.gif"/><Relationship Id="rId109" Type="http://schemas.openxmlformats.org/officeDocument/2006/relationships/image" Target="media/image52.gif"/><Relationship Id="rId34" Type="http://schemas.openxmlformats.org/officeDocument/2006/relationships/hyperlink" Target="http://www.ecfr.gov/graphics/pdfs/er26mr12.072.pdf" TargetMode="External"/><Relationship Id="rId50" Type="http://schemas.openxmlformats.org/officeDocument/2006/relationships/hyperlink" Target="http://www.ecfr.gov/graphics/pdfs/er26mr12.080.pdf" TargetMode="External"/><Relationship Id="rId55" Type="http://schemas.openxmlformats.org/officeDocument/2006/relationships/image" Target="media/image25.gif"/><Relationship Id="rId76" Type="http://schemas.openxmlformats.org/officeDocument/2006/relationships/hyperlink" Target="http://www.ecfr.gov/graphics/pdfs/er26mr12.093.pdf" TargetMode="External"/><Relationship Id="rId97" Type="http://schemas.openxmlformats.org/officeDocument/2006/relationships/image" Target="media/image46.gif"/><Relationship Id="rId104" Type="http://schemas.openxmlformats.org/officeDocument/2006/relationships/hyperlink" Target="http://www.ecfr.gov/graphics/pdfs/er26mr12.107.pdf" TargetMode="External"/><Relationship Id="rId120" Type="http://schemas.openxmlformats.org/officeDocument/2006/relationships/hyperlink" Target="http://www.ecfr.gov/graphics/pdfs/er26mr12.115.pdf" TargetMode="External"/><Relationship Id="rId125" Type="http://schemas.openxmlformats.org/officeDocument/2006/relationships/image" Target="media/image60.gif"/><Relationship Id="rId141" Type="http://schemas.openxmlformats.org/officeDocument/2006/relationships/image" Target="media/image68.gif"/><Relationship Id="rId146" Type="http://schemas.openxmlformats.org/officeDocument/2006/relationships/hyperlink" Target="mailto:webteam@gpo.gov" TargetMode="External"/><Relationship Id="rId7" Type="http://schemas.openxmlformats.org/officeDocument/2006/relationships/image" Target="media/image1.gif"/><Relationship Id="rId71" Type="http://schemas.openxmlformats.org/officeDocument/2006/relationships/image" Target="media/image33.gif"/><Relationship Id="rId92" Type="http://schemas.openxmlformats.org/officeDocument/2006/relationships/hyperlink" Target="http://www.ecfr.gov/graphics/pdfs/er26mr12.101.pdf" TargetMode="External"/><Relationship Id="rId2" Type="http://schemas.microsoft.com/office/2007/relationships/stylesWithEffects" Target="stylesWithEffects.xml"/><Relationship Id="rId29" Type="http://schemas.openxmlformats.org/officeDocument/2006/relationships/image" Target="media/image12.gif"/><Relationship Id="rId24" Type="http://schemas.openxmlformats.org/officeDocument/2006/relationships/hyperlink" Target="http://www.ecfr.gov/graphics/pdfs/er26mr12.067.pdf" TargetMode="External"/><Relationship Id="rId40" Type="http://schemas.openxmlformats.org/officeDocument/2006/relationships/hyperlink" Target="http://www.ecfr.gov/graphics/pdfs/er26mr12.075.pdf" TargetMode="External"/><Relationship Id="rId45" Type="http://schemas.openxmlformats.org/officeDocument/2006/relationships/image" Target="media/image20.gif"/><Relationship Id="rId66" Type="http://schemas.openxmlformats.org/officeDocument/2006/relationships/hyperlink" Target="http://www.ecfr.gov/graphics/pdfs/er26mr12.088.pdf" TargetMode="External"/><Relationship Id="rId87" Type="http://schemas.openxmlformats.org/officeDocument/2006/relationships/image" Target="media/image41.gif"/><Relationship Id="rId110" Type="http://schemas.openxmlformats.org/officeDocument/2006/relationships/hyperlink" Target="http://www.ecfr.gov/graphics/pdfs/er26mr12.110.pdf" TargetMode="External"/><Relationship Id="rId115" Type="http://schemas.openxmlformats.org/officeDocument/2006/relationships/image" Target="media/image55.gif"/><Relationship Id="rId131" Type="http://schemas.openxmlformats.org/officeDocument/2006/relationships/image" Target="media/image63.gif"/><Relationship Id="rId136" Type="http://schemas.openxmlformats.org/officeDocument/2006/relationships/hyperlink" Target="http://www.ecfr.gov/graphics/pdfs/er26mr12.123.pdf" TargetMode="External"/><Relationship Id="rId61" Type="http://schemas.openxmlformats.org/officeDocument/2006/relationships/image" Target="media/image28.gif"/><Relationship Id="rId82" Type="http://schemas.openxmlformats.org/officeDocument/2006/relationships/hyperlink" Target="http://www.ecfr.gov/graphics/pdfs/er26mr12.096.pdf" TargetMode="External"/><Relationship Id="rId152" Type="http://schemas.openxmlformats.org/officeDocument/2006/relationships/fontTable" Target="fontTable.xml"/><Relationship Id="rId19" Type="http://schemas.openxmlformats.org/officeDocument/2006/relationships/image" Target="media/image7.gif"/><Relationship Id="rId14" Type="http://schemas.openxmlformats.org/officeDocument/2006/relationships/hyperlink" Target="http://www.ecfr.gov/graphics/pdfs/er26mr12.063.pdf" TargetMode="External"/><Relationship Id="rId30" Type="http://schemas.openxmlformats.org/officeDocument/2006/relationships/hyperlink" Target="http://www.ecfr.gov/graphics/pdfs/er26mr12.070.pdf" TargetMode="External"/><Relationship Id="rId35" Type="http://schemas.openxmlformats.org/officeDocument/2006/relationships/image" Target="media/image15.gif"/><Relationship Id="rId56" Type="http://schemas.openxmlformats.org/officeDocument/2006/relationships/hyperlink" Target="http://www.ecfr.gov/graphics/pdfs/er26mr12.083.pdf" TargetMode="External"/><Relationship Id="rId77" Type="http://schemas.openxmlformats.org/officeDocument/2006/relationships/image" Target="media/image36.gif"/><Relationship Id="rId100" Type="http://schemas.openxmlformats.org/officeDocument/2006/relationships/hyperlink" Target="http://www.ecfr.gov/graphics/pdfs/er26mr12.105.pdf" TargetMode="External"/><Relationship Id="rId105" Type="http://schemas.openxmlformats.org/officeDocument/2006/relationships/image" Target="media/image50.gif"/><Relationship Id="rId126" Type="http://schemas.openxmlformats.org/officeDocument/2006/relationships/hyperlink" Target="http://www.ecfr.gov/graphics/pdfs/er26mr12.118.pdf" TargetMode="External"/><Relationship Id="rId147" Type="http://schemas.openxmlformats.org/officeDocument/2006/relationships/hyperlink" Target="http://www.gpo.gov/etc/privacy.htm" TargetMode="External"/><Relationship Id="rId8" Type="http://schemas.openxmlformats.org/officeDocument/2006/relationships/hyperlink" Target="http://www.ecfr.gov/graphics/pdfs/er26mr12.060.pdf" TargetMode="External"/><Relationship Id="rId51" Type="http://schemas.openxmlformats.org/officeDocument/2006/relationships/image" Target="media/image23.gif"/><Relationship Id="rId72" Type="http://schemas.openxmlformats.org/officeDocument/2006/relationships/hyperlink" Target="http://www.ecfr.gov/graphics/pdfs/er26mr12.091.pdf" TargetMode="External"/><Relationship Id="rId93" Type="http://schemas.openxmlformats.org/officeDocument/2006/relationships/image" Target="media/image44.gif"/><Relationship Id="rId98" Type="http://schemas.openxmlformats.org/officeDocument/2006/relationships/hyperlink" Target="http://www.ecfr.gov/graphics/pdfs/er26mr12.104.pdf" TargetMode="External"/><Relationship Id="rId121" Type="http://schemas.openxmlformats.org/officeDocument/2006/relationships/image" Target="media/image58.gif"/><Relationship Id="rId142" Type="http://schemas.openxmlformats.org/officeDocument/2006/relationships/hyperlink" Target="http://www.ecfr.gov/graphics/pdfs/er26mr12.126.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43742</Words>
  <Characters>249331</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1</cp:revision>
  <dcterms:created xsi:type="dcterms:W3CDTF">2015-02-03T16:10:00Z</dcterms:created>
  <dcterms:modified xsi:type="dcterms:W3CDTF">2015-02-03T16:11:00Z</dcterms:modified>
</cp:coreProperties>
</file>