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C5935" w14:textId="77777777" w:rsidR="00F80DC3" w:rsidRDefault="00F80DC3" w:rsidP="00673B1B">
      <w:pPr>
        <w:pStyle w:val="Title"/>
      </w:pPr>
    </w:p>
    <w:p w14:paraId="3D670C9D" w14:textId="77777777" w:rsidR="00673B1B" w:rsidRDefault="00673B1B" w:rsidP="00673B1B">
      <w:pPr>
        <w:pStyle w:val="Title"/>
      </w:pPr>
      <w:r>
        <w:t>Supporting Statement</w:t>
      </w:r>
    </w:p>
    <w:p w14:paraId="493CE829" w14:textId="2DC109D7" w:rsidR="009F136C" w:rsidRDefault="009F136C" w:rsidP="00673B1B">
      <w:pPr>
        <w:pStyle w:val="Title"/>
      </w:pPr>
      <w:r w:rsidRPr="009F136C">
        <w:t>Consumer Expenditure Surveys: Quarterly Interview and Diary</w:t>
      </w:r>
    </w:p>
    <w:p w14:paraId="355BAC04" w14:textId="77777777" w:rsidR="00673B1B" w:rsidRDefault="00673B1B" w:rsidP="00673B1B">
      <w:pPr>
        <w:tabs>
          <w:tab w:val="left" w:pos="1176"/>
          <w:tab w:val="left" w:pos="1656"/>
          <w:tab w:val="left" w:pos="6696"/>
          <w:tab w:val="left" w:pos="8256"/>
        </w:tabs>
      </w:pPr>
    </w:p>
    <w:p w14:paraId="18E2EC26" w14:textId="77777777" w:rsidR="007801DB" w:rsidRDefault="007801DB" w:rsidP="00593725">
      <w:pPr>
        <w:tabs>
          <w:tab w:val="left" w:pos="1176"/>
          <w:tab w:val="left" w:pos="1656"/>
          <w:tab w:val="left" w:pos="5016"/>
          <w:tab w:val="left" w:pos="6696"/>
          <w:tab w:val="left" w:pos="8256"/>
        </w:tabs>
        <w:ind w:left="480" w:hanging="480"/>
      </w:pPr>
    </w:p>
    <w:p w14:paraId="548A2759" w14:textId="77777777" w:rsidR="007801DB" w:rsidRDefault="007801DB">
      <w:pPr>
        <w:tabs>
          <w:tab w:val="left" w:pos="1176"/>
          <w:tab w:val="left" w:pos="1656"/>
          <w:tab w:val="left" w:pos="5016"/>
          <w:tab w:val="left" w:pos="6696"/>
          <w:tab w:val="left" w:pos="8256"/>
        </w:tabs>
        <w:ind w:left="480" w:hanging="480"/>
      </w:pPr>
      <w:r>
        <w:t>B.</w:t>
      </w:r>
      <w:r>
        <w:tab/>
        <w:t>Collection of Information Employing Statistical Methods</w:t>
      </w:r>
    </w:p>
    <w:p w14:paraId="53146E5A" w14:textId="77777777" w:rsidR="007801DB" w:rsidRDefault="007801DB">
      <w:pPr>
        <w:tabs>
          <w:tab w:val="left" w:pos="1176"/>
          <w:tab w:val="left" w:pos="1656"/>
          <w:tab w:val="left" w:pos="5016"/>
          <w:tab w:val="left" w:pos="6696"/>
          <w:tab w:val="left" w:pos="8256"/>
        </w:tabs>
      </w:pPr>
    </w:p>
    <w:p w14:paraId="2D2E61D3" w14:textId="77777777" w:rsidR="00573652" w:rsidRPr="00573652" w:rsidRDefault="001041FE" w:rsidP="00D21F06">
      <w:pPr>
        <w:numPr>
          <w:ilvl w:val="0"/>
          <w:numId w:val="6"/>
        </w:numPr>
        <w:tabs>
          <w:tab w:val="left" w:pos="1176"/>
          <w:tab w:val="left" w:pos="1656"/>
          <w:tab w:val="left" w:pos="5016"/>
          <w:tab w:val="left" w:pos="6696"/>
          <w:tab w:val="left" w:pos="8256"/>
        </w:tabs>
        <w:ind w:left="475"/>
      </w:pPr>
      <w:r w:rsidRPr="002A5A87">
        <w:rPr>
          <w:b/>
          <w:u w:val="single"/>
        </w:rPr>
        <w:t>Sampling Method</w:t>
      </w:r>
      <w:r>
        <w:rPr>
          <w:u w:val="single"/>
        </w:rPr>
        <w:br/>
      </w:r>
    </w:p>
    <w:p w14:paraId="3BD57EBE" w14:textId="01E991C1" w:rsidR="00573652" w:rsidRDefault="00573652" w:rsidP="00573652">
      <w:pPr>
        <w:tabs>
          <w:tab w:val="left" w:pos="1176"/>
          <w:tab w:val="left" w:pos="1656"/>
          <w:tab w:val="left" w:pos="5016"/>
          <w:tab w:val="left" w:pos="6696"/>
          <w:tab w:val="left" w:pos="8256"/>
        </w:tabs>
        <w:ind w:left="475"/>
      </w:pPr>
      <w:r w:rsidRPr="00573652">
        <w:t xml:space="preserve">The Consumer Expenditure (CE) </w:t>
      </w:r>
      <w:r>
        <w:t>Survey is a nationwide household survey conducted jointly by the U.S. Bureau of Labor Statistics and the U.S. Census Bureau to find out how Americans spend their money.  Its data are collected from a representative sample of households drawn in a two-stage sampl</w:t>
      </w:r>
      <w:r w:rsidR="00D84E97">
        <w:t>ing</w:t>
      </w:r>
      <w:r>
        <w:t xml:space="preserve"> design.  In the first stage a representative sample of counties from around the United States is selected for the survey.  In the second stage a representative sample of households is selected from those counties.  This two-stage sampling process is designed to generate a sample of households </w:t>
      </w:r>
      <w:r w:rsidR="00807513">
        <w:t>for</w:t>
      </w:r>
      <w:r>
        <w:t xml:space="preserve"> which every wealth level is well-represented in the survey.  The rest of this section describes these two sampling stages in more detail.</w:t>
      </w:r>
    </w:p>
    <w:p w14:paraId="28CA7D1E" w14:textId="77777777" w:rsidR="00573652" w:rsidRDefault="00573652" w:rsidP="00573652">
      <w:pPr>
        <w:tabs>
          <w:tab w:val="left" w:pos="1176"/>
          <w:tab w:val="left" w:pos="1656"/>
          <w:tab w:val="left" w:pos="5016"/>
          <w:tab w:val="left" w:pos="6696"/>
          <w:tab w:val="left" w:pos="8256"/>
        </w:tabs>
        <w:ind w:left="475"/>
      </w:pPr>
    </w:p>
    <w:p w14:paraId="7B2EAB41" w14:textId="78895760" w:rsidR="00573652" w:rsidRPr="00573652" w:rsidRDefault="0089011E" w:rsidP="00573652">
      <w:pPr>
        <w:tabs>
          <w:tab w:val="left" w:pos="1176"/>
          <w:tab w:val="left" w:pos="1656"/>
          <w:tab w:val="left" w:pos="5016"/>
          <w:tab w:val="left" w:pos="6696"/>
          <w:tab w:val="left" w:pos="8256"/>
        </w:tabs>
        <w:ind w:left="475"/>
      </w:pPr>
      <w:r>
        <w:t>For more details</w:t>
      </w:r>
      <w:r w:rsidR="00573652">
        <w:t>, please refer to the paper by Danielle Neiman et. al.</w:t>
      </w:r>
      <w:r w:rsidR="00CE58A1">
        <w:t>, “Review of the 2010 Sample Redesign of the Consumer Expenditure Survey” (</w:t>
      </w:r>
      <w:r w:rsidR="00CE58A1" w:rsidRPr="00252F5B">
        <w:t xml:space="preserve">Attachment </w:t>
      </w:r>
      <w:r w:rsidR="00252F5B" w:rsidRPr="00252F5B">
        <w:t>V</w:t>
      </w:r>
      <w:r w:rsidR="00CE58A1" w:rsidRPr="00CE58A1">
        <w:t>); or “</w:t>
      </w:r>
      <w:r w:rsidR="00CE58A1" w:rsidRPr="00E3685C">
        <w:t>Selecting a</w:t>
      </w:r>
      <w:r w:rsidR="00CE58A1">
        <w:t xml:space="preserve"> Sample </w:t>
      </w:r>
      <w:r w:rsidR="00CE58A1" w:rsidRPr="00E3685C">
        <w:t>of Households</w:t>
      </w:r>
      <w:r w:rsidR="00CE58A1">
        <w:t xml:space="preserve"> for the Consumer Expenditure Survey” </w:t>
      </w:r>
      <w:r w:rsidRPr="00CE58A1">
        <w:t xml:space="preserve">by Susan King </w:t>
      </w:r>
      <w:r w:rsidR="00CE58A1">
        <w:t>(Attachment P).</w:t>
      </w:r>
    </w:p>
    <w:p w14:paraId="47E9FBE8" w14:textId="77777777" w:rsidR="00807513" w:rsidRDefault="00807513" w:rsidP="00573652">
      <w:pPr>
        <w:tabs>
          <w:tab w:val="left" w:pos="1176"/>
          <w:tab w:val="left" w:pos="1656"/>
          <w:tab w:val="left" w:pos="5016"/>
          <w:tab w:val="left" w:pos="6696"/>
          <w:tab w:val="left" w:pos="8256"/>
        </w:tabs>
        <w:ind w:left="475"/>
        <w:rPr>
          <w:u w:val="single"/>
        </w:rPr>
      </w:pPr>
    </w:p>
    <w:p w14:paraId="078927EB" w14:textId="77777777" w:rsidR="00807513" w:rsidRDefault="001041FE" w:rsidP="00573652">
      <w:pPr>
        <w:tabs>
          <w:tab w:val="left" w:pos="1176"/>
          <w:tab w:val="left" w:pos="1656"/>
          <w:tab w:val="left" w:pos="5016"/>
          <w:tab w:val="left" w:pos="6696"/>
          <w:tab w:val="left" w:pos="8256"/>
        </w:tabs>
        <w:ind w:left="475"/>
        <w:rPr>
          <w:u w:val="single"/>
        </w:rPr>
      </w:pPr>
      <w:r>
        <w:rPr>
          <w:u w:val="single"/>
        </w:rPr>
        <w:t>Consumer Units</w:t>
      </w:r>
    </w:p>
    <w:p w14:paraId="51DA578C" w14:textId="15AC3452" w:rsidR="001041FE" w:rsidRDefault="00FE7652" w:rsidP="00573652">
      <w:pPr>
        <w:tabs>
          <w:tab w:val="left" w:pos="1176"/>
          <w:tab w:val="left" w:pos="1656"/>
          <w:tab w:val="left" w:pos="5016"/>
          <w:tab w:val="left" w:pos="6696"/>
          <w:tab w:val="left" w:pos="8256"/>
        </w:tabs>
        <w:ind w:left="475"/>
      </w:pPr>
      <w:r>
        <w:t>A</w:t>
      </w:r>
      <w:r w:rsidR="001041FE">
        <w:t xml:space="preserve"> </w:t>
      </w:r>
      <w:r w:rsidR="002374B8">
        <w:t>consumer unit (</w:t>
      </w:r>
      <w:r w:rsidR="001041FE">
        <w:t>CU</w:t>
      </w:r>
      <w:r w:rsidR="002374B8">
        <w:t>)</w:t>
      </w:r>
      <w:r w:rsidR="001041FE">
        <w:t xml:space="preserve"> is the unit from which</w:t>
      </w:r>
      <w:r w:rsidR="002374B8">
        <w:t xml:space="preserve"> the </w:t>
      </w:r>
      <w:r w:rsidR="00922782">
        <w:t>CE</w:t>
      </w:r>
      <w:r w:rsidR="002374B8">
        <w:t xml:space="preserve"> </w:t>
      </w:r>
      <w:r w:rsidR="001041FE">
        <w:t>seek</w:t>
      </w:r>
      <w:r w:rsidR="00922782">
        <w:t>s</w:t>
      </w:r>
      <w:r w:rsidR="001041FE">
        <w:t xml:space="preserve"> expenditure reports.  It consists of </w:t>
      </w:r>
      <w:r w:rsidR="00B701C1">
        <w:t xml:space="preserve">1) </w:t>
      </w:r>
      <w:r w:rsidR="001041FE">
        <w:t xml:space="preserve">all </w:t>
      </w:r>
      <w:r w:rsidR="00B701C1">
        <w:t xml:space="preserve">members of a housing unit who are </w:t>
      </w:r>
      <w:r w:rsidR="001041FE">
        <w:t>related by blood, marriage, adoption, or some other legal arrangement</w:t>
      </w:r>
      <w:r w:rsidR="00B701C1">
        <w:t xml:space="preserve"> such as foster children; 2) two or more unrelated people </w:t>
      </w:r>
      <w:r w:rsidR="00696B74">
        <w:t>l</w:t>
      </w:r>
      <w:r w:rsidR="00B701C1">
        <w:t>iv</w:t>
      </w:r>
      <w:r w:rsidR="00696B74">
        <w:t>ing</w:t>
      </w:r>
      <w:r w:rsidR="00B701C1">
        <w:t xml:space="preserve"> together </w:t>
      </w:r>
      <w:r w:rsidR="00696B74">
        <w:t>who</w:t>
      </w:r>
      <w:r w:rsidR="00B701C1">
        <w:t xml:space="preserve"> pool their income</w:t>
      </w:r>
      <w:r w:rsidR="00696B74">
        <w:t>s</w:t>
      </w:r>
      <w:r w:rsidR="00B701C1">
        <w:t xml:space="preserve"> to make joint expenditure decisions; </w:t>
      </w:r>
      <w:r w:rsidR="0040270D">
        <w:t>3</w:t>
      </w:r>
      <w:r w:rsidR="00B701C1">
        <w:t xml:space="preserve">) a </w:t>
      </w:r>
      <w:r w:rsidR="00696B74">
        <w:t xml:space="preserve">single </w:t>
      </w:r>
      <w:r w:rsidR="00B701C1">
        <w:t>person shar</w:t>
      </w:r>
      <w:r w:rsidR="00E61029">
        <w:t>ing</w:t>
      </w:r>
      <w:r w:rsidR="00B701C1">
        <w:t xml:space="preserve"> a housing unit with </w:t>
      </w:r>
      <w:r w:rsidR="00807513">
        <w:t>unrelated</w:t>
      </w:r>
      <w:r w:rsidR="000406FF">
        <w:t xml:space="preserve"> people</w:t>
      </w:r>
      <w:r w:rsidR="00B701C1">
        <w:t xml:space="preserve"> but who </w:t>
      </w:r>
      <w:r w:rsidR="00B701C1">
        <w:lastRenderedPageBreak/>
        <w:t>is financially independent of the</w:t>
      </w:r>
      <w:r w:rsidR="00807513">
        <w:t>m</w:t>
      </w:r>
      <w:r w:rsidR="0040270D">
        <w:t>; or 4) a person living alone</w:t>
      </w:r>
      <w:r w:rsidR="00B701C1">
        <w:t>.</w:t>
      </w:r>
      <w:r w:rsidR="00001A88">
        <w:rPr>
          <w:rStyle w:val="FootnoteReference"/>
        </w:rPr>
        <w:footnoteReference w:id="1"/>
      </w:r>
      <w:r w:rsidR="002971F3">
        <w:t xml:space="preserve">  </w:t>
      </w:r>
      <w:r w:rsidR="00345794">
        <w:t>There are approximately 12</w:t>
      </w:r>
      <w:r w:rsidR="00696B74">
        <w:t>8</w:t>
      </w:r>
      <w:r w:rsidR="00345794">
        <w:t xml:space="preserve"> million CUs in the CE’s universe</w:t>
      </w:r>
      <w:r w:rsidR="00C364F6">
        <w:t xml:space="preserve">, and approximately 97 percent of all occupied </w:t>
      </w:r>
      <w:r w:rsidR="00D935E4">
        <w:t>housing units</w:t>
      </w:r>
      <w:r w:rsidR="00C364F6">
        <w:t xml:space="preserve"> are occupied by a single CU</w:t>
      </w:r>
      <w:r w:rsidR="00345794">
        <w:t>.</w:t>
      </w:r>
      <w:r w:rsidR="00001A88">
        <w:rPr>
          <w:rStyle w:val="FootnoteReference"/>
        </w:rPr>
        <w:footnoteReference w:id="2"/>
      </w:r>
    </w:p>
    <w:p w14:paraId="405D826E" w14:textId="77777777" w:rsidR="001041FE" w:rsidRDefault="001041FE" w:rsidP="00D21F06">
      <w:pPr>
        <w:tabs>
          <w:tab w:val="left" w:pos="1176"/>
          <w:tab w:val="left" w:pos="1656"/>
          <w:tab w:val="left" w:pos="5016"/>
          <w:tab w:val="left" w:pos="6696"/>
          <w:tab w:val="left" w:pos="8256"/>
        </w:tabs>
        <w:ind w:left="475"/>
      </w:pPr>
    </w:p>
    <w:p w14:paraId="445394CA" w14:textId="623DDFC2" w:rsidR="001041FE" w:rsidRDefault="001041FE" w:rsidP="001041FE">
      <w:pPr>
        <w:tabs>
          <w:tab w:val="left" w:pos="1176"/>
          <w:tab w:val="left" w:pos="1656"/>
          <w:tab w:val="left" w:pos="5016"/>
          <w:tab w:val="left" w:pos="6696"/>
          <w:tab w:val="left" w:pos="8256"/>
        </w:tabs>
        <w:ind w:left="480"/>
      </w:pPr>
      <w:r>
        <w:t xml:space="preserve">The following table shows </w:t>
      </w:r>
      <w:r w:rsidR="000406FF">
        <w:t xml:space="preserve">the </w:t>
      </w:r>
      <w:r>
        <w:t xml:space="preserve">estimated number of CUs </w:t>
      </w:r>
      <w:r w:rsidRPr="00E3685C">
        <w:t xml:space="preserve">in </w:t>
      </w:r>
      <w:r>
        <w:t xml:space="preserve">all 91 strata from which </w:t>
      </w:r>
      <w:r w:rsidR="00CE58A1">
        <w:t xml:space="preserve">CE’s </w:t>
      </w:r>
      <w:r>
        <w:t>PSUs were selected.</w:t>
      </w:r>
      <w:r w:rsidR="00001A88">
        <w:rPr>
          <w:rStyle w:val="FootnoteReference"/>
        </w:rPr>
        <w:footnoteReference w:id="3"/>
      </w:r>
      <w:r>
        <w:t xml:space="preserve">  </w:t>
      </w:r>
      <w:r w:rsidR="00DD0AC6">
        <w:t>Please s</w:t>
      </w:r>
      <w:r>
        <w:t xml:space="preserve">ee </w:t>
      </w:r>
      <w:r w:rsidR="00D84E97">
        <w:t>S</w:t>
      </w:r>
      <w:r>
        <w:t xml:space="preserve">ection </w:t>
      </w:r>
      <w:r w:rsidR="00DD0AC6">
        <w:t xml:space="preserve">2 </w:t>
      </w:r>
      <w:r>
        <w:t>below entitled “</w:t>
      </w:r>
      <w:r w:rsidR="004E5426">
        <w:t>Primary Sampling Units (</w:t>
      </w:r>
      <w:r>
        <w:t>PSUs</w:t>
      </w:r>
      <w:r w:rsidR="004E5426">
        <w:t>)</w:t>
      </w:r>
      <w:r>
        <w:t>” for more information.</w:t>
      </w:r>
    </w:p>
    <w:p w14:paraId="1C2C61AD" w14:textId="77777777" w:rsidR="00FD7E10" w:rsidRDefault="00FD7E10">
      <w:pPr>
        <w:rPr>
          <w:b/>
          <w:u w:val="single"/>
        </w:rPr>
      </w:pPr>
      <w:r>
        <w:rPr>
          <w:b/>
          <w:u w:val="single"/>
        </w:rPr>
        <w:br w:type="page"/>
      </w:r>
    </w:p>
    <w:p w14:paraId="3DF70757" w14:textId="6EE68294" w:rsidR="001041FE" w:rsidRPr="00E3685C" w:rsidRDefault="001041FE" w:rsidP="001041FE">
      <w:pPr>
        <w:tabs>
          <w:tab w:val="left" w:pos="1176"/>
          <w:tab w:val="left" w:pos="1656"/>
          <w:tab w:val="left" w:pos="5016"/>
          <w:tab w:val="left" w:pos="6696"/>
          <w:tab w:val="left" w:pos="8256"/>
        </w:tabs>
        <w:jc w:val="center"/>
        <w:rPr>
          <w:b/>
          <w:u w:val="single"/>
        </w:rPr>
      </w:pPr>
      <w:r w:rsidRPr="00E3685C">
        <w:rPr>
          <w:b/>
          <w:u w:val="single"/>
        </w:rPr>
        <w:lastRenderedPageBreak/>
        <w:t>Estimated Number of CUs in CE’s 91 Strata</w:t>
      </w:r>
    </w:p>
    <w:p w14:paraId="48E172DD" w14:textId="77777777" w:rsidR="001041FE" w:rsidRDefault="001041FE" w:rsidP="001041FE">
      <w:pPr>
        <w:tabs>
          <w:tab w:val="left" w:pos="1176"/>
          <w:tab w:val="left" w:pos="1656"/>
          <w:tab w:val="left" w:pos="5016"/>
          <w:tab w:val="left" w:pos="6696"/>
          <w:tab w:val="left" w:pos="8256"/>
        </w:tabs>
      </w:pPr>
    </w:p>
    <w:p w14:paraId="0C007576" w14:textId="77777777" w:rsidR="001041FE" w:rsidRPr="00E3685C" w:rsidRDefault="001041FE" w:rsidP="001041FE">
      <w:pPr>
        <w:tabs>
          <w:tab w:val="left" w:pos="1176"/>
          <w:tab w:val="left" w:pos="1656"/>
          <w:tab w:val="left" w:pos="5016"/>
          <w:tab w:val="left" w:pos="6696"/>
          <w:tab w:val="left" w:pos="8256"/>
        </w:tabs>
        <w:ind w:left="480"/>
        <w:rPr>
          <w:sz w:val="16"/>
          <w:szCs w:val="16"/>
        </w:rPr>
        <w:sectPr w:rsidR="001041FE" w:rsidRPr="00E3685C" w:rsidSect="00CF7199">
          <w:headerReference w:type="default" r:id="rId9"/>
          <w:footerReference w:type="default" r:id="rId10"/>
          <w:type w:val="continuous"/>
          <w:pgSz w:w="12240" w:h="15840"/>
          <w:pgMar w:top="1440" w:right="1800" w:bottom="1440" w:left="1800" w:header="720" w:footer="720" w:gutter="0"/>
          <w:cols w:space="720"/>
          <w:docGrid w:linePitch="360"/>
        </w:sectPr>
      </w:pPr>
    </w:p>
    <w:tbl>
      <w:tblPr>
        <w:tblStyle w:val="TableGrid"/>
        <w:tblW w:w="253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70"/>
        <w:gridCol w:w="1468"/>
      </w:tblGrid>
      <w:tr w:rsidR="007B3408" w:rsidRPr="00990663" w14:paraId="0DB9629D" w14:textId="77777777" w:rsidTr="007B3408">
        <w:trPr>
          <w:jc w:val="center"/>
        </w:trPr>
        <w:tc>
          <w:tcPr>
            <w:tcW w:w="1022" w:type="dxa"/>
            <w:vAlign w:val="center"/>
          </w:tcPr>
          <w:p w14:paraId="0B024B6D" w14:textId="77777777" w:rsidR="007B3408" w:rsidRPr="00990663" w:rsidRDefault="007B3408" w:rsidP="001D729C">
            <w:pPr>
              <w:autoSpaceDE w:val="0"/>
              <w:autoSpaceDN w:val="0"/>
              <w:adjustRightInd w:val="0"/>
              <w:jc w:val="center"/>
              <w:rPr>
                <w:b/>
              </w:rPr>
            </w:pPr>
            <w:r w:rsidRPr="00990663">
              <w:rPr>
                <w:b/>
              </w:rPr>
              <w:t>Stratum Code</w:t>
            </w:r>
          </w:p>
        </w:tc>
        <w:tc>
          <w:tcPr>
            <w:tcW w:w="1516" w:type="dxa"/>
            <w:vAlign w:val="center"/>
          </w:tcPr>
          <w:p w14:paraId="72143EC8" w14:textId="77777777" w:rsidR="007B3408" w:rsidRPr="00990663" w:rsidRDefault="007B3408" w:rsidP="001D729C">
            <w:pPr>
              <w:autoSpaceDE w:val="0"/>
              <w:autoSpaceDN w:val="0"/>
              <w:adjustRightInd w:val="0"/>
              <w:jc w:val="center"/>
              <w:rPr>
                <w:b/>
              </w:rPr>
            </w:pPr>
            <w:r w:rsidRPr="00990663">
              <w:rPr>
                <w:b/>
              </w:rPr>
              <w:t>Estimated Number of CUs in the Stratum</w:t>
            </w:r>
          </w:p>
        </w:tc>
      </w:tr>
      <w:tr w:rsidR="007B3408" w:rsidRPr="00990663" w14:paraId="66674D3C" w14:textId="77777777" w:rsidTr="007B3408">
        <w:trPr>
          <w:jc w:val="center"/>
        </w:trPr>
        <w:tc>
          <w:tcPr>
            <w:tcW w:w="1022" w:type="dxa"/>
            <w:vAlign w:val="center"/>
          </w:tcPr>
          <w:p w14:paraId="1C08E080" w14:textId="77777777" w:rsidR="007B3408" w:rsidRPr="00990663" w:rsidRDefault="007B3408" w:rsidP="001D729C">
            <w:pPr>
              <w:autoSpaceDE w:val="0"/>
              <w:autoSpaceDN w:val="0"/>
              <w:adjustRightInd w:val="0"/>
              <w:jc w:val="center"/>
            </w:pPr>
            <w:r w:rsidRPr="00990663">
              <w:t>S11A</w:t>
            </w:r>
          </w:p>
        </w:tc>
        <w:tc>
          <w:tcPr>
            <w:tcW w:w="1516" w:type="dxa"/>
            <w:vAlign w:val="center"/>
          </w:tcPr>
          <w:p w14:paraId="1B996292" w14:textId="77777777" w:rsidR="007B3408" w:rsidRPr="00990663" w:rsidRDefault="007B3408" w:rsidP="001D729C">
            <w:pPr>
              <w:autoSpaceDE w:val="0"/>
              <w:autoSpaceDN w:val="0"/>
              <w:adjustRightInd w:val="0"/>
              <w:jc w:val="center"/>
            </w:pPr>
            <w:r w:rsidRPr="00990663">
              <w:t>1,887,339</w:t>
            </w:r>
          </w:p>
        </w:tc>
      </w:tr>
      <w:tr w:rsidR="007B3408" w:rsidRPr="00990663" w14:paraId="418CB750" w14:textId="77777777" w:rsidTr="007B3408">
        <w:trPr>
          <w:jc w:val="center"/>
        </w:trPr>
        <w:tc>
          <w:tcPr>
            <w:tcW w:w="1022" w:type="dxa"/>
            <w:vAlign w:val="center"/>
          </w:tcPr>
          <w:p w14:paraId="240ADA9A" w14:textId="77777777" w:rsidR="007B3408" w:rsidRPr="00990663" w:rsidRDefault="007B3408" w:rsidP="001D729C">
            <w:pPr>
              <w:autoSpaceDE w:val="0"/>
              <w:autoSpaceDN w:val="0"/>
              <w:adjustRightInd w:val="0"/>
              <w:jc w:val="center"/>
            </w:pPr>
            <w:r w:rsidRPr="00990663">
              <w:t>S12A</w:t>
            </w:r>
          </w:p>
        </w:tc>
        <w:tc>
          <w:tcPr>
            <w:tcW w:w="1516" w:type="dxa"/>
            <w:vAlign w:val="center"/>
          </w:tcPr>
          <w:p w14:paraId="4F711DB0" w14:textId="77777777" w:rsidR="007B3408" w:rsidRPr="00990663" w:rsidRDefault="007B3408" w:rsidP="001D729C">
            <w:pPr>
              <w:autoSpaceDE w:val="0"/>
              <w:autoSpaceDN w:val="0"/>
              <w:adjustRightInd w:val="0"/>
              <w:jc w:val="center"/>
            </w:pPr>
            <w:r w:rsidRPr="00990663">
              <w:t>8,112,274</w:t>
            </w:r>
          </w:p>
        </w:tc>
      </w:tr>
      <w:tr w:rsidR="007B3408" w:rsidRPr="00990663" w14:paraId="7B819276" w14:textId="77777777" w:rsidTr="007B3408">
        <w:trPr>
          <w:jc w:val="center"/>
        </w:trPr>
        <w:tc>
          <w:tcPr>
            <w:tcW w:w="1022" w:type="dxa"/>
            <w:vAlign w:val="center"/>
          </w:tcPr>
          <w:p w14:paraId="4E6151C0" w14:textId="77777777" w:rsidR="007B3408" w:rsidRPr="00990663" w:rsidRDefault="007B3408" w:rsidP="001D729C">
            <w:pPr>
              <w:autoSpaceDE w:val="0"/>
              <w:autoSpaceDN w:val="0"/>
              <w:adjustRightInd w:val="0"/>
              <w:jc w:val="center"/>
            </w:pPr>
            <w:r w:rsidRPr="00990663">
              <w:t>S12B</w:t>
            </w:r>
          </w:p>
        </w:tc>
        <w:tc>
          <w:tcPr>
            <w:tcW w:w="1516" w:type="dxa"/>
            <w:vAlign w:val="center"/>
          </w:tcPr>
          <w:p w14:paraId="068A1CDA" w14:textId="77777777" w:rsidR="007B3408" w:rsidRPr="00990663" w:rsidRDefault="007B3408" w:rsidP="001D729C">
            <w:pPr>
              <w:autoSpaceDE w:val="0"/>
              <w:autoSpaceDN w:val="0"/>
              <w:adjustRightInd w:val="0"/>
              <w:jc w:val="center"/>
            </w:pPr>
            <w:r w:rsidRPr="00990663">
              <w:t>2,473,117</w:t>
            </w:r>
          </w:p>
        </w:tc>
      </w:tr>
      <w:tr w:rsidR="007B3408" w:rsidRPr="00990663" w14:paraId="26D5A5CA" w14:textId="77777777" w:rsidTr="007B3408">
        <w:trPr>
          <w:jc w:val="center"/>
        </w:trPr>
        <w:tc>
          <w:tcPr>
            <w:tcW w:w="1022" w:type="dxa"/>
            <w:vAlign w:val="center"/>
          </w:tcPr>
          <w:p w14:paraId="34DCACB5" w14:textId="77777777" w:rsidR="007B3408" w:rsidRPr="00990663" w:rsidRDefault="007B3408" w:rsidP="001D729C">
            <w:pPr>
              <w:autoSpaceDE w:val="0"/>
              <w:autoSpaceDN w:val="0"/>
              <w:adjustRightInd w:val="0"/>
              <w:jc w:val="center"/>
            </w:pPr>
            <w:r w:rsidRPr="00990663">
              <w:t>S23A</w:t>
            </w:r>
          </w:p>
        </w:tc>
        <w:tc>
          <w:tcPr>
            <w:tcW w:w="1516" w:type="dxa"/>
            <w:vAlign w:val="center"/>
          </w:tcPr>
          <w:p w14:paraId="10DA6EB4" w14:textId="77777777" w:rsidR="007B3408" w:rsidRPr="00990663" w:rsidRDefault="007B3408" w:rsidP="001D729C">
            <w:pPr>
              <w:autoSpaceDE w:val="0"/>
              <w:autoSpaceDN w:val="0"/>
              <w:adjustRightInd w:val="0"/>
              <w:jc w:val="center"/>
            </w:pPr>
            <w:r w:rsidRPr="00990663">
              <w:t>3,922,393</w:t>
            </w:r>
          </w:p>
        </w:tc>
      </w:tr>
      <w:tr w:rsidR="007B3408" w:rsidRPr="00990663" w14:paraId="253111D9" w14:textId="77777777" w:rsidTr="007B3408">
        <w:trPr>
          <w:jc w:val="center"/>
        </w:trPr>
        <w:tc>
          <w:tcPr>
            <w:tcW w:w="1022" w:type="dxa"/>
            <w:vAlign w:val="center"/>
          </w:tcPr>
          <w:p w14:paraId="6D460B46" w14:textId="77777777" w:rsidR="007B3408" w:rsidRPr="00990663" w:rsidRDefault="007B3408" w:rsidP="001D729C">
            <w:pPr>
              <w:autoSpaceDE w:val="0"/>
              <w:autoSpaceDN w:val="0"/>
              <w:adjustRightInd w:val="0"/>
              <w:jc w:val="center"/>
            </w:pPr>
            <w:r w:rsidRPr="00990663">
              <w:t>S23B</w:t>
            </w:r>
          </w:p>
        </w:tc>
        <w:tc>
          <w:tcPr>
            <w:tcW w:w="1516" w:type="dxa"/>
            <w:vAlign w:val="center"/>
          </w:tcPr>
          <w:p w14:paraId="332B74EA" w14:textId="77777777" w:rsidR="007B3408" w:rsidRPr="00990663" w:rsidRDefault="007B3408" w:rsidP="001D729C">
            <w:pPr>
              <w:autoSpaceDE w:val="0"/>
              <w:autoSpaceDN w:val="0"/>
              <w:adjustRightInd w:val="0"/>
              <w:jc w:val="center"/>
            </w:pPr>
            <w:r w:rsidRPr="00990663">
              <w:t>1,781,143</w:t>
            </w:r>
          </w:p>
        </w:tc>
      </w:tr>
      <w:tr w:rsidR="007B3408" w:rsidRPr="00990663" w14:paraId="508395F3" w14:textId="77777777" w:rsidTr="007B3408">
        <w:trPr>
          <w:jc w:val="center"/>
        </w:trPr>
        <w:tc>
          <w:tcPr>
            <w:tcW w:w="1022" w:type="dxa"/>
            <w:vAlign w:val="center"/>
          </w:tcPr>
          <w:p w14:paraId="66866754" w14:textId="77777777" w:rsidR="007B3408" w:rsidRPr="00990663" w:rsidRDefault="007B3408" w:rsidP="001D729C">
            <w:pPr>
              <w:autoSpaceDE w:val="0"/>
              <w:autoSpaceDN w:val="0"/>
              <w:adjustRightInd w:val="0"/>
              <w:jc w:val="center"/>
            </w:pPr>
            <w:r w:rsidRPr="00990663">
              <w:t>S24A</w:t>
            </w:r>
          </w:p>
        </w:tc>
        <w:tc>
          <w:tcPr>
            <w:tcW w:w="1516" w:type="dxa"/>
            <w:vAlign w:val="center"/>
          </w:tcPr>
          <w:p w14:paraId="4D36F5E1" w14:textId="77777777" w:rsidR="007B3408" w:rsidRPr="00990663" w:rsidRDefault="007B3408" w:rsidP="001D729C">
            <w:pPr>
              <w:autoSpaceDE w:val="0"/>
              <w:autoSpaceDN w:val="0"/>
              <w:adjustRightInd w:val="0"/>
              <w:jc w:val="center"/>
            </w:pPr>
            <w:r w:rsidRPr="00990663">
              <w:t>1,388,373</w:t>
            </w:r>
          </w:p>
        </w:tc>
      </w:tr>
      <w:tr w:rsidR="007B3408" w:rsidRPr="00990663" w14:paraId="07A8D19E" w14:textId="77777777" w:rsidTr="007B3408">
        <w:trPr>
          <w:jc w:val="center"/>
        </w:trPr>
        <w:tc>
          <w:tcPr>
            <w:tcW w:w="1022" w:type="dxa"/>
            <w:vAlign w:val="center"/>
          </w:tcPr>
          <w:p w14:paraId="631C639E" w14:textId="77777777" w:rsidR="007B3408" w:rsidRPr="00990663" w:rsidRDefault="007B3408" w:rsidP="001D729C">
            <w:pPr>
              <w:autoSpaceDE w:val="0"/>
              <w:autoSpaceDN w:val="0"/>
              <w:adjustRightInd w:val="0"/>
              <w:jc w:val="center"/>
            </w:pPr>
            <w:r w:rsidRPr="00990663">
              <w:t>S24B</w:t>
            </w:r>
          </w:p>
        </w:tc>
        <w:tc>
          <w:tcPr>
            <w:tcW w:w="1516" w:type="dxa"/>
            <w:vAlign w:val="center"/>
          </w:tcPr>
          <w:p w14:paraId="53268428" w14:textId="77777777" w:rsidR="007B3408" w:rsidRPr="00990663" w:rsidRDefault="007B3408" w:rsidP="001D729C">
            <w:pPr>
              <w:autoSpaceDE w:val="0"/>
              <w:autoSpaceDN w:val="0"/>
              <w:adjustRightInd w:val="0"/>
              <w:jc w:val="center"/>
            </w:pPr>
            <w:r w:rsidRPr="00990663">
              <w:t>1,155,728</w:t>
            </w:r>
          </w:p>
        </w:tc>
      </w:tr>
      <w:tr w:rsidR="007B3408" w:rsidRPr="00990663" w14:paraId="294E5FBA" w14:textId="77777777" w:rsidTr="007B3408">
        <w:trPr>
          <w:jc w:val="center"/>
        </w:trPr>
        <w:tc>
          <w:tcPr>
            <w:tcW w:w="1022" w:type="dxa"/>
            <w:vAlign w:val="center"/>
          </w:tcPr>
          <w:p w14:paraId="727E6121" w14:textId="77777777" w:rsidR="007B3408" w:rsidRPr="00990663" w:rsidRDefault="007B3408" w:rsidP="001D729C">
            <w:pPr>
              <w:autoSpaceDE w:val="0"/>
              <w:autoSpaceDN w:val="0"/>
              <w:adjustRightInd w:val="0"/>
              <w:jc w:val="center"/>
            </w:pPr>
            <w:r w:rsidRPr="00990663">
              <w:t>S35A</w:t>
            </w:r>
          </w:p>
        </w:tc>
        <w:tc>
          <w:tcPr>
            <w:tcW w:w="1516" w:type="dxa"/>
            <w:vAlign w:val="center"/>
          </w:tcPr>
          <w:p w14:paraId="75611ACF" w14:textId="77777777" w:rsidR="007B3408" w:rsidRPr="00990663" w:rsidRDefault="007B3408" w:rsidP="001D729C">
            <w:pPr>
              <w:autoSpaceDE w:val="0"/>
              <w:autoSpaceDN w:val="0"/>
              <w:adjustRightInd w:val="0"/>
              <w:jc w:val="center"/>
            </w:pPr>
            <w:r w:rsidRPr="00990663">
              <w:t>2,336,674</w:t>
            </w:r>
          </w:p>
        </w:tc>
      </w:tr>
      <w:tr w:rsidR="007B3408" w:rsidRPr="00990663" w14:paraId="0BF6726F" w14:textId="77777777" w:rsidTr="007B3408">
        <w:trPr>
          <w:jc w:val="center"/>
        </w:trPr>
        <w:tc>
          <w:tcPr>
            <w:tcW w:w="1022" w:type="dxa"/>
            <w:vAlign w:val="center"/>
          </w:tcPr>
          <w:p w14:paraId="3EBB2508" w14:textId="77777777" w:rsidR="007B3408" w:rsidRPr="00990663" w:rsidRDefault="007B3408" w:rsidP="001D729C">
            <w:pPr>
              <w:autoSpaceDE w:val="0"/>
              <w:autoSpaceDN w:val="0"/>
              <w:adjustRightInd w:val="0"/>
              <w:jc w:val="center"/>
            </w:pPr>
            <w:r w:rsidRPr="00990663">
              <w:t>S35B</w:t>
            </w:r>
          </w:p>
        </w:tc>
        <w:tc>
          <w:tcPr>
            <w:tcW w:w="1516" w:type="dxa"/>
            <w:vAlign w:val="center"/>
          </w:tcPr>
          <w:p w14:paraId="2C88822B" w14:textId="77777777" w:rsidR="007B3408" w:rsidRPr="00990663" w:rsidRDefault="007B3408" w:rsidP="001D729C">
            <w:pPr>
              <w:autoSpaceDE w:val="0"/>
              <w:autoSpaceDN w:val="0"/>
              <w:adjustRightInd w:val="0"/>
              <w:jc w:val="center"/>
            </w:pPr>
            <w:r w:rsidRPr="00990663">
              <w:t>2,306,991</w:t>
            </w:r>
          </w:p>
        </w:tc>
      </w:tr>
      <w:tr w:rsidR="007B3408" w:rsidRPr="00990663" w14:paraId="6CCC7366" w14:textId="77777777" w:rsidTr="007B3408">
        <w:trPr>
          <w:jc w:val="center"/>
        </w:trPr>
        <w:tc>
          <w:tcPr>
            <w:tcW w:w="1022" w:type="dxa"/>
            <w:vAlign w:val="center"/>
          </w:tcPr>
          <w:p w14:paraId="0890B264" w14:textId="77777777" w:rsidR="007B3408" w:rsidRPr="00990663" w:rsidRDefault="007B3408" w:rsidP="001D729C">
            <w:pPr>
              <w:autoSpaceDE w:val="0"/>
              <w:autoSpaceDN w:val="0"/>
              <w:adjustRightInd w:val="0"/>
              <w:jc w:val="center"/>
            </w:pPr>
            <w:r w:rsidRPr="00990663">
              <w:t>S35C</w:t>
            </w:r>
          </w:p>
        </w:tc>
        <w:tc>
          <w:tcPr>
            <w:tcW w:w="1516" w:type="dxa"/>
            <w:vAlign w:val="center"/>
          </w:tcPr>
          <w:p w14:paraId="3218644C" w14:textId="77777777" w:rsidR="007B3408" w:rsidRPr="00990663" w:rsidRDefault="007B3408" w:rsidP="001D729C">
            <w:pPr>
              <w:autoSpaceDE w:val="0"/>
              <w:autoSpaceDN w:val="0"/>
              <w:adjustRightInd w:val="0"/>
              <w:jc w:val="center"/>
            </w:pPr>
            <w:r w:rsidRPr="00990663">
              <w:t>2,191,776</w:t>
            </w:r>
          </w:p>
        </w:tc>
      </w:tr>
      <w:tr w:rsidR="007B3408" w:rsidRPr="00990663" w14:paraId="6310297B" w14:textId="77777777" w:rsidTr="007B3408">
        <w:trPr>
          <w:jc w:val="center"/>
        </w:trPr>
        <w:tc>
          <w:tcPr>
            <w:tcW w:w="1022" w:type="dxa"/>
            <w:vAlign w:val="center"/>
          </w:tcPr>
          <w:p w14:paraId="7A740E4E" w14:textId="77777777" w:rsidR="007B3408" w:rsidRPr="00990663" w:rsidRDefault="007B3408" w:rsidP="001D729C">
            <w:pPr>
              <w:autoSpaceDE w:val="0"/>
              <w:autoSpaceDN w:val="0"/>
              <w:adjustRightInd w:val="0"/>
              <w:jc w:val="center"/>
            </w:pPr>
            <w:r w:rsidRPr="00990663">
              <w:t>S35D</w:t>
            </w:r>
          </w:p>
        </w:tc>
        <w:tc>
          <w:tcPr>
            <w:tcW w:w="1516" w:type="dxa"/>
            <w:vAlign w:val="center"/>
          </w:tcPr>
          <w:p w14:paraId="5155C916" w14:textId="77777777" w:rsidR="007B3408" w:rsidRPr="00990663" w:rsidRDefault="007B3408" w:rsidP="001D729C">
            <w:pPr>
              <w:autoSpaceDE w:val="0"/>
              <w:autoSpaceDN w:val="0"/>
              <w:adjustRightInd w:val="0"/>
              <w:jc w:val="center"/>
            </w:pPr>
            <w:r w:rsidRPr="00990663">
              <w:t>1,153,879</w:t>
            </w:r>
          </w:p>
        </w:tc>
      </w:tr>
      <w:tr w:rsidR="007B3408" w:rsidRPr="00990663" w14:paraId="7525D62F" w14:textId="77777777" w:rsidTr="007B3408">
        <w:trPr>
          <w:jc w:val="center"/>
        </w:trPr>
        <w:tc>
          <w:tcPr>
            <w:tcW w:w="1022" w:type="dxa"/>
            <w:vAlign w:val="center"/>
          </w:tcPr>
          <w:p w14:paraId="7E144160" w14:textId="77777777" w:rsidR="007B3408" w:rsidRPr="00990663" w:rsidRDefault="007B3408" w:rsidP="001D729C">
            <w:pPr>
              <w:autoSpaceDE w:val="0"/>
              <w:autoSpaceDN w:val="0"/>
              <w:adjustRightInd w:val="0"/>
              <w:jc w:val="center"/>
            </w:pPr>
            <w:r w:rsidRPr="00990663">
              <w:t>S35E</w:t>
            </w:r>
          </w:p>
        </w:tc>
        <w:tc>
          <w:tcPr>
            <w:tcW w:w="1516" w:type="dxa"/>
            <w:vAlign w:val="center"/>
          </w:tcPr>
          <w:p w14:paraId="6A1CFD14" w14:textId="77777777" w:rsidR="007B3408" w:rsidRPr="00990663" w:rsidRDefault="007B3408" w:rsidP="001D729C">
            <w:pPr>
              <w:autoSpaceDE w:val="0"/>
              <w:autoSpaceDN w:val="0"/>
              <w:adjustRightInd w:val="0"/>
              <w:jc w:val="center"/>
            </w:pPr>
            <w:r w:rsidRPr="00990663">
              <w:t>1,123,717</w:t>
            </w:r>
          </w:p>
        </w:tc>
      </w:tr>
      <w:tr w:rsidR="007B3408" w:rsidRPr="00990663" w14:paraId="53B9D436" w14:textId="77777777" w:rsidTr="007B3408">
        <w:trPr>
          <w:jc w:val="center"/>
        </w:trPr>
        <w:tc>
          <w:tcPr>
            <w:tcW w:w="1022" w:type="dxa"/>
            <w:vAlign w:val="center"/>
          </w:tcPr>
          <w:p w14:paraId="4796B4D2" w14:textId="77777777" w:rsidR="007B3408" w:rsidRPr="00990663" w:rsidRDefault="007B3408" w:rsidP="001D729C">
            <w:pPr>
              <w:autoSpaceDE w:val="0"/>
              <w:autoSpaceDN w:val="0"/>
              <w:adjustRightInd w:val="0"/>
              <w:jc w:val="center"/>
            </w:pPr>
            <w:r w:rsidRPr="00990663">
              <w:t>S37A</w:t>
            </w:r>
          </w:p>
        </w:tc>
        <w:tc>
          <w:tcPr>
            <w:tcW w:w="1516" w:type="dxa"/>
            <w:vAlign w:val="center"/>
          </w:tcPr>
          <w:p w14:paraId="7BA3BDEB" w14:textId="77777777" w:rsidR="007B3408" w:rsidRPr="00990663" w:rsidRDefault="007B3408" w:rsidP="001D729C">
            <w:pPr>
              <w:autoSpaceDE w:val="0"/>
              <w:autoSpaceDN w:val="0"/>
              <w:adjustRightInd w:val="0"/>
              <w:jc w:val="center"/>
            </w:pPr>
            <w:r w:rsidRPr="00990663">
              <w:t>2,664,186</w:t>
            </w:r>
          </w:p>
        </w:tc>
      </w:tr>
      <w:tr w:rsidR="007B3408" w:rsidRPr="00990663" w14:paraId="69C798CB" w14:textId="77777777" w:rsidTr="007B3408">
        <w:trPr>
          <w:jc w:val="center"/>
        </w:trPr>
        <w:tc>
          <w:tcPr>
            <w:tcW w:w="1022" w:type="dxa"/>
            <w:vAlign w:val="center"/>
          </w:tcPr>
          <w:p w14:paraId="1B0EEE91" w14:textId="77777777" w:rsidR="007B3408" w:rsidRPr="00990663" w:rsidRDefault="007B3408" w:rsidP="001D729C">
            <w:pPr>
              <w:autoSpaceDE w:val="0"/>
              <w:autoSpaceDN w:val="0"/>
              <w:adjustRightInd w:val="0"/>
              <w:jc w:val="center"/>
            </w:pPr>
            <w:r w:rsidRPr="00990663">
              <w:t>S37B</w:t>
            </w:r>
          </w:p>
        </w:tc>
        <w:tc>
          <w:tcPr>
            <w:tcW w:w="1516" w:type="dxa"/>
            <w:vAlign w:val="center"/>
          </w:tcPr>
          <w:p w14:paraId="26E2E713" w14:textId="77777777" w:rsidR="007B3408" w:rsidRPr="00990663" w:rsidRDefault="007B3408" w:rsidP="001D729C">
            <w:pPr>
              <w:autoSpaceDE w:val="0"/>
              <w:autoSpaceDN w:val="0"/>
              <w:adjustRightInd w:val="0"/>
              <w:jc w:val="center"/>
            </w:pPr>
            <w:r w:rsidRPr="00990663">
              <w:t>2,454,491</w:t>
            </w:r>
          </w:p>
        </w:tc>
      </w:tr>
      <w:tr w:rsidR="007B3408" w:rsidRPr="00990663" w14:paraId="6C3D12ED" w14:textId="77777777" w:rsidTr="007B3408">
        <w:trPr>
          <w:jc w:val="center"/>
        </w:trPr>
        <w:tc>
          <w:tcPr>
            <w:tcW w:w="1022" w:type="dxa"/>
            <w:vAlign w:val="center"/>
          </w:tcPr>
          <w:p w14:paraId="293D9C3C" w14:textId="77777777" w:rsidR="007B3408" w:rsidRPr="00990663" w:rsidRDefault="007B3408" w:rsidP="001D729C">
            <w:pPr>
              <w:autoSpaceDE w:val="0"/>
              <w:autoSpaceDN w:val="0"/>
              <w:adjustRightInd w:val="0"/>
              <w:jc w:val="center"/>
            </w:pPr>
            <w:r w:rsidRPr="00990663">
              <w:t>S48A</w:t>
            </w:r>
          </w:p>
        </w:tc>
        <w:tc>
          <w:tcPr>
            <w:tcW w:w="1516" w:type="dxa"/>
            <w:vAlign w:val="center"/>
          </w:tcPr>
          <w:p w14:paraId="3B9F6045" w14:textId="77777777" w:rsidR="007B3408" w:rsidRPr="00990663" w:rsidRDefault="007B3408" w:rsidP="001D729C">
            <w:pPr>
              <w:autoSpaceDE w:val="0"/>
              <w:autoSpaceDN w:val="0"/>
              <w:adjustRightInd w:val="0"/>
              <w:jc w:val="center"/>
            </w:pPr>
            <w:r w:rsidRPr="00990663">
              <w:t>1,738,291</w:t>
            </w:r>
          </w:p>
        </w:tc>
      </w:tr>
      <w:tr w:rsidR="007B3408" w:rsidRPr="00990663" w14:paraId="50DB258D" w14:textId="77777777" w:rsidTr="007B3408">
        <w:trPr>
          <w:jc w:val="center"/>
        </w:trPr>
        <w:tc>
          <w:tcPr>
            <w:tcW w:w="1022" w:type="dxa"/>
            <w:vAlign w:val="center"/>
          </w:tcPr>
          <w:p w14:paraId="7E0C0275" w14:textId="77777777" w:rsidR="007B3408" w:rsidRPr="00990663" w:rsidRDefault="007B3408" w:rsidP="001D729C">
            <w:pPr>
              <w:autoSpaceDE w:val="0"/>
              <w:autoSpaceDN w:val="0"/>
              <w:adjustRightInd w:val="0"/>
              <w:jc w:val="center"/>
            </w:pPr>
            <w:r w:rsidRPr="00990663">
              <w:t>S48B</w:t>
            </w:r>
          </w:p>
        </w:tc>
        <w:tc>
          <w:tcPr>
            <w:tcW w:w="1516" w:type="dxa"/>
            <w:vAlign w:val="center"/>
          </w:tcPr>
          <w:p w14:paraId="2DC74628" w14:textId="77777777" w:rsidR="007B3408" w:rsidRPr="00990663" w:rsidRDefault="007B3408" w:rsidP="001D729C">
            <w:pPr>
              <w:autoSpaceDE w:val="0"/>
              <w:autoSpaceDN w:val="0"/>
              <w:adjustRightInd w:val="0"/>
              <w:jc w:val="center"/>
            </w:pPr>
            <w:r w:rsidRPr="00990663">
              <w:t>1,054,479</w:t>
            </w:r>
          </w:p>
        </w:tc>
      </w:tr>
      <w:tr w:rsidR="007B3408" w:rsidRPr="00990663" w14:paraId="092B9AA6" w14:textId="77777777" w:rsidTr="007B3408">
        <w:trPr>
          <w:jc w:val="center"/>
        </w:trPr>
        <w:tc>
          <w:tcPr>
            <w:tcW w:w="1022" w:type="dxa"/>
            <w:vAlign w:val="center"/>
          </w:tcPr>
          <w:p w14:paraId="023C74D5" w14:textId="77777777" w:rsidR="007B3408" w:rsidRPr="00990663" w:rsidRDefault="007B3408" w:rsidP="001D729C">
            <w:pPr>
              <w:autoSpaceDE w:val="0"/>
              <w:autoSpaceDN w:val="0"/>
              <w:adjustRightInd w:val="0"/>
              <w:jc w:val="center"/>
            </w:pPr>
            <w:r w:rsidRPr="00990663">
              <w:t>S49A</w:t>
            </w:r>
          </w:p>
        </w:tc>
        <w:tc>
          <w:tcPr>
            <w:tcW w:w="1516" w:type="dxa"/>
            <w:vAlign w:val="center"/>
          </w:tcPr>
          <w:p w14:paraId="645AC45A" w14:textId="77777777" w:rsidR="007B3408" w:rsidRPr="00990663" w:rsidRDefault="007B3408" w:rsidP="001D729C">
            <w:pPr>
              <w:autoSpaceDE w:val="0"/>
              <w:autoSpaceDN w:val="0"/>
              <w:adjustRightInd w:val="0"/>
              <w:jc w:val="center"/>
            </w:pPr>
            <w:r w:rsidRPr="00990663">
              <w:t>5,318,591</w:t>
            </w:r>
          </w:p>
        </w:tc>
      </w:tr>
      <w:tr w:rsidR="007B3408" w:rsidRPr="00990663" w14:paraId="26B5504E" w14:textId="77777777" w:rsidTr="007B3408">
        <w:trPr>
          <w:jc w:val="center"/>
        </w:trPr>
        <w:tc>
          <w:tcPr>
            <w:tcW w:w="1022" w:type="dxa"/>
            <w:vAlign w:val="center"/>
          </w:tcPr>
          <w:p w14:paraId="68D896A3" w14:textId="77777777" w:rsidR="007B3408" w:rsidRPr="00990663" w:rsidRDefault="007B3408" w:rsidP="001D729C">
            <w:pPr>
              <w:autoSpaceDE w:val="0"/>
              <w:autoSpaceDN w:val="0"/>
              <w:adjustRightInd w:val="0"/>
              <w:jc w:val="center"/>
            </w:pPr>
            <w:r w:rsidRPr="00990663">
              <w:t>S49B</w:t>
            </w:r>
          </w:p>
        </w:tc>
        <w:tc>
          <w:tcPr>
            <w:tcW w:w="1516" w:type="dxa"/>
            <w:vAlign w:val="center"/>
          </w:tcPr>
          <w:p w14:paraId="5817DE3B" w14:textId="77777777" w:rsidR="007B3408" w:rsidRPr="00990663" w:rsidRDefault="007B3408" w:rsidP="001D729C">
            <w:pPr>
              <w:autoSpaceDE w:val="0"/>
              <w:autoSpaceDN w:val="0"/>
              <w:adjustRightInd w:val="0"/>
              <w:jc w:val="center"/>
            </w:pPr>
            <w:r w:rsidRPr="00990663">
              <w:t>1,797,370</w:t>
            </w:r>
          </w:p>
        </w:tc>
      </w:tr>
      <w:tr w:rsidR="007B3408" w:rsidRPr="00990663" w14:paraId="47DF7D1C" w14:textId="77777777" w:rsidTr="007B3408">
        <w:trPr>
          <w:jc w:val="center"/>
        </w:trPr>
        <w:tc>
          <w:tcPr>
            <w:tcW w:w="1022" w:type="dxa"/>
            <w:vAlign w:val="center"/>
          </w:tcPr>
          <w:p w14:paraId="14D69622" w14:textId="77777777" w:rsidR="007B3408" w:rsidRPr="00990663" w:rsidRDefault="007B3408" w:rsidP="001D729C">
            <w:pPr>
              <w:autoSpaceDE w:val="0"/>
              <w:autoSpaceDN w:val="0"/>
              <w:adjustRightInd w:val="0"/>
              <w:jc w:val="center"/>
            </w:pPr>
            <w:r w:rsidRPr="00990663">
              <w:t>S49C</w:t>
            </w:r>
          </w:p>
        </w:tc>
        <w:tc>
          <w:tcPr>
            <w:tcW w:w="1516" w:type="dxa"/>
            <w:vAlign w:val="center"/>
          </w:tcPr>
          <w:p w14:paraId="074A4902" w14:textId="77777777" w:rsidR="007B3408" w:rsidRPr="00990663" w:rsidRDefault="007B3408" w:rsidP="001D729C">
            <w:pPr>
              <w:autoSpaceDE w:val="0"/>
              <w:autoSpaceDN w:val="0"/>
              <w:adjustRightInd w:val="0"/>
              <w:jc w:val="center"/>
            </w:pPr>
            <w:r w:rsidRPr="00990663">
              <w:t>1,751,542</w:t>
            </w:r>
          </w:p>
        </w:tc>
      </w:tr>
      <w:tr w:rsidR="007B3408" w:rsidRPr="00990663" w14:paraId="33459FB8" w14:textId="77777777" w:rsidTr="007B3408">
        <w:trPr>
          <w:jc w:val="center"/>
        </w:trPr>
        <w:tc>
          <w:tcPr>
            <w:tcW w:w="1022" w:type="dxa"/>
            <w:vAlign w:val="center"/>
          </w:tcPr>
          <w:p w14:paraId="63CF7B87" w14:textId="77777777" w:rsidR="007B3408" w:rsidRPr="00990663" w:rsidRDefault="007B3408" w:rsidP="001D729C">
            <w:pPr>
              <w:autoSpaceDE w:val="0"/>
              <w:autoSpaceDN w:val="0"/>
              <w:adjustRightInd w:val="0"/>
              <w:jc w:val="center"/>
            </w:pPr>
            <w:r w:rsidRPr="00990663">
              <w:t>S49D</w:t>
            </w:r>
          </w:p>
        </w:tc>
        <w:tc>
          <w:tcPr>
            <w:tcW w:w="1516" w:type="dxa"/>
            <w:vAlign w:val="center"/>
          </w:tcPr>
          <w:p w14:paraId="29C2DA83" w14:textId="77777777" w:rsidR="007B3408" w:rsidRPr="00990663" w:rsidRDefault="007B3408" w:rsidP="001D729C">
            <w:pPr>
              <w:autoSpaceDE w:val="0"/>
              <w:autoSpaceDN w:val="0"/>
              <w:adjustRightInd w:val="0"/>
              <w:jc w:val="center"/>
            </w:pPr>
            <w:r w:rsidRPr="00990663">
              <w:t>1,426,079</w:t>
            </w:r>
          </w:p>
        </w:tc>
      </w:tr>
      <w:tr w:rsidR="007B3408" w:rsidRPr="00990663" w14:paraId="042439A5" w14:textId="77777777" w:rsidTr="007B3408">
        <w:trPr>
          <w:jc w:val="center"/>
        </w:trPr>
        <w:tc>
          <w:tcPr>
            <w:tcW w:w="1022" w:type="dxa"/>
            <w:vAlign w:val="center"/>
          </w:tcPr>
          <w:p w14:paraId="110D1E4D" w14:textId="77777777" w:rsidR="007B3408" w:rsidRPr="00990663" w:rsidRDefault="007B3408" w:rsidP="001D729C">
            <w:pPr>
              <w:autoSpaceDE w:val="0"/>
              <w:autoSpaceDN w:val="0"/>
              <w:adjustRightInd w:val="0"/>
              <w:jc w:val="center"/>
            </w:pPr>
            <w:r w:rsidRPr="00990663">
              <w:t>S49E</w:t>
            </w:r>
          </w:p>
        </w:tc>
        <w:tc>
          <w:tcPr>
            <w:tcW w:w="1516" w:type="dxa"/>
            <w:vAlign w:val="center"/>
          </w:tcPr>
          <w:p w14:paraId="3F503C40" w14:textId="77777777" w:rsidR="007B3408" w:rsidRPr="00990663" w:rsidRDefault="007B3408" w:rsidP="001D729C">
            <w:pPr>
              <w:autoSpaceDE w:val="0"/>
              <w:autoSpaceDN w:val="0"/>
              <w:adjustRightInd w:val="0"/>
              <w:jc w:val="center"/>
            </w:pPr>
            <w:r w:rsidRPr="00990663">
              <w:t>1,283,258</w:t>
            </w:r>
          </w:p>
        </w:tc>
      </w:tr>
      <w:tr w:rsidR="007B3408" w:rsidRPr="00990663" w14:paraId="10DAFBCD" w14:textId="77777777" w:rsidTr="007B3408">
        <w:trPr>
          <w:jc w:val="center"/>
        </w:trPr>
        <w:tc>
          <w:tcPr>
            <w:tcW w:w="1022" w:type="dxa"/>
            <w:vAlign w:val="center"/>
          </w:tcPr>
          <w:p w14:paraId="7CC432F9" w14:textId="77777777" w:rsidR="007B3408" w:rsidRPr="00990663" w:rsidRDefault="007B3408" w:rsidP="001D729C">
            <w:pPr>
              <w:autoSpaceDE w:val="0"/>
              <w:autoSpaceDN w:val="0"/>
              <w:adjustRightInd w:val="0"/>
              <w:jc w:val="center"/>
            </w:pPr>
            <w:r w:rsidRPr="00990663">
              <w:t>S49F</w:t>
            </w:r>
          </w:p>
        </w:tc>
        <w:tc>
          <w:tcPr>
            <w:tcW w:w="1516" w:type="dxa"/>
            <w:vAlign w:val="center"/>
          </w:tcPr>
          <w:p w14:paraId="0DE477F7" w14:textId="77777777" w:rsidR="007B3408" w:rsidRPr="00990663" w:rsidRDefault="007B3408" w:rsidP="001D729C">
            <w:pPr>
              <w:autoSpaceDE w:val="0"/>
              <w:autoSpaceDN w:val="0"/>
              <w:adjustRightInd w:val="0"/>
              <w:jc w:val="center"/>
            </w:pPr>
            <w:r w:rsidRPr="00990663">
              <w:t>563,955</w:t>
            </w:r>
          </w:p>
        </w:tc>
      </w:tr>
      <w:tr w:rsidR="007B3408" w:rsidRPr="00990663" w14:paraId="7B847896" w14:textId="77777777" w:rsidTr="007B3408">
        <w:trPr>
          <w:jc w:val="center"/>
        </w:trPr>
        <w:tc>
          <w:tcPr>
            <w:tcW w:w="1022" w:type="dxa"/>
            <w:vAlign w:val="center"/>
          </w:tcPr>
          <w:p w14:paraId="3BFA9C5F" w14:textId="77777777" w:rsidR="007B3408" w:rsidRPr="00990663" w:rsidRDefault="007B3408" w:rsidP="001D729C">
            <w:pPr>
              <w:autoSpaceDE w:val="0"/>
              <w:autoSpaceDN w:val="0"/>
              <w:adjustRightInd w:val="0"/>
              <w:jc w:val="center"/>
            </w:pPr>
            <w:r w:rsidRPr="00990663">
              <w:t>S49G</w:t>
            </w:r>
          </w:p>
        </w:tc>
        <w:tc>
          <w:tcPr>
            <w:tcW w:w="1516" w:type="dxa"/>
            <w:vAlign w:val="center"/>
          </w:tcPr>
          <w:p w14:paraId="184DCB7F" w14:textId="77777777" w:rsidR="007B3408" w:rsidRPr="00990663" w:rsidRDefault="007B3408" w:rsidP="001D729C">
            <w:pPr>
              <w:autoSpaceDE w:val="0"/>
              <w:autoSpaceDN w:val="0"/>
              <w:adjustRightInd w:val="0"/>
              <w:jc w:val="center"/>
            </w:pPr>
            <w:r w:rsidRPr="00990663">
              <w:t>216,890</w:t>
            </w:r>
          </w:p>
        </w:tc>
      </w:tr>
      <w:tr w:rsidR="007B3408" w:rsidRPr="00990663" w14:paraId="51EBB310" w14:textId="77777777" w:rsidTr="007B3408">
        <w:trPr>
          <w:jc w:val="center"/>
        </w:trPr>
        <w:tc>
          <w:tcPr>
            <w:tcW w:w="1022" w:type="dxa"/>
            <w:vAlign w:val="center"/>
          </w:tcPr>
          <w:p w14:paraId="24130E33" w14:textId="77777777" w:rsidR="007B3408" w:rsidRPr="00990663" w:rsidRDefault="007B3408" w:rsidP="001D729C">
            <w:pPr>
              <w:autoSpaceDE w:val="0"/>
              <w:autoSpaceDN w:val="0"/>
              <w:adjustRightInd w:val="0"/>
              <w:jc w:val="center"/>
            </w:pPr>
            <w:r w:rsidRPr="00990663">
              <w:t>N11B</w:t>
            </w:r>
          </w:p>
        </w:tc>
        <w:tc>
          <w:tcPr>
            <w:tcW w:w="1516" w:type="dxa"/>
            <w:vAlign w:val="center"/>
          </w:tcPr>
          <w:p w14:paraId="0A14902D" w14:textId="77777777" w:rsidR="007B3408" w:rsidRPr="00990663" w:rsidRDefault="007B3408" w:rsidP="001D729C">
            <w:pPr>
              <w:autoSpaceDE w:val="0"/>
              <w:autoSpaceDN w:val="0"/>
              <w:adjustRightInd w:val="0"/>
              <w:jc w:val="center"/>
            </w:pPr>
            <w:r w:rsidRPr="00990663">
              <w:t>2,075,306</w:t>
            </w:r>
          </w:p>
        </w:tc>
      </w:tr>
      <w:tr w:rsidR="007B3408" w:rsidRPr="00990663" w14:paraId="3A6424C7" w14:textId="77777777" w:rsidTr="007B3408">
        <w:trPr>
          <w:jc w:val="center"/>
        </w:trPr>
        <w:tc>
          <w:tcPr>
            <w:tcW w:w="1022" w:type="dxa"/>
            <w:vAlign w:val="center"/>
          </w:tcPr>
          <w:p w14:paraId="5A4146CD" w14:textId="77777777" w:rsidR="007B3408" w:rsidRPr="00990663" w:rsidRDefault="007B3408" w:rsidP="001D729C">
            <w:pPr>
              <w:autoSpaceDE w:val="0"/>
              <w:autoSpaceDN w:val="0"/>
              <w:adjustRightInd w:val="0"/>
              <w:jc w:val="center"/>
            </w:pPr>
            <w:r w:rsidRPr="00990663">
              <w:t>N11C</w:t>
            </w:r>
          </w:p>
        </w:tc>
        <w:tc>
          <w:tcPr>
            <w:tcW w:w="1516" w:type="dxa"/>
            <w:vAlign w:val="center"/>
          </w:tcPr>
          <w:p w14:paraId="15460616" w14:textId="77777777" w:rsidR="007B3408" w:rsidRPr="00990663" w:rsidRDefault="007B3408" w:rsidP="001D729C">
            <w:pPr>
              <w:autoSpaceDE w:val="0"/>
              <w:autoSpaceDN w:val="0"/>
              <w:adjustRightInd w:val="0"/>
              <w:jc w:val="center"/>
            </w:pPr>
            <w:r w:rsidRPr="00990663">
              <w:t>1,755,305</w:t>
            </w:r>
          </w:p>
        </w:tc>
      </w:tr>
      <w:tr w:rsidR="007B3408" w:rsidRPr="00990663" w14:paraId="58FB876C" w14:textId="77777777" w:rsidTr="007B3408">
        <w:trPr>
          <w:jc w:val="center"/>
        </w:trPr>
        <w:tc>
          <w:tcPr>
            <w:tcW w:w="1022" w:type="dxa"/>
            <w:vAlign w:val="center"/>
          </w:tcPr>
          <w:p w14:paraId="2EE3B545" w14:textId="77777777" w:rsidR="007B3408" w:rsidRPr="00990663" w:rsidRDefault="007B3408" w:rsidP="001D729C">
            <w:pPr>
              <w:autoSpaceDE w:val="0"/>
              <w:autoSpaceDN w:val="0"/>
              <w:adjustRightInd w:val="0"/>
              <w:jc w:val="center"/>
            </w:pPr>
            <w:r w:rsidRPr="00990663">
              <w:t>N12C</w:t>
            </w:r>
          </w:p>
        </w:tc>
        <w:tc>
          <w:tcPr>
            <w:tcW w:w="1516" w:type="dxa"/>
            <w:vAlign w:val="center"/>
          </w:tcPr>
          <w:p w14:paraId="70ADDCC6" w14:textId="77777777" w:rsidR="007B3408" w:rsidRPr="00990663" w:rsidRDefault="007B3408" w:rsidP="001D729C">
            <w:pPr>
              <w:autoSpaceDE w:val="0"/>
              <w:autoSpaceDN w:val="0"/>
              <w:adjustRightInd w:val="0"/>
              <w:jc w:val="center"/>
            </w:pPr>
            <w:r w:rsidRPr="00990663">
              <w:t>1,685,635</w:t>
            </w:r>
          </w:p>
        </w:tc>
      </w:tr>
      <w:tr w:rsidR="007B3408" w:rsidRPr="00990663" w14:paraId="3E7DE70C" w14:textId="77777777" w:rsidTr="007B3408">
        <w:trPr>
          <w:jc w:val="center"/>
        </w:trPr>
        <w:tc>
          <w:tcPr>
            <w:tcW w:w="1022" w:type="dxa"/>
            <w:vAlign w:val="center"/>
          </w:tcPr>
          <w:p w14:paraId="44871EDD" w14:textId="77777777" w:rsidR="007B3408" w:rsidRPr="00990663" w:rsidRDefault="007B3408" w:rsidP="001D729C">
            <w:pPr>
              <w:autoSpaceDE w:val="0"/>
              <w:autoSpaceDN w:val="0"/>
              <w:adjustRightInd w:val="0"/>
              <w:jc w:val="center"/>
            </w:pPr>
            <w:r w:rsidRPr="00990663">
              <w:t>N12D</w:t>
            </w:r>
          </w:p>
        </w:tc>
        <w:tc>
          <w:tcPr>
            <w:tcW w:w="1516" w:type="dxa"/>
            <w:vAlign w:val="center"/>
          </w:tcPr>
          <w:p w14:paraId="0EB7DBF4" w14:textId="77777777" w:rsidR="007B3408" w:rsidRPr="00990663" w:rsidRDefault="007B3408" w:rsidP="001D729C">
            <w:pPr>
              <w:autoSpaceDE w:val="0"/>
              <w:autoSpaceDN w:val="0"/>
              <w:adjustRightInd w:val="0"/>
              <w:jc w:val="center"/>
            </w:pPr>
            <w:r w:rsidRPr="00990663">
              <w:t>1,444,057</w:t>
            </w:r>
          </w:p>
        </w:tc>
      </w:tr>
      <w:tr w:rsidR="007B3408" w:rsidRPr="00990663" w14:paraId="32972133" w14:textId="77777777" w:rsidTr="007B3408">
        <w:trPr>
          <w:jc w:val="center"/>
        </w:trPr>
        <w:tc>
          <w:tcPr>
            <w:tcW w:w="1022" w:type="dxa"/>
            <w:vAlign w:val="center"/>
          </w:tcPr>
          <w:p w14:paraId="7F15952B" w14:textId="77777777" w:rsidR="007B3408" w:rsidRPr="00990663" w:rsidRDefault="007B3408" w:rsidP="001D729C">
            <w:pPr>
              <w:autoSpaceDE w:val="0"/>
              <w:autoSpaceDN w:val="0"/>
              <w:adjustRightInd w:val="0"/>
              <w:jc w:val="center"/>
            </w:pPr>
            <w:r w:rsidRPr="00990663">
              <w:t>N12E</w:t>
            </w:r>
          </w:p>
        </w:tc>
        <w:tc>
          <w:tcPr>
            <w:tcW w:w="1516" w:type="dxa"/>
            <w:vAlign w:val="center"/>
          </w:tcPr>
          <w:p w14:paraId="7A087C57" w14:textId="77777777" w:rsidR="007B3408" w:rsidRPr="00990663" w:rsidRDefault="007B3408" w:rsidP="001D729C">
            <w:pPr>
              <w:autoSpaceDE w:val="0"/>
              <w:autoSpaceDN w:val="0"/>
              <w:adjustRightInd w:val="0"/>
              <w:jc w:val="center"/>
            </w:pPr>
            <w:r w:rsidRPr="00990663">
              <w:t>1,627,362</w:t>
            </w:r>
          </w:p>
        </w:tc>
      </w:tr>
      <w:tr w:rsidR="007B3408" w:rsidRPr="00990663" w14:paraId="6D5D6980" w14:textId="77777777" w:rsidTr="007B3408">
        <w:trPr>
          <w:jc w:val="center"/>
        </w:trPr>
        <w:tc>
          <w:tcPr>
            <w:tcW w:w="1022" w:type="dxa"/>
            <w:vAlign w:val="center"/>
          </w:tcPr>
          <w:p w14:paraId="6AE16449" w14:textId="77777777" w:rsidR="007B3408" w:rsidRPr="00990663" w:rsidRDefault="007B3408" w:rsidP="001D729C">
            <w:pPr>
              <w:autoSpaceDE w:val="0"/>
              <w:autoSpaceDN w:val="0"/>
              <w:adjustRightInd w:val="0"/>
              <w:jc w:val="center"/>
            </w:pPr>
            <w:r w:rsidRPr="00990663">
              <w:t>N12F</w:t>
            </w:r>
          </w:p>
        </w:tc>
        <w:tc>
          <w:tcPr>
            <w:tcW w:w="1516" w:type="dxa"/>
            <w:vAlign w:val="center"/>
          </w:tcPr>
          <w:p w14:paraId="63D13EA7" w14:textId="77777777" w:rsidR="007B3408" w:rsidRPr="00990663" w:rsidRDefault="007B3408" w:rsidP="001D729C">
            <w:pPr>
              <w:autoSpaceDE w:val="0"/>
              <w:autoSpaceDN w:val="0"/>
              <w:adjustRightInd w:val="0"/>
              <w:jc w:val="center"/>
            </w:pPr>
            <w:r w:rsidRPr="00990663">
              <w:t>1,476,875</w:t>
            </w:r>
          </w:p>
        </w:tc>
      </w:tr>
      <w:tr w:rsidR="007B3408" w:rsidRPr="00990663" w14:paraId="0A2E13FF" w14:textId="77777777" w:rsidTr="007B3408">
        <w:trPr>
          <w:jc w:val="center"/>
        </w:trPr>
        <w:tc>
          <w:tcPr>
            <w:tcW w:w="1022" w:type="dxa"/>
            <w:vAlign w:val="center"/>
          </w:tcPr>
          <w:p w14:paraId="33A555BA" w14:textId="77777777" w:rsidR="007B3408" w:rsidRPr="00990663" w:rsidRDefault="007B3408" w:rsidP="001D729C">
            <w:pPr>
              <w:autoSpaceDE w:val="0"/>
              <w:autoSpaceDN w:val="0"/>
              <w:adjustRightInd w:val="0"/>
              <w:jc w:val="center"/>
            </w:pPr>
            <w:r w:rsidRPr="00990663">
              <w:t>N23C</w:t>
            </w:r>
          </w:p>
        </w:tc>
        <w:tc>
          <w:tcPr>
            <w:tcW w:w="1516" w:type="dxa"/>
            <w:vAlign w:val="center"/>
          </w:tcPr>
          <w:p w14:paraId="68D68EB8" w14:textId="77777777" w:rsidR="007B3408" w:rsidRPr="00990663" w:rsidRDefault="007B3408" w:rsidP="001D729C">
            <w:pPr>
              <w:autoSpaceDE w:val="0"/>
              <w:autoSpaceDN w:val="0"/>
              <w:adjustRightInd w:val="0"/>
              <w:jc w:val="center"/>
            </w:pPr>
            <w:r w:rsidRPr="00990663">
              <w:t>1,407,856</w:t>
            </w:r>
          </w:p>
        </w:tc>
      </w:tr>
      <w:tr w:rsidR="007B3408" w:rsidRPr="00990663" w14:paraId="5F455FDB" w14:textId="77777777" w:rsidTr="007B3408">
        <w:trPr>
          <w:jc w:val="center"/>
        </w:trPr>
        <w:tc>
          <w:tcPr>
            <w:tcW w:w="1022" w:type="dxa"/>
            <w:vAlign w:val="center"/>
          </w:tcPr>
          <w:p w14:paraId="24C1C760" w14:textId="77777777" w:rsidR="007B3408" w:rsidRPr="00990663" w:rsidRDefault="007B3408" w:rsidP="001D729C">
            <w:pPr>
              <w:autoSpaceDE w:val="0"/>
              <w:autoSpaceDN w:val="0"/>
              <w:adjustRightInd w:val="0"/>
              <w:jc w:val="center"/>
            </w:pPr>
            <w:r w:rsidRPr="00990663">
              <w:lastRenderedPageBreak/>
              <w:t>N23D</w:t>
            </w:r>
          </w:p>
        </w:tc>
        <w:tc>
          <w:tcPr>
            <w:tcW w:w="1516" w:type="dxa"/>
            <w:vAlign w:val="center"/>
          </w:tcPr>
          <w:p w14:paraId="390A6805" w14:textId="77777777" w:rsidR="007B3408" w:rsidRPr="00990663" w:rsidRDefault="007B3408" w:rsidP="001D729C">
            <w:pPr>
              <w:autoSpaceDE w:val="0"/>
              <w:autoSpaceDN w:val="0"/>
              <w:adjustRightInd w:val="0"/>
              <w:jc w:val="center"/>
            </w:pPr>
            <w:r w:rsidRPr="00990663">
              <w:t>1,350,685</w:t>
            </w:r>
          </w:p>
        </w:tc>
      </w:tr>
      <w:tr w:rsidR="007B3408" w:rsidRPr="00990663" w14:paraId="7523DF03" w14:textId="77777777" w:rsidTr="007B3408">
        <w:trPr>
          <w:jc w:val="center"/>
        </w:trPr>
        <w:tc>
          <w:tcPr>
            <w:tcW w:w="1022" w:type="dxa"/>
            <w:vAlign w:val="center"/>
          </w:tcPr>
          <w:p w14:paraId="037B3ED0" w14:textId="77777777" w:rsidR="007B3408" w:rsidRPr="00990663" w:rsidRDefault="007B3408" w:rsidP="001D729C">
            <w:pPr>
              <w:autoSpaceDE w:val="0"/>
              <w:autoSpaceDN w:val="0"/>
              <w:adjustRightInd w:val="0"/>
              <w:jc w:val="center"/>
            </w:pPr>
            <w:r w:rsidRPr="00990663">
              <w:t>N23E</w:t>
            </w:r>
          </w:p>
        </w:tc>
        <w:tc>
          <w:tcPr>
            <w:tcW w:w="1516" w:type="dxa"/>
            <w:vAlign w:val="center"/>
          </w:tcPr>
          <w:p w14:paraId="2A255468" w14:textId="77777777" w:rsidR="007B3408" w:rsidRPr="00990663" w:rsidRDefault="007B3408" w:rsidP="001D729C">
            <w:pPr>
              <w:autoSpaceDE w:val="0"/>
              <w:autoSpaceDN w:val="0"/>
              <w:adjustRightInd w:val="0"/>
              <w:jc w:val="center"/>
            </w:pPr>
            <w:r w:rsidRPr="00990663">
              <w:t>1,558,206</w:t>
            </w:r>
          </w:p>
        </w:tc>
      </w:tr>
      <w:tr w:rsidR="007B3408" w:rsidRPr="00990663" w14:paraId="6B4AEDE3" w14:textId="77777777" w:rsidTr="007B3408">
        <w:trPr>
          <w:jc w:val="center"/>
        </w:trPr>
        <w:tc>
          <w:tcPr>
            <w:tcW w:w="1022" w:type="dxa"/>
            <w:vAlign w:val="center"/>
          </w:tcPr>
          <w:p w14:paraId="7C2F6FFF" w14:textId="77777777" w:rsidR="007B3408" w:rsidRPr="00990663" w:rsidRDefault="007B3408" w:rsidP="001D729C">
            <w:pPr>
              <w:autoSpaceDE w:val="0"/>
              <w:autoSpaceDN w:val="0"/>
              <w:adjustRightInd w:val="0"/>
              <w:jc w:val="center"/>
            </w:pPr>
            <w:r w:rsidRPr="00990663">
              <w:t>N23F</w:t>
            </w:r>
          </w:p>
        </w:tc>
        <w:tc>
          <w:tcPr>
            <w:tcW w:w="1516" w:type="dxa"/>
            <w:vAlign w:val="center"/>
          </w:tcPr>
          <w:p w14:paraId="42E877DB" w14:textId="77777777" w:rsidR="007B3408" w:rsidRPr="00990663" w:rsidRDefault="007B3408" w:rsidP="001D729C">
            <w:pPr>
              <w:autoSpaceDE w:val="0"/>
              <w:autoSpaceDN w:val="0"/>
              <w:adjustRightInd w:val="0"/>
              <w:jc w:val="center"/>
            </w:pPr>
            <w:r w:rsidRPr="00990663">
              <w:t>1,350,080</w:t>
            </w:r>
          </w:p>
        </w:tc>
      </w:tr>
      <w:tr w:rsidR="007B3408" w:rsidRPr="00990663" w14:paraId="6A8A7F9C" w14:textId="77777777" w:rsidTr="007B3408">
        <w:trPr>
          <w:jc w:val="center"/>
        </w:trPr>
        <w:tc>
          <w:tcPr>
            <w:tcW w:w="1022" w:type="dxa"/>
            <w:vAlign w:val="center"/>
          </w:tcPr>
          <w:p w14:paraId="34951BCC" w14:textId="77777777" w:rsidR="007B3408" w:rsidRPr="00990663" w:rsidRDefault="007B3408" w:rsidP="001D729C">
            <w:pPr>
              <w:autoSpaceDE w:val="0"/>
              <w:autoSpaceDN w:val="0"/>
              <w:adjustRightInd w:val="0"/>
              <w:jc w:val="center"/>
            </w:pPr>
            <w:r w:rsidRPr="00990663">
              <w:t>N23G</w:t>
            </w:r>
          </w:p>
        </w:tc>
        <w:tc>
          <w:tcPr>
            <w:tcW w:w="1516" w:type="dxa"/>
            <w:vAlign w:val="center"/>
          </w:tcPr>
          <w:p w14:paraId="57581E2D" w14:textId="77777777" w:rsidR="007B3408" w:rsidRPr="00990663" w:rsidRDefault="007B3408" w:rsidP="001D729C">
            <w:pPr>
              <w:autoSpaceDE w:val="0"/>
              <w:autoSpaceDN w:val="0"/>
              <w:adjustRightInd w:val="0"/>
              <w:jc w:val="center"/>
            </w:pPr>
            <w:r w:rsidRPr="00990663">
              <w:t>1,626,948</w:t>
            </w:r>
          </w:p>
        </w:tc>
      </w:tr>
      <w:tr w:rsidR="007B3408" w:rsidRPr="00990663" w14:paraId="1DB12665" w14:textId="77777777" w:rsidTr="007B3408">
        <w:trPr>
          <w:jc w:val="center"/>
        </w:trPr>
        <w:tc>
          <w:tcPr>
            <w:tcW w:w="1022" w:type="dxa"/>
            <w:vAlign w:val="center"/>
          </w:tcPr>
          <w:p w14:paraId="5E4E66A7" w14:textId="77777777" w:rsidR="007B3408" w:rsidRPr="00990663" w:rsidRDefault="007B3408" w:rsidP="001D729C">
            <w:pPr>
              <w:autoSpaceDE w:val="0"/>
              <w:autoSpaceDN w:val="0"/>
              <w:adjustRightInd w:val="0"/>
              <w:jc w:val="center"/>
            </w:pPr>
            <w:r w:rsidRPr="00990663">
              <w:t>N23H</w:t>
            </w:r>
          </w:p>
        </w:tc>
        <w:tc>
          <w:tcPr>
            <w:tcW w:w="1516" w:type="dxa"/>
            <w:vAlign w:val="center"/>
          </w:tcPr>
          <w:p w14:paraId="00C4EC7D" w14:textId="77777777" w:rsidR="007B3408" w:rsidRPr="00990663" w:rsidRDefault="007B3408" w:rsidP="001D729C">
            <w:pPr>
              <w:autoSpaceDE w:val="0"/>
              <w:autoSpaceDN w:val="0"/>
              <w:adjustRightInd w:val="0"/>
              <w:jc w:val="center"/>
            </w:pPr>
            <w:r w:rsidRPr="00990663">
              <w:t>1,621,504</w:t>
            </w:r>
          </w:p>
        </w:tc>
      </w:tr>
      <w:tr w:rsidR="007B3408" w:rsidRPr="00990663" w14:paraId="0D13DA05" w14:textId="77777777" w:rsidTr="007B3408">
        <w:trPr>
          <w:jc w:val="center"/>
        </w:trPr>
        <w:tc>
          <w:tcPr>
            <w:tcW w:w="1022" w:type="dxa"/>
            <w:vAlign w:val="center"/>
          </w:tcPr>
          <w:p w14:paraId="301A9FE6" w14:textId="77777777" w:rsidR="007B3408" w:rsidRPr="00990663" w:rsidRDefault="007B3408" w:rsidP="001D729C">
            <w:pPr>
              <w:autoSpaceDE w:val="0"/>
              <w:autoSpaceDN w:val="0"/>
              <w:adjustRightInd w:val="0"/>
              <w:jc w:val="center"/>
            </w:pPr>
            <w:r w:rsidRPr="00990663">
              <w:t>N23I</w:t>
            </w:r>
          </w:p>
        </w:tc>
        <w:tc>
          <w:tcPr>
            <w:tcW w:w="1516" w:type="dxa"/>
            <w:vAlign w:val="center"/>
          </w:tcPr>
          <w:p w14:paraId="08750A2B" w14:textId="77777777" w:rsidR="007B3408" w:rsidRPr="00990663" w:rsidRDefault="007B3408" w:rsidP="001D729C">
            <w:pPr>
              <w:autoSpaceDE w:val="0"/>
              <w:autoSpaceDN w:val="0"/>
              <w:adjustRightInd w:val="0"/>
              <w:jc w:val="center"/>
            </w:pPr>
            <w:r w:rsidRPr="00990663">
              <w:t>1,552,658</w:t>
            </w:r>
          </w:p>
        </w:tc>
      </w:tr>
      <w:tr w:rsidR="007B3408" w:rsidRPr="00990663" w14:paraId="517BC240" w14:textId="77777777" w:rsidTr="007B3408">
        <w:trPr>
          <w:jc w:val="center"/>
        </w:trPr>
        <w:tc>
          <w:tcPr>
            <w:tcW w:w="1022" w:type="dxa"/>
            <w:vAlign w:val="center"/>
          </w:tcPr>
          <w:p w14:paraId="4D9FAB19" w14:textId="77777777" w:rsidR="007B3408" w:rsidRPr="00990663" w:rsidRDefault="007B3408" w:rsidP="001D729C">
            <w:pPr>
              <w:autoSpaceDE w:val="0"/>
              <w:autoSpaceDN w:val="0"/>
              <w:adjustRightInd w:val="0"/>
              <w:jc w:val="center"/>
            </w:pPr>
            <w:r w:rsidRPr="00990663">
              <w:t>N23J</w:t>
            </w:r>
          </w:p>
        </w:tc>
        <w:tc>
          <w:tcPr>
            <w:tcW w:w="1516" w:type="dxa"/>
            <w:vAlign w:val="center"/>
          </w:tcPr>
          <w:p w14:paraId="0173C5E6" w14:textId="77777777" w:rsidR="007B3408" w:rsidRPr="00990663" w:rsidRDefault="007B3408" w:rsidP="001D729C">
            <w:pPr>
              <w:autoSpaceDE w:val="0"/>
              <w:autoSpaceDN w:val="0"/>
              <w:adjustRightInd w:val="0"/>
              <w:jc w:val="center"/>
            </w:pPr>
            <w:r w:rsidRPr="00990663">
              <w:t>1,420,920</w:t>
            </w:r>
          </w:p>
        </w:tc>
      </w:tr>
      <w:tr w:rsidR="007B3408" w:rsidRPr="00990663" w14:paraId="068BF4CE" w14:textId="77777777" w:rsidTr="007B3408">
        <w:trPr>
          <w:jc w:val="center"/>
        </w:trPr>
        <w:tc>
          <w:tcPr>
            <w:tcW w:w="1022" w:type="dxa"/>
            <w:vAlign w:val="center"/>
          </w:tcPr>
          <w:p w14:paraId="13D7E5D9" w14:textId="77777777" w:rsidR="007B3408" w:rsidRPr="00990663" w:rsidRDefault="007B3408" w:rsidP="001D729C">
            <w:pPr>
              <w:autoSpaceDE w:val="0"/>
              <w:autoSpaceDN w:val="0"/>
              <w:adjustRightInd w:val="0"/>
              <w:jc w:val="center"/>
            </w:pPr>
            <w:r w:rsidRPr="00990663">
              <w:t>N24C</w:t>
            </w:r>
          </w:p>
        </w:tc>
        <w:tc>
          <w:tcPr>
            <w:tcW w:w="1516" w:type="dxa"/>
            <w:vAlign w:val="center"/>
          </w:tcPr>
          <w:p w14:paraId="5C99778B" w14:textId="77777777" w:rsidR="007B3408" w:rsidRPr="00990663" w:rsidRDefault="007B3408" w:rsidP="001D729C">
            <w:pPr>
              <w:autoSpaceDE w:val="0"/>
              <w:autoSpaceDN w:val="0"/>
              <w:adjustRightInd w:val="0"/>
              <w:jc w:val="center"/>
            </w:pPr>
            <w:r w:rsidRPr="00990663">
              <w:t>1,232,971</w:t>
            </w:r>
          </w:p>
        </w:tc>
      </w:tr>
      <w:tr w:rsidR="007B3408" w:rsidRPr="00990663" w14:paraId="17B1E94E" w14:textId="77777777" w:rsidTr="007B3408">
        <w:trPr>
          <w:jc w:val="center"/>
        </w:trPr>
        <w:tc>
          <w:tcPr>
            <w:tcW w:w="1022" w:type="dxa"/>
            <w:vAlign w:val="center"/>
          </w:tcPr>
          <w:p w14:paraId="423B2621" w14:textId="77777777" w:rsidR="007B3408" w:rsidRPr="00990663" w:rsidRDefault="007B3408" w:rsidP="001D729C">
            <w:pPr>
              <w:autoSpaceDE w:val="0"/>
              <w:autoSpaceDN w:val="0"/>
              <w:adjustRightInd w:val="0"/>
              <w:jc w:val="center"/>
            </w:pPr>
            <w:r w:rsidRPr="00990663">
              <w:t>N24D</w:t>
            </w:r>
          </w:p>
        </w:tc>
        <w:tc>
          <w:tcPr>
            <w:tcW w:w="1516" w:type="dxa"/>
            <w:vAlign w:val="center"/>
          </w:tcPr>
          <w:p w14:paraId="723288AA" w14:textId="77777777" w:rsidR="007B3408" w:rsidRPr="00990663" w:rsidRDefault="007B3408" w:rsidP="001D729C">
            <w:pPr>
              <w:autoSpaceDE w:val="0"/>
              <w:autoSpaceDN w:val="0"/>
              <w:adjustRightInd w:val="0"/>
              <w:jc w:val="center"/>
            </w:pPr>
            <w:r w:rsidRPr="00990663">
              <w:t>1,178,558</w:t>
            </w:r>
          </w:p>
        </w:tc>
      </w:tr>
      <w:tr w:rsidR="007B3408" w:rsidRPr="00990663" w14:paraId="3C6DF32B" w14:textId="77777777" w:rsidTr="007B3408">
        <w:trPr>
          <w:jc w:val="center"/>
        </w:trPr>
        <w:tc>
          <w:tcPr>
            <w:tcW w:w="1022" w:type="dxa"/>
            <w:vAlign w:val="center"/>
          </w:tcPr>
          <w:p w14:paraId="1F501F71" w14:textId="77777777" w:rsidR="007B3408" w:rsidRPr="00990663" w:rsidRDefault="007B3408" w:rsidP="001D729C">
            <w:pPr>
              <w:autoSpaceDE w:val="0"/>
              <w:autoSpaceDN w:val="0"/>
              <w:adjustRightInd w:val="0"/>
              <w:jc w:val="center"/>
            </w:pPr>
            <w:r w:rsidRPr="00990663">
              <w:t>N24E</w:t>
            </w:r>
          </w:p>
        </w:tc>
        <w:tc>
          <w:tcPr>
            <w:tcW w:w="1516" w:type="dxa"/>
            <w:vAlign w:val="center"/>
          </w:tcPr>
          <w:p w14:paraId="5FD2FE2D" w14:textId="77777777" w:rsidR="007B3408" w:rsidRPr="00990663" w:rsidRDefault="007B3408" w:rsidP="001D729C">
            <w:pPr>
              <w:autoSpaceDE w:val="0"/>
              <w:autoSpaceDN w:val="0"/>
              <w:adjustRightInd w:val="0"/>
              <w:jc w:val="center"/>
            </w:pPr>
            <w:r w:rsidRPr="00990663">
              <w:t>1,363,274</w:t>
            </w:r>
          </w:p>
        </w:tc>
      </w:tr>
      <w:tr w:rsidR="007B3408" w:rsidRPr="00990663" w14:paraId="56EFCB50" w14:textId="77777777" w:rsidTr="007B3408">
        <w:trPr>
          <w:jc w:val="center"/>
        </w:trPr>
        <w:tc>
          <w:tcPr>
            <w:tcW w:w="1022" w:type="dxa"/>
            <w:vAlign w:val="center"/>
          </w:tcPr>
          <w:p w14:paraId="611684E5" w14:textId="77777777" w:rsidR="007B3408" w:rsidRPr="00990663" w:rsidRDefault="007B3408" w:rsidP="001D729C">
            <w:pPr>
              <w:autoSpaceDE w:val="0"/>
              <w:autoSpaceDN w:val="0"/>
              <w:adjustRightInd w:val="0"/>
              <w:jc w:val="center"/>
            </w:pPr>
            <w:r w:rsidRPr="00990663">
              <w:t>N24F</w:t>
            </w:r>
          </w:p>
        </w:tc>
        <w:tc>
          <w:tcPr>
            <w:tcW w:w="1516" w:type="dxa"/>
            <w:vAlign w:val="center"/>
          </w:tcPr>
          <w:p w14:paraId="37F541F3" w14:textId="77777777" w:rsidR="007B3408" w:rsidRPr="00990663" w:rsidRDefault="007B3408" w:rsidP="001D729C">
            <w:pPr>
              <w:autoSpaceDE w:val="0"/>
              <w:autoSpaceDN w:val="0"/>
              <w:adjustRightInd w:val="0"/>
              <w:jc w:val="center"/>
            </w:pPr>
            <w:r w:rsidRPr="00990663">
              <w:t>1,222,144</w:t>
            </w:r>
          </w:p>
        </w:tc>
      </w:tr>
      <w:tr w:rsidR="007B3408" w:rsidRPr="00990663" w14:paraId="24B6E62F" w14:textId="77777777" w:rsidTr="007B3408">
        <w:trPr>
          <w:jc w:val="center"/>
        </w:trPr>
        <w:tc>
          <w:tcPr>
            <w:tcW w:w="1022" w:type="dxa"/>
            <w:vAlign w:val="center"/>
          </w:tcPr>
          <w:p w14:paraId="48579334" w14:textId="77777777" w:rsidR="007B3408" w:rsidRPr="00990663" w:rsidRDefault="007B3408" w:rsidP="001D729C">
            <w:pPr>
              <w:autoSpaceDE w:val="0"/>
              <w:autoSpaceDN w:val="0"/>
              <w:adjustRightInd w:val="0"/>
              <w:jc w:val="center"/>
            </w:pPr>
            <w:r w:rsidRPr="00990663">
              <w:t>N35F</w:t>
            </w:r>
          </w:p>
        </w:tc>
        <w:tc>
          <w:tcPr>
            <w:tcW w:w="1516" w:type="dxa"/>
            <w:vAlign w:val="center"/>
          </w:tcPr>
          <w:p w14:paraId="62B7153E" w14:textId="77777777" w:rsidR="007B3408" w:rsidRPr="00990663" w:rsidRDefault="007B3408" w:rsidP="001D729C">
            <w:pPr>
              <w:autoSpaceDE w:val="0"/>
              <w:autoSpaceDN w:val="0"/>
              <w:adjustRightInd w:val="0"/>
              <w:jc w:val="center"/>
            </w:pPr>
            <w:r w:rsidRPr="00990663">
              <w:t>1,258,315</w:t>
            </w:r>
          </w:p>
        </w:tc>
      </w:tr>
      <w:tr w:rsidR="007B3408" w:rsidRPr="00990663" w14:paraId="0427F73B" w14:textId="77777777" w:rsidTr="007B3408">
        <w:trPr>
          <w:jc w:val="center"/>
        </w:trPr>
        <w:tc>
          <w:tcPr>
            <w:tcW w:w="1022" w:type="dxa"/>
            <w:vAlign w:val="center"/>
          </w:tcPr>
          <w:p w14:paraId="17A959D1" w14:textId="77777777" w:rsidR="007B3408" w:rsidRPr="00990663" w:rsidRDefault="007B3408" w:rsidP="001D729C">
            <w:pPr>
              <w:autoSpaceDE w:val="0"/>
              <w:autoSpaceDN w:val="0"/>
              <w:adjustRightInd w:val="0"/>
              <w:jc w:val="center"/>
            </w:pPr>
            <w:r w:rsidRPr="00990663">
              <w:t>N35G</w:t>
            </w:r>
          </w:p>
        </w:tc>
        <w:tc>
          <w:tcPr>
            <w:tcW w:w="1516" w:type="dxa"/>
            <w:vAlign w:val="center"/>
          </w:tcPr>
          <w:p w14:paraId="56E75801" w14:textId="77777777" w:rsidR="007B3408" w:rsidRPr="00990663" w:rsidRDefault="007B3408" w:rsidP="001D729C">
            <w:pPr>
              <w:autoSpaceDE w:val="0"/>
              <w:autoSpaceDN w:val="0"/>
              <w:adjustRightInd w:val="0"/>
              <w:jc w:val="center"/>
            </w:pPr>
            <w:r w:rsidRPr="00990663">
              <w:t>1,095,713</w:t>
            </w:r>
          </w:p>
        </w:tc>
      </w:tr>
      <w:tr w:rsidR="007B3408" w:rsidRPr="00990663" w14:paraId="7CD9A1FA" w14:textId="77777777" w:rsidTr="007B3408">
        <w:trPr>
          <w:jc w:val="center"/>
        </w:trPr>
        <w:tc>
          <w:tcPr>
            <w:tcW w:w="1022" w:type="dxa"/>
            <w:vAlign w:val="center"/>
          </w:tcPr>
          <w:p w14:paraId="0C44563F" w14:textId="77777777" w:rsidR="007B3408" w:rsidRPr="00990663" w:rsidRDefault="007B3408" w:rsidP="001D729C">
            <w:pPr>
              <w:autoSpaceDE w:val="0"/>
              <w:autoSpaceDN w:val="0"/>
              <w:adjustRightInd w:val="0"/>
              <w:jc w:val="center"/>
            </w:pPr>
            <w:r w:rsidRPr="00990663">
              <w:t>N35H</w:t>
            </w:r>
          </w:p>
        </w:tc>
        <w:tc>
          <w:tcPr>
            <w:tcW w:w="1516" w:type="dxa"/>
            <w:vAlign w:val="center"/>
          </w:tcPr>
          <w:p w14:paraId="34AD7120" w14:textId="77777777" w:rsidR="007B3408" w:rsidRPr="00990663" w:rsidRDefault="007B3408" w:rsidP="001D729C">
            <w:pPr>
              <w:autoSpaceDE w:val="0"/>
              <w:autoSpaceDN w:val="0"/>
              <w:adjustRightInd w:val="0"/>
              <w:jc w:val="center"/>
            </w:pPr>
            <w:r w:rsidRPr="00990663">
              <w:t>1,255,291</w:t>
            </w:r>
          </w:p>
        </w:tc>
      </w:tr>
      <w:tr w:rsidR="007B3408" w:rsidRPr="00990663" w14:paraId="3060830F" w14:textId="77777777" w:rsidTr="007B3408">
        <w:trPr>
          <w:jc w:val="center"/>
        </w:trPr>
        <w:tc>
          <w:tcPr>
            <w:tcW w:w="1022" w:type="dxa"/>
            <w:vAlign w:val="center"/>
          </w:tcPr>
          <w:p w14:paraId="4427ED5B" w14:textId="77777777" w:rsidR="007B3408" w:rsidRPr="00990663" w:rsidRDefault="007B3408" w:rsidP="001D729C">
            <w:pPr>
              <w:autoSpaceDE w:val="0"/>
              <w:autoSpaceDN w:val="0"/>
              <w:adjustRightInd w:val="0"/>
              <w:jc w:val="center"/>
            </w:pPr>
            <w:r w:rsidRPr="00990663">
              <w:t>N35I</w:t>
            </w:r>
          </w:p>
        </w:tc>
        <w:tc>
          <w:tcPr>
            <w:tcW w:w="1516" w:type="dxa"/>
            <w:vAlign w:val="center"/>
          </w:tcPr>
          <w:p w14:paraId="4AC98783" w14:textId="77777777" w:rsidR="007B3408" w:rsidRPr="00990663" w:rsidRDefault="007B3408" w:rsidP="001D729C">
            <w:pPr>
              <w:autoSpaceDE w:val="0"/>
              <w:autoSpaceDN w:val="0"/>
              <w:adjustRightInd w:val="0"/>
              <w:jc w:val="center"/>
            </w:pPr>
            <w:r w:rsidRPr="00990663">
              <w:t>1,056,840</w:t>
            </w:r>
          </w:p>
        </w:tc>
      </w:tr>
      <w:tr w:rsidR="007B3408" w:rsidRPr="00990663" w14:paraId="1155B2A1" w14:textId="77777777" w:rsidTr="007B3408">
        <w:trPr>
          <w:jc w:val="center"/>
        </w:trPr>
        <w:tc>
          <w:tcPr>
            <w:tcW w:w="1022" w:type="dxa"/>
            <w:vAlign w:val="center"/>
          </w:tcPr>
          <w:p w14:paraId="0190A175" w14:textId="77777777" w:rsidR="007B3408" w:rsidRPr="00990663" w:rsidRDefault="007B3408" w:rsidP="001D729C">
            <w:pPr>
              <w:autoSpaceDE w:val="0"/>
              <w:autoSpaceDN w:val="0"/>
              <w:adjustRightInd w:val="0"/>
              <w:jc w:val="center"/>
            </w:pPr>
            <w:r w:rsidRPr="00990663">
              <w:t>N35J</w:t>
            </w:r>
          </w:p>
        </w:tc>
        <w:tc>
          <w:tcPr>
            <w:tcW w:w="1516" w:type="dxa"/>
            <w:vAlign w:val="center"/>
          </w:tcPr>
          <w:p w14:paraId="248EB22A" w14:textId="77777777" w:rsidR="007B3408" w:rsidRPr="00990663" w:rsidRDefault="007B3408" w:rsidP="001D729C">
            <w:pPr>
              <w:autoSpaceDE w:val="0"/>
              <w:autoSpaceDN w:val="0"/>
              <w:adjustRightInd w:val="0"/>
              <w:jc w:val="center"/>
            </w:pPr>
            <w:r w:rsidRPr="00990663">
              <w:t>1,282,928</w:t>
            </w:r>
          </w:p>
        </w:tc>
      </w:tr>
      <w:tr w:rsidR="007B3408" w:rsidRPr="00990663" w14:paraId="4E324041" w14:textId="77777777" w:rsidTr="007B3408">
        <w:trPr>
          <w:jc w:val="center"/>
        </w:trPr>
        <w:tc>
          <w:tcPr>
            <w:tcW w:w="1022" w:type="dxa"/>
            <w:vAlign w:val="center"/>
          </w:tcPr>
          <w:p w14:paraId="1FB28067" w14:textId="77777777" w:rsidR="007B3408" w:rsidRPr="00990663" w:rsidRDefault="007B3408" w:rsidP="001D729C">
            <w:pPr>
              <w:autoSpaceDE w:val="0"/>
              <w:autoSpaceDN w:val="0"/>
              <w:adjustRightInd w:val="0"/>
              <w:jc w:val="center"/>
            </w:pPr>
            <w:r w:rsidRPr="00990663">
              <w:t>N35K</w:t>
            </w:r>
          </w:p>
        </w:tc>
        <w:tc>
          <w:tcPr>
            <w:tcW w:w="1516" w:type="dxa"/>
            <w:vAlign w:val="center"/>
          </w:tcPr>
          <w:p w14:paraId="1DF4AA34" w14:textId="77777777" w:rsidR="007B3408" w:rsidRPr="00990663" w:rsidRDefault="007B3408" w:rsidP="001D729C">
            <w:pPr>
              <w:autoSpaceDE w:val="0"/>
              <w:autoSpaceDN w:val="0"/>
              <w:adjustRightInd w:val="0"/>
              <w:jc w:val="center"/>
            </w:pPr>
            <w:r w:rsidRPr="00990663">
              <w:t>1,093,284</w:t>
            </w:r>
          </w:p>
        </w:tc>
      </w:tr>
      <w:tr w:rsidR="007B3408" w:rsidRPr="00990663" w14:paraId="4FFAE511" w14:textId="77777777" w:rsidTr="007B3408">
        <w:trPr>
          <w:jc w:val="center"/>
        </w:trPr>
        <w:tc>
          <w:tcPr>
            <w:tcW w:w="1022" w:type="dxa"/>
            <w:vAlign w:val="center"/>
          </w:tcPr>
          <w:p w14:paraId="78D7D803" w14:textId="77777777" w:rsidR="007B3408" w:rsidRPr="00990663" w:rsidRDefault="007B3408" w:rsidP="001D729C">
            <w:pPr>
              <w:autoSpaceDE w:val="0"/>
              <w:autoSpaceDN w:val="0"/>
              <w:adjustRightInd w:val="0"/>
              <w:jc w:val="center"/>
            </w:pPr>
            <w:r w:rsidRPr="00990663">
              <w:t>N35L</w:t>
            </w:r>
          </w:p>
        </w:tc>
        <w:tc>
          <w:tcPr>
            <w:tcW w:w="1516" w:type="dxa"/>
            <w:vAlign w:val="center"/>
          </w:tcPr>
          <w:p w14:paraId="0B86DDE2" w14:textId="77777777" w:rsidR="007B3408" w:rsidRPr="00990663" w:rsidRDefault="007B3408" w:rsidP="001D729C">
            <w:pPr>
              <w:autoSpaceDE w:val="0"/>
              <w:autoSpaceDN w:val="0"/>
              <w:adjustRightInd w:val="0"/>
              <w:jc w:val="center"/>
            </w:pPr>
            <w:r w:rsidRPr="00990663">
              <w:t>1,281,533</w:t>
            </w:r>
          </w:p>
        </w:tc>
      </w:tr>
      <w:tr w:rsidR="007B3408" w:rsidRPr="00990663" w14:paraId="468EFCE1" w14:textId="77777777" w:rsidTr="007B3408">
        <w:trPr>
          <w:jc w:val="center"/>
        </w:trPr>
        <w:tc>
          <w:tcPr>
            <w:tcW w:w="1022" w:type="dxa"/>
            <w:vAlign w:val="center"/>
          </w:tcPr>
          <w:p w14:paraId="67329F54" w14:textId="77777777" w:rsidR="007B3408" w:rsidRPr="00990663" w:rsidRDefault="007B3408" w:rsidP="001D729C">
            <w:pPr>
              <w:autoSpaceDE w:val="0"/>
              <w:autoSpaceDN w:val="0"/>
              <w:adjustRightInd w:val="0"/>
              <w:jc w:val="center"/>
            </w:pPr>
            <w:r w:rsidRPr="00990663">
              <w:t>N35M</w:t>
            </w:r>
          </w:p>
        </w:tc>
        <w:tc>
          <w:tcPr>
            <w:tcW w:w="1516" w:type="dxa"/>
            <w:vAlign w:val="center"/>
          </w:tcPr>
          <w:p w14:paraId="1C1757C6" w14:textId="77777777" w:rsidR="007B3408" w:rsidRPr="00990663" w:rsidRDefault="007B3408" w:rsidP="001D729C">
            <w:pPr>
              <w:autoSpaceDE w:val="0"/>
              <w:autoSpaceDN w:val="0"/>
              <w:adjustRightInd w:val="0"/>
              <w:jc w:val="center"/>
            </w:pPr>
            <w:r w:rsidRPr="00990663">
              <w:t>1,064,952</w:t>
            </w:r>
          </w:p>
        </w:tc>
      </w:tr>
      <w:tr w:rsidR="007B3408" w:rsidRPr="00990663" w14:paraId="1B27B67A" w14:textId="77777777" w:rsidTr="007B3408">
        <w:trPr>
          <w:jc w:val="center"/>
        </w:trPr>
        <w:tc>
          <w:tcPr>
            <w:tcW w:w="1022" w:type="dxa"/>
            <w:vAlign w:val="center"/>
          </w:tcPr>
          <w:p w14:paraId="7688152F" w14:textId="77777777" w:rsidR="007B3408" w:rsidRPr="00990663" w:rsidRDefault="007B3408" w:rsidP="001D729C">
            <w:pPr>
              <w:autoSpaceDE w:val="0"/>
              <w:autoSpaceDN w:val="0"/>
              <w:adjustRightInd w:val="0"/>
              <w:jc w:val="center"/>
            </w:pPr>
            <w:r w:rsidRPr="00990663">
              <w:t>N35N</w:t>
            </w:r>
          </w:p>
        </w:tc>
        <w:tc>
          <w:tcPr>
            <w:tcW w:w="1516" w:type="dxa"/>
            <w:vAlign w:val="center"/>
          </w:tcPr>
          <w:p w14:paraId="5DA196EC" w14:textId="77777777" w:rsidR="007B3408" w:rsidRPr="00990663" w:rsidRDefault="007B3408" w:rsidP="001D729C">
            <w:pPr>
              <w:autoSpaceDE w:val="0"/>
              <w:autoSpaceDN w:val="0"/>
              <w:adjustRightInd w:val="0"/>
              <w:jc w:val="center"/>
            </w:pPr>
            <w:r w:rsidRPr="00990663">
              <w:t>1,207,732</w:t>
            </w:r>
          </w:p>
        </w:tc>
      </w:tr>
      <w:tr w:rsidR="007B3408" w:rsidRPr="00990663" w14:paraId="178B61E8" w14:textId="77777777" w:rsidTr="007B3408">
        <w:trPr>
          <w:jc w:val="center"/>
        </w:trPr>
        <w:tc>
          <w:tcPr>
            <w:tcW w:w="1022" w:type="dxa"/>
            <w:vAlign w:val="center"/>
          </w:tcPr>
          <w:p w14:paraId="5D901885" w14:textId="77777777" w:rsidR="007B3408" w:rsidRPr="00990663" w:rsidRDefault="007B3408" w:rsidP="001D729C">
            <w:pPr>
              <w:autoSpaceDE w:val="0"/>
              <w:autoSpaceDN w:val="0"/>
              <w:adjustRightInd w:val="0"/>
              <w:jc w:val="center"/>
            </w:pPr>
            <w:r w:rsidRPr="00990663">
              <w:t>N35O</w:t>
            </w:r>
          </w:p>
        </w:tc>
        <w:tc>
          <w:tcPr>
            <w:tcW w:w="1516" w:type="dxa"/>
            <w:vAlign w:val="center"/>
          </w:tcPr>
          <w:p w14:paraId="7C099AFA" w14:textId="77777777" w:rsidR="007B3408" w:rsidRPr="00990663" w:rsidRDefault="007B3408" w:rsidP="001D729C">
            <w:pPr>
              <w:autoSpaceDE w:val="0"/>
              <w:autoSpaceDN w:val="0"/>
              <w:adjustRightInd w:val="0"/>
              <w:jc w:val="center"/>
            </w:pPr>
            <w:r w:rsidRPr="00990663">
              <w:t>1,134,426</w:t>
            </w:r>
          </w:p>
        </w:tc>
      </w:tr>
      <w:tr w:rsidR="007B3408" w:rsidRPr="00990663" w14:paraId="54933574" w14:textId="77777777" w:rsidTr="007B3408">
        <w:trPr>
          <w:jc w:val="center"/>
        </w:trPr>
        <w:tc>
          <w:tcPr>
            <w:tcW w:w="1022" w:type="dxa"/>
            <w:vAlign w:val="center"/>
          </w:tcPr>
          <w:p w14:paraId="5937C923" w14:textId="77777777" w:rsidR="007B3408" w:rsidRPr="00990663" w:rsidRDefault="007B3408" w:rsidP="001D729C">
            <w:pPr>
              <w:autoSpaceDE w:val="0"/>
              <w:autoSpaceDN w:val="0"/>
              <w:adjustRightInd w:val="0"/>
              <w:jc w:val="center"/>
            </w:pPr>
            <w:r w:rsidRPr="00990663">
              <w:t>N35P</w:t>
            </w:r>
          </w:p>
        </w:tc>
        <w:tc>
          <w:tcPr>
            <w:tcW w:w="1516" w:type="dxa"/>
            <w:vAlign w:val="center"/>
          </w:tcPr>
          <w:p w14:paraId="4C2C24F9" w14:textId="77777777" w:rsidR="007B3408" w:rsidRPr="00990663" w:rsidRDefault="007B3408" w:rsidP="001D729C">
            <w:pPr>
              <w:autoSpaceDE w:val="0"/>
              <w:autoSpaceDN w:val="0"/>
              <w:adjustRightInd w:val="0"/>
              <w:jc w:val="center"/>
            </w:pPr>
            <w:r w:rsidRPr="00990663">
              <w:t>1,285,451</w:t>
            </w:r>
          </w:p>
        </w:tc>
      </w:tr>
      <w:tr w:rsidR="007B3408" w:rsidRPr="00990663" w14:paraId="692FDB28" w14:textId="77777777" w:rsidTr="007B3408">
        <w:trPr>
          <w:jc w:val="center"/>
        </w:trPr>
        <w:tc>
          <w:tcPr>
            <w:tcW w:w="1022" w:type="dxa"/>
            <w:vAlign w:val="center"/>
          </w:tcPr>
          <w:p w14:paraId="2E768A8B" w14:textId="77777777" w:rsidR="007B3408" w:rsidRPr="00990663" w:rsidRDefault="007B3408" w:rsidP="001D729C">
            <w:pPr>
              <w:autoSpaceDE w:val="0"/>
              <w:autoSpaceDN w:val="0"/>
              <w:adjustRightInd w:val="0"/>
              <w:jc w:val="center"/>
            </w:pPr>
            <w:r w:rsidRPr="00990663">
              <w:t>N35Q</w:t>
            </w:r>
          </w:p>
        </w:tc>
        <w:tc>
          <w:tcPr>
            <w:tcW w:w="1516" w:type="dxa"/>
            <w:vAlign w:val="center"/>
          </w:tcPr>
          <w:p w14:paraId="14ADC373" w14:textId="77777777" w:rsidR="007B3408" w:rsidRPr="00990663" w:rsidRDefault="007B3408" w:rsidP="001D729C">
            <w:pPr>
              <w:autoSpaceDE w:val="0"/>
              <w:autoSpaceDN w:val="0"/>
              <w:adjustRightInd w:val="0"/>
              <w:jc w:val="center"/>
            </w:pPr>
            <w:r w:rsidRPr="00990663">
              <w:t>1,062,611</w:t>
            </w:r>
          </w:p>
        </w:tc>
      </w:tr>
      <w:tr w:rsidR="007B3408" w:rsidRPr="00990663" w14:paraId="42BD4B71" w14:textId="77777777" w:rsidTr="007B3408">
        <w:trPr>
          <w:jc w:val="center"/>
        </w:trPr>
        <w:tc>
          <w:tcPr>
            <w:tcW w:w="1022" w:type="dxa"/>
            <w:vAlign w:val="center"/>
          </w:tcPr>
          <w:p w14:paraId="6BF77933" w14:textId="77777777" w:rsidR="007B3408" w:rsidRPr="00990663" w:rsidRDefault="007B3408" w:rsidP="001D729C">
            <w:pPr>
              <w:autoSpaceDE w:val="0"/>
              <w:autoSpaceDN w:val="0"/>
              <w:adjustRightInd w:val="0"/>
              <w:jc w:val="center"/>
            </w:pPr>
            <w:r w:rsidRPr="00990663">
              <w:t>N36A</w:t>
            </w:r>
          </w:p>
        </w:tc>
        <w:tc>
          <w:tcPr>
            <w:tcW w:w="1516" w:type="dxa"/>
            <w:vAlign w:val="center"/>
          </w:tcPr>
          <w:p w14:paraId="0FF19A68" w14:textId="77777777" w:rsidR="007B3408" w:rsidRPr="00990663" w:rsidRDefault="007B3408" w:rsidP="001D729C">
            <w:pPr>
              <w:autoSpaceDE w:val="0"/>
              <w:autoSpaceDN w:val="0"/>
              <w:adjustRightInd w:val="0"/>
              <w:jc w:val="center"/>
            </w:pPr>
            <w:r w:rsidRPr="00990663">
              <w:t>1,048,734</w:t>
            </w:r>
          </w:p>
        </w:tc>
      </w:tr>
      <w:tr w:rsidR="007B3408" w:rsidRPr="00990663" w14:paraId="31F49FC3" w14:textId="77777777" w:rsidTr="007B3408">
        <w:trPr>
          <w:jc w:val="center"/>
        </w:trPr>
        <w:tc>
          <w:tcPr>
            <w:tcW w:w="1022" w:type="dxa"/>
            <w:vAlign w:val="center"/>
          </w:tcPr>
          <w:p w14:paraId="730408B6" w14:textId="77777777" w:rsidR="007B3408" w:rsidRPr="00990663" w:rsidRDefault="007B3408" w:rsidP="001D729C">
            <w:pPr>
              <w:autoSpaceDE w:val="0"/>
              <w:autoSpaceDN w:val="0"/>
              <w:adjustRightInd w:val="0"/>
              <w:jc w:val="center"/>
            </w:pPr>
            <w:r w:rsidRPr="00990663">
              <w:t>N36B</w:t>
            </w:r>
          </w:p>
        </w:tc>
        <w:tc>
          <w:tcPr>
            <w:tcW w:w="1516" w:type="dxa"/>
            <w:vAlign w:val="center"/>
          </w:tcPr>
          <w:p w14:paraId="7CCF2613" w14:textId="77777777" w:rsidR="007B3408" w:rsidRPr="00990663" w:rsidRDefault="007B3408" w:rsidP="001D729C">
            <w:pPr>
              <w:autoSpaceDE w:val="0"/>
              <w:autoSpaceDN w:val="0"/>
              <w:adjustRightInd w:val="0"/>
              <w:jc w:val="center"/>
            </w:pPr>
            <w:r w:rsidRPr="00990663">
              <w:t>1,029,656</w:t>
            </w:r>
          </w:p>
        </w:tc>
      </w:tr>
      <w:tr w:rsidR="007B3408" w:rsidRPr="00990663" w14:paraId="1CD24D26" w14:textId="77777777" w:rsidTr="007B3408">
        <w:trPr>
          <w:jc w:val="center"/>
        </w:trPr>
        <w:tc>
          <w:tcPr>
            <w:tcW w:w="1022" w:type="dxa"/>
            <w:vAlign w:val="center"/>
          </w:tcPr>
          <w:p w14:paraId="10A1D53C" w14:textId="77777777" w:rsidR="007B3408" w:rsidRPr="00990663" w:rsidRDefault="007B3408" w:rsidP="001D729C">
            <w:pPr>
              <w:autoSpaceDE w:val="0"/>
              <w:autoSpaceDN w:val="0"/>
              <w:adjustRightInd w:val="0"/>
              <w:jc w:val="center"/>
            </w:pPr>
            <w:r w:rsidRPr="00990663">
              <w:t>N36C</w:t>
            </w:r>
          </w:p>
        </w:tc>
        <w:tc>
          <w:tcPr>
            <w:tcW w:w="1516" w:type="dxa"/>
            <w:vAlign w:val="center"/>
          </w:tcPr>
          <w:p w14:paraId="2B7E06A9" w14:textId="77777777" w:rsidR="007B3408" w:rsidRPr="00990663" w:rsidRDefault="007B3408" w:rsidP="001D729C">
            <w:pPr>
              <w:autoSpaceDE w:val="0"/>
              <w:autoSpaceDN w:val="0"/>
              <w:adjustRightInd w:val="0"/>
              <w:jc w:val="center"/>
            </w:pPr>
            <w:r w:rsidRPr="00990663">
              <w:t>1,086,449</w:t>
            </w:r>
          </w:p>
        </w:tc>
      </w:tr>
      <w:tr w:rsidR="007B3408" w:rsidRPr="00990663" w14:paraId="53F8FDA7" w14:textId="77777777" w:rsidTr="007B3408">
        <w:trPr>
          <w:jc w:val="center"/>
        </w:trPr>
        <w:tc>
          <w:tcPr>
            <w:tcW w:w="1022" w:type="dxa"/>
            <w:vAlign w:val="center"/>
          </w:tcPr>
          <w:p w14:paraId="4AE676C8" w14:textId="77777777" w:rsidR="007B3408" w:rsidRPr="00990663" w:rsidRDefault="007B3408" w:rsidP="001D729C">
            <w:pPr>
              <w:autoSpaceDE w:val="0"/>
              <w:autoSpaceDN w:val="0"/>
              <w:adjustRightInd w:val="0"/>
              <w:jc w:val="center"/>
            </w:pPr>
            <w:r w:rsidRPr="00990663">
              <w:t>N36D</w:t>
            </w:r>
          </w:p>
        </w:tc>
        <w:tc>
          <w:tcPr>
            <w:tcW w:w="1516" w:type="dxa"/>
            <w:vAlign w:val="center"/>
          </w:tcPr>
          <w:p w14:paraId="0667B78B" w14:textId="77777777" w:rsidR="007B3408" w:rsidRPr="00990663" w:rsidRDefault="007B3408" w:rsidP="001D729C">
            <w:pPr>
              <w:autoSpaceDE w:val="0"/>
              <w:autoSpaceDN w:val="0"/>
              <w:adjustRightInd w:val="0"/>
              <w:jc w:val="center"/>
            </w:pPr>
            <w:r w:rsidRPr="00990663">
              <w:t>1,161,406</w:t>
            </w:r>
          </w:p>
        </w:tc>
      </w:tr>
      <w:tr w:rsidR="007B3408" w:rsidRPr="00990663" w14:paraId="396D9411" w14:textId="77777777" w:rsidTr="007B3408">
        <w:trPr>
          <w:jc w:val="center"/>
        </w:trPr>
        <w:tc>
          <w:tcPr>
            <w:tcW w:w="1022" w:type="dxa"/>
            <w:vAlign w:val="center"/>
          </w:tcPr>
          <w:p w14:paraId="1227C550" w14:textId="77777777" w:rsidR="007B3408" w:rsidRPr="00990663" w:rsidRDefault="007B3408" w:rsidP="001D729C">
            <w:pPr>
              <w:autoSpaceDE w:val="0"/>
              <w:autoSpaceDN w:val="0"/>
              <w:adjustRightInd w:val="0"/>
              <w:jc w:val="center"/>
            </w:pPr>
            <w:r w:rsidRPr="00990663">
              <w:t>N36E</w:t>
            </w:r>
          </w:p>
        </w:tc>
        <w:tc>
          <w:tcPr>
            <w:tcW w:w="1516" w:type="dxa"/>
            <w:vAlign w:val="center"/>
          </w:tcPr>
          <w:p w14:paraId="1AC95925" w14:textId="77777777" w:rsidR="007B3408" w:rsidRPr="00990663" w:rsidRDefault="007B3408" w:rsidP="001D729C">
            <w:pPr>
              <w:autoSpaceDE w:val="0"/>
              <w:autoSpaceDN w:val="0"/>
              <w:adjustRightInd w:val="0"/>
              <w:jc w:val="center"/>
            </w:pPr>
            <w:r w:rsidRPr="00990663">
              <w:t>1,057,350</w:t>
            </w:r>
          </w:p>
        </w:tc>
      </w:tr>
      <w:tr w:rsidR="007B3408" w:rsidRPr="00990663" w14:paraId="062A5799" w14:textId="77777777" w:rsidTr="007B3408">
        <w:trPr>
          <w:jc w:val="center"/>
        </w:trPr>
        <w:tc>
          <w:tcPr>
            <w:tcW w:w="1022" w:type="dxa"/>
            <w:vAlign w:val="center"/>
          </w:tcPr>
          <w:p w14:paraId="3BD62FC9" w14:textId="77777777" w:rsidR="007B3408" w:rsidRPr="00990663" w:rsidRDefault="007B3408" w:rsidP="001D729C">
            <w:pPr>
              <w:autoSpaceDE w:val="0"/>
              <w:autoSpaceDN w:val="0"/>
              <w:adjustRightInd w:val="0"/>
              <w:jc w:val="center"/>
            </w:pPr>
            <w:r w:rsidRPr="00990663">
              <w:t>N36F</w:t>
            </w:r>
          </w:p>
        </w:tc>
        <w:tc>
          <w:tcPr>
            <w:tcW w:w="1516" w:type="dxa"/>
            <w:vAlign w:val="center"/>
          </w:tcPr>
          <w:p w14:paraId="22F4032B" w14:textId="77777777" w:rsidR="007B3408" w:rsidRPr="00990663" w:rsidRDefault="007B3408" w:rsidP="001D729C">
            <w:pPr>
              <w:autoSpaceDE w:val="0"/>
              <w:autoSpaceDN w:val="0"/>
              <w:adjustRightInd w:val="0"/>
              <w:jc w:val="center"/>
            </w:pPr>
            <w:r w:rsidRPr="00990663">
              <w:t>993,880</w:t>
            </w:r>
          </w:p>
        </w:tc>
      </w:tr>
      <w:tr w:rsidR="007B3408" w:rsidRPr="00990663" w14:paraId="62F5EA80" w14:textId="77777777" w:rsidTr="007B3408">
        <w:trPr>
          <w:jc w:val="center"/>
        </w:trPr>
        <w:tc>
          <w:tcPr>
            <w:tcW w:w="1022" w:type="dxa"/>
            <w:vAlign w:val="center"/>
          </w:tcPr>
          <w:p w14:paraId="216F4D4B" w14:textId="77777777" w:rsidR="007B3408" w:rsidRPr="00990663" w:rsidRDefault="007B3408" w:rsidP="001D729C">
            <w:pPr>
              <w:autoSpaceDE w:val="0"/>
              <w:autoSpaceDN w:val="0"/>
              <w:adjustRightInd w:val="0"/>
              <w:jc w:val="center"/>
            </w:pPr>
            <w:r w:rsidRPr="00990663">
              <w:t>N37C</w:t>
            </w:r>
          </w:p>
        </w:tc>
        <w:tc>
          <w:tcPr>
            <w:tcW w:w="1516" w:type="dxa"/>
            <w:vAlign w:val="center"/>
          </w:tcPr>
          <w:p w14:paraId="45F4FF60" w14:textId="77777777" w:rsidR="007B3408" w:rsidRPr="00990663" w:rsidRDefault="007B3408" w:rsidP="001D729C">
            <w:pPr>
              <w:autoSpaceDE w:val="0"/>
              <w:autoSpaceDN w:val="0"/>
              <w:adjustRightInd w:val="0"/>
              <w:jc w:val="center"/>
            </w:pPr>
            <w:r w:rsidRPr="00990663">
              <w:t>1,009,958</w:t>
            </w:r>
          </w:p>
        </w:tc>
      </w:tr>
      <w:tr w:rsidR="007B3408" w:rsidRPr="00990663" w14:paraId="2E83AF60" w14:textId="77777777" w:rsidTr="007B3408">
        <w:trPr>
          <w:jc w:val="center"/>
        </w:trPr>
        <w:tc>
          <w:tcPr>
            <w:tcW w:w="1022" w:type="dxa"/>
            <w:vAlign w:val="center"/>
          </w:tcPr>
          <w:p w14:paraId="0F322E88" w14:textId="77777777" w:rsidR="007B3408" w:rsidRPr="00990663" w:rsidRDefault="007B3408" w:rsidP="001D729C">
            <w:pPr>
              <w:autoSpaceDE w:val="0"/>
              <w:autoSpaceDN w:val="0"/>
              <w:adjustRightInd w:val="0"/>
              <w:jc w:val="center"/>
            </w:pPr>
            <w:r w:rsidRPr="00990663">
              <w:t>N37D</w:t>
            </w:r>
          </w:p>
        </w:tc>
        <w:tc>
          <w:tcPr>
            <w:tcW w:w="1516" w:type="dxa"/>
            <w:vAlign w:val="center"/>
          </w:tcPr>
          <w:p w14:paraId="132FDED1" w14:textId="77777777" w:rsidR="007B3408" w:rsidRPr="00990663" w:rsidRDefault="007B3408" w:rsidP="001D729C">
            <w:pPr>
              <w:autoSpaceDE w:val="0"/>
              <w:autoSpaceDN w:val="0"/>
              <w:adjustRightInd w:val="0"/>
              <w:jc w:val="center"/>
            </w:pPr>
            <w:r w:rsidRPr="00990663">
              <w:t>1,166,194</w:t>
            </w:r>
          </w:p>
        </w:tc>
      </w:tr>
      <w:tr w:rsidR="007B3408" w:rsidRPr="00990663" w14:paraId="6559A75B" w14:textId="77777777" w:rsidTr="007B3408">
        <w:trPr>
          <w:jc w:val="center"/>
        </w:trPr>
        <w:tc>
          <w:tcPr>
            <w:tcW w:w="1022" w:type="dxa"/>
            <w:vAlign w:val="center"/>
          </w:tcPr>
          <w:p w14:paraId="0CEBB93D" w14:textId="77777777" w:rsidR="007B3408" w:rsidRPr="00990663" w:rsidRDefault="007B3408" w:rsidP="001D729C">
            <w:pPr>
              <w:autoSpaceDE w:val="0"/>
              <w:autoSpaceDN w:val="0"/>
              <w:adjustRightInd w:val="0"/>
              <w:jc w:val="center"/>
            </w:pPr>
            <w:r w:rsidRPr="00990663">
              <w:t>N37E</w:t>
            </w:r>
          </w:p>
        </w:tc>
        <w:tc>
          <w:tcPr>
            <w:tcW w:w="1516" w:type="dxa"/>
            <w:vAlign w:val="center"/>
          </w:tcPr>
          <w:p w14:paraId="4A2E17F3" w14:textId="77777777" w:rsidR="007B3408" w:rsidRPr="00990663" w:rsidRDefault="007B3408" w:rsidP="001D729C">
            <w:pPr>
              <w:autoSpaceDE w:val="0"/>
              <w:autoSpaceDN w:val="0"/>
              <w:adjustRightInd w:val="0"/>
              <w:jc w:val="center"/>
            </w:pPr>
            <w:r w:rsidRPr="00990663">
              <w:t>1,054,532</w:t>
            </w:r>
          </w:p>
        </w:tc>
      </w:tr>
      <w:tr w:rsidR="007B3408" w:rsidRPr="00990663" w14:paraId="4DC13D7D" w14:textId="77777777" w:rsidTr="007B3408">
        <w:trPr>
          <w:jc w:val="center"/>
        </w:trPr>
        <w:tc>
          <w:tcPr>
            <w:tcW w:w="1022" w:type="dxa"/>
            <w:vAlign w:val="center"/>
          </w:tcPr>
          <w:p w14:paraId="3B764558" w14:textId="77777777" w:rsidR="007B3408" w:rsidRPr="00990663" w:rsidRDefault="007B3408" w:rsidP="001D729C">
            <w:pPr>
              <w:autoSpaceDE w:val="0"/>
              <w:autoSpaceDN w:val="0"/>
              <w:adjustRightInd w:val="0"/>
              <w:jc w:val="center"/>
            </w:pPr>
            <w:r w:rsidRPr="00990663">
              <w:t>N37F</w:t>
            </w:r>
          </w:p>
        </w:tc>
        <w:tc>
          <w:tcPr>
            <w:tcW w:w="1516" w:type="dxa"/>
            <w:vAlign w:val="center"/>
          </w:tcPr>
          <w:p w14:paraId="434F2167" w14:textId="77777777" w:rsidR="007B3408" w:rsidRPr="00990663" w:rsidRDefault="007B3408" w:rsidP="001D729C">
            <w:pPr>
              <w:autoSpaceDE w:val="0"/>
              <w:autoSpaceDN w:val="0"/>
              <w:adjustRightInd w:val="0"/>
              <w:jc w:val="center"/>
            </w:pPr>
            <w:r w:rsidRPr="00990663">
              <w:t>1,013,583</w:t>
            </w:r>
          </w:p>
        </w:tc>
      </w:tr>
      <w:tr w:rsidR="007B3408" w:rsidRPr="00990663" w14:paraId="585C832A" w14:textId="77777777" w:rsidTr="007B3408">
        <w:trPr>
          <w:jc w:val="center"/>
        </w:trPr>
        <w:tc>
          <w:tcPr>
            <w:tcW w:w="1022" w:type="dxa"/>
            <w:vAlign w:val="center"/>
          </w:tcPr>
          <w:p w14:paraId="0960D2C8" w14:textId="77777777" w:rsidR="007B3408" w:rsidRPr="00990663" w:rsidRDefault="007B3408" w:rsidP="001D729C">
            <w:pPr>
              <w:autoSpaceDE w:val="0"/>
              <w:autoSpaceDN w:val="0"/>
              <w:adjustRightInd w:val="0"/>
              <w:jc w:val="center"/>
            </w:pPr>
            <w:r w:rsidRPr="00990663">
              <w:t>N37G</w:t>
            </w:r>
          </w:p>
        </w:tc>
        <w:tc>
          <w:tcPr>
            <w:tcW w:w="1516" w:type="dxa"/>
            <w:vAlign w:val="center"/>
          </w:tcPr>
          <w:p w14:paraId="62830B7C" w14:textId="77777777" w:rsidR="007B3408" w:rsidRPr="00990663" w:rsidRDefault="007B3408" w:rsidP="001D729C">
            <w:pPr>
              <w:autoSpaceDE w:val="0"/>
              <w:autoSpaceDN w:val="0"/>
              <w:adjustRightInd w:val="0"/>
              <w:jc w:val="center"/>
            </w:pPr>
            <w:r w:rsidRPr="00990663">
              <w:t>1,070,049</w:t>
            </w:r>
          </w:p>
        </w:tc>
      </w:tr>
      <w:tr w:rsidR="007B3408" w:rsidRPr="00990663" w14:paraId="2496B2B2" w14:textId="77777777" w:rsidTr="007B3408">
        <w:trPr>
          <w:jc w:val="center"/>
        </w:trPr>
        <w:tc>
          <w:tcPr>
            <w:tcW w:w="1022" w:type="dxa"/>
            <w:vAlign w:val="center"/>
          </w:tcPr>
          <w:p w14:paraId="7020CA68" w14:textId="77777777" w:rsidR="007B3408" w:rsidRPr="00990663" w:rsidRDefault="007B3408" w:rsidP="001D729C">
            <w:pPr>
              <w:autoSpaceDE w:val="0"/>
              <w:autoSpaceDN w:val="0"/>
              <w:adjustRightInd w:val="0"/>
              <w:jc w:val="center"/>
            </w:pPr>
            <w:r w:rsidRPr="00990663">
              <w:t>N37H</w:t>
            </w:r>
          </w:p>
        </w:tc>
        <w:tc>
          <w:tcPr>
            <w:tcW w:w="1516" w:type="dxa"/>
            <w:vAlign w:val="center"/>
          </w:tcPr>
          <w:p w14:paraId="3501E40E" w14:textId="77777777" w:rsidR="007B3408" w:rsidRPr="00990663" w:rsidRDefault="007B3408" w:rsidP="001D729C">
            <w:pPr>
              <w:autoSpaceDE w:val="0"/>
              <w:autoSpaceDN w:val="0"/>
              <w:adjustRightInd w:val="0"/>
              <w:jc w:val="center"/>
            </w:pPr>
            <w:r w:rsidRPr="00990663">
              <w:t>1,142,633</w:t>
            </w:r>
          </w:p>
        </w:tc>
      </w:tr>
      <w:tr w:rsidR="007B3408" w:rsidRPr="00990663" w14:paraId="6F62AF7B" w14:textId="77777777" w:rsidTr="007B3408">
        <w:trPr>
          <w:jc w:val="center"/>
        </w:trPr>
        <w:tc>
          <w:tcPr>
            <w:tcW w:w="1022" w:type="dxa"/>
            <w:vAlign w:val="center"/>
          </w:tcPr>
          <w:p w14:paraId="445226B0" w14:textId="77777777" w:rsidR="007B3408" w:rsidRPr="00990663" w:rsidRDefault="007B3408" w:rsidP="001D729C">
            <w:pPr>
              <w:autoSpaceDE w:val="0"/>
              <w:autoSpaceDN w:val="0"/>
              <w:adjustRightInd w:val="0"/>
              <w:jc w:val="center"/>
            </w:pPr>
            <w:r w:rsidRPr="00990663">
              <w:t>N37I</w:t>
            </w:r>
          </w:p>
        </w:tc>
        <w:tc>
          <w:tcPr>
            <w:tcW w:w="1516" w:type="dxa"/>
            <w:vAlign w:val="center"/>
          </w:tcPr>
          <w:p w14:paraId="1EA3077B" w14:textId="77777777" w:rsidR="007B3408" w:rsidRPr="00990663" w:rsidRDefault="007B3408" w:rsidP="001D729C">
            <w:pPr>
              <w:autoSpaceDE w:val="0"/>
              <w:autoSpaceDN w:val="0"/>
              <w:adjustRightInd w:val="0"/>
              <w:jc w:val="center"/>
            </w:pPr>
            <w:r w:rsidRPr="00990663">
              <w:t>1,086,616</w:t>
            </w:r>
          </w:p>
        </w:tc>
      </w:tr>
      <w:tr w:rsidR="007B3408" w:rsidRPr="00990663" w14:paraId="256E3B8F" w14:textId="77777777" w:rsidTr="007B3408">
        <w:trPr>
          <w:jc w:val="center"/>
        </w:trPr>
        <w:tc>
          <w:tcPr>
            <w:tcW w:w="1022" w:type="dxa"/>
            <w:vAlign w:val="center"/>
          </w:tcPr>
          <w:p w14:paraId="37F2EB8F" w14:textId="77777777" w:rsidR="007B3408" w:rsidRPr="00990663" w:rsidRDefault="007B3408" w:rsidP="001D729C">
            <w:pPr>
              <w:autoSpaceDE w:val="0"/>
              <w:autoSpaceDN w:val="0"/>
              <w:adjustRightInd w:val="0"/>
              <w:jc w:val="center"/>
            </w:pPr>
            <w:r w:rsidRPr="00990663">
              <w:lastRenderedPageBreak/>
              <w:t>N37J</w:t>
            </w:r>
          </w:p>
        </w:tc>
        <w:tc>
          <w:tcPr>
            <w:tcW w:w="1516" w:type="dxa"/>
            <w:vAlign w:val="center"/>
          </w:tcPr>
          <w:p w14:paraId="7D4399BF" w14:textId="77777777" w:rsidR="007B3408" w:rsidRPr="00990663" w:rsidRDefault="007B3408" w:rsidP="001D729C">
            <w:pPr>
              <w:autoSpaceDE w:val="0"/>
              <w:autoSpaceDN w:val="0"/>
              <w:adjustRightInd w:val="0"/>
              <w:jc w:val="center"/>
            </w:pPr>
            <w:r w:rsidRPr="00990663">
              <w:t>1,182,361</w:t>
            </w:r>
          </w:p>
        </w:tc>
      </w:tr>
      <w:tr w:rsidR="007B3408" w:rsidRPr="00990663" w14:paraId="49985D68" w14:textId="77777777" w:rsidTr="007B3408">
        <w:trPr>
          <w:jc w:val="center"/>
        </w:trPr>
        <w:tc>
          <w:tcPr>
            <w:tcW w:w="1022" w:type="dxa"/>
            <w:vAlign w:val="center"/>
          </w:tcPr>
          <w:p w14:paraId="10EFAA81" w14:textId="77777777" w:rsidR="007B3408" w:rsidRPr="00990663" w:rsidRDefault="007B3408" w:rsidP="001D729C">
            <w:pPr>
              <w:autoSpaceDE w:val="0"/>
              <w:autoSpaceDN w:val="0"/>
              <w:adjustRightInd w:val="0"/>
              <w:jc w:val="center"/>
            </w:pPr>
            <w:r w:rsidRPr="00990663">
              <w:t>N48C</w:t>
            </w:r>
          </w:p>
        </w:tc>
        <w:tc>
          <w:tcPr>
            <w:tcW w:w="1516" w:type="dxa"/>
            <w:vAlign w:val="center"/>
          </w:tcPr>
          <w:p w14:paraId="556CCA43" w14:textId="77777777" w:rsidR="007B3408" w:rsidRPr="00990663" w:rsidRDefault="007B3408" w:rsidP="001D729C">
            <w:pPr>
              <w:autoSpaceDE w:val="0"/>
              <w:autoSpaceDN w:val="0"/>
              <w:adjustRightInd w:val="0"/>
              <w:jc w:val="center"/>
            </w:pPr>
            <w:r w:rsidRPr="00990663">
              <w:t>1,338,251</w:t>
            </w:r>
          </w:p>
        </w:tc>
      </w:tr>
      <w:tr w:rsidR="007B3408" w:rsidRPr="00990663" w14:paraId="3B4DA96F" w14:textId="77777777" w:rsidTr="007B3408">
        <w:trPr>
          <w:jc w:val="center"/>
        </w:trPr>
        <w:tc>
          <w:tcPr>
            <w:tcW w:w="1022" w:type="dxa"/>
            <w:vAlign w:val="center"/>
          </w:tcPr>
          <w:p w14:paraId="75443C4A" w14:textId="77777777" w:rsidR="007B3408" w:rsidRPr="00990663" w:rsidRDefault="007B3408" w:rsidP="001D729C">
            <w:pPr>
              <w:autoSpaceDE w:val="0"/>
              <w:autoSpaceDN w:val="0"/>
              <w:adjustRightInd w:val="0"/>
              <w:jc w:val="center"/>
            </w:pPr>
            <w:r w:rsidRPr="00990663">
              <w:t>N48D</w:t>
            </w:r>
          </w:p>
        </w:tc>
        <w:tc>
          <w:tcPr>
            <w:tcW w:w="1516" w:type="dxa"/>
            <w:vAlign w:val="center"/>
          </w:tcPr>
          <w:p w14:paraId="55C9D718" w14:textId="77777777" w:rsidR="007B3408" w:rsidRPr="00990663" w:rsidRDefault="007B3408" w:rsidP="001D729C">
            <w:pPr>
              <w:autoSpaceDE w:val="0"/>
              <w:autoSpaceDN w:val="0"/>
              <w:adjustRightInd w:val="0"/>
              <w:jc w:val="center"/>
            </w:pPr>
            <w:r w:rsidRPr="00990663">
              <w:t>1,544,012</w:t>
            </w:r>
          </w:p>
        </w:tc>
      </w:tr>
      <w:tr w:rsidR="007B3408" w:rsidRPr="00990663" w14:paraId="410A42D3" w14:textId="77777777" w:rsidTr="007B3408">
        <w:trPr>
          <w:jc w:val="center"/>
        </w:trPr>
        <w:tc>
          <w:tcPr>
            <w:tcW w:w="1022" w:type="dxa"/>
            <w:vAlign w:val="center"/>
          </w:tcPr>
          <w:p w14:paraId="2D69C883" w14:textId="77777777" w:rsidR="007B3408" w:rsidRPr="00990663" w:rsidRDefault="007B3408" w:rsidP="001D729C">
            <w:pPr>
              <w:autoSpaceDE w:val="0"/>
              <w:autoSpaceDN w:val="0"/>
              <w:adjustRightInd w:val="0"/>
              <w:jc w:val="center"/>
            </w:pPr>
            <w:r w:rsidRPr="00990663">
              <w:t>N48E</w:t>
            </w:r>
          </w:p>
        </w:tc>
        <w:tc>
          <w:tcPr>
            <w:tcW w:w="1516" w:type="dxa"/>
            <w:vAlign w:val="center"/>
          </w:tcPr>
          <w:p w14:paraId="4E3E247A" w14:textId="77777777" w:rsidR="007B3408" w:rsidRPr="00990663" w:rsidRDefault="007B3408" w:rsidP="001D729C">
            <w:pPr>
              <w:autoSpaceDE w:val="0"/>
              <w:autoSpaceDN w:val="0"/>
              <w:adjustRightInd w:val="0"/>
              <w:jc w:val="center"/>
            </w:pPr>
            <w:r w:rsidRPr="00990663">
              <w:t>1,592,281</w:t>
            </w:r>
          </w:p>
        </w:tc>
      </w:tr>
      <w:tr w:rsidR="007B3408" w:rsidRPr="00990663" w14:paraId="52DC44AB" w14:textId="77777777" w:rsidTr="007B3408">
        <w:trPr>
          <w:jc w:val="center"/>
        </w:trPr>
        <w:tc>
          <w:tcPr>
            <w:tcW w:w="1022" w:type="dxa"/>
            <w:vAlign w:val="center"/>
          </w:tcPr>
          <w:p w14:paraId="41B25EB6" w14:textId="77777777" w:rsidR="007B3408" w:rsidRPr="00990663" w:rsidRDefault="007B3408" w:rsidP="001D729C">
            <w:pPr>
              <w:autoSpaceDE w:val="0"/>
              <w:autoSpaceDN w:val="0"/>
              <w:adjustRightInd w:val="0"/>
              <w:jc w:val="center"/>
            </w:pPr>
            <w:r w:rsidRPr="00990663">
              <w:t>N48F</w:t>
            </w:r>
          </w:p>
        </w:tc>
        <w:tc>
          <w:tcPr>
            <w:tcW w:w="1516" w:type="dxa"/>
            <w:vAlign w:val="center"/>
          </w:tcPr>
          <w:p w14:paraId="72E83F96" w14:textId="77777777" w:rsidR="007B3408" w:rsidRPr="00990663" w:rsidRDefault="007B3408" w:rsidP="001D729C">
            <w:pPr>
              <w:autoSpaceDE w:val="0"/>
              <w:autoSpaceDN w:val="0"/>
              <w:adjustRightInd w:val="0"/>
              <w:jc w:val="center"/>
            </w:pPr>
            <w:r w:rsidRPr="00990663">
              <w:t>1,329,461</w:t>
            </w:r>
          </w:p>
        </w:tc>
      </w:tr>
      <w:tr w:rsidR="007B3408" w:rsidRPr="00990663" w14:paraId="5019E63E" w14:textId="77777777" w:rsidTr="007B3408">
        <w:trPr>
          <w:jc w:val="center"/>
        </w:trPr>
        <w:tc>
          <w:tcPr>
            <w:tcW w:w="1022" w:type="dxa"/>
            <w:vAlign w:val="center"/>
          </w:tcPr>
          <w:p w14:paraId="6743329B" w14:textId="77777777" w:rsidR="007B3408" w:rsidRPr="00990663" w:rsidRDefault="007B3408" w:rsidP="001D729C">
            <w:pPr>
              <w:autoSpaceDE w:val="0"/>
              <w:autoSpaceDN w:val="0"/>
              <w:adjustRightInd w:val="0"/>
              <w:jc w:val="center"/>
            </w:pPr>
            <w:r w:rsidRPr="00990663">
              <w:t>N49H</w:t>
            </w:r>
          </w:p>
        </w:tc>
        <w:tc>
          <w:tcPr>
            <w:tcW w:w="1516" w:type="dxa"/>
            <w:vAlign w:val="center"/>
          </w:tcPr>
          <w:p w14:paraId="17F94006" w14:textId="77777777" w:rsidR="007B3408" w:rsidRPr="00990663" w:rsidRDefault="007B3408" w:rsidP="001D729C">
            <w:pPr>
              <w:autoSpaceDE w:val="0"/>
              <w:autoSpaceDN w:val="0"/>
              <w:adjustRightInd w:val="0"/>
              <w:jc w:val="center"/>
            </w:pPr>
            <w:r w:rsidRPr="00990663">
              <w:t>2,159,289</w:t>
            </w:r>
          </w:p>
        </w:tc>
      </w:tr>
      <w:tr w:rsidR="007B3408" w:rsidRPr="00990663" w14:paraId="08465DF3" w14:textId="77777777" w:rsidTr="007B3408">
        <w:trPr>
          <w:jc w:val="center"/>
        </w:trPr>
        <w:tc>
          <w:tcPr>
            <w:tcW w:w="1022" w:type="dxa"/>
            <w:vAlign w:val="center"/>
          </w:tcPr>
          <w:p w14:paraId="0CA2BDFB" w14:textId="77777777" w:rsidR="007B3408" w:rsidRPr="00990663" w:rsidRDefault="007B3408" w:rsidP="001D729C">
            <w:pPr>
              <w:autoSpaceDE w:val="0"/>
              <w:autoSpaceDN w:val="0"/>
              <w:adjustRightInd w:val="0"/>
              <w:jc w:val="center"/>
            </w:pPr>
            <w:r w:rsidRPr="00990663">
              <w:t>N49I</w:t>
            </w:r>
          </w:p>
        </w:tc>
        <w:tc>
          <w:tcPr>
            <w:tcW w:w="1516" w:type="dxa"/>
            <w:vAlign w:val="center"/>
          </w:tcPr>
          <w:p w14:paraId="5A5EF769" w14:textId="77777777" w:rsidR="007B3408" w:rsidRPr="00990663" w:rsidRDefault="007B3408" w:rsidP="001D729C">
            <w:pPr>
              <w:autoSpaceDE w:val="0"/>
              <w:autoSpaceDN w:val="0"/>
              <w:adjustRightInd w:val="0"/>
              <w:jc w:val="center"/>
            </w:pPr>
            <w:r w:rsidRPr="00990663">
              <w:t>2,140,759</w:t>
            </w:r>
          </w:p>
        </w:tc>
      </w:tr>
      <w:tr w:rsidR="007B3408" w:rsidRPr="00990663" w14:paraId="3917E39A" w14:textId="77777777" w:rsidTr="007B3408">
        <w:trPr>
          <w:jc w:val="center"/>
        </w:trPr>
        <w:tc>
          <w:tcPr>
            <w:tcW w:w="1022" w:type="dxa"/>
            <w:vAlign w:val="center"/>
          </w:tcPr>
          <w:p w14:paraId="0E8EEED9" w14:textId="77777777" w:rsidR="007B3408" w:rsidRPr="00990663" w:rsidRDefault="007B3408" w:rsidP="001D729C">
            <w:pPr>
              <w:autoSpaceDE w:val="0"/>
              <w:autoSpaceDN w:val="0"/>
              <w:adjustRightInd w:val="0"/>
              <w:jc w:val="center"/>
            </w:pPr>
            <w:r w:rsidRPr="00990663">
              <w:t>N49J</w:t>
            </w:r>
          </w:p>
        </w:tc>
        <w:tc>
          <w:tcPr>
            <w:tcW w:w="1516" w:type="dxa"/>
            <w:vAlign w:val="center"/>
          </w:tcPr>
          <w:p w14:paraId="1C6DBDD2" w14:textId="77777777" w:rsidR="007B3408" w:rsidRPr="00990663" w:rsidRDefault="007B3408" w:rsidP="001D729C">
            <w:pPr>
              <w:autoSpaceDE w:val="0"/>
              <w:autoSpaceDN w:val="0"/>
              <w:adjustRightInd w:val="0"/>
              <w:jc w:val="center"/>
            </w:pPr>
            <w:r w:rsidRPr="00990663">
              <w:t>1,916,748</w:t>
            </w:r>
          </w:p>
        </w:tc>
      </w:tr>
      <w:tr w:rsidR="007B3408" w:rsidRPr="00990663" w14:paraId="2C6F8B94" w14:textId="77777777" w:rsidTr="007B3408">
        <w:trPr>
          <w:jc w:val="center"/>
        </w:trPr>
        <w:tc>
          <w:tcPr>
            <w:tcW w:w="1022" w:type="dxa"/>
            <w:vAlign w:val="center"/>
          </w:tcPr>
          <w:p w14:paraId="64835B44" w14:textId="77777777" w:rsidR="007B3408" w:rsidRPr="00990663" w:rsidRDefault="007B3408" w:rsidP="001D729C">
            <w:pPr>
              <w:autoSpaceDE w:val="0"/>
              <w:autoSpaceDN w:val="0"/>
              <w:adjustRightInd w:val="0"/>
              <w:jc w:val="center"/>
            </w:pPr>
            <w:r w:rsidRPr="00990663">
              <w:t>N49K</w:t>
            </w:r>
          </w:p>
        </w:tc>
        <w:tc>
          <w:tcPr>
            <w:tcW w:w="1516" w:type="dxa"/>
            <w:vAlign w:val="center"/>
          </w:tcPr>
          <w:p w14:paraId="1E51351E" w14:textId="77777777" w:rsidR="007B3408" w:rsidRPr="00990663" w:rsidRDefault="007B3408" w:rsidP="001D729C">
            <w:pPr>
              <w:autoSpaceDE w:val="0"/>
              <w:autoSpaceDN w:val="0"/>
              <w:adjustRightInd w:val="0"/>
              <w:jc w:val="center"/>
            </w:pPr>
            <w:r w:rsidRPr="00990663">
              <w:t>1,809,097</w:t>
            </w:r>
          </w:p>
        </w:tc>
      </w:tr>
      <w:tr w:rsidR="007B3408" w:rsidRPr="00990663" w14:paraId="07E6ADF9" w14:textId="77777777" w:rsidTr="007B3408">
        <w:trPr>
          <w:jc w:val="center"/>
        </w:trPr>
        <w:tc>
          <w:tcPr>
            <w:tcW w:w="1022" w:type="dxa"/>
            <w:vAlign w:val="center"/>
          </w:tcPr>
          <w:p w14:paraId="4E4A71C6" w14:textId="77777777" w:rsidR="007B3408" w:rsidRPr="00990663" w:rsidRDefault="007B3408" w:rsidP="001D729C">
            <w:pPr>
              <w:autoSpaceDE w:val="0"/>
              <w:autoSpaceDN w:val="0"/>
              <w:adjustRightInd w:val="0"/>
              <w:jc w:val="center"/>
            </w:pPr>
            <w:r w:rsidRPr="00990663">
              <w:t>R11D</w:t>
            </w:r>
          </w:p>
        </w:tc>
        <w:tc>
          <w:tcPr>
            <w:tcW w:w="1516" w:type="dxa"/>
            <w:vAlign w:val="center"/>
          </w:tcPr>
          <w:p w14:paraId="18FB9DF0" w14:textId="77777777" w:rsidR="007B3408" w:rsidRPr="00990663" w:rsidRDefault="007B3408" w:rsidP="001D729C">
            <w:pPr>
              <w:autoSpaceDE w:val="0"/>
              <w:autoSpaceDN w:val="0"/>
              <w:adjustRightInd w:val="0"/>
              <w:jc w:val="center"/>
            </w:pPr>
            <w:r w:rsidRPr="00990663">
              <w:t>270,615</w:t>
            </w:r>
          </w:p>
        </w:tc>
      </w:tr>
      <w:tr w:rsidR="007B3408" w:rsidRPr="00990663" w14:paraId="4C81BE82" w14:textId="77777777" w:rsidTr="007B3408">
        <w:trPr>
          <w:jc w:val="center"/>
        </w:trPr>
        <w:tc>
          <w:tcPr>
            <w:tcW w:w="1022" w:type="dxa"/>
            <w:vAlign w:val="center"/>
          </w:tcPr>
          <w:p w14:paraId="37ACDC42" w14:textId="77777777" w:rsidR="007B3408" w:rsidRPr="00990663" w:rsidRDefault="007B3408" w:rsidP="001D729C">
            <w:pPr>
              <w:autoSpaceDE w:val="0"/>
              <w:autoSpaceDN w:val="0"/>
              <w:adjustRightInd w:val="0"/>
              <w:jc w:val="center"/>
            </w:pPr>
            <w:r w:rsidRPr="00990663">
              <w:t>R12G</w:t>
            </w:r>
          </w:p>
        </w:tc>
        <w:tc>
          <w:tcPr>
            <w:tcW w:w="1516" w:type="dxa"/>
            <w:vAlign w:val="center"/>
          </w:tcPr>
          <w:p w14:paraId="7D8AAFA8" w14:textId="77777777" w:rsidR="007B3408" w:rsidRPr="00990663" w:rsidRDefault="007B3408" w:rsidP="001D729C">
            <w:pPr>
              <w:autoSpaceDE w:val="0"/>
              <w:autoSpaceDN w:val="0"/>
              <w:adjustRightInd w:val="0"/>
              <w:jc w:val="center"/>
            </w:pPr>
            <w:r w:rsidRPr="00990663">
              <w:t>342,390</w:t>
            </w:r>
          </w:p>
        </w:tc>
      </w:tr>
      <w:tr w:rsidR="007B3408" w:rsidRPr="00990663" w14:paraId="287DA81C" w14:textId="77777777" w:rsidTr="007B3408">
        <w:trPr>
          <w:jc w:val="center"/>
        </w:trPr>
        <w:tc>
          <w:tcPr>
            <w:tcW w:w="1022" w:type="dxa"/>
            <w:vAlign w:val="center"/>
          </w:tcPr>
          <w:p w14:paraId="28767272" w14:textId="77777777" w:rsidR="007B3408" w:rsidRPr="00990663" w:rsidRDefault="007B3408" w:rsidP="001D729C">
            <w:pPr>
              <w:autoSpaceDE w:val="0"/>
              <w:autoSpaceDN w:val="0"/>
              <w:adjustRightInd w:val="0"/>
              <w:jc w:val="center"/>
            </w:pPr>
            <w:r w:rsidRPr="00990663">
              <w:t>R23K</w:t>
            </w:r>
          </w:p>
        </w:tc>
        <w:tc>
          <w:tcPr>
            <w:tcW w:w="1516" w:type="dxa"/>
            <w:vAlign w:val="center"/>
          </w:tcPr>
          <w:p w14:paraId="6311447F" w14:textId="77777777" w:rsidR="007B3408" w:rsidRPr="00990663" w:rsidRDefault="007B3408" w:rsidP="001D729C">
            <w:pPr>
              <w:autoSpaceDE w:val="0"/>
              <w:autoSpaceDN w:val="0"/>
              <w:adjustRightInd w:val="0"/>
              <w:jc w:val="center"/>
            </w:pPr>
            <w:r w:rsidRPr="00990663">
              <w:t>665,686</w:t>
            </w:r>
          </w:p>
        </w:tc>
      </w:tr>
      <w:tr w:rsidR="007B3408" w:rsidRPr="00990663" w14:paraId="30FE4AA1" w14:textId="77777777" w:rsidTr="007B3408">
        <w:trPr>
          <w:jc w:val="center"/>
        </w:trPr>
        <w:tc>
          <w:tcPr>
            <w:tcW w:w="1022" w:type="dxa"/>
            <w:vAlign w:val="center"/>
          </w:tcPr>
          <w:p w14:paraId="77A70A31" w14:textId="77777777" w:rsidR="007B3408" w:rsidRPr="00990663" w:rsidRDefault="007B3408" w:rsidP="001D729C">
            <w:pPr>
              <w:autoSpaceDE w:val="0"/>
              <w:autoSpaceDN w:val="0"/>
              <w:adjustRightInd w:val="0"/>
              <w:jc w:val="center"/>
            </w:pPr>
            <w:r w:rsidRPr="00990663">
              <w:t>R23L</w:t>
            </w:r>
          </w:p>
        </w:tc>
        <w:tc>
          <w:tcPr>
            <w:tcW w:w="1516" w:type="dxa"/>
            <w:vAlign w:val="center"/>
          </w:tcPr>
          <w:p w14:paraId="5E3EF9B4" w14:textId="77777777" w:rsidR="007B3408" w:rsidRPr="00990663" w:rsidRDefault="007B3408" w:rsidP="001D729C">
            <w:pPr>
              <w:autoSpaceDE w:val="0"/>
              <w:autoSpaceDN w:val="0"/>
              <w:adjustRightInd w:val="0"/>
              <w:jc w:val="center"/>
            </w:pPr>
            <w:r w:rsidRPr="00990663">
              <w:t>560,289</w:t>
            </w:r>
          </w:p>
        </w:tc>
      </w:tr>
      <w:tr w:rsidR="007B3408" w:rsidRPr="00990663" w14:paraId="29BDC33E" w14:textId="77777777" w:rsidTr="007B3408">
        <w:trPr>
          <w:jc w:val="center"/>
        </w:trPr>
        <w:tc>
          <w:tcPr>
            <w:tcW w:w="1022" w:type="dxa"/>
            <w:vAlign w:val="center"/>
          </w:tcPr>
          <w:p w14:paraId="2681CCF8" w14:textId="77777777" w:rsidR="007B3408" w:rsidRPr="00990663" w:rsidRDefault="007B3408" w:rsidP="001D729C">
            <w:pPr>
              <w:autoSpaceDE w:val="0"/>
              <w:autoSpaceDN w:val="0"/>
              <w:adjustRightInd w:val="0"/>
              <w:jc w:val="center"/>
            </w:pPr>
            <w:r w:rsidRPr="00990663">
              <w:t>R24G</w:t>
            </w:r>
          </w:p>
        </w:tc>
        <w:tc>
          <w:tcPr>
            <w:tcW w:w="1516" w:type="dxa"/>
            <w:vAlign w:val="center"/>
          </w:tcPr>
          <w:p w14:paraId="5CA10EB3" w14:textId="77777777" w:rsidR="007B3408" w:rsidRPr="00990663" w:rsidRDefault="007B3408" w:rsidP="001D729C">
            <w:pPr>
              <w:autoSpaceDE w:val="0"/>
              <w:autoSpaceDN w:val="0"/>
              <w:adjustRightInd w:val="0"/>
              <w:jc w:val="center"/>
            </w:pPr>
            <w:r w:rsidRPr="00990663">
              <w:t>762,030</w:t>
            </w:r>
          </w:p>
        </w:tc>
      </w:tr>
      <w:tr w:rsidR="007B3408" w:rsidRPr="00990663" w14:paraId="7C970B19" w14:textId="77777777" w:rsidTr="007B3408">
        <w:trPr>
          <w:jc w:val="center"/>
        </w:trPr>
        <w:tc>
          <w:tcPr>
            <w:tcW w:w="1022" w:type="dxa"/>
            <w:vAlign w:val="center"/>
          </w:tcPr>
          <w:p w14:paraId="6FF7EFAC" w14:textId="77777777" w:rsidR="007B3408" w:rsidRPr="00990663" w:rsidRDefault="007B3408" w:rsidP="001D729C">
            <w:pPr>
              <w:autoSpaceDE w:val="0"/>
              <w:autoSpaceDN w:val="0"/>
              <w:adjustRightInd w:val="0"/>
              <w:jc w:val="center"/>
            </w:pPr>
            <w:r w:rsidRPr="00990663">
              <w:t>R24H</w:t>
            </w:r>
          </w:p>
        </w:tc>
        <w:tc>
          <w:tcPr>
            <w:tcW w:w="1516" w:type="dxa"/>
            <w:vAlign w:val="center"/>
          </w:tcPr>
          <w:p w14:paraId="15B284A2" w14:textId="77777777" w:rsidR="007B3408" w:rsidRPr="00990663" w:rsidRDefault="007B3408" w:rsidP="001D729C">
            <w:pPr>
              <w:autoSpaceDE w:val="0"/>
              <w:autoSpaceDN w:val="0"/>
              <w:adjustRightInd w:val="0"/>
              <w:jc w:val="center"/>
            </w:pPr>
            <w:r w:rsidRPr="00990663">
              <w:t>641,689</w:t>
            </w:r>
          </w:p>
        </w:tc>
      </w:tr>
      <w:tr w:rsidR="007B3408" w:rsidRPr="00990663" w14:paraId="010B90D9" w14:textId="77777777" w:rsidTr="007B3408">
        <w:trPr>
          <w:jc w:val="center"/>
        </w:trPr>
        <w:tc>
          <w:tcPr>
            <w:tcW w:w="1022" w:type="dxa"/>
            <w:vAlign w:val="center"/>
          </w:tcPr>
          <w:p w14:paraId="4991AC87" w14:textId="77777777" w:rsidR="007B3408" w:rsidRPr="00990663" w:rsidRDefault="007B3408" w:rsidP="001D729C">
            <w:pPr>
              <w:autoSpaceDE w:val="0"/>
              <w:autoSpaceDN w:val="0"/>
              <w:adjustRightInd w:val="0"/>
              <w:jc w:val="center"/>
            </w:pPr>
            <w:r w:rsidRPr="00990663">
              <w:t>R35R</w:t>
            </w:r>
          </w:p>
        </w:tc>
        <w:tc>
          <w:tcPr>
            <w:tcW w:w="1516" w:type="dxa"/>
            <w:vAlign w:val="center"/>
          </w:tcPr>
          <w:p w14:paraId="749486FD" w14:textId="77777777" w:rsidR="007B3408" w:rsidRPr="00990663" w:rsidRDefault="007B3408" w:rsidP="001D729C">
            <w:pPr>
              <w:autoSpaceDE w:val="0"/>
              <w:autoSpaceDN w:val="0"/>
              <w:adjustRightInd w:val="0"/>
              <w:jc w:val="center"/>
            </w:pPr>
            <w:r w:rsidRPr="00990663">
              <w:t>639,707</w:t>
            </w:r>
          </w:p>
        </w:tc>
      </w:tr>
      <w:tr w:rsidR="007B3408" w:rsidRPr="00990663" w14:paraId="42C757C8" w14:textId="77777777" w:rsidTr="007B3408">
        <w:trPr>
          <w:jc w:val="center"/>
        </w:trPr>
        <w:tc>
          <w:tcPr>
            <w:tcW w:w="1022" w:type="dxa"/>
            <w:vAlign w:val="center"/>
          </w:tcPr>
          <w:p w14:paraId="33C08EE7" w14:textId="77777777" w:rsidR="007B3408" w:rsidRPr="00990663" w:rsidRDefault="007B3408" w:rsidP="001D729C">
            <w:pPr>
              <w:autoSpaceDE w:val="0"/>
              <w:autoSpaceDN w:val="0"/>
              <w:adjustRightInd w:val="0"/>
              <w:jc w:val="center"/>
            </w:pPr>
            <w:r w:rsidRPr="00990663">
              <w:t>R35S</w:t>
            </w:r>
          </w:p>
        </w:tc>
        <w:tc>
          <w:tcPr>
            <w:tcW w:w="1516" w:type="dxa"/>
            <w:vAlign w:val="center"/>
          </w:tcPr>
          <w:p w14:paraId="7D3704FD" w14:textId="77777777" w:rsidR="007B3408" w:rsidRPr="00990663" w:rsidRDefault="007B3408" w:rsidP="001D729C">
            <w:pPr>
              <w:autoSpaceDE w:val="0"/>
              <w:autoSpaceDN w:val="0"/>
              <w:adjustRightInd w:val="0"/>
              <w:jc w:val="center"/>
            </w:pPr>
            <w:r w:rsidRPr="00990663">
              <w:t>768,510</w:t>
            </w:r>
          </w:p>
        </w:tc>
      </w:tr>
      <w:tr w:rsidR="007B3408" w:rsidRPr="00990663" w14:paraId="2238DFDF" w14:textId="77777777" w:rsidTr="007B3408">
        <w:trPr>
          <w:jc w:val="center"/>
        </w:trPr>
        <w:tc>
          <w:tcPr>
            <w:tcW w:w="1022" w:type="dxa"/>
            <w:vAlign w:val="center"/>
          </w:tcPr>
          <w:p w14:paraId="747F6B3F" w14:textId="77777777" w:rsidR="007B3408" w:rsidRPr="00990663" w:rsidRDefault="007B3408" w:rsidP="001D729C">
            <w:pPr>
              <w:autoSpaceDE w:val="0"/>
              <w:autoSpaceDN w:val="0"/>
              <w:adjustRightInd w:val="0"/>
              <w:jc w:val="center"/>
            </w:pPr>
            <w:r w:rsidRPr="00990663">
              <w:t>R36G</w:t>
            </w:r>
          </w:p>
        </w:tc>
        <w:tc>
          <w:tcPr>
            <w:tcW w:w="1516" w:type="dxa"/>
            <w:vAlign w:val="center"/>
          </w:tcPr>
          <w:p w14:paraId="574236B0" w14:textId="77777777" w:rsidR="007B3408" w:rsidRPr="00990663" w:rsidRDefault="007B3408" w:rsidP="001D729C">
            <w:pPr>
              <w:autoSpaceDE w:val="0"/>
              <w:autoSpaceDN w:val="0"/>
              <w:adjustRightInd w:val="0"/>
              <w:jc w:val="center"/>
            </w:pPr>
            <w:r w:rsidRPr="00990663">
              <w:t>649,952</w:t>
            </w:r>
          </w:p>
        </w:tc>
      </w:tr>
      <w:tr w:rsidR="007B3408" w:rsidRPr="00990663" w14:paraId="7B13C075" w14:textId="77777777" w:rsidTr="007B3408">
        <w:trPr>
          <w:jc w:val="center"/>
        </w:trPr>
        <w:tc>
          <w:tcPr>
            <w:tcW w:w="1022" w:type="dxa"/>
            <w:vAlign w:val="center"/>
          </w:tcPr>
          <w:p w14:paraId="7AF130FF" w14:textId="77777777" w:rsidR="007B3408" w:rsidRPr="00990663" w:rsidRDefault="007B3408" w:rsidP="001D729C">
            <w:pPr>
              <w:autoSpaceDE w:val="0"/>
              <w:autoSpaceDN w:val="0"/>
              <w:adjustRightInd w:val="0"/>
              <w:jc w:val="center"/>
            </w:pPr>
            <w:r w:rsidRPr="00990663">
              <w:t>R36H</w:t>
            </w:r>
          </w:p>
        </w:tc>
        <w:tc>
          <w:tcPr>
            <w:tcW w:w="1516" w:type="dxa"/>
            <w:vAlign w:val="center"/>
          </w:tcPr>
          <w:p w14:paraId="11F18F51" w14:textId="77777777" w:rsidR="007B3408" w:rsidRPr="00990663" w:rsidRDefault="007B3408" w:rsidP="001D729C">
            <w:pPr>
              <w:autoSpaceDE w:val="0"/>
              <w:autoSpaceDN w:val="0"/>
              <w:adjustRightInd w:val="0"/>
              <w:jc w:val="center"/>
            </w:pPr>
            <w:r w:rsidRPr="00990663">
              <w:t>583,304</w:t>
            </w:r>
          </w:p>
        </w:tc>
      </w:tr>
      <w:tr w:rsidR="007B3408" w:rsidRPr="00990663" w14:paraId="51222B90" w14:textId="77777777" w:rsidTr="007B3408">
        <w:trPr>
          <w:jc w:val="center"/>
        </w:trPr>
        <w:tc>
          <w:tcPr>
            <w:tcW w:w="1022" w:type="dxa"/>
            <w:vAlign w:val="center"/>
          </w:tcPr>
          <w:p w14:paraId="3FCB44E3" w14:textId="77777777" w:rsidR="007B3408" w:rsidRPr="00990663" w:rsidRDefault="007B3408" w:rsidP="001D729C">
            <w:pPr>
              <w:autoSpaceDE w:val="0"/>
              <w:autoSpaceDN w:val="0"/>
              <w:adjustRightInd w:val="0"/>
              <w:jc w:val="center"/>
            </w:pPr>
            <w:r w:rsidRPr="00990663">
              <w:t>R37K</w:t>
            </w:r>
          </w:p>
        </w:tc>
        <w:tc>
          <w:tcPr>
            <w:tcW w:w="1516" w:type="dxa"/>
            <w:vAlign w:val="center"/>
          </w:tcPr>
          <w:p w14:paraId="741E8005" w14:textId="77777777" w:rsidR="007B3408" w:rsidRPr="00990663" w:rsidRDefault="007B3408" w:rsidP="001D729C">
            <w:pPr>
              <w:autoSpaceDE w:val="0"/>
              <w:autoSpaceDN w:val="0"/>
              <w:adjustRightInd w:val="0"/>
              <w:jc w:val="center"/>
            </w:pPr>
            <w:r w:rsidRPr="00990663">
              <w:t>545,339</w:t>
            </w:r>
          </w:p>
        </w:tc>
      </w:tr>
      <w:tr w:rsidR="007B3408" w:rsidRPr="00990663" w14:paraId="0626B021" w14:textId="77777777" w:rsidTr="007B3408">
        <w:trPr>
          <w:jc w:val="center"/>
        </w:trPr>
        <w:tc>
          <w:tcPr>
            <w:tcW w:w="1022" w:type="dxa"/>
            <w:vAlign w:val="center"/>
          </w:tcPr>
          <w:p w14:paraId="26EE14F2" w14:textId="77777777" w:rsidR="007B3408" w:rsidRPr="00990663" w:rsidRDefault="007B3408" w:rsidP="001D729C">
            <w:pPr>
              <w:autoSpaceDE w:val="0"/>
              <w:autoSpaceDN w:val="0"/>
              <w:adjustRightInd w:val="0"/>
              <w:jc w:val="center"/>
            </w:pPr>
            <w:r w:rsidRPr="00990663">
              <w:t>R37L</w:t>
            </w:r>
          </w:p>
        </w:tc>
        <w:tc>
          <w:tcPr>
            <w:tcW w:w="1516" w:type="dxa"/>
            <w:vAlign w:val="center"/>
          </w:tcPr>
          <w:p w14:paraId="16A65565" w14:textId="77777777" w:rsidR="007B3408" w:rsidRPr="00990663" w:rsidRDefault="007B3408" w:rsidP="001D729C">
            <w:pPr>
              <w:autoSpaceDE w:val="0"/>
              <w:autoSpaceDN w:val="0"/>
              <w:adjustRightInd w:val="0"/>
              <w:jc w:val="center"/>
            </w:pPr>
            <w:r w:rsidRPr="00990663">
              <w:t>658,333</w:t>
            </w:r>
          </w:p>
        </w:tc>
      </w:tr>
      <w:tr w:rsidR="007B3408" w:rsidRPr="00990663" w14:paraId="7A73F460" w14:textId="77777777" w:rsidTr="007B3408">
        <w:trPr>
          <w:jc w:val="center"/>
        </w:trPr>
        <w:tc>
          <w:tcPr>
            <w:tcW w:w="1022" w:type="dxa"/>
            <w:vAlign w:val="center"/>
          </w:tcPr>
          <w:p w14:paraId="153F8A74" w14:textId="77777777" w:rsidR="007B3408" w:rsidRPr="00990663" w:rsidRDefault="007B3408" w:rsidP="001D729C">
            <w:pPr>
              <w:autoSpaceDE w:val="0"/>
              <w:autoSpaceDN w:val="0"/>
              <w:adjustRightInd w:val="0"/>
              <w:jc w:val="center"/>
            </w:pPr>
            <w:r w:rsidRPr="00990663">
              <w:t>R48G</w:t>
            </w:r>
          </w:p>
        </w:tc>
        <w:tc>
          <w:tcPr>
            <w:tcW w:w="1516" w:type="dxa"/>
            <w:vAlign w:val="center"/>
          </w:tcPr>
          <w:p w14:paraId="41AF3AEA" w14:textId="77777777" w:rsidR="007B3408" w:rsidRPr="00990663" w:rsidRDefault="007B3408" w:rsidP="001D729C">
            <w:pPr>
              <w:autoSpaceDE w:val="0"/>
              <w:autoSpaceDN w:val="0"/>
              <w:adjustRightInd w:val="0"/>
              <w:jc w:val="center"/>
            </w:pPr>
            <w:r w:rsidRPr="00990663">
              <w:t>199,687</w:t>
            </w:r>
          </w:p>
        </w:tc>
      </w:tr>
      <w:tr w:rsidR="007B3408" w:rsidRPr="00990663" w14:paraId="76292CCB" w14:textId="77777777" w:rsidTr="007B3408">
        <w:trPr>
          <w:jc w:val="center"/>
        </w:trPr>
        <w:tc>
          <w:tcPr>
            <w:tcW w:w="1022" w:type="dxa"/>
            <w:vAlign w:val="center"/>
          </w:tcPr>
          <w:p w14:paraId="4D73111E" w14:textId="77777777" w:rsidR="007B3408" w:rsidRPr="00990663" w:rsidRDefault="007B3408" w:rsidP="001D729C">
            <w:pPr>
              <w:autoSpaceDE w:val="0"/>
              <w:autoSpaceDN w:val="0"/>
              <w:adjustRightInd w:val="0"/>
              <w:jc w:val="center"/>
            </w:pPr>
            <w:r w:rsidRPr="00990663">
              <w:t>R48H</w:t>
            </w:r>
          </w:p>
        </w:tc>
        <w:tc>
          <w:tcPr>
            <w:tcW w:w="1516" w:type="dxa"/>
            <w:vAlign w:val="center"/>
          </w:tcPr>
          <w:p w14:paraId="52648AAF" w14:textId="77777777" w:rsidR="007B3408" w:rsidRPr="00990663" w:rsidRDefault="007B3408" w:rsidP="001D729C">
            <w:pPr>
              <w:autoSpaceDE w:val="0"/>
              <w:autoSpaceDN w:val="0"/>
              <w:adjustRightInd w:val="0"/>
              <w:jc w:val="center"/>
            </w:pPr>
            <w:r w:rsidRPr="00990663">
              <w:t>165,559</w:t>
            </w:r>
          </w:p>
        </w:tc>
      </w:tr>
      <w:tr w:rsidR="007B3408" w:rsidRPr="00990663" w14:paraId="59CEEF39" w14:textId="77777777" w:rsidTr="007B3408">
        <w:trPr>
          <w:jc w:val="center"/>
        </w:trPr>
        <w:tc>
          <w:tcPr>
            <w:tcW w:w="1022" w:type="dxa"/>
            <w:vAlign w:val="center"/>
          </w:tcPr>
          <w:p w14:paraId="24A8640E" w14:textId="77777777" w:rsidR="007B3408" w:rsidRPr="00990663" w:rsidRDefault="007B3408" w:rsidP="001D729C">
            <w:pPr>
              <w:autoSpaceDE w:val="0"/>
              <w:autoSpaceDN w:val="0"/>
              <w:adjustRightInd w:val="0"/>
              <w:jc w:val="center"/>
            </w:pPr>
            <w:r w:rsidRPr="00990663">
              <w:t>R48I</w:t>
            </w:r>
          </w:p>
        </w:tc>
        <w:tc>
          <w:tcPr>
            <w:tcW w:w="1516" w:type="dxa"/>
            <w:vAlign w:val="center"/>
          </w:tcPr>
          <w:p w14:paraId="6B132DBF" w14:textId="77777777" w:rsidR="007B3408" w:rsidRPr="00990663" w:rsidRDefault="007B3408" w:rsidP="001D729C">
            <w:pPr>
              <w:autoSpaceDE w:val="0"/>
              <w:autoSpaceDN w:val="0"/>
              <w:adjustRightInd w:val="0"/>
              <w:jc w:val="center"/>
            </w:pPr>
            <w:r w:rsidRPr="00990663">
              <w:t>185,479</w:t>
            </w:r>
          </w:p>
        </w:tc>
      </w:tr>
      <w:tr w:rsidR="007B3408" w:rsidRPr="00990663" w14:paraId="022CB924" w14:textId="77777777" w:rsidTr="007B3408">
        <w:trPr>
          <w:jc w:val="center"/>
        </w:trPr>
        <w:tc>
          <w:tcPr>
            <w:tcW w:w="1022" w:type="dxa"/>
            <w:vAlign w:val="center"/>
          </w:tcPr>
          <w:p w14:paraId="72BC3AD7" w14:textId="77777777" w:rsidR="007B3408" w:rsidRPr="00990663" w:rsidRDefault="007B3408" w:rsidP="001D729C">
            <w:pPr>
              <w:autoSpaceDE w:val="0"/>
              <w:autoSpaceDN w:val="0"/>
              <w:adjustRightInd w:val="0"/>
              <w:jc w:val="center"/>
            </w:pPr>
            <w:r w:rsidRPr="00990663">
              <w:t>R49L</w:t>
            </w:r>
          </w:p>
        </w:tc>
        <w:tc>
          <w:tcPr>
            <w:tcW w:w="1516" w:type="dxa"/>
            <w:vAlign w:val="center"/>
          </w:tcPr>
          <w:p w14:paraId="3A2A41D7" w14:textId="77777777" w:rsidR="007B3408" w:rsidRPr="00990663" w:rsidRDefault="007B3408" w:rsidP="001D729C">
            <w:pPr>
              <w:autoSpaceDE w:val="0"/>
              <w:autoSpaceDN w:val="0"/>
              <w:adjustRightInd w:val="0"/>
              <w:jc w:val="center"/>
            </w:pPr>
            <w:r w:rsidRPr="00990663">
              <w:t>296,175</w:t>
            </w:r>
          </w:p>
        </w:tc>
      </w:tr>
      <w:tr w:rsidR="007B3408" w:rsidRPr="00990663" w14:paraId="13BA68E6" w14:textId="77777777" w:rsidTr="007B3408">
        <w:trPr>
          <w:jc w:val="center"/>
        </w:trPr>
        <w:tc>
          <w:tcPr>
            <w:tcW w:w="1022" w:type="dxa"/>
            <w:vAlign w:val="center"/>
          </w:tcPr>
          <w:p w14:paraId="08C73A00" w14:textId="77777777" w:rsidR="007B3408" w:rsidRPr="00990663" w:rsidRDefault="007B3408" w:rsidP="001D729C">
            <w:pPr>
              <w:jc w:val="center"/>
              <w:rPr>
                <w:b/>
              </w:rPr>
            </w:pPr>
            <w:r w:rsidRPr="00990663">
              <w:rPr>
                <w:b/>
              </w:rPr>
              <w:t>Total</w:t>
            </w:r>
          </w:p>
        </w:tc>
        <w:tc>
          <w:tcPr>
            <w:tcW w:w="1516" w:type="dxa"/>
            <w:vAlign w:val="center"/>
          </w:tcPr>
          <w:p w14:paraId="5E08D403" w14:textId="77777777" w:rsidR="007B3408" w:rsidRPr="00990663" w:rsidRDefault="007B3408" w:rsidP="001D729C">
            <w:pPr>
              <w:jc w:val="center"/>
              <w:rPr>
                <w:b/>
              </w:rPr>
            </w:pPr>
            <w:r w:rsidRPr="00990663">
              <w:rPr>
                <w:b/>
              </w:rPr>
              <w:t>128,000,000</w:t>
            </w:r>
          </w:p>
        </w:tc>
      </w:tr>
    </w:tbl>
    <w:p w14:paraId="7A6907AB" w14:textId="77777777" w:rsidR="007B3408" w:rsidRDefault="007B3408" w:rsidP="001041FE">
      <w:pPr>
        <w:tabs>
          <w:tab w:val="left" w:pos="1176"/>
          <w:tab w:val="left" w:pos="1656"/>
          <w:tab w:val="left" w:pos="5016"/>
          <w:tab w:val="left" w:pos="6696"/>
          <w:tab w:val="left" w:pos="8256"/>
        </w:tabs>
        <w:sectPr w:rsidR="007B3408" w:rsidSect="00CF7199">
          <w:type w:val="continuous"/>
          <w:pgSz w:w="12240" w:h="15840"/>
          <w:pgMar w:top="1440" w:right="1800" w:bottom="1440" w:left="1800" w:header="720" w:footer="720" w:gutter="0"/>
          <w:cols w:num="3" w:space="720"/>
          <w:docGrid w:linePitch="360"/>
        </w:sectPr>
      </w:pPr>
    </w:p>
    <w:p w14:paraId="1406D316" w14:textId="77777777" w:rsidR="0078793C" w:rsidRDefault="0078793C" w:rsidP="00D21F06">
      <w:pPr>
        <w:tabs>
          <w:tab w:val="left" w:pos="1176"/>
          <w:tab w:val="left" w:pos="1656"/>
          <w:tab w:val="left" w:pos="5016"/>
          <w:tab w:val="left" w:pos="6696"/>
          <w:tab w:val="left" w:pos="8256"/>
        </w:tabs>
        <w:ind w:left="691"/>
        <w:rPr>
          <w:u w:val="single"/>
        </w:rPr>
      </w:pPr>
    </w:p>
    <w:p w14:paraId="5A829E30" w14:textId="2F3FE3F4" w:rsidR="00A11522" w:rsidRDefault="00A11522" w:rsidP="00D21F06">
      <w:pPr>
        <w:tabs>
          <w:tab w:val="left" w:pos="1176"/>
          <w:tab w:val="left" w:pos="1656"/>
          <w:tab w:val="left" w:pos="5016"/>
          <w:tab w:val="left" w:pos="6696"/>
          <w:tab w:val="left" w:pos="8256"/>
        </w:tabs>
        <w:ind w:left="691"/>
      </w:pPr>
      <w:r>
        <w:rPr>
          <w:u w:val="single"/>
        </w:rPr>
        <w:t>Response Rates</w:t>
      </w:r>
    </w:p>
    <w:p w14:paraId="15846E07" w14:textId="0A5FDA9A" w:rsidR="00A11522" w:rsidRDefault="00A11522" w:rsidP="001D5847">
      <w:pPr>
        <w:tabs>
          <w:tab w:val="left" w:pos="1176"/>
          <w:tab w:val="left" w:pos="1656"/>
          <w:tab w:val="left" w:pos="5016"/>
          <w:tab w:val="left" w:pos="6696"/>
          <w:tab w:val="left" w:pos="8256"/>
        </w:tabs>
        <w:ind w:left="691"/>
      </w:pPr>
      <w:r>
        <w:t xml:space="preserve">The following table shows expected annual sample sizes </w:t>
      </w:r>
      <w:r w:rsidR="000F1BE7">
        <w:t>in 201</w:t>
      </w:r>
      <w:r w:rsidR="003B49E5">
        <w:t>7-2019</w:t>
      </w:r>
      <w:r w:rsidR="000F1BE7">
        <w:t xml:space="preserve"> </w:t>
      </w:r>
      <w:r>
        <w:t xml:space="preserve">for the Quarterly Interview Survey (CEQ) and the Diary Survey (CED).  </w:t>
      </w:r>
      <w:r w:rsidR="003B49E5">
        <w:t xml:space="preserve">Each year </w:t>
      </w:r>
      <w:r w:rsidR="007F3911">
        <w:t xml:space="preserve">the </w:t>
      </w:r>
      <w:r w:rsidR="000F1BE7">
        <w:t xml:space="preserve">sample for the </w:t>
      </w:r>
      <w:r w:rsidR="007F3911">
        <w:t>CEQ</w:t>
      </w:r>
      <w:r w:rsidR="000A2810">
        <w:t xml:space="preserve"> </w:t>
      </w:r>
      <w:r w:rsidR="000F1BE7">
        <w:t>will include 48</w:t>
      </w:r>
      <w:r w:rsidR="007F3911">
        <w:t>,000 addresses</w:t>
      </w:r>
      <w:r w:rsidR="002374B8">
        <w:t>,</w:t>
      </w:r>
      <w:r w:rsidR="007F3911">
        <w:t xml:space="preserve"> </w:t>
      </w:r>
      <w:r w:rsidR="000A2810">
        <w:t>and</w:t>
      </w:r>
      <w:r w:rsidR="003850D8">
        <w:t xml:space="preserve"> </w:t>
      </w:r>
      <w:r w:rsidR="000F1BE7">
        <w:t xml:space="preserve">the sample </w:t>
      </w:r>
      <w:r w:rsidR="003850D8">
        <w:t>f</w:t>
      </w:r>
      <w:r w:rsidR="007F3911">
        <w:t xml:space="preserve">or the CED </w:t>
      </w:r>
      <w:r w:rsidR="000F1BE7">
        <w:t xml:space="preserve">will include </w:t>
      </w:r>
      <w:r w:rsidR="007F3911">
        <w:t>12,000 addresses.</w:t>
      </w:r>
      <w:r w:rsidR="001D5847">
        <w:t xml:space="preserve">  </w:t>
      </w:r>
      <w:r w:rsidR="000F1BE7">
        <w:rPr>
          <w:bCs/>
          <w:iCs/>
        </w:rPr>
        <w:t xml:space="preserve">From these addresses 13% are expected to be “Type B/C” </w:t>
      </w:r>
      <w:r w:rsidR="005152CD">
        <w:rPr>
          <w:bCs/>
          <w:iCs/>
        </w:rPr>
        <w:t>noninterviews, which are addresses that are not occupied housing units (they are nonexistent</w:t>
      </w:r>
      <w:r>
        <w:rPr>
          <w:bCs/>
          <w:iCs/>
        </w:rPr>
        <w:t>, nonresidential, vacant, demolished, etc.</w:t>
      </w:r>
      <w:r w:rsidR="005152CD">
        <w:rPr>
          <w:bCs/>
          <w:iCs/>
        </w:rPr>
        <w:t xml:space="preserve">); and the </w:t>
      </w:r>
      <w:r w:rsidR="005152CD">
        <w:rPr>
          <w:bCs/>
          <w:iCs/>
        </w:rPr>
        <w:lastRenderedPageBreak/>
        <w:t xml:space="preserve">other 87% are occupied housing units.  </w:t>
      </w:r>
      <w:r w:rsidR="001D5847">
        <w:rPr>
          <w:bCs/>
          <w:iCs/>
        </w:rPr>
        <w:t>Of</w:t>
      </w:r>
      <w:r w:rsidR="005152CD">
        <w:rPr>
          <w:bCs/>
          <w:iCs/>
        </w:rPr>
        <w:t xml:space="preserve"> those occupied housing units, </w:t>
      </w:r>
      <w:r w:rsidR="004401E9">
        <w:rPr>
          <w:bCs/>
          <w:iCs/>
        </w:rPr>
        <w:t xml:space="preserve">approximately </w:t>
      </w:r>
      <w:r w:rsidR="004E4AA4">
        <w:rPr>
          <w:bCs/>
          <w:iCs/>
        </w:rPr>
        <w:t>37</w:t>
      </w:r>
      <w:r w:rsidR="005152CD">
        <w:rPr>
          <w:bCs/>
          <w:iCs/>
        </w:rPr>
        <w:t>% are expected to be “Type A” noninterviews</w:t>
      </w:r>
      <w:r w:rsidR="009E7C63">
        <w:rPr>
          <w:bCs/>
          <w:iCs/>
        </w:rPr>
        <w:t>,</w:t>
      </w:r>
      <w:r w:rsidR="005152CD">
        <w:rPr>
          <w:bCs/>
          <w:iCs/>
        </w:rPr>
        <w:t xml:space="preserve"> which are</w:t>
      </w:r>
      <w:r w:rsidR="001D5847">
        <w:rPr>
          <w:bCs/>
          <w:iCs/>
        </w:rPr>
        <w:t xml:space="preserve"> occupied </w:t>
      </w:r>
      <w:r>
        <w:rPr>
          <w:bCs/>
          <w:iCs/>
        </w:rPr>
        <w:t>housing units that d</w:t>
      </w:r>
      <w:r w:rsidR="002374B8">
        <w:rPr>
          <w:bCs/>
          <w:iCs/>
        </w:rPr>
        <w:t>o</w:t>
      </w:r>
      <w:r>
        <w:rPr>
          <w:bCs/>
          <w:iCs/>
        </w:rPr>
        <w:t xml:space="preserve"> not p</w:t>
      </w:r>
      <w:r w:rsidR="00F127F6">
        <w:rPr>
          <w:bCs/>
          <w:iCs/>
        </w:rPr>
        <w:t>a</w:t>
      </w:r>
      <w:r>
        <w:rPr>
          <w:bCs/>
          <w:iCs/>
        </w:rPr>
        <w:t>rticipate in the survey</w:t>
      </w:r>
      <w:r w:rsidR="009E7C63">
        <w:rPr>
          <w:bCs/>
          <w:iCs/>
        </w:rPr>
        <w:t>;</w:t>
      </w:r>
      <w:r w:rsidR="001D5847">
        <w:rPr>
          <w:bCs/>
          <w:iCs/>
        </w:rPr>
        <w:t xml:space="preserve"> and the other 6</w:t>
      </w:r>
      <w:r w:rsidR="004E4AA4">
        <w:rPr>
          <w:bCs/>
          <w:iCs/>
        </w:rPr>
        <w:t>3</w:t>
      </w:r>
      <w:r w:rsidR="001D5847">
        <w:rPr>
          <w:bCs/>
          <w:iCs/>
        </w:rPr>
        <w:t>% are expected to be housing units with completed interviews</w:t>
      </w:r>
      <w:r>
        <w:rPr>
          <w:bCs/>
          <w:iCs/>
        </w:rPr>
        <w:t>.</w:t>
      </w:r>
      <w:r w:rsidR="001D5847">
        <w:rPr>
          <w:bCs/>
          <w:iCs/>
        </w:rPr>
        <w:t xml:space="preserve">  This is expected to yield approximately 2</w:t>
      </w:r>
      <w:r w:rsidR="00670EC8">
        <w:rPr>
          <w:bCs/>
          <w:iCs/>
        </w:rPr>
        <w:t>6,3</w:t>
      </w:r>
      <w:r w:rsidR="004401E9">
        <w:rPr>
          <w:bCs/>
          <w:iCs/>
        </w:rPr>
        <w:t>00</w:t>
      </w:r>
      <w:r w:rsidR="00A46014">
        <w:rPr>
          <w:bCs/>
          <w:iCs/>
        </w:rPr>
        <w:t xml:space="preserve"> completed interviews in the </w:t>
      </w:r>
      <w:r w:rsidR="002374B8">
        <w:rPr>
          <w:bCs/>
          <w:iCs/>
        </w:rPr>
        <w:t>CEQ</w:t>
      </w:r>
      <w:r w:rsidR="00A46014">
        <w:rPr>
          <w:bCs/>
          <w:iCs/>
        </w:rPr>
        <w:t xml:space="preserve"> and </w:t>
      </w:r>
      <w:r w:rsidR="004401E9">
        <w:rPr>
          <w:bCs/>
          <w:iCs/>
        </w:rPr>
        <w:t xml:space="preserve">approximately </w:t>
      </w:r>
      <w:r w:rsidR="00A46014">
        <w:rPr>
          <w:bCs/>
          <w:iCs/>
        </w:rPr>
        <w:t>13,</w:t>
      </w:r>
      <w:r w:rsidR="003B0D9A">
        <w:rPr>
          <w:bCs/>
          <w:iCs/>
        </w:rPr>
        <w:t>2</w:t>
      </w:r>
      <w:r w:rsidR="004401E9">
        <w:rPr>
          <w:bCs/>
          <w:iCs/>
        </w:rPr>
        <w:t>00</w:t>
      </w:r>
      <w:r w:rsidR="00A46014">
        <w:rPr>
          <w:bCs/>
          <w:iCs/>
        </w:rPr>
        <w:t xml:space="preserve"> (= 6,</w:t>
      </w:r>
      <w:r w:rsidR="003B0D9A">
        <w:rPr>
          <w:bCs/>
          <w:iCs/>
        </w:rPr>
        <w:t>6</w:t>
      </w:r>
      <w:r w:rsidR="004401E9">
        <w:rPr>
          <w:bCs/>
          <w:iCs/>
        </w:rPr>
        <w:t>0</w:t>
      </w:r>
      <w:r w:rsidR="00A46014">
        <w:rPr>
          <w:bCs/>
          <w:iCs/>
        </w:rPr>
        <w:t xml:space="preserve">0 × 2) weekly diaries in the </w:t>
      </w:r>
      <w:r w:rsidR="002374B8">
        <w:rPr>
          <w:bCs/>
          <w:iCs/>
        </w:rPr>
        <w:t>CED</w:t>
      </w:r>
      <w:r w:rsidR="00842CA6">
        <w:rPr>
          <w:bCs/>
          <w:iCs/>
        </w:rPr>
        <w:t xml:space="preserve"> per year</w:t>
      </w:r>
      <w:r w:rsidR="00A46014">
        <w:rPr>
          <w:bCs/>
          <w:iCs/>
        </w:rPr>
        <w:t>.</w:t>
      </w:r>
    </w:p>
    <w:p w14:paraId="147DB7E5" w14:textId="77777777" w:rsidR="00A11522" w:rsidRDefault="00A11522" w:rsidP="00D21F06">
      <w:pPr>
        <w:tabs>
          <w:tab w:val="left" w:pos="1176"/>
          <w:tab w:val="left" w:pos="1656"/>
          <w:tab w:val="left" w:pos="5016"/>
          <w:tab w:val="left" w:pos="6696"/>
          <w:tab w:val="left" w:pos="8256"/>
        </w:tabs>
        <w:ind w:left="691"/>
      </w:pPr>
    </w:p>
    <w:p w14:paraId="36048C42" w14:textId="4E240894" w:rsidR="00A11522" w:rsidRDefault="00A11522" w:rsidP="00D21F06">
      <w:pPr>
        <w:tabs>
          <w:tab w:val="left" w:pos="1176"/>
          <w:tab w:val="left" w:pos="1656"/>
          <w:tab w:val="left" w:pos="5016"/>
          <w:tab w:val="left" w:pos="6696"/>
          <w:tab w:val="left" w:pos="8256"/>
        </w:tabs>
        <w:ind w:left="691"/>
      </w:pPr>
      <w:r>
        <w:t>The response rates shown below are the CEQ’s and CED’s actual response rates over the past five years (</w:t>
      </w:r>
      <w:r w:rsidR="003850D8">
        <w:t>20</w:t>
      </w:r>
      <w:r w:rsidR="004E4AA4">
        <w:t>10</w:t>
      </w:r>
      <w:r>
        <w:t>-</w:t>
      </w:r>
      <w:r w:rsidR="003850D8">
        <w:t>201</w:t>
      </w:r>
      <w:r w:rsidR="004E4AA4">
        <w:t>4</w:t>
      </w:r>
      <w:r>
        <w:t>) minus 5 percentage points.  Response rates have been decreasing over time, so the 5-year historical response rates are reduced by 5 percentage points to account for th</w:t>
      </w:r>
      <w:r w:rsidR="00A46014">
        <w:t>e</w:t>
      </w:r>
      <w:r>
        <w:t xml:space="preserve"> downward trend.</w:t>
      </w:r>
    </w:p>
    <w:p w14:paraId="67857F10" w14:textId="77777777" w:rsidR="00A11522" w:rsidRDefault="00A11522" w:rsidP="00D21F06">
      <w:pPr>
        <w:tabs>
          <w:tab w:val="left" w:pos="1176"/>
          <w:tab w:val="left" w:pos="1656"/>
          <w:tab w:val="left" w:pos="5016"/>
          <w:tab w:val="left" w:pos="6696"/>
          <w:tab w:val="left" w:pos="8256"/>
        </w:tabs>
        <w:ind w:left="691"/>
      </w:pPr>
    </w:p>
    <w:p w14:paraId="35CBAC4C" w14:textId="51843A63" w:rsidR="00A11522" w:rsidRDefault="00A11522" w:rsidP="00D21F06">
      <w:pPr>
        <w:tabs>
          <w:tab w:val="left" w:pos="1176"/>
          <w:tab w:val="left" w:pos="1656"/>
          <w:tab w:val="left" w:pos="5016"/>
          <w:tab w:val="left" w:pos="6696"/>
          <w:tab w:val="left" w:pos="8256"/>
        </w:tabs>
        <w:ind w:left="691"/>
      </w:pPr>
      <w:r>
        <w:t xml:space="preserve">The sample sizes shown below </w:t>
      </w:r>
      <w:r w:rsidR="00BA759C">
        <w:t>for 201</w:t>
      </w:r>
      <w:r w:rsidR="00CB6A9E">
        <w:t>7-2019</w:t>
      </w:r>
      <w:r w:rsidR="00BA759C">
        <w:t xml:space="preserve"> </w:t>
      </w:r>
      <w:r>
        <w:t>are the annual number of quarterly interviews for CEQ, and the annual number of bi-weekly diaries for CED.</w:t>
      </w:r>
    </w:p>
    <w:p w14:paraId="541197D9" w14:textId="77777777" w:rsidR="00505B67" w:rsidRDefault="00505B67" w:rsidP="00D21F06">
      <w:pPr>
        <w:tabs>
          <w:tab w:val="left" w:pos="1176"/>
          <w:tab w:val="left" w:pos="1656"/>
          <w:tab w:val="left" w:pos="5016"/>
          <w:tab w:val="left" w:pos="6696"/>
          <w:tab w:val="left" w:pos="8256"/>
        </w:tabs>
        <w:ind w:left="691"/>
      </w:pPr>
    </w:p>
    <w:p w14:paraId="619DA298" w14:textId="77777777" w:rsidR="00A11522" w:rsidRDefault="00A11522" w:rsidP="00B33C33">
      <w:pPr>
        <w:autoSpaceDE w:val="0"/>
        <w:autoSpaceDN w:val="0"/>
        <w:adjustRightInd w:val="0"/>
        <w:ind w:left="475"/>
        <w:rPr>
          <w:color w:val="000000"/>
          <w:sz w:val="20"/>
          <w:szCs w:val="20"/>
        </w:rPr>
      </w:pPr>
    </w:p>
    <w:tbl>
      <w:tblPr>
        <w:tblStyle w:val="TableGrid"/>
        <w:tblW w:w="0" w:type="auto"/>
        <w:jc w:val="center"/>
        <w:tblLayout w:type="fixed"/>
        <w:tblLook w:val="04A0" w:firstRow="1" w:lastRow="0" w:firstColumn="1" w:lastColumn="0" w:noHBand="0" w:noVBand="1"/>
      </w:tblPr>
      <w:tblGrid>
        <w:gridCol w:w="4753"/>
        <w:gridCol w:w="1272"/>
        <w:gridCol w:w="1260"/>
      </w:tblGrid>
      <w:tr w:rsidR="00041011" w14:paraId="11F5630B" w14:textId="77777777" w:rsidTr="003B6907">
        <w:trPr>
          <w:jc w:val="center"/>
        </w:trPr>
        <w:tc>
          <w:tcPr>
            <w:tcW w:w="4753" w:type="dxa"/>
            <w:tcBorders>
              <w:top w:val="single" w:sz="4" w:space="0" w:color="auto"/>
              <w:left w:val="single" w:sz="4" w:space="0" w:color="auto"/>
              <w:bottom w:val="nil"/>
              <w:right w:val="single" w:sz="4" w:space="0" w:color="auto"/>
            </w:tcBorders>
            <w:vAlign w:val="center"/>
          </w:tcPr>
          <w:p w14:paraId="777389E4" w14:textId="3E7AEE87" w:rsidR="00041011" w:rsidRDefault="00E93881" w:rsidP="00E93881">
            <w:pPr>
              <w:autoSpaceDE w:val="0"/>
              <w:autoSpaceDN w:val="0"/>
              <w:adjustRightInd w:val="0"/>
              <w:jc w:val="center"/>
              <w:rPr>
                <w:color w:val="000000"/>
              </w:rPr>
            </w:pPr>
            <w:r w:rsidRPr="00E93881">
              <w:rPr>
                <w:b/>
                <w:color w:val="000000"/>
                <w:u w:val="single"/>
              </w:rPr>
              <w:t>Category</w:t>
            </w:r>
          </w:p>
        </w:tc>
        <w:tc>
          <w:tcPr>
            <w:tcW w:w="1272" w:type="dxa"/>
            <w:tcBorders>
              <w:top w:val="single" w:sz="4" w:space="0" w:color="auto"/>
              <w:left w:val="single" w:sz="4" w:space="0" w:color="auto"/>
              <w:bottom w:val="nil"/>
              <w:right w:val="single" w:sz="4" w:space="0" w:color="auto"/>
            </w:tcBorders>
            <w:vAlign w:val="center"/>
            <w:hideMark/>
          </w:tcPr>
          <w:p w14:paraId="238E2836" w14:textId="77777777" w:rsidR="00E93881" w:rsidRDefault="00E93881" w:rsidP="009B6470">
            <w:pPr>
              <w:autoSpaceDE w:val="0"/>
              <w:autoSpaceDN w:val="0"/>
              <w:adjustRightInd w:val="0"/>
              <w:jc w:val="center"/>
              <w:rPr>
                <w:b/>
                <w:color w:val="000000"/>
                <w:u w:val="single"/>
              </w:rPr>
            </w:pPr>
          </w:p>
          <w:p w14:paraId="267DE684" w14:textId="3FE81A3E" w:rsidR="00041011" w:rsidRDefault="00041011" w:rsidP="00E93881">
            <w:pPr>
              <w:autoSpaceDE w:val="0"/>
              <w:autoSpaceDN w:val="0"/>
              <w:adjustRightInd w:val="0"/>
              <w:jc w:val="center"/>
              <w:rPr>
                <w:b/>
                <w:color w:val="000000"/>
                <w:u w:val="single"/>
              </w:rPr>
            </w:pPr>
            <w:r>
              <w:rPr>
                <w:b/>
                <w:color w:val="000000"/>
                <w:u w:val="single"/>
              </w:rPr>
              <w:t>Quarterly Interview</w:t>
            </w:r>
          </w:p>
        </w:tc>
        <w:tc>
          <w:tcPr>
            <w:tcW w:w="1260" w:type="dxa"/>
            <w:tcBorders>
              <w:top w:val="single" w:sz="4" w:space="0" w:color="auto"/>
              <w:left w:val="single" w:sz="4" w:space="0" w:color="auto"/>
              <w:bottom w:val="nil"/>
              <w:right w:val="single" w:sz="4" w:space="0" w:color="auto"/>
            </w:tcBorders>
            <w:vAlign w:val="center"/>
            <w:hideMark/>
          </w:tcPr>
          <w:p w14:paraId="47012501" w14:textId="0EFDC58F" w:rsidR="00041011" w:rsidRDefault="00041011" w:rsidP="009B6470">
            <w:pPr>
              <w:autoSpaceDE w:val="0"/>
              <w:autoSpaceDN w:val="0"/>
              <w:adjustRightInd w:val="0"/>
              <w:jc w:val="center"/>
              <w:rPr>
                <w:b/>
                <w:color w:val="000000"/>
                <w:u w:val="single"/>
              </w:rPr>
            </w:pPr>
            <w:r>
              <w:rPr>
                <w:b/>
                <w:color w:val="000000"/>
                <w:u w:val="single"/>
              </w:rPr>
              <w:t>Diary</w:t>
            </w:r>
          </w:p>
        </w:tc>
      </w:tr>
      <w:tr w:rsidR="00041011" w14:paraId="3A777922" w14:textId="77777777" w:rsidTr="003B6907">
        <w:trPr>
          <w:jc w:val="center"/>
        </w:trPr>
        <w:tc>
          <w:tcPr>
            <w:tcW w:w="4753" w:type="dxa"/>
            <w:tcBorders>
              <w:top w:val="nil"/>
              <w:left w:val="single" w:sz="4" w:space="0" w:color="auto"/>
              <w:bottom w:val="single" w:sz="4" w:space="0" w:color="auto"/>
              <w:right w:val="single" w:sz="4" w:space="0" w:color="auto"/>
            </w:tcBorders>
            <w:vAlign w:val="center"/>
            <w:hideMark/>
          </w:tcPr>
          <w:p w14:paraId="0DE56202" w14:textId="0E71CABA" w:rsidR="00041011" w:rsidRPr="00E93881" w:rsidRDefault="00041011" w:rsidP="00E93881">
            <w:pPr>
              <w:autoSpaceDE w:val="0"/>
              <w:autoSpaceDN w:val="0"/>
              <w:adjustRightInd w:val="0"/>
              <w:jc w:val="center"/>
              <w:rPr>
                <w:b/>
                <w:color w:val="000000"/>
              </w:rPr>
            </w:pPr>
          </w:p>
        </w:tc>
        <w:tc>
          <w:tcPr>
            <w:tcW w:w="1272" w:type="dxa"/>
            <w:tcBorders>
              <w:top w:val="nil"/>
              <w:left w:val="nil"/>
              <w:bottom w:val="single" w:sz="4" w:space="0" w:color="auto"/>
              <w:right w:val="single" w:sz="4" w:space="0" w:color="auto"/>
            </w:tcBorders>
            <w:vAlign w:val="center"/>
            <w:hideMark/>
          </w:tcPr>
          <w:p w14:paraId="3EEDDB4B" w14:textId="1C456F6C" w:rsidR="00041011" w:rsidRDefault="00041011" w:rsidP="00E93881">
            <w:pPr>
              <w:autoSpaceDE w:val="0"/>
              <w:autoSpaceDN w:val="0"/>
              <w:adjustRightInd w:val="0"/>
              <w:rPr>
                <w:color w:val="000000"/>
              </w:rPr>
            </w:pPr>
          </w:p>
        </w:tc>
        <w:tc>
          <w:tcPr>
            <w:tcW w:w="1260" w:type="dxa"/>
            <w:tcBorders>
              <w:top w:val="nil"/>
              <w:left w:val="single" w:sz="4" w:space="0" w:color="auto"/>
              <w:bottom w:val="single" w:sz="4" w:space="0" w:color="auto"/>
              <w:right w:val="single" w:sz="4" w:space="0" w:color="auto"/>
            </w:tcBorders>
            <w:vAlign w:val="center"/>
            <w:hideMark/>
          </w:tcPr>
          <w:p w14:paraId="6E908CD3" w14:textId="2795953C" w:rsidR="00041011" w:rsidRDefault="00041011" w:rsidP="00E93881">
            <w:pPr>
              <w:autoSpaceDE w:val="0"/>
              <w:autoSpaceDN w:val="0"/>
              <w:adjustRightInd w:val="0"/>
              <w:rPr>
                <w:color w:val="000000"/>
              </w:rPr>
            </w:pPr>
          </w:p>
        </w:tc>
      </w:tr>
      <w:tr w:rsidR="00CB4783" w14:paraId="56DE62C6" w14:textId="77777777" w:rsidTr="003B6907">
        <w:trPr>
          <w:jc w:val="center"/>
        </w:trPr>
        <w:tc>
          <w:tcPr>
            <w:tcW w:w="4753" w:type="dxa"/>
            <w:tcBorders>
              <w:top w:val="single" w:sz="4" w:space="0" w:color="auto"/>
              <w:left w:val="single" w:sz="4" w:space="0" w:color="auto"/>
              <w:bottom w:val="nil"/>
              <w:right w:val="single" w:sz="4" w:space="0" w:color="auto"/>
            </w:tcBorders>
            <w:vAlign w:val="center"/>
            <w:hideMark/>
          </w:tcPr>
          <w:p w14:paraId="146ED835" w14:textId="625994F8" w:rsidR="00CB4783" w:rsidRDefault="00CB4783" w:rsidP="009B6470">
            <w:pPr>
              <w:autoSpaceDE w:val="0"/>
              <w:autoSpaceDN w:val="0"/>
              <w:adjustRightInd w:val="0"/>
              <w:rPr>
                <w:color w:val="000000"/>
              </w:rPr>
            </w:pPr>
            <w:r>
              <w:rPr>
                <w:color w:val="000000"/>
              </w:rPr>
              <w:t>Total Sample Size</w:t>
            </w:r>
            <w:r w:rsidR="009E7C63">
              <w:rPr>
                <w:color w:val="000000"/>
              </w:rPr>
              <w:t xml:space="preserve"> (addresses)</w:t>
            </w:r>
          </w:p>
        </w:tc>
        <w:tc>
          <w:tcPr>
            <w:tcW w:w="1272" w:type="dxa"/>
            <w:tcBorders>
              <w:top w:val="single" w:sz="4" w:space="0" w:color="auto"/>
              <w:left w:val="nil"/>
              <w:bottom w:val="nil"/>
              <w:right w:val="single" w:sz="4" w:space="0" w:color="auto"/>
            </w:tcBorders>
            <w:vAlign w:val="center"/>
            <w:hideMark/>
          </w:tcPr>
          <w:p w14:paraId="0D238538" w14:textId="77777777" w:rsidR="00CB4783" w:rsidRDefault="00CB4783" w:rsidP="009B6470">
            <w:pPr>
              <w:autoSpaceDE w:val="0"/>
              <w:autoSpaceDN w:val="0"/>
              <w:adjustRightInd w:val="0"/>
              <w:jc w:val="center"/>
              <w:rPr>
                <w:color w:val="000000"/>
              </w:rPr>
            </w:pPr>
            <w:r>
              <w:rPr>
                <w:color w:val="000000"/>
              </w:rPr>
              <w:t>48,000</w:t>
            </w:r>
          </w:p>
        </w:tc>
        <w:tc>
          <w:tcPr>
            <w:tcW w:w="1260" w:type="dxa"/>
            <w:tcBorders>
              <w:top w:val="single" w:sz="4" w:space="0" w:color="auto"/>
              <w:left w:val="single" w:sz="4" w:space="0" w:color="auto"/>
              <w:bottom w:val="nil"/>
              <w:right w:val="single" w:sz="4" w:space="0" w:color="auto"/>
            </w:tcBorders>
            <w:vAlign w:val="center"/>
            <w:hideMark/>
          </w:tcPr>
          <w:p w14:paraId="26BA5F15" w14:textId="77777777" w:rsidR="00CB4783" w:rsidRDefault="00CB4783" w:rsidP="009B6470">
            <w:pPr>
              <w:autoSpaceDE w:val="0"/>
              <w:autoSpaceDN w:val="0"/>
              <w:adjustRightInd w:val="0"/>
              <w:jc w:val="center"/>
              <w:rPr>
                <w:color w:val="000000"/>
              </w:rPr>
            </w:pPr>
            <w:r>
              <w:rPr>
                <w:color w:val="000000"/>
              </w:rPr>
              <w:t>12,000</w:t>
            </w:r>
          </w:p>
        </w:tc>
      </w:tr>
      <w:tr w:rsidR="00CB4783" w14:paraId="35C250AD" w14:textId="77777777" w:rsidTr="003B6907">
        <w:trPr>
          <w:jc w:val="center"/>
        </w:trPr>
        <w:tc>
          <w:tcPr>
            <w:tcW w:w="4753" w:type="dxa"/>
            <w:tcBorders>
              <w:top w:val="nil"/>
              <w:left w:val="single" w:sz="4" w:space="0" w:color="auto"/>
              <w:bottom w:val="nil"/>
              <w:right w:val="single" w:sz="4" w:space="0" w:color="auto"/>
            </w:tcBorders>
            <w:vAlign w:val="center"/>
          </w:tcPr>
          <w:p w14:paraId="2C801DF9" w14:textId="77777777" w:rsidR="00CB4783" w:rsidRDefault="00CB4783" w:rsidP="009B6470">
            <w:pPr>
              <w:autoSpaceDE w:val="0"/>
              <w:autoSpaceDN w:val="0"/>
              <w:adjustRightInd w:val="0"/>
              <w:rPr>
                <w:color w:val="000000"/>
              </w:rPr>
            </w:pPr>
          </w:p>
        </w:tc>
        <w:tc>
          <w:tcPr>
            <w:tcW w:w="1272" w:type="dxa"/>
            <w:tcBorders>
              <w:top w:val="nil"/>
              <w:left w:val="nil"/>
              <w:bottom w:val="nil"/>
              <w:right w:val="single" w:sz="4" w:space="0" w:color="auto"/>
            </w:tcBorders>
            <w:vAlign w:val="center"/>
          </w:tcPr>
          <w:p w14:paraId="1443022D" w14:textId="77777777" w:rsidR="00CB4783" w:rsidRDefault="00CB4783" w:rsidP="009B6470">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14:paraId="69B73D94" w14:textId="77777777" w:rsidR="00CB4783" w:rsidRDefault="00CB4783" w:rsidP="009B6470">
            <w:pPr>
              <w:autoSpaceDE w:val="0"/>
              <w:autoSpaceDN w:val="0"/>
              <w:adjustRightInd w:val="0"/>
              <w:jc w:val="center"/>
              <w:rPr>
                <w:color w:val="000000"/>
              </w:rPr>
            </w:pPr>
          </w:p>
        </w:tc>
      </w:tr>
      <w:tr w:rsidR="00CB4783" w14:paraId="1B6D0E5A" w14:textId="77777777" w:rsidTr="003B6907">
        <w:trPr>
          <w:jc w:val="center"/>
        </w:trPr>
        <w:tc>
          <w:tcPr>
            <w:tcW w:w="4753" w:type="dxa"/>
            <w:tcBorders>
              <w:top w:val="nil"/>
              <w:left w:val="single" w:sz="4" w:space="0" w:color="auto"/>
              <w:bottom w:val="nil"/>
              <w:right w:val="single" w:sz="4" w:space="0" w:color="auto"/>
            </w:tcBorders>
            <w:vAlign w:val="center"/>
            <w:hideMark/>
          </w:tcPr>
          <w:p w14:paraId="7A9DC4A0" w14:textId="77777777" w:rsidR="00CB4783" w:rsidRDefault="00CB4783" w:rsidP="009B6470">
            <w:pPr>
              <w:autoSpaceDE w:val="0"/>
              <w:autoSpaceDN w:val="0"/>
              <w:adjustRightInd w:val="0"/>
              <w:rPr>
                <w:color w:val="000000"/>
              </w:rPr>
            </w:pPr>
            <w:r>
              <w:rPr>
                <w:color w:val="000000"/>
              </w:rPr>
              <w:t>Type B and C Noninterviews (vacant, demolished, etc.)</w:t>
            </w:r>
          </w:p>
        </w:tc>
        <w:tc>
          <w:tcPr>
            <w:tcW w:w="1272" w:type="dxa"/>
            <w:tcBorders>
              <w:top w:val="nil"/>
              <w:left w:val="nil"/>
              <w:bottom w:val="nil"/>
              <w:right w:val="single" w:sz="4" w:space="0" w:color="auto"/>
            </w:tcBorders>
            <w:vAlign w:val="center"/>
          </w:tcPr>
          <w:p w14:paraId="70485D7C" w14:textId="77777777" w:rsidR="00CB4783" w:rsidRDefault="00CB4783" w:rsidP="009B6470">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14:paraId="23374C0B" w14:textId="77777777" w:rsidR="00CB4783" w:rsidRDefault="00CB4783" w:rsidP="009B6470">
            <w:pPr>
              <w:autoSpaceDE w:val="0"/>
              <w:autoSpaceDN w:val="0"/>
              <w:adjustRightInd w:val="0"/>
              <w:jc w:val="center"/>
              <w:rPr>
                <w:color w:val="000000"/>
              </w:rPr>
            </w:pPr>
          </w:p>
        </w:tc>
      </w:tr>
      <w:tr w:rsidR="00CB4783" w14:paraId="3B5CD6F7" w14:textId="77777777" w:rsidTr="003B6907">
        <w:trPr>
          <w:jc w:val="center"/>
        </w:trPr>
        <w:tc>
          <w:tcPr>
            <w:tcW w:w="4753" w:type="dxa"/>
            <w:tcBorders>
              <w:top w:val="nil"/>
              <w:left w:val="single" w:sz="4" w:space="0" w:color="auto"/>
              <w:bottom w:val="nil"/>
              <w:right w:val="single" w:sz="4" w:space="0" w:color="auto"/>
            </w:tcBorders>
            <w:vAlign w:val="center"/>
            <w:hideMark/>
          </w:tcPr>
          <w:p w14:paraId="41CC49B1" w14:textId="77777777" w:rsidR="00CB4783" w:rsidRDefault="00CB4783" w:rsidP="009B6470">
            <w:pPr>
              <w:autoSpaceDE w:val="0"/>
              <w:autoSpaceDN w:val="0"/>
              <w:adjustRightInd w:val="0"/>
              <w:rPr>
                <w:color w:val="000000"/>
              </w:rPr>
            </w:pPr>
            <w:r>
              <w:rPr>
                <w:color w:val="000000"/>
              </w:rPr>
              <w:t xml:space="preserve">     Number</w:t>
            </w:r>
          </w:p>
        </w:tc>
        <w:tc>
          <w:tcPr>
            <w:tcW w:w="1272" w:type="dxa"/>
            <w:tcBorders>
              <w:top w:val="nil"/>
              <w:left w:val="nil"/>
              <w:bottom w:val="nil"/>
              <w:right w:val="single" w:sz="4" w:space="0" w:color="auto"/>
            </w:tcBorders>
            <w:vAlign w:val="center"/>
            <w:hideMark/>
          </w:tcPr>
          <w:p w14:paraId="44C79248" w14:textId="763241D6" w:rsidR="00CB4783" w:rsidRDefault="00CB4783" w:rsidP="00453AFB">
            <w:pPr>
              <w:autoSpaceDE w:val="0"/>
              <w:autoSpaceDN w:val="0"/>
              <w:adjustRightInd w:val="0"/>
              <w:jc w:val="center"/>
              <w:rPr>
                <w:color w:val="000000"/>
              </w:rPr>
            </w:pPr>
            <w:r>
              <w:rPr>
                <w:color w:val="000000"/>
              </w:rPr>
              <w:t>6,2</w:t>
            </w:r>
            <w:r w:rsidR="00453AFB">
              <w:rPr>
                <w:color w:val="000000"/>
              </w:rPr>
              <w:t>0</w:t>
            </w:r>
            <w:r>
              <w:rPr>
                <w:color w:val="000000"/>
              </w:rPr>
              <w:t>0</w:t>
            </w:r>
          </w:p>
        </w:tc>
        <w:tc>
          <w:tcPr>
            <w:tcW w:w="1260" w:type="dxa"/>
            <w:tcBorders>
              <w:top w:val="nil"/>
              <w:left w:val="single" w:sz="4" w:space="0" w:color="auto"/>
              <w:bottom w:val="nil"/>
              <w:right w:val="single" w:sz="4" w:space="0" w:color="auto"/>
            </w:tcBorders>
            <w:vAlign w:val="center"/>
            <w:hideMark/>
          </w:tcPr>
          <w:p w14:paraId="3743B3FE" w14:textId="5C7393AA" w:rsidR="00CB4783" w:rsidRDefault="00CB4783" w:rsidP="00453AFB">
            <w:pPr>
              <w:autoSpaceDE w:val="0"/>
              <w:autoSpaceDN w:val="0"/>
              <w:adjustRightInd w:val="0"/>
              <w:jc w:val="center"/>
              <w:rPr>
                <w:color w:val="000000"/>
              </w:rPr>
            </w:pPr>
            <w:r>
              <w:rPr>
                <w:color w:val="000000"/>
              </w:rPr>
              <w:t>1,</w:t>
            </w:r>
            <w:r w:rsidR="00453AFB">
              <w:rPr>
                <w:color w:val="000000"/>
              </w:rPr>
              <w:t>60</w:t>
            </w:r>
            <w:r>
              <w:rPr>
                <w:color w:val="000000"/>
              </w:rPr>
              <w:t>0</w:t>
            </w:r>
          </w:p>
        </w:tc>
      </w:tr>
      <w:tr w:rsidR="00CB4783" w14:paraId="1EC54282" w14:textId="77777777" w:rsidTr="003B6907">
        <w:trPr>
          <w:jc w:val="center"/>
        </w:trPr>
        <w:tc>
          <w:tcPr>
            <w:tcW w:w="4753" w:type="dxa"/>
            <w:tcBorders>
              <w:top w:val="nil"/>
              <w:left w:val="single" w:sz="4" w:space="0" w:color="auto"/>
              <w:bottom w:val="nil"/>
              <w:right w:val="single" w:sz="4" w:space="0" w:color="auto"/>
            </w:tcBorders>
            <w:vAlign w:val="center"/>
            <w:hideMark/>
          </w:tcPr>
          <w:p w14:paraId="73AF8457" w14:textId="77777777" w:rsidR="00CB4783" w:rsidRDefault="00CB4783" w:rsidP="009B6470">
            <w:pPr>
              <w:autoSpaceDE w:val="0"/>
              <w:autoSpaceDN w:val="0"/>
              <w:adjustRightInd w:val="0"/>
              <w:rPr>
                <w:color w:val="000000"/>
              </w:rPr>
            </w:pPr>
            <w:r>
              <w:rPr>
                <w:color w:val="000000"/>
              </w:rPr>
              <w:t xml:space="preserve">     Percent of Total Sample</w:t>
            </w:r>
          </w:p>
        </w:tc>
        <w:tc>
          <w:tcPr>
            <w:tcW w:w="1272" w:type="dxa"/>
            <w:tcBorders>
              <w:top w:val="nil"/>
              <w:left w:val="nil"/>
              <w:bottom w:val="nil"/>
              <w:right w:val="single" w:sz="4" w:space="0" w:color="auto"/>
            </w:tcBorders>
            <w:vAlign w:val="center"/>
            <w:hideMark/>
          </w:tcPr>
          <w:p w14:paraId="333A4267" w14:textId="77777777" w:rsidR="00CB4783" w:rsidRDefault="00CB4783" w:rsidP="009B6470">
            <w:pPr>
              <w:autoSpaceDE w:val="0"/>
              <w:autoSpaceDN w:val="0"/>
              <w:adjustRightInd w:val="0"/>
              <w:jc w:val="center"/>
              <w:rPr>
                <w:color w:val="000000"/>
              </w:rPr>
            </w:pPr>
            <w:r>
              <w:rPr>
                <w:color w:val="000000"/>
              </w:rPr>
              <w:t>13.0</w:t>
            </w:r>
          </w:p>
        </w:tc>
        <w:tc>
          <w:tcPr>
            <w:tcW w:w="1260" w:type="dxa"/>
            <w:tcBorders>
              <w:top w:val="nil"/>
              <w:left w:val="single" w:sz="4" w:space="0" w:color="auto"/>
              <w:bottom w:val="nil"/>
              <w:right w:val="single" w:sz="4" w:space="0" w:color="auto"/>
            </w:tcBorders>
            <w:vAlign w:val="center"/>
            <w:hideMark/>
          </w:tcPr>
          <w:p w14:paraId="5D123698" w14:textId="77777777" w:rsidR="00CB4783" w:rsidRDefault="00CB4783" w:rsidP="009B6470">
            <w:pPr>
              <w:autoSpaceDE w:val="0"/>
              <w:autoSpaceDN w:val="0"/>
              <w:adjustRightInd w:val="0"/>
              <w:jc w:val="center"/>
              <w:rPr>
                <w:color w:val="000000"/>
              </w:rPr>
            </w:pPr>
            <w:r>
              <w:rPr>
                <w:color w:val="000000"/>
              </w:rPr>
              <w:t>13.0</w:t>
            </w:r>
          </w:p>
        </w:tc>
      </w:tr>
      <w:tr w:rsidR="00CB4783" w14:paraId="61D85F96" w14:textId="77777777" w:rsidTr="003B6907">
        <w:trPr>
          <w:jc w:val="center"/>
        </w:trPr>
        <w:tc>
          <w:tcPr>
            <w:tcW w:w="4753" w:type="dxa"/>
            <w:tcBorders>
              <w:top w:val="nil"/>
              <w:left w:val="single" w:sz="4" w:space="0" w:color="auto"/>
              <w:bottom w:val="nil"/>
              <w:right w:val="single" w:sz="4" w:space="0" w:color="auto"/>
            </w:tcBorders>
            <w:vAlign w:val="center"/>
          </w:tcPr>
          <w:p w14:paraId="10952E2D" w14:textId="77777777" w:rsidR="00CB4783" w:rsidRDefault="00CB4783" w:rsidP="009B6470">
            <w:pPr>
              <w:autoSpaceDE w:val="0"/>
              <w:autoSpaceDN w:val="0"/>
              <w:adjustRightInd w:val="0"/>
              <w:rPr>
                <w:color w:val="000000"/>
              </w:rPr>
            </w:pPr>
          </w:p>
        </w:tc>
        <w:tc>
          <w:tcPr>
            <w:tcW w:w="1272" w:type="dxa"/>
            <w:tcBorders>
              <w:top w:val="nil"/>
              <w:left w:val="nil"/>
              <w:bottom w:val="nil"/>
              <w:right w:val="single" w:sz="4" w:space="0" w:color="auto"/>
            </w:tcBorders>
            <w:vAlign w:val="center"/>
          </w:tcPr>
          <w:p w14:paraId="4E5E9838" w14:textId="77777777" w:rsidR="00CB4783" w:rsidRDefault="00CB4783" w:rsidP="009B6470">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14:paraId="1E0285EC" w14:textId="77777777" w:rsidR="00CB4783" w:rsidRDefault="00CB4783" w:rsidP="009B6470">
            <w:pPr>
              <w:autoSpaceDE w:val="0"/>
              <w:autoSpaceDN w:val="0"/>
              <w:adjustRightInd w:val="0"/>
              <w:jc w:val="center"/>
              <w:rPr>
                <w:color w:val="000000"/>
              </w:rPr>
            </w:pPr>
          </w:p>
        </w:tc>
      </w:tr>
      <w:tr w:rsidR="00CB4783" w14:paraId="6B876345" w14:textId="77777777" w:rsidTr="003B6907">
        <w:trPr>
          <w:jc w:val="center"/>
        </w:trPr>
        <w:tc>
          <w:tcPr>
            <w:tcW w:w="4753" w:type="dxa"/>
            <w:tcBorders>
              <w:top w:val="nil"/>
              <w:left w:val="single" w:sz="4" w:space="0" w:color="auto"/>
              <w:bottom w:val="nil"/>
              <w:right w:val="single" w:sz="4" w:space="0" w:color="auto"/>
            </w:tcBorders>
            <w:vAlign w:val="center"/>
            <w:hideMark/>
          </w:tcPr>
          <w:p w14:paraId="44D7E7D1" w14:textId="41FB364D" w:rsidR="00CB4783" w:rsidRDefault="00CB4783" w:rsidP="009B6470">
            <w:pPr>
              <w:autoSpaceDE w:val="0"/>
              <w:autoSpaceDN w:val="0"/>
              <w:adjustRightInd w:val="0"/>
              <w:rPr>
                <w:color w:val="000000"/>
              </w:rPr>
            </w:pPr>
            <w:r>
              <w:rPr>
                <w:color w:val="000000"/>
              </w:rPr>
              <w:t>Eligible Units</w:t>
            </w:r>
            <w:r w:rsidR="00505B67">
              <w:rPr>
                <w:color w:val="000000"/>
              </w:rPr>
              <w:t xml:space="preserve"> (occupied housing units)</w:t>
            </w:r>
          </w:p>
        </w:tc>
        <w:tc>
          <w:tcPr>
            <w:tcW w:w="1272" w:type="dxa"/>
            <w:tcBorders>
              <w:top w:val="nil"/>
              <w:left w:val="nil"/>
              <w:bottom w:val="nil"/>
              <w:right w:val="single" w:sz="4" w:space="0" w:color="auto"/>
            </w:tcBorders>
            <w:vAlign w:val="center"/>
          </w:tcPr>
          <w:p w14:paraId="53345F8F" w14:textId="77777777" w:rsidR="00CB4783" w:rsidRDefault="00CB4783" w:rsidP="009B6470">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14:paraId="1B42C4DF" w14:textId="77777777" w:rsidR="00CB4783" w:rsidRDefault="00CB4783" w:rsidP="009B6470">
            <w:pPr>
              <w:autoSpaceDE w:val="0"/>
              <w:autoSpaceDN w:val="0"/>
              <w:adjustRightInd w:val="0"/>
              <w:jc w:val="center"/>
              <w:rPr>
                <w:color w:val="000000"/>
              </w:rPr>
            </w:pPr>
          </w:p>
        </w:tc>
      </w:tr>
      <w:tr w:rsidR="00CB4783" w14:paraId="78404A2C" w14:textId="77777777" w:rsidTr="003B6907">
        <w:trPr>
          <w:jc w:val="center"/>
        </w:trPr>
        <w:tc>
          <w:tcPr>
            <w:tcW w:w="4753" w:type="dxa"/>
            <w:tcBorders>
              <w:top w:val="nil"/>
              <w:left w:val="single" w:sz="4" w:space="0" w:color="auto"/>
              <w:bottom w:val="nil"/>
              <w:right w:val="single" w:sz="4" w:space="0" w:color="auto"/>
            </w:tcBorders>
            <w:vAlign w:val="center"/>
            <w:hideMark/>
          </w:tcPr>
          <w:p w14:paraId="43F83A1D" w14:textId="77777777" w:rsidR="00CB4783" w:rsidRDefault="00CB4783" w:rsidP="009B6470">
            <w:pPr>
              <w:autoSpaceDE w:val="0"/>
              <w:autoSpaceDN w:val="0"/>
              <w:adjustRightInd w:val="0"/>
              <w:rPr>
                <w:color w:val="000000"/>
              </w:rPr>
            </w:pPr>
            <w:r>
              <w:rPr>
                <w:color w:val="000000"/>
              </w:rPr>
              <w:t xml:space="preserve">     Number</w:t>
            </w:r>
          </w:p>
        </w:tc>
        <w:tc>
          <w:tcPr>
            <w:tcW w:w="1272" w:type="dxa"/>
            <w:tcBorders>
              <w:top w:val="nil"/>
              <w:left w:val="nil"/>
              <w:bottom w:val="nil"/>
              <w:right w:val="single" w:sz="4" w:space="0" w:color="auto"/>
            </w:tcBorders>
            <w:vAlign w:val="center"/>
            <w:hideMark/>
          </w:tcPr>
          <w:p w14:paraId="64166D33" w14:textId="6FAA0166" w:rsidR="00CB4783" w:rsidRDefault="00CB4783" w:rsidP="00453AFB">
            <w:pPr>
              <w:autoSpaceDE w:val="0"/>
              <w:autoSpaceDN w:val="0"/>
              <w:adjustRightInd w:val="0"/>
              <w:jc w:val="center"/>
              <w:rPr>
                <w:color w:val="000000"/>
              </w:rPr>
            </w:pPr>
            <w:r>
              <w:rPr>
                <w:color w:val="000000"/>
              </w:rPr>
              <w:t>41,</w:t>
            </w:r>
            <w:r w:rsidR="00453AFB">
              <w:rPr>
                <w:color w:val="000000"/>
              </w:rPr>
              <w:t>80</w:t>
            </w:r>
            <w:r>
              <w:rPr>
                <w:color w:val="000000"/>
              </w:rPr>
              <w:t>0</w:t>
            </w:r>
          </w:p>
        </w:tc>
        <w:tc>
          <w:tcPr>
            <w:tcW w:w="1260" w:type="dxa"/>
            <w:tcBorders>
              <w:top w:val="nil"/>
              <w:left w:val="single" w:sz="4" w:space="0" w:color="auto"/>
              <w:bottom w:val="nil"/>
              <w:right w:val="single" w:sz="4" w:space="0" w:color="auto"/>
            </w:tcBorders>
            <w:vAlign w:val="center"/>
            <w:hideMark/>
          </w:tcPr>
          <w:p w14:paraId="4B68382F" w14:textId="445BBB11" w:rsidR="00CB4783" w:rsidRDefault="00CB4783" w:rsidP="00453AFB">
            <w:pPr>
              <w:autoSpaceDE w:val="0"/>
              <w:autoSpaceDN w:val="0"/>
              <w:adjustRightInd w:val="0"/>
              <w:jc w:val="center"/>
              <w:rPr>
                <w:color w:val="000000"/>
              </w:rPr>
            </w:pPr>
            <w:r>
              <w:rPr>
                <w:color w:val="000000"/>
              </w:rPr>
              <w:t>10,4</w:t>
            </w:r>
            <w:r w:rsidR="00453AFB">
              <w:rPr>
                <w:color w:val="000000"/>
              </w:rPr>
              <w:t>0</w:t>
            </w:r>
            <w:r>
              <w:rPr>
                <w:color w:val="000000"/>
              </w:rPr>
              <w:t>0</w:t>
            </w:r>
          </w:p>
        </w:tc>
      </w:tr>
      <w:tr w:rsidR="00CB4783" w14:paraId="40A28406" w14:textId="77777777" w:rsidTr="003B6907">
        <w:trPr>
          <w:jc w:val="center"/>
        </w:trPr>
        <w:tc>
          <w:tcPr>
            <w:tcW w:w="4753" w:type="dxa"/>
            <w:tcBorders>
              <w:top w:val="nil"/>
              <w:left w:val="single" w:sz="4" w:space="0" w:color="auto"/>
              <w:bottom w:val="nil"/>
              <w:right w:val="single" w:sz="4" w:space="0" w:color="auto"/>
            </w:tcBorders>
            <w:vAlign w:val="center"/>
            <w:hideMark/>
          </w:tcPr>
          <w:p w14:paraId="556A77CA" w14:textId="77777777" w:rsidR="00CB4783" w:rsidRDefault="00CB4783" w:rsidP="009B6470">
            <w:pPr>
              <w:autoSpaceDE w:val="0"/>
              <w:autoSpaceDN w:val="0"/>
              <w:adjustRightInd w:val="0"/>
              <w:rPr>
                <w:color w:val="000000"/>
              </w:rPr>
            </w:pPr>
            <w:r>
              <w:rPr>
                <w:color w:val="000000"/>
              </w:rPr>
              <w:t xml:space="preserve">     Percent of Total Sample</w:t>
            </w:r>
          </w:p>
        </w:tc>
        <w:tc>
          <w:tcPr>
            <w:tcW w:w="1272" w:type="dxa"/>
            <w:tcBorders>
              <w:top w:val="nil"/>
              <w:left w:val="nil"/>
              <w:bottom w:val="nil"/>
              <w:right w:val="single" w:sz="4" w:space="0" w:color="auto"/>
            </w:tcBorders>
            <w:vAlign w:val="center"/>
            <w:hideMark/>
          </w:tcPr>
          <w:p w14:paraId="53A98FEE" w14:textId="77777777" w:rsidR="00CB4783" w:rsidRDefault="00CB4783" w:rsidP="009B6470">
            <w:pPr>
              <w:autoSpaceDE w:val="0"/>
              <w:autoSpaceDN w:val="0"/>
              <w:adjustRightInd w:val="0"/>
              <w:jc w:val="center"/>
              <w:rPr>
                <w:color w:val="000000"/>
              </w:rPr>
            </w:pPr>
            <w:r>
              <w:rPr>
                <w:color w:val="000000"/>
              </w:rPr>
              <w:t>87.0</w:t>
            </w:r>
          </w:p>
        </w:tc>
        <w:tc>
          <w:tcPr>
            <w:tcW w:w="1260" w:type="dxa"/>
            <w:tcBorders>
              <w:top w:val="nil"/>
              <w:left w:val="single" w:sz="4" w:space="0" w:color="auto"/>
              <w:bottom w:val="nil"/>
              <w:right w:val="single" w:sz="4" w:space="0" w:color="auto"/>
            </w:tcBorders>
            <w:vAlign w:val="center"/>
            <w:hideMark/>
          </w:tcPr>
          <w:p w14:paraId="2B038217" w14:textId="77777777" w:rsidR="00CB4783" w:rsidRDefault="00CB4783" w:rsidP="009B6470">
            <w:pPr>
              <w:autoSpaceDE w:val="0"/>
              <w:autoSpaceDN w:val="0"/>
              <w:adjustRightInd w:val="0"/>
              <w:jc w:val="center"/>
              <w:rPr>
                <w:color w:val="000000"/>
              </w:rPr>
            </w:pPr>
            <w:r>
              <w:rPr>
                <w:color w:val="000000"/>
              </w:rPr>
              <w:t>87.0</w:t>
            </w:r>
          </w:p>
        </w:tc>
      </w:tr>
      <w:tr w:rsidR="00CB4783" w14:paraId="42C55502" w14:textId="77777777" w:rsidTr="003B6907">
        <w:trPr>
          <w:jc w:val="center"/>
        </w:trPr>
        <w:tc>
          <w:tcPr>
            <w:tcW w:w="4753" w:type="dxa"/>
            <w:tcBorders>
              <w:top w:val="nil"/>
              <w:left w:val="single" w:sz="4" w:space="0" w:color="auto"/>
              <w:bottom w:val="nil"/>
              <w:right w:val="single" w:sz="4" w:space="0" w:color="auto"/>
            </w:tcBorders>
            <w:vAlign w:val="center"/>
          </w:tcPr>
          <w:p w14:paraId="35AFA196" w14:textId="77777777" w:rsidR="00CB4783" w:rsidRDefault="00CB4783" w:rsidP="009B6470">
            <w:pPr>
              <w:autoSpaceDE w:val="0"/>
              <w:autoSpaceDN w:val="0"/>
              <w:adjustRightInd w:val="0"/>
              <w:rPr>
                <w:color w:val="000000"/>
              </w:rPr>
            </w:pPr>
          </w:p>
        </w:tc>
        <w:tc>
          <w:tcPr>
            <w:tcW w:w="1272" w:type="dxa"/>
            <w:tcBorders>
              <w:top w:val="nil"/>
              <w:left w:val="nil"/>
              <w:bottom w:val="nil"/>
              <w:right w:val="single" w:sz="4" w:space="0" w:color="auto"/>
            </w:tcBorders>
            <w:vAlign w:val="center"/>
          </w:tcPr>
          <w:p w14:paraId="25C1D4B3" w14:textId="77777777" w:rsidR="00CB4783" w:rsidRDefault="00CB4783" w:rsidP="009B6470">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14:paraId="180995D2" w14:textId="77777777" w:rsidR="00CB4783" w:rsidRDefault="00CB4783" w:rsidP="009B6470">
            <w:pPr>
              <w:autoSpaceDE w:val="0"/>
              <w:autoSpaceDN w:val="0"/>
              <w:adjustRightInd w:val="0"/>
              <w:jc w:val="center"/>
              <w:rPr>
                <w:color w:val="000000"/>
              </w:rPr>
            </w:pPr>
          </w:p>
        </w:tc>
      </w:tr>
      <w:tr w:rsidR="00CB4783" w14:paraId="1F8CB62B" w14:textId="77777777" w:rsidTr="003B6907">
        <w:trPr>
          <w:jc w:val="center"/>
        </w:trPr>
        <w:tc>
          <w:tcPr>
            <w:tcW w:w="4753" w:type="dxa"/>
            <w:tcBorders>
              <w:top w:val="nil"/>
              <w:left w:val="single" w:sz="4" w:space="0" w:color="auto"/>
              <w:bottom w:val="nil"/>
              <w:right w:val="single" w:sz="4" w:space="0" w:color="auto"/>
            </w:tcBorders>
            <w:vAlign w:val="center"/>
            <w:hideMark/>
          </w:tcPr>
          <w:p w14:paraId="275AFEA7" w14:textId="77777777" w:rsidR="00CB4783" w:rsidRDefault="00CB4783" w:rsidP="009B6470">
            <w:pPr>
              <w:autoSpaceDE w:val="0"/>
              <w:autoSpaceDN w:val="0"/>
              <w:adjustRightInd w:val="0"/>
              <w:rPr>
                <w:color w:val="000000"/>
              </w:rPr>
            </w:pPr>
            <w:r>
              <w:rPr>
                <w:color w:val="000000"/>
              </w:rPr>
              <w:t>Type A Noninterviews</w:t>
            </w:r>
          </w:p>
        </w:tc>
        <w:tc>
          <w:tcPr>
            <w:tcW w:w="1272" w:type="dxa"/>
            <w:tcBorders>
              <w:top w:val="nil"/>
              <w:left w:val="nil"/>
              <w:bottom w:val="nil"/>
              <w:right w:val="single" w:sz="4" w:space="0" w:color="auto"/>
            </w:tcBorders>
            <w:vAlign w:val="center"/>
          </w:tcPr>
          <w:p w14:paraId="285751BC" w14:textId="77777777" w:rsidR="00CB4783" w:rsidRDefault="00CB4783" w:rsidP="009B6470">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14:paraId="38E7614E" w14:textId="77777777" w:rsidR="00CB4783" w:rsidRDefault="00CB4783" w:rsidP="009B6470">
            <w:pPr>
              <w:autoSpaceDE w:val="0"/>
              <w:autoSpaceDN w:val="0"/>
              <w:adjustRightInd w:val="0"/>
              <w:jc w:val="center"/>
              <w:rPr>
                <w:color w:val="000000"/>
              </w:rPr>
            </w:pPr>
          </w:p>
        </w:tc>
      </w:tr>
      <w:tr w:rsidR="00CB4783" w14:paraId="6C6AE5AF" w14:textId="77777777" w:rsidTr="003B6907">
        <w:trPr>
          <w:jc w:val="center"/>
        </w:trPr>
        <w:tc>
          <w:tcPr>
            <w:tcW w:w="4753" w:type="dxa"/>
            <w:tcBorders>
              <w:top w:val="nil"/>
              <w:left w:val="single" w:sz="4" w:space="0" w:color="auto"/>
              <w:bottom w:val="nil"/>
              <w:right w:val="single" w:sz="4" w:space="0" w:color="auto"/>
            </w:tcBorders>
            <w:vAlign w:val="center"/>
            <w:hideMark/>
          </w:tcPr>
          <w:p w14:paraId="74355860" w14:textId="77777777" w:rsidR="00CB4783" w:rsidRDefault="00CB4783" w:rsidP="009B6470">
            <w:pPr>
              <w:autoSpaceDE w:val="0"/>
              <w:autoSpaceDN w:val="0"/>
              <w:adjustRightInd w:val="0"/>
              <w:rPr>
                <w:color w:val="000000"/>
              </w:rPr>
            </w:pPr>
            <w:r>
              <w:rPr>
                <w:color w:val="000000"/>
              </w:rPr>
              <w:t xml:space="preserve">     Number</w:t>
            </w:r>
          </w:p>
        </w:tc>
        <w:tc>
          <w:tcPr>
            <w:tcW w:w="1272" w:type="dxa"/>
            <w:tcBorders>
              <w:top w:val="nil"/>
              <w:left w:val="nil"/>
              <w:bottom w:val="nil"/>
              <w:right w:val="single" w:sz="4" w:space="0" w:color="auto"/>
            </w:tcBorders>
            <w:vAlign w:val="center"/>
            <w:hideMark/>
          </w:tcPr>
          <w:p w14:paraId="48F4299A" w14:textId="39A5E23E" w:rsidR="00CB4783" w:rsidRDefault="00CB4783" w:rsidP="00453AFB">
            <w:pPr>
              <w:autoSpaceDE w:val="0"/>
              <w:autoSpaceDN w:val="0"/>
              <w:adjustRightInd w:val="0"/>
              <w:jc w:val="center"/>
              <w:rPr>
                <w:color w:val="000000"/>
              </w:rPr>
            </w:pPr>
            <w:r>
              <w:rPr>
                <w:color w:val="000000"/>
              </w:rPr>
              <w:t>1</w:t>
            </w:r>
            <w:r w:rsidR="008072C9">
              <w:rPr>
                <w:color w:val="000000"/>
              </w:rPr>
              <w:t>5,</w:t>
            </w:r>
            <w:r w:rsidR="00453AFB">
              <w:rPr>
                <w:color w:val="000000"/>
              </w:rPr>
              <w:t>50</w:t>
            </w:r>
            <w:r w:rsidR="008072C9">
              <w:rPr>
                <w:color w:val="000000"/>
              </w:rPr>
              <w:t>0</w:t>
            </w:r>
          </w:p>
        </w:tc>
        <w:tc>
          <w:tcPr>
            <w:tcW w:w="1260" w:type="dxa"/>
            <w:tcBorders>
              <w:top w:val="nil"/>
              <w:left w:val="single" w:sz="4" w:space="0" w:color="auto"/>
              <w:bottom w:val="nil"/>
              <w:right w:val="single" w:sz="4" w:space="0" w:color="auto"/>
            </w:tcBorders>
            <w:vAlign w:val="center"/>
            <w:hideMark/>
          </w:tcPr>
          <w:p w14:paraId="59ECCC6A" w14:textId="3F5387AC" w:rsidR="00CB4783" w:rsidRDefault="00CB4783" w:rsidP="003B0D9A">
            <w:pPr>
              <w:autoSpaceDE w:val="0"/>
              <w:autoSpaceDN w:val="0"/>
              <w:adjustRightInd w:val="0"/>
              <w:jc w:val="center"/>
              <w:rPr>
                <w:color w:val="000000"/>
              </w:rPr>
            </w:pPr>
            <w:r>
              <w:rPr>
                <w:color w:val="000000"/>
              </w:rPr>
              <w:t>3,</w:t>
            </w:r>
            <w:r w:rsidR="003B0D9A">
              <w:rPr>
                <w:color w:val="000000"/>
              </w:rPr>
              <w:t>8</w:t>
            </w:r>
            <w:r w:rsidR="00453AFB">
              <w:rPr>
                <w:color w:val="000000"/>
              </w:rPr>
              <w:t>0</w:t>
            </w:r>
            <w:r w:rsidR="008072C9">
              <w:rPr>
                <w:color w:val="000000"/>
              </w:rPr>
              <w:t>0</w:t>
            </w:r>
          </w:p>
        </w:tc>
      </w:tr>
      <w:tr w:rsidR="00CB4783" w14:paraId="2FC020BF" w14:textId="77777777" w:rsidTr="003B6907">
        <w:trPr>
          <w:jc w:val="center"/>
        </w:trPr>
        <w:tc>
          <w:tcPr>
            <w:tcW w:w="4753" w:type="dxa"/>
            <w:tcBorders>
              <w:top w:val="nil"/>
              <w:left w:val="single" w:sz="4" w:space="0" w:color="auto"/>
              <w:bottom w:val="nil"/>
              <w:right w:val="single" w:sz="4" w:space="0" w:color="auto"/>
            </w:tcBorders>
            <w:vAlign w:val="center"/>
            <w:hideMark/>
          </w:tcPr>
          <w:p w14:paraId="5BFA48FC" w14:textId="77777777" w:rsidR="00CB4783" w:rsidRDefault="00CB4783" w:rsidP="009B6470">
            <w:pPr>
              <w:autoSpaceDE w:val="0"/>
              <w:autoSpaceDN w:val="0"/>
              <w:adjustRightInd w:val="0"/>
              <w:rPr>
                <w:color w:val="000000"/>
              </w:rPr>
            </w:pPr>
            <w:r>
              <w:rPr>
                <w:color w:val="000000"/>
              </w:rPr>
              <w:t xml:space="preserve">     Percent of Eligible Units</w:t>
            </w:r>
          </w:p>
        </w:tc>
        <w:tc>
          <w:tcPr>
            <w:tcW w:w="1272" w:type="dxa"/>
            <w:tcBorders>
              <w:top w:val="nil"/>
              <w:left w:val="nil"/>
              <w:bottom w:val="nil"/>
              <w:right w:val="single" w:sz="4" w:space="0" w:color="auto"/>
            </w:tcBorders>
            <w:vAlign w:val="center"/>
            <w:hideMark/>
          </w:tcPr>
          <w:p w14:paraId="35B3C16F" w14:textId="3BEA6D87" w:rsidR="00CB4783" w:rsidRDefault="00CB4783" w:rsidP="008072C9">
            <w:pPr>
              <w:autoSpaceDE w:val="0"/>
              <w:autoSpaceDN w:val="0"/>
              <w:adjustRightInd w:val="0"/>
              <w:jc w:val="center"/>
              <w:rPr>
                <w:color w:val="000000"/>
              </w:rPr>
            </w:pPr>
            <w:r>
              <w:rPr>
                <w:color w:val="000000"/>
              </w:rPr>
              <w:t>3</w:t>
            </w:r>
            <w:r w:rsidR="008072C9">
              <w:rPr>
                <w:color w:val="000000"/>
              </w:rPr>
              <w:t>7</w:t>
            </w:r>
            <w:r>
              <w:rPr>
                <w:color w:val="000000"/>
              </w:rPr>
              <w:t>.0</w:t>
            </w:r>
          </w:p>
        </w:tc>
        <w:tc>
          <w:tcPr>
            <w:tcW w:w="1260" w:type="dxa"/>
            <w:tcBorders>
              <w:top w:val="nil"/>
              <w:left w:val="single" w:sz="4" w:space="0" w:color="auto"/>
              <w:bottom w:val="nil"/>
              <w:right w:val="single" w:sz="4" w:space="0" w:color="auto"/>
            </w:tcBorders>
            <w:vAlign w:val="center"/>
            <w:hideMark/>
          </w:tcPr>
          <w:p w14:paraId="4C107E0A" w14:textId="5FDBC071" w:rsidR="00CB4783" w:rsidRDefault="00CB4783" w:rsidP="008072C9">
            <w:pPr>
              <w:autoSpaceDE w:val="0"/>
              <w:autoSpaceDN w:val="0"/>
              <w:adjustRightInd w:val="0"/>
              <w:jc w:val="center"/>
              <w:rPr>
                <w:color w:val="000000"/>
              </w:rPr>
            </w:pPr>
            <w:r>
              <w:rPr>
                <w:color w:val="000000"/>
              </w:rPr>
              <w:t>3</w:t>
            </w:r>
            <w:r w:rsidR="008072C9">
              <w:rPr>
                <w:color w:val="000000"/>
              </w:rPr>
              <w:t>7</w:t>
            </w:r>
            <w:r>
              <w:rPr>
                <w:color w:val="000000"/>
              </w:rPr>
              <w:t>.0</w:t>
            </w:r>
          </w:p>
        </w:tc>
      </w:tr>
      <w:tr w:rsidR="00CB4783" w14:paraId="71EB3936" w14:textId="77777777" w:rsidTr="003B6907">
        <w:trPr>
          <w:jc w:val="center"/>
        </w:trPr>
        <w:tc>
          <w:tcPr>
            <w:tcW w:w="4753" w:type="dxa"/>
            <w:tcBorders>
              <w:top w:val="nil"/>
              <w:left w:val="single" w:sz="4" w:space="0" w:color="auto"/>
              <w:bottom w:val="nil"/>
              <w:right w:val="single" w:sz="4" w:space="0" w:color="auto"/>
            </w:tcBorders>
            <w:vAlign w:val="center"/>
          </w:tcPr>
          <w:p w14:paraId="78B5146D" w14:textId="77777777" w:rsidR="00CB4783" w:rsidRDefault="00CB4783" w:rsidP="009B6470">
            <w:pPr>
              <w:autoSpaceDE w:val="0"/>
              <w:autoSpaceDN w:val="0"/>
              <w:adjustRightInd w:val="0"/>
              <w:rPr>
                <w:color w:val="000000"/>
              </w:rPr>
            </w:pPr>
          </w:p>
        </w:tc>
        <w:tc>
          <w:tcPr>
            <w:tcW w:w="1272" w:type="dxa"/>
            <w:tcBorders>
              <w:top w:val="nil"/>
              <w:left w:val="nil"/>
              <w:bottom w:val="nil"/>
              <w:right w:val="single" w:sz="4" w:space="0" w:color="auto"/>
            </w:tcBorders>
            <w:vAlign w:val="center"/>
          </w:tcPr>
          <w:p w14:paraId="3250B490" w14:textId="77777777" w:rsidR="00CB4783" w:rsidRDefault="00CB4783" w:rsidP="009B6470">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14:paraId="5D2BBC7F" w14:textId="77777777" w:rsidR="00CB4783" w:rsidRDefault="00CB4783" w:rsidP="009B6470">
            <w:pPr>
              <w:autoSpaceDE w:val="0"/>
              <w:autoSpaceDN w:val="0"/>
              <w:adjustRightInd w:val="0"/>
              <w:jc w:val="center"/>
              <w:rPr>
                <w:color w:val="000000"/>
              </w:rPr>
            </w:pPr>
          </w:p>
        </w:tc>
      </w:tr>
      <w:tr w:rsidR="00CB4783" w14:paraId="2FB0516B" w14:textId="77777777" w:rsidTr="003B6907">
        <w:trPr>
          <w:jc w:val="center"/>
        </w:trPr>
        <w:tc>
          <w:tcPr>
            <w:tcW w:w="4753" w:type="dxa"/>
            <w:tcBorders>
              <w:top w:val="nil"/>
              <w:left w:val="single" w:sz="4" w:space="0" w:color="auto"/>
              <w:bottom w:val="nil"/>
              <w:right w:val="single" w:sz="4" w:space="0" w:color="auto"/>
            </w:tcBorders>
            <w:vAlign w:val="center"/>
            <w:hideMark/>
          </w:tcPr>
          <w:p w14:paraId="67FECE17" w14:textId="77777777" w:rsidR="00CB4783" w:rsidRDefault="00CB4783" w:rsidP="009B6470">
            <w:pPr>
              <w:autoSpaceDE w:val="0"/>
              <w:autoSpaceDN w:val="0"/>
              <w:adjustRightInd w:val="0"/>
              <w:rPr>
                <w:color w:val="000000"/>
              </w:rPr>
            </w:pPr>
            <w:r>
              <w:rPr>
                <w:color w:val="000000"/>
              </w:rPr>
              <w:t>Completed Interviews</w:t>
            </w:r>
          </w:p>
        </w:tc>
        <w:tc>
          <w:tcPr>
            <w:tcW w:w="1272" w:type="dxa"/>
            <w:tcBorders>
              <w:top w:val="nil"/>
              <w:left w:val="nil"/>
              <w:bottom w:val="nil"/>
              <w:right w:val="single" w:sz="4" w:space="0" w:color="auto"/>
            </w:tcBorders>
            <w:vAlign w:val="center"/>
          </w:tcPr>
          <w:p w14:paraId="57756FE6" w14:textId="77777777" w:rsidR="00CB4783" w:rsidRDefault="00CB4783" w:rsidP="009B6470">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14:paraId="4F529F26" w14:textId="77777777" w:rsidR="00CB4783" w:rsidRDefault="00CB4783" w:rsidP="009B6470">
            <w:pPr>
              <w:autoSpaceDE w:val="0"/>
              <w:autoSpaceDN w:val="0"/>
              <w:adjustRightInd w:val="0"/>
              <w:jc w:val="center"/>
              <w:rPr>
                <w:color w:val="000000"/>
              </w:rPr>
            </w:pPr>
          </w:p>
        </w:tc>
      </w:tr>
      <w:tr w:rsidR="00CB4783" w14:paraId="4D439B4C" w14:textId="77777777" w:rsidTr="003B6907">
        <w:trPr>
          <w:jc w:val="center"/>
        </w:trPr>
        <w:tc>
          <w:tcPr>
            <w:tcW w:w="4753" w:type="dxa"/>
            <w:tcBorders>
              <w:top w:val="nil"/>
              <w:left w:val="single" w:sz="4" w:space="0" w:color="auto"/>
              <w:bottom w:val="nil"/>
              <w:right w:val="single" w:sz="4" w:space="0" w:color="auto"/>
            </w:tcBorders>
            <w:vAlign w:val="center"/>
            <w:hideMark/>
          </w:tcPr>
          <w:p w14:paraId="1A303CD5" w14:textId="77777777" w:rsidR="00CB4783" w:rsidRDefault="00CB4783" w:rsidP="009B6470">
            <w:pPr>
              <w:autoSpaceDE w:val="0"/>
              <w:autoSpaceDN w:val="0"/>
              <w:adjustRightInd w:val="0"/>
              <w:rPr>
                <w:color w:val="000000"/>
              </w:rPr>
            </w:pPr>
            <w:r>
              <w:rPr>
                <w:color w:val="000000"/>
              </w:rPr>
              <w:t xml:space="preserve">     Number</w:t>
            </w:r>
          </w:p>
        </w:tc>
        <w:tc>
          <w:tcPr>
            <w:tcW w:w="1272" w:type="dxa"/>
            <w:tcBorders>
              <w:top w:val="nil"/>
              <w:left w:val="nil"/>
              <w:bottom w:val="nil"/>
              <w:right w:val="single" w:sz="4" w:space="0" w:color="auto"/>
            </w:tcBorders>
            <w:vAlign w:val="center"/>
            <w:hideMark/>
          </w:tcPr>
          <w:p w14:paraId="0A164454" w14:textId="1570BDA2" w:rsidR="00CB4783" w:rsidRDefault="00CB4783" w:rsidP="00453AFB">
            <w:pPr>
              <w:autoSpaceDE w:val="0"/>
              <w:autoSpaceDN w:val="0"/>
              <w:adjustRightInd w:val="0"/>
              <w:jc w:val="center"/>
              <w:rPr>
                <w:color w:val="000000"/>
              </w:rPr>
            </w:pPr>
            <w:r>
              <w:rPr>
                <w:color w:val="000000"/>
              </w:rPr>
              <w:t>2</w:t>
            </w:r>
            <w:r w:rsidR="008072C9">
              <w:rPr>
                <w:color w:val="000000"/>
              </w:rPr>
              <w:t>6</w:t>
            </w:r>
            <w:r>
              <w:rPr>
                <w:color w:val="000000"/>
              </w:rPr>
              <w:t>,</w:t>
            </w:r>
            <w:r w:rsidR="008072C9">
              <w:rPr>
                <w:color w:val="000000"/>
              </w:rPr>
              <w:t>3</w:t>
            </w:r>
            <w:r w:rsidR="00453AFB">
              <w:rPr>
                <w:color w:val="000000"/>
              </w:rPr>
              <w:t>0</w:t>
            </w:r>
            <w:r w:rsidR="008072C9">
              <w:rPr>
                <w:color w:val="000000"/>
              </w:rPr>
              <w:t>0</w:t>
            </w:r>
          </w:p>
        </w:tc>
        <w:tc>
          <w:tcPr>
            <w:tcW w:w="1260" w:type="dxa"/>
            <w:tcBorders>
              <w:top w:val="nil"/>
              <w:left w:val="single" w:sz="4" w:space="0" w:color="auto"/>
              <w:bottom w:val="nil"/>
              <w:right w:val="single" w:sz="4" w:space="0" w:color="auto"/>
            </w:tcBorders>
            <w:vAlign w:val="center"/>
            <w:hideMark/>
          </w:tcPr>
          <w:p w14:paraId="13480710" w14:textId="51C50DF1" w:rsidR="00CB4783" w:rsidRDefault="00CB4783" w:rsidP="003B0D9A">
            <w:pPr>
              <w:autoSpaceDE w:val="0"/>
              <w:autoSpaceDN w:val="0"/>
              <w:adjustRightInd w:val="0"/>
              <w:jc w:val="center"/>
              <w:rPr>
                <w:color w:val="000000"/>
              </w:rPr>
            </w:pPr>
            <w:r>
              <w:rPr>
                <w:color w:val="000000"/>
              </w:rPr>
              <w:t>6,</w:t>
            </w:r>
            <w:r w:rsidR="003B0D9A">
              <w:rPr>
                <w:color w:val="000000"/>
              </w:rPr>
              <w:t>6</w:t>
            </w:r>
            <w:r w:rsidR="00453AFB">
              <w:rPr>
                <w:color w:val="000000"/>
              </w:rPr>
              <w:t>0</w:t>
            </w:r>
            <w:r w:rsidR="008072C9">
              <w:rPr>
                <w:color w:val="000000"/>
              </w:rPr>
              <w:t>0</w:t>
            </w:r>
          </w:p>
        </w:tc>
      </w:tr>
      <w:tr w:rsidR="00CB4783" w14:paraId="15FE08BE" w14:textId="77777777" w:rsidTr="003B6907">
        <w:trPr>
          <w:jc w:val="center"/>
        </w:trPr>
        <w:tc>
          <w:tcPr>
            <w:tcW w:w="4753" w:type="dxa"/>
            <w:tcBorders>
              <w:top w:val="nil"/>
              <w:left w:val="single" w:sz="4" w:space="0" w:color="auto"/>
              <w:bottom w:val="single" w:sz="4" w:space="0" w:color="auto"/>
              <w:right w:val="single" w:sz="4" w:space="0" w:color="auto"/>
            </w:tcBorders>
            <w:vAlign w:val="center"/>
            <w:hideMark/>
          </w:tcPr>
          <w:p w14:paraId="35A98C13" w14:textId="77777777" w:rsidR="00CB4783" w:rsidRDefault="00CB4783" w:rsidP="009B6470">
            <w:pPr>
              <w:autoSpaceDE w:val="0"/>
              <w:autoSpaceDN w:val="0"/>
              <w:adjustRightInd w:val="0"/>
              <w:rPr>
                <w:color w:val="000000"/>
              </w:rPr>
            </w:pPr>
            <w:r>
              <w:rPr>
                <w:color w:val="000000"/>
              </w:rPr>
              <w:t xml:space="preserve">     Percent of Eligible Units (Response Rate)</w:t>
            </w:r>
          </w:p>
        </w:tc>
        <w:tc>
          <w:tcPr>
            <w:tcW w:w="1272" w:type="dxa"/>
            <w:tcBorders>
              <w:top w:val="nil"/>
              <w:left w:val="nil"/>
              <w:bottom w:val="single" w:sz="4" w:space="0" w:color="auto"/>
              <w:right w:val="single" w:sz="4" w:space="0" w:color="auto"/>
            </w:tcBorders>
            <w:vAlign w:val="center"/>
            <w:hideMark/>
          </w:tcPr>
          <w:p w14:paraId="0611A8B8" w14:textId="2350499A" w:rsidR="00CB4783" w:rsidRDefault="00CB4783" w:rsidP="008072C9">
            <w:pPr>
              <w:autoSpaceDE w:val="0"/>
              <w:autoSpaceDN w:val="0"/>
              <w:adjustRightInd w:val="0"/>
              <w:jc w:val="center"/>
              <w:rPr>
                <w:color w:val="000000"/>
              </w:rPr>
            </w:pPr>
            <w:r>
              <w:rPr>
                <w:color w:val="000000"/>
              </w:rPr>
              <w:t>6</w:t>
            </w:r>
            <w:r w:rsidR="008072C9">
              <w:rPr>
                <w:color w:val="000000"/>
              </w:rPr>
              <w:t>3</w:t>
            </w:r>
            <w:r>
              <w:rPr>
                <w:color w:val="000000"/>
              </w:rPr>
              <w:t>.0</w:t>
            </w:r>
          </w:p>
        </w:tc>
        <w:tc>
          <w:tcPr>
            <w:tcW w:w="1260" w:type="dxa"/>
            <w:tcBorders>
              <w:top w:val="nil"/>
              <w:left w:val="single" w:sz="4" w:space="0" w:color="auto"/>
              <w:bottom w:val="single" w:sz="4" w:space="0" w:color="auto"/>
              <w:right w:val="single" w:sz="4" w:space="0" w:color="auto"/>
            </w:tcBorders>
            <w:vAlign w:val="center"/>
            <w:hideMark/>
          </w:tcPr>
          <w:p w14:paraId="6E8240D4" w14:textId="4149323B" w:rsidR="00CB4783" w:rsidRDefault="00CB4783" w:rsidP="008072C9">
            <w:pPr>
              <w:autoSpaceDE w:val="0"/>
              <w:autoSpaceDN w:val="0"/>
              <w:adjustRightInd w:val="0"/>
              <w:jc w:val="center"/>
              <w:rPr>
                <w:color w:val="000000"/>
              </w:rPr>
            </w:pPr>
            <w:r>
              <w:rPr>
                <w:color w:val="000000"/>
              </w:rPr>
              <w:t>6</w:t>
            </w:r>
            <w:r w:rsidR="008072C9">
              <w:rPr>
                <w:color w:val="000000"/>
              </w:rPr>
              <w:t>3</w:t>
            </w:r>
            <w:r>
              <w:rPr>
                <w:color w:val="000000"/>
              </w:rPr>
              <w:t>.0</w:t>
            </w:r>
          </w:p>
        </w:tc>
      </w:tr>
    </w:tbl>
    <w:p w14:paraId="4DA22116" w14:textId="77777777" w:rsidR="00A11522" w:rsidRDefault="00A11522" w:rsidP="009B6470">
      <w:pPr>
        <w:autoSpaceDE w:val="0"/>
        <w:autoSpaceDN w:val="0"/>
        <w:adjustRightInd w:val="0"/>
        <w:rPr>
          <w:color w:val="000000"/>
          <w:sz w:val="20"/>
          <w:szCs w:val="20"/>
        </w:rPr>
      </w:pPr>
    </w:p>
    <w:p w14:paraId="19CFCDA9" w14:textId="77777777" w:rsidR="00505B67" w:rsidRDefault="00505B67" w:rsidP="009B6470">
      <w:pPr>
        <w:autoSpaceDE w:val="0"/>
        <w:autoSpaceDN w:val="0"/>
        <w:adjustRightInd w:val="0"/>
        <w:rPr>
          <w:color w:val="000000"/>
          <w:sz w:val="20"/>
          <w:szCs w:val="20"/>
        </w:rPr>
      </w:pPr>
    </w:p>
    <w:p w14:paraId="3B2382AD" w14:textId="7FF0C0C4" w:rsidR="00EC671D" w:rsidRDefault="00505B67" w:rsidP="00505B67">
      <w:pPr>
        <w:tabs>
          <w:tab w:val="left" w:pos="1176"/>
          <w:tab w:val="left" w:pos="1656"/>
          <w:tab w:val="left" w:pos="5016"/>
          <w:tab w:val="left" w:pos="6696"/>
          <w:tab w:val="left" w:pos="8256"/>
        </w:tabs>
        <w:ind w:left="691"/>
      </w:pPr>
      <w:r>
        <w:t>Starting in 2015 the CEQ and CED began drawing their samples of addresses from a new sampling frame called the Master Address File (MAF), which is basically a list of all addresses from the 2010 census</w:t>
      </w:r>
      <w:r w:rsidR="003B0D9A">
        <w:t>,</w:t>
      </w:r>
      <w:r>
        <w:t xml:space="preserve"> and </w:t>
      </w:r>
      <w:r w:rsidR="003B0D9A">
        <w:t xml:space="preserve">it </w:t>
      </w:r>
      <w:r>
        <w:t xml:space="preserve">is updated twice per year with information from the U.S. Postal Service’s Delivery Sequence File.  The CEQ and CED do not have much experience with the MAF, but the ACS has more experience, </w:t>
      </w:r>
      <w:r w:rsidR="00807513">
        <w:t>so</w:t>
      </w:r>
      <w:r>
        <w:t xml:space="preserve"> the </w:t>
      </w:r>
      <w:r w:rsidR="00807513">
        <w:t xml:space="preserve">estimated </w:t>
      </w:r>
      <w:r>
        <w:t>Type B/C rate of 13% comes from ACS’s experience.</w:t>
      </w:r>
    </w:p>
    <w:p w14:paraId="01F68E46" w14:textId="0FC607BC" w:rsidR="001041FE" w:rsidRPr="00E3685C" w:rsidRDefault="001041FE" w:rsidP="009B6470">
      <w:pPr>
        <w:pStyle w:val="BlockText"/>
        <w:ind w:left="0" w:right="0"/>
      </w:pPr>
    </w:p>
    <w:p w14:paraId="6ABCD045" w14:textId="62853A68" w:rsidR="001041FE" w:rsidRDefault="001041FE" w:rsidP="00407B59">
      <w:pPr>
        <w:pStyle w:val="BlockText"/>
        <w:ind w:left="691" w:right="0"/>
      </w:pPr>
      <w:r w:rsidRPr="00E3685C">
        <w:t xml:space="preserve">For more information on the calculation of response rates, see the </w:t>
      </w:r>
      <w:r w:rsidR="007F5680">
        <w:t>m</w:t>
      </w:r>
      <w:r w:rsidR="00E01E76">
        <w:t xml:space="preserve">emorandum from </w:t>
      </w:r>
      <w:r w:rsidR="00A46014">
        <w:t xml:space="preserve">Sharon Krieger and </w:t>
      </w:r>
      <w:r w:rsidR="00E01E76">
        <w:t xml:space="preserve">David Swanson on </w:t>
      </w:r>
      <w:r w:rsidR="00A46014">
        <w:t>“</w:t>
      </w:r>
      <w:r w:rsidR="00E01E76">
        <w:t>Response Rates in the Consumer Expenditure Survey</w:t>
      </w:r>
      <w:r w:rsidR="00A46014">
        <w:t>”</w:t>
      </w:r>
      <w:r w:rsidR="00E01E76">
        <w:t xml:space="preserve"> (2015)</w:t>
      </w:r>
      <w:r>
        <w:t xml:space="preserve"> (</w:t>
      </w:r>
      <w:r w:rsidR="00830181">
        <w:t>A</w:t>
      </w:r>
      <w:r>
        <w:t xml:space="preserve">ttachment </w:t>
      </w:r>
      <w:r w:rsidR="00C7783D">
        <w:t>Q</w:t>
      </w:r>
      <w:r>
        <w:t>)</w:t>
      </w:r>
      <w:r w:rsidRPr="00E3685C">
        <w:t>.</w:t>
      </w:r>
    </w:p>
    <w:p w14:paraId="688ED3CA" w14:textId="77777777" w:rsidR="00A13CB5" w:rsidRDefault="00A13CB5" w:rsidP="00407B59">
      <w:pPr>
        <w:pStyle w:val="BlockText"/>
        <w:ind w:left="691" w:right="0"/>
      </w:pPr>
    </w:p>
    <w:p w14:paraId="4A5FCC5E" w14:textId="2AABF4EE" w:rsidR="00A13CB5" w:rsidRPr="00E3685C" w:rsidRDefault="00A13CB5" w:rsidP="00407B59">
      <w:pPr>
        <w:pStyle w:val="BlockText"/>
        <w:ind w:left="691" w:right="0"/>
      </w:pPr>
      <w:r w:rsidRPr="00B776E5">
        <w:t xml:space="preserve">In 2008 CE staff conducted a nonresponse bias study to determine whether the missing data from nonrespondents generated any bias in the </w:t>
      </w:r>
      <w:r w:rsidR="002374B8">
        <w:t>CEQ</w:t>
      </w:r>
      <w:r w:rsidRPr="00B776E5">
        <w:t>’s published estimates.</w:t>
      </w:r>
      <w:r w:rsidR="009E6ACE">
        <w:t xml:space="preserve"> </w:t>
      </w:r>
      <w:r w:rsidRPr="00B776E5">
        <w:t xml:space="preserve"> Their study was undertaken in response to </w:t>
      </w:r>
      <w:r w:rsidR="00BA6B68">
        <w:t xml:space="preserve">an </w:t>
      </w:r>
      <w:r w:rsidRPr="00B776E5">
        <w:t>OMB directive</w:t>
      </w:r>
      <w:r w:rsidR="0015295A">
        <w:t>.  R</w:t>
      </w:r>
      <w:r w:rsidRPr="00B776E5">
        <w:t>esults from four individual studies</w:t>
      </w:r>
      <w:r w:rsidR="0015295A">
        <w:t xml:space="preserve"> were synthesized</w:t>
      </w:r>
      <w:r w:rsidRPr="00B776E5">
        <w:t xml:space="preserve">, and </w:t>
      </w:r>
      <w:r w:rsidR="0015295A">
        <w:t xml:space="preserve">they </w:t>
      </w:r>
      <w:r w:rsidRPr="00B776E5">
        <w:t xml:space="preserve">concluded that no bias </w:t>
      </w:r>
      <w:r w:rsidR="005459B0">
        <w:t xml:space="preserve">was </w:t>
      </w:r>
      <w:r w:rsidR="00BA3C9E">
        <w:t xml:space="preserve">generated </w:t>
      </w:r>
      <w:r w:rsidRPr="00B776E5">
        <w:t>in spite of th</w:t>
      </w:r>
      <w:r w:rsidR="009E7C63">
        <w:t>e</w:t>
      </w:r>
      <w:r w:rsidRPr="00B776E5">
        <w:t xml:space="preserve"> fact</w:t>
      </w:r>
      <w:r w:rsidR="00BA4E15">
        <w:t xml:space="preserve"> that CE’s data are not “missing completely at random</w:t>
      </w:r>
      <w:r w:rsidR="00D84E97">
        <w:t xml:space="preserve"> (</w:t>
      </w:r>
      <w:r w:rsidR="00D84E97" w:rsidRPr="00B776E5">
        <w:t>MCAR</w:t>
      </w:r>
      <w:r w:rsidR="00D84E97">
        <w:t>)</w:t>
      </w:r>
      <w:r w:rsidR="00BA4E15">
        <w:t>.”</w:t>
      </w:r>
      <w:r w:rsidRPr="00B776E5">
        <w:t xml:space="preserve">  As they said, “the results from these four studies provide a counterexample to the commonly held belief that if a survey’s data are not </w:t>
      </w:r>
      <w:r>
        <w:t>missing completely at random</w:t>
      </w:r>
      <w:r w:rsidRPr="00B776E5">
        <w:t xml:space="preserve"> then its estimates are subject to nonresponse bias.”  For more information, see “Assessing Nonresponse Bias in the Consumer Expenditure Interview Survey”</w:t>
      </w:r>
      <w:r>
        <w:t xml:space="preserve"> (</w:t>
      </w:r>
      <w:r w:rsidR="004C0A47">
        <w:t>A</w:t>
      </w:r>
      <w:r>
        <w:t xml:space="preserve">ttachment </w:t>
      </w:r>
      <w:r w:rsidR="00C7783D">
        <w:t>R</w:t>
      </w:r>
      <w:r>
        <w:t>).</w:t>
      </w:r>
    </w:p>
    <w:p w14:paraId="582FFFC6" w14:textId="77777777" w:rsidR="001041FE" w:rsidRPr="00E3685C" w:rsidRDefault="001041FE" w:rsidP="00D21F06">
      <w:pPr>
        <w:tabs>
          <w:tab w:val="left" w:pos="1176"/>
          <w:tab w:val="left" w:pos="1656"/>
          <w:tab w:val="left" w:pos="5016"/>
          <w:tab w:val="left" w:pos="6696"/>
          <w:tab w:val="left" w:pos="8256"/>
        </w:tabs>
        <w:ind w:left="691"/>
      </w:pPr>
    </w:p>
    <w:p w14:paraId="7B1E5113" w14:textId="0310C5C3" w:rsidR="009E6ACE" w:rsidRDefault="009E6ACE"/>
    <w:p w14:paraId="38555357" w14:textId="468BC556" w:rsidR="001041FE" w:rsidRDefault="001041FE" w:rsidP="001041FE">
      <w:pPr>
        <w:tabs>
          <w:tab w:val="left" w:pos="1176"/>
          <w:tab w:val="left" w:pos="1656"/>
          <w:tab w:val="left" w:pos="5016"/>
          <w:tab w:val="left" w:pos="6696"/>
          <w:tab w:val="left" w:pos="8256"/>
        </w:tabs>
        <w:outlineLvl w:val="0"/>
        <w:rPr>
          <w:b/>
          <w:u w:val="single"/>
        </w:rPr>
      </w:pPr>
      <w:r w:rsidRPr="00C23B1D">
        <w:t xml:space="preserve">2.   </w:t>
      </w:r>
      <w:r w:rsidRPr="008050A1">
        <w:rPr>
          <w:b/>
          <w:u w:val="single"/>
        </w:rPr>
        <w:t>Collection Methods</w:t>
      </w:r>
    </w:p>
    <w:p w14:paraId="13DF2560" w14:textId="77777777" w:rsidR="00AA5A24" w:rsidRPr="008050A1" w:rsidRDefault="00AA5A24" w:rsidP="001041FE">
      <w:pPr>
        <w:tabs>
          <w:tab w:val="left" w:pos="1176"/>
          <w:tab w:val="left" w:pos="1656"/>
          <w:tab w:val="left" w:pos="5016"/>
          <w:tab w:val="left" w:pos="6696"/>
          <w:tab w:val="left" w:pos="8256"/>
        </w:tabs>
        <w:outlineLvl w:val="0"/>
        <w:rPr>
          <w:u w:val="single"/>
        </w:rPr>
      </w:pPr>
    </w:p>
    <w:p w14:paraId="4038C519" w14:textId="40041D72" w:rsidR="009E7C63" w:rsidRDefault="009E7C63" w:rsidP="009E7C63">
      <w:pPr>
        <w:pStyle w:val="BlockText"/>
        <w:ind w:left="432" w:right="0"/>
        <w:rPr>
          <w:szCs w:val="24"/>
        </w:rPr>
      </w:pPr>
      <w:r>
        <w:t xml:space="preserve">Under contract with BLS, field representatives from the U.S. Census Bureau personally visit the households in the Interview </w:t>
      </w:r>
      <w:r w:rsidR="001D729C">
        <w:t xml:space="preserve">and Diary </w:t>
      </w:r>
      <w:r>
        <w:t xml:space="preserve">surveys’ samples to collect the data. Prior to the first household visit, respondents are sent an advanced letter informing them that they have been selected for the survey and asking </w:t>
      </w:r>
      <w:r w:rsidR="004C7B96">
        <w:t xml:space="preserve">them </w:t>
      </w:r>
      <w:r>
        <w:t>for their cooperation.  For subsequent household visits in the Interview survey, respondents are sent an advanced letter reminding them that is has been 3 months since they last participated in the survey and asking for their cooperation again.</w:t>
      </w:r>
    </w:p>
    <w:p w14:paraId="12E59E43" w14:textId="77777777" w:rsidR="009E7C63" w:rsidRDefault="009E7C63" w:rsidP="009E7C63">
      <w:pPr>
        <w:pStyle w:val="BlockText"/>
        <w:ind w:left="432" w:right="0"/>
      </w:pPr>
    </w:p>
    <w:p w14:paraId="0DF5313B" w14:textId="421D48F5" w:rsidR="009E7C63" w:rsidRDefault="003627EA" w:rsidP="009E7C63">
      <w:pPr>
        <w:pStyle w:val="BlockText"/>
        <w:ind w:left="432" w:right="0"/>
      </w:pPr>
      <w:r>
        <w:t>F</w:t>
      </w:r>
      <w:r w:rsidR="009E7C63">
        <w:t xml:space="preserve">ield representatives visit each household in the </w:t>
      </w:r>
      <w:r>
        <w:t xml:space="preserve">Interview survey’s </w:t>
      </w:r>
      <w:r w:rsidR="009E7C63">
        <w:t xml:space="preserve">sample every 3 months for 4 consecutive quarters to collect information on the expenditures they made during the previous 3 months. </w:t>
      </w:r>
      <w:r w:rsidR="004C7B96">
        <w:t>The</w:t>
      </w:r>
      <w:r w:rsidR="006D0A65">
        <w:t xml:space="preserve"> field representatives</w:t>
      </w:r>
      <w:r w:rsidR="009E7C63">
        <w:t xml:space="preserve"> enter the</w:t>
      </w:r>
      <w:r w:rsidR="006D0A65">
        <w:t xml:space="preserve"> household’s</w:t>
      </w:r>
      <w:r w:rsidR="009E7C63">
        <w:t xml:space="preserve"> </w:t>
      </w:r>
      <w:r w:rsidR="009E7C63">
        <w:lastRenderedPageBreak/>
        <w:t>responses into a laptop computer. After participating in the survey for 4 quarters, the household is dropped from the survey and replaced by another household. The households in the Interview survey are on a rotating schedule, with approximately one-fourth of the households in the sample being new to the survey each quarter.</w:t>
      </w:r>
    </w:p>
    <w:p w14:paraId="118F9354" w14:textId="77777777" w:rsidR="001D729C" w:rsidRDefault="001D729C" w:rsidP="001D729C">
      <w:pPr>
        <w:pStyle w:val="BlockText"/>
        <w:ind w:left="432" w:right="0"/>
      </w:pPr>
    </w:p>
    <w:p w14:paraId="6E031074" w14:textId="03A48DD5" w:rsidR="001D729C" w:rsidRDefault="001D729C" w:rsidP="001D729C">
      <w:pPr>
        <w:pStyle w:val="BlockText"/>
        <w:ind w:left="432" w:right="0"/>
      </w:pPr>
      <w:r>
        <w:t>For the Diary survey, field representatives visit each household in the sample three times to collect information on the expenditures they ma</w:t>
      </w:r>
      <w:r w:rsidR="004C7B96">
        <w:t>k</w:t>
      </w:r>
      <w:r>
        <w:t>e during a 2-week period. On the first visit the field representatives introduce themselves, explain the survey, and le</w:t>
      </w:r>
      <w:r w:rsidR="004C7B96">
        <w:t>ave</w:t>
      </w:r>
      <w:r>
        <w:t xml:space="preserve"> a diary in which the household members </w:t>
      </w:r>
      <w:r w:rsidR="004C7B96">
        <w:t>a</w:t>
      </w:r>
      <w:r>
        <w:t xml:space="preserve">re asked to record all their expenditures for a 1-week period. On the second visit, the field representatives pick up the first week’s diary, ask whether there </w:t>
      </w:r>
      <w:r w:rsidR="004C7B96">
        <w:t>a</w:t>
      </w:r>
      <w:r>
        <w:t>re any questions, and le</w:t>
      </w:r>
      <w:r w:rsidR="004C7B96">
        <w:t>ave</w:t>
      </w:r>
      <w:r>
        <w:t xml:space="preserve"> another diary for the second week. On the third visit, the field representatives pick up the second week’s diary and thank the household for participating in the survey. After participating in the survey for two weeks, the household </w:t>
      </w:r>
      <w:r w:rsidR="004C7B96">
        <w:t>is</w:t>
      </w:r>
      <w:r>
        <w:t xml:space="preserve"> dropped from the survey and replaced by another household.</w:t>
      </w:r>
    </w:p>
    <w:p w14:paraId="70396963" w14:textId="77777777" w:rsidR="001D729C" w:rsidRDefault="001D729C" w:rsidP="001D729C">
      <w:pPr>
        <w:pStyle w:val="BlockText"/>
        <w:ind w:left="432" w:right="0"/>
      </w:pPr>
    </w:p>
    <w:p w14:paraId="39095F9D" w14:textId="7B4E6517" w:rsidR="004C0B99" w:rsidRDefault="003627EA" w:rsidP="001D729C">
      <w:pPr>
        <w:pStyle w:val="BlockText"/>
        <w:ind w:left="432" w:right="0"/>
      </w:pPr>
      <w:r>
        <w:t>The</w:t>
      </w:r>
      <w:r w:rsidR="001D729C">
        <w:t xml:space="preserve"> </w:t>
      </w:r>
      <w:r w:rsidR="00842CA6">
        <w:t xml:space="preserve">Diary survey’s </w:t>
      </w:r>
      <w:r w:rsidR="001D729C">
        <w:t xml:space="preserve">data collection procedure </w:t>
      </w:r>
      <w:r>
        <w:t>will be the same in 2017-</w:t>
      </w:r>
      <w:r w:rsidR="006D0A65">
        <w:t>2</w:t>
      </w:r>
      <w:r>
        <w:t>019</w:t>
      </w:r>
      <w:r w:rsidR="001D729C">
        <w:t xml:space="preserve"> except </w:t>
      </w:r>
      <w:r>
        <w:t>for two changes.  Starting in 2017</w:t>
      </w:r>
      <w:r w:rsidR="001D729C">
        <w:t xml:space="preserve"> the field representatives </w:t>
      </w:r>
      <w:r>
        <w:t xml:space="preserve">will </w:t>
      </w:r>
      <w:r w:rsidR="001D729C">
        <w:t>leave both diaries on the first visit</w:t>
      </w:r>
      <w:r w:rsidR="00DD209F">
        <w:t xml:space="preserve"> instead of </w:t>
      </w:r>
      <w:r w:rsidR="00842CA6">
        <w:t xml:space="preserve">leaving </w:t>
      </w:r>
      <w:r w:rsidR="00DD209F">
        <w:t>one diary at a time</w:t>
      </w:r>
      <w:r w:rsidR="001D729C">
        <w:t>.  This is called “double placement.”</w:t>
      </w:r>
      <w:r w:rsidR="00DD209F">
        <w:t xml:space="preserve">  It reduces data collection costs by eliminating the visit </w:t>
      </w:r>
      <w:r w:rsidR="00842CA6">
        <w:t>between the</w:t>
      </w:r>
      <w:r w:rsidR="00DD209F">
        <w:t xml:space="preserve"> first </w:t>
      </w:r>
      <w:r w:rsidR="00842CA6">
        <w:t>and second weeks</w:t>
      </w:r>
      <w:r w:rsidR="00DD209F">
        <w:t>, and research shows it has no effect on the quality of the data.</w:t>
      </w:r>
      <w:r>
        <w:t xml:space="preserve">  </w:t>
      </w:r>
      <w:r w:rsidR="0072254E">
        <w:t xml:space="preserve">The other change </w:t>
      </w:r>
      <w:r>
        <w:t xml:space="preserve">is to the </w:t>
      </w:r>
      <w:r w:rsidR="0072254E">
        <w:t>diary</w:t>
      </w:r>
      <w:r w:rsidR="00BE000E">
        <w:t>’s “</w:t>
      </w:r>
      <w:r w:rsidR="0072254E">
        <w:t>placement window</w:t>
      </w:r>
      <w:r w:rsidR="004C7B96">
        <w:t>,</w:t>
      </w:r>
      <w:r w:rsidR="0072254E">
        <w:t xml:space="preserve">” </w:t>
      </w:r>
      <w:r w:rsidR="004C7B96">
        <w:t>which</w:t>
      </w:r>
      <w:r w:rsidR="0072254E">
        <w:t xml:space="preserve"> is the time period </w:t>
      </w:r>
      <w:r w:rsidR="00BE000E">
        <w:t>allotted</w:t>
      </w:r>
      <w:r w:rsidR="00D75991">
        <w:t xml:space="preserve"> to the field representatives </w:t>
      </w:r>
      <w:r w:rsidR="00BE000E">
        <w:t>to</w:t>
      </w:r>
      <w:r w:rsidR="00D75991">
        <w:t xml:space="preserve"> leav</w:t>
      </w:r>
      <w:r w:rsidR="00BE000E">
        <w:t>e</w:t>
      </w:r>
      <w:r w:rsidR="00D75991">
        <w:t xml:space="preserve"> or “plac</w:t>
      </w:r>
      <w:r w:rsidR="00BE000E">
        <w:t>e</w:t>
      </w:r>
      <w:r w:rsidR="00D75991">
        <w:t>” the diaries with the respondents.  Before 2017 each household was assigned an “earliest placement day</w:t>
      </w:r>
      <w:r w:rsidR="00BE000E">
        <w:t>,</w:t>
      </w:r>
      <w:r w:rsidR="00D75991">
        <w:t xml:space="preserve">” </w:t>
      </w:r>
      <w:r w:rsidR="00BE000E">
        <w:t xml:space="preserve">which </w:t>
      </w:r>
      <w:r w:rsidR="00DC06B0">
        <w:t>i</w:t>
      </w:r>
      <w:r w:rsidR="00BE000E">
        <w:t xml:space="preserve">s a specific day of the month, </w:t>
      </w:r>
      <w:r w:rsidR="00D75991">
        <w:t>and the field representatives were required to place the first week’s diary within seven days of that date.  However, starting in 2017</w:t>
      </w:r>
      <w:r w:rsidR="004C0B99">
        <w:t xml:space="preserve"> the field representatives will be </w:t>
      </w:r>
      <w:r w:rsidR="00BE000E">
        <w:t xml:space="preserve">given a “placement month” and will be </w:t>
      </w:r>
      <w:r w:rsidR="004C0B99">
        <w:t xml:space="preserve">allowed to place the diaries </w:t>
      </w:r>
      <w:r w:rsidR="00DC06B0">
        <w:t xml:space="preserve">with the respondents </w:t>
      </w:r>
      <w:r w:rsidR="004C0B99">
        <w:t xml:space="preserve">anytime during the month.  It is hoped this increased flexibility </w:t>
      </w:r>
      <w:r w:rsidR="00BE000E">
        <w:t xml:space="preserve">in the placement of diaries </w:t>
      </w:r>
      <w:r w:rsidR="004C0B99">
        <w:t>will increase the Diary survey’s response rate</w:t>
      </w:r>
      <w:r w:rsidR="00F97339">
        <w:t>.  Again,</w:t>
      </w:r>
      <w:r w:rsidR="004C0B99">
        <w:t xml:space="preserve"> research shows</w:t>
      </w:r>
      <w:r w:rsidR="004C0B99" w:rsidRPr="004C0B99">
        <w:t xml:space="preserve"> </w:t>
      </w:r>
      <w:r w:rsidR="004C0B99">
        <w:t>that it should have no effect on the quality of the data.</w:t>
      </w:r>
    </w:p>
    <w:p w14:paraId="6FA6B299" w14:textId="77777777" w:rsidR="0072254E" w:rsidRDefault="0072254E" w:rsidP="001D729C">
      <w:pPr>
        <w:pStyle w:val="BlockText"/>
        <w:ind w:left="432" w:right="0"/>
      </w:pPr>
    </w:p>
    <w:p w14:paraId="2FEA0367" w14:textId="28DF32CE" w:rsidR="009E7C63" w:rsidRDefault="009E7C63" w:rsidP="009E7C63">
      <w:pPr>
        <w:pStyle w:val="BlockText"/>
        <w:ind w:left="432" w:right="0"/>
      </w:pPr>
      <w:r>
        <w:t xml:space="preserve">After completing the second week of the Diary survey and the fourth </w:t>
      </w:r>
      <w:r w:rsidR="002374B8">
        <w:t>quarter</w:t>
      </w:r>
      <w:r>
        <w:t xml:space="preserve"> of the Interview survey, the households are sent a Thank You letter and a certificate of appreciation for their participation in the survey.</w:t>
      </w:r>
    </w:p>
    <w:p w14:paraId="0651D7DA" w14:textId="77777777" w:rsidR="009E7C63" w:rsidRDefault="009E7C63" w:rsidP="009E7C63">
      <w:pPr>
        <w:pStyle w:val="BlockText"/>
        <w:ind w:left="432" w:right="0"/>
      </w:pPr>
    </w:p>
    <w:p w14:paraId="7217C219" w14:textId="77777777" w:rsidR="001041FE" w:rsidRDefault="001041FE" w:rsidP="001041FE">
      <w:pPr>
        <w:tabs>
          <w:tab w:val="left" w:pos="1176"/>
          <w:tab w:val="left" w:pos="1656"/>
          <w:tab w:val="left" w:pos="5016"/>
          <w:tab w:val="left" w:pos="6696"/>
          <w:tab w:val="left" w:pos="8256"/>
        </w:tabs>
        <w:outlineLvl w:val="0"/>
      </w:pPr>
      <w:r w:rsidRPr="00C23B1D">
        <w:t xml:space="preserve">      </w:t>
      </w:r>
      <w:r>
        <w:rPr>
          <w:u w:val="single"/>
        </w:rPr>
        <w:t>Primary Sampling Units (PSUs)</w:t>
      </w:r>
    </w:p>
    <w:p w14:paraId="147E407B" w14:textId="37D7F399" w:rsidR="001041FE" w:rsidRPr="00E3685C" w:rsidRDefault="001041FE" w:rsidP="001041FE">
      <w:pPr>
        <w:pStyle w:val="BodyTextIndent3"/>
      </w:pPr>
      <w:r w:rsidRPr="00E3685C">
        <w:lastRenderedPageBreak/>
        <w:t xml:space="preserve">The primary sampling units (PSUs) used in the </w:t>
      </w:r>
      <w:r>
        <w:t>CEQ</w:t>
      </w:r>
      <w:r w:rsidRPr="00E3685C">
        <w:t xml:space="preserve"> and </w:t>
      </w:r>
      <w:r>
        <w:t>CED</w:t>
      </w:r>
      <w:r w:rsidRPr="00E3685C">
        <w:t xml:space="preserve"> are small clusters of counties.  The number of counties in </w:t>
      </w:r>
      <w:r w:rsidR="00BA6B68">
        <w:t>the PSUs selected for the sample</w:t>
      </w:r>
      <w:r w:rsidRPr="00E3685C">
        <w:t xml:space="preserve"> </w:t>
      </w:r>
      <w:r w:rsidR="009E7C63">
        <w:t>ranges from 1 to 29 with the</w:t>
      </w:r>
      <w:r w:rsidR="009E6ACE">
        <w:t xml:space="preserve"> average </w:t>
      </w:r>
      <w:r w:rsidR="009E7C63">
        <w:t>number being</w:t>
      </w:r>
      <w:r w:rsidR="009E6ACE">
        <w:t xml:space="preserve"> 5</w:t>
      </w:r>
      <w:r w:rsidRPr="00E3685C">
        <w:t xml:space="preserve">.  The set of sample PSUs used in the two CE surveys consist of 91 PSUs, 75 of which are also used in the </w:t>
      </w:r>
      <w:r>
        <w:t>Consumer Price Index (</w:t>
      </w:r>
      <w:r w:rsidRPr="00E3685C">
        <w:t>CPI</w:t>
      </w:r>
      <w:r>
        <w:t>)</w:t>
      </w:r>
      <w:r w:rsidRPr="00E3685C">
        <w:t xml:space="preserve">.  The 91 PSUs fall into </w:t>
      </w:r>
      <w:r w:rsidR="00C73DBA">
        <w:t>three</w:t>
      </w:r>
      <w:r w:rsidRPr="00E3685C">
        <w:t xml:space="preserve"> categories:</w:t>
      </w:r>
    </w:p>
    <w:p w14:paraId="4A7C6ADA" w14:textId="77777777" w:rsidR="001041FE" w:rsidRPr="00E3685C" w:rsidRDefault="001041FE" w:rsidP="001041FE">
      <w:pPr>
        <w:tabs>
          <w:tab w:val="left" w:pos="1176"/>
          <w:tab w:val="left" w:pos="1656"/>
          <w:tab w:val="left" w:pos="5016"/>
          <w:tab w:val="left" w:pos="6696"/>
          <w:tab w:val="left" w:pos="8256"/>
        </w:tabs>
        <w:ind w:left="360"/>
      </w:pPr>
    </w:p>
    <w:tbl>
      <w:tblPr>
        <w:tblW w:w="937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58"/>
        <w:gridCol w:w="1070"/>
        <w:gridCol w:w="7347"/>
      </w:tblGrid>
      <w:tr w:rsidR="001041FE" w14:paraId="726E002A" w14:textId="77777777" w:rsidTr="00714619">
        <w:trPr>
          <w:jc w:val="center"/>
        </w:trPr>
        <w:tc>
          <w:tcPr>
            <w:tcW w:w="958" w:type="dxa"/>
            <w:tcBorders>
              <w:top w:val="double" w:sz="4" w:space="0" w:color="auto"/>
              <w:bottom w:val="single" w:sz="24" w:space="0" w:color="auto"/>
            </w:tcBorders>
            <w:vAlign w:val="center"/>
          </w:tcPr>
          <w:p w14:paraId="221C0191" w14:textId="77777777" w:rsidR="001041FE" w:rsidRPr="00E3685C" w:rsidRDefault="001041FE" w:rsidP="00CF7199">
            <w:pPr>
              <w:tabs>
                <w:tab w:val="left" w:pos="1176"/>
                <w:tab w:val="left" w:pos="1656"/>
                <w:tab w:val="left" w:pos="5016"/>
                <w:tab w:val="left" w:pos="6696"/>
                <w:tab w:val="left" w:pos="8256"/>
              </w:tabs>
              <w:jc w:val="center"/>
              <w:rPr>
                <w:b/>
                <w:bCs/>
              </w:rPr>
            </w:pPr>
            <w:r>
              <w:rPr>
                <w:b/>
                <w:bCs/>
              </w:rPr>
              <w:t>PSU</w:t>
            </w:r>
          </w:p>
          <w:p w14:paraId="2774DF62" w14:textId="77777777" w:rsidR="001041FE" w:rsidRDefault="001041FE" w:rsidP="00CF7199">
            <w:pPr>
              <w:tabs>
                <w:tab w:val="left" w:pos="1176"/>
                <w:tab w:val="left" w:pos="1656"/>
                <w:tab w:val="left" w:pos="5016"/>
                <w:tab w:val="left" w:pos="6696"/>
                <w:tab w:val="left" w:pos="8256"/>
              </w:tabs>
              <w:jc w:val="center"/>
              <w:rPr>
                <w:b/>
                <w:bCs/>
              </w:rPr>
            </w:pPr>
            <w:r w:rsidRPr="00E3685C">
              <w:rPr>
                <w:b/>
                <w:bCs/>
              </w:rPr>
              <w:t>“size class”</w:t>
            </w:r>
          </w:p>
        </w:tc>
        <w:tc>
          <w:tcPr>
            <w:tcW w:w="1070" w:type="dxa"/>
            <w:tcBorders>
              <w:top w:val="double" w:sz="4" w:space="0" w:color="auto"/>
              <w:bottom w:val="single" w:sz="24" w:space="0" w:color="auto"/>
            </w:tcBorders>
            <w:vAlign w:val="center"/>
          </w:tcPr>
          <w:p w14:paraId="49AA85EC" w14:textId="77777777" w:rsidR="001041FE" w:rsidRPr="00E3685C" w:rsidRDefault="001041FE" w:rsidP="00CF7199">
            <w:pPr>
              <w:tabs>
                <w:tab w:val="left" w:pos="1176"/>
                <w:tab w:val="left" w:pos="1656"/>
                <w:tab w:val="left" w:pos="5016"/>
                <w:tab w:val="left" w:pos="6696"/>
                <w:tab w:val="left" w:pos="8256"/>
              </w:tabs>
              <w:jc w:val="center"/>
              <w:rPr>
                <w:b/>
                <w:bCs/>
              </w:rPr>
            </w:pPr>
            <w:r w:rsidRPr="00E3685C">
              <w:rPr>
                <w:b/>
                <w:bCs/>
              </w:rPr>
              <w:t>Number</w:t>
            </w:r>
          </w:p>
          <w:p w14:paraId="2DE087FA" w14:textId="77777777" w:rsidR="001041FE" w:rsidRDefault="001041FE" w:rsidP="00CF7199">
            <w:pPr>
              <w:tabs>
                <w:tab w:val="left" w:pos="1176"/>
                <w:tab w:val="left" w:pos="1656"/>
                <w:tab w:val="left" w:pos="5016"/>
                <w:tab w:val="left" w:pos="6696"/>
                <w:tab w:val="left" w:pos="8256"/>
              </w:tabs>
              <w:jc w:val="center"/>
              <w:rPr>
                <w:b/>
                <w:bCs/>
              </w:rPr>
            </w:pPr>
            <w:r w:rsidRPr="00E3685C">
              <w:rPr>
                <w:b/>
                <w:bCs/>
              </w:rPr>
              <w:t>of PSUs</w:t>
            </w:r>
          </w:p>
        </w:tc>
        <w:tc>
          <w:tcPr>
            <w:tcW w:w="7347" w:type="dxa"/>
            <w:tcBorders>
              <w:top w:val="double" w:sz="4" w:space="0" w:color="auto"/>
              <w:bottom w:val="single" w:sz="24" w:space="0" w:color="auto"/>
            </w:tcBorders>
            <w:vAlign w:val="center"/>
          </w:tcPr>
          <w:p w14:paraId="19CD421D" w14:textId="77777777" w:rsidR="001041FE" w:rsidRDefault="001041FE" w:rsidP="00CF7199">
            <w:pPr>
              <w:tabs>
                <w:tab w:val="left" w:pos="1176"/>
                <w:tab w:val="left" w:pos="1656"/>
                <w:tab w:val="left" w:pos="5016"/>
                <w:tab w:val="left" w:pos="6696"/>
                <w:tab w:val="left" w:pos="8256"/>
              </w:tabs>
              <w:jc w:val="center"/>
              <w:rPr>
                <w:b/>
                <w:bCs/>
              </w:rPr>
            </w:pPr>
            <w:r w:rsidRPr="00E3685C">
              <w:rPr>
                <w:b/>
                <w:bCs/>
              </w:rPr>
              <w:t>Description</w:t>
            </w:r>
          </w:p>
        </w:tc>
      </w:tr>
      <w:tr w:rsidR="001041FE" w14:paraId="5570D8D4" w14:textId="77777777" w:rsidTr="00714619">
        <w:trPr>
          <w:jc w:val="center"/>
        </w:trPr>
        <w:tc>
          <w:tcPr>
            <w:tcW w:w="958" w:type="dxa"/>
            <w:tcBorders>
              <w:top w:val="single" w:sz="24" w:space="0" w:color="auto"/>
            </w:tcBorders>
            <w:vAlign w:val="center"/>
          </w:tcPr>
          <w:p w14:paraId="01093CDA" w14:textId="77777777" w:rsidR="001041FE" w:rsidRDefault="00836526">
            <w:pPr>
              <w:tabs>
                <w:tab w:val="left" w:pos="1176"/>
                <w:tab w:val="left" w:pos="1656"/>
                <w:tab w:val="left" w:pos="5016"/>
                <w:tab w:val="left" w:pos="6696"/>
                <w:tab w:val="left" w:pos="8256"/>
              </w:tabs>
              <w:jc w:val="center"/>
            </w:pPr>
            <w:r>
              <w:t>S</w:t>
            </w:r>
          </w:p>
        </w:tc>
        <w:tc>
          <w:tcPr>
            <w:tcW w:w="1070" w:type="dxa"/>
            <w:tcBorders>
              <w:top w:val="single" w:sz="24" w:space="0" w:color="auto"/>
            </w:tcBorders>
            <w:vAlign w:val="center"/>
          </w:tcPr>
          <w:p w14:paraId="5A7038C2" w14:textId="77777777" w:rsidR="001041FE" w:rsidRDefault="001041FE">
            <w:pPr>
              <w:tabs>
                <w:tab w:val="left" w:pos="1176"/>
                <w:tab w:val="left" w:pos="1656"/>
                <w:tab w:val="left" w:pos="5016"/>
                <w:tab w:val="left" w:pos="6696"/>
                <w:tab w:val="left" w:pos="8256"/>
              </w:tabs>
              <w:jc w:val="center"/>
            </w:pPr>
            <w:r w:rsidRPr="00E3685C">
              <w:t>2</w:t>
            </w:r>
            <w:r w:rsidR="00836526">
              <w:t>3</w:t>
            </w:r>
          </w:p>
        </w:tc>
        <w:tc>
          <w:tcPr>
            <w:tcW w:w="7347" w:type="dxa"/>
            <w:tcBorders>
              <w:top w:val="single" w:sz="24" w:space="0" w:color="auto"/>
            </w:tcBorders>
            <w:vAlign w:val="center"/>
          </w:tcPr>
          <w:p w14:paraId="1E3E41D9" w14:textId="41BEB32B" w:rsidR="001041FE" w:rsidRDefault="001041FE" w:rsidP="00D52564">
            <w:pPr>
              <w:tabs>
                <w:tab w:val="left" w:pos="1176"/>
                <w:tab w:val="left" w:pos="1656"/>
                <w:tab w:val="left" w:pos="5016"/>
                <w:tab w:val="left" w:pos="6696"/>
                <w:tab w:val="left" w:pos="8256"/>
              </w:tabs>
            </w:pPr>
            <w:r w:rsidRPr="00E3685C">
              <w:t>Large Metropolitan C</w:t>
            </w:r>
            <w:r w:rsidR="00714619">
              <w:t xml:space="preserve">ore </w:t>
            </w:r>
            <w:r w:rsidRPr="00E3685C">
              <w:t>B</w:t>
            </w:r>
            <w:r w:rsidR="00714619">
              <w:t xml:space="preserve">ased </w:t>
            </w:r>
            <w:r w:rsidRPr="00E3685C">
              <w:t>S</w:t>
            </w:r>
            <w:r w:rsidR="00714619">
              <w:t xml:space="preserve">tatistical </w:t>
            </w:r>
            <w:r w:rsidRPr="00E3685C">
              <w:t>A</w:t>
            </w:r>
            <w:r w:rsidR="00714619">
              <w:t>rea</w:t>
            </w:r>
            <w:r w:rsidRPr="00E3685C">
              <w:t>s (self-representing PSUs)</w:t>
            </w:r>
          </w:p>
        </w:tc>
      </w:tr>
      <w:tr w:rsidR="001041FE" w14:paraId="382CC78A" w14:textId="77777777" w:rsidTr="00714619">
        <w:trPr>
          <w:jc w:val="center"/>
        </w:trPr>
        <w:tc>
          <w:tcPr>
            <w:tcW w:w="958" w:type="dxa"/>
            <w:vAlign w:val="center"/>
          </w:tcPr>
          <w:p w14:paraId="653B234A" w14:textId="77777777" w:rsidR="001041FE" w:rsidRDefault="00836526">
            <w:pPr>
              <w:tabs>
                <w:tab w:val="left" w:pos="1176"/>
                <w:tab w:val="left" w:pos="1656"/>
                <w:tab w:val="left" w:pos="5016"/>
                <w:tab w:val="left" w:pos="6696"/>
                <w:tab w:val="left" w:pos="8256"/>
              </w:tabs>
              <w:jc w:val="center"/>
            </w:pPr>
            <w:r>
              <w:t>N</w:t>
            </w:r>
          </w:p>
        </w:tc>
        <w:tc>
          <w:tcPr>
            <w:tcW w:w="1070" w:type="dxa"/>
            <w:vAlign w:val="center"/>
          </w:tcPr>
          <w:p w14:paraId="28C5CBC4" w14:textId="77777777" w:rsidR="001041FE" w:rsidRDefault="00836526">
            <w:pPr>
              <w:tabs>
                <w:tab w:val="left" w:pos="1176"/>
                <w:tab w:val="left" w:pos="1656"/>
                <w:tab w:val="left" w:pos="5016"/>
                <w:tab w:val="left" w:pos="6696"/>
                <w:tab w:val="left" w:pos="8256"/>
              </w:tabs>
              <w:jc w:val="center"/>
            </w:pPr>
            <w:r>
              <w:t>52</w:t>
            </w:r>
          </w:p>
        </w:tc>
        <w:tc>
          <w:tcPr>
            <w:tcW w:w="7347" w:type="dxa"/>
            <w:vAlign w:val="center"/>
          </w:tcPr>
          <w:p w14:paraId="4726D7AC" w14:textId="56D5596D" w:rsidR="001041FE" w:rsidRDefault="001041FE" w:rsidP="00D52564">
            <w:pPr>
              <w:tabs>
                <w:tab w:val="left" w:pos="1176"/>
                <w:tab w:val="left" w:pos="1656"/>
                <w:tab w:val="left" w:pos="5016"/>
                <w:tab w:val="left" w:pos="6696"/>
                <w:tab w:val="left" w:pos="8256"/>
              </w:tabs>
            </w:pPr>
            <w:r w:rsidRPr="00E3685C">
              <w:t xml:space="preserve">Small Metropolitan </w:t>
            </w:r>
            <w:r w:rsidR="00714619" w:rsidRPr="00E3685C">
              <w:t>C</w:t>
            </w:r>
            <w:r w:rsidR="00714619">
              <w:t xml:space="preserve">ore </w:t>
            </w:r>
            <w:r w:rsidR="00714619" w:rsidRPr="00E3685C">
              <w:t>B</w:t>
            </w:r>
            <w:r w:rsidR="00714619">
              <w:t xml:space="preserve">ased </w:t>
            </w:r>
            <w:r w:rsidR="00714619" w:rsidRPr="00E3685C">
              <w:t>S</w:t>
            </w:r>
            <w:r w:rsidR="00714619">
              <w:t xml:space="preserve">tatistical </w:t>
            </w:r>
            <w:r w:rsidR="00714619" w:rsidRPr="00E3685C">
              <w:t>A</w:t>
            </w:r>
            <w:r w:rsidR="00714619">
              <w:t>rea</w:t>
            </w:r>
            <w:r w:rsidR="00714619" w:rsidRPr="00E3685C">
              <w:t>s</w:t>
            </w:r>
            <w:r w:rsidRPr="00E3685C">
              <w:t xml:space="preserve"> </w:t>
            </w:r>
            <w:r w:rsidR="00836526">
              <w:t xml:space="preserve">and Micropolitan </w:t>
            </w:r>
            <w:r w:rsidR="00714619" w:rsidRPr="00E3685C">
              <w:t>C</w:t>
            </w:r>
            <w:r w:rsidR="00714619">
              <w:t xml:space="preserve">ore </w:t>
            </w:r>
            <w:r w:rsidR="00714619" w:rsidRPr="00E3685C">
              <w:t>B</w:t>
            </w:r>
            <w:r w:rsidR="00714619">
              <w:t xml:space="preserve">ased </w:t>
            </w:r>
            <w:r w:rsidR="00714619" w:rsidRPr="00E3685C">
              <w:t>S</w:t>
            </w:r>
            <w:r w:rsidR="00714619">
              <w:t xml:space="preserve">tatistical </w:t>
            </w:r>
            <w:r w:rsidR="00714619" w:rsidRPr="00E3685C">
              <w:t>A</w:t>
            </w:r>
            <w:r w:rsidR="00714619">
              <w:t>rea</w:t>
            </w:r>
            <w:r w:rsidR="00714619" w:rsidRPr="00E3685C">
              <w:t>s</w:t>
            </w:r>
            <w:r w:rsidR="00714619">
              <w:t xml:space="preserve"> </w:t>
            </w:r>
            <w:r w:rsidRPr="00E3685C">
              <w:t>(non-self-representing PSUs)</w:t>
            </w:r>
          </w:p>
        </w:tc>
      </w:tr>
      <w:tr w:rsidR="001041FE" w14:paraId="1080C39C" w14:textId="77777777" w:rsidTr="00714619">
        <w:trPr>
          <w:jc w:val="center"/>
        </w:trPr>
        <w:tc>
          <w:tcPr>
            <w:tcW w:w="958" w:type="dxa"/>
            <w:vAlign w:val="center"/>
          </w:tcPr>
          <w:p w14:paraId="28EFBBBF" w14:textId="77777777" w:rsidR="001041FE" w:rsidRDefault="00836526">
            <w:pPr>
              <w:tabs>
                <w:tab w:val="left" w:pos="1176"/>
                <w:tab w:val="left" w:pos="1656"/>
                <w:tab w:val="left" w:pos="5016"/>
                <w:tab w:val="left" w:pos="6696"/>
                <w:tab w:val="left" w:pos="8256"/>
              </w:tabs>
              <w:jc w:val="center"/>
            </w:pPr>
            <w:r>
              <w:t>R</w:t>
            </w:r>
          </w:p>
        </w:tc>
        <w:tc>
          <w:tcPr>
            <w:tcW w:w="1070" w:type="dxa"/>
            <w:vAlign w:val="center"/>
          </w:tcPr>
          <w:p w14:paraId="10025439" w14:textId="77777777" w:rsidR="001041FE" w:rsidRDefault="001041FE" w:rsidP="00CF7199">
            <w:pPr>
              <w:tabs>
                <w:tab w:val="left" w:pos="1176"/>
                <w:tab w:val="left" w:pos="1656"/>
                <w:tab w:val="left" w:pos="5016"/>
                <w:tab w:val="left" w:pos="6696"/>
                <w:tab w:val="left" w:pos="8256"/>
              </w:tabs>
              <w:jc w:val="center"/>
            </w:pPr>
            <w:r w:rsidRPr="00E3685C">
              <w:t>16</w:t>
            </w:r>
          </w:p>
        </w:tc>
        <w:tc>
          <w:tcPr>
            <w:tcW w:w="7347" w:type="dxa"/>
            <w:vAlign w:val="center"/>
          </w:tcPr>
          <w:p w14:paraId="4465CD46" w14:textId="2B04D663" w:rsidR="001041FE" w:rsidRDefault="001041FE" w:rsidP="003B0D9A">
            <w:pPr>
              <w:tabs>
                <w:tab w:val="left" w:pos="1176"/>
                <w:tab w:val="left" w:pos="1656"/>
                <w:tab w:val="left" w:pos="5016"/>
                <w:tab w:val="left" w:pos="6696"/>
                <w:tab w:val="left" w:pos="8256"/>
              </w:tabs>
            </w:pPr>
            <w:r w:rsidRPr="00E3685C">
              <w:t>Non-</w:t>
            </w:r>
            <w:r w:rsidR="00714619" w:rsidRPr="00E3685C">
              <w:t>C</w:t>
            </w:r>
            <w:r w:rsidR="00714619">
              <w:t xml:space="preserve">ore </w:t>
            </w:r>
            <w:r w:rsidR="00714619" w:rsidRPr="00E3685C">
              <w:t>B</w:t>
            </w:r>
            <w:r w:rsidR="00714619">
              <w:t xml:space="preserve">ased </w:t>
            </w:r>
            <w:r w:rsidR="00714619" w:rsidRPr="00E3685C">
              <w:t>S</w:t>
            </w:r>
            <w:r w:rsidR="00714619">
              <w:t xml:space="preserve">tatistical </w:t>
            </w:r>
            <w:r w:rsidRPr="00E3685C">
              <w:t>Areas (non-self-representing PSUs)</w:t>
            </w:r>
          </w:p>
        </w:tc>
      </w:tr>
    </w:tbl>
    <w:p w14:paraId="36DCEE98" w14:textId="77777777" w:rsidR="001041FE" w:rsidRDefault="001041FE" w:rsidP="001041FE">
      <w:pPr>
        <w:tabs>
          <w:tab w:val="left" w:pos="1176"/>
          <w:tab w:val="left" w:pos="1656"/>
          <w:tab w:val="left" w:pos="5016"/>
          <w:tab w:val="left" w:pos="6696"/>
          <w:tab w:val="left" w:pos="8256"/>
        </w:tabs>
        <w:ind w:left="360"/>
      </w:pPr>
    </w:p>
    <w:p w14:paraId="7D9E1C3E" w14:textId="77777777" w:rsidR="00505B67" w:rsidRDefault="00505B67" w:rsidP="00FE7652">
      <w:pPr>
        <w:tabs>
          <w:tab w:val="left" w:pos="1176"/>
          <w:tab w:val="left" w:pos="1656"/>
          <w:tab w:val="left" w:pos="5016"/>
          <w:tab w:val="left" w:pos="6696"/>
          <w:tab w:val="left" w:pos="8256"/>
        </w:tabs>
        <w:ind w:left="475"/>
      </w:pPr>
    </w:p>
    <w:p w14:paraId="7480EBAB" w14:textId="21E026BB" w:rsidR="00FE7652" w:rsidRDefault="001041FE" w:rsidP="00FE7652">
      <w:pPr>
        <w:tabs>
          <w:tab w:val="left" w:pos="1176"/>
          <w:tab w:val="left" w:pos="1656"/>
          <w:tab w:val="left" w:pos="5016"/>
          <w:tab w:val="left" w:pos="6696"/>
          <w:tab w:val="left" w:pos="8256"/>
        </w:tabs>
        <w:ind w:left="475"/>
      </w:pPr>
      <w:r w:rsidRPr="00E3685C">
        <w:t>The BLS selected these PSUs from a stratified sampl</w:t>
      </w:r>
      <w:r w:rsidR="00E66B8F">
        <w:t>ing</w:t>
      </w:r>
      <w:r w:rsidRPr="00E3685C">
        <w:t xml:space="preserve"> design in which the non-self-representing PSUs (the </w:t>
      </w:r>
      <w:r w:rsidR="00836526">
        <w:t>N</w:t>
      </w:r>
      <w:r w:rsidRPr="00E3685C">
        <w:t xml:space="preserve"> and </w:t>
      </w:r>
      <w:r w:rsidR="00836526">
        <w:t>R</w:t>
      </w:r>
      <w:r w:rsidRPr="00E3685C">
        <w:t xml:space="preserve"> PSUs) </w:t>
      </w:r>
      <w:r w:rsidR="009E6ACE">
        <w:t xml:space="preserve">were stratified </w:t>
      </w:r>
      <w:r w:rsidRPr="00E3685C">
        <w:t>us</w:t>
      </w:r>
      <w:r w:rsidR="009E6ACE">
        <w:t>ing</w:t>
      </w:r>
      <w:r w:rsidRPr="00E3685C">
        <w:t xml:space="preserve"> a </w:t>
      </w:r>
      <w:r w:rsidR="005D7247">
        <w:t>4</w:t>
      </w:r>
      <w:r w:rsidRPr="00E3685C">
        <w:t xml:space="preserve">-variable model whose independent variables were latitude, longitude, </w:t>
      </w:r>
      <w:r w:rsidR="005D7247">
        <w:t xml:space="preserve">median household </w:t>
      </w:r>
      <w:r w:rsidR="00836526">
        <w:t xml:space="preserve">income, and </w:t>
      </w:r>
      <w:r w:rsidR="005D7247">
        <w:t>median household property value</w:t>
      </w:r>
      <w:r w:rsidRPr="00E3685C">
        <w:t>.</w:t>
      </w:r>
      <w:r w:rsidR="00DD0AC6">
        <w:t xml:space="preserve"> </w:t>
      </w:r>
      <w:r w:rsidR="009E6ACE">
        <w:t xml:space="preserve">Then one PSU was </w:t>
      </w:r>
      <w:r w:rsidR="009E7C63">
        <w:t xml:space="preserve">randomly </w:t>
      </w:r>
      <w:r w:rsidR="009E6ACE">
        <w:t>selected from each stratum</w:t>
      </w:r>
      <w:r w:rsidR="00A46014">
        <w:t xml:space="preserve"> with its probability </w:t>
      </w:r>
      <w:r w:rsidR="009E7C63">
        <w:t xml:space="preserve">of selection </w:t>
      </w:r>
      <w:r w:rsidR="00A46014">
        <w:t>being proportional to its population</w:t>
      </w:r>
      <w:r w:rsidR="009E6ACE">
        <w:t xml:space="preserve">. </w:t>
      </w:r>
      <w:r w:rsidR="00DD0AC6">
        <w:t>For more information on the stratification</w:t>
      </w:r>
      <w:r w:rsidR="00E513ED">
        <w:t xml:space="preserve">, please see the </w:t>
      </w:r>
      <w:r w:rsidR="00CE58A1">
        <w:t xml:space="preserve">paper </w:t>
      </w:r>
      <w:r w:rsidR="007B2F0F">
        <w:t>from Susan King on</w:t>
      </w:r>
      <w:r w:rsidR="007B2F0F" w:rsidRPr="00E3685C">
        <w:t xml:space="preserve"> </w:t>
      </w:r>
      <w:r w:rsidR="00A46014">
        <w:t>“</w:t>
      </w:r>
      <w:r w:rsidR="007B2F0F" w:rsidRPr="00E3685C">
        <w:t>Selecting a</w:t>
      </w:r>
      <w:r w:rsidR="007B2F0F">
        <w:t xml:space="preserve"> Sample </w:t>
      </w:r>
      <w:r w:rsidR="007B2F0F" w:rsidRPr="00E3685C">
        <w:t>of Households</w:t>
      </w:r>
      <w:r w:rsidR="007B2F0F">
        <w:t xml:space="preserve"> for the Consumer Expenditure Survey</w:t>
      </w:r>
      <w:r w:rsidR="00A46014">
        <w:t>”</w:t>
      </w:r>
      <w:r w:rsidR="007B2F0F">
        <w:t xml:space="preserve"> </w:t>
      </w:r>
      <w:r w:rsidR="00E513ED">
        <w:t>(Attachment P).</w:t>
      </w:r>
      <w:r w:rsidR="00FE7652" w:rsidRPr="00FE7652">
        <w:t xml:space="preserve"> </w:t>
      </w:r>
      <w:r w:rsidR="00FE7652">
        <w:t xml:space="preserve"> Also, for an overview of the CE sample design and the CU selection process, please refer to the memorandum</w:t>
      </w:r>
      <w:r w:rsidR="00FE7652" w:rsidRPr="00293BD0">
        <w:t xml:space="preserve"> </w:t>
      </w:r>
      <w:r w:rsidR="00FE7652">
        <w:t>from Jay Ryan on “</w:t>
      </w:r>
      <w:r w:rsidR="00FE7652" w:rsidRPr="00293BD0">
        <w:t>PSUs for the Consumer Expenditure Survey’s 2010 Census-Based Sample Design</w:t>
      </w:r>
      <w:r w:rsidR="00FE7652">
        <w:t>”</w:t>
      </w:r>
      <w:r w:rsidR="00FE7652" w:rsidRPr="00293BD0" w:rsidDel="00293BD0">
        <w:t xml:space="preserve"> </w:t>
      </w:r>
      <w:r w:rsidR="00FE7652">
        <w:t>(Attachment T).</w:t>
      </w:r>
    </w:p>
    <w:p w14:paraId="10DDFCC7" w14:textId="77777777" w:rsidR="00FE7652" w:rsidRDefault="00FE7652" w:rsidP="00FE7652">
      <w:pPr>
        <w:tabs>
          <w:tab w:val="left" w:pos="1176"/>
          <w:tab w:val="left" w:pos="1656"/>
          <w:tab w:val="left" w:pos="5016"/>
          <w:tab w:val="left" w:pos="6696"/>
          <w:tab w:val="left" w:pos="8256"/>
        </w:tabs>
        <w:ind w:left="480"/>
      </w:pPr>
    </w:p>
    <w:p w14:paraId="303BECAC" w14:textId="77777777" w:rsidR="001041FE" w:rsidRDefault="001041FE" w:rsidP="001041FE">
      <w:pPr>
        <w:tabs>
          <w:tab w:val="left" w:pos="1176"/>
          <w:tab w:val="left" w:pos="1656"/>
          <w:tab w:val="left" w:pos="5016"/>
          <w:tab w:val="left" w:pos="6696"/>
          <w:tab w:val="left" w:pos="8256"/>
        </w:tabs>
        <w:ind w:left="432"/>
        <w:rPr>
          <w:u w:val="single"/>
        </w:rPr>
      </w:pPr>
      <w:r>
        <w:rPr>
          <w:u w:val="single"/>
        </w:rPr>
        <w:t>Sampling Within PSUs</w:t>
      </w:r>
    </w:p>
    <w:p w14:paraId="1461EC19" w14:textId="53EA6549" w:rsidR="00A44652" w:rsidRDefault="001D7D83" w:rsidP="007F76D2">
      <w:pPr>
        <w:ind w:left="432"/>
      </w:pPr>
      <w:r>
        <w:t xml:space="preserve">CE </w:t>
      </w:r>
      <w:r w:rsidR="00321C7C">
        <w:t>selects its sample</w:t>
      </w:r>
      <w:r>
        <w:t xml:space="preserve"> </w:t>
      </w:r>
      <w:r w:rsidR="00A44652">
        <w:t xml:space="preserve">of households </w:t>
      </w:r>
      <w:r>
        <w:t xml:space="preserve">from the U.S. civilian non-institutional population, which includes people living in houses, condominiums, apartments, and </w:t>
      </w:r>
      <w:r w:rsidR="00875A4E">
        <w:t xml:space="preserve">people living in </w:t>
      </w:r>
      <w:r>
        <w:t>group quarters such as college dormitories</w:t>
      </w:r>
      <w:r w:rsidR="00875A4E">
        <w:t xml:space="preserve"> or boarding houses.</w:t>
      </w:r>
      <w:r>
        <w:t xml:space="preserve">  </w:t>
      </w:r>
      <w:r w:rsidR="00B07CD0">
        <w:t xml:space="preserve">However, </w:t>
      </w:r>
      <w:r w:rsidR="00842CA6">
        <w:t>it</w:t>
      </w:r>
      <w:r w:rsidR="00B07CD0">
        <w:t xml:space="preserve"> excludes </w:t>
      </w:r>
      <w:r w:rsidR="00A44652">
        <w:t xml:space="preserve">both the non-civilian and institutional portions of the population, such as </w:t>
      </w:r>
      <w:r w:rsidR="00B07CD0">
        <w:t>military personnel living on base, nursing home residents, and prison inmates.</w:t>
      </w:r>
    </w:p>
    <w:p w14:paraId="4159B34B" w14:textId="77777777" w:rsidR="00A44652" w:rsidRDefault="00A44652" w:rsidP="007F76D2">
      <w:pPr>
        <w:ind w:left="432"/>
      </w:pPr>
    </w:p>
    <w:p w14:paraId="3C31D031" w14:textId="7F7FFF15" w:rsidR="00AD14B0" w:rsidRDefault="00AD14B0" w:rsidP="007F76D2">
      <w:pPr>
        <w:ind w:left="432"/>
      </w:pPr>
      <w:r>
        <w:t xml:space="preserve">Addresses for the CEQ and CED are selected from </w:t>
      </w:r>
      <w:r w:rsidR="00891924">
        <w:t>two sampling frames maintained by the Census Bureau:</w:t>
      </w:r>
      <w:r w:rsidR="00891924" w:rsidDel="00AD14B0">
        <w:t xml:space="preserve"> </w:t>
      </w:r>
      <w:r w:rsidR="001D7D83">
        <w:t xml:space="preserve"> </w:t>
      </w:r>
      <w:r>
        <w:t xml:space="preserve">the Unit and Group Quarters </w:t>
      </w:r>
      <w:r w:rsidR="00891924">
        <w:t>(GQ) frame.</w:t>
      </w:r>
      <w:r w:rsidR="001041FE" w:rsidRPr="00E3685C">
        <w:t xml:space="preserve">  </w:t>
      </w:r>
      <w:r w:rsidR="00AA6936">
        <w:t xml:space="preserve">Both frames are </w:t>
      </w:r>
      <w:r w:rsidR="00AA6936">
        <w:lastRenderedPageBreak/>
        <w:t>derived from</w:t>
      </w:r>
      <w:r>
        <w:t xml:space="preserve"> </w:t>
      </w:r>
      <w:r w:rsidR="0062127E">
        <w:t>the M</w:t>
      </w:r>
      <w:r w:rsidR="001D7D83">
        <w:t xml:space="preserve">aster Address File (MAF), which is </w:t>
      </w:r>
      <w:r w:rsidR="00321C7C">
        <w:t xml:space="preserve">basically </w:t>
      </w:r>
      <w:r w:rsidR="001D7D83">
        <w:t xml:space="preserve">a list of all residential addresses identified in the 2010 census and is updated twice per year with information from the U.S. Postal Service. </w:t>
      </w:r>
      <w:r w:rsidR="003520A2">
        <w:t xml:space="preserve"> </w:t>
      </w:r>
      <w:r w:rsidR="001D7D83">
        <w:t xml:space="preserve">The Unit frame is the larger </w:t>
      </w:r>
      <w:r w:rsidR="00321C7C">
        <w:t>of the two frames</w:t>
      </w:r>
      <w:r w:rsidR="001D7D83">
        <w:t xml:space="preserve"> and it contains both existing housing units and new housing units.  It has approximately 99% of the MAF’s civilian non-institutional addresses and is updated twice per year.  The GQ frame is also </w:t>
      </w:r>
      <w:r w:rsidR="00321C7C">
        <w:t>deriv</w:t>
      </w:r>
      <w:r w:rsidR="001D7D83">
        <w:t xml:space="preserve">ed </w:t>
      </w:r>
      <w:r w:rsidR="00321C7C">
        <w:t xml:space="preserve">from the MAF but it is much smaller; it has the remaining 1% of the </w:t>
      </w:r>
      <w:r w:rsidR="009E7C63">
        <w:t>civilian non</w:t>
      </w:r>
      <w:r w:rsidR="00901571">
        <w:t xml:space="preserve">-institutional </w:t>
      </w:r>
      <w:r w:rsidR="00321C7C">
        <w:t>addresses and is updated every three years.</w:t>
      </w:r>
    </w:p>
    <w:p w14:paraId="1A5FDE5C" w14:textId="77777777" w:rsidR="001041FE" w:rsidRDefault="001041FE" w:rsidP="001041FE">
      <w:pPr>
        <w:ind w:left="432"/>
      </w:pPr>
    </w:p>
    <w:p w14:paraId="5BEF8374" w14:textId="77777777" w:rsidR="00EC671D" w:rsidRDefault="00291898" w:rsidP="001041FE">
      <w:pPr>
        <w:pStyle w:val="Pa5"/>
        <w:spacing w:line="240" w:lineRule="auto"/>
        <w:ind w:left="432"/>
        <w:rPr>
          <w:color w:val="000000"/>
        </w:rPr>
      </w:pPr>
      <w:r>
        <w:rPr>
          <w:color w:val="000000"/>
        </w:rPr>
        <w:t>A</w:t>
      </w:r>
      <w:r w:rsidR="001041FE" w:rsidRPr="00E3685C">
        <w:rPr>
          <w:color w:val="000000"/>
        </w:rPr>
        <w:t xml:space="preserve"> “systematic sample” of households is selected from </w:t>
      </w:r>
      <w:r w:rsidR="004336EC">
        <w:rPr>
          <w:color w:val="000000"/>
        </w:rPr>
        <w:t xml:space="preserve">the two frames in </w:t>
      </w:r>
      <w:r>
        <w:rPr>
          <w:color w:val="000000"/>
        </w:rPr>
        <w:t>each PSU</w:t>
      </w:r>
      <w:r w:rsidR="001041FE" w:rsidRPr="00E3685C">
        <w:rPr>
          <w:color w:val="000000"/>
        </w:rPr>
        <w:t xml:space="preserve">.  </w:t>
      </w:r>
      <w:r w:rsidR="001041FE">
        <w:rPr>
          <w:color w:val="000000"/>
        </w:rPr>
        <w:t>The first step in the selection process is sorting the households by variables that are correlated with their expenditures.  The purpose of th</w:t>
      </w:r>
      <w:r w:rsidR="004336EC">
        <w:rPr>
          <w:color w:val="000000"/>
        </w:rPr>
        <w:t>e</w:t>
      </w:r>
      <w:r w:rsidR="001041FE">
        <w:rPr>
          <w:color w:val="000000"/>
        </w:rPr>
        <w:t xml:space="preserve"> </w:t>
      </w:r>
      <w:r w:rsidR="004336EC">
        <w:rPr>
          <w:color w:val="000000"/>
        </w:rPr>
        <w:t xml:space="preserve">sort </w:t>
      </w:r>
      <w:r w:rsidR="001041FE">
        <w:rPr>
          <w:color w:val="000000"/>
        </w:rPr>
        <w:t>is to ensure that households of every wealth level are well-represented in the sample.</w:t>
      </w:r>
      <w:r w:rsidR="001041FE" w:rsidRPr="00E3685C">
        <w:rPr>
          <w:color w:val="000000"/>
        </w:rPr>
        <w:t xml:space="preserve">  </w:t>
      </w:r>
      <w:r w:rsidR="001041FE">
        <w:rPr>
          <w:color w:val="000000"/>
        </w:rPr>
        <w:t xml:space="preserve">The first household in </w:t>
      </w:r>
      <w:r w:rsidR="001041FE">
        <w:t>the</w:t>
      </w:r>
      <w:r w:rsidR="001041FE" w:rsidRPr="00E3685C">
        <w:t xml:space="preserve"> systematic sample is </w:t>
      </w:r>
      <w:r w:rsidR="001041FE">
        <w:t>selected</w:t>
      </w:r>
      <w:r w:rsidR="001041FE" w:rsidRPr="00E3685C">
        <w:t xml:space="preserve"> </w:t>
      </w:r>
      <w:r w:rsidR="001041FE">
        <w:t xml:space="preserve">from the sorted list </w:t>
      </w:r>
      <w:r w:rsidR="001041FE" w:rsidRPr="00E3685C">
        <w:t>using a random number</w:t>
      </w:r>
      <w:r w:rsidR="001041FE">
        <w:t xml:space="preserve"> generator</w:t>
      </w:r>
      <w:r w:rsidR="001041FE" w:rsidRPr="00E3685C">
        <w:t xml:space="preserve">.  </w:t>
      </w:r>
      <w:r w:rsidR="00E12632">
        <w:t>Then a</w:t>
      </w:r>
      <w:r w:rsidR="001041FE" w:rsidRPr="00E3685C">
        <w:t xml:space="preserve">fter the initial household is selected </w:t>
      </w:r>
      <w:r w:rsidR="00BA6B68">
        <w:t>every k-th household down the list is selected</w:t>
      </w:r>
      <w:r w:rsidR="001041FE" w:rsidRPr="00E3685C">
        <w:t xml:space="preserve"> where “k” is the PSU</w:t>
      </w:r>
      <w:r w:rsidR="001041FE">
        <w:t>’s</w:t>
      </w:r>
      <w:r w:rsidR="001041FE" w:rsidRPr="00E3685C">
        <w:t xml:space="preserve"> sampling interval.</w:t>
      </w:r>
      <w:r w:rsidR="00EB002A">
        <w:t xml:space="preserve">  </w:t>
      </w:r>
      <w:r w:rsidR="00EB002A">
        <w:rPr>
          <w:color w:val="000000"/>
        </w:rPr>
        <w:t>The Unit and GQ frame have</w:t>
      </w:r>
      <w:r w:rsidR="00EB002A" w:rsidRPr="00E3685C">
        <w:rPr>
          <w:color w:val="000000"/>
        </w:rPr>
        <w:t xml:space="preserve"> different sort</w:t>
      </w:r>
      <w:r w:rsidR="0021665C">
        <w:rPr>
          <w:color w:val="000000"/>
        </w:rPr>
        <w:t>ing</w:t>
      </w:r>
      <w:r w:rsidR="00EB002A" w:rsidRPr="00E3685C">
        <w:rPr>
          <w:color w:val="000000"/>
        </w:rPr>
        <w:t xml:space="preserve"> variables</w:t>
      </w:r>
      <w:r w:rsidR="00901571">
        <w:rPr>
          <w:color w:val="000000"/>
        </w:rPr>
        <w:t>, but they have the same sampling interval</w:t>
      </w:r>
      <w:r w:rsidR="00EB002A" w:rsidRPr="00E3685C">
        <w:rPr>
          <w:color w:val="000000"/>
        </w:rPr>
        <w:t>.</w:t>
      </w:r>
    </w:p>
    <w:p w14:paraId="04CE3047" w14:textId="5C58F658" w:rsidR="001041FE" w:rsidRDefault="001041FE" w:rsidP="001041FE">
      <w:pPr>
        <w:pStyle w:val="Pa5"/>
        <w:spacing w:line="240" w:lineRule="auto"/>
        <w:ind w:left="432"/>
      </w:pPr>
    </w:p>
    <w:p w14:paraId="6EC62831" w14:textId="11D89D61" w:rsidR="00EA770E" w:rsidRDefault="001041FE" w:rsidP="001041FE">
      <w:pPr>
        <w:pStyle w:val="Pa5"/>
        <w:spacing w:line="240" w:lineRule="auto"/>
        <w:ind w:left="432"/>
        <w:rPr>
          <w:color w:val="000000"/>
        </w:rPr>
      </w:pPr>
      <w:r w:rsidRPr="00E3685C">
        <w:rPr>
          <w:color w:val="000000"/>
        </w:rPr>
        <w:t>For the Unit frame</w:t>
      </w:r>
      <w:r>
        <w:rPr>
          <w:color w:val="000000"/>
        </w:rPr>
        <w:t>,</w:t>
      </w:r>
      <w:r w:rsidRPr="00E3685C">
        <w:rPr>
          <w:color w:val="000000"/>
        </w:rPr>
        <w:t xml:space="preserve"> </w:t>
      </w:r>
      <w:r w:rsidR="00EB002A">
        <w:rPr>
          <w:color w:val="000000"/>
        </w:rPr>
        <w:t xml:space="preserve">the sorting </w:t>
      </w:r>
      <w:r w:rsidR="004B74F3">
        <w:rPr>
          <w:color w:val="000000"/>
        </w:rPr>
        <w:t>or “</w:t>
      </w:r>
      <w:r w:rsidR="00EB002A">
        <w:rPr>
          <w:color w:val="000000"/>
        </w:rPr>
        <w:t>stratification</w:t>
      </w:r>
      <w:r w:rsidR="004B74F3">
        <w:rPr>
          <w:color w:val="000000"/>
        </w:rPr>
        <w:t>”</w:t>
      </w:r>
      <w:r w:rsidR="00EB002A">
        <w:rPr>
          <w:color w:val="000000"/>
        </w:rPr>
        <w:t xml:space="preserve"> variable </w:t>
      </w:r>
      <w:r w:rsidR="004B74F3">
        <w:rPr>
          <w:color w:val="000000"/>
        </w:rPr>
        <w:t xml:space="preserve">is </w:t>
      </w:r>
      <w:r w:rsidR="00EB002A">
        <w:rPr>
          <w:color w:val="000000"/>
        </w:rPr>
        <w:t>created from the number of occupants in each household, their housing tenure (owner/renter), and the market value of their homes (for owners) or the rental value of their apartment or home (for renters.)</w:t>
      </w:r>
      <w:r w:rsidR="004336EC">
        <w:rPr>
          <w:color w:val="000000"/>
        </w:rPr>
        <w:t xml:space="preserve"> </w:t>
      </w:r>
      <w:r w:rsidR="00EB002A">
        <w:rPr>
          <w:color w:val="000000"/>
        </w:rPr>
        <w:t xml:space="preserve"> </w:t>
      </w:r>
      <w:r w:rsidR="00EA770E">
        <w:rPr>
          <w:color w:val="000000"/>
        </w:rPr>
        <w:t xml:space="preserve">These variables are used because they are correlated with expenditures:  households with more people tend to be wealthier than those with fewer people; homeowners tend to be wealthier than renters; and people </w:t>
      </w:r>
      <w:r w:rsidR="004B74F3">
        <w:rPr>
          <w:color w:val="000000"/>
        </w:rPr>
        <w:t xml:space="preserve">living </w:t>
      </w:r>
      <w:r w:rsidR="00EA770E">
        <w:rPr>
          <w:color w:val="000000"/>
        </w:rPr>
        <w:t xml:space="preserve">in high-price housing units tend to be wealthier than those </w:t>
      </w:r>
      <w:r w:rsidR="00EC671D">
        <w:rPr>
          <w:color w:val="000000"/>
        </w:rPr>
        <w:t>in low-price housing units.</w:t>
      </w:r>
    </w:p>
    <w:p w14:paraId="3E1A5F0A" w14:textId="77777777" w:rsidR="004B74F3" w:rsidRPr="004B74F3" w:rsidRDefault="004B74F3" w:rsidP="004B74F3"/>
    <w:p w14:paraId="3660830F" w14:textId="77777777" w:rsidR="00EC671D" w:rsidRDefault="00A46FB0" w:rsidP="001041FE">
      <w:pPr>
        <w:pStyle w:val="Pa5"/>
        <w:spacing w:line="240" w:lineRule="auto"/>
        <w:ind w:left="432"/>
      </w:pPr>
      <w:r>
        <w:rPr>
          <w:color w:val="000000"/>
        </w:rPr>
        <w:t>In Table 1</w:t>
      </w:r>
      <w:r w:rsidR="00EA770E">
        <w:rPr>
          <w:color w:val="000000"/>
        </w:rPr>
        <w:t xml:space="preserve"> below</w:t>
      </w:r>
      <w:r>
        <w:rPr>
          <w:color w:val="000000"/>
        </w:rPr>
        <w:t xml:space="preserve">, all the renters are at one end of the stratification and all the owners are at the other end of the stratification.  The renters and owners are further subdivided into quartiles </w:t>
      </w:r>
      <w:r w:rsidR="008975E6">
        <w:rPr>
          <w:color w:val="000000"/>
        </w:rPr>
        <w:t>based on monthly rental and property values</w:t>
      </w:r>
      <w:r w:rsidR="00672009">
        <w:rPr>
          <w:color w:val="000000"/>
        </w:rPr>
        <w:t xml:space="preserve"> in order to ensure that households of every wealth level are well represented in the survey</w:t>
      </w:r>
      <w:r>
        <w:rPr>
          <w:color w:val="000000"/>
        </w:rPr>
        <w:t>.  Vacant housing units are put in the middle column for the number of household occupants because although they were vacant at the time of the decennial census, when CE’s field representatives visit them</w:t>
      </w:r>
      <w:r w:rsidR="00901571">
        <w:rPr>
          <w:color w:val="000000"/>
        </w:rPr>
        <w:t xml:space="preserve"> most will be occupied and </w:t>
      </w:r>
      <w:r>
        <w:rPr>
          <w:color w:val="000000"/>
        </w:rPr>
        <w:t>the</w:t>
      </w:r>
      <w:r w:rsidR="000955A0">
        <w:rPr>
          <w:color w:val="000000"/>
        </w:rPr>
        <w:t>y</w:t>
      </w:r>
      <w:r>
        <w:rPr>
          <w:color w:val="000000"/>
        </w:rPr>
        <w:t xml:space="preserve"> could be in any of the four non-zero categories.</w:t>
      </w:r>
      <w:r w:rsidR="000955A0">
        <w:rPr>
          <w:color w:val="000000"/>
        </w:rPr>
        <w:t xml:space="preserve">  </w:t>
      </w:r>
      <w:r w:rsidR="00901571">
        <w:rPr>
          <w:color w:val="000000"/>
        </w:rPr>
        <w:t xml:space="preserve">Thus the middle column is their “expected” location.  </w:t>
      </w:r>
      <w:r w:rsidR="000955A0">
        <w:rPr>
          <w:color w:val="000000"/>
        </w:rPr>
        <w:t>Each cell is assigned a stratification code value</w:t>
      </w:r>
      <w:r w:rsidR="00150F8E">
        <w:rPr>
          <w:color w:val="000000"/>
        </w:rPr>
        <w:t>, and all addresses in the Unit frame fall into one of these cells</w:t>
      </w:r>
      <w:r w:rsidR="000955A0">
        <w:rPr>
          <w:color w:val="000000"/>
        </w:rPr>
        <w:t>.</w:t>
      </w:r>
      <w:r w:rsidR="00150F8E" w:rsidRPr="00150F8E">
        <w:t xml:space="preserve"> </w:t>
      </w:r>
      <w:r w:rsidR="00150F8E">
        <w:t xml:space="preserve"> </w:t>
      </w:r>
      <w:r w:rsidR="00150F8E" w:rsidRPr="00E3685C">
        <w:t>The stratification code is a surrogate for sorting by expenditures.</w:t>
      </w:r>
    </w:p>
    <w:p w14:paraId="3ED67229" w14:textId="0E92F227" w:rsidR="000955A0" w:rsidRDefault="000955A0" w:rsidP="000955A0"/>
    <w:p w14:paraId="7949E618" w14:textId="77777777" w:rsidR="000955A0" w:rsidRPr="000955A0" w:rsidRDefault="000955A0" w:rsidP="000955A0"/>
    <w:p w14:paraId="58EE16FE" w14:textId="77777777" w:rsidR="009C4D19" w:rsidRPr="00E3685C" w:rsidRDefault="009C4D19" w:rsidP="009C4D19">
      <w:pPr>
        <w:pStyle w:val="Pa5"/>
        <w:spacing w:line="240" w:lineRule="auto"/>
        <w:ind w:left="432"/>
        <w:jc w:val="center"/>
        <w:rPr>
          <w:color w:val="000000"/>
        </w:rPr>
      </w:pPr>
      <w:r w:rsidRPr="00E3685C">
        <w:rPr>
          <w:color w:val="000000"/>
        </w:rPr>
        <w:t>Table 1.  CE Unit Frame Stratification Code Values</w:t>
      </w:r>
    </w:p>
    <w:p w14:paraId="40F50569" w14:textId="77777777" w:rsidR="009C4D19" w:rsidRPr="00E3685C" w:rsidRDefault="009C4D19" w:rsidP="009C4D19"/>
    <w:tbl>
      <w:tblPr>
        <w:tblW w:w="7560" w:type="dxa"/>
        <w:jc w:val="center"/>
        <w:tblLook w:val="0000" w:firstRow="0" w:lastRow="0" w:firstColumn="0" w:lastColumn="0" w:noHBand="0" w:noVBand="0"/>
      </w:tblPr>
      <w:tblGrid>
        <w:gridCol w:w="2020"/>
        <w:gridCol w:w="1130"/>
        <w:gridCol w:w="1170"/>
        <w:gridCol w:w="1080"/>
        <w:gridCol w:w="1057"/>
        <w:gridCol w:w="1103"/>
      </w:tblGrid>
      <w:tr w:rsidR="009C4D19" w:rsidRPr="00E3685C" w14:paraId="25C1EB73" w14:textId="77777777" w:rsidTr="00D52564">
        <w:trPr>
          <w:trHeight w:val="255"/>
          <w:jc w:val="center"/>
        </w:trPr>
        <w:tc>
          <w:tcPr>
            <w:tcW w:w="2020" w:type="dxa"/>
            <w:tcBorders>
              <w:top w:val="single" w:sz="4" w:space="0" w:color="auto"/>
              <w:left w:val="nil"/>
              <w:bottom w:val="nil"/>
              <w:right w:val="nil"/>
            </w:tcBorders>
            <w:shd w:val="clear" w:color="auto" w:fill="auto"/>
            <w:noWrap/>
            <w:vAlign w:val="bottom"/>
          </w:tcPr>
          <w:p w14:paraId="12DD5FA5" w14:textId="77777777" w:rsidR="009C4D19" w:rsidRPr="00E3685C" w:rsidRDefault="009C4D19" w:rsidP="00D52564">
            <w:pPr>
              <w:rPr>
                <w:sz w:val="20"/>
                <w:szCs w:val="20"/>
              </w:rPr>
            </w:pPr>
            <w:r w:rsidRPr="00E3685C">
              <w:rPr>
                <w:sz w:val="20"/>
                <w:szCs w:val="20"/>
              </w:rPr>
              <w:t>Renter/Owner Quartile</w:t>
            </w:r>
          </w:p>
        </w:tc>
        <w:tc>
          <w:tcPr>
            <w:tcW w:w="5540" w:type="dxa"/>
            <w:gridSpan w:val="5"/>
            <w:tcBorders>
              <w:top w:val="single" w:sz="4" w:space="0" w:color="auto"/>
              <w:left w:val="nil"/>
              <w:bottom w:val="single" w:sz="4" w:space="0" w:color="auto"/>
              <w:right w:val="nil"/>
            </w:tcBorders>
            <w:shd w:val="clear" w:color="auto" w:fill="auto"/>
            <w:noWrap/>
            <w:vAlign w:val="bottom"/>
          </w:tcPr>
          <w:p w14:paraId="51AAEFE4" w14:textId="77777777" w:rsidR="009C4D19" w:rsidRPr="00E3685C" w:rsidRDefault="009C4D19" w:rsidP="00D52564">
            <w:pPr>
              <w:jc w:val="center"/>
              <w:rPr>
                <w:sz w:val="20"/>
                <w:szCs w:val="20"/>
              </w:rPr>
            </w:pPr>
            <w:r w:rsidRPr="00E3685C">
              <w:rPr>
                <w:sz w:val="20"/>
                <w:szCs w:val="20"/>
              </w:rPr>
              <w:t>Number of Occupants</w:t>
            </w:r>
          </w:p>
        </w:tc>
      </w:tr>
      <w:tr w:rsidR="009C4D19" w:rsidRPr="00E3685C" w14:paraId="650EF721" w14:textId="77777777" w:rsidTr="00D52564">
        <w:trPr>
          <w:trHeight w:val="315"/>
          <w:jc w:val="center"/>
        </w:trPr>
        <w:tc>
          <w:tcPr>
            <w:tcW w:w="2020" w:type="dxa"/>
            <w:tcBorders>
              <w:top w:val="nil"/>
              <w:left w:val="nil"/>
              <w:bottom w:val="nil"/>
              <w:right w:val="nil"/>
            </w:tcBorders>
            <w:shd w:val="clear" w:color="auto" w:fill="auto"/>
            <w:noWrap/>
            <w:vAlign w:val="center"/>
          </w:tcPr>
          <w:p w14:paraId="1B726AA7" w14:textId="77777777" w:rsidR="009C4D19" w:rsidRPr="00E3685C" w:rsidRDefault="009C4D19" w:rsidP="00D52564">
            <w:pPr>
              <w:rPr>
                <w:sz w:val="20"/>
                <w:szCs w:val="20"/>
              </w:rPr>
            </w:pPr>
          </w:p>
        </w:tc>
        <w:tc>
          <w:tcPr>
            <w:tcW w:w="1130" w:type="dxa"/>
            <w:tcBorders>
              <w:top w:val="nil"/>
              <w:left w:val="nil"/>
              <w:bottom w:val="nil"/>
              <w:right w:val="nil"/>
            </w:tcBorders>
            <w:shd w:val="clear" w:color="auto" w:fill="auto"/>
            <w:noWrap/>
            <w:tcMar>
              <w:left w:w="29" w:type="dxa"/>
              <w:right w:w="29" w:type="dxa"/>
            </w:tcMar>
            <w:vAlign w:val="center"/>
          </w:tcPr>
          <w:p w14:paraId="0F725446" w14:textId="77777777" w:rsidR="009C4D19" w:rsidRPr="00E3685C" w:rsidRDefault="009C4D19" w:rsidP="00D52564">
            <w:pPr>
              <w:jc w:val="center"/>
              <w:rPr>
                <w:sz w:val="20"/>
                <w:szCs w:val="20"/>
              </w:rPr>
            </w:pPr>
            <w:r>
              <w:rPr>
                <w:sz w:val="20"/>
                <w:szCs w:val="20"/>
              </w:rPr>
              <w:t>1 person</w:t>
            </w:r>
          </w:p>
        </w:tc>
        <w:tc>
          <w:tcPr>
            <w:tcW w:w="1170" w:type="dxa"/>
            <w:tcBorders>
              <w:top w:val="nil"/>
              <w:left w:val="nil"/>
              <w:bottom w:val="nil"/>
              <w:right w:val="nil"/>
            </w:tcBorders>
            <w:shd w:val="clear" w:color="auto" w:fill="auto"/>
            <w:noWrap/>
            <w:tcMar>
              <w:left w:w="29" w:type="dxa"/>
              <w:right w:w="29" w:type="dxa"/>
            </w:tcMar>
            <w:vAlign w:val="center"/>
          </w:tcPr>
          <w:p w14:paraId="3017BF79" w14:textId="77777777" w:rsidR="009C4D19" w:rsidRPr="00E3685C" w:rsidRDefault="009C4D19" w:rsidP="00D52564">
            <w:pPr>
              <w:jc w:val="center"/>
              <w:rPr>
                <w:sz w:val="20"/>
                <w:szCs w:val="20"/>
              </w:rPr>
            </w:pPr>
            <w:r>
              <w:rPr>
                <w:sz w:val="20"/>
                <w:szCs w:val="20"/>
              </w:rPr>
              <w:t>2</w:t>
            </w:r>
            <w:r w:rsidRPr="00E3685C">
              <w:rPr>
                <w:sz w:val="20"/>
                <w:szCs w:val="20"/>
              </w:rPr>
              <w:t xml:space="preserve"> person</w:t>
            </w:r>
            <w:r>
              <w:rPr>
                <w:sz w:val="20"/>
                <w:szCs w:val="20"/>
              </w:rPr>
              <w:t>s</w:t>
            </w:r>
          </w:p>
        </w:tc>
        <w:tc>
          <w:tcPr>
            <w:tcW w:w="1080" w:type="dxa"/>
            <w:tcBorders>
              <w:top w:val="nil"/>
              <w:left w:val="nil"/>
              <w:bottom w:val="nil"/>
              <w:right w:val="nil"/>
            </w:tcBorders>
            <w:shd w:val="clear" w:color="auto" w:fill="auto"/>
            <w:noWrap/>
            <w:tcMar>
              <w:left w:w="29" w:type="dxa"/>
              <w:right w:w="29" w:type="dxa"/>
            </w:tcMar>
            <w:vAlign w:val="center"/>
          </w:tcPr>
          <w:p w14:paraId="1A1947B9" w14:textId="77777777" w:rsidR="009C4D19" w:rsidRPr="00E3685C" w:rsidRDefault="009C4D19" w:rsidP="00D52564">
            <w:pPr>
              <w:jc w:val="center"/>
              <w:rPr>
                <w:sz w:val="20"/>
                <w:szCs w:val="20"/>
              </w:rPr>
            </w:pPr>
            <w:r>
              <w:rPr>
                <w:sz w:val="20"/>
                <w:szCs w:val="20"/>
              </w:rPr>
              <w:t>Vacant</w:t>
            </w:r>
          </w:p>
        </w:tc>
        <w:tc>
          <w:tcPr>
            <w:tcW w:w="1057" w:type="dxa"/>
            <w:tcBorders>
              <w:top w:val="nil"/>
              <w:left w:val="nil"/>
              <w:bottom w:val="nil"/>
              <w:right w:val="nil"/>
            </w:tcBorders>
            <w:shd w:val="clear" w:color="auto" w:fill="auto"/>
            <w:noWrap/>
            <w:tcMar>
              <w:left w:w="29" w:type="dxa"/>
              <w:right w:w="29" w:type="dxa"/>
            </w:tcMar>
            <w:vAlign w:val="center"/>
          </w:tcPr>
          <w:p w14:paraId="56E1319D" w14:textId="77777777" w:rsidR="009C4D19" w:rsidRPr="00E3685C" w:rsidRDefault="009C4D19" w:rsidP="00D52564">
            <w:pPr>
              <w:jc w:val="center"/>
              <w:rPr>
                <w:sz w:val="20"/>
                <w:szCs w:val="20"/>
              </w:rPr>
            </w:pPr>
            <w:r w:rsidRPr="00E3685C">
              <w:rPr>
                <w:sz w:val="20"/>
                <w:szCs w:val="20"/>
              </w:rPr>
              <w:t>3 persons</w:t>
            </w:r>
          </w:p>
        </w:tc>
        <w:tc>
          <w:tcPr>
            <w:tcW w:w="1103" w:type="dxa"/>
            <w:tcBorders>
              <w:top w:val="nil"/>
              <w:left w:val="nil"/>
              <w:bottom w:val="nil"/>
              <w:right w:val="nil"/>
            </w:tcBorders>
            <w:shd w:val="clear" w:color="auto" w:fill="auto"/>
            <w:noWrap/>
            <w:tcMar>
              <w:left w:w="29" w:type="dxa"/>
              <w:right w:w="29" w:type="dxa"/>
            </w:tcMar>
            <w:vAlign w:val="center"/>
          </w:tcPr>
          <w:p w14:paraId="183930B9" w14:textId="77777777" w:rsidR="009C4D19" w:rsidRPr="00E3685C" w:rsidRDefault="009C4D19" w:rsidP="00D52564">
            <w:pPr>
              <w:jc w:val="center"/>
              <w:rPr>
                <w:sz w:val="20"/>
                <w:szCs w:val="20"/>
              </w:rPr>
            </w:pPr>
            <w:r w:rsidRPr="00E3685C">
              <w:rPr>
                <w:sz w:val="20"/>
                <w:szCs w:val="20"/>
              </w:rPr>
              <w:t>4+ persons</w:t>
            </w:r>
          </w:p>
        </w:tc>
      </w:tr>
      <w:tr w:rsidR="009C4D19" w:rsidRPr="00E3685C" w14:paraId="195FBA9F" w14:textId="77777777" w:rsidTr="00D52564">
        <w:trPr>
          <w:jc w:val="center"/>
        </w:trPr>
        <w:tc>
          <w:tcPr>
            <w:tcW w:w="2020" w:type="dxa"/>
            <w:tcBorders>
              <w:top w:val="nil"/>
              <w:left w:val="nil"/>
              <w:bottom w:val="nil"/>
              <w:right w:val="nil"/>
            </w:tcBorders>
            <w:shd w:val="clear" w:color="auto" w:fill="auto"/>
            <w:noWrap/>
            <w:vAlign w:val="center"/>
          </w:tcPr>
          <w:p w14:paraId="0A2BA999" w14:textId="77777777" w:rsidR="009C4D19" w:rsidRPr="00E3685C" w:rsidRDefault="009C4D19" w:rsidP="00D52564">
            <w:pPr>
              <w:rPr>
                <w:sz w:val="20"/>
                <w:szCs w:val="20"/>
              </w:rPr>
            </w:pPr>
            <w:r w:rsidRPr="00E3685C">
              <w:rPr>
                <w:sz w:val="20"/>
                <w:szCs w:val="20"/>
              </w:rPr>
              <w:t>Renters 1</w:t>
            </w:r>
            <w:r w:rsidRPr="00E3685C">
              <w:rPr>
                <w:sz w:val="20"/>
                <w:szCs w:val="20"/>
                <w:vertAlign w:val="superscript"/>
              </w:rPr>
              <w:t>st</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14:paraId="481608AE" w14:textId="77777777" w:rsidR="009C4D19" w:rsidRPr="00E3685C" w:rsidRDefault="009C4D19" w:rsidP="00D52564">
            <w:pPr>
              <w:jc w:val="center"/>
              <w:rPr>
                <w:sz w:val="20"/>
                <w:szCs w:val="20"/>
              </w:rPr>
            </w:pPr>
            <w:r w:rsidRPr="00E3685C">
              <w:rPr>
                <w:sz w:val="20"/>
                <w:szCs w:val="20"/>
              </w:rPr>
              <w:t>10</w:t>
            </w:r>
          </w:p>
        </w:tc>
        <w:tc>
          <w:tcPr>
            <w:tcW w:w="1170" w:type="dxa"/>
            <w:tcBorders>
              <w:top w:val="nil"/>
              <w:left w:val="nil"/>
              <w:bottom w:val="nil"/>
              <w:right w:val="nil"/>
            </w:tcBorders>
            <w:shd w:val="clear" w:color="auto" w:fill="auto"/>
            <w:noWrap/>
            <w:tcMar>
              <w:left w:w="29" w:type="dxa"/>
              <w:right w:w="29" w:type="dxa"/>
            </w:tcMar>
            <w:vAlign w:val="center"/>
          </w:tcPr>
          <w:p w14:paraId="1057DA99" w14:textId="77777777" w:rsidR="009C4D19" w:rsidRPr="00E3685C" w:rsidRDefault="009C4D19" w:rsidP="00D52564">
            <w:pPr>
              <w:jc w:val="center"/>
              <w:rPr>
                <w:sz w:val="20"/>
                <w:szCs w:val="20"/>
              </w:rPr>
            </w:pPr>
            <w:r w:rsidRPr="00E3685C">
              <w:rPr>
                <w:sz w:val="20"/>
                <w:szCs w:val="20"/>
              </w:rPr>
              <w:t>11</w:t>
            </w:r>
          </w:p>
        </w:tc>
        <w:tc>
          <w:tcPr>
            <w:tcW w:w="1080" w:type="dxa"/>
            <w:tcBorders>
              <w:top w:val="nil"/>
              <w:left w:val="nil"/>
              <w:bottom w:val="nil"/>
              <w:right w:val="nil"/>
            </w:tcBorders>
            <w:shd w:val="clear" w:color="auto" w:fill="auto"/>
            <w:noWrap/>
            <w:tcMar>
              <w:left w:w="29" w:type="dxa"/>
              <w:right w:w="29" w:type="dxa"/>
            </w:tcMar>
            <w:vAlign w:val="center"/>
          </w:tcPr>
          <w:p w14:paraId="1569DBD4" w14:textId="77777777" w:rsidR="009C4D19" w:rsidRPr="00E3685C" w:rsidRDefault="009C4D19" w:rsidP="00D52564">
            <w:pPr>
              <w:jc w:val="center"/>
              <w:rPr>
                <w:sz w:val="20"/>
                <w:szCs w:val="20"/>
              </w:rPr>
            </w:pPr>
            <w:r w:rsidRPr="00E3685C">
              <w:rPr>
                <w:sz w:val="20"/>
                <w:szCs w:val="20"/>
              </w:rPr>
              <w:t>12</w:t>
            </w:r>
          </w:p>
        </w:tc>
        <w:tc>
          <w:tcPr>
            <w:tcW w:w="1057" w:type="dxa"/>
            <w:tcBorders>
              <w:top w:val="nil"/>
              <w:left w:val="nil"/>
              <w:bottom w:val="nil"/>
              <w:right w:val="nil"/>
            </w:tcBorders>
            <w:shd w:val="clear" w:color="auto" w:fill="auto"/>
            <w:noWrap/>
            <w:tcMar>
              <w:left w:w="29" w:type="dxa"/>
              <w:right w:w="29" w:type="dxa"/>
            </w:tcMar>
            <w:vAlign w:val="center"/>
          </w:tcPr>
          <w:p w14:paraId="192308FE" w14:textId="77777777" w:rsidR="009C4D19" w:rsidRPr="00E3685C" w:rsidRDefault="009C4D19" w:rsidP="00D52564">
            <w:pPr>
              <w:jc w:val="center"/>
              <w:rPr>
                <w:sz w:val="20"/>
                <w:szCs w:val="20"/>
              </w:rPr>
            </w:pPr>
            <w:r w:rsidRPr="00E3685C">
              <w:rPr>
                <w:sz w:val="20"/>
                <w:szCs w:val="20"/>
              </w:rPr>
              <w:t>13</w:t>
            </w:r>
          </w:p>
        </w:tc>
        <w:tc>
          <w:tcPr>
            <w:tcW w:w="1103" w:type="dxa"/>
            <w:tcBorders>
              <w:top w:val="nil"/>
              <w:left w:val="nil"/>
              <w:bottom w:val="nil"/>
              <w:right w:val="nil"/>
            </w:tcBorders>
            <w:shd w:val="clear" w:color="auto" w:fill="auto"/>
            <w:noWrap/>
            <w:tcMar>
              <w:left w:w="29" w:type="dxa"/>
              <w:right w:w="29" w:type="dxa"/>
            </w:tcMar>
            <w:vAlign w:val="center"/>
          </w:tcPr>
          <w:p w14:paraId="701CBBDB" w14:textId="77777777" w:rsidR="009C4D19" w:rsidRPr="00E3685C" w:rsidRDefault="009C4D19" w:rsidP="00D52564">
            <w:pPr>
              <w:jc w:val="center"/>
              <w:rPr>
                <w:sz w:val="20"/>
                <w:szCs w:val="20"/>
              </w:rPr>
            </w:pPr>
            <w:r w:rsidRPr="00E3685C">
              <w:rPr>
                <w:sz w:val="20"/>
                <w:szCs w:val="20"/>
              </w:rPr>
              <w:t>14</w:t>
            </w:r>
          </w:p>
        </w:tc>
      </w:tr>
      <w:tr w:rsidR="009C4D19" w:rsidRPr="00E3685C" w14:paraId="07D686DE" w14:textId="77777777" w:rsidTr="00D52564">
        <w:trPr>
          <w:jc w:val="center"/>
        </w:trPr>
        <w:tc>
          <w:tcPr>
            <w:tcW w:w="2020" w:type="dxa"/>
            <w:tcBorders>
              <w:top w:val="nil"/>
              <w:left w:val="nil"/>
              <w:bottom w:val="nil"/>
              <w:right w:val="nil"/>
            </w:tcBorders>
            <w:shd w:val="clear" w:color="auto" w:fill="auto"/>
            <w:noWrap/>
            <w:vAlign w:val="center"/>
          </w:tcPr>
          <w:p w14:paraId="08871532" w14:textId="77777777" w:rsidR="009C4D19" w:rsidRPr="00E3685C" w:rsidRDefault="009C4D19" w:rsidP="00D52564">
            <w:pPr>
              <w:rPr>
                <w:sz w:val="20"/>
                <w:szCs w:val="20"/>
              </w:rPr>
            </w:pPr>
            <w:r w:rsidRPr="00E3685C">
              <w:rPr>
                <w:sz w:val="20"/>
                <w:szCs w:val="20"/>
              </w:rPr>
              <w:t>Renters 2</w:t>
            </w:r>
            <w:r w:rsidRPr="00E3685C">
              <w:rPr>
                <w:sz w:val="20"/>
                <w:szCs w:val="20"/>
                <w:vertAlign w:val="superscript"/>
              </w:rPr>
              <w:t>nd</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14:paraId="4144D1D1" w14:textId="77777777" w:rsidR="009C4D19" w:rsidRPr="00E3685C" w:rsidRDefault="009C4D19" w:rsidP="00D52564">
            <w:pPr>
              <w:jc w:val="center"/>
              <w:rPr>
                <w:sz w:val="20"/>
                <w:szCs w:val="20"/>
              </w:rPr>
            </w:pPr>
            <w:r w:rsidRPr="00E3685C">
              <w:rPr>
                <w:sz w:val="20"/>
                <w:szCs w:val="20"/>
              </w:rPr>
              <w:t>25</w:t>
            </w:r>
          </w:p>
        </w:tc>
        <w:tc>
          <w:tcPr>
            <w:tcW w:w="1170" w:type="dxa"/>
            <w:tcBorders>
              <w:top w:val="nil"/>
              <w:left w:val="nil"/>
              <w:bottom w:val="nil"/>
              <w:right w:val="nil"/>
            </w:tcBorders>
            <w:shd w:val="clear" w:color="auto" w:fill="auto"/>
            <w:noWrap/>
            <w:tcMar>
              <w:left w:w="29" w:type="dxa"/>
              <w:right w:w="29" w:type="dxa"/>
            </w:tcMar>
            <w:vAlign w:val="center"/>
          </w:tcPr>
          <w:p w14:paraId="083210AD" w14:textId="77777777" w:rsidR="009C4D19" w:rsidRPr="00E3685C" w:rsidRDefault="009C4D19" w:rsidP="00D52564">
            <w:pPr>
              <w:jc w:val="center"/>
              <w:rPr>
                <w:sz w:val="20"/>
                <w:szCs w:val="20"/>
              </w:rPr>
            </w:pPr>
            <w:r w:rsidRPr="00E3685C">
              <w:rPr>
                <w:sz w:val="20"/>
                <w:szCs w:val="20"/>
              </w:rPr>
              <w:t>24</w:t>
            </w:r>
          </w:p>
        </w:tc>
        <w:tc>
          <w:tcPr>
            <w:tcW w:w="1080" w:type="dxa"/>
            <w:tcBorders>
              <w:top w:val="nil"/>
              <w:left w:val="nil"/>
              <w:bottom w:val="nil"/>
              <w:right w:val="nil"/>
            </w:tcBorders>
            <w:shd w:val="clear" w:color="auto" w:fill="auto"/>
            <w:noWrap/>
            <w:tcMar>
              <w:left w:w="29" w:type="dxa"/>
              <w:right w:w="29" w:type="dxa"/>
            </w:tcMar>
            <w:vAlign w:val="center"/>
          </w:tcPr>
          <w:p w14:paraId="03B676D9" w14:textId="77777777" w:rsidR="009C4D19" w:rsidRPr="00E3685C" w:rsidRDefault="009C4D19" w:rsidP="00D52564">
            <w:pPr>
              <w:jc w:val="center"/>
              <w:rPr>
                <w:sz w:val="20"/>
                <w:szCs w:val="20"/>
              </w:rPr>
            </w:pPr>
            <w:r w:rsidRPr="00E3685C">
              <w:rPr>
                <w:sz w:val="20"/>
                <w:szCs w:val="20"/>
              </w:rPr>
              <w:t>23</w:t>
            </w:r>
          </w:p>
        </w:tc>
        <w:tc>
          <w:tcPr>
            <w:tcW w:w="1057" w:type="dxa"/>
            <w:tcBorders>
              <w:top w:val="nil"/>
              <w:left w:val="nil"/>
              <w:bottom w:val="nil"/>
              <w:right w:val="nil"/>
            </w:tcBorders>
            <w:shd w:val="clear" w:color="auto" w:fill="auto"/>
            <w:noWrap/>
            <w:tcMar>
              <w:left w:w="29" w:type="dxa"/>
              <w:right w:w="29" w:type="dxa"/>
            </w:tcMar>
            <w:vAlign w:val="center"/>
          </w:tcPr>
          <w:p w14:paraId="09FA0694" w14:textId="77777777" w:rsidR="009C4D19" w:rsidRPr="00E3685C" w:rsidRDefault="009C4D19" w:rsidP="00D52564">
            <w:pPr>
              <w:jc w:val="center"/>
              <w:rPr>
                <w:sz w:val="20"/>
                <w:szCs w:val="20"/>
              </w:rPr>
            </w:pPr>
            <w:r w:rsidRPr="00E3685C">
              <w:rPr>
                <w:sz w:val="20"/>
                <w:szCs w:val="20"/>
              </w:rPr>
              <w:t>22</w:t>
            </w:r>
          </w:p>
        </w:tc>
        <w:tc>
          <w:tcPr>
            <w:tcW w:w="1103" w:type="dxa"/>
            <w:tcBorders>
              <w:top w:val="nil"/>
              <w:left w:val="nil"/>
              <w:bottom w:val="nil"/>
              <w:right w:val="nil"/>
            </w:tcBorders>
            <w:shd w:val="clear" w:color="auto" w:fill="auto"/>
            <w:noWrap/>
            <w:tcMar>
              <w:left w:w="29" w:type="dxa"/>
              <w:right w:w="29" w:type="dxa"/>
            </w:tcMar>
            <w:vAlign w:val="center"/>
          </w:tcPr>
          <w:p w14:paraId="57DB0187" w14:textId="77777777" w:rsidR="009C4D19" w:rsidRPr="00E3685C" w:rsidRDefault="009C4D19" w:rsidP="00D52564">
            <w:pPr>
              <w:jc w:val="center"/>
              <w:rPr>
                <w:sz w:val="20"/>
                <w:szCs w:val="20"/>
              </w:rPr>
            </w:pPr>
            <w:r w:rsidRPr="00E3685C">
              <w:rPr>
                <w:sz w:val="20"/>
                <w:szCs w:val="20"/>
              </w:rPr>
              <w:t>21</w:t>
            </w:r>
          </w:p>
        </w:tc>
      </w:tr>
      <w:tr w:rsidR="009C4D19" w:rsidRPr="00E3685C" w14:paraId="67D72527" w14:textId="77777777" w:rsidTr="00D52564">
        <w:trPr>
          <w:jc w:val="center"/>
        </w:trPr>
        <w:tc>
          <w:tcPr>
            <w:tcW w:w="2020" w:type="dxa"/>
            <w:tcBorders>
              <w:top w:val="nil"/>
              <w:left w:val="nil"/>
              <w:bottom w:val="nil"/>
              <w:right w:val="nil"/>
            </w:tcBorders>
            <w:shd w:val="clear" w:color="auto" w:fill="auto"/>
            <w:noWrap/>
            <w:vAlign w:val="center"/>
          </w:tcPr>
          <w:p w14:paraId="4C009890" w14:textId="77777777" w:rsidR="009C4D19" w:rsidRPr="00E3685C" w:rsidRDefault="009C4D19" w:rsidP="00D52564">
            <w:pPr>
              <w:rPr>
                <w:sz w:val="20"/>
                <w:szCs w:val="20"/>
              </w:rPr>
            </w:pPr>
            <w:r>
              <w:rPr>
                <w:sz w:val="20"/>
                <w:szCs w:val="20"/>
              </w:rPr>
              <w:t>Renters 3</w:t>
            </w:r>
            <w:r w:rsidRPr="007F76D2">
              <w:rPr>
                <w:sz w:val="20"/>
                <w:szCs w:val="20"/>
                <w:vertAlign w:val="superscript"/>
              </w:rPr>
              <w:t>rd</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14:paraId="4DE9A2B4" w14:textId="77777777" w:rsidR="009C4D19" w:rsidRPr="00E3685C" w:rsidRDefault="009C4D19" w:rsidP="00D52564">
            <w:pPr>
              <w:jc w:val="center"/>
              <w:rPr>
                <w:sz w:val="20"/>
                <w:szCs w:val="20"/>
              </w:rPr>
            </w:pPr>
            <w:r w:rsidRPr="00E3685C">
              <w:rPr>
                <w:sz w:val="20"/>
                <w:szCs w:val="20"/>
              </w:rPr>
              <w:t>30</w:t>
            </w:r>
          </w:p>
        </w:tc>
        <w:tc>
          <w:tcPr>
            <w:tcW w:w="1170" w:type="dxa"/>
            <w:tcBorders>
              <w:top w:val="nil"/>
              <w:left w:val="nil"/>
              <w:bottom w:val="nil"/>
              <w:right w:val="nil"/>
            </w:tcBorders>
            <w:shd w:val="clear" w:color="auto" w:fill="auto"/>
            <w:noWrap/>
            <w:tcMar>
              <w:left w:w="29" w:type="dxa"/>
              <w:right w:w="29" w:type="dxa"/>
            </w:tcMar>
            <w:vAlign w:val="center"/>
          </w:tcPr>
          <w:p w14:paraId="1713BDCB" w14:textId="77777777" w:rsidR="009C4D19" w:rsidRPr="00E3685C" w:rsidRDefault="009C4D19" w:rsidP="00D52564">
            <w:pPr>
              <w:jc w:val="center"/>
              <w:rPr>
                <w:sz w:val="20"/>
                <w:szCs w:val="20"/>
              </w:rPr>
            </w:pPr>
            <w:r w:rsidRPr="00E3685C">
              <w:rPr>
                <w:sz w:val="20"/>
                <w:szCs w:val="20"/>
              </w:rPr>
              <w:t>31</w:t>
            </w:r>
          </w:p>
        </w:tc>
        <w:tc>
          <w:tcPr>
            <w:tcW w:w="1080" w:type="dxa"/>
            <w:tcBorders>
              <w:top w:val="nil"/>
              <w:left w:val="nil"/>
              <w:bottom w:val="nil"/>
              <w:right w:val="nil"/>
            </w:tcBorders>
            <w:shd w:val="clear" w:color="auto" w:fill="auto"/>
            <w:noWrap/>
            <w:tcMar>
              <w:left w:w="29" w:type="dxa"/>
              <w:right w:w="29" w:type="dxa"/>
            </w:tcMar>
            <w:vAlign w:val="center"/>
          </w:tcPr>
          <w:p w14:paraId="6B64C586" w14:textId="77777777" w:rsidR="009C4D19" w:rsidRPr="00E3685C" w:rsidRDefault="009C4D19" w:rsidP="00D52564">
            <w:pPr>
              <w:jc w:val="center"/>
              <w:rPr>
                <w:sz w:val="20"/>
                <w:szCs w:val="20"/>
              </w:rPr>
            </w:pPr>
            <w:r w:rsidRPr="00E3685C">
              <w:rPr>
                <w:sz w:val="20"/>
                <w:szCs w:val="20"/>
              </w:rPr>
              <w:t>32</w:t>
            </w:r>
          </w:p>
        </w:tc>
        <w:tc>
          <w:tcPr>
            <w:tcW w:w="1057" w:type="dxa"/>
            <w:tcBorders>
              <w:top w:val="nil"/>
              <w:left w:val="nil"/>
              <w:bottom w:val="nil"/>
              <w:right w:val="nil"/>
            </w:tcBorders>
            <w:shd w:val="clear" w:color="auto" w:fill="auto"/>
            <w:noWrap/>
            <w:tcMar>
              <w:left w:w="29" w:type="dxa"/>
              <w:right w:w="29" w:type="dxa"/>
            </w:tcMar>
            <w:vAlign w:val="center"/>
          </w:tcPr>
          <w:p w14:paraId="13FA890A" w14:textId="77777777" w:rsidR="009C4D19" w:rsidRPr="00E3685C" w:rsidRDefault="009C4D19" w:rsidP="00D52564">
            <w:pPr>
              <w:jc w:val="center"/>
              <w:rPr>
                <w:sz w:val="20"/>
                <w:szCs w:val="20"/>
              </w:rPr>
            </w:pPr>
            <w:r w:rsidRPr="00E3685C">
              <w:rPr>
                <w:sz w:val="20"/>
                <w:szCs w:val="20"/>
              </w:rPr>
              <w:t>33</w:t>
            </w:r>
          </w:p>
        </w:tc>
        <w:tc>
          <w:tcPr>
            <w:tcW w:w="1103" w:type="dxa"/>
            <w:tcBorders>
              <w:top w:val="nil"/>
              <w:left w:val="nil"/>
              <w:bottom w:val="nil"/>
              <w:right w:val="nil"/>
            </w:tcBorders>
            <w:shd w:val="clear" w:color="auto" w:fill="auto"/>
            <w:noWrap/>
            <w:tcMar>
              <w:left w:w="29" w:type="dxa"/>
              <w:right w:w="29" w:type="dxa"/>
            </w:tcMar>
            <w:vAlign w:val="center"/>
          </w:tcPr>
          <w:p w14:paraId="0D67F2B8" w14:textId="77777777" w:rsidR="009C4D19" w:rsidRPr="00E3685C" w:rsidRDefault="009C4D19" w:rsidP="00D52564">
            <w:pPr>
              <w:jc w:val="center"/>
              <w:rPr>
                <w:sz w:val="20"/>
                <w:szCs w:val="20"/>
              </w:rPr>
            </w:pPr>
            <w:r w:rsidRPr="00E3685C">
              <w:rPr>
                <w:sz w:val="20"/>
                <w:szCs w:val="20"/>
              </w:rPr>
              <w:t>34</w:t>
            </w:r>
          </w:p>
        </w:tc>
      </w:tr>
      <w:tr w:rsidR="009C4D19" w:rsidRPr="00E3685C" w14:paraId="6160E395" w14:textId="77777777" w:rsidTr="00D52564">
        <w:trPr>
          <w:jc w:val="center"/>
        </w:trPr>
        <w:tc>
          <w:tcPr>
            <w:tcW w:w="2020" w:type="dxa"/>
            <w:tcBorders>
              <w:top w:val="nil"/>
              <w:left w:val="nil"/>
              <w:bottom w:val="nil"/>
              <w:right w:val="nil"/>
            </w:tcBorders>
            <w:shd w:val="clear" w:color="auto" w:fill="auto"/>
            <w:noWrap/>
            <w:vAlign w:val="center"/>
          </w:tcPr>
          <w:p w14:paraId="43B93EBB" w14:textId="77777777" w:rsidR="009C4D19" w:rsidRPr="00E3685C" w:rsidRDefault="009C4D19" w:rsidP="00D52564">
            <w:pPr>
              <w:rPr>
                <w:sz w:val="20"/>
                <w:szCs w:val="20"/>
              </w:rPr>
            </w:pPr>
            <w:r>
              <w:rPr>
                <w:sz w:val="20"/>
                <w:szCs w:val="20"/>
              </w:rPr>
              <w:t>Renters 4</w:t>
            </w:r>
            <w:r w:rsidRPr="007F76D2">
              <w:rPr>
                <w:sz w:val="20"/>
                <w:szCs w:val="20"/>
                <w:vertAlign w:val="superscript"/>
              </w:rPr>
              <w:t>th</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14:paraId="34A8658D" w14:textId="77777777" w:rsidR="009C4D19" w:rsidRPr="00E3685C" w:rsidRDefault="009C4D19" w:rsidP="00D52564">
            <w:pPr>
              <w:jc w:val="center"/>
              <w:rPr>
                <w:sz w:val="20"/>
                <w:szCs w:val="20"/>
              </w:rPr>
            </w:pPr>
            <w:r w:rsidRPr="00E3685C">
              <w:rPr>
                <w:sz w:val="20"/>
                <w:szCs w:val="20"/>
              </w:rPr>
              <w:t>45</w:t>
            </w:r>
          </w:p>
        </w:tc>
        <w:tc>
          <w:tcPr>
            <w:tcW w:w="1170" w:type="dxa"/>
            <w:tcBorders>
              <w:top w:val="nil"/>
              <w:left w:val="nil"/>
              <w:bottom w:val="nil"/>
              <w:right w:val="nil"/>
            </w:tcBorders>
            <w:shd w:val="clear" w:color="auto" w:fill="auto"/>
            <w:noWrap/>
            <w:tcMar>
              <w:left w:w="29" w:type="dxa"/>
              <w:right w:w="29" w:type="dxa"/>
            </w:tcMar>
            <w:vAlign w:val="center"/>
          </w:tcPr>
          <w:p w14:paraId="3B4C8EFD" w14:textId="77777777" w:rsidR="009C4D19" w:rsidRPr="00E3685C" w:rsidRDefault="009C4D19" w:rsidP="00D52564">
            <w:pPr>
              <w:jc w:val="center"/>
              <w:rPr>
                <w:sz w:val="20"/>
                <w:szCs w:val="20"/>
              </w:rPr>
            </w:pPr>
            <w:r w:rsidRPr="00E3685C">
              <w:rPr>
                <w:sz w:val="20"/>
                <w:szCs w:val="20"/>
              </w:rPr>
              <w:t>44</w:t>
            </w:r>
          </w:p>
        </w:tc>
        <w:tc>
          <w:tcPr>
            <w:tcW w:w="1080" w:type="dxa"/>
            <w:tcBorders>
              <w:top w:val="nil"/>
              <w:left w:val="nil"/>
              <w:bottom w:val="nil"/>
              <w:right w:val="nil"/>
            </w:tcBorders>
            <w:shd w:val="clear" w:color="auto" w:fill="auto"/>
            <w:noWrap/>
            <w:tcMar>
              <w:left w:w="29" w:type="dxa"/>
              <w:right w:w="29" w:type="dxa"/>
            </w:tcMar>
            <w:vAlign w:val="center"/>
          </w:tcPr>
          <w:p w14:paraId="031665AB" w14:textId="77777777" w:rsidR="009C4D19" w:rsidRPr="00E3685C" w:rsidRDefault="009C4D19" w:rsidP="00D52564">
            <w:pPr>
              <w:jc w:val="center"/>
              <w:rPr>
                <w:sz w:val="20"/>
                <w:szCs w:val="20"/>
              </w:rPr>
            </w:pPr>
            <w:r w:rsidRPr="00E3685C">
              <w:rPr>
                <w:sz w:val="20"/>
                <w:szCs w:val="20"/>
              </w:rPr>
              <w:t>43</w:t>
            </w:r>
          </w:p>
        </w:tc>
        <w:tc>
          <w:tcPr>
            <w:tcW w:w="1057" w:type="dxa"/>
            <w:tcBorders>
              <w:top w:val="nil"/>
              <w:left w:val="nil"/>
              <w:bottom w:val="nil"/>
              <w:right w:val="nil"/>
            </w:tcBorders>
            <w:shd w:val="clear" w:color="auto" w:fill="auto"/>
            <w:noWrap/>
            <w:tcMar>
              <w:left w:w="29" w:type="dxa"/>
              <w:right w:w="29" w:type="dxa"/>
            </w:tcMar>
            <w:vAlign w:val="center"/>
          </w:tcPr>
          <w:p w14:paraId="0D46F7DD" w14:textId="77777777" w:rsidR="009C4D19" w:rsidRPr="00E3685C" w:rsidRDefault="009C4D19" w:rsidP="00D52564">
            <w:pPr>
              <w:jc w:val="center"/>
              <w:rPr>
                <w:sz w:val="20"/>
                <w:szCs w:val="20"/>
              </w:rPr>
            </w:pPr>
            <w:r w:rsidRPr="00E3685C">
              <w:rPr>
                <w:sz w:val="20"/>
                <w:szCs w:val="20"/>
              </w:rPr>
              <w:t>42</w:t>
            </w:r>
          </w:p>
        </w:tc>
        <w:tc>
          <w:tcPr>
            <w:tcW w:w="1103" w:type="dxa"/>
            <w:tcBorders>
              <w:top w:val="nil"/>
              <w:left w:val="nil"/>
              <w:bottom w:val="nil"/>
              <w:right w:val="nil"/>
            </w:tcBorders>
            <w:shd w:val="clear" w:color="auto" w:fill="auto"/>
            <w:noWrap/>
            <w:tcMar>
              <w:left w:w="29" w:type="dxa"/>
              <w:right w:w="29" w:type="dxa"/>
            </w:tcMar>
            <w:vAlign w:val="center"/>
          </w:tcPr>
          <w:p w14:paraId="769F893D" w14:textId="77777777" w:rsidR="009C4D19" w:rsidRPr="00E3685C" w:rsidRDefault="009C4D19" w:rsidP="00D52564">
            <w:pPr>
              <w:jc w:val="center"/>
              <w:rPr>
                <w:sz w:val="20"/>
                <w:szCs w:val="20"/>
              </w:rPr>
            </w:pPr>
            <w:r w:rsidRPr="00E3685C">
              <w:rPr>
                <w:sz w:val="20"/>
                <w:szCs w:val="20"/>
              </w:rPr>
              <w:t>41</w:t>
            </w:r>
          </w:p>
        </w:tc>
      </w:tr>
      <w:tr w:rsidR="009C4D19" w:rsidRPr="00E3685C" w14:paraId="4D4FC497" w14:textId="77777777" w:rsidTr="00D52564">
        <w:trPr>
          <w:jc w:val="center"/>
        </w:trPr>
        <w:tc>
          <w:tcPr>
            <w:tcW w:w="2020" w:type="dxa"/>
            <w:tcBorders>
              <w:top w:val="nil"/>
              <w:left w:val="nil"/>
              <w:bottom w:val="nil"/>
              <w:right w:val="nil"/>
            </w:tcBorders>
            <w:shd w:val="clear" w:color="auto" w:fill="auto"/>
            <w:noWrap/>
            <w:vAlign w:val="center"/>
          </w:tcPr>
          <w:p w14:paraId="5D07B48D" w14:textId="77777777" w:rsidR="009C4D19" w:rsidRPr="00E3685C" w:rsidRDefault="009C4D19" w:rsidP="00D52564">
            <w:pPr>
              <w:rPr>
                <w:sz w:val="20"/>
                <w:szCs w:val="20"/>
              </w:rPr>
            </w:pPr>
            <w:r>
              <w:rPr>
                <w:sz w:val="20"/>
                <w:szCs w:val="20"/>
              </w:rPr>
              <w:t>Owners 1</w:t>
            </w:r>
            <w:r w:rsidRPr="007F76D2">
              <w:rPr>
                <w:sz w:val="20"/>
                <w:szCs w:val="20"/>
                <w:vertAlign w:val="superscript"/>
              </w:rPr>
              <w:t>st</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14:paraId="0BA674DF" w14:textId="77777777" w:rsidR="009C4D19" w:rsidRPr="00E3685C" w:rsidRDefault="009C4D19" w:rsidP="00D52564">
            <w:pPr>
              <w:jc w:val="center"/>
              <w:rPr>
                <w:sz w:val="20"/>
                <w:szCs w:val="20"/>
              </w:rPr>
            </w:pPr>
            <w:r w:rsidRPr="00E3685C">
              <w:rPr>
                <w:sz w:val="20"/>
                <w:szCs w:val="20"/>
              </w:rPr>
              <w:t>50</w:t>
            </w:r>
          </w:p>
        </w:tc>
        <w:tc>
          <w:tcPr>
            <w:tcW w:w="1170" w:type="dxa"/>
            <w:tcBorders>
              <w:top w:val="nil"/>
              <w:left w:val="nil"/>
              <w:bottom w:val="nil"/>
              <w:right w:val="nil"/>
            </w:tcBorders>
            <w:shd w:val="clear" w:color="auto" w:fill="auto"/>
            <w:noWrap/>
            <w:tcMar>
              <w:left w:w="29" w:type="dxa"/>
              <w:right w:w="29" w:type="dxa"/>
            </w:tcMar>
            <w:vAlign w:val="center"/>
          </w:tcPr>
          <w:p w14:paraId="0BDE34DB" w14:textId="77777777" w:rsidR="009C4D19" w:rsidRPr="00E3685C" w:rsidRDefault="009C4D19" w:rsidP="00D52564">
            <w:pPr>
              <w:jc w:val="center"/>
              <w:rPr>
                <w:sz w:val="20"/>
                <w:szCs w:val="20"/>
              </w:rPr>
            </w:pPr>
            <w:r w:rsidRPr="00E3685C">
              <w:rPr>
                <w:sz w:val="20"/>
                <w:szCs w:val="20"/>
              </w:rPr>
              <w:t>51</w:t>
            </w:r>
          </w:p>
        </w:tc>
        <w:tc>
          <w:tcPr>
            <w:tcW w:w="1080" w:type="dxa"/>
            <w:tcBorders>
              <w:top w:val="nil"/>
              <w:left w:val="nil"/>
              <w:bottom w:val="nil"/>
              <w:right w:val="nil"/>
            </w:tcBorders>
            <w:shd w:val="clear" w:color="auto" w:fill="auto"/>
            <w:noWrap/>
            <w:tcMar>
              <w:left w:w="29" w:type="dxa"/>
              <w:right w:w="29" w:type="dxa"/>
            </w:tcMar>
            <w:vAlign w:val="center"/>
          </w:tcPr>
          <w:p w14:paraId="669E5E9E" w14:textId="77777777" w:rsidR="009C4D19" w:rsidRPr="00E3685C" w:rsidRDefault="009C4D19" w:rsidP="00D52564">
            <w:pPr>
              <w:jc w:val="center"/>
              <w:rPr>
                <w:sz w:val="20"/>
                <w:szCs w:val="20"/>
              </w:rPr>
            </w:pPr>
            <w:r w:rsidRPr="00E3685C">
              <w:rPr>
                <w:sz w:val="20"/>
                <w:szCs w:val="20"/>
              </w:rPr>
              <w:t>52</w:t>
            </w:r>
          </w:p>
        </w:tc>
        <w:tc>
          <w:tcPr>
            <w:tcW w:w="1057" w:type="dxa"/>
            <w:tcBorders>
              <w:top w:val="nil"/>
              <w:left w:val="nil"/>
              <w:bottom w:val="nil"/>
              <w:right w:val="nil"/>
            </w:tcBorders>
            <w:shd w:val="clear" w:color="auto" w:fill="auto"/>
            <w:noWrap/>
            <w:tcMar>
              <w:left w:w="29" w:type="dxa"/>
              <w:right w:w="29" w:type="dxa"/>
            </w:tcMar>
            <w:vAlign w:val="center"/>
          </w:tcPr>
          <w:p w14:paraId="64A0C1EA" w14:textId="77777777" w:rsidR="009C4D19" w:rsidRPr="00E3685C" w:rsidRDefault="009C4D19" w:rsidP="00D52564">
            <w:pPr>
              <w:jc w:val="center"/>
              <w:rPr>
                <w:sz w:val="20"/>
                <w:szCs w:val="20"/>
              </w:rPr>
            </w:pPr>
            <w:r w:rsidRPr="00E3685C">
              <w:rPr>
                <w:sz w:val="20"/>
                <w:szCs w:val="20"/>
              </w:rPr>
              <w:t>53</w:t>
            </w:r>
          </w:p>
        </w:tc>
        <w:tc>
          <w:tcPr>
            <w:tcW w:w="1103" w:type="dxa"/>
            <w:tcBorders>
              <w:top w:val="nil"/>
              <w:left w:val="nil"/>
              <w:bottom w:val="nil"/>
              <w:right w:val="nil"/>
            </w:tcBorders>
            <w:shd w:val="clear" w:color="auto" w:fill="auto"/>
            <w:noWrap/>
            <w:tcMar>
              <w:left w:w="29" w:type="dxa"/>
              <w:right w:w="29" w:type="dxa"/>
            </w:tcMar>
            <w:vAlign w:val="center"/>
          </w:tcPr>
          <w:p w14:paraId="063C2B24" w14:textId="77777777" w:rsidR="009C4D19" w:rsidRPr="00E3685C" w:rsidRDefault="009C4D19" w:rsidP="00D52564">
            <w:pPr>
              <w:jc w:val="center"/>
              <w:rPr>
                <w:sz w:val="20"/>
                <w:szCs w:val="20"/>
              </w:rPr>
            </w:pPr>
            <w:r w:rsidRPr="00E3685C">
              <w:rPr>
                <w:sz w:val="20"/>
                <w:szCs w:val="20"/>
              </w:rPr>
              <w:t>54</w:t>
            </w:r>
          </w:p>
        </w:tc>
      </w:tr>
      <w:tr w:rsidR="009C4D19" w:rsidRPr="00E3685C" w14:paraId="54C696AD" w14:textId="77777777" w:rsidTr="00D52564">
        <w:trPr>
          <w:jc w:val="center"/>
        </w:trPr>
        <w:tc>
          <w:tcPr>
            <w:tcW w:w="2020" w:type="dxa"/>
            <w:tcBorders>
              <w:top w:val="nil"/>
              <w:left w:val="nil"/>
              <w:bottom w:val="nil"/>
              <w:right w:val="nil"/>
            </w:tcBorders>
            <w:shd w:val="clear" w:color="auto" w:fill="auto"/>
            <w:noWrap/>
            <w:vAlign w:val="center"/>
          </w:tcPr>
          <w:p w14:paraId="0835BDC2" w14:textId="77777777" w:rsidR="009C4D19" w:rsidRPr="00E3685C" w:rsidRDefault="009C4D19" w:rsidP="00D52564">
            <w:pPr>
              <w:rPr>
                <w:sz w:val="20"/>
                <w:szCs w:val="20"/>
              </w:rPr>
            </w:pPr>
            <w:r>
              <w:rPr>
                <w:sz w:val="20"/>
                <w:szCs w:val="20"/>
              </w:rPr>
              <w:t>Owners 2</w:t>
            </w:r>
            <w:r w:rsidRPr="007F76D2">
              <w:rPr>
                <w:sz w:val="20"/>
                <w:szCs w:val="20"/>
                <w:vertAlign w:val="superscript"/>
              </w:rPr>
              <w:t>nd</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14:paraId="10BD7A58" w14:textId="77777777" w:rsidR="009C4D19" w:rsidRPr="00E3685C" w:rsidRDefault="009C4D19" w:rsidP="00D52564">
            <w:pPr>
              <w:jc w:val="center"/>
              <w:rPr>
                <w:sz w:val="20"/>
                <w:szCs w:val="20"/>
              </w:rPr>
            </w:pPr>
            <w:r w:rsidRPr="00E3685C">
              <w:rPr>
                <w:sz w:val="20"/>
                <w:szCs w:val="20"/>
              </w:rPr>
              <w:t>65</w:t>
            </w:r>
          </w:p>
        </w:tc>
        <w:tc>
          <w:tcPr>
            <w:tcW w:w="1170" w:type="dxa"/>
            <w:tcBorders>
              <w:top w:val="nil"/>
              <w:left w:val="nil"/>
              <w:bottom w:val="nil"/>
              <w:right w:val="nil"/>
            </w:tcBorders>
            <w:shd w:val="clear" w:color="auto" w:fill="auto"/>
            <w:noWrap/>
            <w:tcMar>
              <w:left w:w="29" w:type="dxa"/>
              <w:right w:w="29" w:type="dxa"/>
            </w:tcMar>
            <w:vAlign w:val="center"/>
          </w:tcPr>
          <w:p w14:paraId="500B44A7" w14:textId="77777777" w:rsidR="009C4D19" w:rsidRPr="00E3685C" w:rsidRDefault="009C4D19" w:rsidP="00D52564">
            <w:pPr>
              <w:jc w:val="center"/>
              <w:rPr>
                <w:sz w:val="20"/>
                <w:szCs w:val="20"/>
              </w:rPr>
            </w:pPr>
            <w:r w:rsidRPr="00E3685C">
              <w:rPr>
                <w:sz w:val="20"/>
                <w:szCs w:val="20"/>
              </w:rPr>
              <w:t>64</w:t>
            </w:r>
          </w:p>
        </w:tc>
        <w:tc>
          <w:tcPr>
            <w:tcW w:w="1080" w:type="dxa"/>
            <w:tcBorders>
              <w:top w:val="nil"/>
              <w:left w:val="nil"/>
              <w:bottom w:val="nil"/>
              <w:right w:val="nil"/>
            </w:tcBorders>
            <w:shd w:val="clear" w:color="auto" w:fill="auto"/>
            <w:noWrap/>
            <w:tcMar>
              <w:left w:w="29" w:type="dxa"/>
              <w:right w:w="29" w:type="dxa"/>
            </w:tcMar>
            <w:vAlign w:val="center"/>
          </w:tcPr>
          <w:p w14:paraId="5B55ADD5" w14:textId="77777777" w:rsidR="009C4D19" w:rsidRPr="00E3685C" w:rsidRDefault="009C4D19" w:rsidP="00D52564">
            <w:pPr>
              <w:jc w:val="center"/>
              <w:rPr>
                <w:sz w:val="20"/>
                <w:szCs w:val="20"/>
              </w:rPr>
            </w:pPr>
            <w:r w:rsidRPr="00E3685C">
              <w:rPr>
                <w:sz w:val="20"/>
                <w:szCs w:val="20"/>
              </w:rPr>
              <w:t>63</w:t>
            </w:r>
          </w:p>
        </w:tc>
        <w:tc>
          <w:tcPr>
            <w:tcW w:w="1057" w:type="dxa"/>
            <w:tcBorders>
              <w:top w:val="nil"/>
              <w:left w:val="nil"/>
              <w:bottom w:val="nil"/>
              <w:right w:val="nil"/>
            </w:tcBorders>
            <w:shd w:val="clear" w:color="auto" w:fill="auto"/>
            <w:noWrap/>
            <w:tcMar>
              <w:left w:w="29" w:type="dxa"/>
              <w:right w:w="29" w:type="dxa"/>
            </w:tcMar>
            <w:vAlign w:val="center"/>
          </w:tcPr>
          <w:p w14:paraId="00FAA531" w14:textId="77777777" w:rsidR="009C4D19" w:rsidRPr="00E3685C" w:rsidRDefault="009C4D19" w:rsidP="00D52564">
            <w:pPr>
              <w:jc w:val="center"/>
              <w:rPr>
                <w:sz w:val="20"/>
                <w:szCs w:val="20"/>
              </w:rPr>
            </w:pPr>
            <w:r w:rsidRPr="00E3685C">
              <w:rPr>
                <w:sz w:val="20"/>
                <w:szCs w:val="20"/>
              </w:rPr>
              <w:t>62</w:t>
            </w:r>
          </w:p>
        </w:tc>
        <w:tc>
          <w:tcPr>
            <w:tcW w:w="1103" w:type="dxa"/>
            <w:tcBorders>
              <w:top w:val="nil"/>
              <w:left w:val="nil"/>
              <w:bottom w:val="nil"/>
              <w:right w:val="nil"/>
            </w:tcBorders>
            <w:shd w:val="clear" w:color="auto" w:fill="auto"/>
            <w:noWrap/>
            <w:tcMar>
              <w:left w:w="29" w:type="dxa"/>
              <w:right w:w="29" w:type="dxa"/>
            </w:tcMar>
            <w:vAlign w:val="center"/>
          </w:tcPr>
          <w:p w14:paraId="2A9FEFFD" w14:textId="77777777" w:rsidR="009C4D19" w:rsidRPr="00E3685C" w:rsidRDefault="009C4D19" w:rsidP="00D52564">
            <w:pPr>
              <w:jc w:val="center"/>
              <w:rPr>
                <w:sz w:val="20"/>
                <w:szCs w:val="20"/>
              </w:rPr>
            </w:pPr>
            <w:r w:rsidRPr="00E3685C">
              <w:rPr>
                <w:sz w:val="20"/>
                <w:szCs w:val="20"/>
              </w:rPr>
              <w:t>61</w:t>
            </w:r>
          </w:p>
        </w:tc>
      </w:tr>
      <w:tr w:rsidR="009C4D19" w:rsidRPr="00E3685C" w14:paraId="5EE83F78" w14:textId="77777777" w:rsidTr="00D52564">
        <w:trPr>
          <w:jc w:val="center"/>
        </w:trPr>
        <w:tc>
          <w:tcPr>
            <w:tcW w:w="2020" w:type="dxa"/>
            <w:tcBorders>
              <w:top w:val="nil"/>
              <w:left w:val="nil"/>
              <w:bottom w:val="nil"/>
              <w:right w:val="nil"/>
            </w:tcBorders>
            <w:shd w:val="clear" w:color="auto" w:fill="auto"/>
            <w:noWrap/>
            <w:vAlign w:val="center"/>
          </w:tcPr>
          <w:p w14:paraId="618F410D" w14:textId="77777777" w:rsidR="009C4D19" w:rsidRPr="00E3685C" w:rsidRDefault="009C4D19" w:rsidP="00D52564">
            <w:pPr>
              <w:rPr>
                <w:sz w:val="20"/>
                <w:szCs w:val="20"/>
              </w:rPr>
            </w:pPr>
            <w:r w:rsidRPr="00E3685C">
              <w:rPr>
                <w:sz w:val="20"/>
                <w:szCs w:val="20"/>
              </w:rPr>
              <w:t>Owners 3</w:t>
            </w:r>
            <w:r w:rsidRPr="00E3685C">
              <w:rPr>
                <w:sz w:val="20"/>
                <w:szCs w:val="20"/>
                <w:vertAlign w:val="superscript"/>
              </w:rPr>
              <w:t>rd</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14:paraId="4FBF7BEB" w14:textId="77777777" w:rsidR="009C4D19" w:rsidRPr="00E3685C" w:rsidRDefault="009C4D19" w:rsidP="00D52564">
            <w:pPr>
              <w:jc w:val="center"/>
              <w:rPr>
                <w:sz w:val="20"/>
                <w:szCs w:val="20"/>
              </w:rPr>
            </w:pPr>
            <w:r w:rsidRPr="00E3685C">
              <w:rPr>
                <w:sz w:val="20"/>
                <w:szCs w:val="20"/>
              </w:rPr>
              <w:t>70</w:t>
            </w:r>
          </w:p>
        </w:tc>
        <w:tc>
          <w:tcPr>
            <w:tcW w:w="1170" w:type="dxa"/>
            <w:tcBorders>
              <w:top w:val="nil"/>
              <w:left w:val="nil"/>
              <w:bottom w:val="nil"/>
              <w:right w:val="nil"/>
            </w:tcBorders>
            <w:shd w:val="clear" w:color="auto" w:fill="auto"/>
            <w:noWrap/>
            <w:tcMar>
              <w:left w:w="29" w:type="dxa"/>
              <w:right w:w="29" w:type="dxa"/>
            </w:tcMar>
            <w:vAlign w:val="center"/>
          </w:tcPr>
          <w:p w14:paraId="0001CB4E" w14:textId="77777777" w:rsidR="009C4D19" w:rsidRPr="00E3685C" w:rsidRDefault="009C4D19" w:rsidP="00D52564">
            <w:pPr>
              <w:jc w:val="center"/>
              <w:rPr>
                <w:sz w:val="20"/>
                <w:szCs w:val="20"/>
              </w:rPr>
            </w:pPr>
            <w:r w:rsidRPr="00E3685C">
              <w:rPr>
                <w:sz w:val="20"/>
                <w:szCs w:val="20"/>
              </w:rPr>
              <w:t>71</w:t>
            </w:r>
          </w:p>
        </w:tc>
        <w:tc>
          <w:tcPr>
            <w:tcW w:w="1080" w:type="dxa"/>
            <w:tcBorders>
              <w:top w:val="nil"/>
              <w:left w:val="nil"/>
              <w:bottom w:val="nil"/>
              <w:right w:val="nil"/>
            </w:tcBorders>
            <w:shd w:val="clear" w:color="auto" w:fill="auto"/>
            <w:noWrap/>
            <w:tcMar>
              <w:left w:w="29" w:type="dxa"/>
              <w:right w:w="29" w:type="dxa"/>
            </w:tcMar>
            <w:vAlign w:val="center"/>
          </w:tcPr>
          <w:p w14:paraId="5FE11626" w14:textId="77777777" w:rsidR="009C4D19" w:rsidRPr="00E3685C" w:rsidRDefault="009C4D19" w:rsidP="00D52564">
            <w:pPr>
              <w:jc w:val="center"/>
              <w:rPr>
                <w:sz w:val="20"/>
                <w:szCs w:val="20"/>
              </w:rPr>
            </w:pPr>
            <w:r w:rsidRPr="00E3685C">
              <w:rPr>
                <w:sz w:val="20"/>
                <w:szCs w:val="20"/>
              </w:rPr>
              <w:t>72</w:t>
            </w:r>
          </w:p>
        </w:tc>
        <w:tc>
          <w:tcPr>
            <w:tcW w:w="1057" w:type="dxa"/>
            <w:tcBorders>
              <w:top w:val="nil"/>
              <w:left w:val="nil"/>
              <w:bottom w:val="nil"/>
              <w:right w:val="nil"/>
            </w:tcBorders>
            <w:shd w:val="clear" w:color="auto" w:fill="auto"/>
            <w:noWrap/>
            <w:tcMar>
              <w:left w:w="29" w:type="dxa"/>
              <w:right w:w="29" w:type="dxa"/>
            </w:tcMar>
            <w:vAlign w:val="center"/>
          </w:tcPr>
          <w:p w14:paraId="591B8D17" w14:textId="77777777" w:rsidR="009C4D19" w:rsidRPr="00E3685C" w:rsidRDefault="009C4D19" w:rsidP="00D52564">
            <w:pPr>
              <w:jc w:val="center"/>
              <w:rPr>
                <w:sz w:val="20"/>
                <w:szCs w:val="20"/>
              </w:rPr>
            </w:pPr>
            <w:r w:rsidRPr="00E3685C">
              <w:rPr>
                <w:sz w:val="20"/>
                <w:szCs w:val="20"/>
              </w:rPr>
              <w:t>73</w:t>
            </w:r>
          </w:p>
        </w:tc>
        <w:tc>
          <w:tcPr>
            <w:tcW w:w="1103" w:type="dxa"/>
            <w:tcBorders>
              <w:top w:val="nil"/>
              <w:left w:val="nil"/>
              <w:bottom w:val="nil"/>
              <w:right w:val="nil"/>
            </w:tcBorders>
            <w:shd w:val="clear" w:color="auto" w:fill="auto"/>
            <w:noWrap/>
            <w:tcMar>
              <w:left w:w="29" w:type="dxa"/>
              <w:right w:w="29" w:type="dxa"/>
            </w:tcMar>
            <w:vAlign w:val="center"/>
          </w:tcPr>
          <w:p w14:paraId="11009887" w14:textId="77777777" w:rsidR="009C4D19" w:rsidRPr="00E3685C" w:rsidRDefault="009C4D19" w:rsidP="00D52564">
            <w:pPr>
              <w:jc w:val="center"/>
              <w:rPr>
                <w:sz w:val="20"/>
                <w:szCs w:val="20"/>
              </w:rPr>
            </w:pPr>
            <w:r w:rsidRPr="00E3685C">
              <w:rPr>
                <w:sz w:val="20"/>
                <w:szCs w:val="20"/>
              </w:rPr>
              <w:t>74</w:t>
            </w:r>
          </w:p>
        </w:tc>
      </w:tr>
      <w:tr w:rsidR="009C4D19" w:rsidRPr="00E3685C" w14:paraId="79C250B5" w14:textId="77777777" w:rsidTr="00D52564">
        <w:trPr>
          <w:jc w:val="center"/>
        </w:trPr>
        <w:tc>
          <w:tcPr>
            <w:tcW w:w="2020" w:type="dxa"/>
            <w:tcBorders>
              <w:top w:val="nil"/>
              <w:left w:val="nil"/>
              <w:bottom w:val="nil"/>
              <w:right w:val="nil"/>
            </w:tcBorders>
            <w:shd w:val="clear" w:color="auto" w:fill="auto"/>
            <w:noWrap/>
            <w:vAlign w:val="center"/>
          </w:tcPr>
          <w:p w14:paraId="0ED7C2ED" w14:textId="77777777" w:rsidR="009C4D19" w:rsidRPr="00E3685C" w:rsidRDefault="009C4D19" w:rsidP="00D52564">
            <w:pPr>
              <w:rPr>
                <w:sz w:val="20"/>
                <w:szCs w:val="20"/>
              </w:rPr>
            </w:pPr>
            <w:r w:rsidRPr="00E3685C">
              <w:rPr>
                <w:sz w:val="20"/>
                <w:szCs w:val="20"/>
              </w:rPr>
              <w:t>Owners 4</w:t>
            </w:r>
            <w:r w:rsidRPr="00E3685C">
              <w:rPr>
                <w:sz w:val="20"/>
                <w:szCs w:val="20"/>
                <w:vertAlign w:val="superscript"/>
              </w:rPr>
              <w:t>th</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14:paraId="065DB9E5" w14:textId="77777777" w:rsidR="009C4D19" w:rsidRPr="00E3685C" w:rsidRDefault="009C4D19" w:rsidP="00D52564">
            <w:pPr>
              <w:jc w:val="center"/>
              <w:rPr>
                <w:sz w:val="20"/>
                <w:szCs w:val="20"/>
              </w:rPr>
            </w:pPr>
            <w:r w:rsidRPr="00E3685C">
              <w:rPr>
                <w:sz w:val="20"/>
                <w:szCs w:val="20"/>
              </w:rPr>
              <w:t>85</w:t>
            </w:r>
          </w:p>
        </w:tc>
        <w:tc>
          <w:tcPr>
            <w:tcW w:w="1170" w:type="dxa"/>
            <w:tcBorders>
              <w:top w:val="nil"/>
              <w:left w:val="nil"/>
              <w:bottom w:val="nil"/>
              <w:right w:val="nil"/>
            </w:tcBorders>
            <w:shd w:val="clear" w:color="auto" w:fill="auto"/>
            <w:noWrap/>
            <w:tcMar>
              <w:left w:w="29" w:type="dxa"/>
              <w:right w:w="29" w:type="dxa"/>
            </w:tcMar>
            <w:vAlign w:val="center"/>
          </w:tcPr>
          <w:p w14:paraId="54B137B8" w14:textId="77777777" w:rsidR="009C4D19" w:rsidRPr="00E3685C" w:rsidRDefault="009C4D19" w:rsidP="00D52564">
            <w:pPr>
              <w:jc w:val="center"/>
              <w:rPr>
                <w:sz w:val="20"/>
                <w:szCs w:val="20"/>
              </w:rPr>
            </w:pPr>
            <w:r w:rsidRPr="00E3685C">
              <w:rPr>
                <w:sz w:val="20"/>
                <w:szCs w:val="20"/>
              </w:rPr>
              <w:t>84</w:t>
            </w:r>
          </w:p>
        </w:tc>
        <w:tc>
          <w:tcPr>
            <w:tcW w:w="1080" w:type="dxa"/>
            <w:tcBorders>
              <w:top w:val="nil"/>
              <w:left w:val="nil"/>
              <w:bottom w:val="nil"/>
              <w:right w:val="nil"/>
            </w:tcBorders>
            <w:shd w:val="clear" w:color="auto" w:fill="auto"/>
            <w:noWrap/>
            <w:tcMar>
              <w:left w:w="29" w:type="dxa"/>
              <w:right w:w="29" w:type="dxa"/>
            </w:tcMar>
            <w:vAlign w:val="center"/>
          </w:tcPr>
          <w:p w14:paraId="2DB36A28" w14:textId="77777777" w:rsidR="009C4D19" w:rsidRPr="00E3685C" w:rsidRDefault="009C4D19" w:rsidP="00D52564">
            <w:pPr>
              <w:jc w:val="center"/>
              <w:rPr>
                <w:sz w:val="20"/>
                <w:szCs w:val="20"/>
              </w:rPr>
            </w:pPr>
            <w:r w:rsidRPr="00E3685C">
              <w:rPr>
                <w:sz w:val="20"/>
                <w:szCs w:val="20"/>
              </w:rPr>
              <w:t>83</w:t>
            </w:r>
          </w:p>
        </w:tc>
        <w:tc>
          <w:tcPr>
            <w:tcW w:w="1057" w:type="dxa"/>
            <w:tcBorders>
              <w:top w:val="nil"/>
              <w:left w:val="nil"/>
              <w:bottom w:val="nil"/>
              <w:right w:val="nil"/>
            </w:tcBorders>
            <w:shd w:val="clear" w:color="auto" w:fill="auto"/>
            <w:noWrap/>
            <w:tcMar>
              <w:left w:w="29" w:type="dxa"/>
              <w:right w:w="29" w:type="dxa"/>
            </w:tcMar>
            <w:vAlign w:val="center"/>
          </w:tcPr>
          <w:p w14:paraId="56FC51FA" w14:textId="77777777" w:rsidR="009C4D19" w:rsidRPr="00E3685C" w:rsidRDefault="009C4D19" w:rsidP="00D52564">
            <w:pPr>
              <w:jc w:val="center"/>
              <w:rPr>
                <w:sz w:val="20"/>
                <w:szCs w:val="20"/>
              </w:rPr>
            </w:pPr>
            <w:r w:rsidRPr="00E3685C">
              <w:rPr>
                <w:sz w:val="20"/>
                <w:szCs w:val="20"/>
              </w:rPr>
              <w:t>82</w:t>
            </w:r>
          </w:p>
        </w:tc>
        <w:tc>
          <w:tcPr>
            <w:tcW w:w="1103" w:type="dxa"/>
            <w:tcBorders>
              <w:top w:val="nil"/>
              <w:left w:val="nil"/>
              <w:bottom w:val="nil"/>
              <w:right w:val="nil"/>
            </w:tcBorders>
            <w:shd w:val="clear" w:color="auto" w:fill="auto"/>
            <w:noWrap/>
            <w:tcMar>
              <w:left w:w="29" w:type="dxa"/>
              <w:right w:w="29" w:type="dxa"/>
            </w:tcMar>
            <w:vAlign w:val="center"/>
          </w:tcPr>
          <w:p w14:paraId="28E1CEAB" w14:textId="77777777" w:rsidR="009C4D19" w:rsidRPr="00E3685C" w:rsidRDefault="009C4D19" w:rsidP="00D52564">
            <w:pPr>
              <w:jc w:val="center"/>
              <w:rPr>
                <w:sz w:val="20"/>
                <w:szCs w:val="20"/>
              </w:rPr>
            </w:pPr>
            <w:r w:rsidRPr="00E3685C">
              <w:rPr>
                <w:sz w:val="20"/>
                <w:szCs w:val="20"/>
              </w:rPr>
              <w:t>81</w:t>
            </w:r>
          </w:p>
        </w:tc>
      </w:tr>
      <w:tr w:rsidR="009C4D19" w:rsidRPr="00E3685C" w14:paraId="1D2A7ED2" w14:textId="77777777" w:rsidTr="00D52564">
        <w:trPr>
          <w:jc w:val="center"/>
        </w:trPr>
        <w:tc>
          <w:tcPr>
            <w:tcW w:w="2020" w:type="dxa"/>
            <w:tcBorders>
              <w:top w:val="nil"/>
              <w:left w:val="nil"/>
              <w:bottom w:val="single" w:sz="4" w:space="0" w:color="auto"/>
              <w:right w:val="nil"/>
            </w:tcBorders>
            <w:shd w:val="clear" w:color="auto" w:fill="auto"/>
            <w:noWrap/>
            <w:tcMar>
              <w:left w:w="115" w:type="dxa"/>
              <w:right w:w="115" w:type="dxa"/>
            </w:tcMar>
            <w:vAlign w:val="center"/>
          </w:tcPr>
          <w:p w14:paraId="2E9F20BF" w14:textId="77777777" w:rsidR="009C4D19" w:rsidRPr="00E3685C" w:rsidRDefault="009C4D19" w:rsidP="00D52564">
            <w:pPr>
              <w:rPr>
                <w:sz w:val="20"/>
                <w:szCs w:val="20"/>
              </w:rPr>
            </w:pPr>
            <w:r>
              <w:rPr>
                <w:sz w:val="20"/>
                <w:szCs w:val="20"/>
              </w:rPr>
              <w:t>Other</w:t>
            </w:r>
          </w:p>
        </w:tc>
        <w:tc>
          <w:tcPr>
            <w:tcW w:w="1130" w:type="dxa"/>
            <w:tcBorders>
              <w:top w:val="nil"/>
              <w:left w:val="nil"/>
              <w:bottom w:val="single" w:sz="4" w:space="0" w:color="auto"/>
              <w:right w:val="nil"/>
            </w:tcBorders>
            <w:shd w:val="clear" w:color="auto" w:fill="auto"/>
            <w:noWrap/>
            <w:tcMar>
              <w:left w:w="115" w:type="dxa"/>
              <w:right w:w="115" w:type="dxa"/>
            </w:tcMar>
            <w:vAlign w:val="center"/>
          </w:tcPr>
          <w:p w14:paraId="29B815EE" w14:textId="77777777" w:rsidR="009C4D19" w:rsidRPr="00E3685C" w:rsidRDefault="009C4D19" w:rsidP="00D52564">
            <w:pPr>
              <w:jc w:val="center"/>
              <w:rPr>
                <w:sz w:val="20"/>
                <w:szCs w:val="20"/>
              </w:rPr>
            </w:pPr>
          </w:p>
        </w:tc>
        <w:tc>
          <w:tcPr>
            <w:tcW w:w="1170" w:type="dxa"/>
            <w:tcBorders>
              <w:top w:val="nil"/>
              <w:left w:val="nil"/>
              <w:bottom w:val="single" w:sz="4" w:space="0" w:color="auto"/>
              <w:right w:val="nil"/>
            </w:tcBorders>
            <w:shd w:val="clear" w:color="auto" w:fill="auto"/>
            <w:noWrap/>
            <w:tcMar>
              <w:left w:w="115" w:type="dxa"/>
              <w:right w:w="115" w:type="dxa"/>
            </w:tcMar>
            <w:vAlign w:val="center"/>
          </w:tcPr>
          <w:p w14:paraId="162E1D6F" w14:textId="77777777" w:rsidR="009C4D19" w:rsidRPr="00E3685C" w:rsidRDefault="009C4D19" w:rsidP="00D52564">
            <w:pPr>
              <w:jc w:val="center"/>
              <w:rPr>
                <w:sz w:val="20"/>
                <w:szCs w:val="20"/>
              </w:rPr>
            </w:pPr>
          </w:p>
        </w:tc>
        <w:tc>
          <w:tcPr>
            <w:tcW w:w="1080" w:type="dxa"/>
            <w:tcBorders>
              <w:top w:val="nil"/>
              <w:left w:val="nil"/>
              <w:bottom w:val="single" w:sz="4" w:space="0" w:color="auto"/>
              <w:right w:val="nil"/>
            </w:tcBorders>
            <w:shd w:val="clear" w:color="auto" w:fill="auto"/>
            <w:noWrap/>
            <w:tcMar>
              <w:left w:w="115" w:type="dxa"/>
              <w:right w:w="115" w:type="dxa"/>
            </w:tcMar>
            <w:vAlign w:val="center"/>
          </w:tcPr>
          <w:p w14:paraId="022BFA3A" w14:textId="77777777" w:rsidR="009C4D19" w:rsidRPr="00E3685C" w:rsidRDefault="009C4D19" w:rsidP="00D52564">
            <w:pPr>
              <w:jc w:val="center"/>
              <w:rPr>
                <w:sz w:val="20"/>
                <w:szCs w:val="20"/>
              </w:rPr>
            </w:pPr>
            <w:r>
              <w:rPr>
                <w:sz w:val="20"/>
                <w:szCs w:val="20"/>
              </w:rPr>
              <w:t>99</w:t>
            </w:r>
          </w:p>
        </w:tc>
        <w:tc>
          <w:tcPr>
            <w:tcW w:w="1057" w:type="dxa"/>
            <w:tcBorders>
              <w:top w:val="nil"/>
              <w:left w:val="nil"/>
              <w:bottom w:val="single" w:sz="4" w:space="0" w:color="auto"/>
              <w:right w:val="nil"/>
            </w:tcBorders>
            <w:shd w:val="clear" w:color="auto" w:fill="auto"/>
            <w:noWrap/>
            <w:tcMar>
              <w:left w:w="115" w:type="dxa"/>
              <w:right w:w="115" w:type="dxa"/>
            </w:tcMar>
            <w:vAlign w:val="center"/>
          </w:tcPr>
          <w:p w14:paraId="6C2B40CF" w14:textId="77777777" w:rsidR="009C4D19" w:rsidRPr="00E3685C" w:rsidRDefault="009C4D19" w:rsidP="00D52564">
            <w:pPr>
              <w:jc w:val="center"/>
              <w:rPr>
                <w:sz w:val="20"/>
                <w:szCs w:val="20"/>
              </w:rPr>
            </w:pPr>
          </w:p>
        </w:tc>
        <w:tc>
          <w:tcPr>
            <w:tcW w:w="1103" w:type="dxa"/>
            <w:tcBorders>
              <w:top w:val="nil"/>
              <w:left w:val="nil"/>
              <w:bottom w:val="single" w:sz="4" w:space="0" w:color="auto"/>
              <w:right w:val="nil"/>
            </w:tcBorders>
            <w:shd w:val="clear" w:color="auto" w:fill="auto"/>
            <w:noWrap/>
            <w:tcMar>
              <w:left w:w="115" w:type="dxa"/>
              <w:right w:w="115" w:type="dxa"/>
            </w:tcMar>
            <w:vAlign w:val="center"/>
          </w:tcPr>
          <w:p w14:paraId="526238D1" w14:textId="77777777" w:rsidR="009C4D19" w:rsidRPr="00E3685C" w:rsidRDefault="009C4D19" w:rsidP="00D52564">
            <w:pPr>
              <w:jc w:val="center"/>
              <w:rPr>
                <w:sz w:val="20"/>
                <w:szCs w:val="20"/>
              </w:rPr>
            </w:pPr>
          </w:p>
        </w:tc>
      </w:tr>
    </w:tbl>
    <w:p w14:paraId="0250106A" w14:textId="77777777" w:rsidR="009C4D19" w:rsidRDefault="009C4D19" w:rsidP="009C4D19"/>
    <w:p w14:paraId="1E09EB8C" w14:textId="77777777" w:rsidR="00505B67" w:rsidRDefault="00505B67" w:rsidP="009C4D19"/>
    <w:p w14:paraId="55FB8051" w14:textId="44FE8CA0" w:rsidR="001041FE" w:rsidRPr="00E3685C" w:rsidRDefault="00150F8E" w:rsidP="001041FE">
      <w:pPr>
        <w:ind w:left="432"/>
      </w:pPr>
      <w:r>
        <w:t>To draw a systematic sample</w:t>
      </w:r>
      <w:r w:rsidR="00505B67" w:rsidRPr="00505B67">
        <w:t xml:space="preserve"> </w:t>
      </w:r>
      <w:r w:rsidR="00505B67">
        <w:t>in the Unit frame</w:t>
      </w:r>
      <w:r>
        <w:t xml:space="preserve">, the addresses are sorted by PSU, </w:t>
      </w:r>
      <w:r w:rsidR="00D84E97" w:rsidRPr="00D84E97">
        <w:t>Federal Information Processing Standards</w:t>
      </w:r>
      <w:r w:rsidR="00D84E97">
        <w:t xml:space="preserve"> </w:t>
      </w:r>
      <w:r w:rsidR="0021665C">
        <w:t>(</w:t>
      </w:r>
      <w:r>
        <w:t>FIPS</w:t>
      </w:r>
      <w:r w:rsidR="0021665C">
        <w:t>)</w:t>
      </w:r>
      <w:r>
        <w:t xml:space="preserve"> State code, FIPS County code, CE stratification variable (described above), Census Tract code, Census Block code, Street name, Street number, </w:t>
      </w:r>
      <w:r>
        <w:rPr>
          <w:color w:val="000000"/>
        </w:rPr>
        <w:t>and MAFID code.</w:t>
      </w:r>
    </w:p>
    <w:p w14:paraId="2C767ACB" w14:textId="77777777" w:rsidR="001041FE" w:rsidRPr="00E3685C" w:rsidRDefault="001041FE" w:rsidP="001041FE">
      <w:pPr>
        <w:ind w:left="432"/>
      </w:pPr>
    </w:p>
    <w:p w14:paraId="58518FA4" w14:textId="14BCE371" w:rsidR="001041FE" w:rsidRDefault="00150F8E" w:rsidP="001041FE">
      <w:pPr>
        <w:ind w:left="432"/>
      </w:pPr>
      <w:r>
        <w:t>To draw a systematic sample</w:t>
      </w:r>
      <w:r w:rsidR="00505B67" w:rsidRPr="00505B67">
        <w:t xml:space="preserve"> </w:t>
      </w:r>
      <w:r w:rsidR="00505B67">
        <w:t>in the Group Quarters frame</w:t>
      </w:r>
      <w:r>
        <w:t>, the addresses are sorted by PSU, FIPS State code, FIPS County code, Census Tract code, CHPCT, and Census Block code</w:t>
      </w:r>
      <w:r w:rsidR="00EC671D">
        <w:t xml:space="preserve">.  The variable </w:t>
      </w:r>
      <w:r>
        <w:t>CHPCT is the “percent of college housing.”</w:t>
      </w:r>
      <w:r w:rsidR="001E2879">
        <w:t xml:space="preserve">  Research on t</w:t>
      </w:r>
      <w:r w:rsidR="00B07CD0">
        <w:t xml:space="preserve">he college housing population </w:t>
      </w:r>
      <w:r w:rsidR="00EA770E">
        <w:t>shows it is</w:t>
      </w:r>
      <w:r w:rsidR="001E2879">
        <w:t xml:space="preserve"> </w:t>
      </w:r>
      <w:r w:rsidR="00B07CD0">
        <w:t xml:space="preserve">very different than the rest of the </w:t>
      </w:r>
      <w:r w:rsidR="001E2879">
        <w:t xml:space="preserve">civilian non-institutional population in the </w:t>
      </w:r>
      <w:r w:rsidR="00B07CD0">
        <w:t xml:space="preserve">GQ frame, so using it as a stratification variable </w:t>
      </w:r>
      <w:r w:rsidR="001E2879">
        <w:t>produces a more representative systematic sample of GQ housing.</w:t>
      </w:r>
    </w:p>
    <w:p w14:paraId="5E8DA5A9" w14:textId="77777777" w:rsidR="00293BD0" w:rsidRDefault="00293BD0" w:rsidP="001041FE">
      <w:pPr>
        <w:ind w:left="432"/>
      </w:pPr>
    </w:p>
    <w:p w14:paraId="5F5C2BE3" w14:textId="4343F2BC" w:rsidR="00505B67" w:rsidRDefault="00505B67" w:rsidP="00505B67">
      <w:pPr>
        <w:pStyle w:val="BodyTextIndent2"/>
        <w:ind w:left="432"/>
      </w:pPr>
      <w:r>
        <w:t xml:space="preserve">For more information on sampling within PSUs for the CE Surveys, </w:t>
      </w:r>
      <w:r w:rsidR="0042117A">
        <w:t xml:space="preserve">please </w:t>
      </w:r>
      <w:r>
        <w:t xml:space="preserve">refer to </w:t>
      </w:r>
      <w:r w:rsidRPr="00E3685C">
        <w:t xml:space="preserve">the </w:t>
      </w:r>
      <w:r>
        <w:t>paper from Susan King on</w:t>
      </w:r>
      <w:r w:rsidRPr="00E3685C">
        <w:t xml:space="preserve"> </w:t>
      </w:r>
      <w:r>
        <w:t>“</w:t>
      </w:r>
      <w:r w:rsidRPr="00E3685C">
        <w:t>Selecting a</w:t>
      </w:r>
      <w:r>
        <w:t xml:space="preserve"> Sample </w:t>
      </w:r>
      <w:r w:rsidRPr="00E3685C">
        <w:t>of Households</w:t>
      </w:r>
      <w:r>
        <w:t xml:space="preserve"> for the Consumer Expenditure Survey” (Attachment P).</w:t>
      </w:r>
    </w:p>
    <w:p w14:paraId="6E0C9FD8" w14:textId="77777777" w:rsidR="00505B67" w:rsidRDefault="00505B67" w:rsidP="00505B67">
      <w:pPr>
        <w:pStyle w:val="BodyTextIndent2"/>
        <w:ind w:left="432"/>
      </w:pPr>
    </w:p>
    <w:p w14:paraId="1E153D0C" w14:textId="77777777" w:rsidR="001041FE" w:rsidRDefault="001041FE" w:rsidP="001041FE">
      <w:pPr>
        <w:pStyle w:val="BodyText"/>
        <w:ind w:left="432"/>
        <w:rPr>
          <w:u w:val="single"/>
        </w:rPr>
      </w:pPr>
      <w:r>
        <w:rPr>
          <w:u w:val="single"/>
        </w:rPr>
        <w:t>Estimation</w:t>
      </w:r>
    </w:p>
    <w:p w14:paraId="694B2585" w14:textId="2D6E339A" w:rsidR="001041FE" w:rsidRPr="00E3685C" w:rsidRDefault="001041FE" w:rsidP="001041FE">
      <w:pPr>
        <w:pStyle w:val="BodyText"/>
        <w:ind w:left="432"/>
      </w:pPr>
      <w:r>
        <w:t>The estimation procedure for both the CED and CEQ follow well-</w:t>
      </w:r>
      <w:r w:rsidRPr="00E3685C">
        <w:t>established</w:t>
      </w:r>
      <w:r>
        <w:t xml:space="preserve"> statistical principles</w:t>
      </w:r>
      <w:r w:rsidRPr="00E3685C">
        <w:t xml:space="preserve">.  The </w:t>
      </w:r>
      <w:r>
        <w:t xml:space="preserve">final weight for each sample CU is the product of </w:t>
      </w:r>
      <w:r w:rsidR="00B3703D">
        <w:t xml:space="preserve">its base weight (which is </w:t>
      </w:r>
      <w:r>
        <w:t xml:space="preserve">the inverse of </w:t>
      </w:r>
      <w:r w:rsidR="00463A00">
        <w:t>the CU’s</w:t>
      </w:r>
      <w:r>
        <w:t xml:space="preserve"> probability of selection</w:t>
      </w:r>
      <w:r w:rsidR="00B3703D">
        <w:t>)</w:t>
      </w:r>
      <w:r>
        <w:t>; a</w:t>
      </w:r>
      <w:r w:rsidR="00EC671D">
        <w:t>n</w:t>
      </w:r>
      <w:r>
        <w:t xml:space="preserve"> adjustment to account for noninterviews; and a </w:t>
      </w:r>
      <w:r w:rsidRPr="00E3685C">
        <w:t>calibration</w:t>
      </w:r>
      <w:r>
        <w:t xml:space="preserve"> adjustment that post-</w:t>
      </w:r>
      <w:r w:rsidRPr="00E3685C">
        <w:t>stratifies the weights</w:t>
      </w:r>
      <w:r>
        <w:t xml:space="preserve"> to </w:t>
      </w:r>
      <w:r w:rsidRPr="00E3685C">
        <w:t>account</w:t>
      </w:r>
      <w:r>
        <w:t xml:space="preserve"> for population </w:t>
      </w:r>
      <w:r w:rsidRPr="00E3685C">
        <w:t>undercoverage.</w:t>
      </w:r>
      <w:r w:rsidR="00B3703D">
        <w:t xml:space="preserve">  A typical base weight for a CU </w:t>
      </w:r>
      <w:r w:rsidR="00463A00">
        <w:lastRenderedPageBreak/>
        <w:t xml:space="preserve">in the CEQ </w:t>
      </w:r>
      <w:r w:rsidR="00B3703D">
        <w:t xml:space="preserve">is </w:t>
      </w:r>
      <w:r w:rsidR="007E0399">
        <w:t xml:space="preserve">approximately </w:t>
      </w:r>
      <w:r w:rsidR="00B3703D">
        <w:t>10,000, which means it represents 10,000 CUs</w:t>
      </w:r>
      <w:r w:rsidR="00A93DE7">
        <w:t xml:space="preserve"> </w:t>
      </w:r>
      <w:r w:rsidR="00B3703D">
        <w:t xml:space="preserve">– itself plus 9,999 other CUs that were not selected for the survey.  A typical final weight is </w:t>
      </w:r>
      <w:r w:rsidR="007E0399">
        <w:t xml:space="preserve">approximately </w:t>
      </w:r>
      <w:r w:rsidR="00B3703D">
        <w:t xml:space="preserve">18,000, which means it represents 18,000 CUs – itself plus 17,999 other CUs that </w:t>
      </w:r>
      <w:r w:rsidR="0015295A">
        <w:t xml:space="preserve">were not selected for the survey and/or </w:t>
      </w:r>
      <w:r w:rsidR="00B3703D">
        <w:t>did not participate in the survey.</w:t>
      </w:r>
    </w:p>
    <w:p w14:paraId="02EB4CDE" w14:textId="77777777" w:rsidR="001041FE" w:rsidRPr="00E3685C" w:rsidRDefault="001041FE" w:rsidP="001041FE">
      <w:pPr>
        <w:pStyle w:val="BodyText"/>
        <w:ind w:left="432"/>
      </w:pPr>
    </w:p>
    <w:p w14:paraId="17F08331" w14:textId="195BAF51" w:rsidR="001041FE" w:rsidRDefault="001041FE" w:rsidP="001041FE">
      <w:pPr>
        <w:tabs>
          <w:tab w:val="left" w:pos="1176"/>
          <w:tab w:val="left" w:pos="1656"/>
          <w:tab w:val="left" w:pos="5016"/>
          <w:tab w:val="left" w:pos="6696"/>
          <w:tab w:val="left" w:pos="8256"/>
        </w:tabs>
        <w:ind w:left="432"/>
      </w:pPr>
      <w:r>
        <w:t xml:space="preserve">For additional information on the sample design and estimation methodology used in the CE surveys, </w:t>
      </w:r>
      <w:r w:rsidR="0042117A">
        <w:t xml:space="preserve">please </w:t>
      </w:r>
      <w:r>
        <w:t xml:space="preserve">refer to </w:t>
      </w:r>
      <w:r w:rsidRPr="00E3685C">
        <w:t>“</w:t>
      </w:r>
      <w:r>
        <w:t>Chapter 16, Consumer Expenditures and Income</w:t>
      </w:r>
      <w:r w:rsidRPr="00E3685C">
        <w:t>”</w:t>
      </w:r>
      <w:r>
        <w:t xml:space="preserve"> in the </w:t>
      </w:r>
      <w:r w:rsidRPr="002C264E">
        <w:rPr>
          <w:i/>
        </w:rPr>
        <w:t>BLS Handbook of Methods</w:t>
      </w:r>
      <w:r>
        <w:rPr>
          <w:i/>
        </w:rPr>
        <w:t xml:space="preserve"> </w:t>
      </w:r>
      <w:r>
        <w:t>(</w:t>
      </w:r>
      <w:r w:rsidR="00830181">
        <w:t>A</w:t>
      </w:r>
      <w:r>
        <w:t xml:space="preserve">ttachment </w:t>
      </w:r>
      <w:r w:rsidR="00C7783D">
        <w:t>S</w:t>
      </w:r>
      <w:r>
        <w:t>)</w:t>
      </w:r>
      <w:r w:rsidR="007E0399">
        <w:t xml:space="preserve">; </w:t>
      </w:r>
      <w:r w:rsidR="00B01841">
        <w:t xml:space="preserve">Jay Ryan’s memo to Richard Schwartz, “PSUs for the Consumer Expenditure Survey’s 2010 Census-Based Sample Design,” December 18, 2012 (Attachment </w:t>
      </w:r>
      <w:r w:rsidR="00C7783D">
        <w:t>T</w:t>
      </w:r>
      <w:r w:rsidR="00B01841">
        <w:t xml:space="preserve">); and Ruth Ann Killion’s memo to Jay Ryan, “Consumer Expenditure Surveys Sample Allocation for </w:t>
      </w:r>
      <w:r w:rsidR="00410A7B">
        <w:t>Interview Year 2016</w:t>
      </w:r>
      <w:r w:rsidR="00B01841">
        <w:t xml:space="preserve">,” February 11, </w:t>
      </w:r>
      <w:r w:rsidR="00410A7B">
        <w:t xml:space="preserve">2015 </w:t>
      </w:r>
      <w:r w:rsidR="00B01841">
        <w:t xml:space="preserve">(Attachment </w:t>
      </w:r>
      <w:r w:rsidR="00C7783D">
        <w:t>U</w:t>
      </w:r>
      <w:r w:rsidR="00B01841">
        <w:t>).</w:t>
      </w:r>
    </w:p>
    <w:p w14:paraId="00E5BE88" w14:textId="77777777" w:rsidR="001041FE" w:rsidRDefault="001041FE" w:rsidP="001041FE">
      <w:pPr>
        <w:tabs>
          <w:tab w:val="left" w:pos="1176"/>
          <w:tab w:val="left" w:pos="1656"/>
          <w:tab w:val="left" w:pos="5016"/>
          <w:tab w:val="left" w:pos="6696"/>
          <w:tab w:val="left" w:pos="8256"/>
        </w:tabs>
        <w:ind w:left="480"/>
      </w:pPr>
    </w:p>
    <w:p w14:paraId="08CB15B7" w14:textId="77777777" w:rsidR="001041FE" w:rsidRDefault="001041FE" w:rsidP="001041FE">
      <w:pPr>
        <w:tabs>
          <w:tab w:val="left" w:pos="1176"/>
          <w:tab w:val="left" w:pos="1656"/>
          <w:tab w:val="left" w:pos="5016"/>
          <w:tab w:val="left" w:pos="6696"/>
          <w:tab w:val="left" w:pos="8256"/>
        </w:tabs>
      </w:pPr>
    </w:p>
    <w:p w14:paraId="720CCAB2" w14:textId="77777777" w:rsidR="001041FE" w:rsidRDefault="001041FE" w:rsidP="001041FE">
      <w:pPr>
        <w:tabs>
          <w:tab w:val="left" w:pos="1176"/>
          <w:tab w:val="left" w:pos="1656"/>
          <w:tab w:val="left" w:pos="5016"/>
          <w:tab w:val="left" w:pos="6696"/>
          <w:tab w:val="left" w:pos="8256"/>
        </w:tabs>
        <w:ind w:left="480" w:hanging="480"/>
        <w:rPr>
          <w:b/>
        </w:rPr>
      </w:pPr>
      <w:r>
        <w:t>3.</w:t>
      </w:r>
      <w:r>
        <w:tab/>
      </w:r>
      <w:r w:rsidRPr="002F1A9C">
        <w:rPr>
          <w:b/>
        </w:rPr>
        <w:t>Methods to Maximize Response Rates</w:t>
      </w:r>
    </w:p>
    <w:p w14:paraId="6FC9035D" w14:textId="77777777" w:rsidR="001041FE" w:rsidRPr="006E246A" w:rsidRDefault="001041FE" w:rsidP="001041FE">
      <w:pPr>
        <w:tabs>
          <w:tab w:val="left" w:pos="1176"/>
          <w:tab w:val="left" w:pos="1656"/>
          <w:tab w:val="left" w:pos="5016"/>
          <w:tab w:val="left" w:pos="6696"/>
          <w:tab w:val="left" w:pos="8256"/>
        </w:tabs>
        <w:ind w:left="480" w:hanging="480"/>
      </w:pPr>
    </w:p>
    <w:p w14:paraId="0D92F036" w14:textId="649D459B" w:rsidR="001041FE" w:rsidRDefault="001041FE" w:rsidP="001041FE">
      <w:pPr>
        <w:tabs>
          <w:tab w:val="left" w:pos="1176"/>
          <w:tab w:val="left" w:pos="1656"/>
          <w:tab w:val="left" w:pos="5016"/>
          <w:tab w:val="left" w:pos="6696"/>
          <w:tab w:val="left" w:pos="8256"/>
        </w:tabs>
        <w:ind w:left="432"/>
      </w:pPr>
      <w:r>
        <w:t xml:space="preserve">In the CE Surveys, keeping the noninterview rate at a low level requires special efforts, particularly from the Census Bureau Field staff.  For each refusal case, </w:t>
      </w:r>
      <w:r w:rsidRPr="0094016E">
        <w:t>the regional office sends a special letter to the address and assigns the case for follow-up by the program supervisor, supervisory field representative, or senior interviewer, taking into account time and cost considerations.</w:t>
      </w:r>
      <w:bookmarkStart w:id="0" w:name="_GoBack"/>
      <w:bookmarkEnd w:id="0"/>
      <w:r w:rsidR="00CA433D">
        <w:t xml:space="preserve">  </w:t>
      </w:r>
    </w:p>
    <w:p w14:paraId="591610F9" w14:textId="77777777" w:rsidR="001041FE" w:rsidRDefault="001041FE" w:rsidP="001041FE">
      <w:pPr>
        <w:tabs>
          <w:tab w:val="left" w:pos="1176"/>
          <w:tab w:val="left" w:pos="1656"/>
          <w:tab w:val="left" w:pos="5016"/>
          <w:tab w:val="left" w:pos="6696"/>
          <w:tab w:val="left" w:pos="8256"/>
        </w:tabs>
      </w:pPr>
    </w:p>
    <w:p w14:paraId="3E95F3A1" w14:textId="091149D2" w:rsidR="001041FE" w:rsidRDefault="001041FE" w:rsidP="001041FE">
      <w:pPr>
        <w:tabs>
          <w:tab w:val="left" w:pos="1176"/>
          <w:tab w:val="left" w:pos="1656"/>
          <w:tab w:val="left" w:pos="5016"/>
          <w:tab w:val="left" w:pos="6696"/>
          <w:tab w:val="left" w:pos="8256"/>
        </w:tabs>
        <w:ind w:left="480"/>
      </w:pPr>
      <w:r>
        <w:t xml:space="preserve">To adjust for those noninterviews that the field staff cannot convert to interviews, the sample design provides for a noninterview adjustment in the estimation procedure.  The computer processing employs special techniques in the CEQ to reference data provided in the previous interview, </w:t>
      </w:r>
      <w:r w:rsidR="00E513ED">
        <w:t xml:space="preserve">to </w:t>
      </w:r>
      <w:r>
        <w:t>keep recall problems and interview time to a minimum.</w:t>
      </w:r>
    </w:p>
    <w:p w14:paraId="19B032CB" w14:textId="77777777" w:rsidR="00405B2A" w:rsidRDefault="00405B2A" w:rsidP="00405B2A">
      <w:pPr>
        <w:tabs>
          <w:tab w:val="left" w:pos="1176"/>
          <w:tab w:val="left" w:pos="1656"/>
          <w:tab w:val="left" w:pos="5016"/>
          <w:tab w:val="left" w:pos="6696"/>
          <w:tab w:val="left" w:pos="8256"/>
        </w:tabs>
      </w:pPr>
    </w:p>
    <w:p w14:paraId="17995E48" w14:textId="77777777" w:rsidR="008A2D20" w:rsidRDefault="008A2D20">
      <w:pPr>
        <w:tabs>
          <w:tab w:val="left" w:pos="1176"/>
          <w:tab w:val="left" w:pos="1656"/>
          <w:tab w:val="left" w:pos="5016"/>
          <w:tab w:val="left" w:pos="6696"/>
          <w:tab w:val="left" w:pos="8256"/>
        </w:tabs>
        <w:ind w:left="480"/>
      </w:pPr>
    </w:p>
    <w:p w14:paraId="71C29D09" w14:textId="6939EECD" w:rsidR="00865989" w:rsidRPr="00865989" w:rsidRDefault="008A2D20" w:rsidP="00365BBD">
      <w:pPr>
        <w:pStyle w:val="BodyTextIndent2"/>
        <w:ind w:left="432" w:hanging="432"/>
      </w:pPr>
      <w:r>
        <w:t>4.</w:t>
      </w:r>
      <w:r>
        <w:tab/>
      </w:r>
      <w:r w:rsidR="002F1A9C" w:rsidRPr="002F1A9C">
        <w:rPr>
          <w:b/>
        </w:rPr>
        <w:t>Testing Plans</w:t>
      </w:r>
      <w:r w:rsidR="002F1A9C">
        <w:rPr>
          <w:b/>
        </w:rPr>
        <w:br/>
      </w:r>
      <w:r w:rsidR="002F1A9C" w:rsidRPr="002F1A9C">
        <w:rPr>
          <w:b/>
        </w:rPr>
        <w:br/>
      </w:r>
      <w:r w:rsidR="00865989" w:rsidRPr="00865989">
        <w:t xml:space="preserve">Subject to resource availability, CE plans to conduct the following studies (prior to the expiration of the clearance).  Ideally these studies will utilize non-production sample, but funding may necessitate the use of production sample for some tests.  A Non-Substantive Change Request (NCR) </w:t>
      </w:r>
      <w:r w:rsidR="00785FD2">
        <w:t xml:space="preserve">or full package </w:t>
      </w:r>
      <w:r w:rsidR="00865989" w:rsidRPr="00865989">
        <w:t>will be submitted for all of the proposed studies should funding and resources become available.</w:t>
      </w:r>
    </w:p>
    <w:p w14:paraId="520F5AE7" w14:textId="77777777" w:rsidR="00865989" w:rsidRPr="00865989" w:rsidRDefault="00865989" w:rsidP="00865989">
      <w:pPr>
        <w:pStyle w:val="BodyTextIndent2"/>
        <w:ind w:left="432"/>
      </w:pPr>
    </w:p>
    <w:p w14:paraId="2F510CBC" w14:textId="77777777" w:rsidR="00785FD2" w:rsidRDefault="00785FD2" w:rsidP="00785FD2">
      <w:pPr>
        <w:rPr>
          <w:color w:val="1F497D"/>
          <w:sz w:val="22"/>
          <w:szCs w:val="22"/>
        </w:rPr>
      </w:pPr>
    </w:p>
    <w:tbl>
      <w:tblPr>
        <w:tblW w:w="0" w:type="auto"/>
        <w:tblInd w:w="565" w:type="dxa"/>
        <w:tblCellMar>
          <w:left w:w="0" w:type="dxa"/>
          <w:right w:w="0" w:type="dxa"/>
        </w:tblCellMar>
        <w:tblLook w:val="04A0" w:firstRow="1" w:lastRow="0" w:firstColumn="1" w:lastColumn="0" w:noHBand="0" w:noVBand="1"/>
      </w:tblPr>
      <w:tblGrid>
        <w:gridCol w:w="2196"/>
        <w:gridCol w:w="1533"/>
        <w:gridCol w:w="5622"/>
      </w:tblGrid>
      <w:tr w:rsidR="00785FD2" w14:paraId="41D1DDE1" w14:textId="77777777" w:rsidTr="00785FD2">
        <w:trPr>
          <w:cantSplit/>
        </w:trPr>
        <w:tc>
          <w:tcPr>
            <w:tcW w:w="2400" w:type="dxa"/>
            <w:tcBorders>
              <w:top w:val="single" w:sz="8" w:space="0" w:color="auto"/>
              <w:left w:val="single" w:sz="8" w:space="0" w:color="auto"/>
              <w:bottom w:val="single" w:sz="8" w:space="0" w:color="auto"/>
              <w:right w:val="single" w:sz="8" w:space="0" w:color="auto"/>
            </w:tcBorders>
            <w:tcMar>
              <w:top w:w="86" w:type="dxa"/>
              <w:left w:w="115" w:type="dxa"/>
              <w:bottom w:w="86" w:type="dxa"/>
              <w:right w:w="115" w:type="dxa"/>
            </w:tcMar>
            <w:hideMark/>
          </w:tcPr>
          <w:p w14:paraId="53624A4F" w14:textId="77777777" w:rsidR="00785FD2" w:rsidRPr="006D0999" w:rsidRDefault="00785FD2">
            <w:pPr>
              <w:pStyle w:val="BodyTextIndent2"/>
              <w:ind w:left="432"/>
            </w:pPr>
            <w:r w:rsidRPr="006D0999">
              <w:t>Test</w:t>
            </w:r>
          </w:p>
        </w:tc>
        <w:tc>
          <w:tcPr>
            <w:tcW w:w="1620" w:type="dxa"/>
            <w:tcBorders>
              <w:top w:val="single" w:sz="8" w:space="0" w:color="auto"/>
              <w:left w:val="nil"/>
              <w:bottom w:val="single" w:sz="8" w:space="0" w:color="auto"/>
              <w:right w:val="single" w:sz="8" w:space="0" w:color="auto"/>
            </w:tcBorders>
            <w:tcMar>
              <w:top w:w="86" w:type="dxa"/>
              <w:left w:w="115" w:type="dxa"/>
              <w:bottom w:w="86" w:type="dxa"/>
              <w:right w:w="115" w:type="dxa"/>
            </w:tcMar>
            <w:hideMark/>
          </w:tcPr>
          <w:p w14:paraId="7CC99382" w14:textId="77777777" w:rsidR="00785FD2" w:rsidRPr="006D0999" w:rsidRDefault="00785FD2">
            <w:pPr>
              <w:pStyle w:val="BodyTextIndent2"/>
              <w:ind w:left="432"/>
            </w:pPr>
            <w:r w:rsidRPr="006D0999">
              <w:t>Survey</w:t>
            </w:r>
          </w:p>
        </w:tc>
        <w:tc>
          <w:tcPr>
            <w:tcW w:w="7197" w:type="dxa"/>
            <w:tcBorders>
              <w:top w:val="single" w:sz="8" w:space="0" w:color="auto"/>
              <w:left w:val="nil"/>
              <w:bottom w:val="single" w:sz="8" w:space="0" w:color="auto"/>
              <w:right w:val="single" w:sz="8" w:space="0" w:color="auto"/>
            </w:tcBorders>
            <w:tcMar>
              <w:top w:w="86" w:type="dxa"/>
              <w:left w:w="115" w:type="dxa"/>
              <w:bottom w:w="86" w:type="dxa"/>
              <w:right w:w="115" w:type="dxa"/>
            </w:tcMar>
            <w:hideMark/>
          </w:tcPr>
          <w:p w14:paraId="5C2CE81F" w14:textId="77777777" w:rsidR="00785FD2" w:rsidRPr="006D0999" w:rsidRDefault="00785FD2">
            <w:pPr>
              <w:pStyle w:val="BodyTextIndent2"/>
              <w:ind w:left="432"/>
            </w:pPr>
            <w:r w:rsidRPr="006D0999">
              <w:t>Description</w:t>
            </w:r>
          </w:p>
        </w:tc>
      </w:tr>
      <w:tr w:rsidR="00785FD2" w14:paraId="02F3111A" w14:textId="77777777" w:rsidTr="00785FD2">
        <w:trPr>
          <w:cantSplit/>
        </w:trPr>
        <w:tc>
          <w:tcPr>
            <w:tcW w:w="2400" w:type="dxa"/>
            <w:tcBorders>
              <w:top w:val="nil"/>
              <w:left w:val="single" w:sz="8" w:space="0" w:color="auto"/>
              <w:bottom w:val="single" w:sz="8" w:space="0" w:color="auto"/>
              <w:right w:val="single" w:sz="8" w:space="0" w:color="auto"/>
            </w:tcBorders>
            <w:tcMar>
              <w:top w:w="86" w:type="dxa"/>
              <w:left w:w="115" w:type="dxa"/>
              <w:bottom w:w="86" w:type="dxa"/>
              <w:right w:w="115" w:type="dxa"/>
            </w:tcMar>
            <w:hideMark/>
          </w:tcPr>
          <w:p w14:paraId="2B39DACE" w14:textId="77777777" w:rsidR="00785FD2" w:rsidRPr="006D0999" w:rsidRDefault="00785FD2">
            <w:r w:rsidRPr="006D0999">
              <w:t>Online Diary Implementation Test</w:t>
            </w:r>
          </w:p>
        </w:tc>
        <w:tc>
          <w:tcPr>
            <w:tcW w:w="1620" w:type="dxa"/>
            <w:tcBorders>
              <w:top w:val="nil"/>
              <w:left w:val="nil"/>
              <w:bottom w:val="single" w:sz="8" w:space="0" w:color="auto"/>
              <w:right w:val="single" w:sz="8" w:space="0" w:color="auto"/>
            </w:tcBorders>
            <w:tcMar>
              <w:top w:w="86" w:type="dxa"/>
              <w:left w:w="115" w:type="dxa"/>
              <w:bottom w:w="86" w:type="dxa"/>
              <w:right w:w="115" w:type="dxa"/>
            </w:tcMar>
            <w:hideMark/>
          </w:tcPr>
          <w:p w14:paraId="658BD10C" w14:textId="77777777" w:rsidR="00785FD2" w:rsidRPr="006D0999" w:rsidRDefault="00785FD2">
            <w:r w:rsidRPr="006D0999">
              <w:t>Diary</w:t>
            </w:r>
          </w:p>
        </w:tc>
        <w:tc>
          <w:tcPr>
            <w:tcW w:w="7197" w:type="dxa"/>
            <w:tcBorders>
              <w:top w:val="nil"/>
              <w:left w:val="nil"/>
              <w:bottom w:val="single" w:sz="8" w:space="0" w:color="auto"/>
              <w:right w:val="single" w:sz="8" w:space="0" w:color="auto"/>
            </w:tcBorders>
            <w:tcMar>
              <w:top w:w="86" w:type="dxa"/>
              <w:left w:w="115" w:type="dxa"/>
              <w:bottom w:w="86" w:type="dxa"/>
              <w:right w:w="115" w:type="dxa"/>
            </w:tcMar>
            <w:hideMark/>
          </w:tcPr>
          <w:p w14:paraId="3FDFACC0" w14:textId="77777777" w:rsidR="00785FD2" w:rsidRPr="006D0999" w:rsidRDefault="00785FD2">
            <w:r w:rsidRPr="006D0999">
              <w:t>The purpose of this project is to contract with an outside vendor to test CE's online diary under predetermined protocol conditions to inform decisions about implementing the online diaries in CE production and maintaining the online diaries the CE redesign.</w:t>
            </w:r>
          </w:p>
        </w:tc>
      </w:tr>
      <w:tr w:rsidR="00785FD2" w14:paraId="22C4469D" w14:textId="77777777" w:rsidTr="00785FD2">
        <w:trPr>
          <w:cantSplit/>
        </w:trPr>
        <w:tc>
          <w:tcPr>
            <w:tcW w:w="2400" w:type="dxa"/>
            <w:tcBorders>
              <w:top w:val="nil"/>
              <w:left w:val="single" w:sz="8" w:space="0" w:color="auto"/>
              <w:bottom w:val="single" w:sz="8" w:space="0" w:color="auto"/>
              <w:right w:val="single" w:sz="8" w:space="0" w:color="auto"/>
            </w:tcBorders>
            <w:tcMar>
              <w:top w:w="86" w:type="dxa"/>
              <w:left w:w="115" w:type="dxa"/>
              <w:bottom w:w="86" w:type="dxa"/>
              <w:right w:w="115" w:type="dxa"/>
            </w:tcMar>
            <w:hideMark/>
          </w:tcPr>
          <w:p w14:paraId="41E3D3A2" w14:textId="77777777" w:rsidR="00785FD2" w:rsidRPr="006D0999" w:rsidRDefault="00785FD2">
            <w:r w:rsidRPr="006D0999">
              <w:t xml:space="preserve">Optimal Contact Threshold Field Test (Census) </w:t>
            </w:r>
          </w:p>
        </w:tc>
        <w:tc>
          <w:tcPr>
            <w:tcW w:w="1620" w:type="dxa"/>
            <w:tcBorders>
              <w:top w:val="nil"/>
              <w:left w:val="nil"/>
              <w:bottom w:val="single" w:sz="8" w:space="0" w:color="auto"/>
              <w:right w:val="single" w:sz="8" w:space="0" w:color="auto"/>
            </w:tcBorders>
            <w:tcMar>
              <w:top w:w="86" w:type="dxa"/>
              <w:left w:w="115" w:type="dxa"/>
              <w:bottom w:w="86" w:type="dxa"/>
              <w:right w:w="115" w:type="dxa"/>
            </w:tcMar>
            <w:hideMark/>
          </w:tcPr>
          <w:p w14:paraId="5C3AC8BE" w14:textId="77777777" w:rsidR="00785FD2" w:rsidRPr="006D0999" w:rsidRDefault="00785FD2">
            <w:r w:rsidRPr="006D0999">
              <w:t>Interview</w:t>
            </w:r>
          </w:p>
        </w:tc>
        <w:tc>
          <w:tcPr>
            <w:tcW w:w="7197" w:type="dxa"/>
            <w:tcBorders>
              <w:top w:val="nil"/>
              <w:left w:val="nil"/>
              <w:bottom w:val="single" w:sz="8" w:space="0" w:color="auto"/>
              <w:right w:val="single" w:sz="8" w:space="0" w:color="auto"/>
            </w:tcBorders>
            <w:tcMar>
              <w:top w:w="86" w:type="dxa"/>
              <w:left w:w="115" w:type="dxa"/>
              <w:bottom w:w="86" w:type="dxa"/>
              <w:right w:w="115" w:type="dxa"/>
            </w:tcMar>
            <w:hideMark/>
          </w:tcPr>
          <w:p w14:paraId="5633F82A" w14:textId="77777777" w:rsidR="00785FD2" w:rsidRPr="006D0999" w:rsidRDefault="00785FD2">
            <w:r w:rsidRPr="006D0999">
              <w:t>This test builds on a 2015 analysis of the optimal threshold number of contact attempts. The evaluation criteria included cost savings, indicators of reporting quality, and response rates. The findings confirmed earlier results suggesting seven as the optimal threshold for contact attempts. That is, attempting contact for sample units beyond that threshold was costly; did not substantively impact sample characteristics; did not improve measurement error as assessed by reporting quality indicators; and increased response rates but without improving sample composition with respect to household size, urbanicity, and homeownership status (and worsened sample composition if sample units’ reluctance/concerns about survey participation was included as another characteristic of interest). The purpose of this project is to evaluate the cost savings, reporting quality, and response rate impact of implementing a seven contact attempt threshold, in a large sample size field test setting, for difficult-to-interview consumer units that display doorstep concerns related to hostility.</w:t>
            </w:r>
          </w:p>
        </w:tc>
      </w:tr>
      <w:tr w:rsidR="00785FD2" w14:paraId="488A16F8" w14:textId="77777777" w:rsidTr="00785FD2">
        <w:trPr>
          <w:cantSplit/>
        </w:trPr>
        <w:tc>
          <w:tcPr>
            <w:tcW w:w="2400" w:type="dxa"/>
            <w:tcBorders>
              <w:top w:val="nil"/>
              <w:left w:val="single" w:sz="8" w:space="0" w:color="auto"/>
              <w:bottom w:val="nil"/>
              <w:right w:val="single" w:sz="8" w:space="0" w:color="auto"/>
            </w:tcBorders>
            <w:tcMar>
              <w:top w:w="86" w:type="dxa"/>
              <w:left w:w="115" w:type="dxa"/>
              <w:bottom w:w="86" w:type="dxa"/>
              <w:right w:w="115" w:type="dxa"/>
            </w:tcMar>
            <w:hideMark/>
          </w:tcPr>
          <w:p w14:paraId="5ED5C954" w14:textId="77777777" w:rsidR="00785FD2" w:rsidRPr="006D0999" w:rsidRDefault="00785FD2">
            <w:pPr>
              <w:pStyle w:val="BodyTextIndent2"/>
              <w:ind w:left="0"/>
            </w:pPr>
            <w:r w:rsidRPr="006D0999">
              <w:t>Gemini Large-Scale Feasibility Test</w:t>
            </w:r>
          </w:p>
        </w:tc>
        <w:tc>
          <w:tcPr>
            <w:tcW w:w="1620" w:type="dxa"/>
            <w:tcBorders>
              <w:top w:val="nil"/>
              <w:left w:val="nil"/>
              <w:bottom w:val="nil"/>
              <w:right w:val="single" w:sz="8" w:space="0" w:color="auto"/>
            </w:tcBorders>
            <w:tcMar>
              <w:top w:w="86" w:type="dxa"/>
              <w:left w:w="115" w:type="dxa"/>
              <w:bottom w:w="86" w:type="dxa"/>
              <w:right w:w="115" w:type="dxa"/>
            </w:tcMar>
            <w:hideMark/>
          </w:tcPr>
          <w:p w14:paraId="4A99829E" w14:textId="77777777" w:rsidR="00785FD2" w:rsidRPr="006D0999" w:rsidRDefault="00785FD2">
            <w:pPr>
              <w:pStyle w:val="BodyTextIndent2"/>
              <w:ind w:left="0"/>
            </w:pPr>
            <w:r w:rsidRPr="006D0999">
              <w:t>Interview and Diary</w:t>
            </w:r>
          </w:p>
        </w:tc>
        <w:tc>
          <w:tcPr>
            <w:tcW w:w="7197" w:type="dxa"/>
            <w:tcBorders>
              <w:top w:val="nil"/>
              <w:left w:val="nil"/>
              <w:bottom w:val="nil"/>
              <w:right w:val="single" w:sz="8" w:space="0" w:color="auto"/>
            </w:tcBorders>
            <w:tcMar>
              <w:top w:w="86" w:type="dxa"/>
              <w:left w:w="115" w:type="dxa"/>
              <w:bottom w:w="86" w:type="dxa"/>
              <w:right w:w="115" w:type="dxa"/>
            </w:tcMar>
            <w:hideMark/>
          </w:tcPr>
          <w:p w14:paraId="7E34BED6" w14:textId="77777777" w:rsidR="00785FD2" w:rsidRPr="006D0999" w:rsidRDefault="00785FD2">
            <w:pPr>
              <w:pStyle w:val="BodyTextIndent2"/>
              <w:ind w:left="0"/>
            </w:pPr>
            <w:r w:rsidRPr="006D0999">
              <w:t>The purpose of this project is to field a test designed to closely reflect all of the components of redesign; incorporating lessons learned from the web and individual diaries test, the proof-of-concept test, incentives test, and cognitive lab studies and additional research. Findings from this test will be used in planning the dress rehearsal prior to full implementation of the redesign.</w:t>
            </w:r>
          </w:p>
        </w:tc>
      </w:tr>
      <w:tr w:rsidR="00785FD2" w14:paraId="4067A99E" w14:textId="77777777" w:rsidTr="00785FD2">
        <w:trPr>
          <w:cantSplit/>
        </w:trPr>
        <w:tc>
          <w:tcPr>
            <w:tcW w:w="2400" w:type="dxa"/>
            <w:tcBorders>
              <w:top w:val="nil"/>
              <w:left w:val="single" w:sz="8" w:space="0" w:color="auto"/>
              <w:bottom w:val="single" w:sz="8" w:space="0" w:color="auto"/>
              <w:right w:val="single" w:sz="8" w:space="0" w:color="auto"/>
            </w:tcBorders>
            <w:tcMar>
              <w:top w:w="86" w:type="dxa"/>
              <w:left w:w="115" w:type="dxa"/>
              <w:bottom w:w="86" w:type="dxa"/>
              <w:right w:w="115" w:type="dxa"/>
            </w:tcMar>
          </w:tcPr>
          <w:p w14:paraId="74A0126A" w14:textId="438363D1" w:rsidR="00785FD2" w:rsidRPr="006D0999" w:rsidRDefault="0059760C">
            <w:pPr>
              <w:pStyle w:val="BodyTextIndent2"/>
              <w:ind w:left="0"/>
            </w:pPr>
            <w:r>
              <w:t>CEQ Worksheet</w:t>
            </w:r>
          </w:p>
        </w:tc>
        <w:tc>
          <w:tcPr>
            <w:tcW w:w="1620" w:type="dxa"/>
            <w:tcBorders>
              <w:top w:val="nil"/>
              <w:left w:val="nil"/>
              <w:bottom w:val="single" w:sz="8" w:space="0" w:color="auto"/>
              <w:right w:val="single" w:sz="8" w:space="0" w:color="auto"/>
            </w:tcBorders>
            <w:tcMar>
              <w:top w:w="86" w:type="dxa"/>
              <w:left w:w="115" w:type="dxa"/>
              <w:bottom w:w="86" w:type="dxa"/>
              <w:right w:w="115" w:type="dxa"/>
            </w:tcMar>
          </w:tcPr>
          <w:p w14:paraId="3BEF630C" w14:textId="1F57CCCD" w:rsidR="00785FD2" w:rsidRPr="006D0999" w:rsidRDefault="0059760C" w:rsidP="0059760C">
            <w:pPr>
              <w:pStyle w:val="BodyTextIndent2"/>
              <w:ind w:left="0"/>
            </w:pPr>
            <w:r>
              <w:t>Interview</w:t>
            </w:r>
          </w:p>
        </w:tc>
        <w:tc>
          <w:tcPr>
            <w:tcW w:w="7197" w:type="dxa"/>
            <w:tcBorders>
              <w:top w:val="nil"/>
              <w:left w:val="nil"/>
              <w:bottom w:val="single" w:sz="8" w:space="0" w:color="auto"/>
              <w:right w:val="single" w:sz="8" w:space="0" w:color="auto"/>
            </w:tcBorders>
            <w:tcMar>
              <w:top w:w="86" w:type="dxa"/>
              <w:left w:w="115" w:type="dxa"/>
              <w:bottom w:w="86" w:type="dxa"/>
              <w:right w:w="115" w:type="dxa"/>
            </w:tcMar>
          </w:tcPr>
          <w:p w14:paraId="1260B34F" w14:textId="60CA8EDF" w:rsidR="0059760C" w:rsidRPr="006D0999" w:rsidRDefault="0059760C" w:rsidP="006D0999">
            <w:pPr>
              <w:autoSpaceDE w:val="0"/>
              <w:autoSpaceDN w:val="0"/>
            </w:pPr>
            <w:r w:rsidRPr="0059760C">
              <w:t xml:space="preserve">CE </w:t>
            </w:r>
            <w:r>
              <w:t>plans to test the introduction of a</w:t>
            </w:r>
            <w:r w:rsidRPr="0059760C">
              <w:t xml:space="preserve"> CEQ Worksheet to accompany the Quarterly survey; an auxiliary </w:t>
            </w:r>
            <w:r w:rsidRPr="0059760C">
              <w:lastRenderedPageBreak/>
              <w:t xml:space="preserve">worksheet that respondents can use to facilitate record keeping and reporting of certain expenditures.  Since households participating in the CEQ are interviewed once every 3 months and asked to recall all of their expenses during the entire 3 month period, it may be helpful to provide them with some auxiliary worksheet that they can use during those months in between to help expedite their next interview.  The objective is to develop </w:t>
            </w:r>
            <w:r w:rsidRPr="006D0999">
              <w:t>an optional</w:t>
            </w:r>
            <w:r w:rsidRPr="0059760C">
              <w:t xml:space="preserve"> worksheet that respondents can use in between, as well as during, interviews.  </w:t>
            </w:r>
          </w:p>
          <w:p w14:paraId="22CBA449" w14:textId="77777777" w:rsidR="0059760C" w:rsidRPr="0059760C" w:rsidRDefault="0059760C" w:rsidP="0059760C"/>
          <w:p w14:paraId="69B7849F" w14:textId="77777777" w:rsidR="00785FD2" w:rsidRPr="006D0999" w:rsidRDefault="00785FD2" w:rsidP="0059760C">
            <w:pPr>
              <w:pStyle w:val="BodyTextIndent2"/>
              <w:ind w:left="0"/>
            </w:pPr>
          </w:p>
        </w:tc>
      </w:tr>
    </w:tbl>
    <w:p w14:paraId="63E2F4C7" w14:textId="77777777" w:rsidR="00785FD2" w:rsidRDefault="00785FD2" w:rsidP="00785FD2">
      <w:pPr>
        <w:rPr>
          <w:rFonts w:ascii="Calibri" w:eastAsiaTheme="minorHAnsi" w:hAnsi="Calibri" w:cs="Calibri"/>
          <w:color w:val="1F497D"/>
          <w:sz w:val="22"/>
          <w:szCs w:val="22"/>
        </w:rPr>
      </w:pPr>
    </w:p>
    <w:p w14:paraId="43C75BFC" w14:textId="77777777" w:rsidR="00865989" w:rsidRDefault="00865989" w:rsidP="00865989">
      <w:pPr>
        <w:pStyle w:val="BodyTextIndent2"/>
        <w:ind w:left="432"/>
      </w:pPr>
    </w:p>
    <w:p w14:paraId="4C56AE8E" w14:textId="77777777" w:rsidR="00004351" w:rsidRDefault="00004351" w:rsidP="00004351">
      <w:pPr>
        <w:tabs>
          <w:tab w:val="left" w:pos="1176"/>
          <w:tab w:val="left" w:pos="1656"/>
          <w:tab w:val="left" w:pos="5016"/>
          <w:tab w:val="left" w:pos="6696"/>
          <w:tab w:val="left" w:pos="8256"/>
        </w:tabs>
        <w:ind w:left="480"/>
      </w:pPr>
    </w:p>
    <w:p w14:paraId="347369C9" w14:textId="77777777" w:rsidR="007801DB" w:rsidRDefault="007801DB">
      <w:pPr>
        <w:tabs>
          <w:tab w:val="left" w:pos="1176"/>
          <w:tab w:val="left" w:pos="1656"/>
          <w:tab w:val="left" w:pos="5016"/>
          <w:tab w:val="left" w:pos="6696"/>
          <w:tab w:val="left" w:pos="8256"/>
        </w:tabs>
        <w:ind w:left="480" w:hanging="480"/>
      </w:pPr>
      <w:r>
        <w:t>5.</w:t>
      </w:r>
      <w:r>
        <w:tab/>
      </w:r>
      <w:r w:rsidR="002F1A9C" w:rsidRPr="002F1A9C">
        <w:rPr>
          <w:b/>
        </w:rPr>
        <w:t>Statistical Contacts</w:t>
      </w:r>
      <w:r w:rsidR="002F1A9C">
        <w:rPr>
          <w:b/>
        </w:rPr>
        <w:br/>
      </w:r>
      <w:r w:rsidR="002F1A9C" w:rsidRPr="002F1A9C">
        <w:rPr>
          <w:b/>
        </w:rPr>
        <w:br/>
      </w:r>
      <w:r>
        <w:t xml:space="preserve">The Census Bureau will collect the data.  Within the Census Bureau, you may consult the following individuals </w:t>
      </w:r>
      <w:r w:rsidR="00F64DA0">
        <w:t>regarding</w:t>
      </w:r>
      <w:r>
        <w:t xml:space="preserve"> their area of expertise for further information.</w:t>
      </w:r>
    </w:p>
    <w:p w14:paraId="124BC5B6" w14:textId="77777777" w:rsidR="00E34105" w:rsidRDefault="00E34105">
      <w:pPr>
        <w:tabs>
          <w:tab w:val="left" w:pos="1176"/>
          <w:tab w:val="left" w:pos="1656"/>
          <w:tab w:val="left" w:pos="5016"/>
          <w:tab w:val="left" w:pos="6696"/>
          <w:tab w:val="left" w:pos="8256"/>
        </w:tabs>
        <w:ind w:left="480" w:hanging="480"/>
      </w:pPr>
    </w:p>
    <w:p w14:paraId="036D2CE5" w14:textId="77777777" w:rsidR="00E34105" w:rsidRDefault="00E34105" w:rsidP="00E34105">
      <w:pPr>
        <w:ind w:left="3840" w:hanging="3360"/>
        <w:rPr>
          <w:sz w:val="22"/>
          <w:szCs w:val="22"/>
        </w:rPr>
      </w:pPr>
      <w:r>
        <w:t>Sample Design:                                            Stephen Ash                                  (301) 763-4294</w:t>
      </w:r>
    </w:p>
    <w:p w14:paraId="0E5FF522" w14:textId="77777777" w:rsidR="00E34105" w:rsidRDefault="00E34105" w:rsidP="00E34105">
      <w:pPr>
        <w:ind w:left="3840" w:hanging="3360"/>
      </w:pPr>
      <w:r>
        <w:t>Data Collection:                                           Jennifer</w:t>
      </w:r>
      <w:r>
        <w:rPr>
          <w:color w:val="1F497D"/>
        </w:rPr>
        <w:t xml:space="preserve"> </w:t>
      </w:r>
      <w:r>
        <w:t>Epps</w:t>
      </w:r>
      <w:r>
        <w:rPr>
          <w:color w:val="1F497D"/>
        </w:rPr>
        <w:t xml:space="preserve">           </w:t>
      </w:r>
      <w:r>
        <w:t>                      (301) 763-5342</w:t>
      </w:r>
    </w:p>
    <w:sectPr w:rsidR="00E34105" w:rsidSect="009B6470">
      <w:headerReference w:type="default" r:id="rId11"/>
      <w:footerReference w:type="even" r:id="rId12"/>
      <w:footerReference w:type="default" r:id="rId13"/>
      <w:type w:val="continuous"/>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3E3A4" w14:textId="77777777" w:rsidR="00D82E61" w:rsidRDefault="00D82E61">
      <w:r>
        <w:separator/>
      </w:r>
    </w:p>
  </w:endnote>
  <w:endnote w:type="continuationSeparator" w:id="0">
    <w:p w14:paraId="439498C3" w14:textId="77777777" w:rsidR="00D82E61" w:rsidRDefault="00D8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3F96D" w14:textId="77777777" w:rsidR="00D75991" w:rsidRDefault="00D75991">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Pr>
        <w:rStyle w:val="PageNumber"/>
        <w:rFonts w:ascii="Courier" w:hAnsi="Courier"/>
        <w:sz w:val="24"/>
      </w:rPr>
      <w:instrText xml:space="preserve">PAGE  </w:instrText>
    </w:r>
    <w:r>
      <w:rPr>
        <w:rStyle w:val="PageNumber"/>
        <w:rFonts w:ascii="Courier" w:hAnsi="Courier"/>
        <w:sz w:val="24"/>
      </w:rPr>
      <w:fldChar w:fldCharType="separate"/>
    </w:r>
    <w:r w:rsidR="0094016E">
      <w:rPr>
        <w:rStyle w:val="PageNumber"/>
        <w:rFonts w:ascii="Courier" w:hAnsi="Courier"/>
        <w:noProof/>
        <w:sz w:val="24"/>
      </w:rPr>
      <w:t>2</w:t>
    </w:r>
    <w:r>
      <w:rPr>
        <w:rStyle w:val="PageNumber"/>
        <w:rFonts w:ascii="Courier" w:hAnsi="Courier"/>
        <w:sz w:val="24"/>
      </w:rPr>
      <w:fldChar w:fldCharType="end"/>
    </w:r>
  </w:p>
  <w:p w14:paraId="245475FC" w14:textId="77777777" w:rsidR="00D75991" w:rsidRDefault="00D759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E055C" w14:textId="77777777" w:rsidR="00D75991" w:rsidRDefault="00D759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F066C7" w14:textId="77777777" w:rsidR="00D75991" w:rsidRDefault="00D75991">
    <w:pPr>
      <w:pStyle w:val="Footer"/>
    </w:pPr>
  </w:p>
  <w:p w14:paraId="6C113FB0" w14:textId="77777777" w:rsidR="00D75991" w:rsidRDefault="00D7599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FD829" w14:textId="77777777" w:rsidR="00D75991" w:rsidRPr="00A46014" w:rsidRDefault="00D75991">
    <w:pPr>
      <w:pStyle w:val="Footer"/>
      <w:framePr w:wrap="around" w:vAnchor="text" w:hAnchor="margin" w:xAlign="center" w:y="1"/>
      <w:rPr>
        <w:rStyle w:val="PageNumber"/>
        <w:rFonts w:ascii="Times New Roman" w:hAnsi="Times New Roman"/>
        <w:sz w:val="24"/>
      </w:rPr>
    </w:pPr>
    <w:r w:rsidRPr="00A46014">
      <w:rPr>
        <w:rStyle w:val="PageNumber"/>
        <w:rFonts w:ascii="Times New Roman" w:hAnsi="Times New Roman"/>
        <w:sz w:val="24"/>
      </w:rPr>
      <w:fldChar w:fldCharType="begin"/>
    </w:r>
    <w:r w:rsidRPr="00A46014">
      <w:rPr>
        <w:rStyle w:val="PageNumber"/>
        <w:rFonts w:ascii="Times New Roman" w:hAnsi="Times New Roman"/>
        <w:sz w:val="24"/>
      </w:rPr>
      <w:instrText xml:space="preserve">PAGE  </w:instrText>
    </w:r>
    <w:r w:rsidRPr="00A46014">
      <w:rPr>
        <w:rStyle w:val="PageNumber"/>
        <w:rFonts w:ascii="Times New Roman" w:hAnsi="Times New Roman"/>
        <w:sz w:val="24"/>
      </w:rPr>
      <w:fldChar w:fldCharType="separate"/>
    </w:r>
    <w:r w:rsidR="0094016E">
      <w:rPr>
        <w:rStyle w:val="PageNumber"/>
        <w:rFonts w:ascii="Times New Roman" w:hAnsi="Times New Roman"/>
        <w:noProof/>
        <w:sz w:val="24"/>
      </w:rPr>
      <w:t>4</w:t>
    </w:r>
    <w:r w:rsidRPr="00A46014">
      <w:rPr>
        <w:rStyle w:val="PageNumber"/>
        <w:rFonts w:ascii="Times New Roman" w:hAnsi="Times New Roman"/>
        <w:sz w:val="24"/>
      </w:rPr>
      <w:fldChar w:fldCharType="end"/>
    </w:r>
  </w:p>
  <w:p w14:paraId="6F447469" w14:textId="77777777" w:rsidR="00D75991" w:rsidRDefault="00D75991">
    <w:pPr>
      <w:pStyle w:val="Footer"/>
    </w:pPr>
  </w:p>
  <w:p w14:paraId="0329D31C" w14:textId="77777777" w:rsidR="00D75991" w:rsidRDefault="00D759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09111" w14:textId="77777777" w:rsidR="00D82E61" w:rsidRDefault="00D82E61">
      <w:r>
        <w:separator/>
      </w:r>
    </w:p>
  </w:footnote>
  <w:footnote w:type="continuationSeparator" w:id="0">
    <w:p w14:paraId="6AC2B1BD" w14:textId="77777777" w:rsidR="00D82E61" w:rsidRDefault="00D82E61">
      <w:r>
        <w:continuationSeparator/>
      </w:r>
    </w:p>
  </w:footnote>
  <w:footnote w:id="1">
    <w:p w14:paraId="2B23FC83" w14:textId="1F6A19AE" w:rsidR="00D75991" w:rsidRDefault="00D75991">
      <w:pPr>
        <w:pStyle w:val="FootnoteText"/>
      </w:pPr>
      <w:r>
        <w:rPr>
          <w:rStyle w:val="FootnoteReference"/>
        </w:rPr>
        <w:footnoteRef/>
      </w:r>
      <w:r>
        <w:t xml:space="preserve"> Unrelated people who share a housing unit are considered to be separate CUs if they are responsible for paying their own expenses in at least two of these three categories:  shelter, food, and all other expenses.  Likewise college students living away from home are considered to be separate CUs from their parents if they are responsible for paying their own expenses in at least two of the three categories.</w:t>
      </w:r>
    </w:p>
  </w:footnote>
  <w:footnote w:id="2">
    <w:p w14:paraId="4E583883" w14:textId="5072488A" w:rsidR="00D75991" w:rsidRDefault="00D75991">
      <w:pPr>
        <w:pStyle w:val="FootnoteText"/>
      </w:pPr>
      <w:r>
        <w:rPr>
          <w:rStyle w:val="FootnoteReference"/>
        </w:rPr>
        <w:footnoteRef/>
      </w:r>
      <w:r>
        <w:t xml:space="preserve"> The number of CUs comes from dividing the Census Bureau’s 2015 estimate of the number of people in the civilian non-institutional population (316 million) by the average number of people per CU (2.45).</w:t>
      </w:r>
    </w:p>
  </w:footnote>
  <w:footnote w:id="3">
    <w:p w14:paraId="19B96883" w14:textId="0995B095" w:rsidR="00D75991" w:rsidRDefault="00D75991">
      <w:pPr>
        <w:pStyle w:val="FootnoteText"/>
      </w:pPr>
      <w:r>
        <w:rPr>
          <w:rStyle w:val="FootnoteReference"/>
        </w:rPr>
        <w:footnoteRef/>
      </w:r>
      <w:r>
        <w:t xml:space="preserve"> The number of CUs per stratum comes from allocating the nationwide total of 128 million CUs by each stratum’s proportion of the nationwide population in the 2010 census.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74724" w14:textId="6824BE16" w:rsidR="00CA433D" w:rsidRDefault="00CA433D" w:rsidP="00CA433D">
    <w:pPr>
      <w:pStyle w:val="Header"/>
    </w:pPr>
    <w:r>
      <w:t>Consumer Expenditure Surveys</w:t>
    </w:r>
  </w:p>
  <w:p w14:paraId="7C812244" w14:textId="77777777" w:rsidR="00CA433D" w:rsidRDefault="00CA433D" w:rsidP="00CA433D">
    <w:pPr>
      <w:pStyle w:val="Header"/>
    </w:pPr>
    <w:r>
      <w:t>1220-0050</w:t>
    </w:r>
  </w:p>
  <w:p w14:paraId="7451C73C" w14:textId="297E2A2D" w:rsidR="00CA433D" w:rsidRDefault="00CA433D" w:rsidP="00CA433D">
    <w:pPr>
      <w:pStyle w:val="Header"/>
    </w:pPr>
    <w:r>
      <w:t>November  2016</w:t>
    </w:r>
  </w:p>
  <w:p w14:paraId="732A4879" w14:textId="77777777" w:rsidR="00CA433D" w:rsidRDefault="00CA43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7E49A" w14:textId="77777777" w:rsidR="00D75991" w:rsidRDefault="00D75991">
    <w:pPr>
      <w:pStyle w:val="Header"/>
    </w:pPr>
  </w:p>
  <w:p w14:paraId="1668BA68" w14:textId="77777777" w:rsidR="00D75991" w:rsidRDefault="00D759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2D1"/>
    <w:multiLevelType w:val="hybridMultilevel"/>
    <w:tmpl w:val="0A92F046"/>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15:restartNumberingAfterBreak="0">
    <w:nsid w:val="084861A1"/>
    <w:multiLevelType w:val="hybridMultilevel"/>
    <w:tmpl w:val="80746EFC"/>
    <w:lvl w:ilvl="0" w:tplc="D8A49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3" w15:restartNumberingAfterBreak="0">
    <w:nsid w:val="0BAF7B65"/>
    <w:multiLevelType w:val="hybridMultilevel"/>
    <w:tmpl w:val="5266855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6" w15:restartNumberingAfterBreak="0">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804DC5"/>
    <w:multiLevelType w:val="hybridMultilevel"/>
    <w:tmpl w:val="8CE47A9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247553"/>
    <w:multiLevelType w:val="hybridMultilevel"/>
    <w:tmpl w:val="47FA9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10" w15:restartNumberingAfterBreak="0">
    <w:nsid w:val="1BB8206B"/>
    <w:multiLevelType w:val="hybridMultilevel"/>
    <w:tmpl w:val="A3D22AFA"/>
    <w:lvl w:ilvl="0" w:tplc="D686631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337A68"/>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ECE6C43"/>
    <w:multiLevelType w:val="hybridMultilevel"/>
    <w:tmpl w:val="18666F70"/>
    <w:lvl w:ilvl="0" w:tplc="F9DE7950">
      <w:start w:val="1"/>
      <w:numFmt w:val="decimal"/>
      <w:lvlText w:val="%1)"/>
      <w:lvlJc w:val="left"/>
      <w:pPr>
        <w:tabs>
          <w:tab w:val="num" w:pos="840"/>
        </w:tabs>
        <w:ind w:left="840" w:hanging="36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4" w15:restartNumberingAfterBreak="0">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5" w15:restartNumberingAfterBreak="0">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6" w15:restartNumberingAfterBreak="0">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7" w15:restartNumberingAfterBreak="0">
    <w:nsid w:val="28132369"/>
    <w:multiLevelType w:val="hybridMultilevel"/>
    <w:tmpl w:val="7BE8E78E"/>
    <w:lvl w:ilvl="0" w:tplc="C0482446">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025DA2"/>
    <w:multiLevelType w:val="hybridMultilevel"/>
    <w:tmpl w:val="8FD8E7D4"/>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B5456B"/>
    <w:multiLevelType w:val="hybridMultilevel"/>
    <w:tmpl w:val="9EF0C9EE"/>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51E0509"/>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DD855AD"/>
    <w:multiLevelType w:val="hybridMultilevel"/>
    <w:tmpl w:val="1F30F64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24" w15:restartNumberingAfterBreak="0">
    <w:nsid w:val="42D92FB1"/>
    <w:multiLevelType w:val="hybridMultilevel"/>
    <w:tmpl w:val="8B804170"/>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2F0B34"/>
    <w:multiLevelType w:val="hybridMultilevel"/>
    <w:tmpl w:val="D8FAAD5C"/>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507306"/>
    <w:multiLevelType w:val="hybridMultilevel"/>
    <w:tmpl w:val="324E44F8"/>
    <w:lvl w:ilvl="0" w:tplc="41DAC506">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28" w15:restartNumberingAfterBreak="0">
    <w:nsid w:val="51114477"/>
    <w:multiLevelType w:val="hybridMultilevel"/>
    <w:tmpl w:val="B54A6C04"/>
    <w:lvl w:ilvl="0" w:tplc="44840FA6">
      <w:start w:val="15"/>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3841EB"/>
    <w:multiLevelType w:val="hybridMultilevel"/>
    <w:tmpl w:val="42869A7C"/>
    <w:lvl w:ilvl="0" w:tplc="BD9C80AC">
      <w:start w:val="8"/>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972B75"/>
    <w:multiLevelType w:val="hybridMultilevel"/>
    <w:tmpl w:val="D01A116E"/>
    <w:lvl w:ilvl="0" w:tplc="6D10734C">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532F57"/>
    <w:multiLevelType w:val="hybridMultilevel"/>
    <w:tmpl w:val="D2B869E4"/>
    <w:lvl w:ilvl="0" w:tplc="24FACEDE">
      <w:start w:val="8"/>
      <w:numFmt w:val="decimal"/>
      <w:lvlText w:val="%1."/>
      <w:lvlJc w:val="left"/>
      <w:pPr>
        <w:tabs>
          <w:tab w:val="num" w:pos="2253"/>
        </w:tabs>
        <w:ind w:left="225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641699"/>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6454477B"/>
    <w:multiLevelType w:val="hybridMultilevel"/>
    <w:tmpl w:val="3BC41E56"/>
    <w:lvl w:ilvl="0" w:tplc="782C904C">
      <w:start w:val="1"/>
      <w:numFmt w:val="decimal"/>
      <w:lvlText w:val="%1."/>
      <w:lvlJc w:val="left"/>
      <w:pPr>
        <w:tabs>
          <w:tab w:val="num" w:pos="216"/>
        </w:tabs>
        <w:ind w:left="216"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34" w15:restartNumberingAfterBreak="0">
    <w:nsid w:val="678C2395"/>
    <w:multiLevelType w:val="hybridMultilevel"/>
    <w:tmpl w:val="FA4821B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5" w15:restartNumberingAfterBreak="0">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B1A0C84"/>
    <w:multiLevelType w:val="singleLevel"/>
    <w:tmpl w:val="D9C02A58"/>
    <w:lvl w:ilvl="0">
      <w:start w:val="1"/>
      <w:numFmt w:val="none"/>
      <w:lvlText w:val="3."/>
      <w:lvlJc w:val="left"/>
      <w:pPr>
        <w:tabs>
          <w:tab w:val="num" w:pos="360"/>
        </w:tabs>
        <w:ind w:left="360" w:hanging="360"/>
      </w:pPr>
    </w:lvl>
  </w:abstractNum>
  <w:abstractNum w:abstractNumId="37" w15:restartNumberingAfterBreak="0">
    <w:nsid w:val="6BF61887"/>
    <w:multiLevelType w:val="hybridMultilevel"/>
    <w:tmpl w:val="7154433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F9D2B52"/>
    <w:multiLevelType w:val="singleLevel"/>
    <w:tmpl w:val="C922D49A"/>
    <w:lvl w:ilvl="0">
      <w:start w:val="3"/>
      <w:numFmt w:val="none"/>
      <w:lvlText w:val="3"/>
      <w:lvlJc w:val="left"/>
      <w:pPr>
        <w:tabs>
          <w:tab w:val="num" w:pos="360"/>
        </w:tabs>
        <w:ind w:left="360" w:hanging="360"/>
      </w:pPr>
    </w:lvl>
  </w:abstractNum>
  <w:abstractNum w:abstractNumId="39" w15:restartNumberingAfterBreak="0">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40" w15:restartNumberingAfterBreak="0">
    <w:nsid w:val="758E0ED4"/>
    <w:multiLevelType w:val="hybridMultilevel"/>
    <w:tmpl w:val="CB78637E"/>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1" w15:restartNumberingAfterBreak="0">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abstractNumId w:val="13"/>
  </w:num>
  <w:num w:numId="2">
    <w:abstractNumId w:val="16"/>
  </w:num>
  <w:num w:numId="3">
    <w:abstractNumId w:val="27"/>
  </w:num>
  <w:num w:numId="4">
    <w:abstractNumId w:val="14"/>
  </w:num>
  <w:num w:numId="5">
    <w:abstractNumId w:val="39"/>
  </w:num>
  <w:num w:numId="6">
    <w:abstractNumId w:val="5"/>
  </w:num>
  <w:num w:numId="7">
    <w:abstractNumId w:val="20"/>
  </w:num>
  <w:num w:numId="8">
    <w:abstractNumId w:val="41"/>
  </w:num>
  <w:num w:numId="9">
    <w:abstractNumId w:val="23"/>
  </w:num>
  <w:num w:numId="10">
    <w:abstractNumId w:val="38"/>
  </w:num>
  <w:num w:numId="11">
    <w:abstractNumId w:val="36"/>
  </w:num>
  <w:num w:numId="12">
    <w:abstractNumId w:val="11"/>
  </w:num>
  <w:num w:numId="13">
    <w:abstractNumId w:val="21"/>
  </w:num>
  <w:num w:numId="14">
    <w:abstractNumId w:val="32"/>
  </w:num>
  <w:num w:numId="15">
    <w:abstractNumId w:val="6"/>
  </w:num>
  <w:num w:numId="16">
    <w:abstractNumId w:val="2"/>
  </w:num>
  <w:num w:numId="17">
    <w:abstractNumId w:val="10"/>
  </w:num>
  <w:num w:numId="18">
    <w:abstractNumId w:val="26"/>
  </w:num>
  <w:num w:numId="19">
    <w:abstractNumId w:val="30"/>
  </w:num>
  <w:num w:numId="20">
    <w:abstractNumId w:val="29"/>
  </w:num>
  <w:num w:numId="21">
    <w:abstractNumId w:val="35"/>
  </w:num>
  <w:num w:numId="22">
    <w:abstractNumId w:val="17"/>
  </w:num>
  <w:num w:numId="23">
    <w:abstractNumId w:val="28"/>
  </w:num>
  <w:num w:numId="24">
    <w:abstractNumId w:val="31"/>
  </w:num>
  <w:num w:numId="25">
    <w:abstractNumId w:val="9"/>
  </w:num>
  <w:num w:numId="26">
    <w:abstractNumId w:val="15"/>
  </w:num>
  <w:num w:numId="27">
    <w:abstractNumId w:val="4"/>
  </w:num>
  <w:num w:numId="28">
    <w:abstractNumId w:val="37"/>
  </w:num>
  <w:num w:numId="29">
    <w:abstractNumId w:val="1"/>
  </w:num>
  <w:num w:numId="30">
    <w:abstractNumId w:val="40"/>
  </w:num>
  <w:num w:numId="31">
    <w:abstractNumId w:val="24"/>
  </w:num>
  <w:num w:numId="32">
    <w:abstractNumId w:val="34"/>
  </w:num>
  <w:num w:numId="33">
    <w:abstractNumId w:val="18"/>
  </w:num>
  <w:num w:numId="34">
    <w:abstractNumId w:val="7"/>
  </w:num>
  <w:num w:numId="35">
    <w:abstractNumId w:val="22"/>
  </w:num>
  <w:num w:numId="36">
    <w:abstractNumId w:val="12"/>
  </w:num>
  <w:num w:numId="37">
    <w:abstractNumId w:val="25"/>
  </w:num>
  <w:num w:numId="38">
    <w:abstractNumId w:val="19"/>
  </w:num>
  <w:num w:numId="39">
    <w:abstractNumId w:val="33"/>
  </w:num>
  <w:num w:numId="40">
    <w:abstractNumId w:val="8"/>
  </w:num>
  <w:num w:numId="41">
    <w:abstractNumId w:val="0"/>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EFB"/>
    <w:rsid w:val="00001A88"/>
    <w:rsid w:val="0000379B"/>
    <w:rsid w:val="00004351"/>
    <w:rsid w:val="00010526"/>
    <w:rsid w:val="00024F80"/>
    <w:rsid w:val="000332C6"/>
    <w:rsid w:val="000358D4"/>
    <w:rsid w:val="000406FF"/>
    <w:rsid w:val="00041011"/>
    <w:rsid w:val="00042D62"/>
    <w:rsid w:val="00045379"/>
    <w:rsid w:val="00050A7C"/>
    <w:rsid w:val="000556E5"/>
    <w:rsid w:val="0005755B"/>
    <w:rsid w:val="00063CA0"/>
    <w:rsid w:val="00066270"/>
    <w:rsid w:val="00072BA3"/>
    <w:rsid w:val="00077A45"/>
    <w:rsid w:val="00084C77"/>
    <w:rsid w:val="00092DF1"/>
    <w:rsid w:val="000955A0"/>
    <w:rsid w:val="000A116F"/>
    <w:rsid w:val="000A1C63"/>
    <w:rsid w:val="000A2810"/>
    <w:rsid w:val="000A2CD0"/>
    <w:rsid w:val="000A2EED"/>
    <w:rsid w:val="000A6627"/>
    <w:rsid w:val="000B632A"/>
    <w:rsid w:val="000C12FA"/>
    <w:rsid w:val="000D3819"/>
    <w:rsid w:val="000E1156"/>
    <w:rsid w:val="000E329B"/>
    <w:rsid w:val="000E4EFB"/>
    <w:rsid w:val="000F1BE7"/>
    <w:rsid w:val="001041FE"/>
    <w:rsid w:val="00106C16"/>
    <w:rsid w:val="00113B2A"/>
    <w:rsid w:val="00114AF0"/>
    <w:rsid w:val="0012063A"/>
    <w:rsid w:val="001226D4"/>
    <w:rsid w:val="0012749D"/>
    <w:rsid w:val="001309A9"/>
    <w:rsid w:val="00132F17"/>
    <w:rsid w:val="00135CF0"/>
    <w:rsid w:val="001404E0"/>
    <w:rsid w:val="0014116F"/>
    <w:rsid w:val="001426B7"/>
    <w:rsid w:val="00146DC6"/>
    <w:rsid w:val="00147160"/>
    <w:rsid w:val="00150506"/>
    <w:rsid w:val="00150F8E"/>
    <w:rsid w:val="0015295A"/>
    <w:rsid w:val="00157750"/>
    <w:rsid w:val="00163B24"/>
    <w:rsid w:val="00173789"/>
    <w:rsid w:val="00177A87"/>
    <w:rsid w:val="00190C4F"/>
    <w:rsid w:val="001930A9"/>
    <w:rsid w:val="00193C92"/>
    <w:rsid w:val="0019402E"/>
    <w:rsid w:val="0019444C"/>
    <w:rsid w:val="00194FE3"/>
    <w:rsid w:val="00197D9E"/>
    <w:rsid w:val="001A1BBB"/>
    <w:rsid w:val="001A4479"/>
    <w:rsid w:val="001A481D"/>
    <w:rsid w:val="001A560C"/>
    <w:rsid w:val="001A6C7A"/>
    <w:rsid w:val="001A6DF5"/>
    <w:rsid w:val="001B4633"/>
    <w:rsid w:val="001B6A70"/>
    <w:rsid w:val="001B6C2E"/>
    <w:rsid w:val="001B7D60"/>
    <w:rsid w:val="001D4AC3"/>
    <w:rsid w:val="001D557B"/>
    <w:rsid w:val="001D5847"/>
    <w:rsid w:val="001D6ABA"/>
    <w:rsid w:val="001D729C"/>
    <w:rsid w:val="001D7D83"/>
    <w:rsid w:val="001E2879"/>
    <w:rsid w:val="001F309D"/>
    <w:rsid w:val="001F4333"/>
    <w:rsid w:val="001F537D"/>
    <w:rsid w:val="002128BF"/>
    <w:rsid w:val="002129D8"/>
    <w:rsid w:val="0021510F"/>
    <w:rsid w:val="0021665C"/>
    <w:rsid w:val="00223241"/>
    <w:rsid w:val="002243AF"/>
    <w:rsid w:val="00225901"/>
    <w:rsid w:val="002329E7"/>
    <w:rsid w:val="002374B8"/>
    <w:rsid w:val="00241013"/>
    <w:rsid w:val="00241B3D"/>
    <w:rsid w:val="002502B2"/>
    <w:rsid w:val="00252F5B"/>
    <w:rsid w:val="00261C1A"/>
    <w:rsid w:val="00263BC5"/>
    <w:rsid w:val="00271C7A"/>
    <w:rsid w:val="00273892"/>
    <w:rsid w:val="00280A6F"/>
    <w:rsid w:val="002858B7"/>
    <w:rsid w:val="002863FB"/>
    <w:rsid w:val="002866EB"/>
    <w:rsid w:val="00291898"/>
    <w:rsid w:val="00293BD0"/>
    <w:rsid w:val="002971F3"/>
    <w:rsid w:val="00297DA2"/>
    <w:rsid w:val="002A5A87"/>
    <w:rsid w:val="002A5F72"/>
    <w:rsid w:val="002A7031"/>
    <w:rsid w:val="002A70E6"/>
    <w:rsid w:val="002A7FD3"/>
    <w:rsid w:val="002B1873"/>
    <w:rsid w:val="002B2DEF"/>
    <w:rsid w:val="002B3240"/>
    <w:rsid w:val="002C0787"/>
    <w:rsid w:val="002C0D7B"/>
    <w:rsid w:val="002C264E"/>
    <w:rsid w:val="002C3335"/>
    <w:rsid w:val="002C6DD7"/>
    <w:rsid w:val="002D2A21"/>
    <w:rsid w:val="002D59E8"/>
    <w:rsid w:val="002D73BE"/>
    <w:rsid w:val="002E1361"/>
    <w:rsid w:val="002F1A9C"/>
    <w:rsid w:val="002F7E84"/>
    <w:rsid w:val="00302B48"/>
    <w:rsid w:val="003044E9"/>
    <w:rsid w:val="003103A5"/>
    <w:rsid w:val="0031079A"/>
    <w:rsid w:val="00316245"/>
    <w:rsid w:val="00321C7C"/>
    <w:rsid w:val="0033578F"/>
    <w:rsid w:val="0033757E"/>
    <w:rsid w:val="00340351"/>
    <w:rsid w:val="00340FEE"/>
    <w:rsid w:val="00345794"/>
    <w:rsid w:val="003457B3"/>
    <w:rsid w:val="003463A7"/>
    <w:rsid w:val="00347119"/>
    <w:rsid w:val="003520A2"/>
    <w:rsid w:val="00353410"/>
    <w:rsid w:val="003537F4"/>
    <w:rsid w:val="003627EA"/>
    <w:rsid w:val="00365BBD"/>
    <w:rsid w:val="00366AA6"/>
    <w:rsid w:val="00367158"/>
    <w:rsid w:val="00367229"/>
    <w:rsid w:val="00371BD6"/>
    <w:rsid w:val="003733A4"/>
    <w:rsid w:val="003744DB"/>
    <w:rsid w:val="00376086"/>
    <w:rsid w:val="003850D8"/>
    <w:rsid w:val="003A14F3"/>
    <w:rsid w:val="003B0735"/>
    <w:rsid w:val="003B0D9A"/>
    <w:rsid w:val="003B49E5"/>
    <w:rsid w:val="003B6907"/>
    <w:rsid w:val="003C2E7E"/>
    <w:rsid w:val="003C49C6"/>
    <w:rsid w:val="003D2223"/>
    <w:rsid w:val="003E2CF1"/>
    <w:rsid w:val="003E630C"/>
    <w:rsid w:val="003E7639"/>
    <w:rsid w:val="003F0B95"/>
    <w:rsid w:val="003F60DD"/>
    <w:rsid w:val="003F7588"/>
    <w:rsid w:val="00401028"/>
    <w:rsid w:val="0040270D"/>
    <w:rsid w:val="00405B2A"/>
    <w:rsid w:val="00406829"/>
    <w:rsid w:val="00407B59"/>
    <w:rsid w:val="0041099F"/>
    <w:rsid w:val="00410A7B"/>
    <w:rsid w:val="004120BD"/>
    <w:rsid w:val="004129E1"/>
    <w:rsid w:val="00413B75"/>
    <w:rsid w:val="00414B4E"/>
    <w:rsid w:val="0042117A"/>
    <w:rsid w:val="004224A1"/>
    <w:rsid w:val="00423376"/>
    <w:rsid w:val="0042539F"/>
    <w:rsid w:val="004253BD"/>
    <w:rsid w:val="00431FB5"/>
    <w:rsid w:val="004336EC"/>
    <w:rsid w:val="00436B9C"/>
    <w:rsid w:val="004379A2"/>
    <w:rsid w:val="00437DEB"/>
    <w:rsid w:val="004401E9"/>
    <w:rsid w:val="00442CFD"/>
    <w:rsid w:val="00453AFB"/>
    <w:rsid w:val="00463A00"/>
    <w:rsid w:val="00467182"/>
    <w:rsid w:val="0047131D"/>
    <w:rsid w:val="00474884"/>
    <w:rsid w:val="00475B5E"/>
    <w:rsid w:val="00482DCA"/>
    <w:rsid w:val="00486FF3"/>
    <w:rsid w:val="004922BC"/>
    <w:rsid w:val="00494AA0"/>
    <w:rsid w:val="00495A44"/>
    <w:rsid w:val="00497070"/>
    <w:rsid w:val="004A23E4"/>
    <w:rsid w:val="004A651E"/>
    <w:rsid w:val="004B74F3"/>
    <w:rsid w:val="004C0A47"/>
    <w:rsid w:val="004C0B99"/>
    <w:rsid w:val="004C145D"/>
    <w:rsid w:val="004C3150"/>
    <w:rsid w:val="004C4069"/>
    <w:rsid w:val="004C7B96"/>
    <w:rsid w:val="004D19F1"/>
    <w:rsid w:val="004D1ADC"/>
    <w:rsid w:val="004E0086"/>
    <w:rsid w:val="004E1442"/>
    <w:rsid w:val="004E4AA4"/>
    <w:rsid w:val="004E5426"/>
    <w:rsid w:val="004F5B32"/>
    <w:rsid w:val="005013F8"/>
    <w:rsid w:val="00505B67"/>
    <w:rsid w:val="00514BD8"/>
    <w:rsid w:val="005152CD"/>
    <w:rsid w:val="00516362"/>
    <w:rsid w:val="005217B8"/>
    <w:rsid w:val="005241DA"/>
    <w:rsid w:val="00524533"/>
    <w:rsid w:val="005249D1"/>
    <w:rsid w:val="005335E8"/>
    <w:rsid w:val="00535657"/>
    <w:rsid w:val="00537249"/>
    <w:rsid w:val="005454D4"/>
    <w:rsid w:val="005459B0"/>
    <w:rsid w:val="005530F0"/>
    <w:rsid w:val="00566264"/>
    <w:rsid w:val="00571A4D"/>
    <w:rsid w:val="005735DB"/>
    <w:rsid w:val="00573652"/>
    <w:rsid w:val="00585E44"/>
    <w:rsid w:val="0058694A"/>
    <w:rsid w:val="00593419"/>
    <w:rsid w:val="00593725"/>
    <w:rsid w:val="0059760C"/>
    <w:rsid w:val="005B16B3"/>
    <w:rsid w:val="005B6839"/>
    <w:rsid w:val="005B7063"/>
    <w:rsid w:val="005C348E"/>
    <w:rsid w:val="005C5867"/>
    <w:rsid w:val="005D247E"/>
    <w:rsid w:val="005D7247"/>
    <w:rsid w:val="005E1776"/>
    <w:rsid w:val="00604940"/>
    <w:rsid w:val="00610037"/>
    <w:rsid w:val="0061234B"/>
    <w:rsid w:val="0062127E"/>
    <w:rsid w:val="00622A1A"/>
    <w:rsid w:val="00634A1E"/>
    <w:rsid w:val="00636757"/>
    <w:rsid w:val="006374BA"/>
    <w:rsid w:val="0063755F"/>
    <w:rsid w:val="00641257"/>
    <w:rsid w:val="00653887"/>
    <w:rsid w:val="0066587A"/>
    <w:rsid w:val="00670394"/>
    <w:rsid w:val="00670EC8"/>
    <w:rsid w:val="00672009"/>
    <w:rsid w:val="00673B1B"/>
    <w:rsid w:val="00692389"/>
    <w:rsid w:val="00694B60"/>
    <w:rsid w:val="00696913"/>
    <w:rsid w:val="00696B74"/>
    <w:rsid w:val="006C563C"/>
    <w:rsid w:val="006C6669"/>
    <w:rsid w:val="006D0999"/>
    <w:rsid w:val="006D0A65"/>
    <w:rsid w:val="006D2416"/>
    <w:rsid w:val="006D53CD"/>
    <w:rsid w:val="006D68AD"/>
    <w:rsid w:val="006D7615"/>
    <w:rsid w:val="006E09AD"/>
    <w:rsid w:val="006E46EC"/>
    <w:rsid w:val="006F339D"/>
    <w:rsid w:val="006F4286"/>
    <w:rsid w:val="006F56B6"/>
    <w:rsid w:val="00703BC2"/>
    <w:rsid w:val="00705047"/>
    <w:rsid w:val="00706125"/>
    <w:rsid w:val="00707B51"/>
    <w:rsid w:val="00707FCD"/>
    <w:rsid w:val="00714619"/>
    <w:rsid w:val="007151BC"/>
    <w:rsid w:val="0072254E"/>
    <w:rsid w:val="007320E4"/>
    <w:rsid w:val="00732CAB"/>
    <w:rsid w:val="00741F6D"/>
    <w:rsid w:val="00744D2E"/>
    <w:rsid w:val="00746EC0"/>
    <w:rsid w:val="00757257"/>
    <w:rsid w:val="00763946"/>
    <w:rsid w:val="00763E85"/>
    <w:rsid w:val="00773D3F"/>
    <w:rsid w:val="007801DB"/>
    <w:rsid w:val="00780D1B"/>
    <w:rsid w:val="00782571"/>
    <w:rsid w:val="00785FD2"/>
    <w:rsid w:val="0078739C"/>
    <w:rsid w:val="0078793C"/>
    <w:rsid w:val="007909BE"/>
    <w:rsid w:val="0079377E"/>
    <w:rsid w:val="007A2D7E"/>
    <w:rsid w:val="007A3675"/>
    <w:rsid w:val="007A45A8"/>
    <w:rsid w:val="007A62B8"/>
    <w:rsid w:val="007A662F"/>
    <w:rsid w:val="007B2F0F"/>
    <w:rsid w:val="007B3408"/>
    <w:rsid w:val="007B3489"/>
    <w:rsid w:val="007B5991"/>
    <w:rsid w:val="007B7D10"/>
    <w:rsid w:val="007C3709"/>
    <w:rsid w:val="007C7177"/>
    <w:rsid w:val="007D48AC"/>
    <w:rsid w:val="007E0399"/>
    <w:rsid w:val="007E4072"/>
    <w:rsid w:val="007F3911"/>
    <w:rsid w:val="007F5680"/>
    <w:rsid w:val="007F76D2"/>
    <w:rsid w:val="008031C1"/>
    <w:rsid w:val="00803914"/>
    <w:rsid w:val="00803F0D"/>
    <w:rsid w:val="00806D97"/>
    <w:rsid w:val="008072C9"/>
    <w:rsid w:val="00807513"/>
    <w:rsid w:val="00811B8A"/>
    <w:rsid w:val="00812EFF"/>
    <w:rsid w:val="0081306A"/>
    <w:rsid w:val="008165A2"/>
    <w:rsid w:val="00830181"/>
    <w:rsid w:val="00836526"/>
    <w:rsid w:val="00837917"/>
    <w:rsid w:val="00842CA6"/>
    <w:rsid w:val="00843188"/>
    <w:rsid w:val="00847A57"/>
    <w:rsid w:val="008506A8"/>
    <w:rsid w:val="00865989"/>
    <w:rsid w:val="008663C1"/>
    <w:rsid w:val="008667BA"/>
    <w:rsid w:val="00870BD0"/>
    <w:rsid w:val="00875A4E"/>
    <w:rsid w:val="008768FC"/>
    <w:rsid w:val="0087690F"/>
    <w:rsid w:val="008858A9"/>
    <w:rsid w:val="008862E0"/>
    <w:rsid w:val="0089011E"/>
    <w:rsid w:val="00891924"/>
    <w:rsid w:val="00892F33"/>
    <w:rsid w:val="008975E6"/>
    <w:rsid w:val="008A2D20"/>
    <w:rsid w:val="008A36A3"/>
    <w:rsid w:val="008A6C20"/>
    <w:rsid w:val="008B16E3"/>
    <w:rsid w:val="008B1A2E"/>
    <w:rsid w:val="008B1FA6"/>
    <w:rsid w:val="008B3C59"/>
    <w:rsid w:val="008B6AB3"/>
    <w:rsid w:val="008C0348"/>
    <w:rsid w:val="008C148F"/>
    <w:rsid w:val="008C3706"/>
    <w:rsid w:val="008D1E4F"/>
    <w:rsid w:val="008D526C"/>
    <w:rsid w:val="008D58C8"/>
    <w:rsid w:val="008E2D07"/>
    <w:rsid w:val="008E6F26"/>
    <w:rsid w:val="008F2567"/>
    <w:rsid w:val="008F56FE"/>
    <w:rsid w:val="008F65AC"/>
    <w:rsid w:val="00901571"/>
    <w:rsid w:val="00903D14"/>
    <w:rsid w:val="0090494B"/>
    <w:rsid w:val="00920FF5"/>
    <w:rsid w:val="00922782"/>
    <w:rsid w:val="009309E9"/>
    <w:rsid w:val="009310C5"/>
    <w:rsid w:val="0093617F"/>
    <w:rsid w:val="0094016E"/>
    <w:rsid w:val="009408CE"/>
    <w:rsid w:val="00941D58"/>
    <w:rsid w:val="00943074"/>
    <w:rsid w:val="00945788"/>
    <w:rsid w:val="00945F78"/>
    <w:rsid w:val="0095415E"/>
    <w:rsid w:val="009549F8"/>
    <w:rsid w:val="00954D4A"/>
    <w:rsid w:val="00965484"/>
    <w:rsid w:val="009662E1"/>
    <w:rsid w:val="009955A8"/>
    <w:rsid w:val="009A150F"/>
    <w:rsid w:val="009A2739"/>
    <w:rsid w:val="009A2ECD"/>
    <w:rsid w:val="009B0CC1"/>
    <w:rsid w:val="009B14F3"/>
    <w:rsid w:val="009B2F2E"/>
    <w:rsid w:val="009B6470"/>
    <w:rsid w:val="009C0E03"/>
    <w:rsid w:val="009C1191"/>
    <w:rsid w:val="009C4D19"/>
    <w:rsid w:val="009C64AF"/>
    <w:rsid w:val="009D75C0"/>
    <w:rsid w:val="009E1A8C"/>
    <w:rsid w:val="009E6ACE"/>
    <w:rsid w:val="009E7B66"/>
    <w:rsid w:val="009E7C63"/>
    <w:rsid w:val="009F136C"/>
    <w:rsid w:val="009F287E"/>
    <w:rsid w:val="00A04A8A"/>
    <w:rsid w:val="00A06F6C"/>
    <w:rsid w:val="00A0761C"/>
    <w:rsid w:val="00A11492"/>
    <w:rsid w:val="00A11522"/>
    <w:rsid w:val="00A13CB5"/>
    <w:rsid w:val="00A1691C"/>
    <w:rsid w:val="00A22445"/>
    <w:rsid w:val="00A2315B"/>
    <w:rsid w:val="00A318BC"/>
    <w:rsid w:val="00A34830"/>
    <w:rsid w:val="00A36E6B"/>
    <w:rsid w:val="00A40778"/>
    <w:rsid w:val="00A40BB3"/>
    <w:rsid w:val="00A43D11"/>
    <w:rsid w:val="00A44652"/>
    <w:rsid w:val="00A44A2E"/>
    <w:rsid w:val="00A46014"/>
    <w:rsid w:val="00A464D0"/>
    <w:rsid w:val="00A46FB0"/>
    <w:rsid w:val="00A57AD7"/>
    <w:rsid w:val="00A62614"/>
    <w:rsid w:val="00A75780"/>
    <w:rsid w:val="00A77CAC"/>
    <w:rsid w:val="00A8191E"/>
    <w:rsid w:val="00A83EA4"/>
    <w:rsid w:val="00A91347"/>
    <w:rsid w:val="00A93705"/>
    <w:rsid w:val="00A93DE7"/>
    <w:rsid w:val="00AA043D"/>
    <w:rsid w:val="00AA13D9"/>
    <w:rsid w:val="00AA51D1"/>
    <w:rsid w:val="00AA5A24"/>
    <w:rsid w:val="00AA6936"/>
    <w:rsid w:val="00AB1521"/>
    <w:rsid w:val="00AB3512"/>
    <w:rsid w:val="00AC300A"/>
    <w:rsid w:val="00AD14B0"/>
    <w:rsid w:val="00AD1C2B"/>
    <w:rsid w:val="00AD7A67"/>
    <w:rsid w:val="00AE00AB"/>
    <w:rsid w:val="00AE0264"/>
    <w:rsid w:val="00AE36B8"/>
    <w:rsid w:val="00AF0774"/>
    <w:rsid w:val="00AF3D0B"/>
    <w:rsid w:val="00AF412F"/>
    <w:rsid w:val="00B0054D"/>
    <w:rsid w:val="00B01841"/>
    <w:rsid w:val="00B041D9"/>
    <w:rsid w:val="00B07CD0"/>
    <w:rsid w:val="00B127A4"/>
    <w:rsid w:val="00B2624E"/>
    <w:rsid w:val="00B27662"/>
    <w:rsid w:val="00B327DA"/>
    <w:rsid w:val="00B33C33"/>
    <w:rsid w:val="00B344E6"/>
    <w:rsid w:val="00B3569A"/>
    <w:rsid w:val="00B3703D"/>
    <w:rsid w:val="00B44B3C"/>
    <w:rsid w:val="00B53CB5"/>
    <w:rsid w:val="00B62B4B"/>
    <w:rsid w:val="00B64DB2"/>
    <w:rsid w:val="00B701C1"/>
    <w:rsid w:val="00B77DE4"/>
    <w:rsid w:val="00B815B2"/>
    <w:rsid w:val="00B85605"/>
    <w:rsid w:val="00B93E94"/>
    <w:rsid w:val="00BA3C9E"/>
    <w:rsid w:val="00BA4E15"/>
    <w:rsid w:val="00BA652C"/>
    <w:rsid w:val="00BA6B68"/>
    <w:rsid w:val="00BA759C"/>
    <w:rsid w:val="00BC12A1"/>
    <w:rsid w:val="00BC287D"/>
    <w:rsid w:val="00BC3729"/>
    <w:rsid w:val="00BC44D0"/>
    <w:rsid w:val="00BC6008"/>
    <w:rsid w:val="00BC6052"/>
    <w:rsid w:val="00BC6085"/>
    <w:rsid w:val="00BC620F"/>
    <w:rsid w:val="00BD3F1B"/>
    <w:rsid w:val="00BE000E"/>
    <w:rsid w:val="00BE4CCB"/>
    <w:rsid w:val="00BE5D9D"/>
    <w:rsid w:val="00BF0EF4"/>
    <w:rsid w:val="00BF652C"/>
    <w:rsid w:val="00C0147F"/>
    <w:rsid w:val="00C0755F"/>
    <w:rsid w:val="00C1219B"/>
    <w:rsid w:val="00C14103"/>
    <w:rsid w:val="00C22CBF"/>
    <w:rsid w:val="00C275B8"/>
    <w:rsid w:val="00C31001"/>
    <w:rsid w:val="00C3132A"/>
    <w:rsid w:val="00C364F6"/>
    <w:rsid w:val="00C40EED"/>
    <w:rsid w:val="00C41336"/>
    <w:rsid w:val="00C45BE4"/>
    <w:rsid w:val="00C47015"/>
    <w:rsid w:val="00C540D3"/>
    <w:rsid w:val="00C57815"/>
    <w:rsid w:val="00C62B2A"/>
    <w:rsid w:val="00C64F6C"/>
    <w:rsid w:val="00C66A5F"/>
    <w:rsid w:val="00C67408"/>
    <w:rsid w:val="00C73DBA"/>
    <w:rsid w:val="00C777FF"/>
    <w:rsid w:val="00C7783D"/>
    <w:rsid w:val="00C87DAD"/>
    <w:rsid w:val="00CA01FD"/>
    <w:rsid w:val="00CA433D"/>
    <w:rsid w:val="00CB340C"/>
    <w:rsid w:val="00CB4783"/>
    <w:rsid w:val="00CB5DEA"/>
    <w:rsid w:val="00CB69B3"/>
    <w:rsid w:val="00CB6A9E"/>
    <w:rsid w:val="00CC05E8"/>
    <w:rsid w:val="00CC13ED"/>
    <w:rsid w:val="00CC7B5A"/>
    <w:rsid w:val="00CD4810"/>
    <w:rsid w:val="00CD6B92"/>
    <w:rsid w:val="00CD6EE6"/>
    <w:rsid w:val="00CD720D"/>
    <w:rsid w:val="00CD7E27"/>
    <w:rsid w:val="00CE0A4E"/>
    <w:rsid w:val="00CE58A1"/>
    <w:rsid w:val="00CF497F"/>
    <w:rsid w:val="00CF6D5E"/>
    <w:rsid w:val="00CF7199"/>
    <w:rsid w:val="00D00EB6"/>
    <w:rsid w:val="00D04AE1"/>
    <w:rsid w:val="00D21F06"/>
    <w:rsid w:val="00D4179B"/>
    <w:rsid w:val="00D44497"/>
    <w:rsid w:val="00D46B32"/>
    <w:rsid w:val="00D50F3C"/>
    <w:rsid w:val="00D52564"/>
    <w:rsid w:val="00D55723"/>
    <w:rsid w:val="00D56138"/>
    <w:rsid w:val="00D654C8"/>
    <w:rsid w:val="00D66342"/>
    <w:rsid w:val="00D701C7"/>
    <w:rsid w:val="00D75991"/>
    <w:rsid w:val="00D76955"/>
    <w:rsid w:val="00D76BA4"/>
    <w:rsid w:val="00D81077"/>
    <w:rsid w:val="00D82E61"/>
    <w:rsid w:val="00D84E97"/>
    <w:rsid w:val="00D91232"/>
    <w:rsid w:val="00D935E4"/>
    <w:rsid w:val="00DA420A"/>
    <w:rsid w:val="00DA6CA3"/>
    <w:rsid w:val="00DB3FDD"/>
    <w:rsid w:val="00DB59FB"/>
    <w:rsid w:val="00DB5E07"/>
    <w:rsid w:val="00DC06B0"/>
    <w:rsid w:val="00DC60A3"/>
    <w:rsid w:val="00DC64DD"/>
    <w:rsid w:val="00DC7362"/>
    <w:rsid w:val="00DD0AC6"/>
    <w:rsid w:val="00DD209F"/>
    <w:rsid w:val="00DD39FB"/>
    <w:rsid w:val="00DD4B14"/>
    <w:rsid w:val="00DE2F80"/>
    <w:rsid w:val="00DF0FCD"/>
    <w:rsid w:val="00E01E76"/>
    <w:rsid w:val="00E12632"/>
    <w:rsid w:val="00E12D48"/>
    <w:rsid w:val="00E2198C"/>
    <w:rsid w:val="00E30207"/>
    <w:rsid w:val="00E30779"/>
    <w:rsid w:val="00E31E43"/>
    <w:rsid w:val="00E34105"/>
    <w:rsid w:val="00E35C9B"/>
    <w:rsid w:val="00E3685C"/>
    <w:rsid w:val="00E374A5"/>
    <w:rsid w:val="00E4346B"/>
    <w:rsid w:val="00E5133F"/>
    <w:rsid w:val="00E513ED"/>
    <w:rsid w:val="00E5450B"/>
    <w:rsid w:val="00E61029"/>
    <w:rsid w:val="00E66B8F"/>
    <w:rsid w:val="00E66E14"/>
    <w:rsid w:val="00E72DC8"/>
    <w:rsid w:val="00E73546"/>
    <w:rsid w:val="00E77087"/>
    <w:rsid w:val="00E80008"/>
    <w:rsid w:val="00E80137"/>
    <w:rsid w:val="00E8147E"/>
    <w:rsid w:val="00E83CE9"/>
    <w:rsid w:val="00E84310"/>
    <w:rsid w:val="00E866E9"/>
    <w:rsid w:val="00E869DA"/>
    <w:rsid w:val="00E86F93"/>
    <w:rsid w:val="00E87C0E"/>
    <w:rsid w:val="00E92A29"/>
    <w:rsid w:val="00E93881"/>
    <w:rsid w:val="00E93AF2"/>
    <w:rsid w:val="00E94715"/>
    <w:rsid w:val="00E97328"/>
    <w:rsid w:val="00EA09A5"/>
    <w:rsid w:val="00EA263F"/>
    <w:rsid w:val="00EA770E"/>
    <w:rsid w:val="00EB002A"/>
    <w:rsid w:val="00EB5B53"/>
    <w:rsid w:val="00EB670C"/>
    <w:rsid w:val="00EC0DF7"/>
    <w:rsid w:val="00EC671D"/>
    <w:rsid w:val="00ED2580"/>
    <w:rsid w:val="00ED2C8D"/>
    <w:rsid w:val="00ED38BB"/>
    <w:rsid w:val="00ED38E0"/>
    <w:rsid w:val="00EE403D"/>
    <w:rsid w:val="00EE61AE"/>
    <w:rsid w:val="00EE7B82"/>
    <w:rsid w:val="00EF1C79"/>
    <w:rsid w:val="00EF3FC7"/>
    <w:rsid w:val="00EF60EB"/>
    <w:rsid w:val="00F00E55"/>
    <w:rsid w:val="00F063D4"/>
    <w:rsid w:val="00F070C5"/>
    <w:rsid w:val="00F127F6"/>
    <w:rsid w:val="00F13F49"/>
    <w:rsid w:val="00F20B0D"/>
    <w:rsid w:val="00F23E74"/>
    <w:rsid w:val="00F240CB"/>
    <w:rsid w:val="00F30F7D"/>
    <w:rsid w:val="00F44BBF"/>
    <w:rsid w:val="00F45AE7"/>
    <w:rsid w:val="00F512D5"/>
    <w:rsid w:val="00F610CC"/>
    <w:rsid w:val="00F6490F"/>
    <w:rsid w:val="00F64DA0"/>
    <w:rsid w:val="00F67352"/>
    <w:rsid w:val="00F721B6"/>
    <w:rsid w:val="00F7557A"/>
    <w:rsid w:val="00F80DC3"/>
    <w:rsid w:val="00F87DCE"/>
    <w:rsid w:val="00F90337"/>
    <w:rsid w:val="00F93209"/>
    <w:rsid w:val="00F94658"/>
    <w:rsid w:val="00F951E2"/>
    <w:rsid w:val="00F96A53"/>
    <w:rsid w:val="00F97339"/>
    <w:rsid w:val="00FA0E5B"/>
    <w:rsid w:val="00FB52E8"/>
    <w:rsid w:val="00FB6C6E"/>
    <w:rsid w:val="00FC2470"/>
    <w:rsid w:val="00FC4F6C"/>
    <w:rsid w:val="00FD3270"/>
    <w:rsid w:val="00FD7E10"/>
    <w:rsid w:val="00FE0A5F"/>
    <w:rsid w:val="00FE0ED4"/>
    <w:rsid w:val="00FE3262"/>
    <w:rsid w:val="00FE496D"/>
    <w:rsid w:val="00FE526C"/>
    <w:rsid w:val="00FE7652"/>
    <w:rsid w:val="00FF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2411E"/>
  <w15:docId w15:val="{8E1E6068-F7D4-4FEB-824F-CD069D97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rsid w:val="00B0054D"/>
    <w:pPr>
      <w:tabs>
        <w:tab w:val="left" w:pos="1176"/>
        <w:tab w:val="left" w:pos="1656"/>
        <w:tab w:val="left" w:pos="5016"/>
        <w:tab w:val="left" w:pos="6696"/>
        <w:tab w:val="left" w:pos="8256"/>
      </w:tabs>
      <w:ind w:left="480"/>
    </w:pPr>
  </w:style>
  <w:style w:type="paragraph" w:styleId="BodyTextIndent3">
    <w:name w:val="Body Text Indent 3"/>
    <w:basedOn w:val="Normal"/>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semiHidden/>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uiPriority w:val="99"/>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semiHidden/>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table" w:customStyle="1" w:styleId="TableGrid1">
    <w:name w:val="Table Grid1"/>
    <w:basedOn w:val="TableNormal"/>
    <w:next w:val="TableGrid"/>
    <w:uiPriority w:val="39"/>
    <w:rsid w:val="0042337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A24"/>
    <w:pPr>
      <w:ind w:left="720"/>
      <w:contextualSpacing/>
    </w:pPr>
  </w:style>
  <w:style w:type="character" w:customStyle="1" w:styleId="HeaderChar">
    <w:name w:val="Header Char"/>
    <w:basedOn w:val="DefaultParagraphFont"/>
    <w:link w:val="Header"/>
    <w:uiPriority w:val="99"/>
    <w:rsid w:val="00CA43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35620">
      <w:bodyDiv w:val="1"/>
      <w:marLeft w:val="0"/>
      <w:marRight w:val="0"/>
      <w:marTop w:val="0"/>
      <w:marBottom w:val="0"/>
      <w:divBdr>
        <w:top w:val="none" w:sz="0" w:space="0" w:color="auto"/>
        <w:left w:val="none" w:sz="0" w:space="0" w:color="auto"/>
        <w:bottom w:val="none" w:sz="0" w:space="0" w:color="auto"/>
        <w:right w:val="none" w:sz="0" w:space="0" w:color="auto"/>
      </w:divBdr>
    </w:div>
    <w:div w:id="242684397">
      <w:bodyDiv w:val="1"/>
      <w:marLeft w:val="0"/>
      <w:marRight w:val="0"/>
      <w:marTop w:val="0"/>
      <w:marBottom w:val="0"/>
      <w:divBdr>
        <w:top w:val="none" w:sz="0" w:space="0" w:color="auto"/>
        <w:left w:val="none" w:sz="0" w:space="0" w:color="auto"/>
        <w:bottom w:val="none" w:sz="0" w:space="0" w:color="auto"/>
        <w:right w:val="none" w:sz="0" w:space="0" w:color="auto"/>
      </w:divBdr>
    </w:div>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492647797">
      <w:bodyDiv w:val="1"/>
      <w:marLeft w:val="0"/>
      <w:marRight w:val="0"/>
      <w:marTop w:val="0"/>
      <w:marBottom w:val="0"/>
      <w:divBdr>
        <w:top w:val="none" w:sz="0" w:space="0" w:color="auto"/>
        <w:left w:val="none" w:sz="0" w:space="0" w:color="auto"/>
        <w:bottom w:val="none" w:sz="0" w:space="0" w:color="auto"/>
        <w:right w:val="none" w:sz="0" w:space="0" w:color="auto"/>
      </w:divBdr>
    </w:div>
    <w:div w:id="520433924">
      <w:bodyDiv w:val="1"/>
      <w:marLeft w:val="0"/>
      <w:marRight w:val="0"/>
      <w:marTop w:val="0"/>
      <w:marBottom w:val="0"/>
      <w:divBdr>
        <w:top w:val="none" w:sz="0" w:space="0" w:color="auto"/>
        <w:left w:val="none" w:sz="0" w:space="0" w:color="auto"/>
        <w:bottom w:val="none" w:sz="0" w:space="0" w:color="auto"/>
        <w:right w:val="none" w:sz="0" w:space="0" w:color="auto"/>
      </w:divBdr>
    </w:div>
    <w:div w:id="710426453">
      <w:bodyDiv w:val="1"/>
      <w:marLeft w:val="0"/>
      <w:marRight w:val="0"/>
      <w:marTop w:val="0"/>
      <w:marBottom w:val="0"/>
      <w:divBdr>
        <w:top w:val="none" w:sz="0" w:space="0" w:color="auto"/>
        <w:left w:val="none" w:sz="0" w:space="0" w:color="auto"/>
        <w:bottom w:val="none" w:sz="0" w:space="0" w:color="auto"/>
        <w:right w:val="none" w:sz="0" w:space="0" w:color="auto"/>
      </w:divBdr>
    </w:div>
    <w:div w:id="795221466">
      <w:bodyDiv w:val="1"/>
      <w:marLeft w:val="0"/>
      <w:marRight w:val="0"/>
      <w:marTop w:val="0"/>
      <w:marBottom w:val="0"/>
      <w:divBdr>
        <w:top w:val="none" w:sz="0" w:space="0" w:color="auto"/>
        <w:left w:val="none" w:sz="0" w:space="0" w:color="auto"/>
        <w:bottom w:val="none" w:sz="0" w:space="0" w:color="auto"/>
        <w:right w:val="none" w:sz="0" w:space="0" w:color="auto"/>
      </w:divBdr>
    </w:div>
    <w:div w:id="965818325">
      <w:bodyDiv w:val="1"/>
      <w:marLeft w:val="0"/>
      <w:marRight w:val="0"/>
      <w:marTop w:val="0"/>
      <w:marBottom w:val="0"/>
      <w:divBdr>
        <w:top w:val="none" w:sz="0" w:space="0" w:color="auto"/>
        <w:left w:val="none" w:sz="0" w:space="0" w:color="auto"/>
        <w:bottom w:val="none" w:sz="0" w:space="0" w:color="auto"/>
        <w:right w:val="none" w:sz="0" w:space="0" w:color="auto"/>
      </w:divBdr>
    </w:div>
    <w:div w:id="1075784565">
      <w:bodyDiv w:val="1"/>
      <w:marLeft w:val="0"/>
      <w:marRight w:val="0"/>
      <w:marTop w:val="0"/>
      <w:marBottom w:val="0"/>
      <w:divBdr>
        <w:top w:val="none" w:sz="0" w:space="0" w:color="auto"/>
        <w:left w:val="none" w:sz="0" w:space="0" w:color="auto"/>
        <w:bottom w:val="none" w:sz="0" w:space="0" w:color="auto"/>
        <w:right w:val="none" w:sz="0" w:space="0" w:color="auto"/>
      </w:divBdr>
    </w:div>
    <w:div w:id="1123843277">
      <w:bodyDiv w:val="1"/>
      <w:marLeft w:val="0"/>
      <w:marRight w:val="0"/>
      <w:marTop w:val="0"/>
      <w:marBottom w:val="0"/>
      <w:divBdr>
        <w:top w:val="none" w:sz="0" w:space="0" w:color="auto"/>
        <w:left w:val="none" w:sz="0" w:space="0" w:color="auto"/>
        <w:bottom w:val="none" w:sz="0" w:space="0" w:color="auto"/>
        <w:right w:val="none" w:sz="0" w:space="0" w:color="auto"/>
      </w:divBdr>
    </w:div>
    <w:div w:id="1260068323">
      <w:bodyDiv w:val="1"/>
      <w:marLeft w:val="0"/>
      <w:marRight w:val="0"/>
      <w:marTop w:val="0"/>
      <w:marBottom w:val="0"/>
      <w:divBdr>
        <w:top w:val="none" w:sz="0" w:space="0" w:color="auto"/>
        <w:left w:val="none" w:sz="0" w:space="0" w:color="auto"/>
        <w:bottom w:val="none" w:sz="0" w:space="0" w:color="auto"/>
        <w:right w:val="none" w:sz="0" w:space="0" w:color="auto"/>
      </w:divBdr>
    </w:div>
    <w:div w:id="1350183739">
      <w:bodyDiv w:val="1"/>
      <w:marLeft w:val="0"/>
      <w:marRight w:val="0"/>
      <w:marTop w:val="0"/>
      <w:marBottom w:val="0"/>
      <w:divBdr>
        <w:top w:val="none" w:sz="0" w:space="0" w:color="auto"/>
        <w:left w:val="none" w:sz="0" w:space="0" w:color="auto"/>
        <w:bottom w:val="none" w:sz="0" w:space="0" w:color="auto"/>
        <w:right w:val="none" w:sz="0" w:space="0" w:color="auto"/>
      </w:divBdr>
    </w:div>
    <w:div w:id="2049405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52F96-94E6-4567-84B3-0770A2E85BB4}">
  <ds:schemaRefs>
    <ds:schemaRef ds:uri="http://schemas.openxmlformats.org/officeDocument/2006/bibliography"/>
  </ds:schemaRefs>
</ds:datastoreItem>
</file>

<file path=customXml/itemProps2.xml><?xml version="1.0" encoding="utf-8"?>
<ds:datastoreItem xmlns:ds="http://schemas.openxmlformats.org/officeDocument/2006/customXml" ds:itemID="{8D35010C-F2E7-4249-96B4-6DE875C5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3275</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21900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creator>FRIEDLANDER_M</dc:creator>
  <cp:lastModifiedBy>Kincaid, Nora - BLS</cp:lastModifiedBy>
  <cp:revision>3</cp:revision>
  <cp:lastPrinted>2016-04-11T16:16:00Z</cp:lastPrinted>
  <dcterms:created xsi:type="dcterms:W3CDTF">2016-11-09T19:03:00Z</dcterms:created>
  <dcterms:modified xsi:type="dcterms:W3CDTF">2016-11-09T19:03:00Z</dcterms:modified>
</cp:coreProperties>
</file>