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25" w:rsidRPr="00B976C4" w:rsidRDefault="00314789">
      <w:r>
        <w:t xml:space="preserve">March </w:t>
      </w:r>
      <w:r w:rsidR="003E34A7">
        <w:t>8</w:t>
      </w:r>
      <w:r w:rsidR="00140F25">
        <w:t>, 2013</w:t>
      </w:r>
    </w:p>
    <w:p w:rsidR="00140F25" w:rsidRPr="00B976C4" w:rsidRDefault="00140F25" w:rsidP="00F90EE3">
      <w:pPr>
        <w:spacing w:line="240" w:lineRule="auto"/>
      </w:pPr>
      <w:r w:rsidRPr="00B976C4">
        <w:t xml:space="preserve">Memorandum for:  </w:t>
      </w:r>
      <w:r w:rsidRPr="00B976C4">
        <w:tab/>
        <w:t xml:space="preserve">Reviewer of </w:t>
      </w:r>
      <w:r w:rsidR="000E75FB">
        <w:t>1220-0175</w:t>
      </w:r>
    </w:p>
    <w:p w:rsidR="00140F25" w:rsidRPr="00B976C4" w:rsidRDefault="00140F25" w:rsidP="00F90EE3">
      <w:pPr>
        <w:spacing w:line="240" w:lineRule="auto"/>
      </w:pPr>
      <w:r w:rsidRPr="00B976C4">
        <w:t>Cc:</w:t>
      </w:r>
      <w:r w:rsidRPr="00B976C4">
        <w:tab/>
      </w:r>
      <w:r w:rsidRPr="00B976C4">
        <w:tab/>
      </w:r>
      <w:r>
        <w:tab/>
      </w:r>
      <w:proofErr w:type="spellStart"/>
      <w:r w:rsidRPr="00B976C4">
        <w:t>Dori</w:t>
      </w:r>
      <w:proofErr w:type="spellEnd"/>
      <w:r w:rsidRPr="00B976C4">
        <w:t xml:space="preserve"> Allard</w:t>
      </w:r>
    </w:p>
    <w:p w:rsidR="00140F25" w:rsidRPr="00B976C4" w:rsidRDefault="00140F25" w:rsidP="00F90EE3">
      <w:pPr>
        <w:spacing w:line="240" w:lineRule="auto"/>
      </w:pPr>
      <w:r w:rsidRPr="00B976C4">
        <w:t>From:</w:t>
      </w:r>
      <w:r w:rsidRPr="00B976C4">
        <w:tab/>
      </w:r>
      <w:r w:rsidRPr="00B976C4">
        <w:tab/>
      </w:r>
      <w:r>
        <w:tab/>
      </w:r>
      <w:r w:rsidRPr="00B976C4">
        <w:t>Rachel Krantz-Kent</w:t>
      </w:r>
    </w:p>
    <w:p w:rsidR="00140F25" w:rsidRPr="00B976C4" w:rsidRDefault="00140F25" w:rsidP="00F90EE3">
      <w:pPr>
        <w:spacing w:line="240" w:lineRule="auto"/>
      </w:pPr>
      <w:r w:rsidRPr="00B976C4">
        <w:t>Subject:</w:t>
      </w:r>
      <w:r w:rsidRPr="00B976C4">
        <w:tab/>
      </w:r>
      <w:r w:rsidRPr="00B976C4">
        <w:tab/>
        <w:t>An analysis of the October 2011 incentive expansion in the American Time Use Survey</w:t>
      </w:r>
    </w:p>
    <w:p w:rsidR="00140F25" w:rsidRDefault="00140F25" w:rsidP="008878E6">
      <w:pPr>
        <w:spacing w:after="0"/>
      </w:pPr>
      <w:r w:rsidRPr="00B976C4">
        <w:t>This memorandum describes the</w:t>
      </w:r>
      <w:r>
        <w:t xml:space="preserve"> initial results of the</w:t>
      </w:r>
      <w:r w:rsidRPr="00B976C4">
        <w:t xml:space="preserve"> American Time Use Survey’s (ATUS) </w:t>
      </w:r>
      <w:r>
        <w:t>October 2011 incentive expansion in which cases</w:t>
      </w:r>
      <w:r w:rsidRPr="00B976C4">
        <w:t xml:space="preserve"> with call outcome codes of </w:t>
      </w:r>
      <w:r w:rsidR="0058333A" w:rsidRPr="0058333A">
        <w:rPr>
          <w:i/>
        </w:rPr>
        <w:t xml:space="preserve">108 </w:t>
      </w:r>
      <w:r w:rsidRPr="0058333A">
        <w:rPr>
          <w:i/>
        </w:rPr>
        <w:t>Number not in service</w:t>
      </w:r>
      <w:r w:rsidR="0058333A">
        <w:t xml:space="preserve"> and </w:t>
      </w:r>
      <w:r w:rsidR="0058333A" w:rsidRPr="0058333A">
        <w:rPr>
          <w:i/>
        </w:rPr>
        <w:t xml:space="preserve">127 </w:t>
      </w:r>
      <w:r w:rsidRPr="0058333A">
        <w:rPr>
          <w:i/>
        </w:rPr>
        <w:t>Number temporarily not in service</w:t>
      </w:r>
      <w:r w:rsidRPr="00B976C4">
        <w:t xml:space="preserve"> </w:t>
      </w:r>
      <w:r>
        <w:t>for</w:t>
      </w:r>
      <w:r w:rsidRPr="00B976C4">
        <w:t xml:space="preserve"> the first week </w:t>
      </w:r>
      <w:r>
        <w:t>in sample were converted to incentive cases.</w:t>
      </w:r>
    </w:p>
    <w:p w:rsidR="00140F25" w:rsidRDefault="00140F25" w:rsidP="008878E6">
      <w:pPr>
        <w:spacing w:after="0"/>
      </w:pPr>
    </w:p>
    <w:p w:rsidR="00140F25" w:rsidRDefault="00140F25" w:rsidP="00B976C4">
      <w:r>
        <w:t xml:space="preserve">I.  </w:t>
      </w:r>
      <w:r>
        <w:tab/>
        <w:t>Use of incentives in the ATUS</w:t>
      </w:r>
      <w:r w:rsidR="005410EB">
        <w:t>, from the survey's inception</w:t>
      </w:r>
      <w:r w:rsidR="00B120B3">
        <w:t xml:space="preserve"> </w:t>
      </w:r>
      <w:r w:rsidR="005410EB">
        <w:t>to current practice</w:t>
      </w:r>
    </w:p>
    <w:p w:rsidR="00140F25" w:rsidRDefault="00140F25" w:rsidP="00E87C01">
      <w:r>
        <w:t>Since the ATUS first began in 2003, BLS has provided incentives to no</w:t>
      </w:r>
      <w:r w:rsidR="007D671F">
        <w:t>-</w:t>
      </w:r>
      <w:r>
        <w:t>telephone</w:t>
      </w:r>
      <w:r w:rsidR="007D671F">
        <w:t>-number</w:t>
      </w:r>
      <w:r>
        <w:t xml:space="preserve"> </w:t>
      </w:r>
      <w:r w:rsidR="008B7820">
        <w:t>cases</w:t>
      </w:r>
      <w:r>
        <w:t>. These include households for which the U.S. Census Bureau does not have a telephone number and those for which the Census Bureau has a telephone number but does not have permission to use it. Because ATUS is a telephone-only survey, these cases would not be able to participate if they did not call an ATUS interviewer. No</w:t>
      </w:r>
      <w:r w:rsidR="00B5164B">
        <w:t>-</w:t>
      </w:r>
      <w:r>
        <w:t>telephone</w:t>
      </w:r>
      <w:r w:rsidR="00B5164B">
        <w:t>-</w:t>
      </w:r>
      <w:r>
        <w:t xml:space="preserve">number </w:t>
      </w:r>
      <w:r w:rsidR="007F4D9C">
        <w:t xml:space="preserve">cases </w:t>
      </w:r>
      <w:r>
        <w:t xml:space="preserve">are sent pre-paid $40 debit cards, information about the survey, and an appeal for the Designated Person (DP) to call the U.S. Census Bureau and complete an ATUS interview. Upon completion of the survey, the interviewer provides the DP with the PIN needed to cash the debit card.  </w:t>
      </w:r>
    </w:p>
    <w:p w:rsidR="00140F25" w:rsidRPr="00C90142" w:rsidRDefault="00140F25" w:rsidP="00E87C01">
      <w:r>
        <w:t xml:space="preserve">As shown in table 1, </w:t>
      </w:r>
      <w:r w:rsidR="003C037E">
        <w:t xml:space="preserve">the DPs associated with </w:t>
      </w:r>
      <w:r>
        <w:t>no</w:t>
      </w:r>
      <w:r w:rsidR="00B5164B">
        <w:t>-</w:t>
      </w:r>
      <w:r>
        <w:t>telephone</w:t>
      </w:r>
      <w:r w:rsidR="00B5164B">
        <w:t>-</w:t>
      </w:r>
      <w:r>
        <w:t xml:space="preserve">number </w:t>
      </w:r>
      <w:r w:rsidR="00D632B3">
        <w:t>cases</w:t>
      </w:r>
      <w:r w:rsidR="00D632B3" w:rsidRPr="006877A4">
        <w:t xml:space="preserve"> </w:t>
      </w:r>
      <w:r w:rsidRPr="006877A4">
        <w:t>are more likely to be black</w:t>
      </w:r>
      <w:r>
        <w:t>, Hispanic</w:t>
      </w:r>
      <w:r w:rsidRPr="006877A4">
        <w:t xml:space="preserve">, less educated, and to have lower household incomes than </w:t>
      </w:r>
      <w:r w:rsidR="00D632B3">
        <w:t>cases</w:t>
      </w:r>
      <w:r w:rsidR="007F4D9C">
        <w:t xml:space="preserve"> that previously had provided the Census Bureau with telephone numbers and permission to use them.</w:t>
      </w:r>
      <w:r>
        <w:t xml:space="preserve"> Because </w:t>
      </w:r>
      <w:r w:rsidR="007F4D9C">
        <w:t>no</w:t>
      </w:r>
      <w:r w:rsidR="00B5164B">
        <w:t>-</w:t>
      </w:r>
      <w:r w:rsidR="007F4D9C">
        <w:t>telephone</w:t>
      </w:r>
      <w:r w:rsidR="00B5164B">
        <w:t>-</w:t>
      </w:r>
      <w:r w:rsidR="007F4D9C">
        <w:t>number cases</w:t>
      </w:r>
      <w:r>
        <w:t xml:space="preserve"> may differ from telephone </w:t>
      </w:r>
      <w:r w:rsidR="007F4D9C">
        <w:t xml:space="preserve">cases </w:t>
      </w:r>
      <w:r>
        <w:t>on unobservable characteristics, including the</w:t>
      </w:r>
      <w:r w:rsidR="00B120B3">
        <w:t xml:space="preserve"> DPs'</w:t>
      </w:r>
      <w:r>
        <w:t xml:space="preserve"> time-use patterns, and because providing incentives to </w:t>
      </w:r>
      <w:r w:rsidR="007F4D9C">
        <w:t>no</w:t>
      </w:r>
      <w:r w:rsidR="00B5164B">
        <w:t>-</w:t>
      </w:r>
      <w:r w:rsidR="007F4D9C">
        <w:t>telephone</w:t>
      </w:r>
      <w:r w:rsidR="00B5164B">
        <w:t>-</w:t>
      </w:r>
      <w:r w:rsidR="007F4D9C">
        <w:t>number cases</w:t>
      </w:r>
      <w:r>
        <w:t xml:space="preserve"> is not cost prohibitive, OMB </w:t>
      </w:r>
      <w:r w:rsidR="007F4D9C">
        <w:t xml:space="preserve">had </w:t>
      </w:r>
      <w:r>
        <w:t xml:space="preserve">approved a BLS request to expend additional effort and expense to secure their responses. In 2009-11, </w:t>
      </w:r>
      <w:r w:rsidR="00A34190">
        <w:t>there was an average of 1,59</w:t>
      </w:r>
      <w:r w:rsidR="00967BF3">
        <w:t>0</w:t>
      </w:r>
      <w:r>
        <w:t xml:space="preserve"> no</w:t>
      </w:r>
      <w:r w:rsidR="00B5164B">
        <w:t>-</w:t>
      </w:r>
      <w:r>
        <w:t>telephone</w:t>
      </w:r>
      <w:r w:rsidR="00B5164B">
        <w:t>-</w:t>
      </w:r>
      <w:r w:rsidRPr="007A3B2C">
        <w:t xml:space="preserve">number </w:t>
      </w:r>
      <w:r w:rsidR="00D632B3">
        <w:t>cases</w:t>
      </w:r>
      <w:r w:rsidR="00A5169C">
        <w:t xml:space="preserve"> </w:t>
      </w:r>
      <w:r>
        <w:t>per year</w:t>
      </w:r>
      <w:r w:rsidR="00A5169C">
        <w:t xml:space="preserve">, </w:t>
      </w:r>
      <w:r w:rsidRPr="007A3B2C">
        <w:t>account</w:t>
      </w:r>
      <w:r w:rsidR="00A5169C">
        <w:t>ing</w:t>
      </w:r>
      <w:r w:rsidRPr="007A3B2C">
        <w:t xml:space="preserve"> </w:t>
      </w:r>
      <w:r w:rsidRPr="00C90142">
        <w:t>for 6.4 percent</w:t>
      </w:r>
      <w:r w:rsidRPr="00C90142">
        <w:rPr>
          <w:color w:val="FF0000"/>
        </w:rPr>
        <w:t xml:space="preserve"> </w:t>
      </w:r>
      <w:r w:rsidRPr="00C90142">
        <w:t>of the ATUS sample. They had a response rate of 35.3 percent, while the overall ATUS response rate for this period was 56.1 percent (these are pre-processing response rates).</w:t>
      </w:r>
    </w:p>
    <w:p w:rsidR="00140F25" w:rsidRDefault="00140F25">
      <w:pPr>
        <w:rPr>
          <w:b/>
        </w:rPr>
      </w:pPr>
      <w:r w:rsidRPr="00C90142">
        <w:t xml:space="preserve">In regular survey production, cases with </w:t>
      </w:r>
      <w:r w:rsidR="00040797">
        <w:t xml:space="preserve">the following </w:t>
      </w:r>
      <w:r w:rsidRPr="00C90142">
        <w:t xml:space="preserve">call </w:t>
      </w:r>
      <w:r w:rsidRPr="0090373C">
        <w:t>outcome codes</w:t>
      </w:r>
      <w:r w:rsidR="005410EB" w:rsidRPr="0090373C">
        <w:t xml:space="preserve"> </w:t>
      </w:r>
      <w:r w:rsidR="0090373C">
        <w:t>are investigated:</w:t>
      </w:r>
      <w:r w:rsidR="005410EB" w:rsidRPr="0090373C">
        <w:t xml:space="preserve"> </w:t>
      </w:r>
      <w:r w:rsidR="0090373C" w:rsidRPr="0090373C">
        <w:rPr>
          <w:i/>
        </w:rPr>
        <w:t>108 Number not in service</w:t>
      </w:r>
      <w:r w:rsidR="0090373C" w:rsidRPr="0090373C">
        <w:t xml:space="preserve">; </w:t>
      </w:r>
      <w:r w:rsidR="00040797" w:rsidRPr="0090373C">
        <w:rPr>
          <w:i/>
        </w:rPr>
        <w:t>109 Number changed, no new number given</w:t>
      </w:r>
      <w:r w:rsidR="00040797" w:rsidRPr="0090373C">
        <w:t xml:space="preserve">; </w:t>
      </w:r>
      <w:r w:rsidR="00040797" w:rsidRPr="0090373C">
        <w:rPr>
          <w:i/>
        </w:rPr>
        <w:t>124 Number could not be completed as dialed</w:t>
      </w:r>
      <w:r w:rsidR="00040797" w:rsidRPr="0090373C">
        <w:t xml:space="preserve">; </w:t>
      </w:r>
      <w:r w:rsidR="0090373C" w:rsidRPr="0090373C">
        <w:t xml:space="preserve">and </w:t>
      </w:r>
      <w:r w:rsidR="0090373C" w:rsidRPr="0090373C">
        <w:rPr>
          <w:i/>
        </w:rPr>
        <w:t xml:space="preserve">127 </w:t>
      </w:r>
      <w:proofErr w:type="gramStart"/>
      <w:r w:rsidR="0090373C" w:rsidRPr="0090373C">
        <w:rPr>
          <w:i/>
        </w:rPr>
        <w:t>Temporarily</w:t>
      </w:r>
      <w:proofErr w:type="gramEnd"/>
      <w:r w:rsidR="0090373C" w:rsidRPr="0090373C">
        <w:rPr>
          <w:i/>
        </w:rPr>
        <w:t xml:space="preserve"> not in service</w:t>
      </w:r>
      <w:r w:rsidR="0090373C" w:rsidRPr="0090373C">
        <w:t>. O</w:t>
      </w:r>
      <w:r w:rsidR="00947705" w:rsidRPr="0090373C">
        <w:t>ften,</w:t>
      </w:r>
      <w:r w:rsidRPr="0090373C">
        <w:t xml:space="preserve"> Directory Assistance cannot</w:t>
      </w:r>
      <w:r w:rsidRPr="00C90142">
        <w:t xml:space="preserve"> confirm the</w:t>
      </w:r>
      <w:r w:rsidR="005410EB">
        <w:t>se</w:t>
      </w:r>
      <w:r w:rsidRPr="00C90142">
        <w:t xml:space="preserve"> number</w:t>
      </w:r>
      <w:r w:rsidR="005410EB">
        <w:t>s</w:t>
      </w:r>
      <w:r w:rsidRPr="00C90142">
        <w:t xml:space="preserve"> and</w:t>
      </w:r>
      <w:r w:rsidRPr="00662C0A">
        <w:t xml:space="preserve"> additional research by Census call center staff does not result in new number</w:t>
      </w:r>
      <w:r w:rsidR="005410EB">
        <w:t>s</w:t>
      </w:r>
      <w:r w:rsidRPr="00662C0A">
        <w:t>.</w:t>
      </w:r>
      <w:r>
        <w:t xml:space="preserve"> </w:t>
      </w:r>
      <w:r w:rsidRPr="00662C0A">
        <w:t>These cases have very low response rates and, like the no</w:t>
      </w:r>
      <w:r w:rsidR="00E428B9">
        <w:t>-</w:t>
      </w:r>
      <w:r w:rsidRPr="00662C0A">
        <w:t>telephone</w:t>
      </w:r>
      <w:r w:rsidR="00E428B9">
        <w:t>-</w:t>
      </w:r>
      <w:r w:rsidRPr="00662C0A">
        <w:t>number households, also</w:t>
      </w:r>
      <w:r>
        <w:t xml:space="preserve"> are</w:t>
      </w:r>
      <w:r w:rsidRPr="00662C0A">
        <w:t xml:space="preserve"> more likely to </w:t>
      </w:r>
      <w:r w:rsidR="00B120B3">
        <w:t>have DPs who are</w:t>
      </w:r>
      <w:r w:rsidRPr="00662C0A">
        <w:t xml:space="preserve"> black,</w:t>
      </w:r>
      <w:r>
        <w:t xml:space="preserve"> Hispanic,</w:t>
      </w:r>
      <w:r w:rsidRPr="00662C0A">
        <w:t xml:space="preserve"> less educated, and to have lower household incomes than </w:t>
      </w:r>
      <w:r w:rsidR="002A483A">
        <w:t>cases</w:t>
      </w:r>
      <w:r w:rsidRPr="00662C0A">
        <w:t xml:space="preserve"> that</w:t>
      </w:r>
      <w:r w:rsidR="002A483A">
        <w:t xml:space="preserve"> had</w:t>
      </w:r>
      <w:r w:rsidRPr="00662C0A">
        <w:t xml:space="preserve"> provide</w:t>
      </w:r>
      <w:r>
        <w:t>d</w:t>
      </w:r>
      <w:r w:rsidRPr="00662C0A">
        <w:t xml:space="preserve"> </w:t>
      </w:r>
      <w:r w:rsidR="00B120B3">
        <w:t xml:space="preserve">working </w:t>
      </w:r>
      <w:r w:rsidR="002A483A">
        <w:t>tele</w:t>
      </w:r>
      <w:r w:rsidRPr="00662C0A">
        <w:t>phone numbers</w:t>
      </w:r>
      <w:r>
        <w:t xml:space="preserve"> to the Census Bureau</w:t>
      </w:r>
      <w:r w:rsidRPr="00662C0A">
        <w:t>.</w:t>
      </w:r>
      <w:r>
        <w:t xml:space="preserve"> (See table 1.) </w:t>
      </w:r>
      <w:r w:rsidR="0090373C">
        <w:t>I</w:t>
      </w:r>
      <w:r>
        <w:t xml:space="preserve">n 2009-11, these </w:t>
      </w:r>
      <w:r w:rsidR="005410EB">
        <w:t xml:space="preserve">call </w:t>
      </w:r>
      <w:r>
        <w:t>outcome codes were assigned to about 940 cases annually and accounted for 3.8 percent of the ATUS sample.</w:t>
      </w:r>
    </w:p>
    <w:p w:rsidR="00140F25" w:rsidRDefault="00140F25" w:rsidP="00F13FA2">
      <w:pPr>
        <w:spacing w:after="0"/>
        <w:rPr>
          <w:b/>
        </w:rPr>
      </w:pPr>
      <w:proofErr w:type="gramStart"/>
      <w:r w:rsidRPr="00B27D38">
        <w:rPr>
          <w:b/>
        </w:rPr>
        <w:lastRenderedPageBreak/>
        <w:t xml:space="preserve">Table </w:t>
      </w:r>
      <w:r w:rsidR="007B61AF" w:rsidRPr="00B27D38">
        <w:rPr>
          <w:b/>
        </w:rPr>
        <w:t>1.</w:t>
      </w:r>
      <w:proofErr w:type="gramEnd"/>
      <w:r w:rsidR="007B61AF" w:rsidRPr="00B27D38">
        <w:rPr>
          <w:b/>
        </w:rPr>
        <w:t xml:space="preserve"> </w:t>
      </w:r>
      <w:r w:rsidR="00591951">
        <w:rPr>
          <w:b/>
        </w:rPr>
        <w:t>Descriptive information about telephone and no-telephone</w:t>
      </w:r>
      <w:r w:rsidR="00BC1276">
        <w:rPr>
          <w:b/>
        </w:rPr>
        <w:t>-</w:t>
      </w:r>
      <w:r w:rsidR="00591951">
        <w:rPr>
          <w:b/>
        </w:rPr>
        <w:t>number cases in the ATUS sample, averages for 2009-11</w:t>
      </w:r>
    </w:p>
    <w:tbl>
      <w:tblPr>
        <w:tblW w:w="9200" w:type="dxa"/>
        <w:tblInd w:w="103" w:type="dxa"/>
        <w:tblLook w:val="04A0"/>
      </w:tblPr>
      <w:tblGrid>
        <w:gridCol w:w="3688"/>
        <w:gridCol w:w="1377"/>
        <w:gridCol w:w="1378"/>
        <w:gridCol w:w="1379"/>
        <w:gridCol w:w="1378"/>
      </w:tblGrid>
      <w:tr w:rsidR="00BC1276" w:rsidRPr="00BC1276" w:rsidTr="00BC1276">
        <w:trPr>
          <w:trHeight w:val="1740"/>
        </w:trPr>
        <w:tc>
          <w:tcPr>
            <w:tcW w:w="3688" w:type="dxa"/>
            <w:tcBorders>
              <w:top w:val="single" w:sz="4" w:space="0" w:color="auto"/>
              <w:left w:val="single" w:sz="4" w:space="0" w:color="auto"/>
              <w:bottom w:val="single" w:sz="8" w:space="0" w:color="auto"/>
              <w:right w:val="nil"/>
            </w:tcBorders>
            <w:shd w:val="clear" w:color="000000" w:fill="F2F2F2"/>
            <w:noWrap/>
            <w:vAlign w:val="bottom"/>
            <w:hideMark/>
          </w:tcPr>
          <w:p w:rsidR="00BC1276" w:rsidRPr="00BC1276" w:rsidRDefault="00BC1276" w:rsidP="00BC1276">
            <w:pPr>
              <w:spacing w:after="0" w:line="240" w:lineRule="auto"/>
              <w:jc w:val="center"/>
              <w:rPr>
                <w:rFonts w:eastAsia="Times New Roman" w:cs="Calibri"/>
                <w:b/>
                <w:bCs/>
              </w:rPr>
            </w:pPr>
            <w:r w:rsidRPr="00BC1276">
              <w:rPr>
                <w:rFonts w:eastAsia="Times New Roman" w:cs="Calibri"/>
                <w:b/>
                <w:bCs/>
              </w:rPr>
              <w:t> </w:t>
            </w:r>
          </w:p>
        </w:tc>
        <w:tc>
          <w:tcPr>
            <w:tcW w:w="1377" w:type="dxa"/>
            <w:tcBorders>
              <w:top w:val="single" w:sz="4" w:space="0" w:color="auto"/>
              <w:left w:val="nil"/>
              <w:bottom w:val="single" w:sz="8" w:space="0" w:color="auto"/>
              <w:right w:val="nil"/>
            </w:tcBorders>
            <w:shd w:val="clear" w:color="000000" w:fill="F2F2F2"/>
            <w:vAlign w:val="bottom"/>
            <w:hideMark/>
          </w:tcPr>
          <w:p w:rsidR="00BC1276" w:rsidRPr="00BC1276" w:rsidRDefault="00BC1276" w:rsidP="00BC1276">
            <w:pPr>
              <w:spacing w:after="0" w:line="240" w:lineRule="auto"/>
              <w:jc w:val="center"/>
              <w:rPr>
                <w:rFonts w:eastAsia="Times New Roman" w:cs="Calibri"/>
                <w:b/>
                <w:bCs/>
              </w:rPr>
            </w:pPr>
            <w:r w:rsidRPr="00BC1276">
              <w:rPr>
                <w:rFonts w:eastAsia="Times New Roman" w:cs="Calibri"/>
                <w:b/>
                <w:bCs/>
              </w:rPr>
              <w:t>Total sample</w:t>
            </w:r>
          </w:p>
        </w:tc>
        <w:tc>
          <w:tcPr>
            <w:tcW w:w="1378" w:type="dxa"/>
            <w:tcBorders>
              <w:top w:val="single" w:sz="4" w:space="0" w:color="auto"/>
              <w:left w:val="nil"/>
              <w:bottom w:val="single" w:sz="8" w:space="0" w:color="auto"/>
              <w:right w:val="nil"/>
            </w:tcBorders>
            <w:shd w:val="clear" w:color="000000" w:fill="F2F2F2"/>
            <w:vAlign w:val="bottom"/>
            <w:hideMark/>
          </w:tcPr>
          <w:p w:rsidR="00BC1276" w:rsidRPr="00BC1276" w:rsidRDefault="00BC1276" w:rsidP="00BC1276">
            <w:pPr>
              <w:spacing w:after="0" w:line="240" w:lineRule="auto"/>
              <w:jc w:val="center"/>
              <w:rPr>
                <w:rFonts w:eastAsia="Times New Roman" w:cs="Calibri"/>
                <w:b/>
                <w:bCs/>
              </w:rPr>
            </w:pPr>
            <w:r w:rsidRPr="00BC1276">
              <w:rPr>
                <w:rFonts w:eastAsia="Times New Roman" w:cs="Calibri"/>
                <w:b/>
                <w:bCs/>
              </w:rPr>
              <w:t>Cases that provided telephone numbers</w:t>
            </w:r>
          </w:p>
        </w:tc>
        <w:tc>
          <w:tcPr>
            <w:tcW w:w="1379" w:type="dxa"/>
            <w:tcBorders>
              <w:top w:val="single" w:sz="4" w:space="0" w:color="auto"/>
              <w:left w:val="nil"/>
              <w:bottom w:val="single" w:sz="8" w:space="0" w:color="auto"/>
              <w:right w:val="nil"/>
            </w:tcBorders>
            <w:shd w:val="clear" w:color="000000" w:fill="F2F2F2"/>
            <w:vAlign w:val="bottom"/>
            <w:hideMark/>
          </w:tcPr>
          <w:p w:rsidR="00BC1276" w:rsidRPr="00BC1276" w:rsidRDefault="00BC1276" w:rsidP="00BC1276">
            <w:pPr>
              <w:spacing w:after="0" w:line="240" w:lineRule="auto"/>
              <w:jc w:val="center"/>
              <w:rPr>
                <w:rFonts w:eastAsia="Times New Roman" w:cs="Calibri"/>
                <w:b/>
                <w:bCs/>
              </w:rPr>
            </w:pPr>
            <w:r w:rsidRPr="00BC1276">
              <w:rPr>
                <w:rFonts w:eastAsia="Times New Roman" w:cs="Calibri"/>
                <w:b/>
                <w:bCs/>
              </w:rPr>
              <w:t>No-telephone-number cases</w:t>
            </w:r>
          </w:p>
        </w:tc>
        <w:tc>
          <w:tcPr>
            <w:tcW w:w="1378" w:type="dxa"/>
            <w:tcBorders>
              <w:top w:val="single" w:sz="4" w:space="0" w:color="auto"/>
              <w:left w:val="nil"/>
              <w:bottom w:val="single" w:sz="8" w:space="0" w:color="auto"/>
              <w:right w:val="single" w:sz="4" w:space="0" w:color="auto"/>
            </w:tcBorders>
            <w:shd w:val="clear" w:color="000000" w:fill="F2F2F2"/>
            <w:vAlign w:val="bottom"/>
            <w:hideMark/>
          </w:tcPr>
          <w:p w:rsidR="00BC1276" w:rsidRPr="00BC1276" w:rsidRDefault="00BC1276" w:rsidP="00BC1276">
            <w:pPr>
              <w:spacing w:after="0" w:line="240" w:lineRule="auto"/>
              <w:jc w:val="center"/>
              <w:rPr>
                <w:rFonts w:eastAsia="Times New Roman" w:cs="Calibri"/>
                <w:b/>
                <w:bCs/>
              </w:rPr>
            </w:pPr>
            <w:r w:rsidRPr="00BC1276">
              <w:rPr>
                <w:rFonts w:eastAsia="Times New Roman" w:cs="Calibri"/>
                <w:b/>
                <w:bCs/>
              </w:rPr>
              <w:t xml:space="preserve">Cases with call outcome codes of 108, 109, 124, or 127 </w:t>
            </w:r>
            <w:r w:rsidRPr="00BC1276">
              <w:rPr>
                <w:rFonts w:eastAsia="Times New Roman" w:cs="Calibri"/>
                <w:b/>
                <w:bCs/>
                <w:vertAlign w:val="superscript"/>
              </w:rPr>
              <w:t>1</w:t>
            </w:r>
          </w:p>
        </w:tc>
      </w:tr>
      <w:tr w:rsidR="00BC1276" w:rsidRPr="00BC1276" w:rsidTr="00BC1276">
        <w:trPr>
          <w:trHeight w:val="375"/>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rPr>
                <w:rFonts w:eastAsia="Times New Roman" w:cs="Calibri"/>
                <w:b/>
                <w:bCs/>
                <w:color w:val="000000"/>
              </w:rPr>
            </w:pPr>
            <w:r w:rsidRPr="00BC1276">
              <w:rPr>
                <w:rFonts w:eastAsia="Times New Roman" w:cs="Calibri"/>
                <w:b/>
                <w:bCs/>
                <w:color w:val="000000"/>
              </w:rPr>
              <w:t>Number of cases per year</w:t>
            </w:r>
          </w:p>
        </w:tc>
        <w:tc>
          <w:tcPr>
            <w:tcW w:w="1377" w:type="dxa"/>
            <w:tcBorders>
              <w:top w:val="nil"/>
              <w:left w:val="nil"/>
              <w:bottom w:val="nil"/>
              <w:right w:val="nil"/>
            </w:tcBorders>
            <w:shd w:val="clear" w:color="auto" w:fill="auto"/>
            <w:noWrap/>
            <w:vAlign w:val="bottom"/>
            <w:hideMark/>
          </w:tcPr>
          <w:p w:rsidR="00BC1276" w:rsidRPr="00BC1276" w:rsidRDefault="00BC1276" w:rsidP="00A34190">
            <w:pPr>
              <w:spacing w:after="0" w:line="240" w:lineRule="auto"/>
              <w:jc w:val="center"/>
              <w:rPr>
                <w:rFonts w:eastAsia="Times New Roman" w:cs="Calibri"/>
                <w:color w:val="000000"/>
              </w:rPr>
            </w:pPr>
            <w:r w:rsidRPr="00BC1276">
              <w:rPr>
                <w:rFonts w:eastAsia="Times New Roman" w:cs="Calibri"/>
                <w:color w:val="000000"/>
              </w:rPr>
              <w:t>24,89</w:t>
            </w:r>
            <w:r w:rsidR="00A34190">
              <w:rPr>
                <w:rFonts w:eastAsia="Times New Roman" w:cs="Calibri"/>
                <w:color w:val="000000"/>
              </w:rPr>
              <w:t>0</w:t>
            </w:r>
          </w:p>
        </w:tc>
        <w:tc>
          <w:tcPr>
            <w:tcW w:w="1378" w:type="dxa"/>
            <w:tcBorders>
              <w:top w:val="nil"/>
              <w:left w:val="nil"/>
              <w:bottom w:val="nil"/>
              <w:right w:val="nil"/>
            </w:tcBorders>
            <w:shd w:val="clear" w:color="auto" w:fill="auto"/>
            <w:noWrap/>
            <w:vAlign w:val="bottom"/>
            <w:hideMark/>
          </w:tcPr>
          <w:p w:rsidR="00BC1276" w:rsidRPr="00BC1276" w:rsidRDefault="00BC1276" w:rsidP="00A34190">
            <w:pPr>
              <w:spacing w:after="0" w:line="240" w:lineRule="auto"/>
              <w:jc w:val="center"/>
              <w:rPr>
                <w:rFonts w:eastAsia="Times New Roman" w:cs="Calibri"/>
                <w:color w:val="000000"/>
              </w:rPr>
            </w:pPr>
            <w:r w:rsidRPr="00BC1276">
              <w:rPr>
                <w:rFonts w:eastAsia="Times New Roman" w:cs="Calibri"/>
                <w:color w:val="000000"/>
              </w:rPr>
              <w:t>23,30</w:t>
            </w:r>
            <w:r w:rsidR="00A34190">
              <w:rPr>
                <w:rFonts w:eastAsia="Times New Roman" w:cs="Calibri"/>
                <w:color w:val="000000"/>
              </w:rPr>
              <w:t>0</w:t>
            </w:r>
          </w:p>
        </w:tc>
        <w:tc>
          <w:tcPr>
            <w:tcW w:w="1379" w:type="dxa"/>
            <w:tcBorders>
              <w:top w:val="nil"/>
              <w:left w:val="nil"/>
              <w:bottom w:val="nil"/>
              <w:right w:val="nil"/>
            </w:tcBorders>
            <w:shd w:val="clear" w:color="auto" w:fill="auto"/>
            <w:noWrap/>
            <w:vAlign w:val="bottom"/>
            <w:hideMark/>
          </w:tcPr>
          <w:p w:rsidR="00BC1276" w:rsidRPr="00BC1276" w:rsidRDefault="00BC1276" w:rsidP="00A34190">
            <w:pPr>
              <w:spacing w:after="0" w:line="240" w:lineRule="auto"/>
              <w:jc w:val="center"/>
              <w:rPr>
                <w:rFonts w:eastAsia="Times New Roman" w:cs="Calibri"/>
                <w:color w:val="000000"/>
              </w:rPr>
            </w:pPr>
            <w:r w:rsidRPr="00BC1276">
              <w:rPr>
                <w:rFonts w:eastAsia="Times New Roman" w:cs="Calibri"/>
                <w:color w:val="000000"/>
              </w:rPr>
              <w:t>1,59</w:t>
            </w:r>
            <w:r w:rsidR="00A34190">
              <w:rPr>
                <w:rFonts w:eastAsia="Times New Roman" w:cs="Calibri"/>
                <w:color w:val="000000"/>
              </w:rPr>
              <w:t>0</w:t>
            </w:r>
          </w:p>
        </w:tc>
        <w:tc>
          <w:tcPr>
            <w:tcW w:w="1378" w:type="dxa"/>
            <w:tcBorders>
              <w:top w:val="nil"/>
              <w:left w:val="nil"/>
              <w:bottom w:val="nil"/>
              <w:right w:val="single" w:sz="4" w:space="0" w:color="auto"/>
            </w:tcBorders>
            <w:shd w:val="clear" w:color="auto" w:fill="auto"/>
            <w:noWrap/>
            <w:vAlign w:val="bottom"/>
            <w:hideMark/>
          </w:tcPr>
          <w:p w:rsidR="00BC1276" w:rsidRPr="00BC1276" w:rsidRDefault="00BC1276" w:rsidP="00A34190">
            <w:pPr>
              <w:spacing w:after="0" w:line="240" w:lineRule="auto"/>
              <w:jc w:val="center"/>
              <w:rPr>
                <w:rFonts w:eastAsia="Times New Roman" w:cs="Calibri"/>
                <w:color w:val="000000"/>
              </w:rPr>
            </w:pPr>
            <w:r w:rsidRPr="00BC1276">
              <w:rPr>
                <w:rFonts w:eastAsia="Times New Roman" w:cs="Calibri"/>
                <w:color w:val="000000"/>
              </w:rPr>
              <w:t>94</w:t>
            </w:r>
            <w:r w:rsidR="00A34190">
              <w:rPr>
                <w:rFonts w:eastAsia="Times New Roman" w:cs="Calibri"/>
                <w:color w:val="000000"/>
              </w:rPr>
              <w:t>0</w:t>
            </w:r>
          </w:p>
        </w:tc>
      </w:tr>
      <w:tr w:rsidR="00BC1276" w:rsidRPr="00BC1276" w:rsidTr="00BC1276">
        <w:trPr>
          <w:trHeight w:val="375"/>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rPr>
                <w:rFonts w:eastAsia="Times New Roman" w:cs="Calibri"/>
                <w:b/>
                <w:bCs/>
                <w:color w:val="000000"/>
              </w:rPr>
            </w:pPr>
            <w:r w:rsidRPr="00BC1276">
              <w:rPr>
                <w:rFonts w:eastAsia="Times New Roman" w:cs="Calibri"/>
                <w:b/>
                <w:bCs/>
                <w:color w:val="000000"/>
              </w:rPr>
              <w:t>Percent of ATUS sample</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color w:val="000000"/>
              </w:rPr>
            </w:pPr>
            <w:r w:rsidRPr="00BC1276">
              <w:rPr>
                <w:rFonts w:eastAsia="Times New Roman" w:cs="Calibri"/>
                <w:color w:val="000000"/>
              </w:rPr>
              <w:t>100.0</w:t>
            </w:r>
          </w:p>
        </w:tc>
        <w:tc>
          <w:tcPr>
            <w:tcW w:w="1378"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color w:val="000000"/>
              </w:rPr>
            </w:pPr>
            <w:r w:rsidRPr="00BC1276">
              <w:rPr>
                <w:rFonts w:eastAsia="Times New Roman" w:cs="Calibri"/>
                <w:color w:val="000000"/>
              </w:rPr>
              <w:t>93.6</w:t>
            </w:r>
          </w:p>
        </w:tc>
        <w:tc>
          <w:tcPr>
            <w:tcW w:w="1379"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color w:val="000000"/>
              </w:rPr>
            </w:pPr>
            <w:r w:rsidRPr="00BC1276">
              <w:rPr>
                <w:rFonts w:eastAsia="Times New Roman" w:cs="Calibri"/>
                <w:color w:val="000000"/>
              </w:rPr>
              <w:t>6.4</w:t>
            </w:r>
          </w:p>
        </w:tc>
        <w:tc>
          <w:tcPr>
            <w:tcW w:w="1378" w:type="dxa"/>
            <w:tcBorders>
              <w:top w:val="nil"/>
              <w:left w:val="nil"/>
              <w:bottom w:val="nil"/>
              <w:right w:val="single" w:sz="4" w:space="0" w:color="auto"/>
            </w:tcBorders>
            <w:shd w:val="clear" w:color="auto" w:fill="auto"/>
            <w:noWrap/>
            <w:vAlign w:val="bottom"/>
            <w:hideMark/>
          </w:tcPr>
          <w:p w:rsidR="00BC1276" w:rsidRPr="00BC1276" w:rsidRDefault="00BC1276" w:rsidP="00BC1276">
            <w:pPr>
              <w:spacing w:after="0" w:line="240" w:lineRule="auto"/>
              <w:jc w:val="center"/>
              <w:rPr>
                <w:rFonts w:eastAsia="Times New Roman" w:cs="Calibri"/>
                <w:color w:val="000000"/>
              </w:rPr>
            </w:pPr>
            <w:r w:rsidRPr="00BC1276">
              <w:rPr>
                <w:rFonts w:eastAsia="Times New Roman" w:cs="Calibri"/>
                <w:color w:val="000000"/>
              </w:rPr>
              <w:t>3.8</w:t>
            </w:r>
          </w:p>
        </w:tc>
      </w:tr>
      <w:tr w:rsidR="00BC1276" w:rsidRPr="00BC1276" w:rsidTr="00BC1276">
        <w:trPr>
          <w:trHeight w:val="375"/>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rPr>
                <w:rFonts w:eastAsia="Times New Roman" w:cs="Calibri"/>
                <w:b/>
                <w:bCs/>
              </w:rPr>
            </w:pPr>
            <w:r w:rsidRPr="00BC1276">
              <w:rPr>
                <w:rFonts w:eastAsia="Times New Roman" w:cs="Calibri"/>
                <w:b/>
                <w:bCs/>
              </w:rPr>
              <w:t>Percent distribution, total</w:t>
            </w:r>
          </w:p>
        </w:tc>
        <w:tc>
          <w:tcPr>
            <w:tcW w:w="1377"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100.0</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100.0</w:t>
            </w:r>
          </w:p>
        </w:tc>
        <w:tc>
          <w:tcPr>
            <w:tcW w:w="1379"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100.0</w:t>
            </w:r>
          </w:p>
        </w:tc>
        <w:tc>
          <w:tcPr>
            <w:tcW w:w="1378" w:type="dxa"/>
            <w:tcBorders>
              <w:top w:val="nil"/>
              <w:left w:val="nil"/>
              <w:bottom w:val="nil"/>
              <w:right w:val="single" w:sz="4" w:space="0" w:color="auto"/>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100.0</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100" w:firstLine="221"/>
              <w:rPr>
                <w:rFonts w:eastAsia="Times New Roman" w:cs="Calibri"/>
                <w:b/>
                <w:bCs/>
              </w:rPr>
            </w:pPr>
            <w:r w:rsidRPr="00BC1276">
              <w:rPr>
                <w:rFonts w:eastAsia="Times New Roman" w:cs="Calibri"/>
                <w:b/>
                <w:bCs/>
              </w:rPr>
              <w:t>Race</w:t>
            </w:r>
          </w:p>
        </w:tc>
        <w:tc>
          <w:tcPr>
            <w:tcW w:w="1377"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p>
        </w:tc>
        <w:tc>
          <w:tcPr>
            <w:tcW w:w="1378"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p>
        </w:tc>
        <w:tc>
          <w:tcPr>
            <w:tcW w:w="1379"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p>
        </w:tc>
        <w:tc>
          <w:tcPr>
            <w:tcW w:w="1378" w:type="dxa"/>
            <w:tcBorders>
              <w:top w:val="nil"/>
              <w:left w:val="nil"/>
              <w:bottom w:val="nil"/>
              <w:right w:val="single" w:sz="4" w:space="0" w:color="auto"/>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 </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White only</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76.9</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77.5</w:t>
            </w:r>
          </w:p>
        </w:tc>
        <w:tc>
          <w:tcPr>
            <w:tcW w:w="1379"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67.7</w:t>
            </w:r>
          </w:p>
        </w:tc>
        <w:tc>
          <w:tcPr>
            <w:tcW w:w="1378" w:type="dxa"/>
            <w:tcBorders>
              <w:top w:val="nil"/>
              <w:left w:val="nil"/>
              <w:bottom w:val="nil"/>
              <w:right w:val="single" w:sz="4" w:space="0" w:color="auto"/>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65.8</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Black or African American only</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17.2</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16.5</w:t>
            </w:r>
          </w:p>
        </w:tc>
        <w:tc>
          <w:tcPr>
            <w:tcW w:w="1379"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27.2</w:t>
            </w:r>
          </w:p>
        </w:tc>
        <w:tc>
          <w:tcPr>
            <w:tcW w:w="1378" w:type="dxa"/>
            <w:tcBorders>
              <w:top w:val="nil"/>
              <w:left w:val="nil"/>
              <w:bottom w:val="nil"/>
              <w:right w:val="single" w:sz="4" w:space="0" w:color="auto"/>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28.6</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Other</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5.9</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6.0</w:t>
            </w:r>
          </w:p>
        </w:tc>
        <w:tc>
          <w:tcPr>
            <w:tcW w:w="1379"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5.2</w:t>
            </w:r>
          </w:p>
        </w:tc>
        <w:tc>
          <w:tcPr>
            <w:tcW w:w="1378" w:type="dxa"/>
            <w:tcBorders>
              <w:top w:val="nil"/>
              <w:left w:val="nil"/>
              <w:bottom w:val="nil"/>
              <w:right w:val="single" w:sz="4" w:space="0" w:color="auto"/>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5.6</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100" w:firstLine="221"/>
              <w:rPr>
                <w:rFonts w:eastAsia="Times New Roman" w:cs="Calibri"/>
                <w:b/>
                <w:bCs/>
              </w:rPr>
            </w:pPr>
            <w:r w:rsidRPr="00BC1276">
              <w:rPr>
                <w:rFonts w:eastAsia="Times New Roman" w:cs="Calibri"/>
                <w:b/>
                <w:bCs/>
              </w:rPr>
              <w:t>Hispanic or Latino ethnicity</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p>
        </w:tc>
        <w:tc>
          <w:tcPr>
            <w:tcW w:w="1378"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p>
        </w:tc>
        <w:tc>
          <w:tcPr>
            <w:tcW w:w="1379"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p>
        </w:tc>
        <w:tc>
          <w:tcPr>
            <w:tcW w:w="1378" w:type="dxa"/>
            <w:tcBorders>
              <w:top w:val="nil"/>
              <w:left w:val="nil"/>
              <w:bottom w:val="nil"/>
              <w:right w:val="single" w:sz="4" w:space="0" w:color="auto"/>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 </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Hispanic or Latino</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16.3</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16.0</w:t>
            </w:r>
          </w:p>
        </w:tc>
        <w:tc>
          <w:tcPr>
            <w:tcW w:w="1379"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20.3</w:t>
            </w:r>
          </w:p>
        </w:tc>
        <w:tc>
          <w:tcPr>
            <w:tcW w:w="1378" w:type="dxa"/>
            <w:tcBorders>
              <w:top w:val="nil"/>
              <w:left w:val="nil"/>
              <w:bottom w:val="nil"/>
              <w:right w:val="single" w:sz="4" w:space="0" w:color="auto"/>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23.2</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Non-Hispanic</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83.7</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84.0</w:t>
            </w:r>
          </w:p>
        </w:tc>
        <w:tc>
          <w:tcPr>
            <w:tcW w:w="1379"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79.7</w:t>
            </w:r>
          </w:p>
        </w:tc>
        <w:tc>
          <w:tcPr>
            <w:tcW w:w="1378" w:type="dxa"/>
            <w:tcBorders>
              <w:top w:val="nil"/>
              <w:left w:val="nil"/>
              <w:bottom w:val="nil"/>
              <w:right w:val="single" w:sz="4" w:space="0" w:color="auto"/>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76.8</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100" w:firstLine="221"/>
              <w:rPr>
                <w:rFonts w:eastAsia="Times New Roman" w:cs="Calibri"/>
                <w:b/>
                <w:bCs/>
              </w:rPr>
            </w:pPr>
            <w:r w:rsidRPr="00BC1276">
              <w:rPr>
                <w:rFonts w:eastAsia="Times New Roman" w:cs="Calibri"/>
                <w:b/>
                <w:bCs/>
              </w:rPr>
              <w:t>Educational attainment</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p>
        </w:tc>
        <w:tc>
          <w:tcPr>
            <w:tcW w:w="1378"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p>
        </w:tc>
        <w:tc>
          <w:tcPr>
            <w:tcW w:w="1379"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p>
        </w:tc>
        <w:tc>
          <w:tcPr>
            <w:tcW w:w="1378" w:type="dxa"/>
            <w:tcBorders>
              <w:top w:val="nil"/>
              <w:left w:val="nil"/>
              <w:bottom w:val="nil"/>
              <w:right w:val="single" w:sz="4" w:space="0" w:color="auto"/>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 </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High school diploma or less</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46.9</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46.0</w:t>
            </w:r>
          </w:p>
        </w:tc>
        <w:tc>
          <w:tcPr>
            <w:tcW w:w="1379"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60.4</w:t>
            </w:r>
          </w:p>
        </w:tc>
        <w:tc>
          <w:tcPr>
            <w:tcW w:w="1378" w:type="dxa"/>
            <w:tcBorders>
              <w:top w:val="nil"/>
              <w:left w:val="nil"/>
              <w:bottom w:val="nil"/>
              <w:right w:val="single" w:sz="4" w:space="0" w:color="auto"/>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61.4</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Some college or associate degree</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26.9</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27.1</w:t>
            </w:r>
          </w:p>
        </w:tc>
        <w:tc>
          <w:tcPr>
            <w:tcW w:w="1379"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22.9</w:t>
            </w:r>
          </w:p>
        </w:tc>
        <w:tc>
          <w:tcPr>
            <w:tcW w:w="1378" w:type="dxa"/>
            <w:tcBorders>
              <w:top w:val="nil"/>
              <w:left w:val="nil"/>
              <w:bottom w:val="nil"/>
              <w:right w:val="single" w:sz="4" w:space="0" w:color="auto"/>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25.1</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Bachelor's degree or higher</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26.2</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26.8</w:t>
            </w:r>
          </w:p>
        </w:tc>
        <w:tc>
          <w:tcPr>
            <w:tcW w:w="1379"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16.6</w:t>
            </w:r>
          </w:p>
        </w:tc>
        <w:tc>
          <w:tcPr>
            <w:tcW w:w="1378" w:type="dxa"/>
            <w:tcBorders>
              <w:top w:val="nil"/>
              <w:left w:val="nil"/>
              <w:bottom w:val="nil"/>
              <w:right w:val="single" w:sz="4" w:space="0" w:color="auto"/>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13.4</w:t>
            </w:r>
          </w:p>
        </w:tc>
      </w:tr>
      <w:tr w:rsidR="00BC1276" w:rsidRPr="00BC1276" w:rsidTr="00BC1276">
        <w:trPr>
          <w:trHeight w:val="345"/>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100" w:firstLine="221"/>
              <w:rPr>
                <w:rFonts w:eastAsia="Times New Roman" w:cs="Calibri"/>
                <w:b/>
                <w:bCs/>
              </w:rPr>
            </w:pPr>
            <w:r w:rsidRPr="00BC1276">
              <w:rPr>
                <w:rFonts w:eastAsia="Times New Roman" w:cs="Calibri"/>
                <w:b/>
                <w:bCs/>
              </w:rPr>
              <w:t xml:space="preserve">Annual household income </w:t>
            </w:r>
            <w:r w:rsidRPr="00BC1276">
              <w:rPr>
                <w:rFonts w:eastAsia="Times New Roman" w:cs="Calibri"/>
                <w:b/>
                <w:bCs/>
                <w:vertAlign w:val="superscript"/>
              </w:rPr>
              <w:t>2</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p>
        </w:tc>
        <w:tc>
          <w:tcPr>
            <w:tcW w:w="1378"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p>
        </w:tc>
        <w:tc>
          <w:tcPr>
            <w:tcW w:w="1379"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p>
        </w:tc>
        <w:tc>
          <w:tcPr>
            <w:tcW w:w="1378" w:type="dxa"/>
            <w:tcBorders>
              <w:top w:val="nil"/>
              <w:left w:val="nil"/>
              <w:bottom w:val="nil"/>
              <w:right w:val="single" w:sz="4" w:space="0" w:color="auto"/>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 </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Less than $25,000</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29.2</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28.1</w:t>
            </w:r>
          </w:p>
        </w:tc>
        <w:tc>
          <w:tcPr>
            <w:tcW w:w="1379"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46.2</w:t>
            </w:r>
          </w:p>
        </w:tc>
        <w:tc>
          <w:tcPr>
            <w:tcW w:w="1378" w:type="dxa"/>
            <w:tcBorders>
              <w:top w:val="nil"/>
              <w:left w:val="nil"/>
              <w:bottom w:val="nil"/>
              <w:right w:val="single" w:sz="4" w:space="0" w:color="auto"/>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49.1</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$25,000 to $49,999</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27.0</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27.0</w:t>
            </w:r>
          </w:p>
        </w:tc>
        <w:tc>
          <w:tcPr>
            <w:tcW w:w="1379"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27.7</w:t>
            </w:r>
          </w:p>
        </w:tc>
        <w:tc>
          <w:tcPr>
            <w:tcW w:w="1378" w:type="dxa"/>
            <w:tcBorders>
              <w:top w:val="nil"/>
              <w:left w:val="nil"/>
              <w:bottom w:val="nil"/>
              <w:right w:val="single" w:sz="4" w:space="0" w:color="auto"/>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26.9</w:t>
            </w:r>
          </w:p>
        </w:tc>
      </w:tr>
      <w:tr w:rsidR="00BC1276" w:rsidRPr="00BC1276" w:rsidTr="00BC1276">
        <w:trPr>
          <w:trHeight w:val="300"/>
        </w:trPr>
        <w:tc>
          <w:tcPr>
            <w:tcW w:w="3688" w:type="dxa"/>
            <w:tcBorders>
              <w:top w:val="nil"/>
              <w:left w:val="single" w:sz="4" w:space="0" w:color="auto"/>
              <w:bottom w:val="nil"/>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$50,000 to $74,999</w:t>
            </w:r>
          </w:p>
        </w:tc>
        <w:tc>
          <w:tcPr>
            <w:tcW w:w="1377"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17.9</w:t>
            </w:r>
          </w:p>
        </w:tc>
        <w:tc>
          <w:tcPr>
            <w:tcW w:w="1378" w:type="dxa"/>
            <w:tcBorders>
              <w:top w:val="nil"/>
              <w:left w:val="nil"/>
              <w:bottom w:val="nil"/>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18.2</w:t>
            </w:r>
          </w:p>
        </w:tc>
        <w:tc>
          <w:tcPr>
            <w:tcW w:w="1379" w:type="dxa"/>
            <w:tcBorders>
              <w:top w:val="nil"/>
              <w:left w:val="nil"/>
              <w:bottom w:val="nil"/>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12.3</w:t>
            </w:r>
          </w:p>
        </w:tc>
        <w:tc>
          <w:tcPr>
            <w:tcW w:w="1378" w:type="dxa"/>
            <w:tcBorders>
              <w:top w:val="nil"/>
              <w:left w:val="nil"/>
              <w:bottom w:val="nil"/>
              <w:right w:val="single" w:sz="4" w:space="0" w:color="auto"/>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11.9</w:t>
            </w:r>
          </w:p>
        </w:tc>
      </w:tr>
      <w:tr w:rsidR="00BC1276" w:rsidRPr="00BC1276" w:rsidTr="00BC1276">
        <w:trPr>
          <w:trHeight w:val="300"/>
        </w:trPr>
        <w:tc>
          <w:tcPr>
            <w:tcW w:w="3688" w:type="dxa"/>
            <w:tcBorders>
              <w:top w:val="nil"/>
              <w:left w:val="single" w:sz="4" w:space="0" w:color="auto"/>
              <w:bottom w:val="single" w:sz="4" w:space="0" w:color="auto"/>
              <w:right w:val="nil"/>
            </w:tcBorders>
            <w:shd w:val="clear" w:color="auto" w:fill="auto"/>
            <w:noWrap/>
            <w:vAlign w:val="bottom"/>
            <w:hideMark/>
          </w:tcPr>
          <w:p w:rsidR="00BC1276" w:rsidRPr="00BC1276" w:rsidRDefault="00BC1276" w:rsidP="00BC1276">
            <w:pPr>
              <w:spacing w:after="0" w:line="240" w:lineRule="auto"/>
              <w:ind w:firstLineChars="200" w:firstLine="440"/>
              <w:rPr>
                <w:rFonts w:eastAsia="Times New Roman" w:cs="Calibri"/>
              </w:rPr>
            </w:pPr>
            <w:r w:rsidRPr="00BC1276">
              <w:rPr>
                <w:rFonts w:eastAsia="Times New Roman" w:cs="Calibri"/>
              </w:rPr>
              <w:t>$75,000 or more</w:t>
            </w:r>
          </w:p>
        </w:tc>
        <w:tc>
          <w:tcPr>
            <w:tcW w:w="1377" w:type="dxa"/>
            <w:tcBorders>
              <w:top w:val="nil"/>
              <w:left w:val="nil"/>
              <w:bottom w:val="single" w:sz="4" w:space="0" w:color="auto"/>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25.9</w:t>
            </w:r>
          </w:p>
        </w:tc>
        <w:tc>
          <w:tcPr>
            <w:tcW w:w="1378" w:type="dxa"/>
            <w:tcBorders>
              <w:top w:val="nil"/>
              <w:left w:val="nil"/>
              <w:bottom w:val="single" w:sz="4" w:space="0" w:color="auto"/>
              <w:right w:val="nil"/>
            </w:tcBorders>
            <w:shd w:val="clear" w:color="auto" w:fill="auto"/>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26.7</w:t>
            </w:r>
          </w:p>
        </w:tc>
        <w:tc>
          <w:tcPr>
            <w:tcW w:w="1379" w:type="dxa"/>
            <w:tcBorders>
              <w:top w:val="nil"/>
              <w:left w:val="nil"/>
              <w:bottom w:val="single" w:sz="4" w:space="0" w:color="auto"/>
              <w:right w:val="nil"/>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13.8</w:t>
            </w:r>
          </w:p>
        </w:tc>
        <w:tc>
          <w:tcPr>
            <w:tcW w:w="1378" w:type="dxa"/>
            <w:tcBorders>
              <w:top w:val="nil"/>
              <w:left w:val="nil"/>
              <w:bottom w:val="single" w:sz="4" w:space="0" w:color="auto"/>
              <w:right w:val="single" w:sz="4" w:space="0" w:color="auto"/>
            </w:tcBorders>
            <w:shd w:val="clear" w:color="auto" w:fill="auto"/>
            <w:noWrap/>
            <w:vAlign w:val="bottom"/>
            <w:hideMark/>
          </w:tcPr>
          <w:p w:rsidR="00BC1276" w:rsidRPr="00BC1276" w:rsidRDefault="00BC1276" w:rsidP="00BC1276">
            <w:pPr>
              <w:spacing w:after="0" w:line="240" w:lineRule="auto"/>
              <w:jc w:val="center"/>
              <w:rPr>
                <w:rFonts w:eastAsia="Times New Roman" w:cs="Calibri"/>
              </w:rPr>
            </w:pPr>
            <w:r w:rsidRPr="00BC1276">
              <w:rPr>
                <w:rFonts w:eastAsia="Times New Roman" w:cs="Calibri"/>
              </w:rPr>
              <w:t>12.2</w:t>
            </w:r>
          </w:p>
        </w:tc>
      </w:tr>
    </w:tbl>
    <w:p w:rsidR="00140F25" w:rsidRPr="001D2B72" w:rsidRDefault="00140F25" w:rsidP="001D2B72">
      <w:pPr>
        <w:spacing w:after="0" w:line="240" w:lineRule="auto"/>
        <w:rPr>
          <w:sz w:val="20"/>
        </w:rPr>
      </w:pPr>
      <w:r w:rsidRPr="001D2B72">
        <w:rPr>
          <w:sz w:val="20"/>
          <w:vertAlign w:val="superscript"/>
        </w:rPr>
        <w:t>1</w:t>
      </w:r>
      <w:r w:rsidRPr="001D2B72">
        <w:rPr>
          <w:sz w:val="20"/>
        </w:rPr>
        <w:t xml:space="preserve"> </w:t>
      </w:r>
      <w:r w:rsidR="00A00FF6">
        <w:rPr>
          <w:sz w:val="20"/>
        </w:rPr>
        <w:t>Includes cases with one of these final call outcome codes assigned after the first of 8 weeks in sample</w:t>
      </w:r>
      <w:r w:rsidRPr="001D2B72">
        <w:rPr>
          <w:sz w:val="20"/>
        </w:rPr>
        <w:t>.</w:t>
      </w:r>
    </w:p>
    <w:p w:rsidR="00140F25" w:rsidRPr="001D2B72" w:rsidRDefault="00140F25" w:rsidP="001D2B72">
      <w:pPr>
        <w:spacing w:after="0" w:line="240" w:lineRule="auto"/>
        <w:rPr>
          <w:sz w:val="20"/>
        </w:rPr>
      </w:pPr>
      <w:r w:rsidRPr="001D2B72">
        <w:rPr>
          <w:sz w:val="20"/>
          <w:vertAlign w:val="superscript"/>
        </w:rPr>
        <w:t>2</w:t>
      </w:r>
      <w:r w:rsidRPr="001D2B72">
        <w:rPr>
          <w:sz w:val="20"/>
        </w:rPr>
        <w:t xml:space="preserve"> Household income data are for June 2010 through December 2011.</w:t>
      </w:r>
    </w:p>
    <w:p w:rsidR="00140F25" w:rsidRDefault="00140F25" w:rsidP="001D2B72">
      <w:pPr>
        <w:spacing w:after="0"/>
      </w:pPr>
    </w:p>
    <w:p w:rsidR="00140F25" w:rsidRDefault="00C9074C" w:rsidP="00E87C01">
      <w:r>
        <w:t>Midyear in 2008—a</w:t>
      </w:r>
      <w:r w:rsidR="00F0154C">
        <w:t>fter</w:t>
      </w:r>
      <w:r>
        <w:t xml:space="preserve"> </w:t>
      </w:r>
      <w:r w:rsidR="00F0154C">
        <w:t>receiving OMB approval to do so</w:t>
      </w:r>
      <w:r>
        <w:t>—</w:t>
      </w:r>
      <w:r w:rsidR="006A144A">
        <w:t>ATUS</w:t>
      </w:r>
      <w:r>
        <w:t xml:space="preserve"> </w:t>
      </w:r>
      <w:r w:rsidR="006A144A">
        <w:t xml:space="preserve">began sending incentives to </w:t>
      </w:r>
      <w:r w:rsidR="00140F25">
        <w:t>cases assigned call outcome code</w:t>
      </w:r>
      <w:r w:rsidR="006A144A">
        <w:t>s</w:t>
      </w:r>
      <w:r w:rsidR="00140F25">
        <w:t xml:space="preserve"> of</w:t>
      </w:r>
      <w:r w:rsidR="006A144A">
        <w:t xml:space="preserve"> </w:t>
      </w:r>
      <w:r w:rsidR="00140F25" w:rsidRPr="001D0D55">
        <w:rPr>
          <w:i/>
        </w:rPr>
        <w:t>109 Number changed, no new number given</w:t>
      </w:r>
      <w:r w:rsidR="00140F25">
        <w:t xml:space="preserve">, </w:t>
      </w:r>
      <w:r w:rsidR="00913E19">
        <w:t>and</w:t>
      </w:r>
      <w:r w:rsidR="006A144A">
        <w:t xml:space="preserve"> </w:t>
      </w:r>
      <w:r w:rsidR="00140F25" w:rsidRPr="001D0D55">
        <w:rPr>
          <w:i/>
        </w:rPr>
        <w:t>124 Number could not be completed as dialed</w:t>
      </w:r>
      <w:r w:rsidR="006A144A">
        <w:t xml:space="preserve">, </w:t>
      </w:r>
      <w:r w:rsidR="00140F25">
        <w:t xml:space="preserve">during the first of 8 weeks in sample. Cases assigned these outcome codes were sent a letter and debit card requesting </w:t>
      </w:r>
      <w:r w:rsidR="00140F25" w:rsidRPr="000E4CF3">
        <w:t>they contact an ATUS interviewer to complete the survey. Although they were converted to incentive cases, Census Bureau interviewers continued to attempt to contact the DP by telephone.</w:t>
      </w:r>
      <w:r w:rsidR="00FB467C" w:rsidRPr="000E4CF3">
        <w:rPr>
          <w:rStyle w:val="FootnoteReference"/>
        </w:rPr>
        <w:footnoteReference w:id="1"/>
      </w:r>
      <w:r w:rsidR="00140F25" w:rsidRPr="000E4CF3">
        <w:t xml:space="preserve"> </w:t>
      </w:r>
      <w:r w:rsidR="00913E19" w:rsidRPr="000E4CF3">
        <w:t>Pre-processing c</w:t>
      </w:r>
      <w:r w:rsidR="00140F25" w:rsidRPr="000E4CF3">
        <w:t>ompletion</w:t>
      </w:r>
      <w:r w:rsidR="00140F25" w:rsidRPr="00825D6E">
        <w:t xml:space="preserve"> rates for these cases increased from 6.7 percent in 2005-07 to 28.8 percent in 2009-11. </w:t>
      </w:r>
    </w:p>
    <w:p w:rsidR="00140F25" w:rsidRDefault="00913E19" w:rsidP="003273A9">
      <w:pPr>
        <w:spacing w:after="0"/>
      </w:pPr>
      <w:r>
        <w:lastRenderedPageBreak/>
        <w:t>OMB approved a second incentive expansion in 2011</w:t>
      </w:r>
      <w:r w:rsidR="00D801C5">
        <w:t>. W</w:t>
      </w:r>
      <w:r w:rsidR="003C6D31">
        <w:t>ith the start of the October 2011 sample</w:t>
      </w:r>
      <w:r w:rsidR="00140F25">
        <w:t>, cases assigned call outcome codes of</w:t>
      </w:r>
      <w:r w:rsidR="006A144A">
        <w:t xml:space="preserve"> </w:t>
      </w:r>
      <w:r w:rsidR="00140F25" w:rsidRPr="00F00743">
        <w:rPr>
          <w:i/>
        </w:rPr>
        <w:t>108 Number not in service</w:t>
      </w:r>
      <w:r w:rsidR="00140F25">
        <w:t xml:space="preserve"> </w:t>
      </w:r>
      <w:r>
        <w:t>and</w:t>
      </w:r>
      <w:r w:rsidR="006A144A">
        <w:t xml:space="preserve"> </w:t>
      </w:r>
      <w:r w:rsidR="00140F25" w:rsidRPr="00F00743">
        <w:rPr>
          <w:i/>
        </w:rPr>
        <w:t xml:space="preserve">127 </w:t>
      </w:r>
      <w:proofErr w:type="gramStart"/>
      <w:r w:rsidR="00140F25" w:rsidRPr="00F00743">
        <w:rPr>
          <w:i/>
        </w:rPr>
        <w:t>Temporarily</w:t>
      </w:r>
      <w:proofErr w:type="gramEnd"/>
      <w:r w:rsidR="00140F25" w:rsidRPr="00F00743">
        <w:rPr>
          <w:i/>
        </w:rPr>
        <w:t xml:space="preserve"> not in service</w:t>
      </w:r>
      <w:r w:rsidR="00140F25">
        <w:t xml:space="preserve"> during the first week in sample</w:t>
      </w:r>
      <w:r w:rsidR="006A144A">
        <w:t xml:space="preserve"> were converted to incentives</w:t>
      </w:r>
      <w:r w:rsidR="00140F25">
        <w:t>. As with the 2008 incentive expansion, Census Bureau interviewers continued to attempt to contact the DP by telephone. More information about the October 2011 incentive expansion follows.</w:t>
      </w:r>
    </w:p>
    <w:p w:rsidR="00140F25" w:rsidRPr="003273A9" w:rsidRDefault="00140F25" w:rsidP="003273A9">
      <w:pPr>
        <w:spacing w:after="0"/>
        <w:rPr>
          <w:b/>
        </w:rPr>
      </w:pPr>
    </w:p>
    <w:p w:rsidR="00140F25" w:rsidRDefault="00140F25" w:rsidP="003273A9">
      <w:r>
        <w:t xml:space="preserve">II.  </w:t>
      </w:r>
      <w:r>
        <w:tab/>
        <w:t>Initial results of the October 2011 expansion</w:t>
      </w:r>
    </w:p>
    <w:p w:rsidR="00140F25" w:rsidRPr="00094022" w:rsidRDefault="00140F25" w:rsidP="00263AF7">
      <w:r>
        <w:t xml:space="preserve">As initially implemented, the incentive expansion was more restrictive than the plan approved by OMB. </w:t>
      </w:r>
      <w:r w:rsidR="00DA44CE">
        <w:t>OMB had approved a plan to convert</w:t>
      </w:r>
      <w:r>
        <w:t xml:space="preserve"> all cases assigned final call outcome codes of </w:t>
      </w:r>
      <w:r w:rsidRPr="00F00743">
        <w:rPr>
          <w:i/>
        </w:rPr>
        <w:t>108 Number not in service</w:t>
      </w:r>
      <w:r>
        <w:t xml:space="preserve"> and </w:t>
      </w:r>
      <w:r w:rsidRPr="00F00743">
        <w:rPr>
          <w:i/>
        </w:rPr>
        <w:t xml:space="preserve">127 </w:t>
      </w:r>
      <w:proofErr w:type="gramStart"/>
      <w:r w:rsidRPr="00F00743">
        <w:rPr>
          <w:i/>
        </w:rPr>
        <w:t>Temporarily</w:t>
      </w:r>
      <w:proofErr w:type="gramEnd"/>
      <w:r w:rsidRPr="00F00743">
        <w:rPr>
          <w:i/>
        </w:rPr>
        <w:t xml:space="preserve"> not in service</w:t>
      </w:r>
      <w:r>
        <w:t xml:space="preserve"> for the first week in sample</w:t>
      </w:r>
      <w:r w:rsidR="00DA44CE">
        <w:t>. In practice</w:t>
      </w:r>
      <w:r>
        <w:t>,</w:t>
      </w:r>
      <w:r w:rsidR="00DA44CE">
        <w:t xml:space="preserve"> new incentive</w:t>
      </w:r>
      <w:r>
        <w:t xml:space="preserve"> cases were required to have </w:t>
      </w:r>
      <w:r w:rsidR="001D3FD6">
        <w:t>nonworking</w:t>
      </w:r>
      <w:r>
        <w:t xml:space="preserve"> call outcome codes</w:t>
      </w:r>
      <w:r w:rsidR="001D3FD6">
        <w:t xml:space="preserve"> of 108, 109, 124, or 127</w:t>
      </w:r>
      <w:r>
        <w:t xml:space="preserve"> for all call attempts </w:t>
      </w:r>
      <w:r w:rsidR="00DA44CE">
        <w:t xml:space="preserve">made </w:t>
      </w:r>
      <w:r>
        <w:t>during the</w:t>
      </w:r>
      <w:r w:rsidR="00DA44CE">
        <w:t>ir</w:t>
      </w:r>
      <w:r>
        <w:t xml:space="preserve"> initial week in sample. Because of </w:t>
      </w:r>
      <w:r w:rsidRPr="00CD51C9">
        <w:t xml:space="preserve">this, </w:t>
      </w:r>
      <w:r w:rsidRPr="00B210C1">
        <w:t xml:space="preserve">only 89 percent of </w:t>
      </w:r>
      <w:r>
        <w:t xml:space="preserve">the </w:t>
      </w:r>
      <w:r w:rsidRPr="00B210C1">
        <w:t>cases that had</w:t>
      </w:r>
      <w:r>
        <w:t xml:space="preserve"> been approved for the incentive expansion actually were converted to incentive cases.</w:t>
      </w:r>
    </w:p>
    <w:p w:rsidR="00140F25" w:rsidRPr="00022A8A" w:rsidRDefault="00140F25">
      <w:r>
        <w:t>While narrower in scope than intended</w:t>
      </w:r>
      <w:r w:rsidRPr="00022A8A">
        <w:t>, the incentive expansion still helped boost response to the ATUS in the initial months after its implementation.</w:t>
      </w:r>
      <w:r>
        <w:t xml:space="preserve"> </w:t>
      </w:r>
      <w:r w:rsidRPr="00022A8A">
        <w:t xml:space="preserve">Table 2 shows </w:t>
      </w:r>
      <w:r>
        <w:t xml:space="preserve">the </w:t>
      </w:r>
      <w:r w:rsidRPr="00022A8A">
        <w:t xml:space="preserve">results of the October 2011 incentive expansion for the </w:t>
      </w:r>
      <w:r>
        <w:t xml:space="preserve">first 9 monthly samples after its implementation, from October 2011 through June 2012. For comparison, the average results for the October 2009 to June 2010 and October 2010 to June 2011 samples also are included in the table. The percent of cases that was completed in the 9 monthly samples rose from an average of 9.7 percent in the 2 years prior to the incentive expansion to 35.8 percent after the incentive expansion. </w:t>
      </w:r>
    </w:p>
    <w:p w:rsidR="00140F25" w:rsidRDefault="00140F25" w:rsidP="00CC36A8">
      <w:pPr>
        <w:spacing w:after="0" w:line="240" w:lineRule="auto"/>
        <w:rPr>
          <w:rFonts w:cs="Calibri"/>
          <w:b/>
        </w:rPr>
      </w:pPr>
      <w:proofErr w:type="gramStart"/>
      <w:r w:rsidRPr="00FC1E99">
        <w:rPr>
          <w:rFonts w:cs="Calibri"/>
          <w:b/>
        </w:rPr>
        <w:t>Table 2.</w:t>
      </w:r>
      <w:proofErr w:type="gramEnd"/>
      <w:r w:rsidRPr="00FC1E99">
        <w:rPr>
          <w:rFonts w:cs="Calibri"/>
          <w:b/>
        </w:rPr>
        <w:t xml:space="preserve"> Initial results of the October 2011 incentive expansion</w:t>
      </w:r>
    </w:p>
    <w:tbl>
      <w:tblPr>
        <w:tblW w:w="9117" w:type="dxa"/>
        <w:tblInd w:w="97" w:type="dxa"/>
        <w:tblLook w:val="00A0"/>
      </w:tblPr>
      <w:tblGrid>
        <w:gridCol w:w="2171"/>
        <w:gridCol w:w="1154"/>
        <w:gridCol w:w="1163"/>
        <w:gridCol w:w="1156"/>
        <w:gridCol w:w="1154"/>
        <w:gridCol w:w="1163"/>
        <w:gridCol w:w="1156"/>
      </w:tblGrid>
      <w:tr w:rsidR="00140F25" w:rsidRPr="00B95F3C">
        <w:trPr>
          <w:trHeight w:val="364"/>
        </w:trPr>
        <w:tc>
          <w:tcPr>
            <w:tcW w:w="2171"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tcPr>
          <w:p w:rsidR="00140F25" w:rsidRDefault="00140F25" w:rsidP="008E2D36">
            <w:pPr>
              <w:spacing w:after="0" w:line="240" w:lineRule="auto"/>
              <w:jc w:val="center"/>
              <w:rPr>
                <w:rFonts w:cs="Calibri"/>
                <w:b/>
                <w:bCs/>
                <w:color w:val="000000"/>
              </w:rPr>
            </w:pPr>
          </w:p>
          <w:p w:rsidR="00140F25" w:rsidRDefault="00140F25" w:rsidP="008E2D36">
            <w:pPr>
              <w:spacing w:after="0" w:line="240" w:lineRule="auto"/>
              <w:jc w:val="center"/>
              <w:rPr>
                <w:rFonts w:cs="Calibri"/>
                <w:b/>
                <w:bCs/>
                <w:color w:val="000000"/>
              </w:rPr>
            </w:pPr>
          </w:p>
          <w:p w:rsidR="00140F25" w:rsidRDefault="00140F25" w:rsidP="008E2D36">
            <w:pPr>
              <w:spacing w:after="0" w:line="240" w:lineRule="auto"/>
              <w:jc w:val="center"/>
              <w:rPr>
                <w:rFonts w:cs="Calibri"/>
                <w:b/>
                <w:bCs/>
                <w:color w:val="000000"/>
              </w:rPr>
            </w:pPr>
          </w:p>
          <w:p w:rsidR="00140F25" w:rsidRDefault="00140F25" w:rsidP="008E2D36">
            <w:pPr>
              <w:spacing w:after="0" w:line="240" w:lineRule="auto"/>
              <w:jc w:val="center"/>
              <w:rPr>
                <w:rFonts w:cs="Calibri"/>
                <w:b/>
                <w:bCs/>
                <w:color w:val="000000"/>
              </w:rPr>
            </w:pPr>
          </w:p>
          <w:p w:rsidR="00140F25" w:rsidRDefault="00140F25" w:rsidP="008E2D36">
            <w:pPr>
              <w:spacing w:after="0" w:line="240" w:lineRule="auto"/>
              <w:jc w:val="center"/>
              <w:rPr>
                <w:rFonts w:cs="Calibri"/>
                <w:b/>
                <w:bCs/>
                <w:color w:val="000000"/>
              </w:rPr>
            </w:pPr>
          </w:p>
          <w:p w:rsidR="00140F25" w:rsidRPr="008E2D36" w:rsidRDefault="00140F25" w:rsidP="008E2D36">
            <w:pPr>
              <w:spacing w:after="0" w:line="240" w:lineRule="auto"/>
              <w:jc w:val="center"/>
              <w:rPr>
                <w:rFonts w:cs="Calibri"/>
                <w:b/>
                <w:bCs/>
                <w:color w:val="000000"/>
              </w:rPr>
            </w:pPr>
            <w:r w:rsidRPr="008E2D36">
              <w:rPr>
                <w:rFonts w:cs="Calibri"/>
                <w:b/>
                <w:bCs/>
                <w:color w:val="000000"/>
              </w:rPr>
              <w:t>Call outcome code</w:t>
            </w:r>
          </w:p>
        </w:tc>
        <w:tc>
          <w:tcPr>
            <w:tcW w:w="3473" w:type="dxa"/>
            <w:gridSpan w:val="3"/>
            <w:tcBorders>
              <w:top w:val="single" w:sz="4" w:space="0" w:color="auto"/>
              <w:left w:val="nil"/>
              <w:bottom w:val="single" w:sz="4" w:space="0" w:color="auto"/>
              <w:right w:val="single" w:sz="4" w:space="0" w:color="auto"/>
            </w:tcBorders>
            <w:shd w:val="clear" w:color="000000" w:fill="F2F2F2"/>
            <w:noWrap/>
            <w:vAlign w:val="center"/>
          </w:tcPr>
          <w:p w:rsidR="00140F25" w:rsidRPr="008E2D36" w:rsidRDefault="00140F25" w:rsidP="008E2D36">
            <w:pPr>
              <w:spacing w:after="0" w:line="240" w:lineRule="auto"/>
              <w:jc w:val="center"/>
              <w:rPr>
                <w:rFonts w:cs="Calibri"/>
                <w:b/>
                <w:bCs/>
                <w:color w:val="000000"/>
              </w:rPr>
            </w:pPr>
            <w:r w:rsidRPr="008E2D36">
              <w:rPr>
                <w:rFonts w:cs="Calibri"/>
                <w:b/>
                <w:bCs/>
                <w:color w:val="000000"/>
              </w:rPr>
              <w:t>Before incentive expansion</w:t>
            </w:r>
          </w:p>
        </w:tc>
        <w:tc>
          <w:tcPr>
            <w:tcW w:w="3473" w:type="dxa"/>
            <w:gridSpan w:val="3"/>
            <w:tcBorders>
              <w:top w:val="single" w:sz="4" w:space="0" w:color="auto"/>
              <w:left w:val="nil"/>
              <w:bottom w:val="single" w:sz="4" w:space="0" w:color="auto"/>
              <w:right w:val="single" w:sz="4" w:space="0" w:color="auto"/>
            </w:tcBorders>
            <w:shd w:val="clear" w:color="000000" w:fill="F2F2F2"/>
            <w:noWrap/>
            <w:vAlign w:val="center"/>
          </w:tcPr>
          <w:p w:rsidR="00140F25" w:rsidRPr="008E2D36" w:rsidRDefault="00140F25" w:rsidP="008E2D36">
            <w:pPr>
              <w:spacing w:after="0" w:line="240" w:lineRule="auto"/>
              <w:jc w:val="center"/>
              <w:rPr>
                <w:rFonts w:cs="Calibri"/>
                <w:b/>
                <w:bCs/>
                <w:color w:val="000000"/>
              </w:rPr>
            </w:pPr>
            <w:r w:rsidRPr="008E2D36">
              <w:rPr>
                <w:rFonts w:cs="Calibri"/>
                <w:b/>
                <w:bCs/>
                <w:color w:val="000000"/>
              </w:rPr>
              <w:t>After incentive expansion</w:t>
            </w:r>
          </w:p>
        </w:tc>
      </w:tr>
      <w:tr w:rsidR="00140F25" w:rsidRPr="00B95F3C">
        <w:trPr>
          <w:trHeight w:val="364"/>
        </w:trPr>
        <w:tc>
          <w:tcPr>
            <w:tcW w:w="2171" w:type="dxa"/>
            <w:vMerge/>
            <w:tcBorders>
              <w:top w:val="single" w:sz="4" w:space="0" w:color="auto"/>
              <w:left w:val="single" w:sz="4" w:space="0" w:color="auto"/>
              <w:bottom w:val="single" w:sz="4" w:space="0" w:color="000000"/>
              <w:right w:val="single" w:sz="4" w:space="0" w:color="auto"/>
            </w:tcBorders>
            <w:vAlign w:val="center"/>
          </w:tcPr>
          <w:p w:rsidR="00140F25" w:rsidRPr="008E2D36" w:rsidRDefault="00140F25" w:rsidP="008E2D36">
            <w:pPr>
              <w:spacing w:after="0" w:line="240" w:lineRule="auto"/>
              <w:rPr>
                <w:rFonts w:cs="Calibri"/>
                <w:b/>
                <w:bCs/>
                <w:color w:val="000000"/>
              </w:rPr>
            </w:pPr>
          </w:p>
        </w:tc>
        <w:tc>
          <w:tcPr>
            <w:tcW w:w="3473" w:type="dxa"/>
            <w:gridSpan w:val="3"/>
            <w:tcBorders>
              <w:top w:val="single" w:sz="4" w:space="0" w:color="auto"/>
              <w:left w:val="nil"/>
              <w:bottom w:val="single" w:sz="4" w:space="0" w:color="auto"/>
              <w:right w:val="single" w:sz="4" w:space="0" w:color="000000"/>
            </w:tcBorders>
            <w:shd w:val="clear" w:color="000000" w:fill="F2F2F2"/>
            <w:vAlign w:val="center"/>
          </w:tcPr>
          <w:p w:rsidR="00140F25" w:rsidRPr="008E2D36" w:rsidRDefault="00140F25" w:rsidP="00557C37">
            <w:pPr>
              <w:spacing w:after="0" w:line="240" w:lineRule="auto"/>
              <w:jc w:val="center"/>
              <w:rPr>
                <w:rFonts w:cs="Calibri"/>
                <w:b/>
                <w:bCs/>
                <w:color w:val="000000"/>
              </w:rPr>
            </w:pPr>
            <w:r w:rsidRPr="008E2D36">
              <w:rPr>
                <w:rFonts w:cs="Calibri"/>
                <w:b/>
                <w:bCs/>
                <w:color w:val="000000"/>
              </w:rPr>
              <w:t>Average for Oct</w:t>
            </w:r>
            <w:r>
              <w:rPr>
                <w:rFonts w:cs="Calibri"/>
                <w:b/>
                <w:bCs/>
                <w:color w:val="000000"/>
              </w:rPr>
              <w:t xml:space="preserve"> 2009 - June 2010 and Oct 2010 - June 2011 s</w:t>
            </w:r>
            <w:r w:rsidRPr="008E2D36">
              <w:rPr>
                <w:rFonts w:cs="Calibri"/>
                <w:b/>
                <w:bCs/>
                <w:color w:val="000000"/>
              </w:rPr>
              <w:t>ample</w:t>
            </w:r>
            <w:r>
              <w:rPr>
                <w:rFonts w:cs="Calibri"/>
                <w:b/>
                <w:bCs/>
                <w:color w:val="000000"/>
              </w:rPr>
              <w:t>s</w:t>
            </w:r>
          </w:p>
        </w:tc>
        <w:tc>
          <w:tcPr>
            <w:tcW w:w="3473" w:type="dxa"/>
            <w:gridSpan w:val="3"/>
            <w:tcBorders>
              <w:top w:val="single" w:sz="4" w:space="0" w:color="auto"/>
              <w:left w:val="nil"/>
              <w:bottom w:val="single" w:sz="4" w:space="0" w:color="auto"/>
              <w:right w:val="single" w:sz="4" w:space="0" w:color="auto"/>
            </w:tcBorders>
            <w:shd w:val="clear" w:color="000000" w:fill="F2F2F2"/>
            <w:vAlign w:val="center"/>
          </w:tcPr>
          <w:p w:rsidR="00140F25" w:rsidRPr="008E2D36" w:rsidRDefault="00140F25" w:rsidP="008E2D36">
            <w:pPr>
              <w:spacing w:after="0" w:line="240" w:lineRule="auto"/>
              <w:jc w:val="center"/>
              <w:rPr>
                <w:rFonts w:cs="Calibri"/>
                <w:b/>
                <w:bCs/>
                <w:color w:val="000000"/>
              </w:rPr>
            </w:pPr>
            <w:r w:rsidRPr="008E2D36">
              <w:rPr>
                <w:rFonts w:cs="Calibri"/>
                <w:b/>
                <w:bCs/>
                <w:color w:val="000000"/>
              </w:rPr>
              <w:t>Oct 2011 - June 2012 sample</w:t>
            </w:r>
          </w:p>
        </w:tc>
      </w:tr>
      <w:tr w:rsidR="00140F25" w:rsidRPr="00B95F3C">
        <w:trPr>
          <w:trHeight w:val="700"/>
        </w:trPr>
        <w:tc>
          <w:tcPr>
            <w:tcW w:w="2171" w:type="dxa"/>
            <w:vMerge/>
            <w:tcBorders>
              <w:top w:val="single" w:sz="4" w:space="0" w:color="auto"/>
              <w:left w:val="single" w:sz="4" w:space="0" w:color="auto"/>
              <w:bottom w:val="single" w:sz="4" w:space="0" w:color="000000"/>
              <w:right w:val="single" w:sz="4" w:space="0" w:color="auto"/>
            </w:tcBorders>
            <w:vAlign w:val="center"/>
          </w:tcPr>
          <w:p w:rsidR="00140F25" w:rsidRPr="008E2D36" w:rsidRDefault="00140F25" w:rsidP="008E2D36">
            <w:pPr>
              <w:spacing w:after="0" w:line="240" w:lineRule="auto"/>
              <w:rPr>
                <w:rFonts w:cs="Calibri"/>
                <w:b/>
                <w:bCs/>
                <w:color w:val="000000"/>
              </w:rPr>
            </w:pPr>
          </w:p>
        </w:tc>
        <w:tc>
          <w:tcPr>
            <w:tcW w:w="1154" w:type="dxa"/>
            <w:tcBorders>
              <w:top w:val="nil"/>
              <w:left w:val="nil"/>
              <w:bottom w:val="single" w:sz="4" w:space="0" w:color="auto"/>
              <w:right w:val="single" w:sz="4" w:space="0" w:color="auto"/>
            </w:tcBorders>
            <w:shd w:val="clear" w:color="000000" w:fill="F2F2F2"/>
            <w:vAlign w:val="center"/>
          </w:tcPr>
          <w:p w:rsidR="00140F25" w:rsidRPr="008E2D36" w:rsidRDefault="00140F25" w:rsidP="008E2D36">
            <w:pPr>
              <w:spacing w:after="0" w:line="240" w:lineRule="auto"/>
              <w:jc w:val="center"/>
              <w:rPr>
                <w:rFonts w:cs="Calibri"/>
                <w:b/>
                <w:bCs/>
                <w:color w:val="000000"/>
              </w:rPr>
            </w:pPr>
            <w:r w:rsidRPr="008E2D36">
              <w:rPr>
                <w:rFonts w:cs="Calibri"/>
                <w:b/>
                <w:bCs/>
                <w:color w:val="000000"/>
              </w:rPr>
              <w:t>Number of cases</w:t>
            </w:r>
          </w:p>
        </w:tc>
        <w:tc>
          <w:tcPr>
            <w:tcW w:w="1163" w:type="dxa"/>
            <w:tcBorders>
              <w:top w:val="nil"/>
              <w:left w:val="nil"/>
              <w:bottom w:val="single" w:sz="4" w:space="0" w:color="auto"/>
              <w:right w:val="single" w:sz="4" w:space="0" w:color="auto"/>
            </w:tcBorders>
            <w:shd w:val="clear" w:color="000000" w:fill="F2F2F2"/>
            <w:vAlign w:val="center"/>
          </w:tcPr>
          <w:p w:rsidR="00140F25" w:rsidRPr="008E2D36" w:rsidRDefault="00140F25" w:rsidP="008E2D36">
            <w:pPr>
              <w:spacing w:after="0" w:line="240" w:lineRule="auto"/>
              <w:jc w:val="center"/>
              <w:rPr>
                <w:rFonts w:cs="Calibri"/>
                <w:b/>
                <w:bCs/>
                <w:color w:val="000000"/>
              </w:rPr>
            </w:pPr>
            <w:r w:rsidRPr="008E2D36">
              <w:rPr>
                <w:rFonts w:cs="Calibri"/>
                <w:b/>
                <w:bCs/>
                <w:color w:val="000000"/>
              </w:rPr>
              <w:t>Number of completes</w:t>
            </w:r>
          </w:p>
        </w:tc>
        <w:tc>
          <w:tcPr>
            <w:tcW w:w="1156" w:type="dxa"/>
            <w:tcBorders>
              <w:top w:val="nil"/>
              <w:left w:val="nil"/>
              <w:bottom w:val="single" w:sz="4" w:space="0" w:color="auto"/>
              <w:right w:val="single" w:sz="4" w:space="0" w:color="auto"/>
            </w:tcBorders>
            <w:shd w:val="clear" w:color="000000" w:fill="F2F2F2"/>
            <w:vAlign w:val="center"/>
          </w:tcPr>
          <w:p w:rsidR="00140F25" w:rsidRPr="008E2D36" w:rsidRDefault="00140F25" w:rsidP="008E2D36">
            <w:pPr>
              <w:spacing w:after="0" w:line="240" w:lineRule="auto"/>
              <w:jc w:val="center"/>
              <w:rPr>
                <w:rFonts w:cs="Calibri"/>
                <w:b/>
                <w:bCs/>
                <w:color w:val="000000"/>
              </w:rPr>
            </w:pPr>
            <w:r w:rsidRPr="008E2D36">
              <w:rPr>
                <w:rFonts w:cs="Calibri"/>
                <w:b/>
                <w:bCs/>
                <w:color w:val="000000"/>
              </w:rPr>
              <w:t>Percent complete</w:t>
            </w:r>
          </w:p>
        </w:tc>
        <w:tc>
          <w:tcPr>
            <w:tcW w:w="1154" w:type="dxa"/>
            <w:tcBorders>
              <w:top w:val="nil"/>
              <w:left w:val="nil"/>
              <w:bottom w:val="single" w:sz="4" w:space="0" w:color="auto"/>
              <w:right w:val="single" w:sz="4" w:space="0" w:color="auto"/>
            </w:tcBorders>
            <w:shd w:val="clear" w:color="000000" w:fill="F2F2F2"/>
            <w:vAlign w:val="center"/>
          </w:tcPr>
          <w:p w:rsidR="00140F25" w:rsidRPr="008E2D36" w:rsidRDefault="00140F25" w:rsidP="008E2D36">
            <w:pPr>
              <w:spacing w:after="0" w:line="240" w:lineRule="auto"/>
              <w:jc w:val="center"/>
              <w:rPr>
                <w:rFonts w:cs="Calibri"/>
                <w:b/>
                <w:bCs/>
                <w:color w:val="000000"/>
              </w:rPr>
            </w:pPr>
            <w:r w:rsidRPr="008E2D36">
              <w:rPr>
                <w:rFonts w:cs="Calibri"/>
                <w:b/>
                <w:bCs/>
                <w:color w:val="000000"/>
              </w:rPr>
              <w:t>Number of cases</w:t>
            </w:r>
          </w:p>
        </w:tc>
        <w:tc>
          <w:tcPr>
            <w:tcW w:w="1163" w:type="dxa"/>
            <w:tcBorders>
              <w:top w:val="nil"/>
              <w:left w:val="nil"/>
              <w:bottom w:val="single" w:sz="4" w:space="0" w:color="auto"/>
              <w:right w:val="single" w:sz="4" w:space="0" w:color="auto"/>
            </w:tcBorders>
            <w:shd w:val="clear" w:color="000000" w:fill="F2F2F2"/>
            <w:vAlign w:val="center"/>
          </w:tcPr>
          <w:p w:rsidR="00140F25" w:rsidRPr="008E2D36" w:rsidRDefault="00140F25" w:rsidP="008E2D36">
            <w:pPr>
              <w:spacing w:after="0" w:line="240" w:lineRule="auto"/>
              <w:jc w:val="center"/>
              <w:rPr>
                <w:rFonts w:cs="Calibri"/>
                <w:b/>
                <w:bCs/>
                <w:color w:val="000000"/>
              </w:rPr>
            </w:pPr>
            <w:r w:rsidRPr="008E2D36">
              <w:rPr>
                <w:rFonts w:cs="Calibri"/>
                <w:b/>
                <w:bCs/>
                <w:color w:val="000000"/>
              </w:rPr>
              <w:t>Number of completes</w:t>
            </w:r>
          </w:p>
        </w:tc>
        <w:tc>
          <w:tcPr>
            <w:tcW w:w="1156" w:type="dxa"/>
            <w:tcBorders>
              <w:top w:val="nil"/>
              <w:left w:val="nil"/>
              <w:bottom w:val="single" w:sz="4" w:space="0" w:color="auto"/>
              <w:right w:val="single" w:sz="4" w:space="0" w:color="auto"/>
            </w:tcBorders>
            <w:shd w:val="clear" w:color="000000" w:fill="F2F2F2"/>
            <w:vAlign w:val="center"/>
          </w:tcPr>
          <w:p w:rsidR="00140F25" w:rsidRPr="008E2D36" w:rsidRDefault="00140F25" w:rsidP="008E2D36">
            <w:pPr>
              <w:spacing w:after="0" w:line="240" w:lineRule="auto"/>
              <w:jc w:val="center"/>
              <w:rPr>
                <w:rFonts w:cs="Calibri"/>
                <w:b/>
                <w:bCs/>
                <w:color w:val="000000"/>
              </w:rPr>
            </w:pPr>
            <w:r w:rsidRPr="008E2D36">
              <w:rPr>
                <w:rFonts w:cs="Calibri"/>
                <w:b/>
                <w:bCs/>
                <w:color w:val="000000"/>
              </w:rPr>
              <w:t>Percent complete</w:t>
            </w:r>
          </w:p>
        </w:tc>
      </w:tr>
      <w:tr w:rsidR="00140F25" w:rsidRPr="00B95F3C">
        <w:trPr>
          <w:trHeight w:val="559"/>
        </w:trPr>
        <w:tc>
          <w:tcPr>
            <w:tcW w:w="2171" w:type="dxa"/>
            <w:tcBorders>
              <w:top w:val="nil"/>
              <w:left w:val="single" w:sz="4" w:space="0" w:color="auto"/>
              <w:bottom w:val="single" w:sz="4" w:space="0" w:color="auto"/>
              <w:right w:val="single" w:sz="4" w:space="0" w:color="auto"/>
            </w:tcBorders>
            <w:vAlign w:val="center"/>
          </w:tcPr>
          <w:p w:rsidR="00140F25" w:rsidRPr="00DC3F40" w:rsidRDefault="00140F25" w:rsidP="006A771D">
            <w:pPr>
              <w:spacing w:after="0" w:line="240" w:lineRule="auto"/>
              <w:rPr>
                <w:rFonts w:cs="Calibri"/>
                <w:bCs/>
                <w:color w:val="000000"/>
              </w:rPr>
            </w:pPr>
            <w:r w:rsidRPr="00DC3F40">
              <w:rPr>
                <w:rFonts w:cs="Calibri"/>
                <w:bCs/>
                <w:color w:val="000000"/>
              </w:rPr>
              <w:t>108 – Number not in service</w:t>
            </w:r>
          </w:p>
        </w:tc>
        <w:tc>
          <w:tcPr>
            <w:tcW w:w="1154" w:type="dxa"/>
            <w:tcBorders>
              <w:top w:val="nil"/>
              <w:left w:val="nil"/>
              <w:bottom w:val="single" w:sz="4" w:space="0" w:color="auto"/>
              <w:right w:val="single" w:sz="4" w:space="0" w:color="auto"/>
            </w:tcBorders>
            <w:noWrap/>
            <w:vAlign w:val="center"/>
          </w:tcPr>
          <w:p w:rsidR="00140F25" w:rsidRPr="008E2D36" w:rsidRDefault="00140F25" w:rsidP="008E2D36">
            <w:pPr>
              <w:spacing w:after="0" w:line="240" w:lineRule="auto"/>
              <w:jc w:val="center"/>
              <w:rPr>
                <w:rFonts w:cs="Calibri"/>
                <w:color w:val="000000"/>
              </w:rPr>
            </w:pPr>
            <w:r w:rsidRPr="008E2D36">
              <w:rPr>
                <w:rFonts w:cs="Calibri"/>
                <w:color w:val="000000"/>
              </w:rPr>
              <w:t>523</w:t>
            </w:r>
          </w:p>
        </w:tc>
        <w:tc>
          <w:tcPr>
            <w:tcW w:w="1163" w:type="dxa"/>
            <w:tcBorders>
              <w:top w:val="nil"/>
              <w:left w:val="nil"/>
              <w:bottom w:val="single" w:sz="4" w:space="0" w:color="auto"/>
              <w:right w:val="single" w:sz="4" w:space="0" w:color="auto"/>
            </w:tcBorders>
            <w:noWrap/>
            <w:vAlign w:val="center"/>
          </w:tcPr>
          <w:p w:rsidR="00140F25" w:rsidRPr="008E2D36" w:rsidRDefault="00140F25" w:rsidP="008E2D36">
            <w:pPr>
              <w:spacing w:after="0" w:line="240" w:lineRule="auto"/>
              <w:jc w:val="center"/>
              <w:rPr>
                <w:rFonts w:cs="Calibri"/>
                <w:color w:val="000000"/>
              </w:rPr>
            </w:pPr>
            <w:r w:rsidRPr="008E2D36">
              <w:rPr>
                <w:rFonts w:cs="Calibri"/>
                <w:color w:val="000000"/>
              </w:rPr>
              <w:t>49</w:t>
            </w:r>
          </w:p>
        </w:tc>
        <w:tc>
          <w:tcPr>
            <w:tcW w:w="1156" w:type="dxa"/>
            <w:tcBorders>
              <w:top w:val="nil"/>
              <w:left w:val="nil"/>
              <w:bottom w:val="single" w:sz="4" w:space="0" w:color="auto"/>
              <w:right w:val="single" w:sz="4" w:space="0" w:color="auto"/>
            </w:tcBorders>
            <w:noWrap/>
            <w:vAlign w:val="center"/>
          </w:tcPr>
          <w:p w:rsidR="00140F25" w:rsidRPr="008E2D36" w:rsidRDefault="00140F25" w:rsidP="008E2D36">
            <w:pPr>
              <w:spacing w:after="0" w:line="240" w:lineRule="auto"/>
              <w:jc w:val="center"/>
              <w:rPr>
                <w:rFonts w:cs="Calibri"/>
                <w:color w:val="000000"/>
              </w:rPr>
            </w:pPr>
            <w:r w:rsidRPr="008E2D36">
              <w:rPr>
                <w:rFonts w:cs="Calibri"/>
                <w:color w:val="000000"/>
              </w:rPr>
              <w:t>9.3</w:t>
            </w:r>
          </w:p>
        </w:tc>
        <w:tc>
          <w:tcPr>
            <w:tcW w:w="1154" w:type="dxa"/>
            <w:tcBorders>
              <w:top w:val="nil"/>
              <w:left w:val="nil"/>
              <w:bottom w:val="single" w:sz="4" w:space="0" w:color="auto"/>
              <w:right w:val="single" w:sz="4" w:space="0" w:color="auto"/>
            </w:tcBorders>
            <w:vAlign w:val="center"/>
          </w:tcPr>
          <w:p w:rsidR="00140F25" w:rsidRPr="008E2D36" w:rsidRDefault="00140F25" w:rsidP="008E2D36">
            <w:pPr>
              <w:spacing w:after="0" w:line="240" w:lineRule="auto"/>
              <w:jc w:val="center"/>
              <w:rPr>
                <w:rFonts w:cs="Calibri"/>
                <w:color w:val="000000"/>
              </w:rPr>
            </w:pPr>
            <w:r w:rsidRPr="008E2D36">
              <w:rPr>
                <w:rFonts w:cs="Calibri"/>
                <w:color w:val="000000"/>
              </w:rPr>
              <w:t>409</w:t>
            </w:r>
          </w:p>
        </w:tc>
        <w:tc>
          <w:tcPr>
            <w:tcW w:w="1163" w:type="dxa"/>
            <w:tcBorders>
              <w:top w:val="nil"/>
              <w:left w:val="nil"/>
              <w:bottom w:val="single" w:sz="4" w:space="0" w:color="auto"/>
              <w:right w:val="single" w:sz="4" w:space="0" w:color="auto"/>
            </w:tcBorders>
            <w:vAlign w:val="center"/>
          </w:tcPr>
          <w:p w:rsidR="00140F25" w:rsidRPr="008E2D36" w:rsidRDefault="00140F25" w:rsidP="008E2D36">
            <w:pPr>
              <w:spacing w:after="0" w:line="240" w:lineRule="auto"/>
              <w:jc w:val="center"/>
              <w:rPr>
                <w:rFonts w:cs="Calibri"/>
                <w:color w:val="000000"/>
              </w:rPr>
            </w:pPr>
            <w:r w:rsidRPr="008E2D36">
              <w:rPr>
                <w:rFonts w:cs="Calibri"/>
                <w:color w:val="000000"/>
              </w:rPr>
              <w:t>140</w:t>
            </w:r>
          </w:p>
        </w:tc>
        <w:tc>
          <w:tcPr>
            <w:tcW w:w="1156" w:type="dxa"/>
            <w:tcBorders>
              <w:top w:val="nil"/>
              <w:left w:val="nil"/>
              <w:bottom w:val="single" w:sz="4" w:space="0" w:color="auto"/>
              <w:right w:val="single" w:sz="4" w:space="0" w:color="auto"/>
            </w:tcBorders>
            <w:vAlign w:val="center"/>
          </w:tcPr>
          <w:p w:rsidR="00140F25" w:rsidRPr="008E2D36" w:rsidRDefault="00140F25" w:rsidP="008E2D36">
            <w:pPr>
              <w:spacing w:after="0" w:line="240" w:lineRule="auto"/>
              <w:jc w:val="center"/>
              <w:rPr>
                <w:rFonts w:cs="Calibri"/>
                <w:color w:val="000000"/>
              </w:rPr>
            </w:pPr>
            <w:r w:rsidRPr="008E2D36">
              <w:rPr>
                <w:rFonts w:cs="Calibri"/>
                <w:color w:val="000000"/>
              </w:rPr>
              <w:t>34.2</w:t>
            </w:r>
          </w:p>
        </w:tc>
      </w:tr>
      <w:tr w:rsidR="00140F25" w:rsidRPr="00B95F3C">
        <w:trPr>
          <w:trHeight w:val="559"/>
        </w:trPr>
        <w:tc>
          <w:tcPr>
            <w:tcW w:w="2171" w:type="dxa"/>
            <w:tcBorders>
              <w:top w:val="nil"/>
              <w:left w:val="single" w:sz="4" w:space="0" w:color="auto"/>
              <w:bottom w:val="single" w:sz="4" w:space="0" w:color="auto"/>
              <w:right w:val="single" w:sz="4" w:space="0" w:color="auto"/>
            </w:tcBorders>
            <w:vAlign w:val="center"/>
          </w:tcPr>
          <w:p w:rsidR="00140F25" w:rsidRPr="00DC3F40" w:rsidRDefault="00140F25" w:rsidP="006A771D">
            <w:pPr>
              <w:spacing w:after="0" w:line="240" w:lineRule="auto"/>
              <w:rPr>
                <w:rFonts w:cs="Calibri"/>
                <w:bCs/>
                <w:color w:val="000000"/>
              </w:rPr>
            </w:pPr>
            <w:r w:rsidRPr="00DC3F40">
              <w:rPr>
                <w:rFonts w:cs="Calibri"/>
                <w:bCs/>
                <w:color w:val="000000"/>
              </w:rPr>
              <w:t>127 – Number temporarily not in service</w:t>
            </w:r>
          </w:p>
        </w:tc>
        <w:tc>
          <w:tcPr>
            <w:tcW w:w="1154" w:type="dxa"/>
            <w:tcBorders>
              <w:top w:val="nil"/>
              <w:left w:val="nil"/>
              <w:bottom w:val="single" w:sz="4" w:space="0" w:color="auto"/>
              <w:right w:val="single" w:sz="4" w:space="0" w:color="auto"/>
            </w:tcBorders>
            <w:noWrap/>
            <w:vAlign w:val="center"/>
          </w:tcPr>
          <w:p w:rsidR="00140F25" w:rsidRPr="008E2D36" w:rsidRDefault="00140F25" w:rsidP="008E2D36">
            <w:pPr>
              <w:spacing w:after="0" w:line="240" w:lineRule="auto"/>
              <w:jc w:val="center"/>
              <w:rPr>
                <w:rFonts w:cs="Calibri"/>
                <w:color w:val="000000"/>
              </w:rPr>
            </w:pPr>
            <w:r w:rsidRPr="008E2D36">
              <w:rPr>
                <w:rFonts w:cs="Calibri"/>
                <w:color w:val="000000"/>
              </w:rPr>
              <w:t>68</w:t>
            </w:r>
          </w:p>
        </w:tc>
        <w:tc>
          <w:tcPr>
            <w:tcW w:w="1163" w:type="dxa"/>
            <w:tcBorders>
              <w:top w:val="nil"/>
              <w:left w:val="nil"/>
              <w:bottom w:val="single" w:sz="4" w:space="0" w:color="auto"/>
              <w:right w:val="single" w:sz="4" w:space="0" w:color="auto"/>
            </w:tcBorders>
            <w:noWrap/>
            <w:vAlign w:val="center"/>
          </w:tcPr>
          <w:p w:rsidR="00140F25" w:rsidRPr="008E2D36" w:rsidRDefault="00140F25" w:rsidP="008E2D36">
            <w:pPr>
              <w:spacing w:after="0" w:line="240" w:lineRule="auto"/>
              <w:jc w:val="center"/>
              <w:rPr>
                <w:rFonts w:cs="Calibri"/>
                <w:color w:val="000000"/>
              </w:rPr>
            </w:pPr>
            <w:r w:rsidRPr="008E2D36">
              <w:rPr>
                <w:rFonts w:cs="Calibri"/>
                <w:color w:val="000000"/>
              </w:rPr>
              <w:t>9</w:t>
            </w:r>
          </w:p>
        </w:tc>
        <w:tc>
          <w:tcPr>
            <w:tcW w:w="1156" w:type="dxa"/>
            <w:tcBorders>
              <w:top w:val="nil"/>
              <w:left w:val="nil"/>
              <w:bottom w:val="single" w:sz="4" w:space="0" w:color="auto"/>
              <w:right w:val="single" w:sz="4" w:space="0" w:color="auto"/>
            </w:tcBorders>
            <w:noWrap/>
            <w:vAlign w:val="center"/>
          </w:tcPr>
          <w:p w:rsidR="00140F25" w:rsidRPr="008E2D36" w:rsidRDefault="00140F25" w:rsidP="008E2D36">
            <w:pPr>
              <w:spacing w:after="0" w:line="240" w:lineRule="auto"/>
              <w:jc w:val="center"/>
              <w:rPr>
                <w:rFonts w:cs="Calibri"/>
                <w:color w:val="000000"/>
              </w:rPr>
            </w:pPr>
            <w:r w:rsidRPr="008E2D36">
              <w:rPr>
                <w:rFonts w:cs="Calibri"/>
                <w:color w:val="000000"/>
              </w:rPr>
              <w:t>13.3</w:t>
            </w:r>
          </w:p>
        </w:tc>
        <w:tc>
          <w:tcPr>
            <w:tcW w:w="1154" w:type="dxa"/>
            <w:tcBorders>
              <w:top w:val="nil"/>
              <w:left w:val="nil"/>
              <w:bottom w:val="single" w:sz="4" w:space="0" w:color="auto"/>
              <w:right w:val="single" w:sz="4" w:space="0" w:color="auto"/>
            </w:tcBorders>
            <w:vAlign w:val="center"/>
          </w:tcPr>
          <w:p w:rsidR="00140F25" w:rsidRPr="008E2D36" w:rsidRDefault="00140F25" w:rsidP="008E2D36">
            <w:pPr>
              <w:spacing w:after="0" w:line="240" w:lineRule="auto"/>
              <w:jc w:val="center"/>
              <w:rPr>
                <w:rFonts w:cs="Calibri"/>
                <w:color w:val="000000"/>
              </w:rPr>
            </w:pPr>
            <w:r w:rsidRPr="008E2D36">
              <w:rPr>
                <w:rFonts w:cs="Calibri"/>
                <w:color w:val="000000"/>
              </w:rPr>
              <w:t>60</w:t>
            </w:r>
          </w:p>
        </w:tc>
        <w:tc>
          <w:tcPr>
            <w:tcW w:w="1163" w:type="dxa"/>
            <w:tcBorders>
              <w:top w:val="nil"/>
              <w:left w:val="nil"/>
              <w:bottom w:val="single" w:sz="4" w:space="0" w:color="auto"/>
              <w:right w:val="single" w:sz="4" w:space="0" w:color="auto"/>
            </w:tcBorders>
            <w:vAlign w:val="center"/>
          </w:tcPr>
          <w:p w:rsidR="00140F25" w:rsidRPr="008E2D36" w:rsidRDefault="00140F25" w:rsidP="008E2D36">
            <w:pPr>
              <w:spacing w:after="0" w:line="240" w:lineRule="auto"/>
              <w:jc w:val="center"/>
              <w:rPr>
                <w:rFonts w:cs="Calibri"/>
                <w:color w:val="000000"/>
              </w:rPr>
            </w:pPr>
            <w:r w:rsidRPr="008E2D36">
              <w:rPr>
                <w:rFonts w:cs="Calibri"/>
                <w:color w:val="000000"/>
              </w:rPr>
              <w:t>28</w:t>
            </w:r>
          </w:p>
        </w:tc>
        <w:tc>
          <w:tcPr>
            <w:tcW w:w="1156" w:type="dxa"/>
            <w:tcBorders>
              <w:top w:val="nil"/>
              <w:left w:val="nil"/>
              <w:bottom w:val="single" w:sz="4" w:space="0" w:color="auto"/>
              <w:right w:val="single" w:sz="4" w:space="0" w:color="auto"/>
            </w:tcBorders>
            <w:vAlign w:val="center"/>
          </w:tcPr>
          <w:p w:rsidR="00140F25" w:rsidRPr="008E2D36" w:rsidRDefault="00140F25" w:rsidP="008E2D36">
            <w:pPr>
              <w:spacing w:after="0" w:line="240" w:lineRule="auto"/>
              <w:jc w:val="center"/>
              <w:rPr>
                <w:rFonts w:cs="Calibri"/>
                <w:color w:val="000000"/>
              </w:rPr>
            </w:pPr>
            <w:r w:rsidRPr="008E2D36">
              <w:rPr>
                <w:rFonts w:cs="Calibri"/>
                <w:color w:val="000000"/>
              </w:rPr>
              <w:t>46.7</w:t>
            </w:r>
          </w:p>
        </w:tc>
      </w:tr>
      <w:tr w:rsidR="00140F25" w:rsidRPr="00B95F3C">
        <w:trPr>
          <w:trHeight w:val="700"/>
        </w:trPr>
        <w:tc>
          <w:tcPr>
            <w:tcW w:w="2171" w:type="dxa"/>
            <w:tcBorders>
              <w:top w:val="nil"/>
              <w:left w:val="single" w:sz="4" w:space="0" w:color="auto"/>
              <w:bottom w:val="single" w:sz="4" w:space="0" w:color="auto"/>
              <w:right w:val="single" w:sz="4" w:space="0" w:color="auto"/>
            </w:tcBorders>
            <w:vAlign w:val="center"/>
          </w:tcPr>
          <w:p w:rsidR="00140F25" w:rsidRPr="00DC3F40" w:rsidRDefault="00140F25" w:rsidP="006A771D">
            <w:pPr>
              <w:spacing w:after="0" w:line="240" w:lineRule="auto"/>
              <w:rPr>
                <w:rFonts w:cs="Calibri"/>
                <w:bCs/>
                <w:color w:val="000000"/>
              </w:rPr>
            </w:pPr>
            <w:r w:rsidRPr="00DC3F40">
              <w:rPr>
                <w:rFonts w:cs="Calibri"/>
                <w:bCs/>
                <w:color w:val="000000"/>
              </w:rPr>
              <w:t>Total</w:t>
            </w:r>
          </w:p>
        </w:tc>
        <w:tc>
          <w:tcPr>
            <w:tcW w:w="1154" w:type="dxa"/>
            <w:tcBorders>
              <w:top w:val="nil"/>
              <w:left w:val="nil"/>
              <w:bottom w:val="single" w:sz="4" w:space="0" w:color="auto"/>
              <w:right w:val="single" w:sz="4" w:space="0" w:color="auto"/>
            </w:tcBorders>
            <w:noWrap/>
            <w:vAlign w:val="center"/>
          </w:tcPr>
          <w:p w:rsidR="00140F25" w:rsidRPr="008E2D36" w:rsidRDefault="00140F25" w:rsidP="008E2D36">
            <w:pPr>
              <w:spacing w:after="0" w:line="240" w:lineRule="auto"/>
              <w:jc w:val="center"/>
              <w:rPr>
                <w:rFonts w:cs="Calibri"/>
                <w:color w:val="000000"/>
              </w:rPr>
            </w:pPr>
            <w:r w:rsidRPr="008E2D36">
              <w:rPr>
                <w:rFonts w:cs="Calibri"/>
                <w:color w:val="000000"/>
              </w:rPr>
              <w:t>591</w:t>
            </w:r>
          </w:p>
        </w:tc>
        <w:tc>
          <w:tcPr>
            <w:tcW w:w="1163" w:type="dxa"/>
            <w:tcBorders>
              <w:top w:val="nil"/>
              <w:left w:val="nil"/>
              <w:bottom w:val="single" w:sz="4" w:space="0" w:color="auto"/>
              <w:right w:val="single" w:sz="4" w:space="0" w:color="auto"/>
            </w:tcBorders>
            <w:noWrap/>
            <w:vAlign w:val="center"/>
          </w:tcPr>
          <w:p w:rsidR="00140F25" w:rsidRPr="008E2D36" w:rsidRDefault="00140F25" w:rsidP="008E2D36">
            <w:pPr>
              <w:spacing w:after="0" w:line="240" w:lineRule="auto"/>
              <w:jc w:val="center"/>
              <w:rPr>
                <w:rFonts w:cs="Calibri"/>
                <w:color w:val="000000"/>
              </w:rPr>
            </w:pPr>
            <w:r w:rsidRPr="008E2D36">
              <w:rPr>
                <w:rFonts w:cs="Calibri"/>
                <w:color w:val="000000"/>
              </w:rPr>
              <w:t>58</w:t>
            </w:r>
          </w:p>
        </w:tc>
        <w:tc>
          <w:tcPr>
            <w:tcW w:w="1156" w:type="dxa"/>
            <w:tcBorders>
              <w:top w:val="nil"/>
              <w:left w:val="nil"/>
              <w:bottom w:val="single" w:sz="4" w:space="0" w:color="auto"/>
              <w:right w:val="single" w:sz="4" w:space="0" w:color="auto"/>
            </w:tcBorders>
            <w:noWrap/>
            <w:vAlign w:val="center"/>
          </w:tcPr>
          <w:p w:rsidR="00140F25" w:rsidRPr="008E2D36" w:rsidRDefault="00140F25" w:rsidP="008E2D36">
            <w:pPr>
              <w:spacing w:after="0" w:line="240" w:lineRule="auto"/>
              <w:jc w:val="center"/>
              <w:rPr>
                <w:rFonts w:cs="Calibri"/>
                <w:color w:val="000000"/>
              </w:rPr>
            </w:pPr>
            <w:r w:rsidRPr="008E2D36">
              <w:rPr>
                <w:rFonts w:cs="Calibri"/>
                <w:color w:val="000000"/>
              </w:rPr>
              <w:t>9.7</w:t>
            </w:r>
          </w:p>
        </w:tc>
        <w:tc>
          <w:tcPr>
            <w:tcW w:w="1154" w:type="dxa"/>
            <w:tcBorders>
              <w:top w:val="nil"/>
              <w:left w:val="nil"/>
              <w:bottom w:val="single" w:sz="4" w:space="0" w:color="auto"/>
              <w:right w:val="single" w:sz="4" w:space="0" w:color="auto"/>
            </w:tcBorders>
            <w:vAlign w:val="center"/>
          </w:tcPr>
          <w:p w:rsidR="00140F25" w:rsidRPr="008E2D36" w:rsidRDefault="00140F25" w:rsidP="008E2D36">
            <w:pPr>
              <w:spacing w:after="0" w:line="240" w:lineRule="auto"/>
              <w:jc w:val="center"/>
              <w:rPr>
                <w:rFonts w:cs="Calibri"/>
                <w:color w:val="000000"/>
              </w:rPr>
            </w:pPr>
            <w:r w:rsidRPr="008E2D36">
              <w:rPr>
                <w:rFonts w:cs="Calibri"/>
                <w:color w:val="000000"/>
              </w:rPr>
              <w:t>469</w:t>
            </w:r>
          </w:p>
        </w:tc>
        <w:tc>
          <w:tcPr>
            <w:tcW w:w="1163" w:type="dxa"/>
            <w:tcBorders>
              <w:top w:val="nil"/>
              <w:left w:val="nil"/>
              <w:bottom w:val="single" w:sz="4" w:space="0" w:color="auto"/>
              <w:right w:val="single" w:sz="4" w:space="0" w:color="auto"/>
            </w:tcBorders>
            <w:vAlign w:val="center"/>
          </w:tcPr>
          <w:p w:rsidR="00140F25" w:rsidRPr="008E2D36" w:rsidRDefault="00140F25" w:rsidP="008E2D36">
            <w:pPr>
              <w:spacing w:after="0" w:line="240" w:lineRule="auto"/>
              <w:jc w:val="center"/>
              <w:rPr>
                <w:rFonts w:cs="Calibri"/>
                <w:color w:val="000000"/>
              </w:rPr>
            </w:pPr>
            <w:r w:rsidRPr="008E2D36">
              <w:rPr>
                <w:rFonts w:cs="Calibri"/>
                <w:color w:val="000000"/>
              </w:rPr>
              <w:t>168</w:t>
            </w:r>
          </w:p>
        </w:tc>
        <w:tc>
          <w:tcPr>
            <w:tcW w:w="1156" w:type="dxa"/>
            <w:tcBorders>
              <w:top w:val="nil"/>
              <w:left w:val="nil"/>
              <w:bottom w:val="single" w:sz="4" w:space="0" w:color="auto"/>
              <w:right w:val="single" w:sz="4" w:space="0" w:color="auto"/>
            </w:tcBorders>
            <w:vAlign w:val="center"/>
          </w:tcPr>
          <w:p w:rsidR="00140F25" w:rsidRPr="008E2D36" w:rsidRDefault="00140F25" w:rsidP="008E2D36">
            <w:pPr>
              <w:spacing w:after="0" w:line="240" w:lineRule="auto"/>
              <w:jc w:val="center"/>
              <w:rPr>
                <w:rFonts w:cs="Calibri"/>
                <w:color w:val="000000"/>
              </w:rPr>
            </w:pPr>
            <w:r w:rsidRPr="008E2D36">
              <w:rPr>
                <w:rFonts w:cs="Calibri"/>
                <w:color w:val="000000"/>
              </w:rPr>
              <w:t>35.8</w:t>
            </w:r>
          </w:p>
        </w:tc>
      </w:tr>
    </w:tbl>
    <w:p w:rsidR="00140F25" w:rsidRDefault="00140F25" w:rsidP="001D2B72">
      <w:pPr>
        <w:spacing w:after="0" w:line="240" w:lineRule="auto"/>
        <w:rPr>
          <w:rFonts w:cs="Calibri"/>
          <w:sz w:val="20"/>
        </w:rPr>
      </w:pPr>
    </w:p>
    <w:p w:rsidR="00140F25" w:rsidRDefault="00140F25" w:rsidP="004D020C">
      <w:r w:rsidRPr="002A1901">
        <w:t xml:space="preserve">Table 3 shows the </w:t>
      </w:r>
      <w:r>
        <w:t>projected</w:t>
      </w:r>
      <w:r w:rsidRPr="002A1901">
        <w:t xml:space="preserve"> results for the first full year of the incentive expansion</w:t>
      </w:r>
      <w:r w:rsidR="004053FC">
        <w:t xml:space="preserve">, from the October 2011 </w:t>
      </w:r>
      <w:r w:rsidR="000514A1">
        <w:t>through</w:t>
      </w:r>
      <w:r w:rsidR="004053FC">
        <w:t xml:space="preserve"> September 2012 sample</w:t>
      </w:r>
      <w:r w:rsidR="000514A1">
        <w:t>s</w:t>
      </w:r>
      <w:r>
        <w:t>. It also shows the</w:t>
      </w:r>
      <w:r w:rsidRPr="002A1901">
        <w:t xml:space="preserve"> </w:t>
      </w:r>
      <w:r>
        <w:t>projected</w:t>
      </w:r>
      <w:r w:rsidRPr="002A1901">
        <w:t xml:space="preserve"> annual results after the expansion is fully implemented</w:t>
      </w:r>
      <w:r>
        <w:t xml:space="preserve"> such that all cases with final call outcome codes of </w:t>
      </w:r>
      <w:r w:rsidRPr="00F00743">
        <w:rPr>
          <w:i/>
        </w:rPr>
        <w:t>108 Number not in service</w:t>
      </w:r>
      <w:r>
        <w:t xml:space="preserve"> and </w:t>
      </w:r>
      <w:r w:rsidRPr="00F00743">
        <w:rPr>
          <w:i/>
        </w:rPr>
        <w:t>127 Temporarily not in service</w:t>
      </w:r>
      <w:r>
        <w:t xml:space="preserve"> after the first week in sample are converted to incentive cases</w:t>
      </w:r>
      <w:r w:rsidRPr="002A1901">
        <w:t xml:space="preserve">. Underlying these </w:t>
      </w:r>
      <w:r>
        <w:t>projections</w:t>
      </w:r>
      <w:r w:rsidRPr="002A1901">
        <w:t xml:space="preserve"> is the assumption that</w:t>
      </w:r>
      <w:r>
        <w:t xml:space="preserve"> results from the October 2011 through June 2012 samples are representative of results for the full year and beyond. A</w:t>
      </w:r>
      <w:r w:rsidRPr="002A1901">
        <w:t xml:space="preserve">bout </w:t>
      </w:r>
      <w:r>
        <w:t>163</w:t>
      </w:r>
      <w:r w:rsidRPr="002A1901">
        <w:t xml:space="preserve"> additional completed interviews</w:t>
      </w:r>
      <w:r>
        <w:t xml:space="preserve">, </w:t>
      </w:r>
      <w:r>
        <w:lastRenderedPageBreak/>
        <w:t xml:space="preserve">beyond the 61 completed interviews that were expected (calculated using a 9.5 percent completion rate) without the </w:t>
      </w:r>
      <w:r w:rsidRPr="001754BC">
        <w:t>incentive expansion, are projected for the first full year of the incentive expansion. This is equivalent to a 1.3 percent</w:t>
      </w:r>
      <w:r>
        <w:t xml:space="preserve"> increase in the number of </w:t>
      </w:r>
      <w:r w:rsidRPr="001754BC">
        <w:t xml:space="preserve">completed ATUS interviews when compared to the average for 2008-10. </w:t>
      </w:r>
      <w:r>
        <w:t xml:space="preserve">(On average there were about 13,000 ATUS interviews per year in 2008-10.) </w:t>
      </w:r>
      <w:r w:rsidRPr="001754BC">
        <w:t>After the incentive expansion is fully implemented, an additional 183 completed interviews are projected annually; this is equivalent to a 1.4 percent</w:t>
      </w:r>
      <w:r>
        <w:t xml:space="preserve"> increase in the number of completed interviews beyond what was achieved in 2008-10. </w:t>
      </w:r>
    </w:p>
    <w:p w:rsidR="00140F25" w:rsidRPr="00991518" w:rsidRDefault="00140F25" w:rsidP="000B5A8B">
      <w:pPr>
        <w:spacing w:after="0"/>
        <w:rPr>
          <w:rFonts w:cs="Calibri"/>
          <w:b/>
        </w:rPr>
      </w:pPr>
      <w:proofErr w:type="gramStart"/>
      <w:r>
        <w:rPr>
          <w:b/>
        </w:rPr>
        <w:t>T</w:t>
      </w:r>
      <w:r w:rsidRPr="00991518">
        <w:rPr>
          <w:b/>
        </w:rPr>
        <w:t>able 3.</w:t>
      </w:r>
      <w:proofErr w:type="gramEnd"/>
      <w:r>
        <w:rPr>
          <w:b/>
        </w:rPr>
        <w:t xml:space="preserve"> Initial results of the incentive expansion and projected results</w:t>
      </w:r>
    </w:p>
    <w:tbl>
      <w:tblPr>
        <w:tblW w:w="10145" w:type="dxa"/>
        <w:tblInd w:w="103" w:type="dxa"/>
        <w:tblLook w:val="00A0"/>
      </w:tblPr>
      <w:tblGrid>
        <w:gridCol w:w="4885"/>
        <w:gridCol w:w="1315"/>
        <w:gridCol w:w="1315"/>
        <w:gridCol w:w="1315"/>
        <w:gridCol w:w="1315"/>
      </w:tblGrid>
      <w:tr w:rsidR="00140F25" w:rsidRPr="00B95F3C">
        <w:trPr>
          <w:trHeight w:val="2300"/>
        </w:trPr>
        <w:tc>
          <w:tcPr>
            <w:tcW w:w="4885"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140F25" w:rsidRPr="000A6482" w:rsidRDefault="00140F25" w:rsidP="000A6482">
            <w:pPr>
              <w:spacing w:after="0" w:line="240" w:lineRule="auto"/>
              <w:jc w:val="center"/>
              <w:rPr>
                <w:rFonts w:cs="Calibri"/>
                <w:b/>
                <w:bCs/>
                <w:color w:val="000000"/>
              </w:rPr>
            </w:pPr>
            <w:r w:rsidRPr="000A6482">
              <w:rPr>
                <w:rFonts w:cs="Calibri"/>
                <w:b/>
                <w:bCs/>
                <w:color w:val="000000"/>
              </w:rPr>
              <w:t>Time period</w:t>
            </w:r>
          </w:p>
        </w:tc>
        <w:tc>
          <w:tcPr>
            <w:tcW w:w="1315" w:type="dxa"/>
            <w:tcBorders>
              <w:top w:val="single" w:sz="4" w:space="0" w:color="auto"/>
              <w:left w:val="nil"/>
              <w:bottom w:val="single" w:sz="4" w:space="0" w:color="auto"/>
              <w:right w:val="single" w:sz="4" w:space="0" w:color="auto"/>
            </w:tcBorders>
            <w:shd w:val="clear" w:color="000000" w:fill="F2F2F2"/>
            <w:vAlign w:val="bottom"/>
          </w:tcPr>
          <w:p w:rsidR="00140F25" w:rsidRPr="000A6482" w:rsidRDefault="00140F25" w:rsidP="000A6482">
            <w:pPr>
              <w:spacing w:after="0" w:line="240" w:lineRule="auto"/>
              <w:jc w:val="center"/>
              <w:rPr>
                <w:rFonts w:cs="Calibri"/>
                <w:b/>
                <w:bCs/>
                <w:color w:val="000000"/>
              </w:rPr>
            </w:pPr>
            <w:r w:rsidRPr="000A6482">
              <w:rPr>
                <w:rFonts w:cs="Calibri"/>
                <w:b/>
                <w:bCs/>
                <w:color w:val="000000"/>
              </w:rPr>
              <w:t>Number of cases qualifying for the incentive expansion</w:t>
            </w:r>
          </w:p>
        </w:tc>
        <w:tc>
          <w:tcPr>
            <w:tcW w:w="1315" w:type="dxa"/>
            <w:tcBorders>
              <w:top w:val="single" w:sz="4" w:space="0" w:color="auto"/>
              <w:left w:val="nil"/>
              <w:bottom w:val="single" w:sz="4" w:space="0" w:color="auto"/>
              <w:right w:val="single" w:sz="4" w:space="0" w:color="auto"/>
            </w:tcBorders>
            <w:shd w:val="clear" w:color="000000" w:fill="F2F2F2"/>
            <w:vAlign w:val="bottom"/>
          </w:tcPr>
          <w:p w:rsidR="00140F25" w:rsidRPr="000A6482" w:rsidRDefault="00140F25" w:rsidP="000A6482">
            <w:pPr>
              <w:spacing w:after="0" w:line="240" w:lineRule="auto"/>
              <w:jc w:val="center"/>
              <w:rPr>
                <w:rFonts w:cs="Calibri"/>
                <w:b/>
                <w:bCs/>
                <w:color w:val="000000"/>
              </w:rPr>
            </w:pPr>
            <w:r w:rsidRPr="000A6482">
              <w:rPr>
                <w:rFonts w:cs="Calibri"/>
                <w:b/>
                <w:bCs/>
                <w:color w:val="000000"/>
              </w:rPr>
              <w:t>Projected number of completed interviews, with no incentive expansion</w:t>
            </w:r>
            <w:r w:rsidRPr="000A6482">
              <w:rPr>
                <w:rFonts w:cs="Calibri"/>
                <w:b/>
                <w:bCs/>
                <w:color w:val="000000"/>
                <w:vertAlign w:val="superscript"/>
              </w:rPr>
              <w:t xml:space="preserve"> 1</w:t>
            </w:r>
          </w:p>
        </w:tc>
        <w:tc>
          <w:tcPr>
            <w:tcW w:w="1315" w:type="dxa"/>
            <w:tcBorders>
              <w:top w:val="single" w:sz="4" w:space="0" w:color="auto"/>
              <w:left w:val="nil"/>
              <w:bottom w:val="single" w:sz="4" w:space="0" w:color="auto"/>
              <w:right w:val="single" w:sz="4" w:space="0" w:color="auto"/>
            </w:tcBorders>
            <w:shd w:val="clear" w:color="000000" w:fill="F2F2F2"/>
            <w:vAlign w:val="bottom"/>
          </w:tcPr>
          <w:p w:rsidR="00140F25" w:rsidRPr="000A6482" w:rsidRDefault="00140F25" w:rsidP="000A6482">
            <w:pPr>
              <w:spacing w:after="0" w:line="240" w:lineRule="auto"/>
              <w:jc w:val="center"/>
              <w:rPr>
                <w:rFonts w:cs="Calibri"/>
                <w:b/>
                <w:bCs/>
                <w:color w:val="000000"/>
              </w:rPr>
            </w:pPr>
            <w:r w:rsidRPr="000A6482">
              <w:rPr>
                <w:rFonts w:cs="Calibri"/>
                <w:b/>
                <w:bCs/>
                <w:color w:val="000000"/>
              </w:rPr>
              <w:t>Number of completed interviews, post-expansion</w:t>
            </w:r>
            <w:r w:rsidRPr="000A6482">
              <w:rPr>
                <w:rFonts w:cs="Calibri"/>
                <w:b/>
                <w:bCs/>
                <w:color w:val="000000"/>
                <w:vertAlign w:val="superscript"/>
              </w:rPr>
              <w:t xml:space="preserve"> 2</w:t>
            </w:r>
          </w:p>
        </w:tc>
        <w:tc>
          <w:tcPr>
            <w:tcW w:w="1315" w:type="dxa"/>
            <w:tcBorders>
              <w:top w:val="single" w:sz="4" w:space="0" w:color="auto"/>
              <w:left w:val="nil"/>
              <w:bottom w:val="single" w:sz="4" w:space="0" w:color="auto"/>
              <w:right w:val="single" w:sz="4" w:space="0" w:color="auto"/>
            </w:tcBorders>
            <w:shd w:val="clear" w:color="000000" w:fill="F2F2F2"/>
            <w:vAlign w:val="bottom"/>
          </w:tcPr>
          <w:p w:rsidR="00140F25" w:rsidRPr="000A6482" w:rsidRDefault="00140F25" w:rsidP="000A6482">
            <w:pPr>
              <w:spacing w:after="0" w:line="240" w:lineRule="auto"/>
              <w:jc w:val="center"/>
              <w:rPr>
                <w:rFonts w:cs="Calibri"/>
                <w:b/>
                <w:bCs/>
                <w:color w:val="000000"/>
              </w:rPr>
            </w:pPr>
            <w:r w:rsidRPr="000A6482">
              <w:rPr>
                <w:rFonts w:cs="Calibri"/>
                <w:b/>
                <w:bCs/>
                <w:color w:val="000000"/>
              </w:rPr>
              <w:t>Number of completed interviews attributed to the incentive expansion</w:t>
            </w:r>
          </w:p>
        </w:tc>
      </w:tr>
      <w:tr w:rsidR="00140F25" w:rsidRPr="00B95F3C">
        <w:trPr>
          <w:trHeight w:val="588"/>
        </w:trPr>
        <w:tc>
          <w:tcPr>
            <w:tcW w:w="4885" w:type="dxa"/>
            <w:tcBorders>
              <w:top w:val="nil"/>
              <w:left w:val="single" w:sz="4" w:space="0" w:color="auto"/>
              <w:bottom w:val="single" w:sz="4" w:space="0" w:color="auto"/>
              <w:right w:val="single" w:sz="4" w:space="0" w:color="auto"/>
            </w:tcBorders>
            <w:vAlign w:val="bottom"/>
          </w:tcPr>
          <w:p w:rsidR="00140F25" w:rsidRPr="000A6482" w:rsidRDefault="00140F25" w:rsidP="000A6482">
            <w:pPr>
              <w:spacing w:after="0" w:line="240" w:lineRule="auto"/>
              <w:rPr>
                <w:rFonts w:cs="Calibri"/>
                <w:color w:val="000000"/>
              </w:rPr>
            </w:pPr>
            <w:r w:rsidRPr="000A6482">
              <w:rPr>
                <w:rFonts w:cs="Calibri"/>
                <w:color w:val="000000"/>
              </w:rPr>
              <w:t>Initial 9 monthly samples, October 2011 - June 2012</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469</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45</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168</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123</w:t>
            </w:r>
          </w:p>
        </w:tc>
      </w:tr>
      <w:tr w:rsidR="00140F25" w:rsidRPr="00B95F3C">
        <w:trPr>
          <w:trHeight w:val="588"/>
        </w:trPr>
        <w:tc>
          <w:tcPr>
            <w:tcW w:w="4885" w:type="dxa"/>
            <w:tcBorders>
              <w:top w:val="nil"/>
              <w:left w:val="single" w:sz="4" w:space="0" w:color="auto"/>
              <w:bottom w:val="single" w:sz="4" w:space="0" w:color="auto"/>
              <w:right w:val="single" w:sz="4" w:space="0" w:color="auto"/>
            </w:tcBorders>
            <w:vAlign w:val="bottom"/>
          </w:tcPr>
          <w:p w:rsidR="00140F25" w:rsidRPr="000A6482" w:rsidRDefault="00140F25" w:rsidP="00940340">
            <w:pPr>
              <w:spacing w:after="0" w:line="240" w:lineRule="auto"/>
              <w:rPr>
                <w:rFonts w:cs="Calibri"/>
                <w:color w:val="000000"/>
              </w:rPr>
            </w:pPr>
            <w:r w:rsidRPr="000A6482">
              <w:rPr>
                <w:rFonts w:cs="Calibri"/>
                <w:color w:val="000000"/>
              </w:rPr>
              <w:t>Projected results for first year</w:t>
            </w:r>
            <w:r w:rsidR="000514A1">
              <w:rPr>
                <w:rFonts w:cs="Calibri"/>
                <w:color w:val="000000"/>
              </w:rPr>
              <w:t xml:space="preserve"> </w:t>
            </w:r>
            <w:r w:rsidRPr="000A6482">
              <w:rPr>
                <w:rFonts w:cs="Calibri"/>
                <w:color w:val="000000"/>
              </w:rPr>
              <w:t>of expansion</w:t>
            </w:r>
            <w:r w:rsidR="000514A1">
              <w:rPr>
                <w:rFonts w:cs="Calibri"/>
                <w:color w:val="000000"/>
              </w:rPr>
              <w:t>, October 2011 – September 2012 samples</w:t>
            </w:r>
            <w:r w:rsidRPr="000A6482">
              <w:rPr>
                <w:rFonts w:cs="Calibri"/>
                <w:color w:val="000000"/>
                <w:vertAlign w:val="superscript"/>
              </w:rPr>
              <w:t xml:space="preserve"> 3</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625</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61</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224</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163</w:t>
            </w:r>
          </w:p>
        </w:tc>
      </w:tr>
      <w:tr w:rsidR="00140F25" w:rsidRPr="00B95F3C">
        <w:trPr>
          <w:trHeight w:val="588"/>
        </w:trPr>
        <w:tc>
          <w:tcPr>
            <w:tcW w:w="4885" w:type="dxa"/>
            <w:tcBorders>
              <w:top w:val="nil"/>
              <w:left w:val="single" w:sz="4" w:space="0" w:color="auto"/>
              <w:bottom w:val="single" w:sz="4" w:space="0" w:color="auto"/>
              <w:right w:val="single" w:sz="4" w:space="0" w:color="auto"/>
            </w:tcBorders>
            <w:vAlign w:val="bottom"/>
          </w:tcPr>
          <w:p w:rsidR="00140F25" w:rsidRPr="000A6482" w:rsidRDefault="00140F25" w:rsidP="000A6482">
            <w:pPr>
              <w:spacing w:after="0" w:line="240" w:lineRule="auto"/>
              <w:rPr>
                <w:rFonts w:cs="Calibri"/>
                <w:color w:val="000000"/>
              </w:rPr>
            </w:pPr>
            <w:r w:rsidRPr="000A6482">
              <w:rPr>
                <w:rFonts w:cs="Calibri"/>
                <w:color w:val="000000"/>
              </w:rPr>
              <w:t xml:space="preserve">Projected annual results after expansion is fully implemented </w:t>
            </w:r>
            <w:r w:rsidRPr="000A6482">
              <w:rPr>
                <w:rFonts w:cs="Calibri"/>
                <w:color w:val="000000"/>
                <w:vertAlign w:val="superscript"/>
              </w:rPr>
              <w:t>3, 4</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702</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68</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251</w:t>
            </w:r>
          </w:p>
        </w:tc>
        <w:tc>
          <w:tcPr>
            <w:tcW w:w="1315" w:type="dxa"/>
            <w:tcBorders>
              <w:top w:val="nil"/>
              <w:left w:val="nil"/>
              <w:bottom w:val="single" w:sz="4" w:space="0" w:color="auto"/>
              <w:right w:val="single" w:sz="4" w:space="0" w:color="auto"/>
            </w:tcBorders>
            <w:noWrap/>
            <w:vAlign w:val="bottom"/>
          </w:tcPr>
          <w:p w:rsidR="00140F25" w:rsidRPr="000A6482" w:rsidRDefault="00140F25" w:rsidP="000A6482">
            <w:pPr>
              <w:spacing w:after="0" w:line="240" w:lineRule="auto"/>
              <w:jc w:val="center"/>
              <w:rPr>
                <w:rFonts w:cs="Calibri"/>
                <w:color w:val="000000"/>
              </w:rPr>
            </w:pPr>
            <w:r w:rsidRPr="000A6482">
              <w:rPr>
                <w:rFonts w:cs="Calibri"/>
                <w:color w:val="000000"/>
              </w:rPr>
              <w:t>183</w:t>
            </w:r>
          </w:p>
        </w:tc>
      </w:tr>
    </w:tbl>
    <w:p w:rsidR="00140F25" w:rsidRDefault="00140F25" w:rsidP="000A6482">
      <w:pPr>
        <w:spacing w:after="0" w:line="240" w:lineRule="auto"/>
        <w:rPr>
          <w:rFonts w:cs="Calibri"/>
          <w:sz w:val="20"/>
        </w:rPr>
      </w:pPr>
      <w:r w:rsidRPr="000A6482">
        <w:rPr>
          <w:rFonts w:cs="Calibri"/>
          <w:sz w:val="20"/>
          <w:vertAlign w:val="superscript"/>
        </w:rPr>
        <w:t xml:space="preserve">1 </w:t>
      </w:r>
      <w:r w:rsidRPr="000A6482">
        <w:rPr>
          <w:rFonts w:cs="Calibri"/>
          <w:sz w:val="20"/>
        </w:rPr>
        <w:t>Calculations were made using a 9.7 percent pre-expansion completion rate.</w:t>
      </w:r>
    </w:p>
    <w:p w:rsidR="00140F25" w:rsidRDefault="00140F25" w:rsidP="000A6482">
      <w:pPr>
        <w:spacing w:after="0" w:line="240" w:lineRule="auto"/>
        <w:rPr>
          <w:rFonts w:cs="Calibri"/>
          <w:sz w:val="20"/>
        </w:rPr>
      </w:pPr>
      <w:r w:rsidRPr="000A6482">
        <w:rPr>
          <w:rFonts w:cs="Calibri"/>
          <w:sz w:val="20"/>
          <w:vertAlign w:val="superscript"/>
        </w:rPr>
        <w:t>2</w:t>
      </w:r>
      <w:r w:rsidRPr="000A6482">
        <w:rPr>
          <w:rFonts w:cs="Calibri"/>
          <w:sz w:val="20"/>
        </w:rPr>
        <w:t xml:space="preserve"> Calculations were made using a 35.8 percent post-expansion completion rate.</w:t>
      </w:r>
    </w:p>
    <w:p w:rsidR="00140F25" w:rsidRDefault="00140F25" w:rsidP="000A6482">
      <w:pPr>
        <w:spacing w:after="0" w:line="240" w:lineRule="auto"/>
        <w:rPr>
          <w:rFonts w:cs="Calibri"/>
          <w:sz w:val="20"/>
        </w:rPr>
      </w:pPr>
      <w:r w:rsidRPr="000A6482">
        <w:rPr>
          <w:rFonts w:cs="Calibri"/>
          <w:sz w:val="20"/>
          <w:vertAlign w:val="superscript"/>
        </w:rPr>
        <w:t>3</w:t>
      </w:r>
      <w:r w:rsidRPr="000A6482">
        <w:rPr>
          <w:rFonts w:cs="Calibri"/>
          <w:sz w:val="20"/>
        </w:rPr>
        <w:t xml:space="preserve"> Projected results were calculated based on the assumption that results from the October 2011 through June 2012 samples are representative of future results.</w:t>
      </w:r>
    </w:p>
    <w:p w:rsidR="00140F25" w:rsidRDefault="00140F25" w:rsidP="000A6482">
      <w:pPr>
        <w:spacing w:after="0" w:line="240" w:lineRule="auto"/>
        <w:rPr>
          <w:rFonts w:cs="Calibri"/>
          <w:sz w:val="20"/>
        </w:rPr>
      </w:pPr>
      <w:r w:rsidRPr="000A6482">
        <w:rPr>
          <w:rFonts w:cs="Calibri"/>
          <w:sz w:val="20"/>
          <w:vertAlign w:val="superscript"/>
        </w:rPr>
        <w:t>4</w:t>
      </w:r>
      <w:r w:rsidRPr="000A6482">
        <w:rPr>
          <w:rFonts w:cs="Calibri"/>
          <w:sz w:val="20"/>
        </w:rPr>
        <w:t xml:space="preserve"> As initially implemented, the expansion was narrower in scope than intended. Only 89 percent of the cases OMB had approved for the incentive expansion were actually converted.</w:t>
      </w:r>
    </w:p>
    <w:p w:rsidR="00140F25" w:rsidRPr="000514A1" w:rsidRDefault="00140F25" w:rsidP="000A6482">
      <w:pPr>
        <w:spacing w:after="0"/>
        <w:rPr>
          <w:rFonts w:cs="Calibri"/>
        </w:rPr>
      </w:pPr>
    </w:p>
    <w:p w:rsidR="00140F25" w:rsidRPr="00643319" w:rsidRDefault="00140F25" w:rsidP="000A6482">
      <w:r w:rsidRPr="00643319">
        <w:t xml:space="preserve">III.  </w:t>
      </w:r>
      <w:r w:rsidRPr="00643319">
        <w:tab/>
        <w:t>Financial impact</w:t>
      </w:r>
    </w:p>
    <w:p w:rsidR="00140F25" w:rsidRDefault="00140F25" w:rsidP="00E143EC">
      <w:r>
        <w:t>Each debit card issued by the ATUS program incurs a $31.60 Census fee that covers the costs of tracking and managing the debit cards. Per requirements at Census' National Processing Center, the debit cards are stored in a secure area and two people must be present at all times when working with the debit cards. This is for the security of the debit cards and the employees involved. This two person requirement accounts for the majority of costs associated with managing the debit cards, by essentially doubling the staff time, salary, benefits, and overhead costs associated with them. Each debit card that is cashed costs the ATUS program an additional $44.00, which includes the $40.00 face value of the card and $4.00 in ATM transaction fees. (In October 2011, a $5.00 per debit card production fee was eliminated.)</w:t>
      </w:r>
    </w:p>
    <w:p w:rsidR="00140F25" w:rsidRDefault="00D626F6" w:rsidP="00B45621">
      <w:pPr>
        <w:spacing w:after="0"/>
      </w:pPr>
      <w:r>
        <w:br w:type="page"/>
      </w:r>
      <w:r w:rsidR="00140F25">
        <w:lastRenderedPageBreak/>
        <w:t>Costs associated with each ATUS debit card:</w:t>
      </w:r>
    </w:p>
    <w:p w:rsidR="00140F25" w:rsidRDefault="00140F25" w:rsidP="00B45621">
      <w:pPr>
        <w:pStyle w:val="ListParagraph"/>
        <w:numPr>
          <w:ilvl w:val="0"/>
          <w:numId w:val="3"/>
        </w:numPr>
        <w:spacing w:after="0"/>
      </w:pPr>
      <w:r>
        <w:t>Face value of the debit card:</w:t>
      </w:r>
      <w:r>
        <w:tab/>
      </w:r>
      <w:r>
        <w:tab/>
        <w:t>$40.00</w:t>
      </w:r>
    </w:p>
    <w:p w:rsidR="00140F25" w:rsidRDefault="00140F25" w:rsidP="00B45621">
      <w:pPr>
        <w:pStyle w:val="ListParagraph"/>
        <w:numPr>
          <w:ilvl w:val="0"/>
          <w:numId w:val="3"/>
        </w:numPr>
      </w:pPr>
      <w:r>
        <w:t>ATM transaction fee:</w:t>
      </w:r>
      <w:r>
        <w:tab/>
      </w:r>
      <w:r>
        <w:tab/>
      </w:r>
      <w:r>
        <w:tab/>
        <w:t>$  4.00</w:t>
      </w:r>
    </w:p>
    <w:p w:rsidR="00140F25" w:rsidRDefault="00140F25" w:rsidP="00B45621">
      <w:pPr>
        <w:pStyle w:val="ListParagraph"/>
        <w:numPr>
          <w:ilvl w:val="0"/>
          <w:numId w:val="3"/>
        </w:numPr>
      </w:pPr>
      <w:r>
        <w:t>Census debit card management:</w:t>
      </w:r>
      <w:r>
        <w:tab/>
        <w:t>$31.60</w:t>
      </w:r>
    </w:p>
    <w:p w:rsidR="00140F25" w:rsidRDefault="00140F25" w:rsidP="00E143EC">
      <w:r>
        <w:t>I</w:t>
      </w:r>
      <w:r w:rsidRPr="00AA45E0">
        <w:t xml:space="preserve">n </w:t>
      </w:r>
      <w:r>
        <w:t>the</w:t>
      </w:r>
      <w:r w:rsidRPr="00AA45E0">
        <w:t xml:space="preserve"> first </w:t>
      </w:r>
      <w:r>
        <w:t>9 monthly samples of the incentive expansion</w:t>
      </w:r>
      <w:r w:rsidRPr="00AA45E0">
        <w:t xml:space="preserve"> the</w:t>
      </w:r>
      <w:r>
        <w:t>re were 469 cases that were converted to incentive cases. Of the 469 cases that were converted, 168 cases became completed interviews; this amounted to 123 additional completed interviews beyond what would have been expected had the incentive card expansion not been implemented.</w:t>
      </w:r>
      <w:r w:rsidRPr="00AA45E0">
        <w:t xml:space="preserve"> </w:t>
      </w:r>
      <w:r>
        <w:t>Thus, the first 9 monthly samples of the incentive card expansion cost the ATUS program about $22,200 [($31.60</w:t>
      </w:r>
      <w:proofErr w:type="gramStart"/>
      <w:r>
        <w:t>)(</w:t>
      </w:r>
      <w:proofErr w:type="gramEnd"/>
      <w:r>
        <w:t xml:space="preserve">469 cases)+($44.00)(168 cases)] to obtain an additional 123 interviews, or approximately $180 per additional completed interview. </w:t>
      </w:r>
    </w:p>
    <w:p w:rsidR="00140F25" w:rsidRDefault="00140F25" w:rsidP="00A514FA">
      <w:pPr>
        <w:spacing w:after="0"/>
      </w:pPr>
      <w:r>
        <w:t xml:space="preserve">In the first year of the incentive expansion, 163 additional completed interviews are expected at a cost of approximately $29,600. After the incentive expansion is fully implemented, an additional 183 interviews are projected annually, at a cost of approximately $33,300 per year. </w:t>
      </w:r>
    </w:p>
    <w:p w:rsidR="00140F25" w:rsidRDefault="00140F25" w:rsidP="00A514FA">
      <w:pPr>
        <w:spacing w:after="0" w:line="240" w:lineRule="auto"/>
      </w:pPr>
    </w:p>
    <w:p w:rsidR="00140F25" w:rsidRPr="00E431FE" w:rsidRDefault="00140F25" w:rsidP="005E6FAC">
      <w:r>
        <w:t>IV.</w:t>
      </w:r>
      <w:r>
        <w:tab/>
      </w:r>
      <w:r w:rsidRPr="00E431FE">
        <w:t>Respondent burden</w:t>
      </w:r>
    </w:p>
    <w:p w:rsidR="00140F25" w:rsidRDefault="00140F25">
      <w:r w:rsidRPr="00E431FE">
        <w:t>The increase in total respondent burden from the October 2011 incentive expansion is estimated to be small—only about $</w:t>
      </w:r>
      <w:r>
        <w:t>700 to $800</w:t>
      </w:r>
      <w:r w:rsidRPr="00E431FE">
        <w:t xml:space="preserve"> per year. Table </w:t>
      </w:r>
      <w:r>
        <w:t>4</w:t>
      </w:r>
      <w:r w:rsidRPr="00E431FE">
        <w:t xml:space="preserve"> provides</w:t>
      </w:r>
      <w:r>
        <w:t xml:space="preserve"> projected</w:t>
      </w:r>
      <w:r w:rsidRPr="00E431FE">
        <w:t xml:space="preserve"> estimates of the respondent burden for the first full year of </w:t>
      </w:r>
      <w:r>
        <w:t>the incentive expansion</w:t>
      </w:r>
      <w:r w:rsidRPr="00E431FE">
        <w:t>. As implemented, the incentive expansion is associated with a $</w:t>
      </w:r>
      <w:r>
        <w:t>700</w:t>
      </w:r>
      <w:r w:rsidRPr="00E431FE">
        <w:t xml:space="preserve"> increase in respondent burden</w:t>
      </w:r>
      <w:r>
        <w:t xml:space="preserve"> per year</w:t>
      </w:r>
      <w:r w:rsidRPr="00E431FE">
        <w:t>; when fully implemented, the respondent</w:t>
      </w:r>
      <w:r>
        <w:t xml:space="preserve"> burden is </w:t>
      </w:r>
      <w:r w:rsidRPr="00FD6942">
        <w:t>expected to increase to about $</w:t>
      </w:r>
      <w:r>
        <w:t>800</w:t>
      </w:r>
      <w:r w:rsidRPr="00FD6942">
        <w:t xml:space="preserve"> per year. A wage rate of $12.80 per hour was used to calculate the burden; this is an estimate of the median hourly earnings for all wage and salary workers paid hourly rates in 2012</w:t>
      </w:r>
      <w:r>
        <w:t>, as measured by the Current Population Survey</w:t>
      </w:r>
      <w:r w:rsidRPr="00FD6942">
        <w:t>.</w:t>
      </w:r>
      <w:bookmarkStart w:id="0" w:name="_GoBack"/>
      <w:bookmarkEnd w:id="0"/>
    </w:p>
    <w:p w:rsidR="00140F25" w:rsidRDefault="00140F25" w:rsidP="00F13FA2">
      <w:pPr>
        <w:spacing w:after="0" w:line="240" w:lineRule="auto"/>
        <w:rPr>
          <w:b/>
        </w:rPr>
      </w:pPr>
      <w:proofErr w:type="gramStart"/>
      <w:r w:rsidRPr="00F13FA2">
        <w:rPr>
          <w:b/>
        </w:rPr>
        <w:t xml:space="preserve">Table </w:t>
      </w:r>
      <w:r>
        <w:rPr>
          <w:b/>
        </w:rPr>
        <w:t>4</w:t>
      </w:r>
      <w:r w:rsidRPr="00F13FA2">
        <w:rPr>
          <w:b/>
        </w:rPr>
        <w:t>.</w:t>
      </w:r>
      <w:proofErr w:type="gramEnd"/>
      <w:r w:rsidRPr="00F13FA2">
        <w:rPr>
          <w:b/>
        </w:rPr>
        <w:t xml:space="preserve"> Estimated ATUS annual respondent burden after the October 2011 incentive expansion</w:t>
      </w:r>
    </w:p>
    <w:tbl>
      <w:tblPr>
        <w:tblW w:w="9685" w:type="dxa"/>
        <w:tblInd w:w="103" w:type="dxa"/>
        <w:tblLayout w:type="fixed"/>
        <w:tblLook w:val="00A0"/>
      </w:tblPr>
      <w:tblGrid>
        <w:gridCol w:w="4145"/>
        <w:gridCol w:w="1080"/>
        <w:gridCol w:w="900"/>
        <w:gridCol w:w="1260"/>
        <w:gridCol w:w="1165"/>
        <w:gridCol w:w="1135"/>
      </w:tblGrid>
      <w:tr w:rsidR="00140F25" w:rsidRPr="00B95F3C">
        <w:trPr>
          <w:trHeight w:val="1367"/>
        </w:trPr>
        <w:tc>
          <w:tcPr>
            <w:tcW w:w="4145" w:type="dxa"/>
            <w:tcBorders>
              <w:top w:val="single" w:sz="4" w:space="0" w:color="auto"/>
              <w:left w:val="single" w:sz="4" w:space="0" w:color="auto"/>
              <w:bottom w:val="single" w:sz="8" w:space="0" w:color="auto"/>
              <w:right w:val="single" w:sz="4" w:space="0" w:color="auto"/>
            </w:tcBorders>
            <w:shd w:val="clear" w:color="000000" w:fill="F2F2F2"/>
            <w:noWrap/>
            <w:vAlign w:val="bottom"/>
          </w:tcPr>
          <w:p w:rsidR="00140F25" w:rsidRPr="009C6D90" w:rsidRDefault="00140F25" w:rsidP="009C6D90">
            <w:pPr>
              <w:spacing w:after="0" w:line="240" w:lineRule="auto"/>
              <w:jc w:val="center"/>
              <w:rPr>
                <w:rFonts w:cs="Calibri"/>
                <w:b/>
                <w:bCs/>
                <w:color w:val="000000"/>
              </w:rPr>
            </w:pPr>
            <w:r w:rsidRPr="009C6D90">
              <w:rPr>
                <w:rFonts w:cs="Calibri"/>
                <w:b/>
                <w:bCs/>
                <w:color w:val="000000"/>
              </w:rPr>
              <w:t> </w:t>
            </w:r>
          </w:p>
        </w:tc>
        <w:tc>
          <w:tcPr>
            <w:tcW w:w="1080" w:type="dxa"/>
            <w:tcBorders>
              <w:top w:val="single" w:sz="4" w:space="0" w:color="auto"/>
              <w:left w:val="nil"/>
              <w:bottom w:val="single" w:sz="8" w:space="0" w:color="auto"/>
              <w:right w:val="single" w:sz="4" w:space="0" w:color="auto"/>
            </w:tcBorders>
            <w:shd w:val="clear" w:color="000000" w:fill="F2F2F2"/>
            <w:vAlign w:val="bottom"/>
          </w:tcPr>
          <w:p w:rsidR="00140F25" w:rsidRPr="009C6D90" w:rsidRDefault="00140F25" w:rsidP="009C6D90">
            <w:pPr>
              <w:spacing w:after="0" w:line="240" w:lineRule="auto"/>
              <w:jc w:val="center"/>
              <w:rPr>
                <w:rFonts w:cs="Calibri"/>
                <w:b/>
                <w:bCs/>
                <w:color w:val="000000"/>
              </w:rPr>
            </w:pPr>
            <w:r w:rsidRPr="009C6D90">
              <w:rPr>
                <w:rFonts w:cs="Calibri"/>
                <w:b/>
                <w:bCs/>
                <w:color w:val="000000"/>
              </w:rPr>
              <w:t>Total respond-</w:t>
            </w:r>
            <w:r w:rsidRPr="009C6D90">
              <w:rPr>
                <w:rFonts w:cs="Calibri"/>
                <w:b/>
                <w:bCs/>
                <w:color w:val="000000"/>
              </w:rPr>
              <w:br/>
            </w:r>
            <w:proofErr w:type="spellStart"/>
            <w:r w:rsidRPr="009C6D90">
              <w:rPr>
                <w:rFonts w:cs="Calibri"/>
                <w:b/>
                <w:bCs/>
                <w:color w:val="000000"/>
              </w:rPr>
              <w:t>ents</w:t>
            </w:r>
            <w:proofErr w:type="spellEnd"/>
          </w:p>
        </w:tc>
        <w:tc>
          <w:tcPr>
            <w:tcW w:w="900" w:type="dxa"/>
            <w:tcBorders>
              <w:top w:val="single" w:sz="4" w:space="0" w:color="auto"/>
              <w:left w:val="nil"/>
              <w:bottom w:val="single" w:sz="8" w:space="0" w:color="auto"/>
              <w:right w:val="single" w:sz="4" w:space="0" w:color="auto"/>
            </w:tcBorders>
            <w:shd w:val="clear" w:color="000000" w:fill="F2F2F2"/>
            <w:vAlign w:val="bottom"/>
          </w:tcPr>
          <w:p w:rsidR="00140F25" w:rsidRPr="009C6D90" w:rsidRDefault="00140F25" w:rsidP="009C6D90">
            <w:pPr>
              <w:spacing w:after="0" w:line="240" w:lineRule="auto"/>
              <w:jc w:val="center"/>
              <w:rPr>
                <w:rFonts w:cs="Calibri"/>
                <w:b/>
                <w:bCs/>
                <w:color w:val="000000"/>
              </w:rPr>
            </w:pPr>
            <w:proofErr w:type="spellStart"/>
            <w:r w:rsidRPr="009C6D90">
              <w:rPr>
                <w:rFonts w:cs="Calibri"/>
                <w:b/>
                <w:bCs/>
                <w:color w:val="000000"/>
              </w:rPr>
              <w:t>Fre</w:t>
            </w:r>
            <w:proofErr w:type="spellEnd"/>
            <w:r w:rsidRPr="009C6D90">
              <w:rPr>
                <w:rFonts w:cs="Calibri"/>
                <w:b/>
                <w:bCs/>
                <w:color w:val="000000"/>
              </w:rPr>
              <w:t>-</w:t>
            </w:r>
            <w:r w:rsidRPr="009C6D90">
              <w:rPr>
                <w:rFonts w:cs="Calibri"/>
                <w:b/>
                <w:bCs/>
                <w:color w:val="000000"/>
              </w:rPr>
              <w:br/>
            </w:r>
            <w:proofErr w:type="spellStart"/>
            <w:r w:rsidRPr="009C6D90">
              <w:rPr>
                <w:rFonts w:cs="Calibri"/>
                <w:b/>
                <w:bCs/>
                <w:color w:val="000000"/>
              </w:rPr>
              <w:t>quency</w:t>
            </w:r>
            <w:proofErr w:type="spellEnd"/>
          </w:p>
        </w:tc>
        <w:tc>
          <w:tcPr>
            <w:tcW w:w="1260" w:type="dxa"/>
            <w:tcBorders>
              <w:top w:val="single" w:sz="4" w:space="0" w:color="auto"/>
              <w:left w:val="nil"/>
              <w:bottom w:val="single" w:sz="8" w:space="0" w:color="auto"/>
              <w:right w:val="single" w:sz="4" w:space="0" w:color="auto"/>
            </w:tcBorders>
            <w:shd w:val="clear" w:color="000000" w:fill="F2F2F2"/>
            <w:vAlign w:val="bottom"/>
          </w:tcPr>
          <w:p w:rsidR="00140F25" w:rsidRPr="009C6D90" w:rsidRDefault="00140F25" w:rsidP="009C6D90">
            <w:pPr>
              <w:spacing w:after="0" w:line="240" w:lineRule="auto"/>
              <w:jc w:val="center"/>
              <w:rPr>
                <w:rFonts w:cs="Calibri"/>
                <w:b/>
                <w:bCs/>
                <w:color w:val="000000"/>
              </w:rPr>
            </w:pPr>
            <w:r w:rsidRPr="009C6D90">
              <w:rPr>
                <w:rFonts w:cs="Calibri"/>
                <w:b/>
                <w:bCs/>
                <w:color w:val="000000"/>
              </w:rPr>
              <w:t>Average time per response</w:t>
            </w:r>
            <w:r w:rsidRPr="009C6D90">
              <w:rPr>
                <w:rFonts w:cs="Calibri"/>
                <w:color w:val="000000"/>
                <w:vertAlign w:val="superscript"/>
              </w:rPr>
              <w:t xml:space="preserve"> 1</w:t>
            </w:r>
          </w:p>
        </w:tc>
        <w:tc>
          <w:tcPr>
            <w:tcW w:w="1165" w:type="dxa"/>
            <w:tcBorders>
              <w:top w:val="single" w:sz="4" w:space="0" w:color="auto"/>
              <w:left w:val="nil"/>
              <w:bottom w:val="single" w:sz="8" w:space="0" w:color="auto"/>
              <w:right w:val="single" w:sz="4" w:space="0" w:color="auto"/>
            </w:tcBorders>
            <w:shd w:val="clear" w:color="000000" w:fill="F2F2F2"/>
            <w:vAlign w:val="bottom"/>
          </w:tcPr>
          <w:p w:rsidR="00140F25" w:rsidRPr="009C6D90" w:rsidRDefault="00140F25" w:rsidP="009C6D90">
            <w:pPr>
              <w:spacing w:after="0" w:line="240" w:lineRule="auto"/>
              <w:jc w:val="center"/>
              <w:rPr>
                <w:rFonts w:cs="Calibri"/>
                <w:b/>
                <w:bCs/>
                <w:color w:val="000000"/>
              </w:rPr>
            </w:pPr>
            <w:r w:rsidRPr="009C6D90">
              <w:rPr>
                <w:rFonts w:cs="Calibri"/>
                <w:b/>
                <w:bCs/>
                <w:color w:val="000000"/>
              </w:rPr>
              <w:t>Estimated total burden, hours</w:t>
            </w:r>
          </w:p>
        </w:tc>
        <w:tc>
          <w:tcPr>
            <w:tcW w:w="1135" w:type="dxa"/>
            <w:tcBorders>
              <w:top w:val="single" w:sz="4" w:space="0" w:color="auto"/>
              <w:left w:val="nil"/>
              <w:bottom w:val="single" w:sz="8" w:space="0" w:color="auto"/>
              <w:right w:val="single" w:sz="4" w:space="0" w:color="auto"/>
            </w:tcBorders>
            <w:shd w:val="clear" w:color="000000" w:fill="F2F2F2"/>
            <w:vAlign w:val="bottom"/>
          </w:tcPr>
          <w:p w:rsidR="00140F25" w:rsidRPr="009C6D90" w:rsidRDefault="00140F25" w:rsidP="009C6D90">
            <w:pPr>
              <w:spacing w:after="0" w:line="240" w:lineRule="auto"/>
              <w:jc w:val="center"/>
              <w:rPr>
                <w:rFonts w:cs="Calibri"/>
                <w:b/>
                <w:bCs/>
                <w:color w:val="000000"/>
              </w:rPr>
            </w:pPr>
            <w:r w:rsidRPr="009C6D90">
              <w:rPr>
                <w:rFonts w:cs="Calibri"/>
                <w:b/>
                <w:bCs/>
                <w:color w:val="000000"/>
              </w:rPr>
              <w:t>Estimated total burden, dollars</w:t>
            </w:r>
          </w:p>
        </w:tc>
      </w:tr>
      <w:tr w:rsidR="00140F25" w:rsidRPr="00B95F3C">
        <w:trPr>
          <w:trHeight w:val="956"/>
        </w:trPr>
        <w:tc>
          <w:tcPr>
            <w:tcW w:w="4145" w:type="dxa"/>
            <w:tcBorders>
              <w:top w:val="nil"/>
              <w:left w:val="single" w:sz="4" w:space="0" w:color="auto"/>
              <w:bottom w:val="single" w:sz="4" w:space="0" w:color="auto"/>
              <w:right w:val="single" w:sz="4" w:space="0" w:color="auto"/>
            </w:tcBorders>
            <w:vAlign w:val="bottom"/>
          </w:tcPr>
          <w:p w:rsidR="00140F25" w:rsidRPr="009C6D90" w:rsidRDefault="00140F25" w:rsidP="009C6D90">
            <w:pPr>
              <w:spacing w:after="0" w:line="240" w:lineRule="auto"/>
              <w:rPr>
                <w:rFonts w:cs="Calibri"/>
                <w:color w:val="000000"/>
              </w:rPr>
            </w:pPr>
            <w:r w:rsidRPr="009C6D90">
              <w:rPr>
                <w:rFonts w:cs="Calibri"/>
                <w:color w:val="000000"/>
              </w:rPr>
              <w:t>Full ATUS production</w:t>
            </w:r>
          </w:p>
        </w:tc>
        <w:tc>
          <w:tcPr>
            <w:tcW w:w="1080" w:type="dxa"/>
            <w:tcBorders>
              <w:top w:val="nil"/>
              <w:left w:val="nil"/>
              <w:bottom w:val="single" w:sz="4" w:space="0" w:color="auto"/>
              <w:right w:val="single" w:sz="4" w:space="0" w:color="auto"/>
            </w:tcBorders>
            <w:noWrap/>
            <w:vAlign w:val="bottom"/>
          </w:tcPr>
          <w:p w:rsidR="00140F25" w:rsidRPr="009C6D90" w:rsidRDefault="00140F25" w:rsidP="009C6D90">
            <w:pPr>
              <w:spacing w:after="0" w:line="240" w:lineRule="auto"/>
              <w:jc w:val="center"/>
              <w:rPr>
                <w:rFonts w:cs="Calibri"/>
                <w:color w:val="000000"/>
              </w:rPr>
            </w:pPr>
            <w:r w:rsidRPr="009C6D90">
              <w:rPr>
                <w:rFonts w:cs="Calibri"/>
                <w:color w:val="000000"/>
              </w:rPr>
              <w:t>13,000</w:t>
            </w:r>
          </w:p>
        </w:tc>
        <w:tc>
          <w:tcPr>
            <w:tcW w:w="900" w:type="dxa"/>
            <w:tcBorders>
              <w:top w:val="nil"/>
              <w:left w:val="nil"/>
              <w:bottom w:val="single" w:sz="4" w:space="0" w:color="auto"/>
              <w:right w:val="single" w:sz="4" w:space="0" w:color="auto"/>
            </w:tcBorders>
            <w:vAlign w:val="bottom"/>
          </w:tcPr>
          <w:p w:rsidR="00140F25" w:rsidRPr="009C6D90" w:rsidRDefault="00140F25" w:rsidP="009C6D90">
            <w:pPr>
              <w:spacing w:after="0" w:line="240" w:lineRule="auto"/>
              <w:jc w:val="center"/>
              <w:rPr>
                <w:rFonts w:cs="Calibri"/>
                <w:color w:val="000000"/>
              </w:rPr>
            </w:pPr>
            <w:r w:rsidRPr="009C6D90">
              <w:rPr>
                <w:rFonts w:cs="Calibri"/>
                <w:color w:val="000000"/>
              </w:rPr>
              <w:t>one time</w:t>
            </w:r>
          </w:p>
        </w:tc>
        <w:tc>
          <w:tcPr>
            <w:tcW w:w="1260" w:type="dxa"/>
            <w:tcBorders>
              <w:top w:val="nil"/>
              <w:left w:val="nil"/>
              <w:bottom w:val="single" w:sz="4" w:space="0" w:color="auto"/>
              <w:right w:val="single" w:sz="4" w:space="0" w:color="auto"/>
            </w:tcBorders>
            <w:vAlign w:val="bottom"/>
          </w:tcPr>
          <w:p w:rsidR="00140F25" w:rsidRPr="009C6D90" w:rsidRDefault="00140F25" w:rsidP="009C6D90">
            <w:pPr>
              <w:spacing w:after="0" w:line="240" w:lineRule="auto"/>
              <w:jc w:val="center"/>
              <w:rPr>
                <w:rFonts w:cs="Calibri"/>
                <w:color w:val="000000"/>
              </w:rPr>
            </w:pPr>
            <w:r w:rsidRPr="009C6D90">
              <w:rPr>
                <w:rFonts w:cs="Calibri"/>
                <w:color w:val="000000"/>
              </w:rPr>
              <w:t>21 minutes</w:t>
            </w:r>
          </w:p>
        </w:tc>
        <w:tc>
          <w:tcPr>
            <w:tcW w:w="1165" w:type="dxa"/>
            <w:tcBorders>
              <w:top w:val="nil"/>
              <w:left w:val="nil"/>
              <w:bottom w:val="single" w:sz="4" w:space="0" w:color="auto"/>
              <w:right w:val="single" w:sz="4" w:space="0" w:color="auto"/>
            </w:tcBorders>
            <w:noWrap/>
            <w:vAlign w:val="bottom"/>
          </w:tcPr>
          <w:p w:rsidR="00140F25" w:rsidRPr="009C6D90" w:rsidRDefault="00140F25" w:rsidP="009C6D90">
            <w:pPr>
              <w:spacing w:after="0" w:line="240" w:lineRule="auto"/>
              <w:jc w:val="center"/>
              <w:rPr>
                <w:rFonts w:cs="Calibri"/>
                <w:color w:val="000000"/>
              </w:rPr>
            </w:pPr>
            <w:r w:rsidRPr="009C6D90">
              <w:rPr>
                <w:rFonts w:cs="Calibri"/>
                <w:color w:val="000000"/>
              </w:rPr>
              <w:t>4,550</w:t>
            </w:r>
          </w:p>
        </w:tc>
        <w:tc>
          <w:tcPr>
            <w:tcW w:w="1135" w:type="dxa"/>
            <w:tcBorders>
              <w:top w:val="nil"/>
              <w:left w:val="nil"/>
              <w:bottom w:val="single" w:sz="4" w:space="0" w:color="auto"/>
              <w:right w:val="single" w:sz="4" w:space="0" w:color="auto"/>
            </w:tcBorders>
            <w:noWrap/>
            <w:vAlign w:val="bottom"/>
          </w:tcPr>
          <w:p w:rsidR="00140F25" w:rsidRPr="009C6D90" w:rsidRDefault="00140F25" w:rsidP="009C6D90">
            <w:pPr>
              <w:spacing w:after="0" w:line="240" w:lineRule="auto"/>
              <w:jc w:val="center"/>
              <w:rPr>
                <w:rFonts w:cs="Calibri"/>
                <w:color w:val="000000"/>
              </w:rPr>
            </w:pPr>
            <w:r w:rsidRPr="009C6D90">
              <w:rPr>
                <w:rFonts w:cs="Calibri"/>
                <w:color w:val="000000"/>
              </w:rPr>
              <w:t>$58,200</w:t>
            </w:r>
          </w:p>
        </w:tc>
      </w:tr>
      <w:tr w:rsidR="00140F25" w:rsidRPr="00B95F3C">
        <w:trPr>
          <w:trHeight w:val="956"/>
        </w:trPr>
        <w:tc>
          <w:tcPr>
            <w:tcW w:w="4145" w:type="dxa"/>
            <w:tcBorders>
              <w:top w:val="nil"/>
              <w:left w:val="single" w:sz="4" w:space="0" w:color="auto"/>
              <w:bottom w:val="single" w:sz="4" w:space="0" w:color="auto"/>
              <w:right w:val="single" w:sz="4" w:space="0" w:color="auto"/>
            </w:tcBorders>
            <w:vAlign w:val="bottom"/>
          </w:tcPr>
          <w:p w:rsidR="00140F25" w:rsidRPr="009C6D90" w:rsidRDefault="00140F25" w:rsidP="009C6D90">
            <w:pPr>
              <w:spacing w:after="0" w:line="240" w:lineRule="auto"/>
              <w:rPr>
                <w:rFonts w:cs="Calibri"/>
                <w:color w:val="000000"/>
              </w:rPr>
            </w:pPr>
            <w:r w:rsidRPr="009C6D90">
              <w:rPr>
                <w:rFonts w:cs="Calibri"/>
                <w:color w:val="000000"/>
              </w:rPr>
              <w:t>Projected results for first year of expansion</w:t>
            </w:r>
          </w:p>
        </w:tc>
        <w:tc>
          <w:tcPr>
            <w:tcW w:w="1080" w:type="dxa"/>
            <w:tcBorders>
              <w:top w:val="nil"/>
              <w:left w:val="nil"/>
              <w:bottom w:val="single" w:sz="4" w:space="0" w:color="auto"/>
              <w:right w:val="single" w:sz="4" w:space="0" w:color="auto"/>
            </w:tcBorders>
            <w:noWrap/>
            <w:vAlign w:val="bottom"/>
          </w:tcPr>
          <w:p w:rsidR="00140F25" w:rsidRPr="009C6D90" w:rsidRDefault="00140F25" w:rsidP="009C6D90">
            <w:pPr>
              <w:spacing w:after="0" w:line="240" w:lineRule="auto"/>
              <w:jc w:val="center"/>
              <w:rPr>
                <w:rFonts w:cs="Calibri"/>
                <w:color w:val="000000"/>
              </w:rPr>
            </w:pPr>
            <w:r w:rsidRPr="009C6D90">
              <w:rPr>
                <w:rFonts w:cs="Calibri"/>
                <w:color w:val="000000"/>
              </w:rPr>
              <w:t>163</w:t>
            </w:r>
          </w:p>
        </w:tc>
        <w:tc>
          <w:tcPr>
            <w:tcW w:w="900" w:type="dxa"/>
            <w:tcBorders>
              <w:top w:val="nil"/>
              <w:left w:val="nil"/>
              <w:bottom w:val="single" w:sz="4" w:space="0" w:color="auto"/>
              <w:right w:val="single" w:sz="4" w:space="0" w:color="auto"/>
            </w:tcBorders>
            <w:vAlign w:val="bottom"/>
          </w:tcPr>
          <w:p w:rsidR="00140F25" w:rsidRPr="009C6D90" w:rsidRDefault="00140F25" w:rsidP="009C6D90">
            <w:pPr>
              <w:spacing w:after="0" w:line="240" w:lineRule="auto"/>
              <w:jc w:val="center"/>
              <w:rPr>
                <w:rFonts w:cs="Calibri"/>
                <w:color w:val="000000"/>
              </w:rPr>
            </w:pPr>
            <w:r w:rsidRPr="009C6D90">
              <w:rPr>
                <w:rFonts w:cs="Calibri"/>
                <w:color w:val="000000"/>
              </w:rPr>
              <w:t>one time</w:t>
            </w:r>
          </w:p>
        </w:tc>
        <w:tc>
          <w:tcPr>
            <w:tcW w:w="1260" w:type="dxa"/>
            <w:tcBorders>
              <w:top w:val="nil"/>
              <w:left w:val="nil"/>
              <w:bottom w:val="single" w:sz="4" w:space="0" w:color="auto"/>
              <w:right w:val="single" w:sz="4" w:space="0" w:color="auto"/>
            </w:tcBorders>
            <w:vAlign w:val="bottom"/>
          </w:tcPr>
          <w:p w:rsidR="00140F25" w:rsidRPr="009C6D90" w:rsidRDefault="00140F25" w:rsidP="009C6D90">
            <w:pPr>
              <w:spacing w:after="0" w:line="240" w:lineRule="auto"/>
              <w:jc w:val="center"/>
              <w:rPr>
                <w:rFonts w:cs="Calibri"/>
                <w:color w:val="000000"/>
              </w:rPr>
            </w:pPr>
            <w:r w:rsidRPr="009C6D90">
              <w:rPr>
                <w:rFonts w:cs="Calibri"/>
                <w:color w:val="000000"/>
              </w:rPr>
              <w:t>21 minutes</w:t>
            </w:r>
          </w:p>
        </w:tc>
        <w:tc>
          <w:tcPr>
            <w:tcW w:w="1165" w:type="dxa"/>
            <w:tcBorders>
              <w:top w:val="nil"/>
              <w:left w:val="nil"/>
              <w:bottom w:val="single" w:sz="4" w:space="0" w:color="auto"/>
              <w:right w:val="single" w:sz="4" w:space="0" w:color="auto"/>
            </w:tcBorders>
            <w:noWrap/>
            <w:vAlign w:val="bottom"/>
          </w:tcPr>
          <w:p w:rsidR="00140F25" w:rsidRPr="009C6D90" w:rsidRDefault="00140F25" w:rsidP="009C6D90">
            <w:pPr>
              <w:spacing w:after="0" w:line="240" w:lineRule="auto"/>
              <w:jc w:val="center"/>
              <w:rPr>
                <w:rFonts w:cs="Calibri"/>
                <w:color w:val="000000"/>
              </w:rPr>
            </w:pPr>
            <w:r w:rsidRPr="009C6D90">
              <w:rPr>
                <w:rFonts w:cs="Calibri"/>
                <w:color w:val="000000"/>
              </w:rPr>
              <w:t>57</w:t>
            </w:r>
          </w:p>
        </w:tc>
        <w:tc>
          <w:tcPr>
            <w:tcW w:w="1135" w:type="dxa"/>
            <w:tcBorders>
              <w:top w:val="nil"/>
              <w:left w:val="nil"/>
              <w:bottom w:val="single" w:sz="4" w:space="0" w:color="auto"/>
              <w:right w:val="single" w:sz="4" w:space="0" w:color="auto"/>
            </w:tcBorders>
            <w:noWrap/>
            <w:vAlign w:val="bottom"/>
          </w:tcPr>
          <w:p w:rsidR="00140F25" w:rsidRPr="009C6D90" w:rsidRDefault="00140F25" w:rsidP="009C6D90">
            <w:pPr>
              <w:spacing w:after="0" w:line="240" w:lineRule="auto"/>
              <w:jc w:val="center"/>
              <w:rPr>
                <w:rFonts w:cs="Calibri"/>
                <w:color w:val="000000"/>
              </w:rPr>
            </w:pPr>
            <w:r w:rsidRPr="009C6D90">
              <w:rPr>
                <w:rFonts w:cs="Calibri"/>
                <w:color w:val="000000"/>
              </w:rPr>
              <w:t>$700</w:t>
            </w:r>
          </w:p>
        </w:tc>
      </w:tr>
      <w:tr w:rsidR="00140F25" w:rsidRPr="00B95F3C">
        <w:trPr>
          <w:trHeight w:val="956"/>
        </w:trPr>
        <w:tc>
          <w:tcPr>
            <w:tcW w:w="4145" w:type="dxa"/>
            <w:tcBorders>
              <w:top w:val="nil"/>
              <w:left w:val="single" w:sz="4" w:space="0" w:color="auto"/>
              <w:bottom w:val="single" w:sz="4" w:space="0" w:color="auto"/>
              <w:right w:val="single" w:sz="4" w:space="0" w:color="auto"/>
            </w:tcBorders>
            <w:vAlign w:val="bottom"/>
          </w:tcPr>
          <w:p w:rsidR="00140F25" w:rsidRPr="009C6D90" w:rsidRDefault="00140F25" w:rsidP="009C6D90">
            <w:pPr>
              <w:spacing w:after="0" w:line="240" w:lineRule="auto"/>
              <w:rPr>
                <w:rFonts w:cs="Calibri"/>
                <w:color w:val="000000"/>
              </w:rPr>
            </w:pPr>
            <w:r w:rsidRPr="009C6D90">
              <w:rPr>
                <w:rFonts w:cs="Calibri"/>
                <w:color w:val="000000"/>
              </w:rPr>
              <w:t xml:space="preserve">Projected annual results after expansion is fully implemented </w:t>
            </w:r>
            <w:r w:rsidRPr="009C6D90">
              <w:rPr>
                <w:rFonts w:cs="Calibri"/>
                <w:color w:val="000000"/>
                <w:vertAlign w:val="superscript"/>
              </w:rPr>
              <w:t>2</w:t>
            </w:r>
          </w:p>
        </w:tc>
        <w:tc>
          <w:tcPr>
            <w:tcW w:w="1080" w:type="dxa"/>
            <w:tcBorders>
              <w:top w:val="nil"/>
              <w:left w:val="nil"/>
              <w:bottom w:val="single" w:sz="4" w:space="0" w:color="auto"/>
              <w:right w:val="single" w:sz="4" w:space="0" w:color="auto"/>
            </w:tcBorders>
            <w:noWrap/>
            <w:vAlign w:val="bottom"/>
          </w:tcPr>
          <w:p w:rsidR="00140F25" w:rsidRPr="009C6D90" w:rsidRDefault="00140F25" w:rsidP="009C6D90">
            <w:pPr>
              <w:spacing w:after="0" w:line="240" w:lineRule="auto"/>
              <w:jc w:val="center"/>
              <w:rPr>
                <w:rFonts w:cs="Calibri"/>
                <w:color w:val="000000"/>
              </w:rPr>
            </w:pPr>
            <w:r w:rsidRPr="009C6D90">
              <w:rPr>
                <w:rFonts w:cs="Calibri"/>
                <w:color w:val="000000"/>
              </w:rPr>
              <w:t>183</w:t>
            </w:r>
          </w:p>
        </w:tc>
        <w:tc>
          <w:tcPr>
            <w:tcW w:w="900" w:type="dxa"/>
            <w:tcBorders>
              <w:top w:val="nil"/>
              <w:left w:val="nil"/>
              <w:bottom w:val="single" w:sz="4" w:space="0" w:color="auto"/>
              <w:right w:val="single" w:sz="4" w:space="0" w:color="auto"/>
            </w:tcBorders>
            <w:vAlign w:val="bottom"/>
          </w:tcPr>
          <w:p w:rsidR="00140F25" w:rsidRPr="009C6D90" w:rsidRDefault="00140F25" w:rsidP="009C6D90">
            <w:pPr>
              <w:spacing w:after="0" w:line="240" w:lineRule="auto"/>
              <w:jc w:val="center"/>
              <w:rPr>
                <w:rFonts w:cs="Calibri"/>
                <w:color w:val="000000"/>
              </w:rPr>
            </w:pPr>
            <w:r w:rsidRPr="009C6D90">
              <w:rPr>
                <w:rFonts w:cs="Calibri"/>
                <w:color w:val="000000"/>
              </w:rPr>
              <w:t>one time</w:t>
            </w:r>
          </w:p>
        </w:tc>
        <w:tc>
          <w:tcPr>
            <w:tcW w:w="1260" w:type="dxa"/>
            <w:tcBorders>
              <w:top w:val="nil"/>
              <w:left w:val="nil"/>
              <w:bottom w:val="single" w:sz="4" w:space="0" w:color="auto"/>
              <w:right w:val="single" w:sz="4" w:space="0" w:color="auto"/>
            </w:tcBorders>
            <w:vAlign w:val="bottom"/>
          </w:tcPr>
          <w:p w:rsidR="00140F25" w:rsidRPr="009C6D90" w:rsidRDefault="00140F25" w:rsidP="009C6D90">
            <w:pPr>
              <w:spacing w:after="0" w:line="240" w:lineRule="auto"/>
              <w:jc w:val="center"/>
              <w:rPr>
                <w:rFonts w:cs="Calibri"/>
                <w:color w:val="000000"/>
              </w:rPr>
            </w:pPr>
            <w:r w:rsidRPr="009C6D90">
              <w:rPr>
                <w:rFonts w:cs="Calibri"/>
                <w:color w:val="000000"/>
              </w:rPr>
              <w:t>21 minutes</w:t>
            </w:r>
          </w:p>
        </w:tc>
        <w:tc>
          <w:tcPr>
            <w:tcW w:w="1165" w:type="dxa"/>
            <w:tcBorders>
              <w:top w:val="nil"/>
              <w:left w:val="nil"/>
              <w:bottom w:val="single" w:sz="4" w:space="0" w:color="auto"/>
              <w:right w:val="single" w:sz="4" w:space="0" w:color="auto"/>
            </w:tcBorders>
            <w:noWrap/>
            <w:vAlign w:val="bottom"/>
          </w:tcPr>
          <w:p w:rsidR="00140F25" w:rsidRPr="009C6D90" w:rsidRDefault="00140F25" w:rsidP="009C6D90">
            <w:pPr>
              <w:spacing w:after="0" w:line="240" w:lineRule="auto"/>
              <w:jc w:val="center"/>
              <w:rPr>
                <w:rFonts w:cs="Calibri"/>
                <w:color w:val="000000"/>
              </w:rPr>
            </w:pPr>
            <w:r w:rsidRPr="009C6D90">
              <w:rPr>
                <w:rFonts w:cs="Calibri"/>
                <w:color w:val="000000"/>
              </w:rPr>
              <w:t>64</w:t>
            </w:r>
          </w:p>
        </w:tc>
        <w:tc>
          <w:tcPr>
            <w:tcW w:w="1135" w:type="dxa"/>
            <w:tcBorders>
              <w:top w:val="nil"/>
              <w:left w:val="nil"/>
              <w:bottom w:val="single" w:sz="4" w:space="0" w:color="auto"/>
              <w:right w:val="single" w:sz="4" w:space="0" w:color="auto"/>
            </w:tcBorders>
            <w:noWrap/>
            <w:vAlign w:val="bottom"/>
          </w:tcPr>
          <w:p w:rsidR="00140F25" w:rsidRPr="009C6D90" w:rsidRDefault="00140F25" w:rsidP="009C6D90">
            <w:pPr>
              <w:spacing w:after="0" w:line="240" w:lineRule="auto"/>
              <w:jc w:val="center"/>
              <w:rPr>
                <w:rFonts w:cs="Calibri"/>
                <w:color w:val="000000"/>
              </w:rPr>
            </w:pPr>
            <w:r w:rsidRPr="009C6D90">
              <w:rPr>
                <w:rFonts w:cs="Calibri"/>
                <w:color w:val="000000"/>
              </w:rPr>
              <w:t>$800</w:t>
            </w:r>
          </w:p>
        </w:tc>
      </w:tr>
    </w:tbl>
    <w:p w:rsidR="00140F25" w:rsidRPr="00A93C99" w:rsidRDefault="00140F25" w:rsidP="000B5A8B">
      <w:pPr>
        <w:spacing w:after="0" w:line="240" w:lineRule="auto"/>
        <w:rPr>
          <w:sz w:val="20"/>
        </w:rPr>
      </w:pPr>
      <w:r w:rsidRPr="00A93C99">
        <w:rPr>
          <w:sz w:val="20"/>
          <w:vertAlign w:val="superscript"/>
        </w:rPr>
        <w:t xml:space="preserve">1 </w:t>
      </w:r>
      <w:r w:rsidRPr="00A93C99">
        <w:rPr>
          <w:sz w:val="20"/>
        </w:rPr>
        <w:t>Includes 16 minutes for the ATUS and 5 minutes for a module to the ATUS.</w:t>
      </w:r>
    </w:p>
    <w:p w:rsidR="00140F25" w:rsidRPr="00A93C99" w:rsidRDefault="00140F25" w:rsidP="000B5A8B">
      <w:pPr>
        <w:spacing w:after="0" w:line="240" w:lineRule="auto"/>
        <w:rPr>
          <w:sz w:val="20"/>
        </w:rPr>
      </w:pPr>
      <w:r w:rsidRPr="00A93C99">
        <w:rPr>
          <w:sz w:val="20"/>
          <w:vertAlign w:val="superscript"/>
        </w:rPr>
        <w:t xml:space="preserve">2 </w:t>
      </w:r>
      <w:r w:rsidRPr="00A93C99">
        <w:rPr>
          <w:sz w:val="20"/>
        </w:rPr>
        <w:t>As initially implemented, the expansion was narrower in scope than intended. Only 89 percent of the cases OMB had approved for the incentive expansion were converted to incentive cases.</w:t>
      </w:r>
    </w:p>
    <w:sectPr w:rsidR="00140F25" w:rsidRPr="00A93C99" w:rsidSect="005F603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951" w:rsidRDefault="00591951" w:rsidP="00356769">
      <w:pPr>
        <w:spacing w:after="0" w:line="240" w:lineRule="auto"/>
      </w:pPr>
      <w:r>
        <w:separator/>
      </w:r>
    </w:p>
  </w:endnote>
  <w:endnote w:type="continuationSeparator" w:id="0">
    <w:p w:rsidR="00591951" w:rsidRDefault="00591951" w:rsidP="00356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51" w:rsidRDefault="00576590">
    <w:pPr>
      <w:pStyle w:val="Footer"/>
      <w:jc w:val="right"/>
    </w:pPr>
    <w:fldSimple w:instr=" PAGE   \* MERGEFORMAT ">
      <w:r w:rsidR="003E34A7">
        <w:rPr>
          <w:noProof/>
        </w:rPr>
        <w:t>1</w:t>
      </w:r>
    </w:fldSimple>
  </w:p>
  <w:p w:rsidR="00591951" w:rsidRDefault="005919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951" w:rsidRDefault="00591951" w:rsidP="00356769">
      <w:pPr>
        <w:spacing w:after="0" w:line="240" w:lineRule="auto"/>
      </w:pPr>
      <w:r>
        <w:separator/>
      </w:r>
    </w:p>
  </w:footnote>
  <w:footnote w:type="continuationSeparator" w:id="0">
    <w:p w:rsidR="00591951" w:rsidRDefault="00591951" w:rsidP="00356769">
      <w:pPr>
        <w:spacing w:after="0" w:line="240" w:lineRule="auto"/>
      </w:pPr>
      <w:r>
        <w:continuationSeparator/>
      </w:r>
    </w:p>
  </w:footnote>
  <w:footnote w:id="1">
    <w:p w:rsidR="00591951" w:rsidRDefault="00591951">
      <w:pPr>
        <w:pStyle w:val="FootnoteText"/>
      </w:pPr>
      <w:r>
        <w:rPr>
          <w:rStyle w:val="FootnoteReference"/>
        </w:rPr>
        <w:footnoteRef/>
      </w:r>
      <w:r>
        <w:t xml:space="preserve"> When incentive materials were mailed, the interviewers ceased calling for 2 weeks so the letter and debit card had time to reach the DP; after this 2-week hold expired, they resumed their attempts to contact the DP via phone.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765C0"/>
    <w:multiLevelType w:val="hybridMultilevel"/>
    <w:tmpl w:val="153A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CB2BD6"/>
    <w:multiLevelType w:val="hybridMultilevel"/>
    <w:tmpl w:val="AEA2F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FB06227"/>
    <w:multiLevelType w:val="hybridMultilevel"/>
    <w:tmpl w:val="93BC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262"/>
    <w:rsid w:val="000012AD"/>
    <w:rsid w:val="0000781E"/>
    <w:rsid w:val="0001691A"/>
    <w:rsid w:val="00022A8A"/>
    <w:rsid w:val="000262CE"/>
    <w:rsid w:val="000341A9"/>
    <w:rsid w:val="00037255"/>
    <w:rsid w:val="00040797"/>
    <w:rsid w:val="000508ED"/>
    <w:rsid w:val="000514A1"/>
    <w:rsid w:val="0005684A"/>
    <w:rsid w:val="000740CF"/>
    <w:rsid w:val="00074D0A"/>
    <w:rsid w:val="00075511"/>
    <w:rsid w:val="00076B1C"/>
    <w:rsid w:val="000852DB"/>
    <w:rsid w:val="00092F83"/>
    <w:rsid w:val="00094022"/>
    <w:rsid w:val="0009698F"/>
    <w:rsid w:val="000A6482"/>
    <w:rsid w:val="000B5A8B"/>
    <w:rsid w:val="000B72CD"/>
    <w:rsid w:val="000E4CF3"/>
    <w:rsid w:val="000E75FB"/>
    <w:rsid w:val="000F0EDB"/>
    <w:rsid w:val="000F7533"/>
    <w:rsid w:val="00103455"/>
    <w:rsid w:val="0010724A"/>
    <w:rsid w:val="001373A9"/>
    <w:rsid w:val="00140F25"/>
    <w:rsid w:val="00155903"/>
    <w:rsid w:val="00157082"/>
    <w:rsid w:val="001754BC"/>
    <w:rsid w:val="001802BF"/>
    <w:rsid w:val="00181AC7"/>
    <w:rsid w:val="00192B52"/>
    <w:rsid w:val="001A36BC"/>
    <w:rsid w:val="001A7A53"/>
    <w:rsid w:val="001B07C6"/>
    <w:rsid w:val="001B5981"/>
    <w:rsid w:val="001C1335"/>
    <w:rsid w:val="001C51A1"/>
    <w:rsid w:val="001C672C"/>
    <w:rsid w:val="001C7778"/>
    <w:rsid w:val="001D0D55"/>
    <w:rsid w:val="001D2B72"/>
    <w:rsid w:val="001D3FD6"/>
    <w:rsid w:val="001D7EF7"/>
    <w:rsid w:val="001E5117"/>
    <w:rsid w:val="0020181A"/>
    <w:rsid w:val="002049D0"/>
    <w:rsid w:val="002064BC"/>
    <w:rsid w:val="0021599F"/>
    <w:rsid w:val="00221B98"/>
    <w:rsid w:val="00222C53"/>
    <w:rsid w:val="00245F5C"/>
    <w:rsid w:val="00257DBB"/>
    <w:rsid w:val="00262F96"/>
    <w:rsid w:val="00263AF7"/>
    <w:rsid w:val="002774A6"/>
    <w:rsid w:val="0028542D"/>
    <w:rsid w:val="00294D20"/>
    <w:rsid w:val="00297ABE"/>
    <w:rsid w:val="002A1901"/>
    <w:rsid w:val="002A483A"/>
    <w:rsid w:val="002B2FF8"/>
    <w:rsid w:val="002E41CC"/>
    <w:rsid w:val="002E6B81"/>
    <w:rsid w:val="002F55A0"/>
    <w:rsid w:val="002F77E4"/>
    <w:rsid w:val="0030246D"/>
    <w:rsid w:val="00302B28"/>
    <w:rsid w:val="00314789"/>
    <w:rsid w:val="00314914"/>
    <w:rsid w:val="00324E7D"/>
    <w:rsid w:val="00325CAD"/>
    <w:rsid w:val="003273A9"/>
    <w:rsid w:val="00330BC7"/>
    <w:rsid w:val="00346B4C"/>
    <w:rsid w:val="00355F65"/>
    <w:rsid w:val="00356769"/>
    <w:rsid w:val="00363D80"/>
    <w:rsid w:val="003673B9"/>
    <w:rsid w:val="00372456"/>
    <w:rsid w:val="00376AE0"/>
    <w:rsid w:val="003776CF"/>
    <w:rsid w:val="003952CF"/>
    <w:rsid w:val="003A71B5"/>
    <w:rsid w:val="003B18BB"/>
    <w:rsid w:val="003B2BEA"/>
    <w:rsid w:val="003B3C57"/>
    <w:rsid w:val="003C037E"/>
    <w:rsid w:val="003C6D31"/>
    <w:rsid w:val="003C71B2"/>
    <w:rsid w:val="003D6CC0"/>
    <w:rsid w:val="003D76F4"/>
    <w:rsid w:val="003E34A7"/>
    <w:rsid w:val="00402953"/>
    <w:rsid w:val="00404078"/>
    <w:rsid w:val="004053FC"/>
    <w:rsid w:val="00405902"/>
    <w:rsid w:val="0041215C"/>
    <w:rsid w:val="0041603E"/>
    <w:rsid w:val="00421121"/>
    <w:rsid w:val="00425872"/>
    <w:rsid w:val="00427291"/>
    <w:rsid w:val="004364E0"/>
    <w:rsid w:val="00440F56"/>
    <w:rsid w:val="004450EF"/>
    <w:rsid w:val="00446FD4"/>
    <w:rsid w:val="004506E8"/>
    <w:rsid w:val="00454B3E"/>
    <w:rsid w:val="00457244"/>
    <w:rsid w:val="0045736B"/>
    <w:rsid w:val="00467037"/>
    <w:rsid w:val="00471C53"/>
    <w:rsid w:val="0047393B"/>
    <w:rsid w:val="00476310"/>
    <w:rsid w:val="00480B34"/>
    <w:rsid w:val="004851A2"/>
    <w:rsid w:val="0048568F"/>
    <w:rsid w:val="00493D3E"/>
    <w:rsid w:val="00497A33"/>
    <w:rsid w:val="004A20CB"/>
    <w:rsid w:val="004B716D"/>
    <w:rsid w:val="004C7C3D"/>
    <w:rsid w:val="004D020C"/>
    <w:rsid w:val="004E304F"/>
    <w:rsid w:val="004E4E4D"/>
    <w:rsid w:val="004F04A2"/>
    <w:rsid w:val="004F05D7"/>
    <w:rsid w:val="0051202D"/>
    <w:rsid w:val="0051423A"/>
    <w:rsid w:val="00520878"/>
    <w:rsid w:val="005209FA"/>
    <w:rsid w:val="005210FE"/>
    <w:rsid w:val="00521902"/>
    <w:rsid w:val="00534559"/>
    <w:rsid w:val="005410EB"/>
    <w:rsid w:val="00552BAF"/>
    <w:rsid w:val="00557575"/>
    <w:rsid w:val="00557C37"/>
    <w:rsid w:val="005636D5"/>
    <w:rsid w:val="0056424A"/>
    <w:rsid w:val="00570264"/>
    <w:rsid w:val="00576590"/>
    <w:rsid w:val="005825F3"/>
    <w:rsid w:val="0058333A"/>
    <w:rsid w:val="00590327"/>
    <w:rsid w:val="00591951"/>
    <w:rsid w:val="00595D1C"/>
    <w:rsid w:val="005A27C0"/>
    <w:rsid w:val="005B1FCC"/>
    <w:rsid w:val="005B587E"/>
    <w:rsid w:val="005C2F8C"/>
    <w:rsid w:val="005D2B23"/>
    <w:rsid w:val="005D3B2F"/>
    <w:rsid w:val="005E19C9"/>
    <w:rsid w:val="005E3722"/>
    <w:rsid w:val="005E5C91"/>
    <w:rsid w:val="005E6FAC"/>
    <w:rsid w:val="005F6038"/>
    <w:rsid w:val="005F6AAA"/>
    <w:rsid w:val="00606861"/>
    <w:rsid w:val="00615CE4"/>
    <w:rsid w:val="006201FD"/>
    <w:rsid w:val="00620977"/>
    <w:rsid w:val="00624362"/>
    <w:rsid w:val="006325D6"/>
    <w:rsid w:val="006338EF"/>
    <w:rsid w:val="00640DC3"/>
    <w:rsid w:val="00643319"/>
    <w:rsid w:val="00654619"/>
    <w:rsid w:val="00662C0A"/>
    <w:rsid w:val="0066776D"/>
    <w:rsid w:val="00673EC9"/>
    <w:rsid w:val="0067487F"/>
    <w:rsid w:val="0068572D"/>
    <w:rsid w:val="006877A4"/>
    <w:rsid w:val="006A144A"/>
    <w:rsid w:val="006A2AE6"/>
    <w:rsid w:val="006A6369"/>
    <w:rsid w:val="006A771D"/>
    <w:rsid w:val="006B2F63"/>
    <w:rsid w:val="006C5581"/>
    <w:rsid w:val="006D3F86"/>
    <w:rsid w:val="006E7DE6"/>
    <w:rsid w:val="007035EE"/>
    <w:rsid w:val="007138A9"/>
    <w:rsid w:val="00722A46"/>
    <w:rsid w:val="0072432B"/>
    <w:rsid w:val="00727CA2"/>
    <w:rsid w:val="00727E94"/>
    <w:rsid w:val="0073342F"/>
    <w:rsid w:val="00736824"/>
    <w:rsid w:val="00746901"/>
    <w:rsid w:val="00770499"/>
    <w:rsid w:val="00785326"/>
    <w:rsid w:val="007A3B2C"/>
    <w:rsid w:val="007A71BF"/>
    <w:rsid w:val="007B1008"/>
    <w:rsid w:val="007B5E98"/>
    <w:rsid w:val="007B61AF"/>
    <w:rsid w:val="007D5727"/>
    <w:rsid w:val="007D671F"/>
    <w:rsid w:val="007E7FF2"/>
    <w:rsid w:val="007F1756"/>
    <w:rsid w:val="007F4D9C"/>
    <w:rsid w:val="00802C4B"/>
    <w:rsid w:val="008123AD"/>
    <w:rsid w:val="008215C8"/>
    <w:rsid w:val="00825D6E"/>
    <w:rsid w:val="0082648B"/>
    <w:rsid w:val="00827313"/>
    <w:rsid w:val="00834CC0"/>
    <w:rsid w:val="008418AB"/>
    <w:rsid w:val="008426B2"/>
    <w:rsid w:val="00865659"/>
    <w:rsid w:val="008878E6"/>
    <w:rsid w:val="00887A02"/>
    <w:rsid w:val="008A239E"/>
    <w:rsid w:val="008B117B"/>
    <w:rsid w:val="008B3DC6"/>
    <w:rsid w:val="008B7820"/>
    <w:rsid w:val="008C34C2"/>
    <w:rsid w:val="008D08FC"/>
    <w:rsid w:val="008D1554"/>
    <w:rsid w:val="008D6382"/>
    <w:rsid w:val="008E1573"/>
    <w:rsid w:val="008E2D36"/>
    <w:rsid w:val="0090373C"/>
    <w:rsid w:val="00913E19"/>
    <w:rsid w:val="00921260"/>
    <w:rsid w:val="00922335"/>
    <w:rsid w:val="00923EE4"/>
    <w:rsid w:val="00924271"/>
    <w:rsid w:val="00930D73"/>
    <w:rsid w:val="00933130"/>
    <w:rsid w:val="00940340"/>
    <w:rsid w:val="00947705"/>
    <w:rsid w:val="009609CD"/>
    <w:rsid w:val="00966A59"/>
    <w:rsid w:val="00967BF3"/>
    <w:rsid w:val="00973BA9"/>
    <w:rsid w:val="009766F7"/>
    <w:rsid w:val="009840C0"/>
    <w:rsid w:val="009871C1"/>
    <w:rsid w:val="00991518"/>
    <w:rsid w:val="0099601F"/>
    <w:rsid w:val="009978CD"/>
    <w:rsid w:val="009A3BD2"/>
    <w:rsid w:val="009C61C1"/>
    <w:rsid w:val="009C6D90"/>
    <w:rsid w:val="009C7893"/>
    <w:rsid w:val="009D466F"/>
    <w:rsid w:val="009D62DA"/>
    <w:rsid w:val="009D67BA"/>
    <w:rsid w:val="00A00FF6"/>
    <w:rsid w:val="00A01C9D"/>
    <w:rsid w:val="00A052E3"/>
    <w:rsid w:val="00A07DFC"/>
    <w:rsid w:val="00A13FAB"/>
    <w:rsid w:val="00A145D8"/>
    <w:rsid w:val="00A21720"/>
    <w:rsid w:val="00A34190"/>
    <w:rsid w:val="00A40BFF"/>
    <w:rsid w:val="00A45FA6"/>
    <w:rsid w:val="00A514FA"/>
    <w:rsid w:val="00A5169C"/>
    <w:rsid w:val="00A52074"/>
    <w:rsid w:val="00A61AB6"/>
    <w:rsid w:val="00A73B90"/>
    <w:rsid w:val="00A76323"/>
    <w:rsid w:val="00A93C99"/>
    <w:rsid w:val="00A961FB"/>
    <w:rsid w:val="00AA2B39"/>
    <w:rsid w:val="00AA45E0"/>
    <w:rsid w:val="00AB3831"/>
    <w:rsid w:val="00AC5427"/>
    <w:rsid w:val="00AE2B5C"/>
    <w:rsid w:val="00AE58C8"/>
    <w:rsid w:val="00AE7E55"/>
    <w:rsid w:val="00AF07F5"/>
    <w:rsid w:val="00B0613B"/>
    <w:rsid w:val="00B120B3"/>
    <w:rsid w:val="00B14765"/>
    <w:rsid w:val="00B15192"/>
    <w:rsid w:val="00B210C1"/>
    <w:rsid w:val="00B27D38"/>
    <w:rsid w:val="00B3491D"/>
    <w:rsid w:val="00B35360"/>
    <w:rsid w:val="00B45621"/>
    <w:rsid w:val="00B4706F"/>
    <w:rsid w:val="00B5164B"/>
    <w:rsid w:val="00B570DF"/>
    <w:rsid w:val="00B5743B"/>
    <w:rsid w:val="00B6230C"/>
    <w:rsid w:val="00B731A3"/>
    <w:rsid w:val="00B73AC6"/>
    <w:rsid w:val="00B82EEA"/>
    <w:rsid w:val="00B85262"/>
    <w:rsid w:val="00B95F3C"/>
    <w:rsid w:val="00B976C4"/>
    <w:rsid w:val="00B97945"/>
    <w:rsid w:val="00BB05AE"/>
    <w:rsid w:val="00BB2DDA"/>
    <w:rsid w:val="00BB710B"/>
    <w:rsid w:val="00BB7CF5"/>
    <w:rsid w:val="00BC1276"/>
    <w:rsid w:val="00BC63E0"/>
    <w:rsid w:val="00BD584F"/>
    <w:rsid w:val="00BF2109"/>
    <w:rsid w:val="00C13E30"/>
    <w:rsid w:val="00C1526F"/>
    <w:rsid w:val="00C1767B"/>
    <w:rsid w:val="00C25A45"/>
    <w:rsid w:val="00C25B90"/>
    <w:rsid w:val="00C31585"/>
    <w:rsid w:val="00C352D1"/>
    <w:rsid w:val="00C35D9C"/>
    <w:rsid w:val="00C3632F"/>
    <w:rsid w:val="00C42647"/>
    <w:rsid w:val="00C42911"/>
    <w:rsid w:val="00C4463E"/>
    <w:rsid w:val="00C4570F"/>
    <w:rsid w:val="00C53DBE"/>
    <w:rsid w:val="00C5479C"/>
    <w:rsid w:val="00C556CD"/>
    <w:rsid w:val="00C62F0F"/>
    <w:rsid w:val="00C6404C"/>
    <w:rsid w:val="00C64CDD"/>
    <w:rsid w:val="00C66C94"/>
    <w:rsid w:val="00C70417"/>
    <w:rsid w:val="00C74CF0"/>
    <w:rsid w:val="00C77155"/>
    <w:rsid w:val="00C8681E"/>
    <w:rsid w:val="00C90142"/>
    <w:rsid w:val="00C903B4"/>
    <w:rsid w:val="00C9074C"/>
    <w:rsid w:val="00C92758"/>
    <w:rsid w:val="00CA28CC"/>
    <w:rsid w:val="00CA4466"/>
    <w:rsid w:val="00CA4CB3"/>
    <w:rsid w:val="00CA55E7"/>
    <w:rsid w:val="00CB00AF"/>
    <w:rsid w:val="00CC36A8"/>
    <w:rsid w:val="00CC7B51"/>
    <w:rsid w:val="00CD27D7"/>
    <w:rsid w:val="00CD51C9"/>
    <w:rsid w:val="00CE696D"/>
    <w:rsid w:val="00D13821"/>
    <w:rsid w:val="00D24BA7"/>
    <w:rsid w:val="00D3162F"/>
    <w:rsid w:val="00D3176B"/>
    <w:rsid w:val="00D36071"/>
    <w:rsid w:val="00D4464F"/>
    <w:rsid w:val="00D469C6"/>
    <w:rsid w:val="00D54467"/>
    <w:rsid w:val="00D564BF"/>
    <w:rsid w:val="00D626F6"/>
    <w:rsid w:val="00D632B3"/>
    <w:rsid w:val="00D65608"/>
    <w:rsid w:val="00D75744"/>
    <w:rsid w:val="00D801C5"/>
    <w:rsid w:val="00D8462D"/>
    <w:rsid w:val="00D92290"/>
    <w:rsid w:val="00DA44CE"/>
    <w:rsid w:val="00DA5286"/>
    <w:rsid w:val="00DB75AF"/>
    <w:rsid w:val="00DC2CD7"/>
    <w:rsid w:val="00DC3F40"/>
    <w:rsid w:val="00DC4941"/>
    <w:rsid w:val="00DD4857"/>
    <w:rsid w:val="00DE692E"/>
    <w:rsid w:val="00DF0D7E"/>
    <w:rsid w:val="00E035EF"/>
    <w:rsid w:val="00E04D87"/>
    <w:rsid w:val="00E143EC"/>
    <w:rsid w:val="00E20444"/>
    <w:rsid w:val="00E2168B"/>
    <w:rsid w:val="00E2229B"/>
    <w:rsid w:val="00E26A29"/>
    <w:rsid w:val="00E428B9"/>
    <w:rsid w:val="00E431FE"/>
    <w:rsid w:val="00E44872"/>
    <w:rsid w:val="00E449A8"/>
    <w:rsid w:val="00E51935"/>
    <w:rsid w:val="00E6334A"/>
    <w:rsid w:val="00E63F45"/>
    <w:rsid w:val="00E65ABF"/>
    <w:rsid w:val="00E66262"/>
    <w:rsid w:val="00E66A49"/>
    <w:rsid w:val="00E802F9"/>
    <w:rsid w:val="00E84AD2"/>
    <w:rsid w:val="00E85A7A"/>
    <w:rsid w:val="00E87C01"/>
    <w:rsid w:val="00EA1D96"/>
    <w:rsid w:val="00EA380F"/>
    <w:rsid w:val="00EA5F3D"/>
    <w:rsid w:val="00EB120F"/>
    <w:rsid w:val="00EB1F0C"/>
    <w:rsid w:val="00EC1AB7"/>
    <w:rsid w:val="00ED3520"/>
    <w:rsid w:val="00ED422C"/>
    <w:rsid w:val="00EF349E"/>
    <w:rsid w:val="00EF38E1"/>
    <w:rsid w:val="00F00743"/>
    <w:rsid w:val="00F0154C"/>
    <w:rsid w:val="00F13FA2"/>
    <w:rsid w:val="00F2410B"/>
    <w:rsid w:val="00F24CA9"/>
    <w:rsid w:val="00F31D45"/>
    <w:rsid w:val="00F36A2C"/>
    <w:rsid w:val="00F40423"/>
    <w:rsid w:val="00F47131"/>
    <w:rsid w:val="00F610E4"/>
    <w:rsid w:val="00F851F6"/>
    <w:rsid w:val="00F90EE3"/>
    <w:rsid w:val="00F93506"/>
    <w:rsid w:val="00F97292"/>
    <w:rsid w:val="00F97737"/>
    <w:rsid w:val="00FA046C"/>
    <w:rsid w:val="00FA5F69"/>
    <w:rsid w:val="00FB467C"/>
    <w:rsid w:val="00FC1E99"/>
    <w:rsid w:val="00FC5E05"/>
    <w:rsid w:val="00FD6942"/>
    <w:rsid w:val="00FF21F9"/>
    <w:rsid w:val="00FF623E"/>
    <w:rsid w:val="00FF7419"/>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162F"/>
    <w:pPr>
      <w:ind w:left="720"/>
      <w:contextualSpacing/>
    </w:pPr>
  </w:style>
  <w:style w:type="paragraph" w:styleId="BalloonText">
    <w:name w:val="Balloon Text"/>
    <w:basedOn w:val="Normal"/>
    <w:link w:val="BalloonTextChar"/>
    <w:uiPriority w:val="99"/>
    <w:semiHidden/>
    <w:rsid w:val="003B1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8BB"/>
    <w:rPr>
      <w:rFonts w:ascii="Tahoma" w:hAnsi="Tahoma" w:cs="Tahoma"/>
      <w:sz w:val="16"/>
    </w:rPr>
  </w:style>
  <w:style w:type="paragraph" w:styleId="Header">
    <w:name w:val="header"/>
    <w:basedOn w:val="Normal"/>
    <w:link w:val="HeaderChar"/>
    <w:uiPriority w:val="99"/>
    <w:semiHidden/>
    <w:rsid w:val="003567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6769"/>
    <w:rPr>
      <w:rFonts w:cs="Times New Roman"/>
    </w:rPr>
  </w:style>
  <w:style w:type="paragraph" w:styleId="Footer">
    <w:name w:val="footer"/>
    <w:basedOn w:val="Normal"/>
    <w:link w:val="FooterChar"/>
    <w:uiPriority w:val="99"/>
    <w:rsid w:val="00356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769"/>
    <w:rPr>
      <w:rFonts w:cs="Times New Roman"/>
    </w:rPr>
  </w:style>
  <w:style w:type="character" w:styleId="CommentReference">
    <w:name w:val="annotation reference"/>
    <w:basedOn w:val="DefaultParagraphFont"/>
    <w:uiPriority w:val="99"/>
    <w:semiHidden/>
    <w:rsid w:val="00A13FAB"/>
    <w:rPr>
      <w:rFonts w:cs="Times New Roman"/>
      <w:sz w:val="16"/>
    </w:rPr>
  </w:style>
  <w:style w:type="paragraph" w:styleId="CommentText">
    <w:name w:val="annotation text"/>
    <w:basedOn w:val="Normal"/>
    <w:link w:val="CommentTextChar"/>
    <w:uiPriority w:val="99"/>
    <w:semiHidden/>
    <w:rsid w:val="00A13FAB"/>
    <w:pPr>
      <w:spacing w:line="240" w:lineRule="auto"/>
    </w:pPr>
    <w:rPr>
      <w:sz w:val="20"/>
      <w:szCs w:val="20"/>
    </w:rPr>
  </w:style>
  <w:style w:type="character" w:customStyle="1" w:styleId="CommentTextChar">
    <w:name w:val="Comment Text Char"/>
    <w:basedOn w:val="DefaultParagraphFont"/>
    <w:link w:val="CommentText"/>
    <w:uiPriority w:val="99"/>
    <w:semiHidden/>
    <w:rsid w:val="00A13FAB"/>
    <w:rPr>
      <w:rFonts w:cs="Times New Roman"/>
      <w:sz w:val="20"/>
    </w:rPr>
  </w:style>
  <w:style w:type="paragraph" w:styleId="CommentSubject">
    <w:name w:val="annotation subject"/>
    <w:basedOn w:val="CommentText"/>
    <w:next w:val="CommentText"/>
    <w:link w:val="CommentSubjectChar"/>
    <w:uiPriority w:val="99"/>
    <w:semiHidden/>
    <w:rsid w:val="00A13FAB"/>
    <w:rPr>
      <w:b/>
      <w:bCs/>
    </w:rPr>
  </w:style>
  <w:style w:type="character" w:customStyle="1" w:styleId="CommentSubjectChar">
    <w:name w:val="Comment Subject Char"/>
    <w:basedOn w:val="CommentTextChar"/>
    <w:link w:val="CommentSubject"/>
    <w:uiPriority w:val="99"/>
    <w:semiHidden/>
    <w:rsid w:val="00A13FAB"/>
    <w:rPr>
      <w:rFonts w:cs="Times New Roman"/>
      <w:b/>
      <w:bCs/>
      <w:sz w:val="20"/>
    </w:rPr>
  </w:style>
  <w:style w:type="paragraph" w:styleId="Revision">
    <w:name w:val="Revision"/>
    <w:hidden/>
    <w:uiPriority w:val="99"/>
    <w:semiHidden/>
    <w:rsid w:val="00DF0D7E"/>
    <w:rPr>
      <w:sz w:val="22"/>
      <w:szCs w:val="22"/>
    </w:rPr>
  </w:style>
  <w:style w:type="paragraph" w:styleId="FootnoteText">
    <w:name w:val="footnote text"/>
    <w:basedOn w:val="Normal"/>
    <w:link w:val="FootnoteTextChar"/>
    <w:uiPriority w:val="99"/>
    <w:semiHidden/>
    <w:unhideWhenUsed/>
    <w:rsid w:val="00FB467C"/>
    <w:rPr>
      <w:sz w:val="20"/>
      <w:szCs w:val="20"/>
    </w:rPr>
  </w:style>
  <w:style w:type="character" w:customStyle="1" w:styleId="FootnoteTextChar">
    <w:name w:val="Footnote Text Char"/>
    <w:basedOn w:val="DefaultParagraphFont"/>
    <w:link w:val="FootnoteText"/>
    <w:uiPriority w:val="99"/>
    <w:semiHidden/>
    <w:rsid w:val="00FB467C"/>
  </w:style>
  <w:style w:type="character" w:styleId="FootnoteReference">
    <w:name w:val="footnote reference"/>
    <w:basedOn w:val="DefaultParagraphFont"/>
    <w:uiPriority w:val="99"/>
    <w:semiHidden/>
    <w:unhideWhenUsed/>
    <w:rsid w:val="00FB46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92292">
      <w:bodyDiv w:val="1"/>
      <w:marLeft w:val="0"/>
      <w:marRight w:val="0"/>
      <w:marTop w:val="0"/>
      <w:marBottom w:val="0"/>
      <w:divBdr>
        <w:top w:val="none" w:sz="0" w:space="0" w:color="auto"/>
        <w:left w:val="none" w:sz="0" w:space="0" w:color="auto"/>
        <w:bottom w:val="none" w:sz="0" w:space="0" w:color="auto"/>
        <w:right w:val="none" w:sz="0" w:space="0" w:color="auto"/>
      </w:divBdr>
    </w:div>
    <w:div w:id="600727765">
      <w:bodyDiv w:val="1"/>
      <w:marLeft w:val="0"/>
      <w:marRight w:val="0"/>
      <w:marTop w:val="0"/>
      <w:marBottom w:val="0"/>
      <w:divBdr>
        <w:top w:val="none" w:sz="0" w:space="0" w:color="auto"/>
        <w:left w:val="none" w:sz="0" w:space="0" w:color="auto"/>
        <w:bottom w:val="none" w:sz="0" w:space="0" w:color="auto"/>
        <w:right w:val="none" w:sz="0" w:space="0" w:color="auto"/>
      </w:divBdr>
    </w:div>
    <w:div w:id="170552426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1DD3-7BB7-4921-9316-1A3FE1C6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February XX, 2013</vt:lpstr>
    </vt:vector>
  </TitlesOfParts>
  <Company>U.S. Department of Commerce</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XX, 2013</dc:title>
  <dc:creator>mille498</dc:creator>
  <cp:lastModifiedBy>krantz-kent_r</cp:lastModifiedBy>
  <cp:revision>43</cp:revision>
  <dcterms:created xsi:type="dcterms:W3CDTF">2013-02-26T15:42:00Z</dcterms:created>
  <dcterms:modified xsi:type="dcterms:W3CDTF">2013-03-08T16:30:00Z</dcterms:modified>
</cp:coreProperties>
</file>