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595498" w14:textId="77777777" w:rsidR="00DF5DC5" w:rsidRPr="008466B6" w:rsidRDefault="008466B6" w:rsidP="008466B6">
      <w:pPr>
        <w:jc w:val="center"/>
        <w:rPr>
          <w:b/>
          <w:sz w:val="28"/>
          <w:szCs w:val="28"/>
        </w:rPr>
      </w:pPr>
      <w:bookmarkStart w:id="0" w:name="_Toc428365572"/>
      <w:bookmarkStart w:id="1" w:name="_Toc428366618"/>
      <w:bookmarkStart w:id="2" w:name="_Toc428366632"/>
      <w:bookmarkStart w:id="3" w:name="_Toc374100104"/>
      <w:bookmarkStart w:id="4" w:name="_Toc374099819"/>
      <w:r w:rsidRPr="008466B6">
        <w:rPr>
          <w:b/>
          <w:sz w:val="28"/>
          <w:szCs w:val="28"/>
        </w:rPr>
        <w:t>T</w:t>
      </w:r>
      <w:r w:rsidR="00DF5DC5" w:rsidRPr="008466B6">
        <w:rPr>
          <w:b/>
          <w:sz w:val="28"/>
          <w:szCs w:val="28"/>
        </w:rPr>
        <w:t>he National Guard Youth ChalleNGe Job ChalleNGe Evaluation</w:t>
      </w:r>
      <w:bookmarkEnd w:id="0"/>
      <w:bookmarkEnd w:id="1"/>
      <w:bookmarkEnd w:id="2"/>
    </w:p>
    <w:p w14:paraId="570F268E" w14:textId="77777777" w:rsidR="00DF5DC5" w:rsidRPr="008466B6" w:rsidRDefault="00C5176C" w:rsidP="00C5176C">
      <w:pPr>
        <w:pStyle w:val="H2Chapter"/>
        <w:jc w:val="center"/>
        <w:rPr>
          <w:rFonts w:ascii="Times New Roman" w:hAnsi="Times New Roman"/>
          <w:b/>
          <w:sz w:val="28"/>
          <w:szCs w:val="28"/>
        </w:rPr>
      </w:pPr>
      <w:bookmarkStart w:id="5" w:name="_Toc428365573"/>
      <w:bookmarkStart w:id="6" w:name="_Toc428366619"/>
      <w:bookmarkStart w:id="7" w:name="_Toc428366633"/>
      <w:r w:rsidRPr="008466B6">
        <w:rPr>
          <w:rFonts w:ascii="Times New Roman" w:hAnsi="Times New Roman"/>
          <w:b/>
          <w:sz w:val="28"/>
          <w:szCs w:val="28"/>
        </w:rPr>
        <w:t>O</w:t>
      </w:r>
      <w:r w:rsidR="008466B6" w:rsidRPr="008466B6">
        <w:rPr>
          <w:rFonts w:ascii="Times New Roman" w:hAnsi="Times New Roman"/>
          <w:b/>
          <w:sz w:val="28"/>
          <w:szCs w:val="28"/>
        </w:rPr>
        <w:t xml:space="preserve">ffice of </w:t>
      </w:r>
      <w:r w:rsidRPr="008466B6">
        <w:rPr>
          <w:rFonts w:ascii="Times New Roman" w:hAnsi="Times New Roman"/>
          <w:b/>
          <w:sz w:val="28"/>
          <w:szCs w:val="28"/>
        </w:rPr>
        <w:t>M</w:t>
      </w:r>
      <w:r w:rsidR="008466B6" w:rsidRPr="008466B6">
        <w:rPr>
          <w:rFonts w:ascii="Times New Roman" w:hAnsi="Times New Roman"/>
          <w:b/>
          <w:sz w:val="28"/>
          <w:szCs w:val="28"/>
        </w:rPr>
        <w:t xml:space="preserve">anagement and </w:t>
      </w:r>
      <w:r w:rsidRPr="008466B6">
        <w:rPr>
          <w:rFonts w:ascii="Times New Roman" w:hAnsi="Times New Roman"/>
          <w:b/>
          <w:sz w:val="28"/>
          <w:szCs w:val="28"/>
        </w:rPr>
        <w:t>b</w:t>
      </w:r>
      <w:r w:rsidR="008466B6" w:rsidRPr="008466B6">
        <w:rPr>
          <w:rFonts w:ascii="Times New Roman" w:hAnsi="Times New Roman"/>
          <w:b/>
          <w:sz w:val="28"/>
          <w:szCs w:val="28"/>
        </w:rPr>
        <w:t>udget</w:t>
      </w:r>
      <w:r w:rsidR="00DF5DC5" w:rsidRPr="008466B6">
        <w:rPr>
          <w:rFonts w:ascii="Times New Roman" w:hAnsi="Times New Roman"/>
          <w:b/>
          <w:sz w:val="28"/>
          <w:szCs w:val="28"/>
        </w:rPr>
        <w:t xml:space="preserve"> SUPPORTING STATEMENT PART B</w:t>
      </w:r>
      <w:bookmarkEnd w:id="5"/>
      <w:bookmarkEnd w:id="6"/>
      <w:bookmarkEnd w:id="7"/>
    </w:p>
    <w:p w14:paraId="7B46FF88" w14:textId="5318457C" w:rsidR="00557AE8" w:rsidRDefault="00DF5DC5" w:rsidP="00F41939">
      <w:pPr>
        <w:pStyle w:val="NormalSS"/>
      </w:pPr>
      <w:bookmarkStart w:id="8" w:name="_Toc276716411"/>
      <w:bookmarkStart w:id="9" w:name="_Toc299537544"/>
      <w:bookmarkStart w:id="10" w:name="_Toc298415680"/>
      <w:bookmarkStart w:id="11" w:name="_Toc298418561"/>
      <w:bookmarkEnd w:id="3"/>
      <w:bookmarkEnd w:id="4"/>
      <w:r w:rsidRPr="005E51FF">
        <w:t xml:space="preserve">The Employment and Training Administration (ETA) of the U.S. Department of Labor (DOL) is funding three National Guard Youth ChalleNGe programs to expand the program’s target population to include </w:t>
      </w:r>
      <w:r w:rsidR="00F96595">
        <w:t>court-</w:t>
      </w:r>
      <w:r w:rsidRPr="005E51FF">
        <w:t xml:space="preserve">involved youth and add a five-month residential occupational training component called Job ChalleNGe. </w:t>
      </w:r>
    </w:p>
    <w:p w14:paraId="6DC5FE76" w14:textId="77777777" w:rsidR="00557AE8" w:rsidRDefault="00557AE8" w:rsidP="00557AE8">
      <w:pPr>
        <w:pStyle w:val="NormalSS"/>
      </w:pPr>
      <w:r>
        <w:t xml:space="preserve">The goal of </w:t>
      </w:r>
      <w:r w:rsidRPr="00684120">
        <w:t xml:space="preserve">Youth ChalleNGe </w:t>
      </w:r>
      <w:r>
        <w:t>is to</w:t>
      </w:r>
      <w:r w:rsidRPr="00684120">
        <w:t xml:space="preserve"> build confidence and maturity, teach practical life skills, and help youth obtain a high school </w:t>
      </w:r>
      <w:r>
        <w:t>diploma or GED</w:t>
      </w:r>
      <w:r w:rsidRPr="00684120">
        <w:t>.</w:t>
      </w:r>
      <w:r>
        <w:t xml:space="preserve"> </w:t>
      </w:r>
      <w:r w:rsidRPr="00D456EC">
        <w:t>The program</w:t>
      </w:r>
      <w:r w:rsidRPr="007C3C49">
        <w:t>’s</w:t>
      </w:r>
      <w:r w:rsidRPr="00D456EC">
        <w:t xml:space="preserve"> numerous activities </w:t>
      </w:r>
      <w:r w:rsidRPr="007C3C49">
        <w:t xml:space="preserve">all </w:t>
      </w:r>
      <w:r w:rsidRPr="00D456EC">
        <w:t xml:space="preserve">address </w:t>
      </w:r>
      <w:r w:rsidRPr="007C3C49">
        <w:t xml:space="preserve">its </w:t>
      </w:r>
      <w:r w:rsidRPr="00D456EC">
        <w:t>eight core pillars</w:t>
      </w:r>
      <w:r w:rsidRPr="00EE697B">
        <w:t>: leadership/followership, responsible citizenship, service to community, life-coping skills, physical fitness, health and hygiene, job skills, and academic excellence</w:t>
      </w:r>
      <w:r>
        <w:t xml:space="preserve">. It has a quasi-military aspect in </w:t>
      </w:r>
      <w:r w:rsidRPr="00382C09">
        <w:t>which participants, known as “</w:t>
      </w:r>
      <w:r>
        <w:t>Cadet</w:t>
      </w:r>
      <w:r w:rsidRPr="00382C09">
        <w:t>s</w:t>
      </w:r>
      <w:r>
        <w:t>,</w:t>
      </w:r>
      <w:r w:rsidRPr="00382C09">
        <w:t>” live in barracks-style housing in a disciplined environment</w:t>
      </w:r>
      <w:r>
        <w:t xml:space="preserve"> for about 20 weeks—the residential phase</w:t>
      </w:r>
      <w:r w:rsidRPr="00382C09">
        <w:t xml:space="preserve">. </w:t>
      </w:r>
      <w:r>
        <w:t>Cadets</w:t>
      </w:r>
      <w:r w:rsidRPr="00382C09">
        <w:t xml:space="preserve"> wear their hair short and dress in military uniforms. </w:t>
      </w:r>
      <w:r>
        <w:t xml:space="preserve">Upon completing the residential phase of the program, participants receive </w:t>
      </w:r>
      <w:r w:rsidR="00343401">
        <w:t xml:space="preserve">one year of </w:t>
      </w:r>
      <w:r>
        <w:t xml:space="preserve">structured mentoring </w:t>
      </w:r>
      <w:r w:rsidRPr="00684120">
        <w:t xml:space="preserve">designed to help </w:t>
      </w:r>
      <w:r>
        <w:t>them</w:t>
      </w:r>
      <w:r w:rsidRPr="00684120">
        <w:t xml:space="preserve"> successful</w:t>
      </w:r>
      <w:r>
        <w:t>ly</w:t>
      </w:r>
      <w:r w:rsidRPr="00684120">
        <w:t xml:space="preserve"> transition back to their communities. </w:t>
      </w:r>
    </w:p>
    <w:p w14:paraId="5FBFF106" w14:textId="69B4505A" w:rsidR="00557AE8" w:rsidRPr="001844A2" w:rsidRDefault="00557AE8" w:rsidP="00557AE8">
      <w:pPr>
        <w:pStyle w:val="NormalSS"/>
      </w:pPr>
      <w:r w:rsidRPr="00054AC6">
        <w:t>The addition of the Job ChalleNGe component to the existing Youth ChalleNGe model has the potential to bolster the program’s effectiveness by incorporating</w:t>
      </w:r>
      <w:r>
        <w:t xml:space="preserve"> occupational </w:t>
      </w:r>
      <w:r w:rsidRPr="00054AC6">
        <w:t>training.</w:t>
      </w:r>
      <w:r>
        <w:t xml:space="preserve"> </w:t>
      </w:r>
      <w:r w:rsidRPr="001844A2">
        <w:t xml:space="preserve">Job ChalleNGe </w:t>
      </w:r>
      <w:r>
        <w:t>will</w:t>
      </w:r>
      <w:r w:rsidRPr="001844A2">
        <w:t xml:space="preserve"> expand the residential time by </w:t>
      </w:r>
      <w:r>
        <w:t>five</w:t>
      </w:r>
      <w:r w:rsidRPr="001844A2">
        <w:t xml:space="preserve"> months for </w:t>
      </w:r>
      <w:r w:rsidR="0066705E">
        <w:t xml:space="preserve">a subset of randomly selected </w:t>
      </w:r>
      <w:r>
        <w:t>C</w:t>
      </w:r>
      <w:r w:rsidRPr="001844A2">
        <w:t>adets w</w:t>
      </w:r>
      <w:r>
        <w:t>ho are interested in staying, and</w:t>
      </w:r>
      <w:r w:rsidRPr="001844A2">
        <w:t xml:space="preserve"> will </w:t>
      </w:r>
      <w:r>
        <w:t>offer the following activities:</w:t>
      </w:r>
      <w:r w:rsidRPr="001844A2">
        <w:t xml:space="preserve"> </w:t>
      </w:r>
      <w:r>
        <w:t xml:space="preserve">(1) </w:t>
      </w:r>
      <w:r w:rsidRPr="001844A2">
        <w:t>occupational skills training,</w:t>
      </w:r>
      <w:r>
        <w:t xml:space="preserve"> (2)</w:t>
      </w:r>
      <w:r w:rsidRPr="001844A2">
        <w:t xml:space="preserve"> individualized career and academic counseling, </w:t>
      </w:r>
      <w:r>
        <w:t xml:space="preserve">(3) </w:t>
      </w:r>
      <w:r w:rsidRPr="001844A2">
        <w:t xml:space="preserve">work-based learning opportunities, and </w:t>
      </w:r>
      <w:r>
        <w:t xml:space="preserve">(4) </w:t>
      </w:r>
      <w:r w:rsidRPr="001844A2">
        <w:t xml:space="preserve">leadership development activities. </w:t>
      </w:r>
      <w:r>
        <w:t>In addition, t</w:t>
      </w:r>
      <w:r w:rsidRPr="001844A2">
        <w:t xml:space="preserve">he program will engage employers to ensure </w:t>
      </w:r>
      <w:r>
        <w:t>C</w:t>
      </w:r>
      <w:r w:rsidRPr="001844A2">
        <w:t>adets’ skills address employers’ needs.</w:t>
      </w:r>
      <w:r>
        <w:t xml:space="preserve"> </w:t>
      </w:r>
    </w:p>
    <w:p w14:paraId="618E4C45" w14:textId="0B7F41B5" w:rsidR="0050458F" w:rsidRDefault="00DF5DC5" w:rsidP="00F41939">
      <w:pPr>
        <w:pStyle w:val="NormalSS"/>
      </w:pPr>
      <w:r w:rsidRPr="005E51FF">
        <w:t xml:space="preserve">The National Guard Youth ChalleNGe </w:t>
      </w:r>
      <w:r>
        <w:t>Job</w:t>
      </w:r>
      <w:r w:rsidRPr="0052293E">
        <w:t xml:space="preserve"> ChalleNGe </w:t>
      </w:r>
      <w:r w:rsidRPr="005E51FF">
        <w:t>Evaluation, sponsored by DOL’s Chief Evaluation Office (CEO)</w:t>
      </w:r>
      <w:r>
        <w:t>,</w:t>
      </w:r>
      <w:r w:rsidRPr="005E51FF">
        <w:t xml:space="preserve"> will use </w:t>
      </w:r>
      <w:r w:rsidR="0013750D">
        <w:t xml:space="preserve">(1) </w:t>
      </w:r>
      <w:r w:rsidRPr="005E51FF">
        <w:t xml:space="preserve">a </w:t>
      </w:r>
      <w:r w:rsidR="0013750D">
        <w:t xml:space="preserve">set of interviews with staff and youth </w:t>
      </w:r>
      <w:r w:rsidR="0013750D" w:rsidRPr="005E51FF">
        <w:t>to learn how these program enhancements are implemented</w:t>
      </w:r>
      <w:r w:rsidR="0013750D">
        <w:t>, and (2) a</w:t>
      </w:r>
      <w:r w:rsidR="0013750D" w:rsidRPr="005E51FF">
        <w:t xml:space="preserve"> </w:t>
      </w:r>
      <w:r w:rsidRPr="005E51FF">
        <w:t>random</w:t>
      </w:r>
      <w:r w:rsidR="0013750D">
        <w:t>ized controlled trial (RCT) to measure</w:t>
      </w:r>
      <w:r w:rsidRPr="005E51FF">
        <w:t xml:space="preserve"> </w:t>
      </w:r>
      <w:r w:rsidR="00C00E45">
        <w:t>the</w:t>
      </w:r>
      <w:r w:rsidR="00C00E45" w:rsidRPr="005E51FF">
        <w:t xml:space="preserve"> </w:t>
      </w:r>
      <w:r w:rsidRPr="005E51FF">
        <w:t>effective</w:t>
      </w:r>
      <w:r w:rsidR="00C00E45">
        <w:t>ness of Job ChalleNGe</w:t>
      </w:r>
      <w:r w:rsidRPr="005E51FF">
        <w:t xml:space="preserve">. </w:t>
      </w:r>
      <w:r w:rsidR="0013750D">
        <w:t xml:space="preserve">The </w:t>
      </w:r>
      <w:r w:rsidR="007E12B6">
        <w:t xml:space="preserve">RCT will compare </w:t>
      </w:r>
      <w:r w:rsidR="0050458F">
        <w:t>Youth ChalleNGe graduates</w:t>
      </w:r>
      <w:r w:rsidR="007E12B6">
        <w:t xml:space="preserve"> </w:t>
      </w:r>
      <w:r w:rsidR="0050458F">
        <w:t>who</w:t>
      </w:r>
      <w:r w:rsidR="007E12B6">
        <w:t xml:space="preserve"> attend Job ChalleNGe to </w:t>
      </w:r>
      <w:r w:rsidR="0050458F">
        <w:t>graduates</w:t>
      </w:r>
      <w:r w:rsidR="007E12B6">
        <w:t xml:space="preserve"> </w:t>
      </w:r>
      <w:r w:rsidR="00C00E45">
        <w:t xml:space="preserve">who </w:t>
      </w:r>
      <w:r w:rsidR="0050458F">
        <w:t>we</w:t>
      </w:r>
      <w:r w:rsidR="007E12B6">
        <w:t xml:space="preserve">re on track for Job ChalleNGe but </w:t>
      </w:r>
      <w:r w:rsidR="00F367E2">
        <w:t>were not randomly selected to</w:t>
      </w:r>
      <w:r w:rsidR="007E12B6">
        <w:t xml:space="preserve"> attend. </w:t>
      </w:r>
      <w:r w:rsidR="00C21B30">
        <w:t>E</w:t>
      </w:r>
      <w:r w:rsidR="00C21B30" w:rsidRPr="00684120">
        <w:t>xpan</w:t>
      </w:r>
      <w:r w:rsidR="00C21B30">
        <w:t xml:space="preserve">ding </w:t>
      </w:r>
      <w:r w:rsidR="00C21B30" w:rsidRPr="00684120">
        <w:t>eligibility</w:t>
      </w:r>
      <w:r w:rsidR="00C21B30">
        <w:t xml:space="preserve"> for Youth ChalleNGe and Job ChalleNGe</w:t>
      </w:r>
      <w:r w:rsidR="00C21B30" w:rsidRPr="00684120">
        <w:t xml:space="preserve"> to court-involved youth</w:t>
      </w:r>
      <w:r w:rsidR="00C21B30">
        <w:t>, who for the most part are not currently eligible to participate in Youth ChalleNGe,</w:t>
      </w:r>
      <w:r w:rsidR="00C21B30" w:rsidRPr="00684120">
        <w:t xml:space="preserve"> </w:t>
      </w:r>
      <w:r w:rsidR="00C21B30">
        <w:t>could make a difference in the lives of those youth who can be the hardest to serve</w:t>
      </w:r>
      <w:r w:rsidR="00C21B30" w:rsidRPr="00684120">
        <w:t xml:space="preserve">. </w:t>
      </w:r>
      <w:r w:rsidR="007E12B6">
        <w:t xml:space="preserve">The evaluation will take place at </w:t>
      </w:r>
      <w:r w:rsidR="00B53611">
        <w:t xml:space="preserve">sites awarded </w:t>
      </w:r>
      <w:r w:rsidR="001210EE">
        <w:t xml:space="preserve">Job </w:t>
      </w:r>
      <w:r w:rsidR="00734322">
        <w:t>ChalleNGe</w:t>
      </w:r>
      <w:r w:rsidR="007E12B6">
        <w:t xml:space="preserve"> </w:t>
      </w:r>
      <w:r w:rsidR="00B53611">
        <w:t>grants in 2015:</w:t>
      </w:r>
      <w:r w:rsidR="00734322">
        <w:t xml:space="preserve"> Fort Stewart, Georgia; Battle Creek, Michigan; and </w:t>
      </w:r>
      <w:r w:rsidR="0050458F">
        <w:t xml:space="preserve">Aiken, </w:t>
      </w:r>
      <w:r w:rsidR="00734322">
        <w:t>South Carolina.</w:t>
      </w:r>
    </w:p>
    <w:p w14:paraId="2B10CBC8" w14:textId="2B329354" w:rsidR="00DF5DC5" w:rsidRDefault="007E12B6" w:rsidP="00F41939">
      <w:pPr>
        <w:pStyle w:val="NormalSS"/>
      </w:pPr>
      <w:r>
        <w:t>The</w:t>
      </w:r>
      <w:r w:rsidR="00DF5DC5" w:rsidRPr="005E51FF">
        <w:t xml:space="preserve"> CEO has contracted with Mathematica Policy Research</w:t>
      </w:r>
      <w:r w:rsidR="00DF5DC5">
        <w:t>, in conjunction with its subcontractors</w:t>
      </w:r>
      <w:r w:rsidR="00DF5DC5" w:rsidRPr="005E51FF">
        <w:t xml:space="preserve"> MDRC and Social Policy Research Associates (SPR)</w:t>
      </w:r>
      <w:r w:rsidR="00DF5DC5">
        <w:t>,</w:t>
      </w:r>
      <w:r w:rsidR="00DF5DC5" w:rsidRPr="005E51FF">
        <w:t xml:space="preserve"> to conduct this evaluation. With this package, clearance is requested for </w:t>
      </w:r>
      <w:r w:rsidR="00C00E45">
        <w:t xml:space="preserve">four </w:t>
      </w:r>
      <w:r w:rsidR="00DF5DC5" w:rsidRPr="005E51FF">
        <w:t>data collection instruments related to the impact and implementation studies to be conducted as part of the evaluation:</w:t>
      </w:r>
    </w:p>
    <w:p w14:paraId="3E6693E5" w14:textId="37BC1489" w:rsidR="00DF5DC5" w:rsidRDefault="00642237" w:rsidP="00796EB4">
      <w:pPr>
        <w:pStyle w:val="NumberedBullet"/>
        <w:numPr>
          <w:ilvl w:val="0"/>
          <w:numId w:val="8"/>
        </w:numPr>
        <w:tabs>
          <w:tab w:val="clear" w:pos="432"/>
        </w:tabs>
        <w:ind w:left="864" w:hanging="432"/>
        <w:jc w:val="both"/>
      </w:pPr>
      <w:r>
        <w:t>Baseline</w:t>
      </w:r>
      <w:r w:rsidR="00F14FA1" w:rsidRPr="00CF4BE1">
        <w:t xml:space="preserve"> </w:t>
      </w:r>
      <w:r w:rsidR="00DF5DC5">
        <w:t>i</w:t>
      </w:r>
      <w:r w:rsidR="00DF5DC5" w:rsidRPr="00CF4BE1">
        <w:t xml:space="preserve">nformation </w:t>
      </w:r>
      <w:r w:rsidR="00DF5DC5">
        <w:t>f</w:t>
      </w:r>
      <w:r w:rsidR="00DF5DC5" w:rsidRPr="00CF4BE1">
        <w:t>orm (BIF) for youth</w:t>
      </w:r>
      <w:r w:rsidR="00FB01B1">
        <w:t xml:space="preserve"> </w:t>
      </w:r>
    </w:p>
    <w:p w14:paraId="4E7556EB" w14:textId="0694585B" w:rsidR="00AF1094" w:rsidRPr="00DF5DC5" w:rsidRDefault="00AF1094" w:rsidP="00796EB4">
      <w:pPr>
        <w:pStyle w:val="NumberedBullet"/>
        <w:numPr>
          <w:ilvl w:val="0"/>
          <w:numId w:val="8"/>
        </w:numPr>
        <w:tabs>
          <w:tab w:val="clear" w:pos="432"/>
        </w:tabs>
        <w:ind w:left="864" w:hanging="432"/>
        <w:jc w:val="both"/>
      </w:pPr>
      <w:r>
        <w:t>Site visit master staff protocol</w:t>
      </w:r>
    </w:p>
    <w:p w14:paraId="004482AD" w14:textId="5E610CA4" w:rsidR="00642237" w:rsidRDefault="00DF5DC5" w:rsidP="00281531">
      <w:pPr>
        <w:pStyle w:val="NumberedBulletLastSS"/>
        <w:tabs>
          <w:tab w:val="clear" w:pos="432"/>
        </w:tabs>
        <w:spacing w:after="120"/>
        <w:ind w:left="864"/>
      </w:pPr>
      <w:r w:rsidRPr="00CF4BE1">
        <w:lastRenderedPageBreak/>
        <w:t xml:space="preserve">Site visit </w:t>
      </w:r>
      <w:r w:rsidR="00AF1094">
        <w:t>employer</w:t>
      </w:r>
      <w:r w:rsidR="00642237">
        <w:t xml:space="preserve"> </w:t>
      </w:r>
      <w:r w:rsidRPr="00CF4BE1">
        <w:t>protocol</w:t>
      </w:r>
      <w:r w:rsidR="00FB01B1">
        <w:t xml:space="preserve"> </w:t>
      </w:r>
    </w:p>
    <w:p w14:paraId="5F55C917" w14:textId="3DB7B417" w:rsidR="00DF1D9D" w:rsidRPr="00DF1D9D" w:rsidRDefault="00AF1094" w:rsidP="008466B6">
      <w:pPr>
        <w:pStyle w:val="NumberedBulletLastSS"/>
        <w:tabs>
          <w:tab w:val="clear" w:pos="432"/>
        </w:tabs>
        <w:ind w:left="864"/>
      </w:pPr>
      <w:r>
        <w:t xml:space="preserve">Site visit youth </w:t>
      </w:r>
      <w:r w:rsidR="00642237">
        <w:t>focus group protocol</w:t>
      </w:r>
    </w:p>
    <w:p w14:paraId="79105191" w14:textId="616E34BD" w:rsidR="00DF1D9D" w:rsidRPr="00DF1D9D" w:rsidRDefault="00DF1D9D" w:rsidP="00F25EA2">
      <w:pPr>
        <w:pStyle w:val="NormalSS"/>
      </w:pPr>
      <w:r w:rsidRPr="00DF1D9D">
        <w:t>The</w:t>
      </w:r>
      <w:r>
        <w:t xml:space="preserve"> site visits</w:t>
      </w:r>
      <w:r w:rsidR="00642237">
        <w:t xml:space="preserve"> interview</w:t>
      </w:r>
      <w:r>
        <w:t xml:space="preserve"> protocols will include semi-structured interviews with</w:t>
      </w:r>
      <w:r w:rsidR="0090659E">
        <w:t xml:space="preserve"> grantee </w:t>
      </w:r>
      <w:r w:rsidR="00642237">
        <w:t xml:space="preserve">administration and </w:t>
      </w:r>
      <w:r w:rsidR="0090659E">
        <w:t xml:space="preserve">staff, </w:t>
      </w:r>
      <w:r w:rsidR="00642237">
        <w:t xml:space="preserve">partners, </w:t>
      </w:r>
      <w:r w:rsidR="00FB01B1">
        <w:t xml:space="preserve">and </w:t>
      </w:r>
      <w:r w:rsidR="0090659E">
        <w:t>employers</w:t>
      </w:r>
      <w:r w:rsidR="00642237">
        <w:t>.</w:t>
      </w:r>
      <w:r w:rsidR="0090659E">
        <w:t xml:space="preserve"> </w:t>
      </w:r>
      <w:r w:rsidRPr="00DF1D9D">
        <w:t xml:space="preserve">The site visits protocols and youth focus group protocol will </w:t>
      </w:r>
      <w:r>
        <w:t xml:space="preserve">be conducted in all three program sites. </w:t>
      </w:r>
      <w:r w:rsidRPr="00DF1D9D">
        <w:t xml:space="preserve">No statistical methods will be used in the implementation analysis and discussions of the results will be carefully phrased to make clear that no generalization is intended.  </w:t>
      </w:r>
    </w:p>
    <w:p w14:paraId="276C2FD5" w14:textId="3A78BA95" w:rsidR="00DF5DC5" w:rsidRDefault="00DF5DC5" w:rsidP="00F41939">
      <w:pPr>
        <w:pStyle w:val="NormalSS"/>
      </w:pPr>
      <w:r>
        <w:t>An</w:t>
      </w:r>
      <w:r w:rsidRPr="00CF4BE1">
        <w:t xml:space="preserve"> addendum to this package, to be submitted at a later date, will request clearance for the follow-up data collection f</w:t>
      </w:r>
      <w:r>
        <w:t>rom</w:t>
      </w:r>
      <w:r w:rsidRPr="00CF4BE1">
        <w:t xml:space="preserve"> study participant</w:t>
      </w:r>
      <w:r>
        <w:t xml:space="preserve">s, including communication tools </w:t>
      </w:r>
      <w:r w:rsidR="00DF0633">
        <w:t>(</w:t>
      </w:r>
      <w:r w:rsidR="00DF0633" w:rsidRPr="00DF0633">
        <w:t>like advance letters and email text for non-response follow-up</w:t>
      </w:r>
      <w:r w:rsidR="00DF0633">
        <w:t xml:space="preserve">) </w:t>
      </w:r>
      <w:r>
        <w:t>and the survey instrument. We are submitting t</w:t>
      </w:r>
      <w:r w:rsidRPr="00CF4BE1">
        <w:t xml:space="preserve">he full package for the study in two parts because the study schedule requires random assignment </w:t>
      </w:r>
      <w:r>
        <w:t xml:space="preserve">to take place </w:t>
      </w:r>
      <w:r w:rsidRPr="00CF4BE1">
        <w:t>and the implementation study to begin before the follow-up instrument</w:t>
      </w:r>
      <w:r>
        <w:t xml:space="preserve"> and related tools</w:t>
      </w:r>
      <w:r w:rsidRPr="00CF4BE1">
        <w:t xml:space="preserve"> are developed and tested.</w:t>
      </w:r>
    </w:p>
    <w:p w14:paraId="7C73BD78" w14:textId="77777777" w:rsidR="004268DA" w:rsidRPr="008466B6" w:rsidRDefault="004268DA" w:rsidP="008466B6">
      <w:pPr>
        <w:pStyle w:val="H3Alpha"/>
        <w:spacing w:after="240"/>
        <w:rPr>
          <w:rFonts w:ascii="Arial" w:hAnsi="Arial" w:cs="Arial"/>
          <w:b/>
          <w:sz w:val="24"/>
        </w:rPr>
      </w:pPr>
      <w:bookmarkStart w:id="12" w:name="_Toc374099820"/>
      <w:bookmarkStart w:id="13" w:name="_Toc428361275"/>
      <w:bookmarkStart w:id="14" w:name="_Toc428361442"/>
      <w:bookmarkStart w:id="15" w:name="_Toc428365574"/>
      <w:bookmarkStart w:id="16" w:name="_Toc428366620"/>
      <w:bookmarkStart w:id="17" w:name="_Toc428366634"/>
      <w:r w:rsidRPr="008466B6">
        <w:rPr>
          <w:rFonts w:ascii="Arial" w:hAnsi="Arial" w:cs="Arial"/>
          <w:b/>
          <w:sz w:val="24"/>
        </w:rPr>
        <w:t>A.</w:t>
      </w:r>
      <w:r w:rsidRPr="008466B6">
        <w:rPr>
          <w:rFonts w:ascii="Arial" w:hAnsi="Arial" w:cs="Arial"/>
          <w:b/>
          <w:sz w:val="24"/>
        </w:rPr>
        <w:tab/>
        <w:t>Justification</w:t>
      </w:r>
      <w:bookmarkEnd w:id="12"/>
      <w:bookmarkEnd w:id="13"/>
      <w:bookmarkEnd w:id="14"/>
    </w:p>
    <w:p w14:paraId="7F38932F" w14:textId="77777777" w:rsidR="00DF5DC5" w:rsidRPr="008466B6" w:rsidRDefault="00DF5DC5" w:rsidP="008466B6">
      <w:pPr>
        <w:pStyle w:val="H4Number"/>
        <w:spacing w:after="240"/>
        <w:rPr>
          <w:color w:val="00B050"/>
        </w:rPr>
      </w:pPr>
      <w:r w:rsidRPr="008466B6">
        <w:t>1.</w:t>
      </w:r>
      <w:r w:rsidRPr="008466B6">
        <w:tab/>
        <w:t>Respondent universe and sampling methods</w:t>
      </w:r>
      <w:bookmarkEnd w:id="8"/>
      <w:bookmarkEnd w:id="9"/>
      <w:bookmarkEnd w:id="15"/>
      <w:bookmarkEnd w:id="16"/>
      <w:bookmarkEnd w:id="17"/>
      <w:r w:rsidRPr="008466B6">
        <w:t xml:space="preserve"> </w:t>
      </w:r>
    </w:p>
    <w:p w14:paraId="3873762C" w14:textId="77777777" w:rsidR="0090659E" w:rsidRPr="00E77CDE" w:rsidRDefault="0090659E" w:rsidP="003947A2">
      <w:pPr>
        <w:pStyle w:val="NormalSS"/>
        <w:rPr>
          <w:i/>
        </w:rPr>
      </w:pPr>
      <w:r w:rsidRPr="00E77CDE">
        <w:rPr>
          <w:i/>
        </w:rPr>
        <w:t>Baseline data collection for the Impact Study</w:t>
      </w:r>
    </w:p>
    <w:p w14:paraId="408958D1" w14:textId="37AD754C" w:rsidR="00DF5DC5" w:rsidRDefault="00DF5DC5" w:rsidP="003947A2">
      <w:pPr>
        <w:pStyle w:val="NormalSS"/>
      </w:pPr>
      <w:r>
        <w:t xml:space="preserve">The impact evaluation will assess the impact of the Job ChalleNGe program on youth outcomes. The universe and sample will be drawn from the three Youth ChalleNGe </w:t>
      </w:r>
      <w:r w:rsidR="00C51396">
        <w:t>grantee sites</w:t>
      </w:r>
      <w:r>
        <w:t xml:space="preserve">. </w:t>
      </w:r>
      <w:r w:rsidRPr="00C7641C">
        <w:t>As a condition of receiving the grant, grantees are required to participate in the evaluation.</w:t>
      </w:r>
      <w:r w:rsidDel="0090659E">
        <w:t xml:space="preserve"> </w:t>
      </w:r>
    </w:p>
    <w:p w14:paraId="19E73B21" w14:textId="56F3289A" w:rsidR="00DF5DC5" w:rsidRDefault="00DF5DC5" w:rsidP="00EB3108">
      <w:pPr>
        <w:pStyle w:val="NormalSS"/>
      </w:pPr>
      <w:r>
        <w:t xml:space="preserve">The evaluation design is a random assignment design with </w:t>
      </w:r>
      <w:r w:rsidR="00C00E45">
        <w:t xml:space="preserve">a </w:t>
      </w:r>
      <w:r>
        <w:t>random assignment process conducted for eligible</w:t>
      </w:r>
      <w:r w:rsidR="00C00E45">
        <w:t xml:space="preserve"> </w:t>
      </w:r>
      <w:r>
        <w:t>Youth ChalleNGe participants who are interested in participating in Job ChalleNGe.</w:t>
      </w:r>
    </w:p>
    <w:p w14:paraId="25B99603" w14:textId="4C6378D6" w:rsidR="00DF5DC5" w:rsidRPr="000974C5" w:rsidRDefault="00C00E45" w:rsidP="00DF5DC5">
      <w:pPr>
        <w:pStyle w:val="NormalSS"/>
      </w:pPr>
      <w:r>
        <w:t>The</w:t>
      </w:r>
      <w:r w:rsidR="00DF5DC5" w:rsidRPr="000974C5">
        <w:t xml:space="preserve"> universe and sample of youth will comprise youth in the three grantee sites who are enrolled in Youth ChalleNGe</w:t>
      </w:r>
      <w:r w:rsidR="00DF5DC5">
        <w:t>,</w:t>
      </w:r>
      <w:r w:rsidR="00DF5DC5" w:rsidRPr="000974C5">
        <w:t xml:space="preserve"> are expected to successfully complete Youth ChalleNGe (as of a cutoff period determined in conjunction with each grantee), </w:t>
      </w:r>
      <w:r w:rsidR="00DF5DC5">
        <w:t xml:space="preserve">are deemed by </w:t>
      </w:r>
      <w:r w:rsidR="00DF5DC5" w:rsidRPr="000974C5">
        <w:t xml:space="preserve">the grantee </w:t>
      </w:r>
      <w:r w:rsidR="00DF5DC5">
        <w:t>to</w:t>
      </w:r>
      <w:r w:rsidR="00DF5DC5" w:rsidRPr="000974C5">
        <w:t xml:space="preserve"> be suitable for Job ChalleNGe, and are interested in participating in Job ChalleNGe. The evaluation </w:t>
      </w:r>
      <w:r w:rsidR="007F58CB">
        <w:t>i</w:t>
      </w:r>
      <w:r w:rsidR="007F58CB" w:rsidRPr="000974C5">
        <w:t>s</w:t>
      </w:r>
      <w:r w:rsidR="00DF5DC5" w:rsidRPr="000974C5">
        <w:t xml:space="preserve"> designed to have up to </w:t>
      </w:r>
      <w:r w:rsidR="00D732AD">
        <w:t>1,620</w:t>
      </w:r>
      <w:r w:rsidR="00DF5DC5" w:rsidRPr="000974C5">
        <w:t xml:space="preserve"> youth </w:t>
      </w:r>
      <w:r w:rsidR="00DF5DC5">
        <w:t>undergo</w:t>
      </w:r>
      <w:r w:rsidR="00DF5DC5" w:rsidRPr="000974C5">
        <w:t xml:space="preserve"> random assignment for the Job ChalleNGe program</w:t>
      </w:r>
      <w:r w:rsidR="00DF5DC5">
        <w:t xml:space="preserve">. </w:t>
      </w:r>
      <w:r w:rsidR="00DF5DC5" w:rsidRPr="000974C5">
        <w:t>Job ChalleNGe will also enroll youth in cohorts</w:t>
      </w:r>
      <w:r w:rsidR="00DF5DC5">
        <w:t>;</w:t>
      </w:r>
      <w:r w:rsidR="00DF5DC5" w:rsidRPr="000974C5">
        <w:t xml:space="preserve"> prior to the start of each cohort, the evalu</w:t>
      </w:r>
      <w:r w:rsidR="00DF5DC5">
        <w:t>a</w:t>
      </w:r>
      <w:r w:rsidR="00DF5DC5" w:rsidRPr="000974C5">
        <w:t xml:space="preserve">tion team will assess with each grantee if there are sufficient applications in the incoming Job ChalleNGe cohort to allow for random assignment to take place. </w:t>
      </w:r>
    </w:p>
    <w:p w14:paraId="5BBCA696" w14:textId="2029A3DD" w:rsidR="00DF5DC5" w:rsidRDefault="00DF5DC5" w:rsidP="00DF5DC5">
      <w:pPr>
        <w:pStyle w:val="NormalSS"/>
      </w:pPr>
      <w:r w:rsidRPr="000974C5">
        <w:t xml:space="preserve">For the </w:t>
      </w:r>
      <w:bookmarkStart w:id="18" w:name="_GoBack"/>
      <w:bookmarkEnd w:id="18"/>
      <w:r w:rsidRPr="000974C5">
        <w:t>random assignment procedures at each grantee, it is expected that about two-thirds of youth will be assigned to the treatment group and one-third will be assigned to the control group</w:t>
      </w:r>
      <w:r w:rsidR="004A2FEB">
        <w:t xml:space="preserve"> (Table B</w:t>
      </w:r>
      <w:r w:rsidR="00532A3B">
        <w:t>.</w:t>
      </w:r>
      <w:r w:rsidR="004A2FEB">
        <w:t>1)</w:t>
      </w:r>
      <w:r>
        <w:t xml:space="preserve">. </w:t>
      </w:r>
      <w:r w:rsidRPr="000974C5">
        <w:t xml:space="preserve">For Job ChalleNGe, the expected sample size is </w:t>
      </w:r>
      <w:r w:rsidR="00D07945">
        <w:t>1,620</w:t>
      </w:r>
      <w:r w:rsidRPr="000974C5">
        <w:t xml:space="preserve"> total, with 1,</w:t>
      </w:r>
      <w:r w:rsidR="00D07945">
        <w:t>08</w:t>
      </w:r>
      <w:r w:rsidR="00D07945" w:rsidRPr="000974C5">
        <w:t xml:space="preserve">0 </w:t>
      </w:r>
      <w:r w:rsidRPr="000974C5">
        <w:t xml:space="preserve">enrolled in Job ChalleNGe and </w:t>
      </w:r>
      <w:r w:rsidR="00D07945">
        <w:t>540</w:t>
      </w:r>
      <w:r w:rsidR="00D07945" w:rsidRPr="000974C5">
        <w:t xml:space="preserve"> </w:t>
      </w:r>
      <w:r w:rsidRPr="000974C5">
        <w:t xml:space="preserve">placed in the control group. Random assignment will be stratified within each grantee organization to ensure a balanced sample of court-involved and non-court-involved youth in the treatment and control groups. Based on the expected sample sizes, the treatment group would comprise </w:t>
      </w:r>
      <w:r w:rsidR="00D07945">
        <w:t>540</w:t>
      </w:r>
      <w:r w:rsidR="00D07945" w:rsidRPr="000974C5">
        <w:t xml:space="preserve"> </w:t>
      </w:r>
      <w:r w:rsidRPr="000974C5">
        <w:t xml:space="preserve">court-involved youth and </w:t>
      </w:r>
      <w:r w:rsidR="00D07945">
        <w:t>540</w:t>
      </w:r>
      <w:r w:rsidR="00D07945" w:rsidRPr="000974C5">
        <w:t xml:space="preserve"> </w:t>
      </w:r>
      <w:r w:rsidRPr="000974C5">
        <w:t xml:space="preserve">non-court-involved </w:t>
      </w:r>
      <w:r w:rsidRPr="000974C5">
        <w:lastRenderedPageBreak/>
        <w:t>youth</w:t>
      </w:r>
      <w:r>
        <w:t>, whereas</w:t>
      </w:r>
      <w:r w:rsidRPr="000974C5">
        <w:t xml:space="preserve"> the control group would comprise </w:t>
      </w:r>
      <w:r w:rsidR="00D07945">
        <w:t>270</w:t>
      </w:r>
      <w:r w:rsidR="00D07945" w:rsidRPr="000974C5">
        <w:t xml:space="preserve"> </w:t>
      </w:r>
      <w:r w:rsidRPr="000974C5">
        <w:t xml:space="preserve">court-involved youth and </w:t>
      </w:r>
      <w:r w:rsidR="00D07945">
        <w:t>270</w:t>
      </w:r>
      <w:r w:rsidR="00D07945" w:rsidRPr="000974C5">
        <w:t xml:space="preserve"> </w:t>
      </w:r>
      <w:r w:rsidRPr="000974C5">
        <w:t>non-court-involved youth.</w:t>
      </w:r>
      <w:r w:rsidR="002D7013">
        <w:t xml:space="preserve"> Sample sizes are further broken out by grantee site (Table B.2).</w:t>
      </w:r>
    </w:p>
    <w:p w14:paraId="6F4FBCDA" w14:textId="77777777" w:rsidR="004A2FEB" w:rsidRPr="008466B6" w:rsidRDefault="004A2FEB" w:rsidP="001C5683">
      <w:pPr>
        <w:pStyle w:val="MarkforTableTitle"/>
        <w:rPr>
          <w:sz w:val="18"/>
          <w:szCs w:val="18"/>
        </w:rPr>
      </w:pPr>
      <w:bookmarkStart w:id="19" w:name="_Toc428365652"/>
      <w:r w:rsidRPr="008466B6">
        <w:rPr>
          <w:sz w:val="18"/>
          <w:szCs w:val="18"/>
        </w:rPr>
        <w:t>Table B</w:t>
      </w:r>
      <w:r w:rsidR="001C5683" w:rsidRPr="008466B6">
        <w:rPr>
          <w:sz w:val="18"/>
          <w:szCs w:val="18"/>
        </w:rPr>
        <w:t>.</w:t>
      </w:r>
      <w:r w:rsidRPr="008466B6">
        <w:rPr>
          <w:sz w:val="18"/>
          <w:szCs w:val="18"/>
        </w:rPr>
        <w:t>1. Estimated sample sizes</w:t>
      </w:r>
      <w:bookmarkEnd w:id="19"/>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2368"/>
        <w:gridCol w:w="2404"/>
        <w:gridCol w:w="2404"/>
        <w:gridCol w:w="2400"/>
      </w:tblGrid>
      <w:tr w:rsidR="008466B6" w:rsidRPr="008466B6" w14:paraId="6D7A2E93" w14:textId="77777777" w:rsidTr="00EB3108">
        <w:trPr>
          <w:cnfStyle w:val="100000000000" w:firstRow="1" w:lastRow="0" w:firstColumn="0" w:lastColumn="0" w:oddVBand="0" w:evenVBand="0" w:oddHBand="0" w:evenHBand="0" w:firstRowFirstColumn="0" w:firstRowLastColumn="0" w:lastRowFirstColumn="0" w:lastRowLastColumn="0"/>
          <w:tblHeader/>
        </w:trPr>
        <w:tc>
          <w:tcPr>
            <w:tcW w:w="1237" w:type="pct"/>
            <w:tcBorders>
              <w:top w:val="single" w:sz="4" w:space="0" w:color="auto"/>
              <w:bottom w:val="single" w:sz="8" w:space="0" w:color="000000" w:themeColor="text1"/>
            </w:tcBorders>
            <w:shd w:val="clear" w:color="auto" w:fill="auto"/>
          </w:tcPr>
          <w:p w14:paraId="610CFAC5" w14:textId="77777777" w:rsidR="004A2FEB" w:rsidRPr="008466B6" w:rsidRDefault="004A2FEB" w:rsidP="001C5683">
            <w:pPr>
              <w:pStyle w:val="TableHeaderLeft"/>
              <w:rPr>
                <w:rFonts w:eastAsiaTheme="minorEastAsia"/>
                <w:color w:val="auto"/>
              </w:rPr>
            </w:pPr>
            <w:r w:rsidRPr="008466B6">
              <w:rPr>
                <w:rFonts w:eastAsiaTheme="minorEastAsia"/>
                <w:color w:val="auto"/>
              </w:rPr>
              <w:t>Analysis sample</w:t>
            </w:r>
          </w:p>
        </w:tc>
        <w:tc>
          <w:tcPr>
            <w:tcW w:w="1255" w:type="pct"/>
            <w:tcBorders>
              <w:top w:val="single" w:sz="4" w:space="0" w:color="auto"/>
              <w:bottom w:val="single" w:sz="8" w:space="0" w:color="000000" w:themeColor="text1"/>
            </w:tcBorders>
            <w:shd w:val="clear" w:color="auto" w:fill="auto"/>
          </w:tcPr>
          <w:p w14:paraId="49FD2FE8" w14:textId="77777777" w:rsidR="004A2FEB" w:rsidRPr="008466B6" w:rsidRDefault="004A2FEB" w:rsidP="001C5683">
            <w:pPr>
              <w:pStyle w:val="TableHeaderCenter"/>
              <w:rPr>
                <w:rFonts w:eastAsiaTheme="minorEastAsia"/>
                <w:color w:val="auto"/>
              </w:rPr>
            </w:pPr>
            <w:r w:rsidRPr="008466B6">
              <w:rPr>
                <w:rFonts w:eastAsiaTheme="minorEastAsia"/>
                <w:color w:val="auto"/>
              </w:rPr>
              <w:t>Treatment</w:t>
            </w:r>
          </w:p>
        </w:tc>
        <w:tc>
          <w:tcPr>
            <w:tcW w:w="1255" w:type="pct"/>
            <w:tcBorders>
              <w:top w:val="single" w:sz="4" w:space="0" w:color="auto"/>
              <w:bottom w:val="single" w:sz="8" w:space="0" w:color="000000" w:themeColor="text1"/>
            </w:tcBorders>
            <w:shd w:val="clear" w:color="auto" w:fill="auto"/>
          </w:tcPr>
          <w:p w14:paraId="1123B70B" w14:textId="77777777" w:rsidR="004A2FEB" w:rsidRPr="008466B6" w:rsidRDefault="004A2FEB" w:rsidP="001C5683">
            <w:pPr>
              <w:pStyle w:val="TableHeaderCenter"/>
              <w:rPr>
                <w:rFonts w:eastAsiaTheme="minorEastAsia"/>
                <w:color w:val="auto"/>
              </w:rPr>
            </w:pPr>
            <w:r w:rsidRPr="008466B6">
              <w:rPr>
                <w:rFonts w:eastAsiaTheme="minorEastAsia"/>
                <w:color w:val="auto"/>
              </w:rPr>
              <w:t>Control</w:t>
            </w:r>
          </w:p>
        </w:tc>
        <w:tc>
          <w:tcPr>
            <w:tcW w:w="1253" w:type="pct"/>
            <w:tcBorders>
              <w:top w:val="single" w:sz="4" w:space="0" w:color="auto"/>
              <w:bottom w:val="single" w:sz="8" w:space="0" w:color="000000" w:themeColor="text1"/>
            </w:tcBorders>
            <w:shd w:val="clear" w:color="auto" w:fill="auto"/>
          </w:tcPr>
          <w:p w14:paraId="2231D9B8" w14:textId="77777777" w:rsidR="004A2FEB" w:rsidRPr="008466B6" w:rsidRDefault="004A2FEB" w:rsidP="001C5683">
            <w:pPr>
              <w:pStyle w:val="TableHeaderCenter"/>
              <w:rPr>
                <w:rFonts w:eastAsiaTheme="minorEastAsia"/>
                <w:color w:val="auto"/>
              </w:rPr>
            </w:pPr>
            <w:r w:rsidRPr="008466B6">
              <w:rPr>
                <w:rFonts w:eastAsiaTheme="minorEastAsia"/>
                <w:color w:val="auto"/>
              </w:rPr>
              <w:t>Total</w:t>
            </w:r>
          </w:p>
        </w:tc>
      </w:tr>
      <w:tr w:rsidR="004A2FEB" w:rsidRPr="004A2FEB" w14:paraId="6947604E" w14:textId="77777777" w:rsidTr="00EB3108">
        <w:tc>
          <w:tcPr>
            <w:tcW w:w="1237" w:type="pct"/>
          </w:tcPr>
          <w:p w14:paraId="3D1FA27A" w14:textId="77777777" w:rsidR="004A2FEB" w:rsidRPr="004A2FEB" w:rsidRDefault="004A2FEB" w:rsidP="001C5683">
            <w:pPr>
              <w:spacing w:before="120"/>
              <w:rPr>
                <w:rFonts w:ascii="Arial" w:eastAsiaTheme="minorEastAsia" w:hAnsi="Arial" w:cstheme="minorBidi"/>
                <w:b/>
                <w:sz w:val="18"/>
                <w:szCs w:val="20"/>
              </w:rPr>
            </w:pPr>
            <w:r w:rsidRPr="004A2FEB">
              <w:rPr>
                <w:rFonts w:ascii="Arial" w:eastAsiaTheme="minorEastAsia" w:hAnsi="Arial" w:cstheme="minorBidi"/>
                <w:b/>
                <w:sz w:val="18"/>
                <w:szCs w:val="20"/>
              </w:rPr>
              <w:t>Job ChalleNGe</w:t>
            </w:r>
          </w:p>
        </w:tc>
        <w:tc>
          <w:tcPr>
            <w:tcW w:w="1255" w:type="pct"/>
          </w:tcPr>
          <w:p w14:paraId="01A8F7E4" w14:textId="77777777" w:rsidR="004A2FEB" w:rsidRPr="004A2FEB" w:rsidRDefault="004A2FEB" w:rsidP="001C5683">
            <w:pPr>
              <w:spacing w:before="120"/>
              <w:ind w:right="864"/>
              <w:jc w:val="right"/>
              <w:rPr>
                <w:rFonts w:ascii="Arial" w:eastAsiaTheme="minorEastAsia" w:hAnsi="Arial" w:cstheme="minorBidi"/>
                <w:b/>
                <w:sz w:val="18"/>
                <w:szCs w:val="20"/>
              </w:rPr>
            </w:pPr>
          </w:p>
        </w:tc>
        <w:tc>
          <w:tcPr>
            <w:tcW w:w="1255" w:type="pct"/>
          </w:tcPr>
          <w:p w14:paraId="4A3AA9F0" w14:textId="77777777" w:rsidR="004A2FEB" w:rsidRPr="004A2FEB" w:rsidRDefault="004A2FEB" w:rsidP="001C5683">
            <w:pPr>
              <w:spacing w:before="120"/>
              <w:ind w:right="864"/>
              <w:jc w:val="right"/>
              <w:rPr>
                <w:rFonts w:ascii="Arial" w:eastAsiaTheme="minorEastAsia" w:hAnsi="Arial" w:cstheme="minorBidi"/>
                <w:b/>
                <w:sz w:val="18"/>
                <w:szCs w:val="20"/>
              </w:rPr>
            </w:pPr>
          </w:p>
        </w:tc>
        <w:tc>
          <w:tcPr>
            <w:tcW w:w="1253" w:type="pct"/>
          </w:tcPr>
          <w:p w14:paraId="47963A4C" w14:textId="77777777" w:rsidR="004A2FEB" w:rsidRPr="004A2FEB" w:rsidRDefault="004A2FEB" w:rsidP="001C5683">
            <w:pPr>
              <w:spacing w:before="120"/>
              <w:ind w:right="864"/>
              <w:jc w:val="right"/>
              <w:rPr>
                <w:rFonts w:ascii="Arial" w:eastAsiaTheme="minorEastAsia" w:hAnsi="Arial" w:cstheme="minorBidi"/>
                <w:b/>
                <w:sz w:val="18"/>
                <w:szCs w:val="20"/>
              </w:rPr>
            </w:pPr>
          </w:p>
        </w:tc>
      </w:tr>
      <w:tr w:rsidR="004A2FEB" w:rsidRPr="004A2FEB" w14:paraId="64509833" w14:textId="77777777" w:rsidTr="00EB3108">
        <w:tc>
          <w:tcPr>
            <w:tcW w:w="1237" w:type="pct"/>
          </w:tcPr>
          <w:p w14:paraId="72468359" w14:textId="77777777" w:rsidR="004A2FEB" w:rsidRPr="004A2FEB" w:rsidRDefault="004A2FEB" w:rsidP="001C5683">
            <w:pPr>
              <w:ind w:left="187"/>
              <w:rPr>
                <w:rFonts w:ascii="Arial" w:eastAsiaTheme="minorEastAsia" w:hAnsi="Arial" w:cstheme="minorBidi"/>
                <w:sz w:val="18"/>
                <w:szCs w:val="20"/>
              </w:rPr>
            </w:pPr>
            <w:r w:rsidRPr="004A2FEB">
              <w:rPr>
                <w:rFonts w:ascii="Arial" w:eastAsiaTheme="minorEastAsia" w:hAnsi="Arial" w:cstheme="minorBidi"/>
                <w:sz w:val="18"/>
                <w:szCs w:val="20"/>
              </w:rPr>
              <w:t>Court-involved</w:t>
            </w:r>
          </w:p>
        </w:tc>
        <w:tc>
          <w:tcPr>
            <w:tcW w:w="1255" w:type="pct"/>
          </w:tcPr>
          <w:p w14:paraId="1629E692" w14:textId="1AF9FF4C" w:rsidR="004A2FEB" w:rsidRPr="004A2FEB" w:rsidRDefault="00A65C7F" w:rsidP="001C5683">
            <w:pPr>
              <w:ind w:right="864"/>
              <w:jc w:val="right"/>
              <w:rPr>
                <w:rFonts w:ascii="Arial" w:eastAsiaTheme="minorEastAsia" w:hAnsi="Arial" w:cstheme="minorBidi"/>
                <w:sz w:val="18"/>
                <w:szCs w:val="20"/>
              </w:rPr>
            </w:pPr>
            <w:r>
              <w:rPr>
                <w:rFonts w:ascii="Arial" w:eastAsiaTheme="minorEastAsia" w:hAnsi="Arial" w:cstheme="minorBidi"/>
                <w:sz w:val="18"/>
                <w:szCs w:val="20"/>
              </w:rPr>
              <w:t>540</w:t>
            </w:r>
          </w:p>
        </w:tc>
        <w:tc>
          <w:tcPr>
            <w:tcW w:w="1255" w:type="pct"/>
          </w:tcPr>
          <w:p w14:paraId="607F1E9E" w14:textId="03C3D67D" w:rsidR="004A2FEB" w:rsidRPr="004A2FEB" w:rsidRDefault="00A65C7F" w:rsidP="001C5683">
            <w:pPr>
              <w:ind w:right="864"/>
              <w:jc w:val="right"/>
              <w:rPr>
                <w:rFonts w:ascii="Arial" w:eastAsiaTheme="minorEastAsia" w:hAnsi="Arial" w:cstheme="minorBidi"/>
                <w:sz w:val="18"/>
                <w:szCs w:val="20"/>
              </w:rPr>
            </w:pPr>
            <w:r>
              <w:rPr>
                <w:rFonts w:ascii="Arial" w:eastAsiaTheme="minorEastAsia" w:hAnsi="Arial" w:cstheme="minorBidi"/>
                <w:sz w:val="18"/>
                <w:szCs w:val="20"/>
              </w:rPr>
              <w:t>270</w:t>
            </w:r>
          </w:p>
        </w:tc>
        <w:tc>
          <w:tcPr>
            <w:tcW w:w="1253" w:type="pct"/>
          </w:tcPr>
          <w:p w14:paraId="07C67A5B" w14:textId="0B081EA7" w:rsidR="004A2FEB" w:rsidRPr="004A2FEB" w:rsidRDefault="00A65C7F" w:rsidP="001C5683">
            <w:pPr>
              <w:ind w:right="864"/>
              <w:jc w:val="right"/>
              <w:rPr>
                <w:rFonts w:ascii="Arial" w:eastAsiaTheme="minorEastAsia" w:hAnsi="Arial" w:cstheme="minorBidi"/>
                <w:sz w:val="18"/>
                <w:szCs w:val="20"/>
              </w:rPr>
            </w:pPr>
            <w:r>
              <w:rPr>
                <w:rFonts w:ascii="Arial" w:eastAsiaTheme="minorEastAsia" w:hAnsi="Arial" w:cstheme="minorBidi"/>
                <w:sz w:val="18"/>
                <w:szCs w:val="20"/>
              </w:rPr>
              <w:t>810</w:t>
            </w:r>
          </w:p>
        </w:tc>
      </w:tr>
      <w:tr w:rsidR="004A2FEB" w:rsidRPr="004A2FEB" w14:paraId="2A481688" w14:textId="77777777" w:rsidTr="00EB3108">
        <w:tc>
          <w:tcPr>
            <w:tcW w:w="1237" w:type="pct"/>
          </w:tcPr>
          <w:p w14:paraId="02EBBDA3" w14:textId="77777777" w:rsidR="004A2FEB" w:rsidRPr="004A2FEB" w:rsidRDefault="004A2FEB" w:rsidP="001C5683">
            <w:pPr>
              <w:ind w:left="187"/>
              <w:rPr>
                <w:rFonts w:ascii="Arial" w:eastAsiaTheme="minorEastAsia" w:hAnsi="Arial" w:cstheme="minorBidi"/>
                <w:sz w:val="18"/>
                <w:szCs w:val="20"/>
              </w:rPr>
            </w:pPr>
            <w:r w:rsidRPr="004A2FEB">
              <w:rPr>
                <w:rFonts w:ascii="Arial" w:eastAsiaTheme="minorEastAsia" w:hAnsi="Arial" w:cstheme="minorBidi"/>
                <w:sz w:val="18"/>
                <w:szCs w:val="20"/>
              </w:rPr>
              <w:t>Non-court-involved</w:t>
            </w:r>
          </w:p>
        </w:tc>
        <w:tc>
          <w:tcPr>
            <w:tcW w:w="1255" w:type="pct"/>
          </w:tcPr>
          <w:p w14:paraId="28D6D947" w14:textId="518CAAB5" w:rsidR="004A2FEB" w:rsidRPr="004A2FEB" w:rsidRDefault="00A65C7F" w:rsidP="001C5683">
            <w:pPr>
              <w:ind w:right="864"/>
              <w:jc w:val="right"/>
              <w:rPr>
                <w:rFonts w:ascii="Arial" w:eastAsiaTheme="minorEastAsia" w:hAnsi="Arial" w:cstheme="minorBidi"/>
                <w:sz w:val="18"/>
                <w:szCs w:val="20"/>
              </w:rPr>
            </w:pPr>
            <w:r>
              <w:rPr>
                <w:rFonts w:ascii="Arial" w:eastAsiaTheme="minorEastAsia" w:hAnsi="Arial" w:cstheme="minorBidi"/>
                <w:sz w:val="18"/>
                <w:szCs w:val="20"/>
              </w:rPr>
              <w:t>540</w:t>
            </w:r>
          </w:p>
        </w:tc>
        <w:tc>
          <w:tcPr>
            <w:tcW w:w="1255" w:type="pct"/>
          </w:tcPr>
          <w:p w14:paraId="555A4213" w14:textId="1C7DCAE1" w:rsidR="004A2FEB" w:rsidRPr="004A2FEB" w:rsidRDefault="00A65C7F" w:rsidP="001C5683">
            <w:pPr>
              <w:ind w:right="864"/>
              <w:jc w:val="right"/>
              <w:rPr>
                <w:rFonts w:ascii="Arial" w:eastAsiaTheme="minorEastAsia" w:hAnsi="Arial" w:cstheme="minorBidi"/>
                <w:sz w:val="18"/>
                <w:szCs w:val="20"/>
              </w:rPr>
            </w:pPr>
            <w:r>
              <w:rPr>
                <w:rFonts w:ascii="Arial" w:eastAsiaTheme="minorEastAsia" w:hAnsi="Arial" w:cstheme="minorBidi"/>
                <w:sz w:val="18"/>
                <w:szCs w:val="20"/>
              </w:rPr>
              <w:t>270</w:t>
            </w:r>
          </w:p>
        </w:tc>
        <w:tc>
          <w:tcPr>
            <w:tcW w:w="1253" w:type="pct"/>
          </w:tcPr>
          <w:p w14:paraId="02A5B61D" w14:textId="20DCED83" w:rsidR="004A2FEB" w:rsidRPr="004A2FEB" w:rsidRDefault="00A65C7F" w:rsidP="001C5683">
            <w:pPr>
              <w:ind w:right="864"/>
              <w:jc w:val="right"/>
              <w:rPr>
                <w:rFonts w:ascii="Arial" w:eastAsiaTheme="minorEastAsia" w:hAnsi="Arial" w:cstheme="minorBidi"/>
                <w:sz w:val="18"/>
                <w:szCs w:val="20"/>
              </w:rPr>
            </w:pPr>
            <w:r>
              <w:rPr>
                <w:rFonts w:ascii="Arial" w:eastAsiaTheme="minorEastAsia" w:hAnsi="Arial" w:cstheme="minorBidi"/>
                <w:sz w:val="18"/>
                <w:szCs w:val="20"/>
              </w:rPr>
              <w:t>810</w:t>
            </w:r>
          </w:p>
        </w:tc>
      </w:tr>
      <w:tr w:rsidR="004A2FEB" w:rsidRPr="004A2FEB" w14:paraId="3EB74882" w14:textId="77777777" w:rsidTr="00EB3108">
        <w:tc>
          <w:tcPr>
            <w:tcW w:w="1237" w:type="pct"/>
            <w:tcBorders>
              <w:bottom w:val="single" w:sz="8" w:space="0" w:color="000000" w:themeColor="text1"/>
            </w:tcBorders>
          </w:tcPr>
          <w:p w14:paraId="2A952864" w14:textId="77777777" w:rsidR="004A2FEB" w:rsidRPr="004A2FEB" w:rsidRDefault="004A2FEB" w:rsidP="001C5683">
            <w:pPr>
              <w:ind w:left="187"/>
              <w:rPr>
                <w:rFonts w:ascii="Arial" w:eastAsiaTheme="minorEastAsia" w:hAnsi="Arial" w:cstheme="minorBidi"/>
                <w:sz w:val="18"/>
                <w:szCs w:val="20"/>
              </w:rPr>
            </w:pPr>
            <w:r w:rsidRPr="004A2FEB">
              <w:rPr>
                <w:rFonts w:ascii="Arial" w:eastAsiaTheme="minorEastAsia" w:hAnsi="Arial" w:cstheme="minorBidi"/>
                <w:sz w:val="18"/>
                <w:szCs w:val="20"/>
              </w:rPr>
              <w:t>Total</w:t>
            </w:r>
          </w:p>
        </w:tc>
        <w:tc>
          <w:tcPr>
            <w:tcW w:w="1255" w:type="pct"/>
            <w:tcBorders>
              <w:bottom w:val="single" w:sz="8" w:space="0" w:color="000000" w:themeColor="text1"/>
            </w:tcBorders>
          </w:tcPr>
          <w:p w14:paraId="373B4BA9" w14:textId="569070E9" w:rsidR="004A2FEB" w:rsidRPr="004A2FEB" w:rsidRDefault="004A2FEB" w:rsidP="00A65C7F">
            <w:pPr>
              <w:ind w:right="864"/>
              <w:jc w:val="right"/>
              <w:rPr>
                <w:rFonts w:ascii="Arial" w:eastAsiaTheme="minorEastAsia" w:hAnsi="Arial" w:cstheme="minorBidi"/>
                <w:sz w:val="18"/>
                <w:szCs w:val="20"/>
              </w:rPr>
            </w:pPr>
            <w:r w:rsidRPr="004A2FEB">
              <w:rPr>
                <w:rFonts w:ascii="Arial" w:eastAsiaTheme="minorEastAsia" w:hAnsi="Arial" w:cstheme="minorBidi"/>
                <w:sz w:val="18"/>
                <w:szCs w:val="20"/>
              </w:rPr>
              <w:t>1,</w:t>
            </w:r>
            <w:r w:rsidR="00A65C7F">
              <w:rPr>
                <w:rFonts w:ascii="Arial" w:eastAsiaTheme="minorEastAsia" w:hAnsi="Arial" w:cstheme="minorBidi"/>
                <w:sz w:val="18"/>
                <w:szCs w:val="20"/>
              </w:rPr>
              <w:t>080</w:t>
            </w:r>
          </w:p>
        </w:tc>
        <w:tc>
          <w:tcPr>
            <w:tcW w:w="1255" w:type="pct"/>
            <w:tcBorders>
              <w:bottom w:val="single" w:sz="8" w:space="0" w:color="000000" w:themeColor="text1"/>
            </w:tcBorders>
          </w:tcPr>
          <w:p w14:paraId="78D2693C" w14:textId="7E488EEE" w:rsidR="004A2FEB" w:rsidRPr="004A2FEB" w:rsidRDefault="00A65C7F" w:rsidP="001C5683">
            <w:pPr>
              <w:ind w:right="864"/>
              <w:jc w:val="right"/>
              <w:rPr>
                <w:rFonts w:ascii="Arial" w:eastAsiaTheme="minorEastAsia" w:hAnsi="Arial" w:cstheme="minorBidi"/>
                <w:sz w:val="18"/>
                <w:szCs w:val="20"/>
              </w:rPr>
            </w:pPr>
            <w:r>
              <w:rPr>
                <w:rFonts w:ascii="Arial" w:eastAsiaTheme="minorEastAsia" w:hAnsi="Arial" w:cstheme="minorBidi"/>
                <w:sz w:val="18"/>
                <w:szCs w:val="20"/>
              </w:rPr>
              <w:t>540</w:t>
            </w:r>
          </w:p>
        </w:tc>
        <w:tc>
          <w:tcPr>
            <w:tcW w:w="1253" w:type="pct"/>
            <w:tcBorders>
              <w:bottom w:val="single" w:sz="8" w:space="0" w:color="000000" w:themeColor="text1"/>
            </w:tcBorders>
          </w:tcPr>
          <w:p w14:paraId="3B1C10A4" w14:textId="40A03D11" w:rsidR="004A2FEB" w:rsidRPr="004A2FEB" w:rsidRDefault="00A65C7F" w:rsidP="001C5683">
            <w:pPr>
              <w:ind w:right="864"/>
              <w:jc w:val="right"/>
              <w:rPr>
                <w:rFonts w:ascii="Arial" w:eastAsiaTheme="minorEastAsia" w:hAnsi="Arial" w:cstheme="minorBidi"/>
                <w:sz w:val="18"/>
                <w:szCs w:val="20"/>
              </w:rPr>
            </w:pPr>
            <w:r>
              <w:rPr>
                <w:rFonts w:ascii="Arial" w:eastAsiaTheme="minorEastAsia" w:hAnsi="Arial" w:cstheme="minorBidi"/>
                <w:sz w:val="18"/>
                <w:szCs w:val="20"/>
              </w:rPr>
              <w:t>1,620</w:t>
            </w:r>
          </w:p>
        </w:tc>
      </w:tr>
    </w:tbl>
    <w:p w14:paraId="5303AF3D" w14:textId="77777777" w:rsidR="002D7013" w:rsidRDefault="002D7013" w:rsidP="000144C2">
      <w:pPr>
        <w:pStyle w:val="NormalSS"/>
      </w:pPr>
    </w:p>
    <w:p w14:paraId="228B7E9D" w14:textId="013E4CD2" w:rsidR="002D7013" w:rsidRPr="008466B6" w:rsidRDefault="002D7013" w:rsidP="002D7013">
      <w:pPr>
        <w:pStyle w:val="MarkforTableTitle"/>
        <w:rPr>
          <w:sz w:val="18"/>
          <w:szCs w:val="18"/>
        </w:rPr>
      </w:pPr>
      <w:r w:rsidRPr="008466B6">
        <w:rPr>
          <w:sz w:val="18"/>
          <w:szCs w:val="18"/>
        </w:rPr>
        <w:t>Table B.</w:t>
      </w:r>
      <w:r>
        <w:rPr>
          <w:sz w:val="18"/>
          <w:szCs w:val="18"/>
        </w:rPr>
        <w:t>2</w:t>
      </w:r>
      <w:r w:rsidRPr="008466B6">
        <w:rPr>
          <w:sz w:val="18"/>
          <w:szCs w:val="18"/>
        </w:rPr>
        <w:t>. Estimated sample sizes</w:t>
      </w:r>
      <w:r>
        <w:rPr>
          <w:sz w:val="18"/>
          <w:szCs w:val="18"/>
        </w:rPr>
        <w:t xml:space="preserve"> by grantee site</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1319"/>
        <w:gridCol w:w="89"/>
        <w:gridCol w:w="1410"/>
        <w:gridCol w:w="67"/>
        <w:gridCol w:w="1343"/>
        <w:gridCol w:w="1341"/>
        <w:gridCol w:w="1339"/>
        <w:gridCol w:w="1337"/>
        <w:gridCol w:w="1331"/>
      </w:tblGrid>
      <w:tr w:rsidR="00880675" w:rsidRPr="008466B6" w14:paraId="57F4E5C9" w14:textId="51D8C64A" w:rsidTr="00880675">
        <w:trPr>
          <w:cnfStyle w:val="100000000000" w:firstRow="1" w:lastRow="0" w:firstColumn="0" w:lastColumn="0" w:oddVBand="0" w:evenVBand="0" w:oddHBand="0" w:evenHBand="0" w:firstRowFirstColumn="0" w:firstRowLastColumn="0" w:lastRowFirstColumn="0" w:lastRowLastColumn="0"/>
          <w:tblHeader/>
        </w:trPr>
        <w:tc>
          <w:tcPr>
            <w:tcW w:w="689" w:type="pct"/>
            <w:tcBorders>
              <w:top w:val="single" w:sz="4" w:space="0" w:color="auto"/>
              <w:bottom w:val="single" w:sz="8" w:space="0" w:color="000000" w:themeColor="text1"/>
            </w:tcBorders>
            <w:shd w:val="clear" w:color="auto" w:fill="auto"/>
          </w:tcPr>
          <w:p w14:paraId="5C851950" w14:textId="77777777" w:rsidR="00880675" w:rsidRPr="008466B6" w:rsidRDefault="00880675" w:rsidP="00A84CE1">
            <w:pPr>
              <w:pStyle w:val="TableHeaderLeft"/>
              <w:rPr>
                <w:rFonts w:eastAsiaTheme="minorEastAsia"/>
                <w:color w:val="auto"/>
              </w:rPr>
            </w:pPr>
            <w:r w:rsidRPr="008466B6">
              <w:rPr>
                <w:rFonts w:eastAsiaTheme="minorEastAsia"/>
                <w:color w:val="auto"/>
              </w:rPr>
              <w:t>Analysis sample</w:t>
            </w:r>
          </w:p>
        </w:tc>
        <w:tc>
          <w:tcPr>
            <w:tcW w:w="1519" w:type="pct"/>
            <w:gridSpan w:val="4"/>
            <w:tcBorders>
              <w:top w:val="single" w:sz="4" w:space="0" w:color="auto"/>
              <w:bottom w:val="single" w:sz="8" w:space="0" w:color="000000" w:themeColor="text1"/>
            </w:tcBorders>
            <w:shd w:val="clear" w:color="auto" w:fill="auto"/>
          </w:tcPr>
          <w:p w14:paraId="5134BC7D" w14:textId="253A48EF" w:rsidR="00880675" w:rsidRDefault="00880675" w:rsidP="00A84CE1">
            <w:pPr>
              <w:pStyle w:val="TableHeaderCenter"/>
              <w:rPr>
                <w:rFonts w:eastAsiaTheme="minorEastAsia"/>
                <w:color w:val="auto"/>
              </w:rPr>
            </w:pPr>
            <w:r>
              <w:rPr>
                <w:rFonts w:eastAsiaTheme="minorEastAsia"/>
                <w:color w:val="auto"/>
              </w:rPr>
              <w:t>Georgia</w:t>
            </w:r>
          </w:p>
        </w:tc>
        <w:tc>
          <w:tcPr>
            <w:tcW w:w="1399" w:type="pct"/>
            <w:gridSpan w:val="2"/>
            <w:tcBorders>
              <w:top w:val="single" w:sz="4" w:space="0" w:color="auto"/>
              <w:bottom w:val="single" w:sz="8" w:space="0" w:color="000000" w:themeColor="text1"/>
            </w:tcBorders>
            <w:shd w:val="clear" w:color="auto" w:fill="auto"/>
          </w:tcPr>
          <w:p w14:paraId="423F0216" w14:textId="6FCFA989" w:rsidR="00880675" w:rsidRDefault="00880675" w:rsidP="00A84CE1">
            <w:pPr>
              <w:pStyle w:val="TableHeaderCenter"/>
              <w:rPr>
                <w:rFonts w:eastAsiaTheme="minorEastAsia"/>
                <w:color w:val="auto"/>
              </w:rPr>
            </w:pPr>
            <w:r>
              <w:rPr>
                <w:rFonts w:eastAsiaTheme="minorEastAsia"/>
                <w:color w:val="auto"/>
              </w:rPr>
              <w:t>Michigan</w:t>
            </w:r>
          </w:p>
        </w:tc>
        <w:tc>
          <w:tcPr>
            <w:tcW w:w="1393" w:type="pct"/>
            <w:gridSpan w:val="2"/>
            <w:tcBorders>
              <w:top w:val="single" w:sz="4" w:space="0" w:color="auto"/>
              <w:bottom w:val="single" w:sz="8" w:space="0" w:color="000000" w:themeColor="text1"/>
            </w:tcBorders>
            <w:shd w:val="clear" w:color="auto" w:fill="auto"/>
          </w:tcPr>
          <w:p w14:paraId="043BE877" w14:textId="3C4CCDA4" w:rsidR="00880675" w:rsidRDefault="00880675" w:rsidP="00A84CE1">
            <w:pPr>
              <w:pStyle w:val="TableHeaderCenter"/>
              <w:rPr>
                <w:rFonts w:eastAsiaTheme="minorEastAsia"/>
                <w:color w:val="auto"/>
              </w:rPr>
            </w:pPr>
            <w:r>
              <w:rPr>
                <w:rFonts w:eastAsiaTheme="minorEastAsia"/>
                <w:color w:val="auto"/>
              </w:rPr>
              <w:t>South Carolina</w:t>
            </w:r>
          </w:p>
        </w:tc>
      </w:tr>
      <w:tr w:rsidR="00880675" w:rsidRPr="008466B6" w14:paraId="004B80F9" w14:textId="77777777" w:rsidTr="00880675">
        <w:trPr>
          <w:cnfStyle w:val="100000000000" w:firstRow="1" w:lastRow="0" w:firstColumn="0" w:lastColumn="0" w:oddVBand="0" w:evenVBand="0" w:oddHBand="0" w:evenHBand="0" w:firstRowFirstColumn="0" w:firstRowLastColumn="0" w:lastRowFirstColumn="0" w:lastRowLastColumn="0"/>
          <w:tblHeader/>
        </w:trPr>
        <w:tc>
          <w:tcPr>
            <w:tcW w:w="736" w:type="pct"/>
            <w:gridSpan w:val="2"/>
            <w:tcBorders>
              <w:top w:val="single" w:sz="4" w:space="0" w:color="auto"/>
              <w:bottom w:val="single" w:sz="8" w:space="0" w:color="000000" w:themeColor="text1"/>
            </w:tcBorders>
            <w:shd w:val="clear" w:color="auto" w:fill="auto"/>
          </w:tcPr>
          <w:p w14:paraId="7EFFAE7A" w14:textId="77777777" w:rsidR="00880675" w:rsidRDefault="00880675" w:rsidP="00880675">
            <w:pPr>
              <w:pStyle w:val="TableHeaderCenter"/>
              <w:rPr>
                <w:rFonts w:eastAsiaTheme="minorEastAsia"/>
                <w:b/>
                <w:bCs/>
                <w:color w:val="auto"/>
              </w:rPr>
            </w:pPr>
          </w:p>
        </w:tc>
        <w:tc>
          <w:tcPr>
            <w:tcW w:w="736" w:type="pct"/>
            <w:tcBorders>
              <w:top w:val="single" w:sz="4" w:space="0" w:color="auto"/>
              <w:bottom w:val="single" w:sz="8" w:space="0" w:color="000000" w:themeColor="text1"/>
            </w:tcBorders>
            <w:shd w:val="clear" w:color="auto" w:fill="auto"/>
          </w:tcPr>
          <w:p w14:paraId="31D56965" w14:textId="68CDB69E" w:rsidR="00880675" w:rsidRPr="00633E2C" w:rsidRDefault="00880675" w:rsidP="00880675">
            <w:pPr>
              <w:pStyle w:val="TableHeaderCenter"/>
              <w:rPr>
                <w:rFonts w:eastAsiaTheme="minorEastAsia"/>
                <w:bCs/>
                <w:color w:val="auto"/>
              </w:rPr>
            </w:pPr>
            <w:r w:rsidRPr="00633E2C">
              <w:rPr>
                <w:rFonts w:eastAsiaTheme="minorEastAsia"/>
                <w:bCs/>
                <w:color w:val="auto"/>
              </w:rPr>
              <w:t>Treatment</w:t>
            </w:r>
          </w:p>
        </w:tc>
        <w:tc>
          <w:tcPr>
            <w:tcW w:w="736" w:type="pct"/>
            <w:gridSpan w:val="2"/>
            <w:tcBorders>
              <w:top w:val="single" w:sz="4" w:space="0" w:color="auto"/>
              <w:bottom w:val="single" w:sz="8" w:space="0" w:color="000000" w:themeColor="text1"/>
            </w:tcBorders>
            <w:shd w:val="clear" w:color="auto" w:fill="auto"/>
          </w:tcPr>
          <w:p w14:paraId="222A03A0" w14:textId="02E978C5" w:rsidR="00880675" w:rsidRDefault="00880675" w:rsidP="00880675">
            <w:pPr>
              <w:pStyle w:val="TableHeaderCenter"/>
              <w:rPr>
                <w:rFonts w:eastAsiaTheme="minorEastAsia"/>
                <w:color w:val="auto"/>
              </w:rPr>
            </w:pPr>
            <w:r>
              <w:rPr>
                <w:rFonts w:eastAsiaTheme="minorEastAsia"/>
                <w:color w:val="auto"/>
              </w:rPr>
              <w:t>Control</w:t>
            </w:r>
          </w:p>
        </w:tc>
        <w:tc>
          <w:tcPr>
            <w:tcW w:w="700" w:type="pct"/>
            <w:tcBorders>
              <w:top w:val="single" w:sz="4" w:space="0" w:color="auto"/>
              <w:bottom w:val="single" w:sz="8" w:space="0" w:color="000000" w:themeColor="text1"/>
            </w:tcBorders>
            <w:shd w:val="clear" w:color="auto" w:fill="auto"/>
          </w:tcPr>
          <w:p w14:paraId="4BA7DD9A" w14:textId="0DF52AE6" w:rsidR="00880675" w:rsidRDefault="00880675" w:rsidP="00880675">
            <w:pPr>
              <w:pStyle w:val="TableHeaderCenter"/>
              <w:rPr>
                <w:rFonts w:eastAsiaTheme="minorEastAsia"/>
                <w:b/>
                <w:bCs/>
                <w:color w:val="auto"/>
              </w:rPr>
            </w:pPr>
            <w:r w:rsidRPr="00FE4968">
              <w:rPr>
                <w:rFonts w:eastAsiaTheme="minorEastAsia"/>
                <w:bCs/>
                <w:color w:val="auto"/>
              </w:rPr>
              <w:t>Treatment</w:t>
            </w:r>
          </w:p>
        </w:tc>
        <w:tc>
          <w:tcPr>
            <w:tcW w:w="699" w:type="pct"/>
            <w:tcBorders>
              <w:top w:val="single" w:sz="4" w:space="0" w:color="auto"/>
              <w:bottom w:val="single" w:sz="8" w:space="0" w:color="000000" w:themeColor="text1"/>
            </w:tcBorders>
            <w:shd w:val="clear" w:color="auto" w:fill="auto"/>
          </w:tcPr>
          <w:p w14:paraId="01ED42B4" w14:textId="117B707B" w:rsidR="00880675" w:rsidRDefault="00880675" w:rsidP="00880675">
            <w:pPr>
              <w:pStyle w:val="TableHeaderCenter"/>
              <w:rPr>
                <w:rFonts w:eastAsiaTheme="minorEastAsia"/>
                <w:b/>
                <w:bCs/>
                <w:color w:val="auto"/>
              </w:rPr>
            </w:pPr>
            <w:r>
              <w:rPr>
                <w:rFonts w:eastAsiaTheme="minorEastAsia"/>
                <w:color w:val="auto"/>
              </w:rPr>
              <w:t>Control</w:t>
            </w:r>
          </w:p>
        </w:tc>
        <w:tc>
          <w:tcPr>
            <w:tcW w:w="698" w:type="pct"/>
            <w:tcBorders>
              <w:top w:val="single" w:sz="4" w:space="0" w:color="auto"/>
              <w:bottom w:val="single" w:sz="8" w:space="0" w:color="000000" w:themeColor="text1"/>
            </w:tcBorders>
            <w:shd w:val="clear" w:color="auto" w:fill="auto"/>
          </w:tcPr>
          <w:p w14:paraId="06249A22" w14:textId="70F28865" w:rsidR="00880675" w:rsidRDefault="00880675" w:rsidP="00880675">
            <w:pPr>
              <w:pStyle w:val="TableHeaderCenter"/>
              <w:rPr>
                <w:rFonts w:eastAsiaTheme="minorEastAsia"/>
                <w:b/>
                <w:bCs/>
                <w:color w:val="auto"/>
              </w:rPr>
            </w:pPr>
            <w:r w:rsidRPr="00FE4968">
              <w:rPr>
                <w:rFonts w:eastAsiaTheme="minorEastAsia"/>
                <w:bCs/>
                <w:color w:val="auto"/>
              </w:rPr>
              <w:t>Treatment</w:t>
            </w:r>
          </w:p>
        </w:tc>
        <w:tc>
          <w:tcPr>
            <w:tcW w:w="695" w:type="pct"/>
            <w:tcBorders>
              <w:top w:val="single" w:sz="4" w:space="0" w:color="auto"/>
              <w:bottom w:val="single" w:sz="8" w:space="0" w:color="000000" w:themeColor="text1"/>
            </w:tcBorders>
            <w:shd w:val="clear" w:color="auto" w:fill="auto"/>
          </w:tcPr>
          <w:p w14:paraId="7FE49C42" w14:textId="23677F0F" w:rsidR="00880675" w:rsidRDefault="00880675" w:rsidP="00880675">
            <w:pPr>
              <w:pStyle w:val="TableHeaderCenter"/>
              <w:rPr>
                <w:rFonts w:eastAsiaTheme="minorEastAsia"/>
                <w:color w:val="auto"/>
              </w:rPr>
            </w:pPr>
            <w:r>
              <w:rPr>
                <w:rFonts w:eastAsiaTheme="minorEastAsia"/>
                <w:color w:val="auto"/>
              </w:rPr>
              <w:t>Control</w:t>
            </w:r>
          </w:p>
        </w:tc>
      </w:tr>
      <w:tr w:rsidR="004A3992" w:rsidRPr="004A2FEB" w14:paraId="5AD0412D" w14:textId="4EE8C2D0" w:rsidTr="00880675">
        <w:tc>
          <w:tcPr>
            <w:tcW w:w="689" w:type="pct"/>
          </w:tcPr>
          <w:p w14:paraId="4DF87695" w14:textId="77777777" w:rsidR="00DE2859" w:rsidRPr="004A2FEB" w:rsidRDefault="00DE2859" w:rsidP="00A84CE1">
            <w:pPr>
              <w:spacing w:before="120"/>
              <w:rPr>
                <w:rFonts w:ascii="Arial" w:eastAsiaTheme="minorEastAsia" w:hAnsi="Arial" w:cstheme="minorBidi"/>
                <w:b/>
                <w:sz w:val="18"/>
                <w:szCs w:val="20"/>
              </w:rPr>
            </w:pPr>
            <w:r w:rsidRPr="004A2FEB">
              <w:rPr>
                <w:rFonts w:ascii="Arial" w:eastAsiaTheme="minorEastAsia" w:hAnsi="Arial" w:cstheme="minorBidi"/>
                <w:b/>
                <w:sz w:val="18"/>
                <w:szCs w:val="20"/>
              </w:rPr>
              <w:t>Job ChalleNGe</w:t>
            </w:r>
          </w:p>
        </w:tc>
        <w:tc>
          <w:tcPr>
            <w:tcW w:w="818" w:type="pct"/>
            <w:gridSpan w:val="3"/>
          </w:tcPr>
          <w:p w14:paraId="4FEA0F90" w14:textId="77777777" w:rsidR="00DE2859" w:rsidRPr="004A2FEB" w:rsidRDefault="00DE2859" w:rsidP="00633E2C">
            <w:pPr>
              <w:spacing w:before="120"/>
              <w:ind w:right="373"/>
              <w:jc w:val="right"/>
              <w:rPr>
                <w:rFonts w:ascii="Arial" w:eastAsiaTheme="minorEastAsia" w:hAnsi="Arial" w:cstheme="minorBidi"/>
                <w:b/>
                <w:sz w:val="18"/>
                <w:szCs w:val="20"/>
              </w:rPr>
            </w:pPr>
          </w:p>
        </w:tc>
        <w:tc>
          <w:tcPr>
            <w:tcW w:w="701" w:type="pct"/>
          </w:tcPr>
          <w:p w14:paraId="2AC9D886" w14:textId="77777777" w:rsidR="00DE2859" w:rsidRPr="004A2FEB" w:rsidRDefault="00DE2859" w:rsidP="00633E2C">
            <w:pPr>
              <w:spacing w:before="120"/>
              <w:ind w:right="369"/>
              <w:jc w:val="right"/>
              <w:rPr>
                <w:rFonts w:ascii="Arial" w:eastAsiaTheme="minorEastAsia" w:hAnsi="Arial" w:cstheme="minorBidi"/>
                <w:b/>
                <w:sz w:val="18"/>
                <w:szCs w:val="20"/>
              </w:rPr>
            </w:pPr>
          </w:p>
        </w:tc>
        <w:tc>
          <w:tcPr>
            <w:tcW w:w="700" w:type="pct"/>
          </w:tcPr>
          <w:p w14:paraId="6163F48E" w14:textId="3D456894" w:rsidR="00DE2859" w:rsidRPr="004A2FEB" w:rsidRDefault="00DE2859" w:rsidP="00633E2C">
            <w:pPr>
              <w:spacing w:before="120"/>
              <w:ind w:right="263"/>
              <w:jc w:val="right"/>
              <w:rPr>
                <w:rFonts w:ascii="Arial" w:eastAsiaTheme="minorEastAsia" w:hAnsi="Arial" w:cstheme="minorBidi"/>
                <w:b/>
                <w:sz w:val="18"/>
                <w:szCs w:val="20"/>
              </w:rPr>
            </w:pPr>
          </w:p>
        </w:tc>
        <w:tc>
          <w:tcPr>
            <w:tcW w:w="699" w:type="pct"/>
          </w:tcPr>
          <w:p w14:paraId="530C78A5" w14:textId="77777777" w:rsidR="00DE2859" w:rsidRPr="004A2FEB" w:rsidRDefault="00DE2859" w:rsidP="00633E2C">
            <w:pPr>
              <w:spacing w:before="120"/>
              <w:ind w:right="362"/>
              <w:jc w:val="right"/>
              <w:rPr>
                <w:rFonts w:ascii="Arial" w:eastAsiaTheme="minorEastAsia" w:hAnsi="Arial" w:cstheme="minorBidi"/>
                <w:b/>
                <w:sz w:val="18"/>
                <w:szCs w:val="20"/>
              </w:rPr>
            </w:pPr>
          </w:p>
        </w:tc>
        <w:tc>
          <w:tcPr>
            <w:tcW w:w="698" w:type="pct"/>
          </w:tcPr>
          <w:p w14:paraId="52A9E558" w14:textId="71F4AFE2" w:rsidR="00DE2859" w:rsidRPr="004A2FEB" w:rsidRDefault="00DE2859" w:rsidP="00633E2C">
            <w:pPr>
              <w:spacing w:before="120"/>
              <w:ind w:right="311"/>
              <w:jc w:val="right"/>
              <w:rPr>
                <w:rFonts w:ascii="Arial" w:eastAsiaTheme="minorEastAsia" w:hAnsi="Arial" w:cstheme="minorBidi"/>
                <w:b/>
                <w:sz w:val="18"/>
                <w:szCs w:val="20"/>
              </w:rPr>
            </w:pPr>
          </w:p>
        </w:tc>
        <w:tc>
          <w:tcPr>
            <w:tcW w:w="695" w:type="pct"/>
          </w:tcPr>
          <w:p w14:paraId="52867283" w14:textId="77777777" w:rsidR="00DE2859" w:rsidRPr="004A2FEB" w:rsidRDefault="00DE2859" w:rsidP="00633E2C">
            <w:pPr>
              <w:spacing w:before="120"/>
              <w:ind w:right="342"/>
              <w:jc w:val="right"/>
              <w:rPr>
                <w:rFonts w:ascii="Arial" w:eastAsiaTheme="minorEastAsia" w:hAnsi="Arial" w:cstheme="minorBidi"/>
                <w:b/>
                <w:sz w:val="18"/>
                <w:szCs w:val="20"/>
              </w:rPr>
            </w:pPr>
          </w:p>
        </w:tc>
      </w:tr>
      <w:tr w:rsidR="007D131E" w:rsidRPr="004A2FEB" w14:paraId="706B19FC" w14:textId="0AE3FA56" w:rsidTr="00880675">
        <w:tc>
          <w:tcPr>
            <w:tcW w:w="689" w:type="pct"/>
          </w:tcPr>
          <w:p w14:paraId="02613DE2" w14:textId="77777777" w:rsidR="007D131E" w:rsidRPr="004A2FEB" w:rsidRDefault="007D131E" w:rsidP="007D131E">
            <w:pPr>
              <w:ind w:left="187"/>
              <w:rPr>
                <w:rFonts w:ascii="Arial" w:eastAsiaTheme="minorEastAsia" w:hAnsi="Arial" w:cstheme="minorBidi"/>
                <w:sz w:val="18"/>
                <w:szCs w:val="20"/>
              </w:rPr>
            </w:pPr>
            <w:r w:rsidRPr="004A2FEB">
              <w:rPr>
                <w:rFonts w:ascii="Arial" w:eastAsiaTheme="minorEastAsia" w:hAnsi="Arial" w:cstheme="minorBidi"/>
                <w:sz w:val="18"/>
                <w:szCs w:val="20"/>
              </w:rPr>
              <w:t>Court-involved</w:t>
            </w:r>
          </w:p>
        </w:tc>
        <w:tc>
          <w:tcPr>
            <w:tcW w:w="818" w:type="pct"/>
            <w:gridSpan w:val="3"/>
          </w:tcPr>
          <w:p w14:paraId="678FB51B" w14:textId="2FFA712E" w:rsidR="007D131E" w:rsidRPr="004A2FEB" w:rsidRDefault="007D131E" w:rsidP="00633E2C">
            <w:pPr>
              <w:ind w:right="373"/>
              <w:jc w:val="right"/>
              <w:rPr>
                <w:rFonts w:ascii="Arial" w:eastAsiaTheme="minorEastAsia" w:hAnsi="Arial" w:cstheme="minorBidi"/>
                <w:sz w:val="18"/>
                <w:szCs w:val="20"/>
              </w:rPr>
            </w:pPr>
            <w:r>
              <w:rPr>
                <w:rFonts w:ascii="Arial" w:eastAsiaTheme="minorEastAsia" w:hAnsi="Arial" w:cstheme="minorBidi"/>
                <w:sz w:val="18"/>
                <w:szCs w:val="20"/>
              </w:rPr>
              <w:t>180</w:t>
            </w:r>
          </w:p>
        </w:tc>
        <w:tc>
          <w:tcPr>
            <w:tcW w:w="701" w:type="pct"/>
          </w:tcPr>
          <w:p w14:paraId="1AEE3591" w14:textId="59A03666" w:rsidR="007D131E" w:rsidRPr="004A2FEB" w:rsidRDefault="007D131E" w:rsidP="00633E2C">
            <w:pPr>
              <w:ind w:right="369"/>
              <w:jc w:val="right"/>
              <w:rPr>
                <w:rFonts w:ascii="Arial" w:eastAsiaTheme="minorEastAsia" w:hAnsi="Arial" w:cstheme="minorBidi"/>
                <w:sz w:val="18"/>
                <w:szCs w:val="20"/>
              </w:rPr>
            </w:pPr>
            <w:r>
              <w:rPr>
                <w:rFonts w:ascii="Arial" w:eastAsiaTheme="minorEastAsia" w:hAnsi="Arial" w:cstheme="minorBidi"/>
                <w:sz w:val="18"/>
                <w:szCs w:val="20"/>
              </w:rPr>
              <w:t>90</w:t>
            </w:r>
          </w:p>
        </w:tc>
        <w:tc>
          <w:tcPr>
            <w:tcW w:w="700" w:type="pct"/>
          </w:tcPr>
          <w:p w14:paraId="0F23BAE2" w14:textId="6E30A683" w:rsidR="007D131E" w:rsidRPr="004A2FEB" w:rsidRDefault="007D131E" w:rsidP="00633E2C">
            <w:pPr>
              <w:ind w:right="263"/>
              <w:jc w:val="right"/>
              <w:rPr>
                <w:rFonts w:ascii="Arial" w:eastAsiaTheme="minorEastAsia" w:hAnsi="Arial" w:cstheme="minorBidi"/>
                <w:sz w:val="18"/>
                <w:szCs w:val="20"/>
              </w:rPr>
            </w:pPr>
            <w:r>
              <w:rPr>
                <w:rFonts w:ascii="Arial" w:eastAsiaTheme="minorEastAsia" w:hAnsi="Arial" w:cstheme="minorBidi"/>
                <w:sz w:val="18"/>
                <w:szCs w:val="20"/>
              </w:rPr>
              <w:t>180</w:t>
            </w:r>
          </w:p>
        </w:tc>
        <w:tc>
          <w:tcPr>
            <w:tcW w:w="699" w:type="pct"/>
          </w:tcPr>
          <w:p w14:paraId="00698247" w14:textId="15CBDA95" w:rsidR="007D131E" w:rsidRPr="004A2FEB" w:rsidRDefault="007D131E" w:rsidP="00633E2C">
            <w:pPr>
              <w:ind w:right="362"/>
              <w:jc w:val="right"/>
              <w:rPr>
                <w:rFonts w:ascii="Arial" w:eastAsiaTheme="minorEastAsia" w:hAnsi="Arial" w:cstheme="minorBidi"/>
                <w:sz w:val="18"/>
                <w:szCs w:val="20"/>
              </w:rPr>
            </w:pPr>
            <w:r>
              <w:rPr>
                <w:rFonts w:ascii="Arial" w:eastAsiaTheme="minorEastAsia" w:hAnsi="Arial" w:cstheme="minorBidi"/>
                <w:sz w:val="18"/>
                <w:szCs w:val="20"/>
              </w:rPr>
              <w:t>90</w:t>
            </w:r>
          </w:p>
        </w:tc>
        <w:tc>
          <w:tcPr>
            <w:tcW w:w="698" w:type="pct"/>
          </w:tcPr>
          <w:p w14:paraId="68C5340F" w14:textId="48C047DE" w:rsidR="007D131E" w:rsidRPr="004A2FEB" w:rsidRDefault="007D131E" w:rsidP="00633E2C">
            <w:pPr>
              <w:ind w:right="311"/>
              <w:jc w:val="right"/>
              <w:rPr>
                <w:rFonts w:ascii="Arial" w:eastAsiaTheme="minorEastAsia" w:hAnsi="Arial" w:cstheme="minorBidi"/>
                <w:sz w:val="18"/>
                <w:szCs w:val="20"/>
              </w:rPr>
            </w:pPr>
            <w:r>
              <w:rPr>
                <w:rFonts w:ascii="Arial" w:eastAsiaTheme="minorEastAsia" w:hAnsi="Arial" w:cstheme="minorBidi"/>
                <w:sz w:val="18"/>
                <w:szCs w:val="20"/>
              </w:rPr>
              <w:t>180</w:t>
            </w:r>
          </w:p>
        </w:tc>
        <w:tc>
          <w:tcPr>
            <w:tcW w:w="695" w:type="pct"/>
          </w:tcPr>
          <w:p w14:paraId="67077A8C" w14:textId="5FDF7BBC" w:rsidR="007D131E" w:rsidRPr="004A2FEB" w:rsidRDefault="007D131E" w:rsidP="00633E2C">
            <w:pPr>
              <w:ind w:right="342"/>
              <w:jc w:val="right"/>
              <w:rPr>
                <w:rFonts w:ascii="Arial" w:eastAsiaTheme="minorEastAsia" w:hAnsi="Arial" w:cstheme="minorBidi"/>
                <w:sz w:val="18"/>
                <w:szCs w:val="20"/>
              </w:rPr>
            </w:pPr>
            <w:r>
              <w:rPr>
                <w:rFonts w:ascii="Arial" w:eastAsiaTheme="minorEastAsia" w:hAnsi="Arial" w:cstheme="minorBidi"/>
                <w:sz w:val="18"/>
                <w:szCs w:val="20"/>
              </w:rPr>
              <w:t>90</w:t>
            </w:r>
          </w:p>
        </w:tc>
      </w:tr>
      <w:tr w:rsidR="007D131E" w:rsidRPr="004A2FEB" w14:paraId="490133E2" w14:textId="24F54DBD" w:rsidTr="00880675">
        <w:tc>
          <w:tcPr>
            <w:tcW w:w="689" w:type="pct"/>
          </w:tcPr>
          <w:p w14:paraId="57D0C006" w14:textId="77777777" w:rsidR="007D131E" w:rsidRPr="004A2FEB" w:rsidRDefault="007D131E" w:rsidP="007D131E">
            <w:pPr>
              <w:ind w:left="187"/>
              <w:rPr>
                <w:rFonts w:ascii="Arial" w:eastAsiaTheme="minorEastAsia" w:hAnsi="Arial" w:cstheme="minorBidi"/>
                <w:sz w:val="18"/>
                <w:szCs w:val="20"/>
              </w:rPr>
            </w:pPr>
            <w:r w:rsidRPr="004A2FEB">
              <w:rPr>
                <w:rFonts w:ascii="Arial" w:eastAsiaTheme="minorEastAsia" w:hAnsi="Arial" w:cstheme="minorBidi"/>
                <w:sz w:val="18"/>
                <w:szCs w:val="20"/>
              </w:rPr>
              <w:t>Non-court-involved</w:t>
            </w:r>
          </w:p>
        </w:tc>
        <w:tc>
          <w:tcPr>
            <w:tcW w:w="818" w:type="pct"/>
            <w:gridSpan w:val="3"/>
          </w:tcPr>
          <w:p w14:paraId="7E637A2C" w14:textId="312B8BE2" w:rsidR="007D131E" w:rsidRPr="004A2FEB" w:rsidRDefault="007D131E" w:rsidP="00633E2C">
            <w:pPr>
              <w:ind w:right="373"/>
              <w:jc w:val="right"/>
              <w:rPr>
                <w:rFonts w:ascii="Arial" w:eastAsiaTheme="minorEastAsia" w:hAnsi="Arial" w:cstheme="minorBidi"/>
                <w:sz w:val="18"/>
                <w:szCs w:val="20"/>
              </w:rPr>
            </w:pPr>
            <w:r>
              <w:rPr>
                <w:rFonts w:ascii="Arial" w:eastAsiaTheme="minorEastAsia" w:hAnsi="Arial" w:cstheme="minorBidi"/>
                <w:sz w:val="18"/>
                <w:szCs w:val="20"/>
              </w:rPr>
              <w:t>180</w:t>
            </w:r>
          </w:p>
        </w:tc>
        <w:tc>
          <w:tcPr>
            <w:tcW w:w="701" w:type="pct"/>
          </w:tcPr>
          <w:p w14:paraId="1F424627" w14:textId="2DA82F8E" w:rsidR="007D131E" w:rsidRPr="004A2FEB" w:rsidRDefault="007D131E" w:rsidP="00633E2C">
            <w:pPr>
              <w:ind w:right="369"/>
              <w:jc w:val="right"/>
              <w:rPr>
                <w:rFonts w:ascii="Arial" w:eastAsiaTheme="minorEastAsia" w:hAnsi="Arial" w:cstheme="minorBidi"/>
                <w:sz w:val="18"/>
                <w:szCs w:val="20"/>
              </w:rPr>
            </w:pPr>
            <w:r>
              <w:rPr>
                <w:rFonts w:ascii="Arial" w:eastAsiaTheme="minorEastAsia" w:hAnsi="Arial" w:cstheme="minorBidi"/>
                <w:sz w:val="18"/>
                <w:szCs w:val="20"/>
              </w:rPr>
              <w:t>90</w:t>
            </w:r>
          </w:p>
        </w:tc>
        <w:tc>
          <w:tcPr>
            <w:tcW w:w="700" w:type="pct"/>
          </w:tcPr>
          <w:p w14:paraId="4952DB93" w14:textId="700F7CA3" w:rsidR="007D131E" w:rsidRPr="004A2FEB" w:rsidRDefault="007D131E" w:rsidP="00633E2C">
            <w:pPr>
              <w:ind w:right="263"/>
              <w:jc w:val="right"/>
              <w:rPr>
                <w:rFonts w:ascii="Arial" w:eastAsiaTheme="minorEastAsia" w:hAnsi="Arial" w:cstheme="minorBidi"/>
                <w:sz w:val="18"/>
                <w:szCs w:val="20"/>
              </w:rPr>
            </w:pPr>
            <w:r>
              <w:rPr>
                <w:rFonts w:ascii="Arial" w:eastAsiaTheme="minorEastAsia" w:hAnsi="Arial" w:cstheme="minorBidi"/>
                <w:sz w:val="18"/>
                <w:szCs w:val="20"/>
              </w:rPr>
              <w:t>180</w:t>
            </w:r>
          </w:p>
        </w:tc>
        <w:tc>
          <w:tcPr>
            <w:tcW w:w="699" w:type="pct"/>
          </w:tcPr>
          <w:p w14:paraId="1CB1F3BF" w14:textId="73757CC0" w:rsidR="007D131E" w:rsidRPr="004A2FEB" w:rsidRDefault="007D131E" w:rsidP="00633E2C">
            <w:pPr>
              <w:ind w:right="362"/>
              <w:jc w:val="right"/>
              <w:rPr>
                <w:rFonts w:ascii="Arial" w:eastAsiaTheme="minorEastAsia" w:hAnsi="Arial" w:cstheme="minorBidi"/>
                <w:sz w:val="18"/>
                <w:szCs w:val="20"/>
              </w:rPr>
            </w:pPr>
            <w:r>
              <w:rPr>
                <w:rFonts w:ascii="Arial" w:eastAsiaTheme="minorEastAsia" w:hAnsi="Arial" w:cstheme="minorBidi"/>
                <w:sz w:val="18"/>
                <w:szCs w:val="20"/>
              </w:rPr>
              <w:t>90</w:t>
            </w:r>
          </w:p>
        </w:tc>
        <w:tc>
          <w:tcPr>
            <w:tcW w:w="698" w:type="pct"/>
          </w:tcPr>
          <w:p w14:paraId="0ABE7E55" w14:textId="1AB91F28" w:rsidR="007D131E" w:rsidRPr="004A2FEB" w:rsidRDefault="007D131E" w:rsidP="00633E2C">
            <w:pPr>
              <w:ind w:right="311"/>
              <w:jc w:val="right"/>
              <w:rPr>
                <w:rFonts w:ascii="Arial" w:eastAsiaTheme="minorEastAsia" w:hAnsi="Arial" w:cstheme="minorBidi"/>
                <w:sz w:val="18"/>
                <w:szCs w:val="20"/>
              </w:rPr>
            </w:pPr>
            <w:r>
              <w:rPr>
                <w:rFonts w:ascii="Arial" w:eastAsiaTheme="minorEastAsia" w:hAnsi="Arial" w:cstheme="minorBidi"/>
                <w:sz w:val="18"/>
                <w:szCs w:val="20"/>
              </w:rPr>
              <w:t>180</w:t>
            </w:r>
          </w:p>
        </w:tc>
        <w:tc>
          <w:tcPr>
            <w:tcW w:w="695" w:type="pct"/>
          </w:tcPr>
          <w:p w14:paraId="71B40F51" w14:textId="7E9749DF" w:rsidR="007D131E" w:rsidRPr="004A2FEB" w:rsidRDefault="007D131E" w:rsidP="00633E2C">
            <w:pPr>
              <w:ind w:right="342"/>
              <w:jc w:val="right"/>
              <w:rPr>
                <w:rFonts w:ascii="Arial" w:eastAsiaTheme="minorEastAsia" w:hAnsi="Arial" w:cstheme="minorBidi"/>
                <w:sz w:val="18"/>
                <w:szCs w:val="20"/>
              </w:rPr>
            </w:pPr>
            <w:r>
              <w:rPr>
                <w:rFonts w:ascii="Arial" w:eastAsiaTheme="minorEastAsia" w:hAnsi="Arial" w:cstheme="minorBidi"/>
                <w:sz w:val="18"/>
                <w:szCs w:val="20"/>
              </w:rPr>
              <w:t>90</w:t>
            </w:r>
          </w:p>
        </w:tc>
      </w:tr>
      <w:tr w:rsidR="007D131E" w:rsidRPr="004A2FEB" w14:paraId="0F117B57" w14:textId="23BC9774" w:rsidTr="00880675">
        <w:tc>
          <w:tcPr>
            <w:tcW w:w="689" w:type="pct"/>
            <w:tcBorders>
              <w:bottom w:val="single" w:sz="8" w:space="0" w:color="000000" w:themeColor="text1"/>
            </w:tcBorders>
          </w:tcPr>
          <w:p w14:paraId="4E3036FF" w14:textId="77777777" w:rsidR="007D131E" w:rsidRPr="004A2FEB" w:rsidRDefault="007D131E" w:rsidP="007D131E">
            <w:pPr>
              <w:ind w:left="187"/>
              <w:rPr>
                <w:rFonts w:ascii="Arial" w:eastAsiaTheme="minorEastAsia" w:hAnsi="Arial" w:cstheme="minorBidi"/>
                <w:sz w:val="18"/>
                <w:szCs w:val="20"/>
              </w:rPr>
            </w:pPr>
            <w:r w:rsidRPr="004A2FEB">
              <w:rPr>
                <w:rFonts w:ascii="Arial" w:eastAsiaTheme="minorEastAsia" w:hAnsi="Arial" w:cstheme="minorBidi"/>
                <w:sz w:val="18"/>
                <w:szCs w:val="20"/>
              </w:rPr>
              <w:t>Total</w:t>
            </w:r>
          </w:p>
        </w:tc>
        <w:tc>
          <w:tcPr>
            <w:tcW w:w="818" w:type="pct"/>
            <w:gridSpan w:val="3"/>
            <w:tcBorders>
              <w:bottom w:val="single" w:sz="8" w:space="0" w:color="000000" w:themeColor="text1"/>
            </w:tcBorders>
          </w:tcPr>
          <w:p w14:paraId="2ABAC2EF" w14:textId="0702E086" w:rsidR="007D131E" w:rsidRPr="004A2FEB" w:rsidRDefault="007D131E" w:rsidP="00633E2C">
            <w:pPr>
              <w:ind w:right="373"/>
              <w:jc w:val="right"/>
              <w:rPr>
                <w:rFonts w:ascii="Arial" w:eastAsiaTheme="minorEastAsia" w:hAnsi="Arial" w:cstheme="minorBidi"/>
                <w:sz w:val="18"/>
                <w:szCs w:val="20"/>
              </w:rPr>
            </w:pPr>
            <w:r>
              <w:rPr>
                <w:rFonts w:ascii="Arial" w:eastAsiaTheme="minorEastAsia" w:hAnsi="Arial" w:cstheme="minorBidi"/>
                <w:sz w:val="18"/>
                <w:szCs w:val="20"/>
              </w:rPr>
              <w:t>360</w:t>
            </w:r>
          </w:p>
        </w:tc>
        <w:tc>
          <w:tcPr>
            <w:tcW w:w="701" w:type="pct"/>
            <w:tcBorders>
              <w:bottom w:val="single" w:sz="8" w:space="0" w:color="000000" w:themeColor="text1"/>
            </w:tcBorders>
          </w:tcPr>
          <w:p w14:paraId="686290C3" w14:textId="29A6D288" w:rsidR="007D131E" w:rsidRPr="004A2FEB" w:rsidRDefault="007D131E" w:rsidP="00633E2C">
            <w:pPr>
              <w:ind w:right="369"/>
              <w:jc w:val="right"/>
              <w:rPr>
                <w:rFonts w:ascii="Arial" w:eastAsiaTheme="minorEastAsia" w:hAnsi="Arial" w:cstheme="minorBidi"/>
                <w:sz w:val="18"/>
                <w:szCs w:val="20"/>
              </w:rPr>
            </w:pPr>
            <w:r>
              <w:rPr>
                <w:rFonts w:ascii="Arial" w:eastAsiaTheme="minorEastAsia" w:hAnsi="Arial" w:cstheme="minorBidi"/>
                <w:sz w:val="18"/>
                <w:szCs w:val="20"/>
              </w:rPr>
              <w:t>180</w:t>
            </w:r>
          </w:p>
        </w:tc>
        <w:tc>
          <w:tcPr>
            <w:tcW w:w="700" w:type="pct"/>
            <w:tcBorders>
              <w:bottom w:val="single" w:sz="8" w:space="0" w:color="000000" w:themeColor="text1"/>
            </w:tcBorders>
          </w:tcPr>
          <w:p w14:paraId="59D50CAF" w14:textId="1257E402" w:rsidR="007D131E" w:rsidRPr="004A2FEB" w:rsidRDefault="007D131E" w:rsidP="00633E2C">
            <w:pPr>
              <w:ind w:right="263"/>
              <w:jc w:val="right"/>
              <w:rPr>
                <w:rFonts w:ascii="Arial" w:eastAsiaTheme="minorEastAsia" w:hAnsi="Arial" w:cstheme="minorBidi"/>
                <w:sz w:val="18"/>
                <w:szCs w:val="20"/>
              </w:rPr>
            </w:pPr>
            <w:r>
              <w:rPr>
                <w:rFonts w:ascii="Arial" w:eastAsiaTheme="minorEastAsia" w:hAnsi="Arial" w:cstheme="minorBidi"/>
                <w:sz w:val="18"/>
                <w:szCs w:val="20"/>
              </w:rPr>
              <w:t>360</w:t>
            </w:r>
          </w:p>
        </w:tc>
        <w:tc>
          <w:tcPr>
            <w:tcW w:w="699" w:type="pct"/>
            <w:tcBorders>
              <w:bottom w:val="single" w:sz="8" w:space="0" w:color="000000" w:themeColor="text1"/>
            </w:tcBorders>
          </w:tcPr>
          <w:p w14:paraId="521F3213" w14:textId="46FD9434" w:rsidR="007D131E" w:rsidRPr="004A2FEB" w:rsidRDefault="007D131E" w:rsidP="00633E2C">
            <w:pPr>
              <w:ind w:right="362"/>
              <w:jc w:val="right"/>
              <w:rPr>
                <w:rFonts w:ascii="Arial" w:eastAsiaTheme="minorEastAsia" w:hAnsi="Arial" w:cstheme="minorBidi"/>
                <w:sz w:val="18"/>
                <w:szCs w:val="20"/>
              </w:rPr>
            </w:pPr>
            <w:r>
              <w:rPr>
                <w:rFonts w:ascii="Arial" w:eastAsiaTheme="minorEastAsia" w:hAnsi="Arial" w:cstheme="minorBidi"/>
                <w:sz w:val="18"/>
                <w:szCs w:val="20"/>
              </w:rPr>
              <w:t>180</w:t>
            </w:r>
          </w:p>
        </w:tc>
        <w:tc>
          <w:tcPr>
            <w:tcW w:w="698" w:type="pct"/>
            <w:tcBorders>
              <w:bottom w:val="single" w:sz="8" w:space="0" w:color="000000" w:themeColor="text1"/>
            </w:tcBorders>
          </w:tcPr>
          <w:p w14:paraId="5D5488D0" w14:textId="69B83437" w:rsidR="007D131E" w:rsidRPr="004A2FEB" w:rsidRDefault="007D131E" w:rsidP="00633E2C">
            <w:pPr>
              <w:ind w:right="311"/>
              <w:jc w:val="right"/>
              <w:rPr>
                <w:rFonts w:ascii="Arial" w:eastAsiaTheme="minorEastAsia" w:hAnsi="Arial" w:cstheme="minorBidi"/>
                <w:sz w:val="18"/>
                <w:szCs w:val="20"/>
              </w:rPr>
            </w:pPr>
            <w:r>
              <w:rPr>
                <w:rFonts w:ascii="Arial" w:eastAsiaTheme="minorEastAsia" w:hAnsi="Arial" w:cstheme="minorBidi"/>
                <w:sz w:val="18"/>
                <w:szCs w:val="20"/>
              </w:rPr>
              <w:t>360</w:t>
            </w:r>
          </w:p>
        </w:tc>
        <w:tc>
          <w:tcPr>
            <w:tcW w:w="695" w:type="pct"/>
            <w:tcBorders>
              <w:bottom w:val="single" w:sz="8" w:space="0" w:color="000000" w:themeColor="text1"/>
            </w:tcBorders>
          </w:tcPr>
          <w:p w14:paraId="150B0EE4" w14:textId="5FA9146F" w:rsidR="007D131E" w:rsidRPr="004A2FEB" w:rsidRDefault="007D131E" w:rsidP="00633E2C">
            <w:pPr>
              <w:ind w:right="342"/>
              <w:jc w:val="right"/>
              <w:rPr>
                <w:rFonts w:ascii="Arial" w:eastAsiaTheme="minorEastAsia" w:hAnsi="Arial" w:cstheme="minorBidi"/>
                <w:sz w:val="18"/>
                <w:szCs w:val="20"/>
              </w:rPr>
            </w:pPr>
            <w:r>
              <w:rPr>
                <w:rFonts w:ascii="Arial" w:eastAsiaTheme="minorEastAsia" w:hAnsi="Arial" w:cstheme="minorBidi"/>
                <w:sz w:val="18"/>
                <w:szCs w:val="20"/>
              </w:rPr>
              <w:t>180</w:t>
            </w:r>
          </w:p>
        </w:tc>
      </w:tr>
    </w:tbl>
    <w:p w14:paraId="680C6DF2" w14:textId="77777777" w:rsidR="00C00E45" w:rsidRDefault="00C00E45" w:rsidP="00DF5DC5">
      <w:pPr>
        <w:pStyle w:val="NormalSS"/>
      </w:pPr>
    </w:p>
    <w:p w14:paraId="0695FCB5" w14:textId="069EDACE" w:rsidR="00DF5DC5" w:rsidRDefault="00DF5DC5" w:rsidP="00DF5DC5">
      <w:pPr>
        <w:pStyle w:val="NormalSS"/>
      </w:pPr>
      <w:r>
        <w:t xml:space="preserve">We expect high response rates (at least 95 percent) for both the consent form and the </w:t>
      </w:r>
      <w:r w:rsidR="00200C7F">
        <w:t>baseline</w:t>
      </w:r>
      <w:r w:rsidR="00CA2595">
        <w:t xml:space="preserve"> </w:t>
      </w:r>
      <w:r>
        <w:t xml:space="preserve">information form, based on prior experience conducting </w:t>
      </w:r>
      <w:r w:rsidR="00DF0633">
        <w:t xml:space="preserve">an </w:t>
      </w:r>
      <w:r>
        <w:t xml:space="preserve">evaluation of </w:t>
      </w:r>
      <w:r w:rsidR="00F42E86">
        <w:t xml:space="preserve">YouthBuild, a </w:t>
      </w:r>
      <w:r>
        <w:t>similar program</w:t>
      </w:r>
      <w:r w:rsidR="00F42E86">
        <w:t xml:space="preserve">, for which we obtained a </w:t>
      </w:r>
      <w:r w:rsidR="00FF79DB">
        <w:t xml:space="preserve">comparable </w:t>
      </w:r>
      <w:r w:rsidR="00F42E86">
        <w:t>response rate.</w:t>
      </w:r>
      <w:r w:rsidR="00F42E86" w:rsidDel="00F42E86">
        <w:t xml:space="preserve"> </w:t>
      </w:r>
    </w:p>
    <w:p w14:paraId="430C64B3" w14:textId="77777777" w:rsidR="0090659E" w:rsidRDefault="0090659E" w:rsidP="00DF5DC5">
      <w:pPr>
        <w:pStyle w:val="NormalSS"/>
        <w:rPr>
          <w:i/>
        </w:rPr>
      </w:pPr>
      <w:r w:rsidRPr="00E77CDE">
        <w:rPr>
          <w:i/>
        </w:rPr>
        <w:t>Site Visits for Implementation Study</w:t>
      </w:r>
    </w:p>
    <w:p w14:paraId="4D8002AA" w14:textId="77777777" w:rsidR="0090659E" w:rsidRPr="0090659E" w:rsidRDefault="00DF5DC5" w:rsidP="00DF5DC5">
      <w:pPr>
        <w:pStyle w:val="NormalSS"/>
      </w:pPr>
      <w:r w:rsidDel="0090659E">
        <w:t xml:space="preserve">For the implementation study, in-depth site visits will be conducted to each of the three sites to look more closely at program operations, challenges, and successes that can help support the impact study. </w:t>
      </w:r>
      <w:r w:rsidR="0090659E" w:rsidRPr="0090659E">
        <w:t xml:space="preserve">The visits to the three grantee sites will involve interviews with up to 113 staff, </w:t>
      </w:r>
      <w:r w:rsidR="00F96595">
        <w:t xml:space="preserve">and </w:t>
      </w:r>
      <w:r w:rsidR="0090659E" w:rsidRPr="0090659E">
        <w:t xml:space="preserve">3 employers during the first visit, and interviews with up to 104 staff, </w:t>
      </w:r>
      <w:r w:rsidR="00F96595">
        <w:t xml:space="preserve">and </w:t>
      </w:r>
      <w:r w:rsidR="0090659E" w:rsidRPr="0090659E">
        <w:t xml:space="preserve">6 employers during the second visit. </w:t>
      </w:r>
      <w:r w:rsidR="00F96595">
        <w:t>The visits will</w:t>
      </w:r>
      <w:r w:rsidR="00AD1F5D">
        <w:t xml:space="preserve"> also </w:t>
      </w:r>
      <w:r w:rsidR="00F96595">
        <w:t xml:space="preserve">involve focus groups with up to 42 cadets during </w:t>
      </w:r>
      <w:r w:rsidR="000F30B9">
        <w:t>each of the two</w:t>
      </w:r>
      <w:r w:rsidR="00F96595">
        <w:t xml:space="preserve"> visit</w:t>
      </w:r>
      <w:r w:rsidR="000F30B9">
        <w:t>s</w:t>
      </w:r>
      <w:r w:rsidR="00F96595">
        <w:t xml:space="preserve">. </w:t>
      </w:r>
      <w:r w:rsidR="00DB1DC7">
        <w:t>We will not use any</w:t>
      </w:r>
      <w:r w:rsidR="00F96595" w:rsidRPr="00F96595">
        <w:t xml:space="preserve"> statistical methods in the selection </w:t>
      </w:r>
      <w:r w:rsidR="00DB1DC7">
        <w:t>of staff</w:t>
      </w:r>
      <w:r w:rsidR="000F30B9">
        <w:t>, employers,</w:t>
      </w:r>
      <w:r w:rsidR="00DB1DC7">
        <w:t xml:space="preserve"> or youth to interview </w:t>
      </w:r>
      <w:r w:rsidR="00F96595" w:rsidRPr="00F96595">
        <w:t xml:space="preserve">or </w:t>
      </w:r>
      <w:r w:rsidR="00DB1DC7">
        <w:t>in the analysis of the interview data</w:t>
      </w:r>
      <w:r w:rsidR="00F96595" w:rsidRPr="00F96595">
        <w:t>.</w:t>
      </w:r>
      <w:r>
        <w:t xml:space="preserve"> </w:t>
      </w:r>
    </w:p>
    <w:p w14:paraId="42F31337" w14:textId="77777777" w:rsidR="00DF5DC5" w:rsidRPr="000144C2" w:rsidRDefault="00DF5DC5" w:rsidP="008F446A">
      <w:pPr>
        <w:pStyle w:val="H4Number"/>
      </w:pPr>
      <w:bookmarkStart w:id="20" w:name="_Toc299537547"/>
      <w:bookmarkStart w:id="21" w:name="_Toc428365575"/>
      <w:bookmarkStart w:id="22" w:name="_Toc428366621"/>
      <w:bookmarkStart w:id="23" w:name="_Toc428366635"/>
      <w:r>
        <w:t>2.</w:t>
      </w:r>
      <w:r>
        <w:tab/>
        <w:t>Procedures for the collection of information</w:t>
      </w:r>
      <w:bookmarkEnd w:id="20"/>
      <w:bookmarkEnd w:id="21"/>
      <w:bookmarkEnd w:id="22"/>
      <w:bookmarkEnd w:id="23"/>
    </w:p>
    <w:p w14:paraId="487C34CD" w14:textId="0D0405A3" w:rsidR="00DF5DC5" w:rsidRDefault="00DF5DC5" w:rsidP="003E0E47">
      <w:pPr>
        <w:pStyle w:val="NormalSS"/>
      </w:pPr>
      <w:r w:rsidRPr="00AC142E">
        <w:t>Youth (and their parents/guardians, when needed) will be asked to provide consent for participation in the study prior to the collection of study data or random assignment</w:t>
      </w:r>
      <w:r>
        <w:t xml:space="preserve">. </w:t>
      </w:r>
      <w:r w:rsidRPr="00AC142E">
        <w:t xml:space="preserve">When possible, youth will be asked to provide consent and complete a </w:t>
      </w:r>
      <w:r w:rsidR="00524BC7">
        <w:t xml:space="preserve">form requesting </w:t>
      </w:r>
      <w:r w:rsidR="00AD1F5D">
        <w:t>baseline</w:t>
      </w:r>
      <w:r w:rsidR="00524BC7" w:rsidRPr="00AC142E">
        <w:t xml:space="preserve"> </w:t>
      </w:r>
      <w:r w:rsidRPr="00AC142E">
        <w:t xml:space="preserve">data </w:t>
      </w:r>
      <w:r w:rsidR="003E0E47">
        <w:t>early in the</w:t>
      </w:r>
      <w:r w:rsidRPr="00AC142E">
        <w:t xml:space="preserve"> Youth ChalleNGe program. The consent form administered at th</w:t>
      </w:r>
      <w:r>
        <w:t>at</w:t>
      </w:r>
      <w:r w:rsidRPr="00AC142E">
        <w:t xml:space="preserve"> time also will be used to secure consent from the youth (and their parents</w:t>
      </w:r>
      <w:r>
        <w:t xml:space="preserve"> or </w:t>
      </w:r>
      <w:r w:rsidRPr="00AC142E">
        <w:t xml:space="preserve">guardians, when needed) for the Job ChalleNGe random assignment and related impact study. In this way, consent will need to be collected only once, rather than twice. </w:t>
      </w:r>
    </w:p>
    <w:p w14:paraId="600286CC" w14:textId="19D9837F" w:rsidR="00DF5DC5" w:rsidRDefault="00DF5DC5" w:rsidP="003947A2">
      <w:pPr>
        <w:pStyle w:val="NormalSS"/>
      </w:pPr>
      <w:r>
        <w:lastRenderedPageBreak/>
        <w:t xml:space="preserve">As noted above, random assignment processes will be used to select up </w:t>
      </w:r>
      <w:r w:rsidRPr="00BE3DDD">
        <w:t xml:space="preserve">to </w:t>
      </w:r>
      <w:r w:rsidR="00CA2595">
        <w:t>1,</w:t>
      </w:r>
      <w:r w:rsidR="00972167">
        <w:t>620</w:t>
      </w:r>
      <w:r w:rsidR="00972167" w:rsidRPr="00BE3DDD">
        <w:t xml:space="preserve"> </w:t>
      </w:r>
      <w:r w:rsidRPr="00BE3DDD">
        <w:t>youth for the Job ChalleN</w:t>
      </w:r>
      <w:r>
        <w:t>Ge impact analysis (1,</w:t>
      </w:r>
      <w:r w:rsidR="00CA2595">
        <w:t xml:space="preserve">080 </w:t>
      </w:r>
      <w:r>
        <w:t xml:space="preserve">treatment, </w:t>
      </w:r>
      <w:r w:rsidR="00CA2595">
        <w:t xml:space="preserve">540 </w:t>
      </w:r>
      <w:r>
        <w:t>control).</w:t>
      </w:r>
    </w:p>
    <w:p w14:paraId="5BFA2749" w14:textId="517E2E64" w:rsidR="00DF5DC5" w:rsidRDefault="00DF5DC5" w:rsidP="008F446A">
      <w:pPr>
        <w:pStyle w:val="H4NumberNoTOC"/>
      </w:pPr>
      <w:bookmarkStart w:id="24" w:name="_Toc299537548"/>
      <w:r>
        <w:t>a.</w:t>
      </w:r>
      <w:r>
        <w:tab/>
        <w:t>Analysis methods for impact estimation</w:t>
      </w:r>
    </w:p>
    <w:p w14:paraId="26C1F9EE" w14:textId="6A96C609" w:rsidR="00DF5DC5" w:rsidRDefault="00DF5DC5" w:rsidP="003947A2">
      <w:pPr>
        <w:pStyle w:val="NormalSS"/>
      </w:pPr>
      <w:r>
        <w:t xml:space="preserve">The central feature of the analysis to estimate the impacts of access to the </w:t>
      </w:r>
      <w:r w:rsidR="003E0E47">
        <w:t xml:space="preserve">Job </w:t>
      </w:r>
      <w:r>
        <w:t xml:space="preserve">ChalleNGe program on youth outcomes is the random assignment of program-eligible youth to a treatment group that will be eligible to participate in the </w:t>
      </w:r>
      <w:r w:rsidR="003E0E47">
        <w:t xml:space="preserve">Job </w:t>
      </w:r>
      <w:r>
        <w:t xml:space="preserve">ChalleNGe program, or a control group that will not be eligible </w:t>
      </w:r>
      <w:r w:rsidR="003E0E47">
        <w:t xml:space="preserve">for Job ChalleNGe </w:t>
      </w:r>
      <w:r>
        <w:t xml:space="preserve">but could receive the standard Youth ChalleNGe follow-up services. Experimental statistical methods will be used to yield unbiased estimates of the impacts of the Job ChalleNGe programs by comparing the mean outcomes of the treatment and control group members over time (see the section below on “Estimating impacts for the full sample” for a fuller discussion). Outcomes will be measured as either binary (0/1) variables (for example, whether or not the youth received a high school diploma) or continuous variables (for example, earnings). Impacts will be estimated not only for the full sample, but also for policy-relevant subgroups, such as court-involved youth. The analysis will be conducted using the SAS and </w:t>
      </w:r>
      <w:r w:rsidR="00DC51B0">
        <w:t xml:space="preserve">Stata </w:t>
      </w:r>
      <w:r>
        <w:t>software programs.</w:t>
      </w:r>
    </w:p>
    <w:p w14:paraId="7A9DF434" w14:textId="488B5C1D" w:rsidR="00DF5DC5" w:rsidRDefault="00DF5DC5" w:rsidP="00DF5DC5">
      <w:pPr>
        <w:pStyle w:val="NormalSS"/>
      </w:pPr>
      <w:r w:rsidRPr="00495EB8">
        <w:rPr>
          <w:b/>
        </w:rPr>
        <w:t>Assessing baseline equivalence.</w:t>
      </w:r>
      <w:r w:rsidRPr="00495EB8">
        <w:t xml:space="preserve"> If a random assignment design is conducted properly, there should be no systematic observable or unobservable differences between </w:t>
      </w:r>
      <w:r>
        <w:t>the treatment and control</w:t>
      </w:r>
      <w:r w:rsidRPr="00495EB8">
        <w:t xml:space="preserve"> groups except for the </w:t>
      </w:r>
      <w:r w:rsidRPr="003947A2">
        <w:t>s</w:t>
      </w:r>
      <w:r w:rsidRPr="00495EB8">
        <w:t xml:space="preserve">ervices offered after random assignment. </w:t>
      </w:r>
      <w:r>
        <w:t>To assess</w:t>
      </w:r>
      <w:r w:rsidRPr="00495EB8">
        <w:t xml:space="preserve"> whether randomization was conducted properly</w:t>
      </w:r>
      <w:r>
        <w:t>,</w:t>
      </w:r>
      <w:r w:rsidRPr="00495EB8">
        <w:t xml:space="preserve"> statistical t-tests</w:t>
      </w:r>
      <w:r>
        <w:t xml:space="preserve"> will be conducted</w:t>
      </w:r>
      <w:r w:rsidRPr="00495EB8">
        <w:t xml:space="preserve"> to assess mean differences in the baseline measures of treatment and control groups using data from the BIFs. Because </w:t>
      </w:r>
      <w:r w:rsidR="00200C7F">
        <w:t>baseline</w:t>
      </w:r>
      <w:r w:rsidRPr="00495EB8">
        <w:t xml:space="preserve"> data will be collected prior to random assignment, there should no differences in data quality or response between the treatment and control groups. </w:t>
      </w:r>
      <w:r>
        <w:t>In addition, t</w:t>
      </w:r>
      <w:r w:rsidRPr="00495EB8">
        <w:t xml:space="preserve">-tests </w:t>
      </w:r>
      <w:r>
        <w:t xml:space="preserve">will be conducted </w:t>
      </w:r>
      <w:r w:rsidRPr="00495EB8">
        <w:t>on each baseline measure in isolation</w:t>
      </w:r>
      <w:r>
        <w:t>,</w:t>
      </w:r>
      <w:r w:rsidRPr="00495EB8">
        <w:t xml:space="preserve"> and a joint F-test </w:t>
      </w:r>
      <w:r>
        <w:t xml:space="preserve">will be used </w:t>
      </w:r>
      <w:r w:rsidRPr="00495EB8">
        <w:t>to assess the joint significance of the baseline differences</w:t>
      </w:r>
      <w:r>
        <w:t xml:space="preserve">. </w:t>
      </w:r>
    </w:p>
    <w:p w14:paraId="18AE5971" w14:textId="77777777" w:rsidR="00DF5DC5" w:rsidRPr="00495EB8" w:rsidRDefault="00DF5DC5" w:rsidP="003947A2">
      <w:pPr>
        <w:pStyle w:val="NormalSS"/>
      </w:pPr>
      <w:r w:rsidRPr="00495EB8">
        <w:rPr>
          <w:b/>
        </w:rPr>
        <w:t xml:space="preserve">Estimating impacts for the full sample. </w:t>
      </w:r>
      <w:r w:rsidRPr="00495EB8">
        <w:t>With a random assignment design, simple differences in the mean values of outcomes between students assigned to the treatment and control groups will yield unbiased impact estimates of program effects, and the associated t-tests can be used to assess statistical significance.</w:t>
      </w:r>
    </w:p>
    <w:p w14:paraId="73AA02EA" w14:textId="6A1373F8" w:rsidR="00DF5DC5" w:rsidRDefault="00DF5DC5" w:rsidP="003947A2">
      <w:pPr>
        <w:pStyle w:val="NormalSS"/>
      </w:pPr>
      <w:r>
        <w:t xml:space="preserve">This study will calculate the impact of access to the Job ChalleNGe program </w:t>
      </w:r>
      <w:r w:rsidRPr="00CB2AB2">
        <w:t xml:space="preserve">for </w:t>
      </w:r>
      <w:r>
        <w:t>youth</w:t>
      </w:r>
      <w:r w:rsidRPr="00CB2AB2">
        <w:t xml:space="preserve"> who have completed the Youth ChalleNGe</w:t>
      </w:r>
      <w:r>
        <w:t xml:space="preserve"> </w:t>
      </w:r>
      <w:r w:rsidRPr="00CB2AB2">
        <w:t>residential phase and are interested in participating in Job ChalleNGe. The strength of the</w:t>
      </w:r>
      <w:r>
        <w:t xml:space="preserve"> </w:t>
      </w:r>
      <w:r w:rsidRPr="00CB2AB2">
        <w:t xml:space="preserve">experimental design is that, when implemented properly, random assignment ensures that the </w:t>
      </w:r>
      <w:r>
        <w:t>treatment</w:t>
      </w:r>
      <w:r w:rsidRPr="00CB2AB2">
        <w:t xml:space="preserve"> and control groups are similar to each other</w:t>
      </w:r>
      <w:r w:rsidRPr="00146FB6">
        <w:t xml:space="preserve"> </w:t>
      </w:r>
      <w:r w:rsidRPr="00CB2AB2">
        <w:t>at baseline on both observed and unobserved</w:t>
      </w:r>
      <w:r>
        <w:t xml:space="preserve"> </w:t>
      </w:r>
      <w:r w:rsidRPr="00CB2AB2">
        <w:t>characteristics. Any statistically significant post-baseline differences between the two</w:t>
      </w:r>
      <w:r>
        <w:t xml:space="preserve"> </w:t>
      </w:r>
      <w:r w:rsidRPr="00CB2AB2">
        <w:t>groups can be interpreted as effects of the program. Our proposed approach for Job ChalleNGe impact</w:t>
      </w:r>
      <w:r>
        <w:t xml:space="preserve"> estimation</w:t>
      </w:r>
      <w:r w:rsidRPr="00CB2AB2">
        <w:t xml:space="preserve"> combines the strength of random assignment design with</w:t>
      </w:r>
      <w:r>
        <w:t xml:space="preserve"> </w:t>
      </w:r>
      <w:r w:rsidRPr="00CB2AB2">
        <w:t>statistical modeling to improve the efficiency of the estimated impacts.</w:t>
      </w:r>
      <w:r>
        <w:t xml:space="preserve"> </w:t>
      </w:r>
    </w:p>
    <w:p w14:paraId="5C3EB40E" w14:textId="77777777" w:rsidR="00DF5DC5" w:rsidRDefault="00DF5DC5" w:rsidP="00DF5DC5">
      <w:pPr>
        <w:pStyle w:val="NormalSS"/>
      </w:pPr>
      <w:r w:rsidRPr="00CB2AB2">
        <w:t>The primary analytical method will compare average outcomes for treatment group</w:t>
      </w:r>
      <w:r>
        <w:t xml:space="preserve"> </w:t>
      </w:r>
      <w:r w:rsidRPr="00CB2AB2">
        <w:t xml:space="preserve">members and control group members pooled across the sites. </w:t>
      </w:r>
      <w:r>
        <w:t>R</w:t>
      </w:r>
      <w:r w:rsidRPr="00CB2AB2">
        <w:t>egression adjustment</w:t>
      </w:r>
      <w:r>
        <w:t>s will</w:t>
      </w:r>
      <w:r w:rsidRPr="00CB2AB2">
        <w:t xml:space="preserve"> increase the power of the statistical tests. For impacts on continuous outcomes, such as</w:t>
      </w:r>
      <w:r>
        <w:t xml:space="preserve"> </w:t>
      </w:r>
      <w:r w:rsidRPr="00CB2AB2">
        <w:t>earnings during a certain time period, the following regression model</w:t>
      </w:r>
      <w:r>
        <w:t xml:space="preserve"> will be estimated</w:t>
      </w:r>
      <w:r w:rsidRPr="00CB2AB2">
        <w:t>:</w:t>
      </w:r>
      <w:r>
        <w:t xml:space="preserve"> </w:t>
      </w:r>
    </w:p>
    <w:p w14:paraId="6C8E7066" w14:textId="279975C6" w:rsidR="00DF5DC5" w:rsidRDefault="00DF5DC5" w:rsidP="00DF5DC5">
      <w:pPr>
        <w:pStyle w:val="NormalSS"/>
        <w:rPr>
          <w:rFonts w:ascii="TimesNewRomanPSMT" w:hAnsi="TimesNewRomanPSMT" w:cs="TimesNewRomanPSMT"/>
        </w:rPr>
      </w:pPr>
      <w:r>
        <w:t xml:space="preserve">(1) </w:t>
      </w:r>
      <m:oMath>
        <m:sSub>
          <m:sSubPr>
            <m:ctrlPr>
              <w:rPr>
                <w:rFonts w:ascii="Cambria Math" w:hAnsi="Cambria Math"/>
              </w:rPr>
            </m:ctrlPr>
          </m:sSubPr>
          <m:e>
            <m:r>
              <w:rPr>
                <w:rFonts w:ascii="Cambria Math" w:hAnsi="Cambria Math"/>
              </w:rPr>
              <m:t>Y</m:t>
            </m:r>
          </m:e>
          <m:sub>
            <m:r>
              <w:rPr>
                <w:rFonts w:ascii="Cambria Math" w:hAnsi="Cambria Math"/>
              </w:rPr>
              <m:t>ij</m:t>
            </m:r>
          </m:sub>
        </m:sSub>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X</m:t>
            </m:r>
          </m:e>
          <m:sub>
            <m:r>
              <w:rPr>
                <w:rFonts w:ascii="Cambria Math" w:hAnsi="Cambria Math"/>
              </w:rPr>
              <m:t>ij</m:t>
            </m:r>
          </m:sub>
        </m:sSub>
        <m:r>
          <m:rPr>
            <m:sty m:val="p"/>
          </m:rPr>
          <w:rPr>
            <w:rFonts w:ascii="Cambria Math" w:hAnsi="Cambria Math"/>
          </w:rPr>
          <m:t>+</m:t>
        </m:r>
        <m:r>
          <w:rPr>
            <w:rFonts w:ascii="Cambria Math" w:hAnsi="Cambria Math"/>
          </w:rPr>
          <m:t>δ</m:t>
        </m:r>
        <m:sSub>
          <m:sSubPr>
            <m:ctrlPr>
              <w:rPr>
                <w:rFonts w:ascii="Cambria Math" w:hAnsi="Cambria Math"/>
              </w:rPr>
            </m:ctrlPr>
          </m:sSubPr>
          <m:e>
            <m:r>
              <w:rPr>
                <w:rFonts w:ascii="Cambria Math" w:hAnsi="Cambria Math"/>
              </w:rPr>
              <m:t>P</m:t>
            </m:r>
          </m:e>
          <m:sub>
            <m:r>
              <w:rPr>
                <w:rFonts w:ascii="Cambria Math" w:hAnsi="Cambria Math"/>
              </w:rPr>
              <m:t>ij</m:t>
            </m:r>
          </m:sub>
        </m:sSub>
        <m:r>
          <m:rPr>
            <m:sty m:val="p"/>
          </m:rPr>
          <w:rPr>
            <w:rFonts w:ascii="Cambria Math" w:hAnsi="Cambria Math"/>
          </w:rPr>
          <m:t>+γ</m:t>
        </m:r>
        <m:sSub>
          <m:sSubPr>
            <m:ctrlPr>
              <w:rPr>
                <w:rFonts w:ascii="Cambria Math" w:hAnsi="Cambria Math"/>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ij</m:t>
            </m:r>
          </m:sub>
        </m:sSub>
      </m:oMath>
    </w:p>
    <w:p w14:paraId="2F7AE7CD" w14:textId="4D3F7E22" w:rsidR="00DF5DC5" w:rsidRDefault="00DF5DC5" w:rsidP="00DC51B0">
      <w:pPr>
        <w:pStyle w:val="NormalSS"/>
        <w:ind w:firstLine="0"/>
      </w:pPr>
      <w:r w:rsidRPr="00CB2AB2">
        <w:lastRenderedPageBreak/>
        <w:t xml:space="preserve">where </w:t>
      </w:r>
      <w:r w:rsidRPr="00CB2AB2">
        <w:rPr>
          <w:i/>
        </w:rPr>
        <w:t>Y</w:t>
      </w:r>
      <w:r w:rsidRPr="00CB2AB2">
        <w:rPr>
          <w:i/>
          <w:vertAlign w:val="subscript"/>
        </w:rPr>
        <w:t>i</w:t>
      </w:r>
      <w:r w:rsidR="00972167">
        <w:rPr>
          <w:i/>
          <w:vertAlign w:val="subscript"/>
        </w:rPr>
        <w:t>j</w:t>
      </w:r>
      <w:r w:rsidRPr="00CB2AB2">
        <w:t xml:space="preserve"> is the outcome measure for sample member </w:t>
      </w:r>
      <w:r w:rsidRPr="00E35CFD">
        <w:rPr>
          <w:i/>
        </w:rPr>
        <w:t>i</w:t>
      </w:r>
      <w:r w:rsidR="00972167">
        <w:rPr>
          <w:i/>
        </w:rPr>
        <w:t xml:space="preserve"> </w:t>
      </w:r>
      <w:r w:rsidR="00972167">
        <w:t xml:space="preserve">at grantee site </w:t>
      </w:r>
      <w:r w:rsidR="00972167" w:rsidRPr="00972167">
        <w:rPr>
          <w:i/>
        </w:rPr>
        <w:t>j</w:t>
      </w:r>
      <w:r w:rsidRPr="00CB2AB2">
        <w:t xml:space="preserve">, </w:t>
      </w:r>
      <w:r w:rsidRPr="00E35CFD">
        <w:rPr>
          <w:i/>
        </w:rPr>
        <w:t>P</w:t>
      </w:r>
      <w:r w:rsidRPr="00E35CFD">
        <w:rPr>
          <w:i/>
          <w:vertAlign w:val="subscript"/>
        </w:rPr>
        <w:t>i</w:t>
      </w:r>
      <w:r w:rsidR="00972167">
        <w:rPr>
          <w:i/>
          <w:vertAlign w:val="subscript"/>
        </w:rPr>
        <w:t>j</w:t>
      </w:r>
      <w:r w:rsidRPr="00CB2AB2">
        <w:t xml:space="preserve"> is an indicator for participation in the</w:t>
      </w:r>
      <w:r>
        <w:t xml:space="preserve"> </w:t>
      </w:r>
      <w:r w:rsidR="003E0E47">
        <w:t xml:space="preserve">Job ChalleNGe </w:t>
      </w:r>
      <w:r>
        <w:t>program,</w:t>
      </w:r>
      <w:r w:rsidRPr="00CB2AB2">
        <w:t xml:space="preserve"> </w:t>
      </w:r>
      <w:r w:rsidRPr="00E35CFD">
        <w:rPr>
          <w:i/>
        </w:rPr>
        <w:t>X</w:t>
      </w:r>
      <w:r w:rsidRPr="00E35CFD">
        <w:rPr>
          <w:i/>
          <w:vertAlign w:val="subscript"/>
        </w:rPr>
        <w:t>i</w:t>
      </w:r>
      <w:r w:rsidR="00972167">
        <w:rPr>
          <w:i/>
          <w:vertAlign w:val="subscript"/>
        </w:rPr>
        <w:t>j</w:t>
      </w:r>
      <w:r w:rsidRPr="00CB2AB2">
        <w:t xml:space="preserve"> is a set of background characteristics for sample member </w:t>
      </w:r>
      <w:r w:rsidRPr="00E35CFD">
        <w:rPr>
          <w:i/>
        </w:rPr>
        <w:t>i</w:t>
      </w:r>
      <w:r w:rsidR="00972167">
        <w:rPr>
          <w:i/>
        </w:rPr>
        <w:t xml:space="preserve"> </w:t>
      </w:r>
      <w:r w:rsidR="00972167" w:rsidRPr="00733CEF">
        <w:t>at grantee site</w:t>
      </w:r>
      <w:r w:rsidR="00972167" w:rsidRPr="00972167">
        <w:rPr>
          <w:i/>
        </w:rPr>
        <w:t xml:space="preserve"> j</w:t>
      </w:r>
      <w:r w:rsidRPr="00CB2AB2">
        <w:t xml:space="preserve">, </w:t>
      </w:r>
      <w:r w:rsidR="00972167">
        <w:rPr>
          <w:i/>
        </w:rPr>
        <w:t>S</w:t>
      </w:r>
      <w:r w:rsidR="00972167" w:rsidRPr="00972167">
        <w:rPr>
          <w:i/>
          <w:vertAlign w:val="subscript"/>
        </w:rPr>
        <w:t>j</w:t>
      </w:r>
      <w:r w:rsidR="00972167">
        <w:rPr>
          <w:i/>
        </w:rPr>
        <w:t xml:space="preserve"> </w:t>
      </w:r>
      <w:r w:rsidR="00972167" w:rsidRPr="00972167">
        <w:t xml:space="preserve">is a grantee site fixed effect, </w:t>
      </w:r>
      <w:r w:rsidRPr="00E35CFD">
        <w:rPr>
          <w:i/>
        </w:rPr>
        <w:t>ε</w:t>
      </w:r>
      <w:r w:rsidRPr="00E35CFD">
        <w:rPr>
          <w:i/>
          <w:vertAlign w:val="subscript"/>
        </w:rPr>
        <w:t>i</w:t>
      </w:r>
      <w:r w:rsidR="00972167">
        <w:rPr>
          <w:i/>
          <w:vertAlign w:val="subscript"/>
        </w:rPr>
        <w:t>j</w:t>
      </w:r>
      <w:r w:rsidRPr="00CB2AB2">
        <w:t xml:space="preserve"> is a random</w:t>
      </w:r>
      <w:r>
        <w:t xml:space="preserve"> </w:t>
      </w:r>
      <w:r w:rsidRPr="00CB2AB2">
        <w:t>error term, and α, β, δ</w:t>
      </w:r>
      <w:r w:rsidR="00733CEF">
        <w:t xml:space="preserve">, and </w:t>
      </w:r>
      <m:oMath>
        <m:r>
          <m:rPr>
            <m:sty m:val="p"/>
          </m:rPr>
          <w:rPr>
            <w:rFonts w:ascii="Cambria Math" w:hAnsi="Cambria Math"/>
          </w:rPr>
          <m:t>γ</m:t>
        </m:r>
      </m:oMath>
      <w:r w:rsidR="00733CEF" w:rsidRPr="00CB2AB2">
        <w:t xml:space="preserve"> </w:t>
      </w:r>
      <w:r w:rsidRPr="00CB2AB2">
        <w:t>are parameters to be estimated. The key coefficient of interest is δ,</w:t>
      </w:r>
      <w:r>
        <w:t xml:space="preserve"> </w:t>
      </w:r>
      <w:r w:rsidRPr="00CB2AB2">
        <w:t xml:space="preserve">which represents the impact of the program on the outcome. </w:t>
      </w:r>
    </w:p>
    <w:p w14:paraId="4B955AE9" w14:textId="2C5D5CE1" w:rsidR="00DF5DC5" w:rsidRPr="00F26D8B" w:rsidRDefault="00DF5DC5" w:rsidP="00DF5DC5">
      <w:pPr>
        <w:pStyle w:val="NormalSS"/>
      </w:pPr>
      <w:r>
        <w:t xml:space="preserve">The Job ChalleNGe impact analysis will be limited to youth who participated in Youth ChalleNGe and expressed interest in participating in Job ChalleNGe. </w:t>
      </w:r>
      <w:r w:rsidRPr="00CA52F0">
        <w:t xml:space="preserve">The key coefficient of interest is δ, which represents the impact of the </w:t>
      </w:r>
      <w:r>
        <w:t xml:space="preserve">Job ChalleNGe </w:t>
      </w:r>
      <w:r w:rsidRPr="00CA52F0">
        <w:t xml:space="preserve">program on the outcome. </w:t>
      </w:r>
      <w:r w:rsidRPr="00F26D8B">
        <w:t>The outcomes will be constructed from both survey and administrative data for the Job ChalleNGe impact analysis.</w:t>
      </w:r>
      <w:r>
        <w:t xml:space="preserve"> (As noted above, clearance for the follow-up survey instrument will be requested in a separate clearance package.) In addition to the outcomes constructed from administrative data listed above, additional </w:t>
      </w:r>
      <w:r w:rsidRPr="00F26D8B">
        <w:t xml:space="preserve">outcomes </w:t>
      </w:r>
      <w:r>
        <w:t xml:space="preserve">from the survey </w:t>
      </w:r>
      <w:r w:rsidRPr="00F26D8B">
        <w:t>will include measures of (1) education success (such vocational certificates or credentials)</w:t>
      </w:r>
      <w:r>
        <w:t>,</w:t>
      </w:r>
      <w:r w:rsidRPr="00F26D8B">
        <w:t xml:space="preserve"> (2) employment success (such as work-readiness skills, </w:t>
      </w:r>
      <w:r>
        <w:t>work maturity, responsibility and flexibility, weeks of employment, fringe benefits, and occupation type</w:t>
      </w:r>
      <w:r w:rsidRPr="00F26D8B">
        <w:t>)</w:t>
      </w:r>
      <w:r>
        <w:t>,</w:t>
      </w:r>
      <w:r w:rsidRPr="00F26D8B">
        <w:t xml:space="preserve"> and (3) delinquency and criminal justice involvement (such as drug use, </w:t>
      </w:r>
      <w:r>
        <w:t>delinquent behaviors, time spent in</w:t>
      </w:r>
      <w:r w:rsidRPr="00F26D8B">
        <w:t xml:space="preserve"> juvenile detention or incarceration</w:t>
      </w:r>
      <w:r>
        <w:t>, and probation or parole status</w:t>
      </w:r>
      <w:r w:rsidRPr="00F26D8B">
        <w:t>).</w:t>
      </w:r>
    </w:p>
    <w:p w14:paraId="3BCD7E6D" w14:textId="14C0EFDE" w:rsidR="00DF5DC5" w:rsidRDefault="00DF5DC5" w:rsidP="00DF5DC5">
      <w:pPr>
        <w:pStyle w:val="NormalSS"/>
      </w:pPr>
      <w:r w:rsidRPr="00E35CFD">
        <w:rPr>
          <w:b/>
        </w:rPr>
        <w:t>Estimating impacts for subgroups.</w:t>
      </w:r>
      <w:r>
        <w:t xml:space="preserve"> </w:t>
      </w:r>
      <w:r w:rsidRPr="00CB2AB2">
        <w:t>To understand how impacts</w:t>
      </w:r>
      <w:r>
        <w:t xml:space="preserve"> of Job ChalleNGe programs</w:t>
      </w:r>
      <w:r w:rsidRPr="00CB2AB2">
        <w:t xml:space="preserve"> may vary by youth characteristics, subgroup impacts will be</w:t>
      </w:r>
      <w:r>
        <w:t xml:space="preserve"> </w:t>
      </w:r>
      <w:r w:rsidRPr="00CB2AB2">
        <w:t>calculated using a “split-sample” approach in which the full sample is divided into two</w:t>
      </w:r>
      <w:r>
        <w:t xml:space="preserve"> </w:t>
      </w:r>
      <w:r w:rsidRPr="00CB2AB2">
        <w:t xml:space="preserve">subgroups. </w:t>
      </w:r>
      <w:r w:rsidRPr="00E35CFD">
        <w:t xml:space="preserve">Impacts for subgroups will be estimated using a straightforward modification to </w:t>
      </w:r>
      <w:r>
        <w:t>e</w:t>
      </w:r>
      <w:r w:rsidRPr="00E35CFD">
        <w:t xml:space="preserve">quation (1), where the model includes terms formed by interacting subgroup indicators with the treatment status indicator variable and using </w:t>
      </w:r>
      <w:r w:rsidRPr="00E35CFD">
        <w:rPr>
          <w:i/>
          <w:iCs/>
        </w:rPr>
        <w:t>F</w:t>
      </w:r>
      <w:r w:rsidRPr="00E35CFD">
        <w:t xml:space="preserve">-tests to assess whether differences in impacts across subgroup levels are statistically significant. </w:t>
      </w:r>
      <w:r w:rsidRPr="00CB2AB2">
        <w:t>During the study design phase,</w:t>
      </w:r>
      <w:r>
        <w:t xml:space="preserve"> the evaluation team</w:t>
      </w:r>
      <w:r w:rsidRPr="00CB2AB2">
        <w:t xml:space="preserve"> will work with CEO to determine </w:t>
      </w:r>
      <w:r>
        <w:t>the</w:t>
      </w:r>
      <w:r w:rsidRPr="00CB2AB2">
        <w:t xml:space="preserve"> subgroups </w:t>
      </w:r>
      <w:r>
        <w:t xml:space="preserve">for which </w:t>
      </w:r>
      <w:r w:rsidRPr="00CB2AB2">
        <w:t>a subgroup analysis</w:t>
      </w:r>
      <w:r>
        <w:t xml:space="preserve"> should be conducted</w:t>
      </w:r>
      <w:r w:rsidRPr="00CB2AB2">
        <w:t xml:space="preserve">. </w:t>
      </w:r>
      <w:r>
        <w:t>S</w:t>
      </w:r>
      <w:r w:rsidRPr="00CB2AB2">
        <w:t>ubgroup analysis</w:t>
      </w:r>
      <w:r>
        <w:t xml:space="preserve"> will be conducted for</w:t>
      </w:r>
      <w:r w:rsidRPr="00CB2AB2">
        <w:t xml:space="preserve"> court-involved youth versus non-court-involved</w:t>
      </w:r>
      <w:r>
        <w:t xml:space="preserve"> </w:t>
      </w:r>
      <w:r w:rsidRPr="00CB2AB2">
        <w:t>youth</w:t>
      </w:r>
      <w:r>
        <w:t xml:space="preserve">, and potentially for </w:t>
      </w:r>
      <w:r w:rsidRPr="00CB2AB2">
        <w:t>groups defined by age and</w:t>
      </w:r>
      <w:r>
        <w:t xml:space="preserve"> </w:t>
      </w:r>
      <w:r w:rsidRPr="00CB2AB2">
        <w:t>race/ethnicity, given that the National Job Corps study found different impacts for subgroups</w:t>
      </w:r>
      <w:r>
        <w:t xml:space="preserve"> </w:t>
      </w:r>
      <w:r w:rsidRPr="00CB2AB2">
        <w:t>defined by these characteristics (Schochet et al. 2008). Other potentially important subgroups</w:t>
      </w:r>
      <w:r>
        <w:t xml:space="preserve"> </w:t>
      </w:r>
      <w:r w:rsidRPr="00CB2AB2">
        <w:t>could be defined by the youth’s level of economic disadvantage and the youth’s program.</w:t>
      </w:r>
      <w:r>
        <w:t xml:space="preserve"> </w:t>
      </w:r>
    </w:p>
    <w:p w14:paraId="5577F702" w14:textId="197C7A63" w:rsidR="00DF5DC5" w:rsidRDefault="00DF5DC5" w:rsidP="00DF5DC5">
      <w:pPr>
        <w:pStyle w:val="NormalSS"/>
      </w:pPr>
      <w:r w:rsidRPr="00CB2AB2">
        <w:t>The analyses described above will provide estimates of the impact of having access to Job ChalleNGe services. Commonly referred to as “intent-to-treat”</w:t>
      </w:r>
      <w:r>
        <w:t xml:space="preserve"> </w:t>
      </w:r>
      <w:r w:rsidRPr="00CB2AB2">
        <w:t>estimates, these estimates are based on all treatment group members, whether or not they</w:t>
      </w:r>
      <w:r>
        <w:t xml:space="preserve"> </w:t>
      </w:r>
      <w:r w:rsidRPr="00CB2AB2">
        <w:t>participate in the program (as well as all control group members, whether or not they would</w:t>
      </w:r>
      <w:r>
        <w:t xml:space="preserve"> </w:t>
      </w:r>
      <w:r w:rsidRPr="00CB2AB2">
        <w:t xml:space="preserve">participate if given the opportunity to do so). However, because some </w:t>
      </w:r>
      <w:r>
        <w:t xml:space="preserve">treatment </w:t>
      </w:r>
      <w:r w:rsidRPr="00CB2AB2">
        <w:t>group members</w:t>
      </w:r>
      <w:r>
        <w:t xml:space="preserve"> </w:t>
      </w:r>
      <w:r w:rsidRPr="00CB2AB2">
        <w:t xml:space="preserve">will not participate, the impacts for only </w:t>
      </w:r>
      <w:r>
        <w:t xml:space="preserve">those </w:t>
      </w:r>
      <w:r w:rsidRPr="00CB2AB2">
        <w:t>participants who enrol</w:t>
      </w:r>
      <w:r>
        <w:t>l</w:t>
      </w:r>
      <w:r w:rsidRPr="00CB2AB2">
        <w:t xml:space="preserve"> in</w:t>
      </w:r>
      <w:r>
        <w:t xml:space="preserve"> </w:t>
      </w:r>
      <w:r w:rsidRPr="00CB2AB2">
        <w:t>program services</w:t>
      </w:r>
      <w:r>
        <w:t xml:space="preserve"> will also be investigated</w:t>
      </w:r>
      <w:r w:rsidRPr="00CB2AB2">
        <w:t xml:space="preserve">. Using an assumption that there are no impacts on </w:t>
      </w:r>
      <w:r>
        <w:t>treatment g</w:t>
      </w:r>
      <w:r w:rsidRPr="00CB2AB2">
        <w:t>roup members</w:t>
      </w:r>
      <w:r>
        <w:t xml:space="preserve"> </w:t>
      </w:r>
      <w:r w:rsidRPr="00CB2AB2">
        <w:t xml:space="preserve">who do not participate, a “treatment on the treated” impact </w:t>
      </w:r>
      <w:r>
        <w:t xml:space="preserve">will be estimated </w:t>
      </w:r>
      <w:r w:rsidRPr="00CB2AB2">
        <w:t>per participant by</w:t>
      </w:r>
      <w:r>
        <w:t xml:space="preserve"> </w:t>
      </w:r>
      <w:r w:rsidRPr="00CB2AB2">
        <w:t xml:space="preserve">dividing the intent-to-treat impact estimate by the proportion of </w:t>
      </w:r>
      <w:r>
        <w:t>treatment</w:t>
      </w:r>
      <w:r w:rsidRPr="00CB2AB2">
        <w:t xml:space="preserve"> group members who</w:t>
      </w:r>
      <w:r>
        <w:t xml:space="preserve"> </w:t>
      </w:r>
      <w:r w:rsidRPr="00CB2AB2">
        <w:t>participate (Bloom 1984).</w:t>
      </w:r>
      <w:r>
        <w:t xml:space="preserve"> In the unlikely event that control group members receive program services (known as crossovers), they will be accounted for analytically. </w:t>
      </w:r>
    </w:p>
    <w:p w14:paraId="764BF8A4" w14:textId="77777777" w:rsidR="00DF5DC5" w:rsidRDefault="009141F0" w:rsidP="008F446A">
      <w:pPr>
        <w:pStyle w:val="H4NumberNoTOC"/>
      </w:pPr>
      <w:r>
        <w:lastRenderedPageBreak/>
        <w:t>b</w:t>
      </w:r>
      <w:r w:rsidR="00DF5DC5">
        <w:t>.</w:t>
      </w:r>
      <w:r>
        <w:tab/>
      </w:r>
      <w:r w:rsidR="00DF5DC5">
        <w:t>Precision calcu</w:t>
      </w:r>
      <w:r w:rsidR="008F446A">
        <w:t>lations of the impact estimates</w:t>
      </w:r>
    </w:p>
    <w:p w14:paraId="2A49C168" w14:textId="576FEC00" w:rsidR="009D4BB1" w:rsidRDefault="009D4BB1" w:rsidP="00DF5DC5">
      <w:pPr>
        <w:pStyle w:val="NormalSS"/>
      </w:pPr>
      <w:r>
        <w:t>We assume that our estimates will generalize to a super</w:t>
      </w:r>
      <w:r w:rsidR="00444087">
        <w:t xml:space="preserve"> </w:t>
      </w:r>
      <w:r>
        <w:t>population of all eligible youth who may have attended Job ChalleNGe at the three grantee sites, and therefore calculate standard errors for the impact estimates.</w:t>
      </w:r>
    </w:p>
    <w:p w14:paraId="09D71B33" w14:textId="6784AEB7" w:rsidR="00DF5DC5" w:rsidRDefault="00DF5DC5" w:rsidP="00DF5DC5">
      <w:pPr>
        <w:pStyle w:val="NormalSS"/>
      </w:pPr>
      <w:r>
        <w:t xml:space="preserve">Based on study sample sizes of up to </w:t>
      </w:r>
      <w:r w:rsidR="003D3410">
        <w:t>1,</w:t>
      </w:r>
      <w:r w:rsidR="00B73C0A">
        <w:t xml:space="preserve">620 </w:t>
      </w:r>
      <w:r>
        <w:t xml:space="preserve">youth for Job ChalleNGe across all three grantees combined, the evaluation will have sufficient statistical power to detect meaningful impacts on key study outcomes that are similar to those found in impact studies of similar types of interventions. </w:t>
      </w:r>
      <w:r w:rsidR="00137B70" w:rsidRPr="00137B70">
        <w:t>The Job ChalleNGe study is expected to detect a significant impact on involvement in a productive activity of 7.0 percentage points, and an impact on weekly earnings of $45. With the intense vocational focus and additional residential time on the Job ChalleNGe intervention, the MDIs seem reasonable.</w:t>
      </w:r>
    </w:p>
    <w:p w14:paraId="24B8BE83" w14:textId="112A5E19" w:rsidR="00415746" w:rsidRPr="00C415E3" w:rsidRDefault="00415746" w:rsidP="00415746">
      <w:pPr>
        <w:pStyle w:val="MarkforTableTitle"/>
        <w:rPr>
          <w:sz w:val="18"/>
          <w:szCs w:val="18"/>
        </w:rPr>
      </w:pPr>
      <w:r w:rsidRPr="00C415E3">
        <w:rPr>
          <w:sz w:val="18"/>
          <w:szCs w:val="18"/>
        </w:rPr>
        <w:t>Table B.</w:t>
      </w:r>
      <w:r w:rsidR="002D7013">
        <w:rPr>
          <w:sz w:val="18"/>
          <w:szCs w:val="18"/>
        </w:rPr>
        <w:t>3</w:t>
      </w:r>
      <w:r w:rsidRPr="00C415E3">
        <w:rPr>
          <w:sz w:val="18"/>
          <w:szCs w:val="18"/>
        </w:rPr>
        <w:t>. Minimum detectable impacts on key outcomes</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6445"/>
        <w:gridCol w:w="3131"/>
      </w:tblGrid>
      <w:tr w:rsidR="00415746" w:rsidRPr="00F41939" w14:paraId="2DBA9908" w14:textId="77777777" w:rsidTr="008466B6">
        <w:trPr>
          <w:cnfStyle w:val="100000000000" w:firstRow="1" w:lastRow="0" w:firstColumn="0" w:lastColumn="0" w:oddVBand="0" w:evenVBand="0" w:oddHBand="0" w:evenHBand="0" w:firstRowFirstColumn="0" w:firstRowLastColumn="0" w:lastRowFirstColumn="0" w:lastRowLastColumn="0"/>
          <w:cantSplit/>
          <w:trHeight w:val="288"/>
        </w:trPr>
        <w:tc>
          <w:tcPr>
            <w:tcW w:w="5000" w:type="pct"/>
            <w:gridSpan w:val="2"/>
            <w:tcBorders>
              <w:top w:val="single" w:sz="4" w:space="0" w:color="000000" w:themeColor="text1"/>
              <w:bottom w:val="single" w:sz="4" w:space="0" w:color="000000" w:themeColor="text1"/>
            </w:tcBorders>
            <w:shd w:val="clear" w:color="auto" w:fill="auto"/>
            <w:vAlign w:val="bottom"/>
          </w:tcPr>
          <w:p w14:paraId="430B92E7" w14:textId="77777777" w:rsidR="00415746" w:rsidRPr="008466B6" w:rsidRDefault="00415746" w:rsidP="0018724A">
            <w:pPr>
              <w:pStyle w:val="TableText"/>
              <w:spacing w:before="40" w:after="40"/>
              <w:rPr>
                <w:b w:val="0"/>
              </w:rPr>
            </w:pPr>
            <w:r w:rsidRPr="008466B6">
              <w:t>Evaluation of Job ChalleNGe</w:t>
            </w:r>
          </w:p>
          <w:p w14:paraId="2E0F8D86" w14:textId="77777777" w:rsidR="00415746" w:rsidRPr="008466B6" w:rsidRDefault="00415746" w:rsidP="00796EB4">
            <w:pPr>
              <w:pStyle w:val="TableText"/>
              <w:numPr>
                <w:ilvl w:val="0"/>
                <w:numId w:val="11"/>
              </w:numPr>
              <w:spacing w:before="40" w:after="40"/>
              <w:rPr>
                <w:b w:val="0"/>
              </w:rPr>
            </w:pPr>
            <w:r w:rsidRPr="008466B6">
              <w:t>1,080 treatment youth (Youth ChalleNGe and Job ChalleNGe)</w:t>
            </w:r>
          </w:p>
          <w:p w14:paraId="25B50CD9" w14:textId="77777777" w:rsidR="00415746" w:rsidRPr="008466B6" w:rsidRDefault="00415746" w:rsidP="00796EB4">
            <w:pPr>
              <w:pStyle w:val="TableText"/>
              <w:numPr>
                <w:ilvl w:val="0"/>
                <w:numId w:val="11"/>
              </w:numPr>
              <w:spacing w:before="40" w:after="40"/>
              <w:rPr>
                <w:b w:val="0"/>
              </w:rPr>
            </w:pPr>
            <w:r w:rsidRPr="008466B6">
              <w:t>540 control youth (Youth ChalleNGe only)</w:t>
            </w:r>
          </w:p>
        </w:tc>
      </w:tr>
      <w:tr w:rsidR="00415746" w:rsidRPr="00AA795E" w14:paraId="3F9495EB" w14:textId="77777777" w:rsidTr="008466B6">
        <w:trPr>
          <w:cantSplit/>
          <w:trHeight w:val="288"/>
        </w:trPr>
        <w:tc>
          <w:tcPr>
            <w:tcW w:w="3365" w:type="pct"/>
            <w:tcBorders>
              <w:top w:val="single" w:sz="4" w:space="0" w:color="000000" w:themeColor="text1"/>
              <w:bottom w:val="single" w:sz="4" w:space="0" w:color="000000" w:themeColor="text1"/>
            </w:tcBorders>
            <w:shd w:val="clear" w:color="auto" w:fill="auto"/>
            <w:vAlign w:val="bottom"/>
          </w:tcPr>
          <w:p w14:paraId="6A8D8439" w14:textId="77777777" w:rsidR="00415746" w:rsidRPr="008466B6" w:rsidRDefault="00415746" w:rsidP="00A84CE1">
            <w:pPr>
              <w:pStyle w:val="TableHeaderLeft"/>
              <w:rPr>
                <w:color w:val="auto"/>
              </w:rPr>
            </w:pPr>
            <w:r w:rsidRPr="008466B6">
              <w:rPr>
                <w:color w:val="auto"/>
              </w:rPr>
              <w:t>Outcome</w:t>
            </w:r>
          </w:p>
        </w:tc>
        <w:tc>
          <w:tcPr>
            <w:tcW w:w="1635" w:type="pct"/>
            <w:tcBorders>
              <w:top w:val="single" w:sz="4" w:space="0" w:color="000000" w:themeColor="text1"/>
              <w:bottom w:val="single" w:sz="4" w:space="0" w:color="000000" w:themeColor="text1"/>
            </w:tcBorders>
            <w:shd w:val="clear" w:color="auto" w:fill="auto"/>
            <w:vAlign w:val="bottom"/>
          </w:tcPr>
          <w:p w14:paraId="52166103" w14:textId="77777777" w:rsidR="00415746" w:rsidRPr="008466B6" w:rsidRDefault="00415746" w:rsidP="00A84CE1">
            <w:pPr>
              <w:pStyle w:val="TableHeaderCenter"/>
              <w:rPr>
                <w:color w:val="auto"/>
              </w:rPr>
            </w:pPr>
            <w:r w:rsidRPr="008466B6">
              <w:rPr>
                <w:color w:val="auto"/>
              </w:rPr>
              <w:t>Minimum detectable impacts</w:t>
            </w:r>
          </w:p>
        </w:tc>
      </w:tr>
      <w:tr w:rsidR="00415746" w:rsidRPr="00AA795E" w14:paraId="06B1FDB2" w14:textId="77777777" w:rsidTr="008466B6">
        <w:trPr>
          <w:cantSplit/>
          <w:trHeight w:val="288"/>
        </w:trPr>
        <w:tc>
          <w:tcPr>
            <w:tcW w:w="3365" w:type="pct"/>
            <w:tcBorders>
              <w:top w:val="single" w:sz="4" w:space="0" w:color="000000" w:themeColor="text1"/>
            </w:tcBorders>
            <w:shd w:val="clear" w:color="auto" w:fill="auto"/>
            <w:vAlign w:val="bottom"/>
          </w:tcPr>
          <w:p w14:paraId="42482C71" w14:textId="77777777" w:rsidR="00415746" w:rsidRPr="008466B6" w:rsidRDefault="00415746" w:rsidP="00A84CE1">
            <w:pPr>
              <w:pStyle w:val="TableText"/>
            </w:pPr>
            <w:r w:rsidRPr="008466B6">
              <w:t>Involved in productive activity (percentage point)</w:t>
            </w:r>
          </w:p>
        </w:tc>
        <w:tc>
          <w:tcPr>
            <w:tcW w:w="1635" w:type="pct"/>
            <w:tcBorders>
              <w:top w:val="single" w:sz="4" w:space="0" w:color="000000" w:themeColor="text1"/>
            </w:tcBorders>
            <w:shd w:val="clear" w:color="auto" w:fill="auto"/>
            <w:vAlign w:val="bottom"/>
          </w:tcPr>
          <w:p w14:paraId="65DDBD3F" w14:textId="77777777" w:rsidR="00415746" w:rsidRPr="008466B6" w:rsidRDefault="00415746" w:rsidP="00A84CE1">
            <w:pPr>
              <w:tabs>
                <w:tab w:val="decimal" w:pos="1440"/>
              </w:tabs>
              <w:rPr>
                <w:rFonts w:ascii="Calibri" w:hAnsi="Calibri"/>
              </w:rPr>
            </w:pPr>
          </w:p>
        </w:tc>
      </w:tr>
      <w:tr w:rsidR="00415746" w:rsidRPr="00AA795E" w14:paraId="4F03F95A" w14:textId="77777777" w:rsidTr="008466B6">
        <w:trPr>
          <w:cantSplit/>
          <w:trHeight w:val="288"/>
        </w:trPr>
        <w:tc>
          <w:tcPr>
            <w:tcW w:w="3365" w:type="pct"/>
            <w:vAlign w:val="bottom"/>
          </w:tcPr>
          <w:p w14:paraId="755E470A" w14:textId="77777777" w:rsidR="00415746" w:rsidRPr="00A80180" w:rsidRDefault="00415746" w:rsidP="00A84CE1">
            <w:pPr>
              <w:pStyle w:val="TableText"/>
              <w:ind w:left="432"/>
            </w:pPr>
            <w:r w:rsidRPr="00A80180">
              <w:t>Full sample</w:t>
            </w:r>
          </w:p>
        </w:tc>
        <w:tc>
          <w:tcPr>
            <w:tcW w:w="1635" w:type="pct"/>
            <w:vAlign w:val="bottom"/>
          </w:tcPr>
          <w:p w14:paraId="3CD83F5F" w14:textId="77777777" w:rsidR="00415746" w:rsidRPr="00A80180" w:rsidRDefault="00415746" w:rsidP="00A84CE1">
            <w:pPr>
              <w:pStyle w:val="TableText"/>
              <w:tabs>
                <w:tab w:val="decimal" w:pos="1440"/>
              </w:tabs>
            </w:pPr>
            <w:r>
              <w:t>0.070</w:t>
            </w:r>
          </w:p>
        </w:tc>
      </w:tr>
      <w:tr w:rsidR="00415746" w:rsidRPr="00AA795E" w14:paraId="393D6A5C" w14:textId="77777777" w:rsidTr="008466B6">
        <w:trPr>
          <w:cantSplit/>
          <w:trHeight w:val="288"/>
        </w:trPr>
        <w:tc>
          <w:tcPr>
            <w:tcW w:w="3365" w:type="pct"/>
            <w:vAlign w:val="bottom"/>
          </w:tcPr>
          <w:p w14:paraId="6681C35D" w14:textId="77777777" w:rsidR="00415746" w:rsidRPr="00A80180" w:rsidRDefault="00415746" w:rsidP="00A84CE1">
            <w:pPr>
              <w:pStyle w:val="TableText"/>
              <w:ind w:left="432"/>
            </w:pPr>
            <w:r w:rsidRPr="00A80180">
              <w:t>Court-involved youth</w:t>
            </w:r>
          </w:p>
        </w:tc>
        <w:tc>
          <w:tcPr>
            <w:tcW w:w="1635" w:type="pct"/>
            <w:vAlign w:val="bottom"/>
          </w:tcPr>
          <w:p w14:paraId="1B30C68A" w14:textId="77777777" w:rsidR="00415746" w:rsidRPr="00A80180" w:rsidRDefault="00415746" w:rsidP="00A84CE1">
            <w:pPr>
              <w:pStyle w:val="TableText"/>
              <w:tabs>
                <w:tab w:val="decimal" w:pos="1440"/>
              </w:tabs>
            </w:pPr>
            <w:r>
              <w:t>0.099</w:t>
            </w:r>
          </w:p>
        </w:tc>
      </w:tr>
      <w:tr w:rsidR="00415746" w:rsidRPr="00AA795E" w14:paraId="61918208" w14:textId="77777777" w:rsidTr="008466B6">
        <w:trPr>
          <w:cantSplit/>
          <w:trHeight w:val="288"/>
        </w:trPr>
        <w:tc>
          <w:tcPr>
            <w:tcW w:w="3365" w:type="pct"/>
            <w:vAlign w:val="bottom"/>
          </w:tcPr>
          <w:p w14:paraId="0426172E" w14:textId="77777777" w:rsidR="00415746" w:rsidRPr="00A80180" w:rsidRDefault="00415746" w:rsidP="00A84CE1">
            <w:pPr>
              <w:pStyle w:val="TableText"/>
            </w:pPr>
            <w:r>
              <w:t>Current weekly e</w:t>
            </w:r>
            <w:r w:rsidRPr="00A80180">
              <w:t>arnings (dollars)</w:t>
            </w:r>
          </w:p>
        </w:tc>
        <w:tc>
          <w:tcPr>
            <w:tcW w:w="1635" w:type="pct"/>
            <w:vAlign w:val="bottom"/>
          </w:tcPr>
          <w:p w14:paraId="4453E553" w14:textId="77777777" w:rsidR="00415746" w:rsidRPr="00A80180" w:rsidRDefault="00415746" w:rsidP="00A84CE1">
            <w:pPr>
              <w:pStyle w:val="TableText"/>
              <w:tabs>
                <w:tab w:val="decimal" w:pos="1440"/>
              </w:tabs>
            </w:pPr>
          </w:p>
        </w:tc>
      </w:tr>
      <w:tr w:rsidR="00415746" w:rsidRPr="00AA795E" w14:paraId="637A859F" w14:textId="77777777" w:rsidTr="008466B6">
        <w:trPr>
          <w:cantSplit/>
          <w:trHeight w:val="288"/>
        </w:trPr>
        <w:tc>
          <w:tcPr>
            <w:tcW w:w="3365" w:type="pct"/>
            <w:vAlign w:val="bottom"/>
          </w:tcPr>
          <w:p w14:paraId="263667CA" w14:textId="77777777" w:rsidR="00415746" w:rsidRPr="00A80180" w:rsidRDefault="00415746" w:rsidP="00A84CE1">
            <w:pPr>
              <w:pStyle w:val="TableText"/>
              <w:ind w:left="432"/>
            </w:pPr>
            <w:r w:rsidRPr="00A80180">
              <w:t>Full sample</w:t>
            </w:r>
          </w:p>
        </w:tc>
        <w:tc>
          <w:tcPr>
            <w:tcW w:w="1635" w:type="pct"/>
            <w:vAlign w:val="bottom"/>
          </w:tcPr>
          <w:p w14:paraId="10388607" w14:textId="77777777" w:rsidR="00415746" w:rsidRPr="00A80180" w:rsidRDefault="00415746" w:rsidP="00A84CE1">
            <w:pPr>
              <w:pStyle w:val="TableText"/>
              <w:tabs>
                <w:tab w:val="decimal" w:pos="1693"/>
              </w:tabs>
            </w:pPr>
            <w:r>
              <w:t>45</w:t>
            </w:r>
          </w:p>
        </w:tc>
      </w:tr>
      <w:tr w:rsidR="00415746" w:rsidRPr="00AA795E" w14:paraId="668AF991" w14:textId="77777777" w:rsidTr="008466B6">
        <w:trPr>
          <w:cantSplit/>
          <w:trHeight w:val="288"/>
        </w:trPr>
        <w:tc>
          <w:tcPr>
            <w:tcW w:w="3365" w:type="pct"/>
            <w:tcBorders>
              <w:bottom w:val="single" w:sz="4" w:space="0" w:color="auto"/>
            </w:tcBorders>
            <w:vAlign w:val="bottom"/>
          </w:tcPr>
          <w:p w14:paraId="6E64FEC0" w14:textId="77777777" w:rsidR="00415746" w:rsidRPr="00A80180" w:rsidRDefault="00415746" w:rsidP="00A84CE1">
            <w:pPr>
              <w:pStyle w:val="TableText"/>
              <w:ind w:left="432"/>
            </w:pPr>
            <w:r w:rsidRPr="00A80180">
              <w:t>Court-involved youth</w:t>
            </w:r>
          </w:p>
        </w:tc>
        <w:tc>
          <w:tcPr>
            <w:tcW w:w="1635" w:type="pct"/>
            <w:tcBorders>
              <w:bottom w:val="single" w:sz="4" w:space="0" w:color="auto"/>
            </w:tcBorders>
            <w:vAlign w:val="bottom"/>
          </w:tcPr>
          <w:p w14:paraId="338DEB5C" w14:textId="77777777" w:rsidR="00415746" w:rsidRPr="00A80180" w:rsidRDefault="00415746" w:rsidP="00A84CE1">
            <w:pPr>
              <w:pStyle w:val="TableText"/>
              <w:tabs>
                <w:tab w:val="decimal" w:pos="1693"/>
              </w:tabs>
            </w:pPr>
            <w:r>
              <w:t>64</w:t>
            </w:r>
          </w:p>
        </w:tc>
      </w:tr>
    </w:tbl>
    <w:p w14:paraId="7C952503" w14:textId="12FE30EC" w:rsidR="00415746" w:rsidRDefault="00415746" w:rsidP="00415746">
      <w:pPr>
        <w:pStyle w:val="TableSourceCaption"/>
        <w:ind w:left="720" w:hanging="720"/>
        <w:rPr>
          <w:rFonts w:cs="Arial"/>
          <w:sz w:val="16"/>
          <w:szCs w:val="16"/>
        </w:rPr>
      </w:pPr>
      <w:r w:rsidRPr="00C92699">
        <w:rPr>
          <w:rFonts w:cs="Arial"/>
          <w:sz w:val="16"/>
          <w:szCs w:val="16"/>
        </w:rPr>
        <w:t>Note:</w:t>
      </w:r>
      <w:r w:rsidRPr="00C92699">
        <w:rPr>
          <w:rFonts w:cs="Arial"/>
          <w:sz w:val="16"/>
          <w:szCs w:val="16"/>
        </w:rPr>
        <w:tab/>
      </w:r>
      <w:r w:rsidRPr="000B4355">
        <w:rPr>
          <w:rFonts w:cs="Arial"/>
          <w:sz w:val="16"/>
          <w:szCs w:val="16"/>
        </w:rPr>
        <w:t xml:space="preserve">Calculations assume that the control group is half the size of the treatment group and court-involved youth represent half of both groups. Data for outcomes are assumed to be from survey data for which we assume a response rate of 80 percent. We assume a rate of involvement in productive activity </w:t>
      </w:r>
      <w:r>
        <w:rPr>
          <w:rFonts w:cs="Arial"/>
          <w:sz w:val="16"/>
          <w:szCs w:val="16"/>
        </w:rPr>
        <w:t xml:space="preserve">(work or education/training) </w:t>
      </w:r>
      <w:r w:rsidRPr="000B4355">
        <w:rPr>
          <w:rFonts w:cs="Arial"/>
          <w:sz w:val="16"/>
          <w:szCs w:val="16"/>
        </w:rPr>
        <w:t>of 66.4 percent, and a standard deviation of weekly earnings of $308. We assume that covariates in the regression model will explain 20 percent of the variation in the outcome measures.</w:t>
      </w:r>
    </w:p>
    <w:p w14:paraId="00B9CF2B" w14:textId="77777777" w:rsidR="001A178B" w:rsidRDefault="001A178B" w:rsidP="00DF5DC5">
      <w:pPr>
        <w:pStyle w:val="NormalSS"/>
      </w:pPr>
    </w:p>
    <w:p w14:paraId="76BB6576" w14:textId="77777777" w:rsidR="00DF5DC5" w:rsidRDefault="00DF5DC5" w:rsidP="008F446A">
      <w:pPr>
        <w:pStyle w:val="H4NumberNoTOC"/>
      </w:pPr>
      <w:r>
        <w:t>c.</w:t>
      </w:r>
      <w:r w:rsidR="00F41939">
        <w:tab/>
      </w:r>
      <w:r>
        <w:t>Analysis methods for implementation study</w:t>
      </w:r>
    </w:p>
    <w:p w14:paraId="0E306551" w14:textId="77777777" w:rsidR="00B309E6" w:rsidRDefault="00AD1F5D" w:rsidP="00B309E6">
      <w:pPr>
        <w:pStyle w:val="NormalSS"/>
      </w:pPr>
      <w:r>
        <w:t>The implementation analysis will not utilize</w:t>
      </w:r>
      <w:r w:rsidR="00B309E6">
        <w:t xml:space="preserve"> statistical techniques </w:t>
      </w:r>
      <w:r>
        <w:t>or s</w:t>
      </w:r>
      <w:r w:rsidR="00B309E6">
        <w:t>pecialized sampling procedures.</w:t>
      </w:r>
    </w:p>
    <w:p w14:paraId="0540F8DF" w14:textId="77777777" w:rsidR="00DF5DC5" w:rsidRDefault="00DF5DC5" w:rsidP="008F446A">
      <w:pPr>
        <w:pStyle w:val="H4Number"/>
        <w:rPr>
          <w:color w:val="00B050"/>
        </w:rPr>
      </w:pPr>
      <w:bookmarkStart w:id="25" w:name="_Toc428365576"/>
      <w:bookmarkStart w:id="26" w:name="_Toc428366622"/>
      <w:bookmarkStart w:id="27" w:name="_Toc428366636"/>
      <w:r>
        <w:t>3</w:t>
      </w:r>
      <w:r w:rsidRPr="009B5677">
        <w:t>.</w:t>
      </w:r>
      <w:r w:rsidRPr="009B5677">
        <w:tab/>
        <w:t>Methods to maximize response rates and deal with nonresponse</w:t>
      </w:r>
      <w:bookmarkEnd w:id="24"/>
      <w:bookmarkEnd w:id="25"/>
      <w:bookmarkEnd w:id="26"/>
      <w:bookmarkEnd w:id="27"/>
      <w:r>
        <w:t xml:space="preserve"> </w:t>
      </w:r>
    </w:p>
    <w:p w14:paraId="28982568" w14:textId="29ADC2BD" w:rsidR="00DF5DC5" w:rsidRDefault="00DF5DC5" w:rsidP="00DF5DC5">
      <w:pPr>
        <w:pStyle w:val="NormalSS"/>
      </w:pPr>
      <w:r>
        <w:t>For t</w:t>
      </w:r>
      <w:r w:rsidRPr="001C0FB6">
        <w:t>his study</w:t>
      </w:r>
      <w:r>
        <w:t>, we are</w:t>
      </w:r>
      <w:r w:rsidRPr="001C0FB6">
        <w:t xml:space="preserve"> requesting approval for the</w:t>
      </w:r>
      <w:r w:rsidR="00D058F3">
        <w:t xml:space="preserve"> Baseline Information Form (BIF)</w:t>
      </w:r>
      <w:r w:rsidRPr="001C0FB6">
        <w:t xml:space="preserve"> to be </w:t>
      </w:r>
      <w:r>
        <w:t>completed</w:t>
      </w:r>
      <w:r w:rsidRPr="001C0FB6">
        <w:t xml:space="preserve"> as sample membe</w:t>
      </w:r>
      <w:r>
        <w:t>rs go through an intake process,</w:t>
      </w:r>
      <w:r w:rsidRPr="001C0FB6">
        <w:t xml:space="preserve"> </w:t>
      </w:r>
      <w:r>
        <w:t>and for</w:t>
      </w:r>
      <w:r w:rsidRPr="001C0FB6">
        <w:t xml:space="preserve"> protocols to be used during visits to study sites. </w:t>
      </w:r>
      <w:r>
        <w:t>No monetary or nonmonetary incentives will be provided to respondents. Below, we discuss t</w:t>
      </w:r>
      <w:r w:rsidRPr="001C0FB6">
        <w:t>he methods to maximize response rates and data reliability</w:t>
      </w:r>
      <w:r>
        <w:t>,</w:t>
      </w:r>
      <w:r w:rsidRPr="001C0FB6">
        <w:t xml:space="preserve"> first for the </w:t>
      </w:r>
      <w:r w:rsidR="00D058F3">
        <w:t>BIF</w:t>
      </w:r>
      <w:r w:rsidRPr="001C0FB6">
        <w:t xml:space="preserve"> and then for </w:t>
      </w:r>
      <w:r>
        <w:t>the implementation study</w:t>
      </w:r>
      <w:r w:rsidRPr="001C0FB6">
        <w:t xml:space="preserve"> protocols.</w:t>
      </w:r>
      <w:r>
        <w:t xml:space="preserve"> Based on prior experience, we expect to achieve at least a 95 percent response rate </w:t>
      </w:r>
      <w:r w:rsidR="00D058F3">
        <w:t>for</w:t>
      </w:r>
      <w:r>
        <w:t xml:space="preserve"> consent and </w:t>
      </w:r>
      <w:r w:rsidR="00D058F3">
        <w:t>for the BIF</w:t>
      </w:r>
      <w:r>
        <w:t xml:space="preserve">; therefore, nonresponse bias should not be a significant issue for analysis of the </w:t>
      </w:r>
      <w:r w:rsidR="00200C7F">
        <w:t>baseline</w:t>
      </w:r>
      <w:r w:rsidR="00C968CD">
        <w:t xml:space="preserve"> </w:t>
      </w:r>
      <w:r>
        <w:t>data. (As noted earlier, a</w:t>
      </w:r>
      <w:r w:rsidRPr="0034196F">
        <w:t xml:space="preserve"> future OMB package will request clearance for a follow-up survey instrument for the evaluation</w:t>
      </w:r>
      <w:r>
        <w:t xml:space="preserve">, and will include a discussion of analysis and weighting to address survey nonresponse.) </w:t>
      </w:r>
    </w:p>
    <w:p w14:paraId="6FDFC891" w14:textId="06B68EF6" w:rsidR="00DF5DC5" w:rsidRDefault="00DF5DC5" w:rsidP="008F446A">
      <w:pPr>
        <w:pStyle w:val="H4NumberNoTOC"/>
      </w:pPr>
      <w:r>
        <w:lastRenderedPageBreak/>
        <w:t>a.</w:t>
      </w:r>
      <w:r w:rsidR="00F41939">
        <w:tab/>
      </w:r>
      <w:r>
        <w:t xml:space="preserve">Intake documents: </w:t>
      </w:r>
      <w:r w:rsidR="00B96B7D">
        <w:t>B</w:t>
      </w:r>
      <w:r w:rsidR="00200C7F">
        <w:t>aseline</w:t>
      </w:r>
      <w:r w:rsidR="00F14FA1">
        <w:t xml:space="preserve"> </w:t>
      </w:r>
      <w:r>
        <w:t>information forms</w:t>
      </w:r>
    </w:p>
    <w:p w14:paraId="771E4EF2" w14:textId="721146D8" w:rsidR="00DF5DC5" w:rsidRPr="009C3AE0" w:rsidRDefault="00DF5DC5" w:rsidP="00DF5DC5">
      <w:pPr>
        <w:pStyle w:val="NormalSS"/>
      </w:pPr>
      <w:r w:rsidRPr="001C0FB6">
        <w:rPr>
          <w:b/>
          <w:bCs/>
          <w:iCs/>
        </w:rPr>
        <w:t xml:space="preserve">Response rates. </w:t>
      </w:r>
      <w:r>
        <w:t xml:space="preserve">The </w:t>
      </w:r>
      <w:r w:rsidR="00B96B7D">
        <w:t xml:space="preserve">baseline information form </w:t>
      </w:r>
      <w:r>
        <w:t xml:space="preserve">will </w:t>
      </w:r>
      <w:r w:rsidRPr="002219E6">
        <w:rPr>
          <w:szCs w:val="22"/>
        </w:rPr>
        <w:t>be administered</w:t>
      </w:r>
      <w:r w:rsidR="00B96B7D">
        <w:rPr>
          <w:szCs w:val="22"/>
        </w:rPr>
        <w:t>, after consent is obtained,</w:t>
      </w:r>
      <w:r w:rsidRPr="002219E6">
        <w:rPr>
          <w:szCs w:val="22"/>
        </w:rPr>
        <w:t xml:space="preserve"> </w:t>
      </w:r>
      <w:r w:rsidRPr="0093658C">
        <w:t xml:space="preserve">to all eligible </w:t>
      </w:r>
      <w:r>
        <w:t>youth during the sample intake period.  The project team will work closely with program staff to</w:t>
      </w:r>
      <w:r w:rsidRPr="009C3AE0">
        <w:t xml:space="preserve"> identify ways to integrate the</w:t>
      </w:r>
      <w:r>
        <w:t xml:space="preserve"> BIFs </w:t>
      </w:r>
      <w:r w:rsidRPr="009C3AE0">
        <w:t xml:space="preserve">into their normal program </w:t>
      </w:r>
      <w:r w:rsidR="00284882">
        <w:t>procedures</w:t>
      </w:r>
      <w:r w:rsidRPr="009C3AE0">
        <w:t xml:space="preserve"> in order to minimize respondent</w:t>
      </w:r>
      <w:r>
        <w:t>s’</w:t>
      </w:r>
      <w:r w:rsidRPr="009C3AE0">
        <w:t xml:space="preserve"> burden and increase response rates</w:t>
      </w:r>
      <w:r>
        <w:t xml:space="preserve">. </w:t>
      </w:r>
    </w:p>
    <w:p w14:paraId="60C785E2" w14:textId="6F1D4B61" w:rsidR="00DF5DC5" w:rsidRDefault="00DF5DC5" w:rsidP="00DF5DC5">
      <w:pPr>
        <w:pStyle w:val="NormalSS"/>
      </w:pPr>
      <w:r>
        <w:t>T</w:t>
      </w:r>
      <w:r w:rsidRPr="0093658C">
        <w:t>o maximize response for the</w:t>
      </w:r>
      <w:r>
        <w:t xml:space="preserve"> consent/assent forms and BIFs, the study team will use methods</w:t>
      </w:r>
      <w:r w:rsidRPr="0093658C">
        <w:t xml:space="preserve"> </w:t>
      </w:r>
      <w:r w:rsidRPr="00017ADC">
        <w:t>to ensure that the study is clearly explained to both study participants and staff</w:t>
      </w:r>
      <w:r>
        <w:t>,</w:t>
      </w:r>
      <w:r w:rsidRPr="00017ADC">
        <w:t xml:space="preserve"> and that the forms are easy to understand and complete</w:t>
      </w:r>
      <w:r>
        <w:t xml:space="preserve"> and</w:t>
      </w:r>
      <w:r w:rsidRPr="00017ADC">
        <w:t xml:space="preserve"> </w:t>
      </w:r>
      <w:r>
        <w:t xml:space="preserve">will be used. These methods </w:t>
      </w:r>
      <w:r w:rsidRPr="0093658C">
        <w:t>have been</w:t>
      </w:r>
      <w:r>
        <w:t xml:space="preserve"> successful</w:t>
      </w:r>
      <w:r w:rsidRPr="0093658C">
        <w:t xml:space="preserve"> in many other random assignment studies. Care has been taken </w:t>
      </w:r>
      <w:r>
        <w:t xml:space="preserve">in these forms </w:t>
      </w:r>
      <w:r w:rsidRPr="0093658C">
        <w:t>to explain the study accurately</w:t>
      </w:r>
      <w:r>
        <w:t xml:space="preserve"> </w:t>
      </w:r>
      <w:r w:rsidRPr="0093658C">
        <w:t>and simply to potential participants</w:t>
      </w:r>
      <w:r w:rsidRPr="00181519">
        <w:rPr>
          <w:sz w:val="28"/>
        </w:rPr>
        <w:t xml:space="preserve">. </w:t>
      </w:r>
      <w:r w:rsidRPr="001C0FB6">
        <w:t xml:space="preserve">In addition, the forms will be available in Spanish to accommodate Spanish-speaking </w:t>
      </w:r>
      <w:r>
        <w:t>students and parents/guardians</w:t>
      </w:r>
      <w:r w:rsidRPr="001C0FB6">
        <w:t xml:space="preserve">. </w:t>
      </w:r>
      <w:r>
        <w:t>Grantee s</w:t>
      </w:r>
      <w:r w:rsidRPr="0093658C">
        <w:t>taff will be thoroughly trained to address study participants’ questions about the form</w:t>
      </w:r>
      <w:r>
        <w:t>s</w:t>
      </w:r>
      <w:r w:rsidRPr="0093658C">
        <w:t xml:space="preserve"> </w:t>
      </w:r>
      <w:r>
        <w:t>and to check that the forms have been filled out properly</w:t>
      </w:r>
      <w:r w:rsidRPr="0093658C">
        <w:t xml:space="preserve">. Grantee staff will also be provided with a site-specific operational procedures manual prepared by the research </w:t>
      </w:r>
      <w:r w:rsidRPr="00EA5EB4">
        <w:t>team, contact information for members of the research team, and detailed information about the study. Based on experience with similar data collection efforts, the evaluation team expect</w:t>
      </w:r>
      <w:r w:rsidR="00B96B7D">
        <w:t>s</w:t>
      </w:r>
      <w:r w:rsidRPr="00EA5EB4">
        <w:t xml:space="preserve"> that nearly 100 percent of eligible program applicants will participate in the study and will complete the </w:t>
      </w:r>
      <w:r w:rsidR="00B96B7D">
        <w:t>BIF</w:t>
      </w:r>
      <w:r w:rsidRPr="00EA5EB4">
        <w:t>.</w:t>
      </w:r>
      <w:r>
        <w:t xml:space="preserve"> Given this high expected response rate, nonresponse bias should not be a significant issue for analysis of the </w:t>
      </w:r>
      <w:r w:rsidR="00200C7F">
        <w:t>baseline</w:t>
      </w:r>
      <w:r w:rsidR="00C968CD">
        <w:t xml:space="preserve"> </w:t>
      </w:r>
      <w:r>
        <w:t>data.</w:t>
      </w:r>
    </w:p>
    <w:p w14:paraId="61682590" w14:textId="3C92F6FB" w:rsidR="00F41939" w:rsidRDefault="00DF5DC5" w:rsidP="00F41939">
      <w:pPr>
        <w:pStyle w:val="NormalSS"/>
      </w:pPr>
      <w:r w:rsidRPr="001C0FB6">
        <w:rPr>
          <w:b/>
          <w:bCs/>
          <w:iCs/>
        </w:rPr>
        <w:t xml:space="preserve">Data reliability. </w:t>
      </w:r>
      <w:r w:rsidRPr="001C0FB6">
        <w:t xml:space="preserve">All forms required at intake are unique to the current evaluation and will be used across all </w:t>
      </w:r>
      <w:r>
        <w:t>three Youth ChalleNGe grantees</w:t>
      </w:r>
      <w:r w:rsidRPr="001C0FB6">
        <w:t xml:space="preserve">, ensuring consistency in the use of the forms and in the collected data. The forms have been extensively reviewed by </w:t>
      </w:r>
      <w:r>
        <w:t xml:space="preserve">evaluation </w:t>
      </w:r>
      <w:r w:rsidRPr="001C0FB6">
        <w:t>staff and staff at DOL and thoroughly tested in a pre</w:t>
      </w:r>
      <w:r>
        <w:t>-</w:t>
      </w:r>
      <w:r w:rsidRPr="001C0FB6">
        <w:t>test.</w:t>
      </w:r>
      <w:r>
        <w:t xml:space="preserve"> </w:t>
      </w:r>
      <w:r w:rsidRPr="00C73648">
        <w:t xml:space="preserve">Building on our successful model from the YouthBuild evaluation, a paper-and-pencil hard-copy form </w:t>
      </w:r>
      <w:r>
        <w:t xml:space="preserve">will be used </w:t>
      </w:r>
      <w:r w:rsidRPr="00C73648">
        <w:t xml:space="preserve">to collect </w:t>
      </w:r>
      <w:r w:rsidR="00200C7F">
        <w:t>baseline</w:t>
      </w:r>
      <w:r w:rsidR="00C968CD">
        <w:t xml:space="preserve"> </w:t>
      </w:r>
      <w:r w:rsidRPr="00C73648">
        <w:t xml:space="preserve">information on all youth who will participate in the evaluation. Program staff will hand out the form for youth to fill out. Program staff will send the forms to </w:t>
      </w:r>
      <w:r>
        <w:t>the evaluation team</w:t>
      </w:r>
      <w:r w:rsidRPr="00C73648">
        <w:t xml:space="preserve"> using a secure mailing system such as FedEx. These data will be double entered into an electronic database by specially trained data entry clerks</w:t>
      </w:r>
      <w:r>
        <w:t xml:space="preserve"> on the evaluation team staff</w:t>
      </w:r>
      <w:r w:rsidRPr="00C73648">
        <w:t>. Paper-and-pencil administration avoids costly programming of a web-based system and does not require the program staff to enter the data.</w:t>
      </w:r>
    </w:p>
    <w:p w14:paraId="7375E5D1" w14:textId="77777777" w:rsidR="00B309E6" w:rsidRPr="00B309E6" w:rsidRDefault="00F41939" w:rsidP="004A5B8B">
      <w:pPr>
        <w:pStyle w:val="H4NumberNoTOC"/>
      </w:pPr>
      <w:r>
        <w:t>b</w:t>
      </w:r>
      <w:r w:rsidR="00DF5DC5">
        <w:t>.</w:t>
      </w:r>
      <w:r>
        <w:tab/>
      </w:r>
      <w:r w:rsidR="00DF5DC5">
        <w:t>Site visit data</w:t>
      </w:r>
    </w:p>
    <w:p w14:paraId="0CFE8155" w14:textId="77777777" w:rsidR="00B309E6" w:rsidRPr="00B309E6" w:rsidRDefault="00B309E6" w:rsidP="00192C38">
      <w:pPr>
        <w:pStyle w:val="NormalSS"/>
      </w:pPr>
      <w:r w:rsidRPr="00B309E6">
        <w:t>The data will be collected through semi-structured interviews</w:t>
      </w:r>
      <w:r w:rsidR="006D7472">
        <w:t xml:space="preserve"> and focus groups</w:t>
      </w:r>
      <w:r w:rsidRPr="00B309E6">
        <w:t xml:space="preserve"> held at grantees</w:t>
      </w:r>
      <w:r>
        <w:t xml:space="preserve"> sites</w:t>
      </w:r>
      <w:r w:rsidRPr="00B309E6">
        <w:t xml:space="preserve">. </w:t>
      </w:r>
      <w:r w:rsidR="00DB1DC7">
        <w:t>E</w:t>
      </w:r>
      <w:r w:rsidRPr="00B309E6">
        <w:t xml:space="preserve">xperienced researchers will conduct </w:t>
      </w:r>
      <w:r w:rsidR="00DB1DC7">
        <w:t>two-</w:t>
      </w:r>
      <w:r w:rsidRPr="00B309E6">
        <w:t>day site visits</w:t>
      </w:r>
      <w:r w:rsidR="00570819">
        <w:t>.</w:t>
      </w:r>
    </w:p>
    <w:p w14:paraId="2CE97845" w14:textId="77777777" w:rsidR="00DF5DC5" w:rsidRDefault="00F41939" w:rsidP="008F446A">
      <w:pPr>
        <w:pStyle w:val="H4Number"/>
      </w:pPr>
      <w:bookmarkStart w:id="28" w:name="_Toc374100108"/>
      <w:bookmarkStart w:id="29" w:name="_Toc428365577"/>
      <w:bookmarkStart w:id="30" w:name="_Toc428366623"/>
      <w:bookmarkStart w:id="31" w:name="_Toc428366637"/>
      <w:bookmarkStart w:id="32" w:name="_Toc76458969"/>
      <w:bookmarkEnd w:id="10"/>
      <w:bookmarkEnd w:id="11"/>
      <w:r>
        <w:t>4</w:t>
      </w:r>
      <w:r w:rsidR="00DF5DC5">
        <w:t>.</w:t>
      </w:r>
      <w:r w:rsidR="00DF5DC5">
        <w:tab/>
      </w:r>
      <w:bookmarkStart w:id="33" w:name="_Toc256427937"/>
      <w:bookmarkStart w:id="34" w:name="_Toc260919983"/>
      <w:bookmarkStart w:id="35" w:name="_Toc260921566"/>
      <w:bookmarkStart w:id="36" w:name="_Toc261004995"/>
      <w:bookmarkStart w:id="37" w:name="_Toc262106073"/>
      <w:bookmarkStart w:id="38" w:name="_Toc262106516"/>
      <w:bookmarkStart w:id="39" w:name="_Toc262205792"/>
      <w:bookmarkStart w:id="40" w:name="_Toc289941865"/>
      <w:r w:rsidR="00DF5DC5" w:rsidRPr="0093658C">
        <w:t xml:space="preserve">Tests of </w:t>
      </w:r>
      <w:r w:rsidR="00DF5DC5">
        <w:t>p</w:t>
      </w:r>
      <w:r w:rsidR="00DF5DC5" w:rsidRPr="0093658C">
        <w:t xml:space="preserve">rocedures or </w:t>
      </w:r>
      <w:r w:rsidR="00DF5DC5">
        <w:t>m</w:t>
      </w:r>
      <w:r w:rsidR="00DF5DC5" w:rsidRPr="0093658C">
        <w:t>ethods</w:t>
      </w:r>
      <w:bookmarkEnd w:id="28"/>
      <w:bookmarkEnd w:id="29"/>
      <w:bookmarkEnd w:id="30"/>
      <w:bookmarkEnd w:id="31"/>
      <w:bookmarkEnd w:id="33"/>
      <w:bookmarkEnd w:id="34"/>
      <w:bookmarkEnd w:id="35"/>
      <w:bookmarkEnd w:id="36"/>
      <w:bookmarkEnd w:id="37"/>
      <w:bookmarkEnd w:id="38"/>
      <w:bookmarkEnd w:id="39"/>
      <w:bookmarkEnd w:id="40"/>
    </w:p>
    <w:p w14:paraId="13B7C2FD" w14:textId="51E1BB8D" w:rsidR="00126EB2" w:rsidRDefault="00B309E6" w:rsidP="00DF5DC5">
      <w:pPr>
        <w:pStyle w:val="NormalSS"/>
      </w:pPr>
      <w:r w:rsidRPr="00B309E6">
        <w:t xml:space="preserve">Most of the items in the BIF are either identical or similar to questions used in previous </w:t>
      </w:r>
      <w:r w:rsidR="00B96B70">
        <w:t xml:space="preserve">studies </w:t>
      </w:r>
      <w:r>
        <w:t xml:space="preserve">(including other </w:t>
      </w:r>
      <w:r w:rsidRPr="00B309E6">
        <w:t>DOL</w:t>
      </w:r>
      <w:r w:rsidR="00126EB2">
        <w:t xml:space="preserve"> studies</w:t>
      </w:r>
      <w:r w:rsidR="006D7472">
        <w:t xml:space="preserve"> </w:t>
      </w:r>
      <w:r w:rsidR="00B96B7D">
        <w:t xml:space="preserve">such as </w:t>
      </w:r>
      <w:r w:rsidR="008604F3">
        <w:t xml:space="preserve">the Evaluation of the Impact on the YouthBuild Program and </w:t>
      </w:r>
      <w:r w:rsidR="006D7472">
        <w:t>the Evaluation of Youth Career Connect, as well as</w:t>
      </w:r>
      <w:r>
        <w:t xml:space="preserve"> the previous National Guard Youth Challe</w:t>
      </w:r>
      <w:r w:rsidR="00B96B70">
        <w:t>NG</w:t>
      </w:r>
      <w:r>
        <w:t>e Study</w:t>
      </w:r>
      <w:r w:rsidRPr="00B309E6">
        <w:t xml:space="preserve">) or national surveys. As such, </w:t>
      </w:r>
      <w:r w:rsidR="000D4738">
        <w:t>these</w:t>
      </w:r>
      <w:r w:rsidRPr="00B309E6">
        <w:t xml:space="preserve"> items have been thoroughly tested on large samples. </w:t>
      </w:r>
      <w:r w:rsidR="00126EB2">
        <w:t>Additionally,</w:t>
      </w:r>
      <w:r w:rsidR="004A2FEB" w:rsidRPr="004A2FEB">
        <w:t xml:space="preserve"> </w:t>
      </w:r>
      <w:r w:rsidR="00DF5DC5" w:rsidRPr="004A2FEB">
        <w:t>the consent</w:t>
      </w:r>
      <w:r w:rsidR="00DF5DC5">
        <w:t xml:space="preserve"> form and BIF </w:t>
      </w:r>
      <w:r>
        <w:t>ha</w:t>
      </w:r>
      <w:r w:rsidR="00126EB2">
        <w:t>ve</w:t>
      </w:r>
      <w:r>
        <w:t xml:space="preserve"> been pretested </w:t>
      </w:r>
      <w:r w:rsidR="00DF5DC5">
        <w:t xml:space="preserve">with nine youth </w:t>
      </w:r>
      <w:r>
        <w:t xml:space="preserve">in another National </w:t>
      </w:r>
      <w:r w:rsidR="006D7472">
        <w:t>Guard</w:t>
      </w:r>
      <w:r>
        <w:t xml:space="preserve"> Youth Challe</w:t>
      </w:r>
      <w:r w:rsidR="00B96B70">
        <w:t>NG</w:t>
      </w:r>
      <w:r>
        <w:t>e site</w:t>
      </w:r>
      <w:r w:rsidR="00DF5DC5" w:rsidRPr="0093658C">
        <w:t>.</w:t>
      </w:r>
      <w:r w:rsidR="00DF5DC5">
        <w:t xml:space="preserve"> </w:t>
      </w:r>
      <w:r w:rsidR="00DF5DC5" w:rsidRPr="0093658C">
        <w:t xml:space="preserve">After the </w:t>
      </w:r>
      <w:r w:rsidR="00DF5DC5">
        <w:t>pre-test participants complete</w:t>
      </w:r>
      <w:r>
        <w:t>d</w:t>
      </w:r>
      <w:r w:rsidR="00DF5DC5">
        <w:t xml:space="preserve"> the form</w:t>
      </w:r>
      <w:r w:rsidR="00DF5DC5" w:rsidRPr="0093658C">
        <w:t xml:space="preserve">, </w:t>
      </w:r>
      <w:r w:rsidR="00DF5DC5">
        <w:t>members of the evaluation team</w:t>
      </w:r>
      <w:r w:rsidR="00DF5DC5" w:rsidRPr="0093658C">
        <w:t xml:space="preserve"> </w:t>
      </w:r>
      <w:r w:rsidR="00DF5DC5">
        <w:t>conduct</w:t>
      </w:r>
      <w:r>
        <w:t>ed</w:t>
      </w:r>
      <w:r w:rsidR="00DF5DC5">
        <w:t xml:space="preserve"> a</w:t>
      </w:r>
      <w:r w:rsidR="00DF5DC5" w:rsidRPr="0093658C">
        <w:t xml:space="preserve"> debrief</w:t>
      </w:r>
      <w:r w:rsidR="00DF5DC5">
        <w:t>ing with</w:t>
      </w:r>
      <w:r w:rsidR="00DF5DC5" w:rsidRPr="0093658C">
        <w:t xml:space="preserve"> </w:t>
      </w:r>
      <w:r w:rsidR="00DF5DC5">
        <w:t xml:space="preserve">the </w:t>
      </w:r>
      <w:r w:rsidR="00DF5DC5" w:rsidRPr="0093658C">
        <w:t>participant</w:t>
      </w:r>
      <w:r w:rsidR="00DF5DC5">
        <w:t>s</w:t>
      </w:r>
      <w:r w:rsidR="00DF5DC5" w:rsidRPr="0093658C">
        <w:t xml:space="preserve"> using a standard debriefing protocol to determine </w:t>
      </w:r>
      <w:r w:rsidR="00DF5DC5">
        <w:t>whether</w:t>
      </w:r>
      <w:r w:rsidR="00DF5DC5" w:rsidRPr="0093658C">
        <w:t xml:space="preserve"> any words or questions are difficult to </w:t>
      </w:r>
      <w:r w:rsidR="00DF5DC5" w:rsidRPr="0093658C">
        <w:lastRenderedPageBreak/>
        <w:t xml:space="preserve">understand </w:t>
      </w:r>
      <w:r w:rsidR="00DF5DC5">
        <w:t>or</w:t>
      </w:r>
      <w:r w:rsidR="00DF5DC5" w:rsidRPr="0093658C">
        <w:t xml:space="preserve"> answer.</w:t>
      </w:r>
      <w:r>
        <w:t xml:space="preserve"> Slight changes were made in the instruments and consent forms at that time to respond to the feedback. </w:t>
      </w:r>
    </w:p>
    <w:p w14:paraId="0BC0282C" w14:textId="77777777" w:rsidR="00126EB2" w:rsidRDefault="00126EB2" w:rsidP="00DF5DC5">
      <w:pPr>
        <w:pStyle w:val="NormalSS"/>
      </w:pPr>
      <w:bookmarkStart w:id="41" w:name="_Toc374100109"/>
      <w:bookmarkStart w:id="42" w:name="_Toc428365578"/>
      <w:bookmarkStart w:id="43" w:name="_Toc428366624"/>
      <w:bookmarkStart w:id="44" w:name="_Toc428366638"/>
      <w:r w:rsidRPr="00126EB2">
        <w:t xml:space="preserve">The </w:t>
      </w:r>
      <w:r>
        <w:t>implementation study protocols</w:t>
      </w:r>
      <w:r w:rsidRPr="00126EB2">
        <w:t xml:space="preserve"> were </w:t>
      </w:r>
      <w:r w:rsidR="0011148D">
        <w:t xml:space="preserve">developed largely from protocols that were piloted in previous studies, including studies of YouthBuild, </w:t>
      </w:r>
      <w:r w:rsidR="004A7AAE">
        <w:t>g</w:t>
      </w:r>
      <w:r w:rsidR="0011148D">
        <w:t xml:space="preserve">rants for Youth Offenders, the </w:t>
      </w:r>
      <w:r w:rsidR="0011148D" w:rsidRPr="0011148D">
        <w:t>Los Angeles Reconnections Career Academy</w:t>
      </w:r>
      <w:r w:rsidR="0011148D">
        <w:t xml:space="preserve">, RExO, </w:t>
      </w:r>
      <w:r w:rsidR="004A7AAE">
        <w:t xml:space="preserve">and Youth Career Connect, as well as </w:t>
      </w:r>
      <w:r w:rsidR="0011148D">
        <w:t>t</w:t>
      </w:r>
      <w:r w:rsidR="004A7AAE">
        <w:t>he WIA Gold Standard Evaluation</w:t>
      </w:r>
      <w:r w:rsidR="0011148D">
        <w:t xml:space="preserve">. </w:t>
      </w:r>
      <w:r w:rsidR="004A7AAE">
        <w:t>P</w:t>
      </w:r>
      <w:r w:rsidR="004A7AAE" w:rsidRPr="004A7AAE">
        <w:t>rotocols</w:t>
      </w:r>
      <w:r w:rsidR="004A7AAE">
        <w:t xml:space="preserve"> from these studies</w:t>
      </w:r>
      <w:r w:rsidR="004A7AAE" w:rsidRPr="004A7AAE">
        <w:t xml:space="preserve"> helped us identify key topic areas, a list of potential questions and a universe of answers for questions with more well-defined answers, such as those concerning the use of particular curriculum, types of partnerships, </w:t>
      </w:r>
      <w:r w:rsidR="004A7AAE">
        <w:t>and so forth. Because the Youth ChalleNGe and Job ChalleNGe programs differ from existing programs, we</w:t>
      </w:r>
      <w:r w:rsidR="00851ABB">
        <w:t xml:space="preserve"> also conducted a close review of existing documents for these two programs, including the successful grantee proposals, to distill questions about service design options.</w:t>
      </w:r>
    </w:p>
    <w:p w14:paraId="65D1E5AA" w14:textId="77777777" w:rsidR="00DF5DC5" w:rsidRPr="001652FD" w:rsidRDefault="00DF5DC5" w:rsidP="008F446A">
      <w:pPr>
        <w:pStyle w:val="H4Number"/>
      </w:pPr>
      <w:r w:rsidRPr="001652FD">
        <w:t>5.</w:t>
      </w:r>
      <w:r w:rsidRPr="001652FD">
        <w:tab/>
        <w:t>Individuals consulted on statistical methods</w:t>
      </w:r>
      <w:bookmarkEnd w:id="32"/>
      <w:bookmarkEnd w:id="41"/>
      <w:bookmarkEnd w:id="42"/>
      <w:bookmarkEnd w:id="43"/>
      <w:bookmarkEnd w:id="44"/>
    </w:p>
    <w:p w14:paraId="4064A81D" w14:textId="77777777" w:rsidR="00DF5DC5" w:rsidRDefault="00DF5DC5" w:rsidP="00DF5DC5">
      <w:pPr>
        <w:pStyle w:val="NormalSS"/>
      </w:pPr>
      <w:r w:rsidRPr="00197370">
        <w:t>Consul</w:t>
      </w:r>
      <w:r>
        <w:t>tations on the statistical methods used in this study have been used to ensure the technical soundness of the study. The following individuals were consulted on statistical aspects of the design, and will also be primarily responsible for actually collecting and analyzing the data for the agency:</w:t>
      </w:r>
    </w:p>
    <w:p w14:paraId="709235F3" w14:textId="77777777" w:rsidR="00DF5DC5" w:rsidRPr="00197370" w:rsidRDefault="00DF5DC5" w:rsidP="00DF5DC5">
      <w:pPr>
        <w:pStyle w:val="NormalSS"/>
      </w:pPr>
      <w:r w:rsidRPr="00197370">
        <w:t>Mathematica Policy Research</w:t>
      </w:r>
    </w:p>
    <w:p w14:paraId="342CAE2E" w14:textId="77777777" w:rsidR="00DF5DC5" w:rsidRPr="00F41939" w:rsidRDefault="00DF5DC5" w:rsidP="00F41939">
      <w:pPr>
        <w:pStyle w:val="Dash"/>
      </w:pPr>
      <w:r w:rsidRPr="009B5556">
        <w:t>Ms. Jea</w:t>
      </w:r>
      <w:r w:rsidRPr="00F41939">
        <w:t xml:space="preserve">nne Bellotti </w:t>
      </w:r>
      <w:r w:rsidRPr="00F41939">
        <w:tab/>
        <w:t>(609) 275-2243</w:t>
      </w:r>
    </w:p>
    <w:p w14:paraId="3122DAC7" w14:textId="77777777" w:rsidR="00DF5DC5" w:rsidRPr="00F41939" w:rsidRDefault="00DF5DC5" w:rsidP="00F41939">
      <w:pPr>
        <w:pStyle w:val="Dash"/>
      </w:pPr>
      <w:r w:rsidRPr="00F41939">
        <w:t xml:space="preserve">Dr. Jillian Berk </w:t>
      </w:r>
      <w:r w:rsidRPr="00F41939">
        <w:tab/>
      </w:r>
      <w:r w:rsidRPr="00F41939">
        <w:tab/>
        <w:t>(202) 264-3449</w:t>
      </w:r>
    </w:p>
    <w:p w14:paraId="212FC363" w14:textId="77777777" w:rsidR="00DF5DC5" w:rsidRPr="00F41939" w:rsidRDefault="00DF5DC5" w:rsidP="00F41939">
      <w:pPr>
        <w:pStyle w:val="Dash"/>
      </w:pPr>
      <w:r w:rsidRPr="00F41939">
        <w:t xml:space="preserve">Dr. Eric Isenberg </w:t>
      </w:r>
      <w:r w:rsidRPr="00F41939">
        <w:tab/>
      </w:r>
      <w:r w:rsidRPr="00F41939">
        <w:tab/>
        <w:t>(312) 994-1009</w:t>
      </w:r>
    </w:p>
    <w:p w14:paraId="40675E31" w14:textId="77777777" w:rsidR="00DF5DC5" w:rsidRPr="009E50EB" w:rsidRDefault="00DF5DC5" w:rsidP="00F41939">
      <w:pPr>
        <w:pStyle w:val="DashLASTSS"/>
      </w:pPr>
      <w:r w:rsidRPr="00F41939">
        <w:t>Dr. Karen</w:t>
      </w:r>
      <w:r w:rsidRPr="009E50EB">
        <w:t xml:space="preserve"> Needels </w:t>
      </w:r>
      <w:r w:rsidRPr="009E50EB">
        <w:tab/>
      </w:r>
      <w:r>
        <w:tab/>
      </w:r>
      <w:r w:rsidRPr="009E50EB">
        <w:t>(609) 750-4043</w:t>
      </w:r>
    </w:p>
    <w:p w14:paraId="5895649A" w14:textId="77777777" w:rsidR="00DF5DC5" w:rsidRPr="001D415A" w:rsidRDefault="00DF5DC5" w:rsidP="00DF5DC5">
      <w:pPr>
        <w:pStyle w:val="NormalSS"/>
      </w:pPr>
      <w:r>
        <w:t xml:space="preserve">Additionally, the following individuals were consulted on the statistical methods discussed in this submission to </w:t>
      </w:r>
      <w:r w:rsidRPr="001D415A">
        <w:t>OMB:</w:t>
      </w:r>
    </w:p>
    <w:p w14:paraId="764149E0" w14:textId="77777777" w:rsidR="00DF5DC5" w:rsidRDefault="00DF5DC5" w:rsidP="00DF5DC5">
      <w:pPr>
        <w:pStyle w:val="NormalSS"/>
      </w:pPr>
      <w:r w:rsidRPr="001D415A">
        <w:t>MDRC</w:t>
      </w:r>
    </w:p>
    <w:p w14:paraId="41BBFFB9" w14:textId="77777777" w:rsidR="00DF5DC5" w:rsidRPr="001D415A" w:rsidRDefault="00DF5DC5" w:rsidP="00F41939">
      <w:pPr>
        <w:pStyle w:val="Dash"/>
      </w:pPr>
      <w:r w:rsidRPr="001D415A">
        <w:t xml:space="preserve">Mr. Dan Bloom </w:t>
      </w:r>
      <w:r w:rsidRPr="001D415A">
        <w:tab/>
      </w:r>
      <w:r w:rsidRPr="001D415A">
        <w:tab/>
        <w:t>(212) 340-8611</w:t>
      </w:r>
    </w:p>
    <w:p w14:paraId="644E4508" w14:textId="77777777" w:rsidR="00DF5DC5" w:rsidRPr="001D415A" w:rsidRDefault="00DF5DC5" w:rsidP="00F41939">
      <w:pPr>
        <w:pStyle w:val="DashLASTSS"/>
        <w:rPr>
          <w:sz w:val="18"/>
          <w:szCs w:val="18"/>
        </w:rPr>
      </w:pPr>
      <w:r w:rsidRPr="001D415A">
        <w:t>Ms. Megan Millenky</w:t>
      </w:r>
      <w:r w:rsidRPr="001D415A">
        <w:tab/>
        <w:t>(212) 340-8670</w:t>
      </w:r>
    </w:p>
    <w:p w14:paraId="29BB222B" w14:textId="77777777" w:rsidR="00126EB2" w:rsidRDefault="00126EB2" w:rsidP="008466B6">
      <w:pPr>
        <w:pStyle w:val="NormalSS"/>
      </w:pPr>
      <w:r>
        <w:t>Inquiries regarding the statistical aspects of the study’s planned analysis should be directed to:</w:t>
      </w:r>
    </w:p>
    <w:p w14:paraId="1115844C" w14:textId="794373E4" w:rsidR="00F35E15" w:rsidRPr="001D415A" w:rsidRDefault="001451A5" w:rsidP="00F35E15">
      <w:pPr>
        <w:pStyle w:val="Dash"/>
      </w:pPr>
      <w:r>
        <w:t>Dr</w:t>
      </w:r>
      <w:r w:rsidR="00F35E15">
        <w:t xml:space="preserve">. Jillian Berk </w:t>
      </w:r>
      <w:r w:rsidR="00F35E15">
        <w:tab/>
      </w:r>
      <w:r w:rsidR="00F35E15">
        <w:tab/>
        <w:t>(202) 264-3449</w:t>
      </w:r>
    </w:p>
    <w:p w14:paraId="01811368" w14:textId="5BE4FF0A" w:rsidR="00F35E15" w:rsidRPr="001D415A" w:rsidRDefault="007447C7" w:rsidP="00F35E15">
      <w:pPr>
        <w:pStyle w:val="DashLASTSS"/>
        <w:rPr>
          <w:sz w:val="18"/>
          <w:szCs w:val="18"/>
        </w:rPr>
      </w:pPr>
      <w:r>
        <w:t>Dr</w:t>
      </w:r>
      <w:r w:rsidR="00F35E15">
        <w:t>. Molly Irwin</w:t>
      </w:r>
      <w:r w:rsidR="00F35E15">
        <w:tab/>
      </w:r>
      <w:r w:rsidR="00F35E15">
        <w:tab/>
        <w:t>(202) 693-5091</w:t>
      </w:r>
    </w:p>
    <w:p w14:paraId="4FD22E4F" w14:textId="77777777" w:rsidR="00DF5DC5" w:rsidRDefault="00DF5DC5" w:rsidP="00DF5DC5">
      <w:pPr>
        <w:rPr>
          <w:rFonts w:ascii="Lucida Sans" w:hAnsi="Lucida Sans"/>
          <w:b/>
          <w:caps/>
        </w:rPr>
      </w:pPr>
      <w:r>
        <w:br w:type="page"/>
      </w:r>
    </w:p>
    <w:p w14:paraId="4D476903" w14:textId="77777777" w:rsidR="00DF5DC5" w:rsidRPr="008466B6" w:rsidRDefault="00DF5DC5" w:rsidP="008466B6">
      <w:pPr>
        <w:pStyle w:val="H2Chapter"/>
        <w:pBdr>
          <w:bottom w:val="none" w:sz="0" w:space="0" w:color="auto"/>
        </w:pBdr>
        <w:jc w:val="center"/>
        <w:rPr>
          <w:rFonts w:ascii="Arial" w:hAnsi="Arial" w:cs="Arial"/>
          <w:b/>
          <w:sz w:val="24"/>
        </w:rPr>
      </w:pPr>
      <w:bookmarkStart w:id="45" w:name="_Toc428366639"/>
      <w:r w:rsidRPr="008466B6">
        <w:rPr>
          <w:rFonts w:ascii="Arial" w:hAnsi="Arial" w:cs="Arial"/>
          <w:b/>
          <w:sz w:val="24"/>
        </w:rPr>
        <w:lastRenderedPageBreak/>
        <w:t>References</w:t>
      </w:r>
      <w:bookmarkEnd w:id="45"/>
    </w:p>
    <w:p w14:paraId="47947500" w14:textId="77777777" w:rsidR="00DF5DC5" w:rsidRPr="0091640F" w:rsidRDefault="00DF5DC5" w:rsidP="00F41939">
      <w:pPr>
        <w:pStyle w:val="References"/>
      </w:pPr>
      <w:r w:rsidRPr="0091640F">
        <w:t xml:space="preserve">Bloom, H. “Accounting for No-Shows in Experimental Evaluation Designs.” </w:t>
      </w:r>
      <w:r w:rsidRPr="0091640F">
        <w:rPr>
          <w:i/>
          <w:iCs/>
        </w:rPr>
        <w:t>Evaluation Review</w:t>
      </w:r>
      <w:r w:rsidRPr="0091640F">
        <w:t xml:space="preserve">, vol. 8, 1984. </w:t>
      </w:r>
    </w:p>
    <w:p w14:paraId="255963D5" w14:textId="77777777" w:rsidR="00DF5DC5" w:rsidRPr="0091640F" w:rsidRDefault="00DF5DC5" w:rsidP="00F41939">
      <w:pPr>
        <w:pStyle w:val="References"/>
      </w:pPr>
      <w:r w:rsidRPr="0091640F">
        <w:t>Millenky, M., D. Bloom, S.M. Ravett, and J. Broadus. “Staying on Course: Three-Year Results of the National Guard Youth ChalleNGe Evaluation.” New York: MDRC, 2011.</w:t>
      </w:r>
    </w:p>
    <w:p w14:paraId="1B9BCD61" w14:textId="77777777" w:rsidR="00B97274" w:rsidRDefault="00DF5DC5" w:rsidP="00192C38">
      <w:pPr>
        <w:pStyle w:val="References"/>
      </w:pPr>
      <w:r w:rsidRPr="0091640F">
        <w:t xml:space="preserve">Schochet, P., J. Burghardt, and S. McConnell. </w:t>
      </w:r>
      <w:r>
        <w:t>“</w:t>
      </w:r>
      <w:r w:rsidRPr="0091640F">
        <w:t>Does Job Corps Work? Impact Findings from the National Job Corps Study.</w:t>
      </w:r>
      <w:r>
        <w:t>”</w:t>
      </w:r>
      <w:r w:rsidRPr="0091640F">
        <w:t xml:space="preserve"> </w:t>
      </w:r>
      <w:r w:rsidRPr="0091640F">
        <w:rPr>
          <w:i/>
          <w:iCs/>
        </w:rPr>
        <w:t>American Economic Review</w:t>
      </w:r>
      <w:r w:rsidRPr="0091640F">
        <w:t>, vol. 98, no. 5, 2008, pp. 1864–1886.</w:t>
      </w:r>
    </w:p>
    <w:sectPr w:rsidR="00B97274" w:rsidSect="0018724A">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5DB5D" w14:textId="77777777" w:rsidR="008168A4" w:rsidRDefault="008168A4" w:rsidP="002E3E35">
      <w:r>
        <w:separator/>
      </w:r>
    </w:p>
  </w:endnote>
  <w:endnote w:type="continuationSeparator" w:id="0">
    <w:p w14:paraId="6A859629" w14:textId="77777777" w:rsidR="008168A4" w:rsidRDefault="008168A4" w:rsidP="002E3E35">
      <w:r>
        <w:continuationSeparator/>
      </w:r>
    </w:p>
  </w:endnote>
  <w:endnote w:type="continuationNotice" w:id="1">
    <w:p w14:paraId="70C879EE" w14:textId="77777777" w:rsidR="008168A4" w:rsidRDefault="00816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imesNewRomanPSMT">
    <w:altName w:val="Courier New"/>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8CC2E" w14:textId="77777777" w:rsidR="00264043" w:rsidRDefault="002640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9240C" w14:textId="77777777" w:rsidR="00264043" w:rsidRDefault="002640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637E7" w14:textId="77777777" w:rsidR="00264043" w:rsidRDefault="00264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226E7F" w14:textId="77777777" w:rsidR="008168A4" w:rsidRDefault="008168A4" w:rsidP="00203E3B">
      <w:r>
        <w:separator/>
      </w:r>
    </w:p>
  </w:footnote>
  <w:footnote w:type="continuationSeparator" w:id="0">
    <w:p w14:paraId="50C7E1E2" w14:textId="77777777" w:rsidR="008168A4" w:rsidRDefault="008168A4" w:rsidP="00203E3B">
      <w:r>
        <w:separator/>
      </w:r>
    </w:p>
    <w:p w14:paraId="1F317DDC" w14:textId="77777777" w:rsidR="008168A4" w:rsidRPr="00157CA2" w:rsidRDefault="008168A4" w:rsidP="00203E3B">
      <w:pPr>
        <w:spacing w:after="120"/>
        <w:rPr>
          <w:sz w:val="20"/>
        </w:rPr>
      </w:pPr>
      <w:r w:rsidRPr="00157CA2">
        <w:rPr>
          <w:i/>
          <w:sz w:val="20"/>
        </w:rPr>
        <w:t>(continued)</w:t>
      </w:r>
    </w:p>
  </w:footnote>
  <w:footnote w:type="continuationNotice" w:id="1">
    <w:p w14:paraId="0E898417" w14:textId="77777777" w:rsidR="008168A4" w:rsidRDefault="008168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7E050" w14:textId="77777777" w:rsidR="00264043" w:rsidRDefault="002640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EndPr/>
    <w:sdtContent>
      <w:p w14:paraId="17FA1F6C" w14:textId="77777777" w:rsidR="008168A4" w:rsidRDefault="008168A4" w:rsidP="008466B6">
        <w:pPr>
          <w:tabs>
            <w:tab w:val="left" w:pos="8010"/>
          </w:tabs>
        </w:pPr>
        <w:r>
          <w:t>NGYCJC OMB Part B</w:t>
        </w:r>
        <w:r>
          <w:tab/>
          <w:t xml:space="preserve">Page </w:t>
        </w:r>
        <w:r>
          <w:fldChar w:fldCharType="begin"/>
        </w:r>
        <w:r>
          <w:instrText xml:space="preserve"> PAGE </w:instrText>
        </w:r>
        <w:r>
          <w:fldChar w:fldCharType="separate"/>
        </w:r>
        <w:r w:rsidR="00EF5AE4">
          <w:rPr>
            <w:noProof/>
          </w:rPr>
          <w:t>3</w:t>
        </w:r>
        <w:r>
          <w:fldChar w:fldCharType="end"/>
        </w:r>
        <w:r>
          <w:t xml:space="preserve"> of </w:t>
        </w:r>
        <w:fldSimple w:instr=" NUMPAGES  ">
          <w:r w:rsidR="00EF5AE4">
            <w:rPr>
              <w:noProof/>
            </w:rPr>
            <w:t>9</w:t>
          </w:r>
        </w:fldSimple>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545213"/>
      <w:docPartObj>
        <w:docPartGallery w:val="Page Numbers (Top of Page)"/>
        <w:docPartUnique/>
      </w:docPartObj>
    </w:sdtPr>
    <w:sdtEndPr/>
    <w:sdtContent>
      <w:p w14:paraId="134B127F" w14:textId="77777777" w:rsidR="008168A4" w:rsidRPr="0018724A" w:rsidRDefault="008168A4" w:rsidP="0018724A">
        <w:pPr>
          <w:tabs>
            <w:tab w:val="left" w:pos="7920"/>
          </w:tabs>
        </w:pPr>
        <w:r w:rsidRPr="0018724A">
          <w:t>OMB Part B</w:t>
        </w:r>
        <w:r w:rsidRPr="0018724A">
          <w:tab/>
          <w:t xml:space="preserve">Page </w:t>
        </w:r>
        <w:r w:rsidRPr="0018724A">
          <w:fldChar w:fldCharType="begin"/>
        </w:r>
        <w:r w:rsidRPr="0018724A">
          <w:instrText xml:space="preserve"> PAGE </w:instrText>
        </w:r>
        <w:r w:rsidRPr="0018724A">
          <w:fldChar w:fldCharType="separate"/>
        </w:r>
        <w:r w:rsidR="00EF5AE4">
          <w:rPr>
            <w:noProof/>
          </w:rPr>
          <w:t>1</w:t>
        </w:r>
        <w:r w:rsidRPr="0018724A">
          <w:fldChar w:fldCharType="end"/>
        </w:r>
        <w:r w:rsidRPr="0018724A">
          <w:t xml:space="preserve"> of </w:t>
        </w:r>
        <w:fldSimple w:instr=" NUMPAGES  ">
          <w:r w:rsidR="00EF5AE4">
            <w:rPr>
              <w:noProof/>
            </w:rPr>
            <w:t>9</w:t>
          </w:r>
        </w:fldSimple>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91880"/>
    <w:multiLevelType w:val="multilevel"/>
    <w:tmpl w:val="62049FBA"/>
    <w:lvl w:ilvl="0">
      <w:start w:val="1"/>
      <w:numFmt w:val="decimal"/>
      <w:pStyle w:val="bulletnumbered1"/>
      <w:lvlText w:val="%1."/>
      <w:lvlJc w:val="right"/>
      <w:pPr>
        <w:tabs>
          <w:tab w:val="num" w:pos="720"/>
        </w:tabs>
        <w:ind w:left="720" w:hanging="259"/>
      </w:pPr>
      <w:rPr>
        <w:rFonts w:ascii="Times New Roman" w:hAnsi="Times New Roman" w:hint="default"/>
        <w:b w:val="0"/>
        <w:i w:val="0"/>
        <w:caps w:val="0"/>
        <w:strike w:val="0"/>
        <w:dstrike w:val="0"/>
        <w:vanish w:val="0"/>
        <w:color w:val="auto"/>
        <w:spacing w:val="0"/>
        <w:position w:val="0"/>
        <w:sz w:val="24"/>
        <w:szCs w:val="24"/>
        <w:vertAlign w:val="base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spacing w:val="0"/>
        <w:position w:val="0"/>
        <w:sz w:val="20"/>
        <w:szCs w:val="20"/>
        <w:vertAlign w:val="base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1">
    <w:nsid w:val="175F4639"/>
    <w:multiLevelType w:val="hybridMultilevel"/>
    <w:tmpl w:val="0F86CF26"/>
    <w:lvl w:ilvl="0" w:tplc="797E3AB6">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9254FD8"/>
    <w:multiLevelType w:val="hybridMultilevel"/>
    <w:tmpl w:val="B6AC7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41C0"/>
    <w:multiLevelType w:val="multilevel"/>
    <w:tmpl w:val="646293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nsid w:val="3647716D"/>
    <w:multiLevelType w:val="multilevel"/>
    <w:tmpl w:val="F8DA6276"/>
    <w:lvl w:ilvl="0">
      <w:start w:val="1"/>
      <w:numFmt w:val="bullet"/>
      <w:pStyle w:val="Tablebullet1"/>
      <w:lvlText w:val=""/>
      <w:lvlJc w:val="left"/>
      <w:pPr>
        <w:tabs>
          <w:tab w:val="num" w:pos="202"/>
        </w:tabs>
        <w:ind w:left="202" w:hanging="260"/>
      </w:pPr>
      <w:rPr>
        <w:rFonts w:ascii="Symbol" w:hAnsi="Symbol" w:hint="default"/>
        <w:caps w:val="0"/>
        <w:strike w:val="0"/>
        <w:dstrike w:val="0"/>
        <w:vanish w:val="0"/>
        <w:color w:val="auto"/>
        <w:spacing w:val="0"/>
        <w:position w:val="0"/>
        <w:sz w:val="20"/>
        <w:vertAlign w:val="baseline"/>
      </w:rPr>
    </w:lvl>
    <w:lvl w:ilvl="1">
      <w:start w:val="1"/>
      <w:numFmt w:val="bullet"/>
      <w:lvlRestart w:val="0"/>
      <w:pStyle w:val="Tablebullet2"/>
      <w:lvlText w:val=""/>
      <w:lvlJc w:val="left"/>
      <w:pPr>
        <w:tabs>
          <w:tab w:val="num" w:pos="490"/>
        </w:tabs>
        <w:ind w:left="490" w:hanging="288"/>
      </w:pPr>
      <w:rPr>
        <w:rFonts w:ascii="Symbol" w:hAnsi="Symbol" w:hint="default"/>
        <w:b/>
        <w:i w:val="0"/>
        <w:color w:val="auto"/>
        <w:spacing w:val="0"/>
        <w:kern w:val="0"/>
        <w:position w:val="4"/>
        <w:sz w:val="32"/>
        <w:szCs w:val="32"/>
      </w:rPr>
    </w:lvl>
    <w:lvl w:ilvl="2">
      <w:start w:val="1"/>
      <w:numFmt w:val="bullet"/>
      <w:lvlRestart w:val="0"/>
      <w:pStyle w:val="Tablebullet3"/>
      <w:lvlText w:val=""/>
      <w:lvlJc w:val="left"/>
      <w:pPr>
        <w:tabs>
          <w:tab w:val="num" w:pos="691"/>
        </w:tabs>
        <w:ind w:left="691" w:hanging="201"/>
      </w:pPr>
      <w:rPr>
        <w:rFonts w:ascii="Symbol" w:hAnsi="Symbol" w:hint="default"/>
        <w:b w:val="0"/>
        <w:i w:val="0"/>
        <w:caps w:val="0"/>
        <w:strike w:val="0"/>
        <w:dstrike w:val="0"/>
        <w:vanish w:val="0"/>
        <w:color w:val="auto"/>
        <w:spacing w:val="0"/>
        <w:position w:val="2"/>
        <w:sz w:val="20"/>
        <w:szCs w:val="20"/>
        <w:vertAlign w:val="baseline"/>
      </w:rPr>
    </w:lvl>
    <w:lvl w:ilvl="3">
      <w:start w:val="1"/>
      <w:numFmt w:val="bullet"/>
      <w:lvlRestart w:val="0"/>
      <w:pStyle w:val="Tablebullet4"/>
      <w:lvlText w:val=""/>
      <w:lvlJc w:val="left"/>
      <w:pPr>
        <w:tabs>
          <w:tab w:val="num" w:pos="893"/>
        </w:tabs>
        <w:ind w:left="893" w:hanging="202"/>
      </w:pPr>
      <w:rPr>
        <w:rFonts w:ascii="Symbol" w:hAnsi="Symbol" w:hint="default"/>
        <w:spacing w:val="0"/>
        <w:kern w:val="0"/>
        <w:position w:val="6"/>
        <w:sz w:val="32"/>
        <w:szCs w:val="32"/>
      </w:rPr>
    </w:lvl>
    <w:lvl w:ilvl="4">
      <w:start w:val="1"/>
      <w:numFmt w:val="bullet"/>
      <w:lvlRestart w:val="0"/>
      <w:lvlText w:val=""/>
      <w:lvlJc w:val="left"/>
      <w:pPr>
        <w:tabs>
          <w:tab w:val="num" w:pos="1094"/>
        </w:tabs>
        <w:ind w:left="1094" w:hanging="201"/>
      </w:pPr>
      <w:rPr>
        <w:rFonts w:ascii="Symbol" w:hAnsi="Symbol" w:hint="default"/>
        <w:position w:val="2"/>
      </w:rPr>
    </w:lvl>
    <w:lvl w:ilvl="5">
      <w:start w:val="1"/>
      <w:numFmt w:val="bullet"/>
      <w:lvlRestart w:val="0"/>
      <w:lvlText w:val=""/>
      <w:lvlJc w:val="left"/>
      <w:pPr>
        <w:tabs>
          <w:tab w:val="num" w:pos="1325"/>
        </w:tabs>
        <w:ind w:left="1325" w:hanging="202"/>
      </w:pPr>
      <w:rPr>
        <w:rFonts w:ascii="Symbol" w:hAnsi="Symbol" w:hint="default"/>
        <w:spacing w:val="0"/>
        <w:position w:val="6"/>
      </w:rPr>
    </w:lvl>
    <w:lvl w:ilvl="6">
      <w:start w:val="1"/>
      <w:numFmt w:val="bullet"/>
      <w:lvlRestart w:val="0"/>
      <w:lvlText w:val=""/>
      <w:lvlJc w:val="left"/>
      <w:pPr>
        <w:tabs>
          <w:tab w:val="num" w:pos="1498"/>
        </w:tabs>
        <w:ind w:left="1498" w:hanging="173"/>
      </w:pPr>
      <w:rPr>
        <w:rFonts w:ascii="Symbol" w:hAnsi="Symbol" w:hint="default"/>
        <w:b w:val="0"/>
        <w:i w:val="0"/>
        <w:caps w:val="0"/>
        <w:strike w:val="0"/>
        <w:dstrike w:val="0"/>
        <w:vanish w:val="0"/>
        <w:spacing w:val="0"/>
        <w:position w:val="8"/>
        <w:sz w:val="16"/>
        <w:szCs w:val="16"/>
        <w:vertAlign w:val="baseline"/>
      </w:rPr>
    </w:lvl>
    <w:lvl w:ilvl="7">
      <w:start w:val="1"/>
      <w:numFmt w:val="bullet"/>
      <w:lvlRestart w:val="0"/>
      <w:lvlText w:val=""/>
      <w:lvlJc w:val="left"/>
      <w:pPr>
        <w:tabs>
          <w:tab w:val="num" w:pos="1699"/>
        </w:tabs>
        <w:ind w:left="1699" w:hanging="201"/>
      </w:pPr>
      <w:rPr>
        <w:rFonts w:ascii="Symbol" w:hAnsi="Symbol" w:hint="default"/>
        <w:spacing w:val="0"/>
        <w:position w:val="4"/>
        <w:sz w:val="28"/>
        <w:szCs w:val="28"/>
      </w:rPr>
    </w:lvl>
    <w:lvl w:ilvl="8">
      <w:start w:val="1"/>
      <w:numFmt w:val="bullet"/>
      <w:lvlRestart w:val="0"/>
      <w:lvlText w:val=""/>
      <w:lvlJc w:val="left"/>
      <w:pPr>
        <w:tabs>
          <w:tab w:val="num" w:pos="1901"/>
        </w:tabs>
        <w:ind w:left="1901" w:hanging="202"/>
      </w:pPr>
      <w:rPr>
        <w:rFonts w:ascii="Symbol" w:hAnsi="Symbol" w:hint="default"/>
        <w:position w:val="2"/>
        <w:sz w:val="20"/>
        <w:szCs w:val="20"/>
      </w:rPr>
    </w:lvl>
  </w:abstractNum>
  <w:abstractNum w:abstractNumId="6">
    <w:nsid w:val="36A21B98"/>
    <w:multiLevelType w:val="multilevel"/>
    <w:tmpl w:val="46548B7C"/>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spacing w:val="0"/>
        <w:position w:val="10"/>
        <w:sz w:val="16"/>
        <w:szCs w:val="16"/>
        <w:vertAlign w:val="base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7">
    <w:nsid w:val="3C0974B2"/>
    <w:multiLevelType w:val="multilevel"/>
    <w:tmpl w:val="5014A668"/>
    <w:lvl w:ilvl="0">
      <w:start w:val="1"/>
      <w:numFmt w:val="bullet"/>
      <w:pStyle w:val="Textboxbullet1"/>
      <w:lvlText w:val=""/>
      <w:lvlJc w:val="left"/>
      <w:pPr>
        <w:tabs>
          <w:tab w:val="num" w:pos="374"/>
        </w:tabs>
        <w:ind w:left="374" w:hanging="259"/>
      </w:pPr>
      <w:rPr>
        <w:rFonts w:ascii="Symbol" w:hAnsi="Symbol" w:hint="default"/>
        <w:caps w:val="0"/>
        <w:strike w:val="0"/>
        <w:dstrike w:val="0"/>
        <w:vanish w:val="0"/>
        <w:color w:val="auto"/>
        <w:spacing w:val="0"/>
        <w:position w:val="0"/>
        <w:sz w:val="20"/>
        <w:vertAlign w:val="baseline"/>
      </w:rPr>
    </w:lvl>
    <w:lvl w:ilvl="1">
      <w:start w:val="1"/>
      <w:numFmt w:val="bullet"/>
      <w:lvlRestart w:val="0"/>
      <w:pStyle w:val="Textboxbullet2"/>
      <w:lvlText w:val=""/>
      <w:lvlJc w:val="left"/>
      <w:pPr>
        <w:tabs>
          <w:tab w:val="num" w:pos="706"/>
        </w:tabs>
        <w:ind w:left="706" w:hanging="332"/>
      </w:pPr>
      <w:rPr>
        <w:rFonts w:ascii="Symbol" w:hAnsi="Symbol" w:hint="default"/>
        <w:b/>
        <w:i w:val="0"/>
        <w:color w:val="auto"/>
        <w:spacing w:val="0"/>
        <w:kern w:val="0"/>
        <w:position w:val="0"/>
        <w:sz w:val="32"/>
        <w:szCs w:val="32"/>
      </w:rPr>
    </w:lvl>
    <w:lvl w:ilvl="2">
      <w:start w:val="1"/>
      <w:numFmt w:val="bullet"/>
      <w:lvlRestart w:val="0"/>
      <w:pStyle w:val="Textboxbullet3"/>
      <w:lvlText w:val=""/>
      <w:lvlJc w:val="left"/>
      <w:pPr>
        <w:tabs>
          <w:tab w:val="num" w:pos="965"/>
        </w:tabs>
        <w:ind w:left="965" w:hanging="259"/>
      </w:pPr>
      <w:rPr>
        <w:rFonts w:ascii="Symbol" w:hAnsi="Symbol" w:hint="default"/>
        <w:b w:val="0"/>
        <w:i w:val="0"/>
        <w:caps w:val="0"/>
        <w:strike w:val="0"/>
        <w:dstrike w:val="0"/>
        <w:vanish w:val="0"/>
        <w:color w:val="auto"/>
        <w:spacing w:val="0"/>
        <w:position w:val="2"/>
        <w:sz w:val="20"/>
        <w:szCs w:val="20"/>
        <w:vertAlign w:val="baseline"/>
      </w:rPr>
    </w:lvl>
    <w:lvl w:ilvl="3">
      <w:start w:val="1"/>
      <w:numFmt w:val="bullet"/>
      <w:lvlRestart w:val="0"/>
      <w:pStyle w:val="Textboxbullet4"/>
      <w:lvlText w:val=""/>
      <w:lvlJc w:val="left"/>
      <w:pPr>
        <w:tabs>
          <w:tab w:val="num" w:pos="1195"/>
        </w:tabs>
        <w:ind w:left="1195" w:hanging="230"/>
      </w:pPr>
      <w:rPr>
        <w:rFonts w:ascii="Symbol" w:hAnsi="Symbol" w:hint="default"/>
        <w:spacing w:val="0"/>
        <w:kern w:val="0"/>
        <w:position w:val="0"/>
        <w:sz w:val="32"/>
        <w:szCs w:val="32"/>
      </w:rPr>
    </w:lvl>
    <w:lvl w:ilvl="4">
      <w:start w:val="1"/>
      <w:numFmt w:val="bullet"/>
      <w:lvlRestart w:val="0"/>
      <w:lvlText w:val=""/>
      <w:lvlJc w:val="left"/>
      <w:pPr>
        <w:tabs>
          <w:tab w:val="num" w:pos="1397"/>
        </w:tabs>
        <w:ind w:left="1397" w:hanging="202"/>
      </w:pPr>
      <w:rPr>
        <w:rFonts w:ascii="Symbol" w:hAnsi="Symbol" w:hint="default"/>
        <w:position w:val="-4"/>
      </w:rPr>
    </w:lvl>
    <w:lvl w:ilvl="5">
      <w:start w:val="1"/>
      <w:numFmt w:val="bullet"/>
      <w:lvlRestart w:val="0"/>
      <w:lvlText w:val=""/>
      <w:lvlJc w:val="left"/>
      <w:pPr>
        <w:tabs>
          <w:tab w:val="num" w:pos="1598"/>
        </w:tabs>
        <w:ind w:left="1598" w:hanging="201"/>
      </w:pPr>
      <w:rPr>
        <w:rFonts w:ascii="Symbol" w:hAnsi="Symbol" w:hint="default"/>
        <w:spacing w:val="0"/>
        <w:position w:val="0"/>
      </w:rPr>
    </w:lvl>
    <w:lvl w:ilvl="6">
      <w:start w:val="1"/>
      <w:numFmt w:val="bullet"/>
      <w:lvlRestart w:val="0"/>
      <w:lvlText w:val=""/>
      <w:lvlJc w:val="left"/>
      <w:pPr>
        <w:tabs>
          <w:tab w:val="num" w:pos="1800"/>
        </w:tabs>
        <w:ind w:left="1800" w:hanging="202"/>
      </w:pPr>
      <w:rPr>
        <w:rFonts w:ascii="Symbol" w:hAnsi="Symbol" w:hint="default"/>
        <w:b w:val="0"/>
        <w:i w:val="0"/>
        <w:caps w:val="0"/>
        <w:strike w:val="0"/>
        <w:dstrike w:val="0"/>
        <w:vanish w:val="0"/>
        <w:color w:val="000000"/>
        <w:spacing w:val="0"/>
        <w:position w:val="4"/>
        <w:sz w:val="16"/>
        <w:szCs w:val="16"/>
        <w:vertAlign w:val="baseline"/>
      </w:rPr>
    </w:lvl>
    <w:lvl w:ilvl="7">
      <w:start w:val="1"/>
      <w:numFmt w:val="bullet"/>
      <w:lvlRestart w:val="0"/>
      <w:lvlText w:val=""/>
      <w:lvlJc w:val="left"/>
      <w:pPr>
        <w:tabs>
          <w:tab w:val="num" w:pos="2002"/>
        </w:tabs>
        <w:ind w:left="2002" w:hanging="202"/>
      </w:pPr>
      <w:rPr>
        <w:rFonts w:ascii="Symbol" w:hAnsi="Symbol" w:hint="default"/>
        <w:spacing w:val="0"/>
        <w:position w:val="0"/>
        <w:sz w:val="28"/>
        <w:szCs w:val="28"/>
      </w:rPr>
    </w:lvl>
    <w:lvl w:ilvl="8">
      <w:start w:val="1"/>
      <w:numFmt w:val="bullet"/>
      <w:lvlRestart w:val="0"/>
      <w:lvlText w:val=""/>
      <w:lvlJc w:val="left"/>
      <w:pPr>
        <w:tabs>
          <w:tab w:val="num" w:pos="2203"/>
        </w:tabs>
        <w:ind w:left="2203" w:hanging="201"/>
      </w:pPr>
      <w:rPr>
        <w:rFonts w:ascii="Symbol" w:hAnsi="Symbol" w:hint="default"/>
        <w:position w:val="-4"/>
        <w:sz w:val="20"/>
        <w:szCs w:val="20"/>
      </w:rPr>
    </w:lvl>
  </w:abstractNum>
  <w:abstractNum w:abstractNumId="8">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9">
    <w:nsid w:val="49C6048B"/>
    <w:multiLevelType w:val="singleLevel"/>
    <w:tmpl w:val="08DE816E"/>
    <w:lvl w:ilvl="0">
      <w:start w:val="1"/>
      <w:numFmt w:val="decimal"/>
      <w:pStyle w:val="NumberedBullet"/>
      <w:lvlText w:val="%1."/>
      <w:lvlJc w:val="left"/>
      <w:pPr>
        <w:tabs>
          <w:tab w:val="num" w:pos="2880"/>
        </w:tabs>
        <w:ind w:left="2880" w:hanging="360"/>
      </w:pPr>
      <w:rPr>
        <w:rFonts w:hint="default"/>
      </w:rPr>
    </w:lvl>
  </w:abstractNum>
  <w:abstractNum w:abstractNumId="1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D85D97"/>
    <w:multiLevelType w:val="hybridMultilevel"/>
    <w:tmpl w:val="60AA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C170EBE"/>
    <w:multiLevelType w:val="hybridMultilevel"/>
    <w:tmpl w:val="11E026A6"/>
    <w:lvl w:ilvl="0" w:tplc="D5D84E7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6CC929B3"/>
    <w:multiLevelType w:val="multilevel"/>
    <w:tmpl w:val="50506BC6"/>
    <w:lvl w:ilvl="0">
      <w:start w:val="1"/>
      <w:numFmt w:val="decimal"/>
      <w:pStyle w:val="TableList11"/>
      <w:lvlText w:val="%1."/>
      <w:lvlJc w:val="right"/>
      <w:pPr>
        <w:tabs>
          <w:tab w:val="num" w:pos="346"/>
        </w:tabs>
        <w:ind w:left="346" w:hanging="130"/>
      </w:pPr>
      <w:rPr>
        <w:rFonts w:ascii="Arial" w:hAnsi="Arial" w:hint="default"/>
        <w:b w:val="0"/>
        <w:i w:val="0"/>
        <w:caps w:val="0"/>
        <w:strike w:val="0"/>
        <w:dstrike w:val="0"/>
        <w:vanish w:val="0"/>
        <w:color w:val="000000"/>
        <w:spacing w:val="0"/>
        <w:position w:val="0"/>
        <w:sz w:val="20"/>
        <w:szCs w:val="20"/>
        <w:vertAlign w:val="baseline"/>
      </w:rPr>
    </w:lvl>
    <w:lvl w:ilvl="1">
      <w:start w:val="1"/>
      <w:numFmt w:val="lowerLetter"/>
      <w:pStyle w:val="TableList21"/>
      <w:lvlText w:val="%2."/>
      <w:lvlJc w:val="right"/>
      <w:pPr>
        <w:tabs>
          <w:tab w:val="num" w:pos="619"/>
        </w:tabs>
        <w:ind w:left="619" w:hanging="129"/>
      </w:pPr>
      <w:rPr>
        <w:rFonts w:ascii="Arial" w:hAnsi="Arial" w:hint="default"/>
        <w:b w:val="0"/>
        <w:i w:val="0"/>
        <w:spacing w:val="0"/>
        <w:kern w:val="0"/>
        <w:position w:val="0"/>
        <w:sz w:val="20"/>
        <w:szCs w:val="20"/>
      </w:rPr>
    </w:lvl>
    <w:lvl w:ilvl="2">
      <w:start w:val="1"/>
      <w:numFmt w:val="lowerRoman"/>
      <w:pStyle w:val="TableList31"/>
      <w:lvlText w:val="%3."/>
      <w:lvlJc w:val="right"/>
      <w:pPr>
        <w:tabs>
          <w:tab w:val="num" w:pos="936"/>
        </w:tabs>
        <w:ind w:left="936" w:hanging="130"/>
      </w:pPr>
      <w:rPr>
        <w:rFonts w:ascii="Arial" w:hAnsi="Arial" w:hint="default"/>
        <w:b w:val="0"/>
        <w:i w:val="0"/>
        <w:caps w:val="0"/>
        <w:strike w:val="0"/>
        <w:dstrike w:val="0"/>
        <w:vanish w:val="0"/>
        <w:color w:val="000000"/>
        <w:spacing w:val="0"/>
        <w:position w:val="0"/>
        <w:sz w:val="20"/>
        <w:szCs w:val="20"/>
        <w:vertAlign w:val="baseline"/>
      </w:rPr>
    </w:lvl>
    <w:lvl w:ilvl="3">
      <w:start w:val="1"/>
      <w:numFmt w:val="decimal"/>
      <w:pStyle w:val="TableList41"/>
      <w:lvlText w:val="%4."/>
      <w:lvlJc w:val="right"/>
      <w:pPr>
        <w:tabs>
          <w:tab w:val="num" w:pos="1267"/>
        </w:tabs>
        <w:ind w:left="1267" w:hanging="129"/>
      </w:pPr>
      <w:rPr>
        <w:rFonts w:ascii="Arial" w:hAnsi="Arial" w:hint="default"/>
        <w:b w:val="0"/>
        <w:i/>
        <w:spacing w:val="0"/>
        <w:kern w:val="0"/>
        <w:position w:val="0"/>
        <w:sz w:val="18"/>
        <w:szCs w:val="18"/>
      </w:rPr>
    </w:lvl>
    <w:lvl w:ilvl="4">
      <w:start w:val="1"/>
      <w:numFmt w:val="decimal"/>
      <w:lvlText w:val="(%5)"/>
      <w:lvlJc w:val="right"/>
      <w:pPr>
        <w:tabs>
          <w:tab w:val="num" w:pos="1613"/>
        </w:tabs>
        <w:ind w:left="1613" w:hanging="130"/>
      </w:pPr>
      <w:rPr>
        <w:rFonts w:ascii="Arial" w:hAnsi="Arial" w:hint="default"/>
        <w:b w:val="0"/>
        <w:i w:val="0"/>
        <w:position w:val="0"/>
        <w:sz w:val="18"/>
        <w:szCs w:val="18"/>
      </w:rPr>
    </w:lvl>
    <w:lvl w:ilvl="5">
      <w:start w:val="1"/>
      <w:numFmt w:val="lowerLetter"/>
      <w:lvlText w:val="(%6)"/>
      <w:lvlJc w:val="right"/>
      <w:pPr>
        <w:tabs>
          <w:tab w:val="num" w:pos="1944"/>
        </w:tabs>
        <w:ind w:left="1944" w:hanging="130"/>
      </w:pPr>
      <w:rPr>
        <w:rFonts w:ascii="Arial" w:hAnsi="Arial" w:hint="default"/>
        <w:b w:val="0"/>
        <w:i w:val="0"/>
        <w:spacing w:val="0"/>
        <w:position w:val="0"/>
        <w:sz w:val="18"/>
        <w:szCs w:val="18"/>
      </w:rPr>
    </w:lvl>
    <w:lvl w:ilvl="6">
      <w:start w:val="1"/>
      <w:numFmt w:val="lowerRoman"/>
      <w:lvlText w:val="(%7)"/>
      <w:lvlJc w:val="right"/>
      <w:pPr>
        <w:tabs>
          <w:tab w:val="num" w:pos="2203"/>
        </w:tabs>
        <w:ind w:left="2203" w:hanging="129"/>
      </w:pPr>
      <w:rPr>
        <w:rFonts w:ascii="Arial" w:hAnsi="Arial" w:hint="default"/>
        <w:b w:val="0"/>
        <w:i w:val="0"/>
        <w:caps w:val="0"/>
        <w:strike w:val="0"/>
        <w:dstrike w:val="0"/>
        <w:vanish w:val="0"/>
        <w:color w:val="000000"/>
        <w:spacing w:val="0"/>
        <w:position w:val="0"/>
        <w:sz w:val="18"/>
        <w:szCs w:val="18"/>
        <w:vertAlign w:val="baseline"/>
      </w:rPr>
    </w:lvl>
    <w:lvl w:ilvl="7">
      <w:start w:val="1"/>
      <w:numFmt w:val="decimal"/>
      <w:lvlText w:val="(%8)"/>
      <w:lvlJc w:val="right"/>
      <w:pPr>
        <w:tabs>
          <w:tab w:val="num" w:pos="2549"/>
        </w:tabs>
        <w:ind w:left="2549" w:hanging="130"/>
      </w:pPr>
      <w:rPr>
        <w:rFonts w:ascii="Arial" w:hAnsi="Arial" w:hint="default"/>
        <w:b w:val="0"/>
        <w:i/>
        <w:spacing w:val="0"/>
        <w:position w:val="0"/>
        <w:sz w:val="18"/>
        <w:szCs w:val="18"/>
      </w:rPr>
    </w:lvl>
    <w:lvl w:ilvl="8">
      <w:start w:val="1"/>
      <w:numFmt w:val="decimal"/>
      <w:lvlText w:val="(%9)"/>
      <w:lvlJc w:val="right"/>
      <w:pPr>
        <w:tabs>
          <w:tab w:val="num" w:pos="2866"/>
        </w:tabs>
        <w:ind w:left="2866" w:hanging="130"/>
      </w:pPr>
      <w:rPr>
        <w:rFonts w:ascii="Arial" w:hAnsi="Arial" w:hint="default"/>
        <w:b w:val="0"/>
        <w:i w:val="0"/>
        <w:position w:val="0"/>
        <w:sz w:val="18"/>
        <w:szCs w:val="18"/>
      </w:rPr>
    </w:lvl>
  </w:abstractNum>
  <w:abstractNum w:abstractNumId="15">
    <w:nsid w:val="7020478C"/>
    <w:multiLevelType w:val="hybridMultilevel"/>
    <w:tmpl w:val="63B470E8"/>
    <w:lvl w:ilvl="0" w:tplc="B6882E88">
      <w:start w:val="1"/>
      <w:numFmt w:val="bullet"/>
      <w:pStyle w:val="Bulle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B27425"/>
    <w:multiLevelType w:val="hybridMultilevel"/>
    <w:tmpl w:val="10D4D5DE"/>
    <w:lvl w:ilvl="0" w:tplc="39E68AF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B22E0D"/>
    <w:multiLevelType w:val="multilevel"/>
    <w:tmpl w:val="60A40036"/>
    <w:lvl w:ilvl="0">
      <w:start w:val="1"/>
      <w:numFmt w:val="decimal"/>
      <w:pStyle w:val="Textboxbulletnumbered1"/>
      <w:lvlText w:val="%1."/>
      <w:lvlJc w:val="right"/>
      <w:pPr>
        <w:tabs>
          <w:tab w:val="num" w:pos="518"/>
        </w:tabs>
        <w:ind w:left="518" w:hanging="129"/>
      </w:pPr>
      <w:rPr>
        <w:rFonts w:ascii="Arial" w:hAnsi="Arial" w:hint="default"/>
        <w:b w:val="0"/>
        <w:i w:val="0"/>
        <w:caps w:val="0"/>
        <w:strike w:val="0"/>
        <w:dstrike w:val="0"/>
        <w:vanish w:val="0"/>
        <w:color w:val="000000"/>
        <w:spacing w:val="0"/>
        <w:position w:val="0"/>
        <w:sz w:val="20"/>
        <w:szCs w:val="20"/>
        <w:vertAlign w:val="baseline"/>
      </w:rPr>
    </w:lvl>
    <w:lvl w:ilvl="1">
      <w:start w:val="1"/>
      <w:numFmt w:val="lowerLetter"/>
      <w:pStyle w:val="Textboxbulletnumbered2"/>
      <w:lvlText w:val="%2."/>
      <w:lvlJc w:val="right"/>
      <w:pPr>
        <w:tabs>
          <w:tab w:val="num" w:pos="806"/>
        </w:tabs>
        <w:ind w:left="806" w:hanging="129"/>
      </w:pPr>
      <w:rPr>
        <w:rFonts w:ascii="Arial" w:hAnsi="Arial" w:hint="default"/>
        <w:b w:val="0"/>
        <w:i w:val="0"/>
        <w:spacing w:val="0"/>
        <w:kern w:val="0"/>
        <w:position w:val="0"/>
        <w:sz w:val="20"/>
        <w:szCs w:val="20"/>
      </w:rPr>
    </w:lvl>
    <w:lvl w:ilvl="2">
      <w:start w:val="1"/>
      <w:numFmt w:val="lowerRoman"/>
      <w:pStyle w:val="Textboxbulletnumbered3"/>
      <w:lvlText w:val="%3."/>
      <w:lvlJc w:val="right"/>
      <w:pPr>
        <w:tabs>
          <w:tab w:val="num" w:pos="1181"/>
        </w:tabs>
        <w:ind w:left="1181" w:hanging="187"/>
      </w:pPr>
      <w:rPr>
        <w:rFonts w:ascii="Arial" w:hAnsi="Arial" w:hint="default"/>
        <w:b w:val="0"/>
        <w:i w:val="0"/>
        <w:caps w:val="0"/>
        <w:strike w:val="0"/>
        <w:dstrike w:val="0"/>
        <w:vanish w:val="0"/>
        <w:color w:val="000000"/>
        <w:spacing w:val="0"/>
        <w:position w:val="0"/>
        <w:sz w:val="20"/>
        <w:szCs w:val="20"/>
        <w:vertAlign w:val="baseline"/>
      </w:rPr>
    </w:lvl>
    <w:lvl w:ilvl="3">
      <w:start w:val="1"/>
      <w:numFmt w:val="decimal"/>
      <w:pStyle w:val="Textboxbulletnumbered4"/>
      <w:lvlText w:val="%4."/>
      <w:lvlJc w:val="right"/>
      <w:pPr>
        <w:tabs>
          <w:tab w:val="num" w:pos="1584"/>
        </w:tabs>
        <w:ind w:left="1584" w:hanging="187"/>
      </w:pPr>
      <w:rPr>
        <w:rFonts w:ascii="Arial" w:hAnsi="Arial" w:hint="default"/>
        <w:b w:val="0"/>
        <w:i/>
        <w:spacing w:val="0"/>
        <w:kern w:val="0"/>
        <w:position w:val="0"/>
        <w:sz w:val="18"/>
        <w:szCs w:val="18"/>
      </w:rPr>
    </w:lvl>
    <w:lvl w:ilvl="4">
      <w:start w:val="1"/>
      <w:numFmt w:val="decimal"/>
      <w:lvlText w:val="(%5)"/>
      <w:lvlJc w:val="right"/>
      <w:pPr>
        <w:tabs>
          <w:tab w:val="num" w:pos="2045"/>
        </w:tabs>
        <w:ind w:left="2045" w:hanging="130"/>
      </w:pPr>
      <w:rPr>
        <w:rFonts w:ascii="Arial" w:hAnsi="Arial" w:hint="default"/>
        <w:b w:val="0"/>
        <w:i w:val="0"/>
        <w:position w:val="0"/>
        <w:sz w:val="18"/>
        <w:szCs w:val="18"/>
      </w:rPr>
    </w:lvl>
    <w:lvl w:ilvl="5">
      <w:start w:val="1"/>
      <w:numFmt w:val="lowerLetter"/>
      <w:lvlText w:val="(%6)"/>
      <w:lvlJc w:val="right"/>
      <w:pPr>
        <w:tabs>
          <w:tab w:val="num" w:pos="2376"/>
        </w:tabs>
        <w:ind w:left="2376" w:hanging="130"/>
      </w:pPr>
      <w:rPr>
        <w:rFonts w:ascii="Arial" w:hAnsi="Arial" w:hint="default"/>
        <w:b w:val="0"/>
        <w:i w:val="0"/>
        <w:spacing w:val="0"/>
        <w:position w:val="0"/>
        <w:sz w:val="18"/>
        <w:szCs w:val="18"/>
      </w:rPr>
    </w:lvl>
    <w:lvl w:ilvl="6">
      <w:start w:val="1"/>
      <w:numFmt w:val="lowerRoman"/>
      <w:lvlText w:val="(%7)"/>
      <w:lvlJc w:val="right"/>
      <w:pPr>
        <w:tabs>
          <w:tab w:val="num" w:pos="2722"/>
        </w:tabs>
        <w:ind w:left="2722" w:hanging="130"/>
      </w:pPr>
      <w:rPr>
        <w:rFonts w:ascii="Arial" w:hAnsi="Arial" w:hint="default"/>
        <w:b w:val="0"/>
        <w:i w:val="0"/>
        <w:caps w:val="0"/>
        <w:strike w:val="0"/>
        <w:dstrike w:val="0"/>
        <w:vanish w:val="0"/>
        <w:color w:val="000000"/>
        <w:spacing w:val="0"/>
        <w:position w:val="0"/>
        <w:sz w:val="18"/>
        <w:szCs w:val="18"/>
        <w:vertAlign w:val="baseline"/>
      </w:rPr>
    </w:lvl>
    <w:lvl w:ilvl="7">
      <w:start w:val="1"/>
      <w:numFmt w:val="decimal"/>
      <w:lvlText w:val="(%8)"/>
      <w:lvlJc w:val="right"/>
      <w:pPr>
        <w:tabs>
          <w:tab w:val="num" w:pos="3038"/>
        </w:tabs>
        <w:ind w:left="3038" w:hanging="129"/>
      </w:pPr>
      <w:rPr>
        <w:rFonts w:ascii="Arial" w:hAnsi="Arial" w:hint="default"/>
        <w:b w:val="0"/>
        <w:i/>
        <w:spacing w:val="0"/>
        <w:position w:val="0"/>
        <w:sz w:val="18"/>
        <w:szCs w:val="18"/>
      </w:rPr>
    </w:lvl>
    <w:lvl w:ilvl="8">
      <w:start w:val="1"/>
      <w:numFmt w:val="decimal"/>
      <w:lvlText w:val="(%9)"/>
      <w:lvlJc w:val="right"/>
      <w:pPr>
        <w:tabs>
          <w:tab w:val="num" w:pos="3499"/>
        </w:tabs>
        <w:ind w:left="3499" w:hanging="129"/>
      </w:pPr>
      <w:rPr>
        <w:rFonts w:ascii="Arial" w:hAnsi="Arial" w:hint="default"/>
        <w:b w:val="0"/>
        <w:i w:val="0"/>
        <w:position w:val="0"/>
        <w:sz w:val="18"/>
        <w:szCs w:val="18"/>
      </w:rPr>
    </w:lvl>
  </w:abstractNum>
  <w:num w:numId="1">
    <w:abstractNumId w:val="15"/>
  </w:num>
  <w:num w:numId="2">
    <w:abstractNumId w:val="10"/>
  </w:num>
  <w:num w:numId="3">
    <w:abstractNumId w:val="17"/>
  </w:num>
  <w:num w:numId="4">
    <w:abstractNumId w:val="1"/>
  </w:num>
  <w:num w:numId="5">
    <w:abstractNumId w:val="16"/>
  </w:num>
  <w:num w:numId="6">
    <w:abstractNumId w:val="12"/>
  </w:num>
  <w:num w:numId="7">
    <w:abstractNumId w:val="9"/>
  </w:num>
  <w:num w:numId="8">
    <w:abstractNumId w:val="9"/>
    <w:lvlOverride w:ilvl="0">
      <w:startOverride w:val="1"/>
    </w:lvlOverride>
  </w:num>
  <w:num w:numId="9">
    <w:abstractNumId w:val="4"/>
  </w:num>
  <w:num w:numId="10">
    <w:abstractNumId w:val="11"/>
  </w:num>
  <w:num w:numId="11">
    <w:abstractNumId w:val="2"/>
  </w:num>
  <w:num w:numId="12">
    <w:abstractNumId w:val="8"/>
  </w:num>
  <w:num w:numId="13">
    <w:abstractNumId w:val="6"/>
  </w:num>
  <w:num w:numId="14">
    <w:abstractNumId w:val="0"/>
  </w:num>
  <w:num w:numId="15">
    <w:abstractNumId w:val="5"/>
  </w:num>
  <w:num w:numId="16">
    <w:abstractNumId w:val="14"/>
  </w:num>
  <w:num w:numId="17">
    <w:abstractNumId w:val="7"/>
  </w:num>
  <w:num w:numId="18">
    <w:abstractNumId w:val="18"/>
  </w:num>
  <w:num w:numId="19">
    <w:abstractNumId w:val="13"/>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ocumentProtection w:edit="readOnly" w:enforcement="0"/>
  <w:defaultTabStop w:val="432"/>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DC5"/>
    <w:rsid w:val="000030B1"/>
    <w:rsid w:val="00003FD8"/>
    <w:rsid w:val="00007AAA"/>
    <w:rsid w:val="00010CEE"/>
    <w:rsid w:val="000144C2"/>
    <w:rsid w:val="0001587F"/>
    <w:rsid w:val="00016D34"/>
    <w:rsid w:val="000212FC"/>
    <w:rsid w:val="00022A0A"/>
    <w:rsid w:val="0002322B"/>
    <w:rsid w:val="0002754E"/>
    <w:rsid w:val="0003265D"/>
    <w:rsid w:val="00032E4E"/>
    <w:rsid w:val="00034667"/>
    <w:rsid w:val="00034831"/>
    <w:rsid w:val="00036E7F"/>
    <w:rsid w:val="00040B2C"/>
    <w:rsid w:val="000423BE"/>
    <w:rsid w:val="00042419"/>
    <w:rsid w:val="00042FA8"/>
    <w:rsid w:val="00043329"/>
    <w:rsid w:val="00043B27"/>
    <w:rsid w:val="00044069"/>
    <w:rsid w:val="00047BDD"/>
    <w:rsid w:val="00051AA5"/>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4355"/>
    <w:rsid w:val="000B521D"/>
    <w:rsid w:val="000B555A"/>
    <w:rsid w:val="000B764C"/>
    <w:rsid w:val="000C2E3B"/>
    <w:rsid w:val="000C413E"/>
    <w:rsid w:val="000C7D4D"/>
    <w:rsid w:val="000D132C"/>
    <w:rsid w:val="000D1C3C"/>
    <w:rsid w:val="000D2974"/>
    <w:rsid w:val="000D4738"/>
    <w:rsid w:val="000D5B34"/>
    <w:rsid w:val="000D6D88"/>
    <w:rsid w:val="000D751A"/>
    <w:rsid w:val="000E0694"/>
    <w:rsid w:val="000E1C2B"/>
    <w:rsid w:val="000E2169"/>
    <w:rsid w:val="000E4C3F"/>
    <w:rsid w:val="000F30B9"/>
    <w:rsid w:val="000F677B"/>
    <w:rsid w:val="0010014A"/>
    <w:rsid w:val="001004A7"/>
    <w:rsid w:val="001004E0"/>
    <w:rsid w:val="0011148D"/>
    <w:rsid w:val="001119F8"/>
    <w:rsid w:val="00112A5E"/>
    <w:rsid w:val="00113CC8"/>
    <w:rsid w:val="001210EE"/>
    <w:rsid w:val="00122C2C"/>
    <w:rsid w:val="00126EB2"/>
    <w:rsid w:val="001275D7"/>
    <w:rsid w:val="00130C03"/>
    <w:rsid w:val="001311F7"/>
    <w:rsid w:val="0013184F"/>
    <w:rsid w:val="00131D22"/>
    <w:rsid w:val="00131F00"/>
    <w:rsid w:val="0013346F"/>
    <w:rsid w:val="00135EB7"/>
    <w:rsid w:val="0013709C"/>
    <w:rsid w:val="0013750D"/>
    <w:rsid w:val="00137B70"/>
    <w:rsid w:val="00142E14"/>
    <w:rsid w:val="001451A5"/>
    <w:rsid w:val="00146CE3"/>
    <w:rsid w:val="00147515"/>
    <w:rsid w:val="001477C0"/>
    <w:rsid w:val="00147A74"/>
    <w:rsid w:val="00152C36"/>
    <w:rsid w:val="00154DF1"/>
    <w:rsid w:val="00155D06"/>
    <w:rsid w:val="00157CA2"/>
    <w:rsid w:val="001649D5"/>
    <w:rsid w:val="00164BC2"/>
    <w:rsid w:val="001739F1"/>
    <w:rsid w:val="00181AC8"/>
    <w:rsid w:val="00184421"/>
    <w:rsid w:val="0018444A"/>
    <w:rsid w:val="00185CEF"/>
    <w:rsid w:val="0018724A"/>
    <w:rsid w:val="001919A3"/>
    <w:rsid w:val="001921A4"/>
    <w:rsid w:val="00192C38"/>
    <w:rsid w:val="00194A0E"/>
    <w:rsid w:val="001969A3"/>
    <w:rsid w:val="001969F1"/>
    <w:rsid w:val="00196E5A"/>
    <w:rsid w:val="00197503"/>
    <w:rsid w:val="001A178B"/>
    <w:rsid w:val="001A3781"/>
    <w:rsid w:val="001B107D"/>
    <w:rsid w:val="001B4842"/>
    <w:rsid w:val="001C5683"/>
    <w:rsid w:val="001C5AC1"/>
    <w:rsid w:val="001C5EB8"/>
    <w:rsid w:val="001C65BD"/>
    <w:rsid w:val="001C7FBE"/>
    <w:rsid w:val="001D3544"/>
    <w:rsid w:val="001D39AA"/>
    <w:rsid w:val="001D39EC"/>
    <w:rsid w:val="001D418D"/>
    <w:rsid w:val="001D661F"/>
    <w:rsid w:val="001D7B65"/>
    <w:rsid w:val="001E6A60"/>
    <w:rsid w:val="001E6E5A"/>
    <w:rsid w:val="001F7111"/>
    <w:rsid w:val="00200C7F"/>
    <w:rsid w:val="00201E7E"/>
    <w:rsid w:val="00203E3B"/>
    <w:rsid w:val="00204AB9"/>
    <w:rsid w:val="00204B23"/>
    <w:rsid w:val="002050B7"/>
    <w:rsid w:val="00211EBA"/>
    <w:rsid w:val="00214E0B"/>
    <w:rsid w:val="00215C5A"/>
    <w:rsid w:val="00215E4D"/>
    <w:rsid w:val="002166BC"/>
    <w:rsid w:val="00217270"/>
    <w:rsid w:val="00217FA0"/>
    <w:rsid w:val="00225954"/>
    <w:rsid w:val="0022714B"/>
    <w:rsid w:val="002272CB"/>
    <w:rsid w:val="00231607"/>
    <w:rsid w:val="0023638D"/>
    <w:rsid w:val="00247945"/>
    <w:rsid w:val="00252D95"/>
    <w:rsid w:val="00254C89"/>
    <w:rsid w:val="00254E2D"/>
    <w:rsid w:val="00256D04"/>
    <w:rsid w:val="0026025C"/>
    <w:rsid w:val="00264043"/>
    <w:rsid w:val="0026713B"/>
    <w:rsid w:val="00271C83"/>
    <w:rsid w:val="0027245E"/>
    <w:rsid w:val="00272B66"/>
    <w:rsid w:val="002733A4"/>
    <w:rsid w:val="00281531"/>
    <w:rsid w:val="002817A6"/>
    <w:rsid w:val="00283304"/>
    <w:rsid w:val="0028360E"/>
    <w:rsid w:val="00284882"/>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0A60"/>
    <w:rsid w:val="002D262A"/>
    <w:rsid w:val="002D6763"/>
    <w:rsid w:val="002D7013"/>
    <w:rsid w:val="002D7B94"/>
    <w:rsid w:val="002E06F1"/>
    <w:rsid w:val="002E226E"/>
    <w:rsid w:val="002E3E35"/>
    <w:rsid w:val="002F297B"/>
    <w:rsid w:val="002F6E35"/>
    <w:rsid w:val="0030242C"/>
    <w:rsid w:val="00302890"/>
    <w:rsid w:val="00306F1E"/>
    <w:rsid w:val="00310CBE"/>
    <w:rsid w:val="00315DEC"/>
    <w:rsid w:val="0031740A"/>
    <w:rsid w:val="00317969"/>
    <w:rsid w:val="00317FDB"/>
    <w:rsid w:val="003250D8"/>
    <w:rsid w:val="00325FF2"/>
    <w:rsid w:val="00326958"/>
    <w:rsid w:val="0033012A"/>
    <w:rsid w:val="003308C3"/>
    <w:rsid w:val="00331ADC"/>
    <w:rsid w:val="00341682"/>
    <w:rsid w:val="003426BF"/>
    <w:rsid w:val="00343401"/>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7A2"/>
    <w:rsid w:val="00394DAA"/>
    <w:rsid w:val="00395C23"/>
    <w:rsid w:val="003969F2"/>
    <w:rsid w:val="00396FD7"/>
    <w:rsid w:val="003A0C7A"/>
    <w:rsid w:val="003A16DA"/>
    <w:rsid w:val="003A3316"/>
    <w:rsid w:val="003A3ADA"/>
    <w:rsid w:val="003A501E"/>
    <w:rsid w:val="003A63C1"/>
    <w:rsid w:val="003B5F7E"/>
    <w:rsid w:val="003C3464"/>
    <w:rsid w:val="003C38EC"/>
    <w:rsid w:val="003C3D79"/>
    <w:rsid w:val="003D1E3E"/>
    <w:rsid w:val="003D3410"/>
    <w:rsid w:val="003D434C"/>
    <w:rsid w:val="003E0E47"/>
    <w:rsid w:val="003E1520"/>
    <w:rsid w:val="003E21DB"/>
    <w:rsid w:val="003E3505"/>
    <w:rsid w:val="003E418E"/>
    <w:rsid w:val="003E7688"/>
    <w:rsid w:val="003E7979"/>
    <w:rsid w:val="003E7E7B"/>
    <w:rsid w:val="003F07DE"/>
    <w:rsid w:val="003F4ADD"/>
    <w:rsid w:val="003F7027"/>
    <w:rsid w:val="003F7D6D"/>
    <w:rsid w:val="00406760"/>
    <w:rsid w:val="00413779"/>
    <w:rsid w:val="00415746"/>
    <w:rsid w:val="004202FC"/>
    <w:rsid w:val="00426087"/>
    <w:rsid w:val="004268DA"/>
    <w:rsid w:val="00430A83"/>
    <w:rsid w:val="00431084"/>
    <w:rsid w:val="00435539"/>
    <w:rsid w:val="00436B58"/>
    <w:rsid w:val="00436BEA"/>
    <w:rsid w:val="00437868"/>
    <w:rsid w:val="004406E3"/>
    <w:rsid w:val="0044335E"/>
    <w:rsid w:val="00444087"/>
    <w:rsid w:val="0044529B"/>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2FEB"/>
    <w:rsid w:val="004A3992"/>
    <w:rsid w:val="004A4935"/>
    <w:rsid w:val="004A5B8B"/>
    <w:rsid w:val="004A6EA7"/>
    <w:rsid w:val="004A7AAE"/>
    <w:rsid w:val="004B213D"/>
    <w:rsid w:val="004B47D3"/>
    <w:rsid w:val="004C498B"/>
    <w:rsid w:val="004C67B1"/>
    <w:rsid w:val="004D1EAA"/>
    <w:rsid w:val="004D2C35"/>
    <w:rsid w:val="004D3CC4"/>
    <w:rsid w:val="004D6B97"/>
    <w:rsid w:val="004E02A3"/>
    <w:rsid w:val="004E049B"/>
    <w:rsid w:val="004E69F7"/>
    <w:rsid w:val="004E7409"/>
    <w:rsid w:val="004E74D1"/>
    <w:rsid w:val="004F0DFF"/>
    <w:rsid w:val="004F2BAC"/>
    <w:rsid w:val="004F36C4"/>
    <w:rsid w:val="00500104"/>
    <w:rsid w:val="0050038C"/>
    <w:rsid w:val="0050458F"/>
    <w:rsid w:val="00505804"/>
    <w:rsid w:val="00506F79"/>
    <w:rsid w:val="00511D22"/>
    <w:rsid w:val="00524BC7"/>
    <w:rsid w:val="005257EC"/>
    <w:rsid w:val="00526576"/>
    <w:rsid w:val="00526D08"/>
    <w:rsid w:val="00532A3B"/>
    <w:rsid w:val="00535221"/>
    <w:rsid w:val="0053540D"/>
    <w:rsid w:val="00537E01"/>
    <w:rsid w:val="005400FC"/>
    <w:rsid w:val="00540352"/>
    <w:rsid w:val="005403E8"/>
    <w:rsid w:val="00542061"/>
    <w:rsid w:val="00551D48"/>
    <w:rsid w:val="005547CA"/>
    <w:rsid w:val="00555F68"/>
    <w:rsid w:val="005576F8"/>
    <w:rsid w:val="00557AE8"/>
    <w:rsid w:val="00560D9D"/>
    <w:rsid w:val="00561604"/>
    <w:rsid w:val="00570819"/>
    <w:rsid w:val="005720EB"/>
    <w:rsid w:val="0057495C"/>
    <w:rsid w:val="0057795C"/>
    <w:rsid w:val="00580A6C"/>
    <w:rsid w:val="005837E2"/>
    <w:rsid w:val="005843BB"/>
    <w:rsid w:val="00585F60"/>
    <w:rsid w:val="005860D2"/>
    <w:rsid w:val="005903AC"/>
    <w:rsid w:val="00596747"/>
    <w:rsid w:val="005975FE"/>
    <w:rsid w:val="005A151B"/>
    <w:rsid w:val="005A7F69"/>
    <w:rsid w:val="005B3BFB"/>
    <w:rsid w:val="005C2E96"/>
    <w:rsid w:val="005C40D5"/>
    <w:rsid w:val="005C40E0"/>
    <w:rsid w:val="005D1DEB"/>
    <w:rsid w:val="005D51C5"/>
    <w:rsid w:val="005D5D21"/>
    <w:rsid w:val="005E2B24"/>
    <w:rsid w:val="005E454D"/>
    <w:rsid w:val="005F0872"/>
    <w:rsid w:val="005F28ED"/>
    <w:rsid w:val="005F5DC1"/>
    <w:rsid w:val="005F6F8C"/>
    <w:rsid w:val="005F7ADD"/>
    <w:rsid w:val="005F7FEA"/>
    <w:rsid w:val="006075CC"/>
    <w:rsid w:val="00615050"/>
    <w:rsid w:val="00616DE6"/>
    <w:rsid w:val="00622372"/>
    <w:rsid w:val="00623E13"/>
    <w:rsid w:val="0062545D"/>
    <w:rsid w:val="00633E2C"/>
    <w:rsid w:val="00633E77"/>
    <w:rsid w:val="0063644E"/>
    <w:rsid w:val="00636D6D"/>
    <w:rsid w:val="006371A1"/>
    <w:rsid w:val="006404FF"/>
    <w:rsid w:val="00642237"/>
    <w:rsid w:val="0066062F"/>
    <w:rsid w:val="0066273C"/>
    <w:rsid w:val="0066705E"/>
    <w:rsid w:val="00671099"/>
    <w:rsid w:val="00672682"/>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D7472"/>
    <w:rsid w:val="006E3BD4"/>
    <w:rsid w:val="006E4164"/>
    <w:rsid w:val="006E5B0A"/>
    <w:rsid w:val="006E7979"/>
    <w:rsid w:val="006F265F"/>
    <w:rsid w:val="006F3FEB"/>
    <w:rsid w:val="006F4AFC"/>
    <w:rsid w:val="006F730C"/>
    <w:rsid w:val="006F73F3"/>
    <w:rsid w:val="007003B4"/>
    <w:rsid w:val="00700DDD"/>
    <w:rsid w:val="00702EB1"/>
    <w:rsid w:val="00702F11"/>
    <w:rsid w:val="007031B1"/>
    <w:rsid w:val="007043FD"/>
    <w:rsid w:val="00707736"/>
    <w:rsid w:val="00711B96"/>
    <w:rsid w:val="00716DB7"/>
    <w:rsid w:val="007211C2"/>
    <w:rsid w:val="007222A0"/>
    <w:rsid w:val="00733CEF"/>
    <w:rsid w:val="00734322"/>
    <w:rsid w:val="00735339"/>
    <w:rsid w:val="007447C7"/>
    <w:rsid w:val="0075488B"/>
    <w:rsid w:val="00756044"/>
    <w:rsid w:val="00756E06"/>
    <w:rsid w:val="007614D4"/>
    <w:rsid w:val="00761C9D"/>
    <w:rsid w:val="00761DA6"/>
    <w:rsid w:val="00764A19"/>
    <w:rsid w:val="007700B1"/>
    <w:rsid w:val="00780B38"/>
    <w:rsid w:val="00781F52"/>
    <w:rsid w:val="007825D9"/>
    <w:rsid w:val="00787CE7"/>
    <w:rsid w:val="007963EB"/>
    <w:rsid w:val="00796EB4"/>
    <w:rsid w:val="007A1493"/>
    <w:rsid w:val="007A2D95"/>
    <w:rsid w:val="007A2E39"/>
    <w:rsid w:val="007A4FD7"/>
    <w:rsid w:val="007B1192"/>
    <w:rsid w:val="007B1305"/>
    <w:rsid w:val="007B1E87"/>
    <w:rsid w:val="007C6B92"/>
    <w:rsid w:val="007C7719"/>
    <w:rsid w:val="007D131E"/>
    <w:rsid w:val="007D2AD5"/>
    <w:rsid w:val="007D6AE7"/>
    <w:rsid w:val="007D6CFB"/>
    <w:rsid w:val="007E12B6"/>
    <w:rsid w:val="007E1607"/>
    <w:rsid w:val="007E574B"/>
    <w:rsid w:val="007E5750"/>
    <w:rsid w:val="007E6923"/>
    <w:rsid w:val="007F1577"/>
    <w:rsid w:val="007F2677"/>
    <w:rsid w:val="007F58CB"/>
    <w:rsid w:val="0080264C"/>
    <w:rsid w:val="008058FE"/>
    <w:rsid w:val="008059AC"/>
    <w:rsid w:val="008065F4"/>
    <w:rsid w:val="00811638"/>
    <w:rsid w:val="008116BB"/>
    <w:rsid w:val="00814AE7"/>
    <w:rsid w:val="00815382"/>
    <w:rsid w:val="008168A4"/>
    <w:rsid w:val="00821341"/>
    <w:rsid w:val="00830296"/>
    <w:rsid w:val="008321D0"/>
    <w:rsid w:val="00833B51"/>
    <w:rsid w:val="008403EE"/>
    <w:rsid w:val="008405D8"/>
    <w:rsid w:val="00841251"/>
    <w:rsid w:val="00841793"/>
    <w:rsid w:val="008453D2"/>
    <w:rsid w:val="008466B6"/>
    <w:rsid w:val="0085028F"/>
    <w:rsid w:val="00850F24"/>
    <w:rsid w:val="00851ABB"/>
    <w:rsid w:val="00851B02"/>
    <w:rsid w:val="00852D7A"/>
    <w:rsid w:val="008540D9"/>
    <w:rsid w:val="00854CC7"/>
    <w:rsid w:val="00854FD1"/>
    <w:rsid w:val="008604F3"/>
    <w:rsid w:val="00865AD4"/>
    <w:rsid w:val="00865E7D"/>
    <w:rsid w:val="00872A9C"/>
    <w:rsid w:val="00877B02"/>
    <w:rsid w:val="008801A4"/>
    <w:rsid w:val="00880675"/>
    <w:rsid w:val="008813AB"/>
    <w:rsid w:val="0088174A"/>
    <w:rsid w:val="00882E5C"/>
    <w:rsid w:val="00886AC3"/>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446A"/>
    <w:rsid w:val="008F7DA8"/>
    <w:rsid w:val="008F7DB2"/>
    <w:rsid w:val="008F7F73"/>
    <w:rsid w:val="00900ECE"/>
    <w:rsid w:val="00901CA4"/>
    <w:rsid w:val="009059B9"/>
    <w:rsid w:val="0090659E"/>
    <w:rsid w:val="00910B00"/>
    <w:rsid w:val="0091313F"/>
    <w:rsid w:val="009141F0"/>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3701C"/>
    <w:rsid w:val="00940BA2"/>
    <w:rsid w:val="00944C5E"/>
    <w:rsid w:val="009555B9"/>
    <w:rsid w:val="0095642D"/>
    <w:rsid w:val="00962492"/>
    <w:rsid w:val="009625E7"/>
    <w:rsid w:val="00964824"/>
    <w:rsid w:val="00964B48"/>
    <w:rsid w:val="00970A65"/>
    <w:rsid w:val="00972167"/>
    <w:rsid w:val="00972C11"/>
    <w:rsid w:val="009766F4"/>
    <w:rsid w:val="00976BF5"/>
    <w:rsid w:val="00981FE2"/>
    <w:rsid w:val="00982052"/>
    <w:rsid w:val="00982410"/>
    <w:rsid w:val="00995011"/>
    <w:rsid w:val="00995D54"/>
    <w:rsid w:val="009A5344"/>
    <w:rsid w:val="009A5B76"/>
    <w:rsid w:val="009B11C3"/>
    <w:rsid w:val="009B69E2"/>
    <w:rsid w:val="009B6C9C"/>
    <w:rsid w:val="009B6CDF"/>
    <w:rsid w:val="009B6D8C"/>
    <w:rsid w:val="009B76DA"/>
    <w:rsid w:val="009C13E5"/>
    <w:rsid w:val="009C17F5"/>
    <w:rsid w:val="009C4062"/>
    <w:rsid w:val="009C40AE"/>
    <w:rsid w:val="009C73FF"/>
    <w:rsid w:val="009C7534"/>
    <w:rsid w:val="009D1D09"/>
    <w:rsid w:val="009D4BB1"/>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5E25"/>
    <w:rsid w:val="00A60379"/>
    <w:rsid w:val="00A606CF"/>
    <w:rsid w:val="00A64F58"/>
    <w:rsid w:val="00A65C7F"/>
    <w:rsid w:val="00A66515"/>
    <w:rsid w:val="00A66A4E"/>
    <w:rsid w:val="00A70EF5"/>
    <w:rsid w:val="00A74AFC"/>
    <w:rsid w:val="00A81E86"/>
    <w:rsid w:val="00A84CE1"/>
    <w:rsid w:val="00A8684E"/>
    <w:rsid w:val="00A900BC"/>
    <w:rsid w:val="00A92089"/>
    <w:rsid w:val="00A92B7D"/>
    <w:rsid w:val="00A960CD"/>
    <w:rsid w:val="00A96CD2"/>
    <w:rsid w:val="00AA0B8F"/>
    <w:rsid w:val="00AA1231"/>
    <w:rsid w:val="00AA174B"/>
    <w:rsid w:val="00AA795E"/>
    <w:rsid w:val="00AB496C"/>
    <w:rsid w:val="00AB7AB9"/>
    <w:rsid w:val="00AB7DAD"/>
    <w:rsid w:val="00AC603E"/>
    <w:rsid w:val="00AD1D7C"/>
    <w:rsid w:val="00AD1F5D"/>
    <w:rsid w:val="00AD2206"/>
    <w:rsid w:val="00AD24F3"/>
    <w:rsid w:val="00AD2E6C"/>
    <w:rsid w:val="00AD31FF"/>
    <w:rsid w:val="00AE0FAE"/>
    <w:rsid w:val="00AE22C0"/>
    <w:rsid w:val="00AE3DBB"/>
    <w:rsid w:val="00AF0545"/>
    <w:rsid w:val="00AF1094"/>
    <w:rsid w:val="00B000BE"/>
    <w:rsid w:val="00B01117"/>
    <w:rsid w:val="00B01CB5"/>
    <w:rsid w:val="00B022A6"/>
    <w:rsid w:val="00B023D9"/>
    <w:rsid w:val="00B02C9E"/>
    <w:rsid w:val="00B04DDB"/>
    <w:rsid w:val="00B11994"/>
    <w:rsid w:val="00B11C13"/>
    <w:rsid w:val="00B11F80"/>
    <w:rsid w:val="00B176FD"/>
    <w:rsid w:val="00B2370C"/>
    <w:rsid w:val="00B309E6"/>
    <w:rsid w:val="00B30F06"/>
    <w:rsid w:val="00B32EA1"/>
    <w:rsid w:val="00B331F4"/>
    <w:rsid w:val="00B33BD4"/>
    <w:rsid w:val="00B42423"/>
    <w:rsid w:val="00B444C6"/>
    <w:rsid w:val="00B45465"/>
    <w:rsid w:val="00B45B86"/>
    <w:rsid w:val="00B462E0"/>
    <w:rsid w:val="00B518EB"/>
    <w:rsid w:val="00B53611"/>
    <w:rsid w:val="00B57DCF"/>
    <w:rsid w:val="00B6037C"/>
    <w:rsid w:val="00B72C2C"/>
    <w:rsid w:val="00B73C0A"/>
    <w:rsid w:val="00B73D4C"/>
    <w:rsid w:val="00B80400"/>
    <w:rsid w:val="00B83B64"/>
    <w:rsid w:val="00B86797"/>
    <w:rsid w:val="00B86E7E"/>
    <w:rsid w:val="00B9069A"/>
    <w:rsid w:val="00B90E1D"/>
    <w:rsid w:val="00B92B65"/>
    <w:rsid w:val="00B949A7"/>
    <w:rsid w:val="00B96B70"/>
    <w:rsid w:val="00B96B7D"/>
    <w:rsid w:val="00B97274"/>
    <w:rsid w:val="00B973C9"/>
    <w:rsid w:val="00BA0343"/>
    <w:rsid w:val="00BA36B1"/>
    <w:rsid w:val="00BA79D9"/>
    <w:rsid w:val="00BB000E"/>
    <w:rsid w:val="00BB076D"/>
    <w:rsid w:val="00BB4F8E"/>
    <w:rsid w:val="00BB5573"/>
    <w:rsid w:val="00BB5649"/>
    <w:rsid w:val="00BB74AC"/>
    <w:rsid w:val="00BC2562"/>
    <w:rsid w:val="00BC3468"/>
    <w:rsid w:val="00BD2038"/>
    <w:rsid w:val="00BE18A5"/>
    <w:rsid w:val="00BE266D"/>
    <w:rsid w:val="00BE33C8"/>
    <w:rsid w:val="00BE6894"/>
    <w:rsid w:val="00BF1CE7"/>
    <w:rsid w:val="00BF39D4"/>
    <w:rsid w:val="00BF3F82"/>
    <w:rsid w:val="00BF5B09"/>
    <w:rsid w:val="00BF7326"/>
    <w:rsid w:val="00C00E45"/>
    <w:rsid w:val="00C01B00"/>
    <w:rsid w:val="00C03960"/>
    <w:rsid w:val="00C06DC8"/>
    <w:rsid w:val="00C138B9"/>
    <w:rsid w:val="00C14871"/>
    <w:rsid w:val="00C21B30"/>
    <w:rsid w:val="00C22C89"/>
    <w:rsid w:val="00C247F2"/>
    <w:rsid w:val="00C2798C"/>
    <w:rsid w:val="00C4127B"/>
    <w:rsid w:val="00C4142C"/>
    <w:rsid w:val="00C415E3"/>
    <w:rsid w:val="00C44D41"/>
    <w:rsid w:val="00C45A45"/>
    <w:rsid w:val="00C45D90"/>
    <w:rsid w:val="00C46DC5"/>
    <w:rsid w:val="00C47A9D"/>
    <w:rsid w:val="00C50508"/>
    <w:rsid w:val="00C51094"/>
    <w:rsid w:val="00C51396"/>
    <w:rsid w:val="00C5176C"/>
    <w:rsid w:val="00C536C6"/>
    <w:rsid w:val="00C5662D"/>
    <w:rsid w:val="00C622A4"/>
    <w:rsid w:val="00C62485"/>
    <w:rsid w:val="00C6450B"/>
    <w:rsid w:val="00C7488A"/>
    <w:rsid w:val="00C749D7"/>
    <w:rsid w:val="00C81C15"/>
    <w:rsid w:val="00C81CE4"/>
    <w:rsid w:val="00C83353"/>
    <w:rsid w:val="00C90FA2"/>
    <w:rsid w:val="00C94B60"/>
    <w:rsid w:val="00C95148"/>
    <w:rsid w:val="00C968CD"/>
    <w:rsid w:val="00C971DE"/>
    <w:rsid w:val="00CA1FFC"/>
    <w:rsid w:val="00CA2595"/>
    <w:rsid w:val="00CA6471"/>
    <w:rsid w:val="00CA6A5E"/>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0880"/>
    <w:rsid w:val="00CF429F"/>
    <w:rsid w:val="00CF6E72"/>
    <w:rsid w:val="00CF773F"/>
    <w:rsid w:val="00CF7C68"/>
    <w:rsid w:val="00D04B5A"/>
    <w:rsid w:val="00D058F3"/>
    <w:rsid w:val="00D05BD4"/>
    <w:rsid w:val="00D07945"/>
    <w:rsid w:val="00D13A18"/>
    <w:rsid w:val="00D154AE"/>
    <w:rsid w:val="00D15E8A"/>
    <w:rsid w:val="00D170E4"/>
    <w:rsid w:val="00D17BAD"/>
    <w:rsid w:val="00D206F1"/>
    <w:rsid w:val="00D25E61"/>
    <w:rsid w:val="00D3011C"/>
    <w:rsid w:val="00D3206B"/>
    <w:rsid w:val="00D32C15"/>
    <w:rsid w:val="00D32D01"/>
    <w:rsid w:val="00D3411D"/>
    <w:rsid w:val="00D36A2A"/>
    <w:rsid w:val="00D40451"/>
    <w:rsid w:val="00D426AD"/>
    <w:rsid w:val="00D44594"/>
    <w:rsid w:val="00D44A26"/>
    <w:rsid w:val="00D46CC5"/>
    <w:rsid w:val="00D50DC3"/>
    <w:rsid w:val="00D541E7"/>
    <w:rsid w:val="00D6114D"/>
    <w:rsid w:val="00D71B98"/>
    <w:rsid w:val="00D732AD"/>
    <w:rsid w:val="00D74AE9"/>
    <w:rsid w:val="00D74DEC"/>
    <w:rsid w:val="00D849EE"/>
    <w:rsid w:val="00D854D7"/>
    <w:rsid w:val="00D864BC"/>
    <w:rsid w:val="00D8659F"/>
    <w:rsid w:val="00D9439C"/>
    <w:rsid w:val="00DA37FA"/>
    <w:rsid w:val="00DA4E74"/>
    <w:rsid w:val="00DB0CFD"/>
    <w:rsid w:val="00DB0D00"/>
    <w:rsid w:val="00DB1DC7"/>
    <w:rsid w:val="00DB2324"/>
    <w:rsid w:val="00DC02C5"/>
    <w:rsid w:val="00DC0518"/>
    <w:rsid w:val="00DC1F96"/>
    <w:rsid w:val="00DC2044"/>
    <w:rsid w:val="00DC51B0"/>
    <w:rsid w:val="00DC57DB"/>
    <w:rsid w:val="00DD2ADB"/>
    <w:rsid w:val="00DE061D"/>
    <w:rsid w:val="00DE222B"/>
    <w:rsid w:val="00DE2859"/>
    <w:rsid w:val="00DE4BDB"/>
    <w:rsid w:val="00DE4FC5"/>
    <w:rsid w:val="00DF0633"/>
    <w:rsid w:val="00DF1D9D"/>
    <w:rsid w:val="00DF3111"/>
    <w:rsid w:val="00DF4330"/>
    <w:rsid w:val="00DF4F75"/>
    <w:rsid w:val="00DF5DC5"/>
    <w:rsid w:val="00DF683E"/>
    <w:rsid w:val="00DF7006"/>
    <w:rsid w:val="00E01129"/>
    <w:rsid w:val="00E011C4"/>
    <w:rsid w:val="00E03DB4"/>
    <w:rsid w:val="00E141D5"/>
    <w:rsid w:val="00E15AD4"/>
    <w:rsid w:val="00E16443"/>
    <w:rsid w:val="00E202FA"/>
    <w:rsid w:val="00E218CA"/>
    <w:rsid w:val="00E218D2"/>
    <w:rsid w:val="00E23370"/>
    <w:rsid w:val="00E2458E"/>
    <w:rsid w:val="00E253D5"/>
    <w:rsid w:val="00E25645"/>
    <w:rsid w:val="00E31237"/>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CDE"/>
    <w:rsid w:val="00E77EEF"/>
    <w:rsid w:val="00E81DAA"/>
    <w:rsid w:val="00E85F06"/>
    <w:rsid w:val="00E8634D"/>
    <w:rsid w:val="00E877DB"/>
    <w:rsid w:val="00E97688"/>
    <w:rsid w:val="00EA0C32"/>
    <w:rsid w:val="00EA1F36"/>
    <w:rsid w:val="00EA2F43"/>
    <w:rsid w:val="00EA3182"/>
    <w:rsid w:val="00EA7592"/>
    <w:rsid w:val="00EB175C"/>
    <w:rsid w:val="00EB1A43"/>
    <w:rsid w:val="00EB3108"/>
    <w:rsid w:val="00EB7A57"/>
    <w:rsid w:val="00EB7B14"/>
    <w:rsid w:val="00EC1999"/>
    <w:rsid w:val="00EC4A25"/>
    <w:rsid w:val="00EE11F8"/>
    <w:rsid w:val="00EE3C1D"/>
    <w:rsid w:val="00EF14AC"/>
    <w:rsid w:val="00EF1668"/>
    <w:rsid w:val="00EF2082"/>
    <w:rsid w:val="00EF4794"/>
    <w:rsid w:val="00EF5AE4"/>
    <w:rsid w:val="00EF6B9D"/>
    <w:rsid w:val="00F04524"/>
    <w:rsid w:val="00F0490D"/>
    <w:rsid w:val="00F07599"/>
    <w:rsid w:val="00F1029B"/>
    <w:rsid w:val="00F12333"/>
    <w:rsid w:val="00F13AC8"/>
    <w:rsid w:val="00F14FA1"/>
    <w:rsid w:val="00F14FDC"/>
    <w:rsid w:val="00F220AC"/>
    <w:rsid w:val="00F2315C"/>
    <w:rsid w:val="00F25EA2"/>
    <w:rsid w:val="00F318F6"/>
    <w:rsid w:val="00F326A0"/>
    <w:rsid w:val="00F35E15"/>
    <w:rsid w:val="00F367E2"/>
    <w:rsid w:val="00F41939"/>
    <w:rsid w:val="00F42E86"/>
    <w:rsid w:val="00F43593"/>
    <w:rsid w:val="00F44272"/>
    <w:rsid w:val="00F553C3"/>
    <w:rsid w:val="00F567E2"/>
    <w:rsid w:val="00F6063A"/>
    <w:rsid w:val="00F60738"/>
    <w:rsid w:val="00F61242"/>
    <w:rsid w:val="00F6274E"/>
    <w:rsid w:val="00F67378"/>
    <w:rsid w:val="00F70118"/>
    <w:rsid w:val="00F756FE"/>
    <w:rsid w:val="00F76EB3"/>
    <w:rsid w:val="00F770B2"/>
    <w:rsid w:val="00F80A85"/>
    <w:rsid w:val="00F81C42"/>
    <w:rsid w:val="00F83D0A"/>
    <w:rsid w:val="00F85145"/>
    <w:rsid w:val="00F85583"/>
    <w:rsid w:val="00F878AA"/>
    <w:rsid w:val="00F92064"/>
    <w:rsid w:val="00F9218C"/>
    <w:rsid w:val="00F93A13"/>
    <w:rsid w:val="00F957AF"/>
    <w:rsid w:val="00F96595"/>
    <w:rsid w:val="00FA03B3"/>
    <w:rsid w:val="00FA05CD"/>
    <w:rsid w:val="00FA720A"/>
    <w:rsid w:val="00FA73CD"/>
    <w:rsid w:val="00FB0194"/>
    <w:rsid w:val="00FB01B1"/>
    <w:rsid w:val="00FB0524"/>
    <w:rsid w:val="00FC50A5"/>
    <w:rsid w:val="00FC6324"/>
    <w:rsid w:val="00FC7F31"/>
    <w:rsid w:val="00FD327B"/>
    <w:rsid w:val="00FD70FD"/>
    <w:rsid w:val="00FE1900"/>
    <w:rsid w:val="00FE3270"/>
    <w:rsid w:val="00FE5257"/>
    <w:rsid w:val="00FE7DA9"/>
    <w:rsid w:val="00FF374D"/>
    <w:rsid w:val="00FF4446"/>
    <w:rsid w:val="00FF67EE"/>
    <w:rsid w:val="00FF6E3F"/>
    <w:rsid w:val="00FF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472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qFormat="1"/>
    <w:lsdException w:name="footer" w:uiPriority="0" w:qFormat="1"/>
    <w:lsdException w:name="caption" w:uiPriority="0" w:qFormat="1"/>
    <w:lsdException w:name="table of figures" w:locked="1" w:uiPriority="0"/>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1"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B6"/>
    <w:pPr>
      <w:spacing w:after="0"/>
    </w:pPr>
    <w:rPr>
      <w:rFonts w:eastAsia="Times New Roman" w:cs="Times New Roman"/>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qFormat/>
    <w:rsid w:val="00850F24"/>
    <w:pPr>
      <w:keepNext/>
      <w:framePr w:wrap="around" w:vAnchor="text" w:hAnchor="text" w:y="1"/>
      <w:numPr>
        <w:ilvl w:val="4"/>
        <w:numId w:val="9"/>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9"/>
      </w:numPr>
      <w:spacing w:after="120"/>
      <w:outlineLvl w:val="5"/>
    </w:pPr>
  </w:style>
  <w:style w:type="paragraph" w:styleId="Heading7">
    <w:name w:val="heading 7"/>
    <w:basedOn w:val="Normal"/>
    <w:next w:val="Normal"/>
    <w:link w:val="Heading7Char"/>
    <w:semiHidden/>
    <w:qFormat/>
    <w:rsid w:val="002B76AB"/>
    <w:pPr>
      <w:keepNext/>
      <w:numPr>
        <w:ilvl w:val="6"/>
        <w:numId w:val="9"/>
      </w:numPr>
      <w:spacing w:after="120"/>
      <w:outlineLvl w:val="6"/>
    </w:pPr>
  </w:style>
  <w:style w:type="paragraph" w:styleId="Heading8">
    <w:name w:val="heading 8"/>
    <w:basedOn w:val="Normal"/>
    <w:next w:val="Normal"/>
    <w:link w:val="Heading8Char"/>
    <w:semiHidden/>
    <w:qFormat/>
    <w:rsid w:val="002B76AB"/>
    <w:pPr>
      <w:keepNext/>
      <w:numPr>
        <w:ilvl w:val="7"/>
        <w:numId w:val="9"/>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9"/>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0">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0"/>
    <w:next w:val="NormalSS"/>
    <w:qFormat/>
    <w:rsid w:val="009A5B76"/>
    <w:pPr>
      <w:numPr>
        <w:numId w:val="2"/>
      </w:numPr>
      <w:spacing w:after="240"/>
      <w:ind w:left="432" w:hanging="432"/>
    </w:pPr>
  </w:style>
  <w:style w:type="paragraph" w:customStyle="1" w:styleId="BulletLastDS">
    <w:name w:val="Bullet (Last DS)"/>
    <w:basedOn w:val="Bullet0"/>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F41939"/>
    <w:pPr>
      <w:numPr>
        <w:numId w:val="4"/>
      </w:numPr>
      <w:tabs>
        <w:tab w:val="left" w:pos="288"/>
      </w:tabs>
      <w:spacing w:after="120"/>
      <w:ind w:left="720" w:hanging="288"/>
    </w:pPr>
  </w:style>
  <w:style w:type="paragraph" w:customStyle="1" w:styleId="DashLASTSS">
    <w:name w:val="Dash (LAST SS)"/>
    <w:basedOn w:val="Dash"/>
    <w:next w:val="NormalSS"/>
    <w:qFormat/>
    <w:rsid w:val="00F41939"/>
    <w:pPr>
      <w:numPr>
        <w:numId w:val="5"/>
      </w:numPr>
      <w:spacing w:after="240"/>
      <w:ind w:left="720" w:hanging="288"/>
    </w:pPr>
    <w:rPr>
      <w:rFonts w:cs="Arial"/>
      <w:color w:val="1A1818"/>
    </w:r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rsid w:val="00756E06"/>
    <w:rPr>
      <w:rFonts w:eastAsia="Times New Roman" w:cs="Times New Roman"/>
      <w:b/>
    </w:rPr>
  </w:style>
  <w:style w:type="character" w:customStyle="1" w:styleId="Heading6Char">
    <w:name w:val="Heading 6 Char"/>
    <w:basedOn w:val="DefaultParagraphFont"/>
    <w:link w:val="Heading6"/>
    <w:semiHidden/>
    <w:rsid w:val="002B76AB"/>
    <w:rPr>
      <w:rFonts w:eastAsia="Times New Roman" w:cs="Times New Roman"/>
    </w:rPr>
  </w:style>
  <w:style w:type="character" w:customStyle="1" w:styleId="Heading7Char">
    <w:name w:val="Heading 7 Char"/>
    <w:basedOn w:val="DefaultParagraphFont"/>
    <w:link w:val="Heading7"/>
    <w:semiHidden/>
    <w:rsid w:val="002B76AB"/>
    <w:rPr>
      <w:rFonts w:eastAsia="Times New Roman" w:cs="Times New Roman"/>
    </w:rPr>
  </w:style>
  <w:style w:type="character" w:customStyle="1" w:styleId="Heading8Char">
    <w:name w:val="Heading 8 Char"/>
    <w:basedOn w:val="DefaultParagraphFont"/>
    <w:link w:val="Heading8"/>
    <w:semiHidden/>
    <w:rsid w:val="002B76AB"/>
    <w:rPr>
      <w:rFonts w:eastAsia="Times New Roman" w:cs="Times New Roman"/>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DF5DC5"/>
    <w:pPr>
      <w:spacing w:after="240"/>
      <w:ind w:firstLine="432"/>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9141F0"/>
    <w:pPr>
      <w:spacing w:before="120" w:after="60"/>
    </w:pPr>
    <w:rPr>
      <w:b/>
      <w:bCs/>
      <w:color w:val="FFFFFF" w:themeColor="background1"/>
      <w:szCs w:val="22"/>
      <w:lang w:bidi="en-US"/>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qFormat/>
    <w:rsid w:val="00542061"/>
    <w:pPr>
      <w:tabs>
        <w:tab w:val="right" w:leader="dot" w:pos="9360"/>
      </w:tabs>
      <w:spacing w:after="180" w:line="240" w:lineRule="exact"/>
      <w:ind w:left="630" w:right="720" w:hanging="630"/>
    </w:pPr>
    <w:rPr>
      <w:rFonts w:ascii="Arial" w:eastAsia="Times New Roman" w:hAnsi="Arial" w:cs="Times New Roman"/>
      <w:caps/>
      <w:sz w:val="20"/>
      <w:szCs w:val="20"/>
    </w:rPr>
  </w:style>
  <w:style w:type="paragraph" w:styleId="TOC2">
    <w:name w:val="toc 2"/>
    <w:next w:val="Normal"/>
    <w:autoRedefine/>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link w:val="NormalSS"/>
    <w:locked/>
    <w:rsid w:val="00DF5DC5"/>
    <w:rPr>
      <w:rFonts w:eastAsia="Times New Roman" w:cs="Times New Roman"/>
    </w:rPr>
  </w:style>
  <w:style w:type="character" w:styleId="CommentReference">
    <w:name w:val="annotation reference"/>
    <w:basedOn w:val="DefaultParagraphFont"/>
    <w:rsid w:val="00DF5DC5"/>
    <w:rPr>
      <w:sz w:val="16"/>
      <w:szCs w:val="16"/>
    </w:rPr>
  </w:style>
  <w:style w:type="paragraph" w:styleId="CommentText">
    <w:name w:val="annotation text"/>
    <w:basedOn w:val="Normal"/>
    <w:link w:val="CommentTextChar"/>
    <w:rsid w:val="00DF5DC5"/>
    <w:rPr>
      <w:sz w:val="20"/>
      <w:szCs w:val="20"/>
    </w:rPr>
  </w:style>
  <w:style w:type="character" w:customStyle="1" w:styleId="CommentTextChar">
    <w:name w:val="Comment Text Char"/>
    <w:basedOn w:val="DefaultParagraphFont"/>
    <w:link w:val="CommentText"/>
    <w:rsid w:val="00DF5DC5"/>
    <w:rPr>
      <w:rFonts w:eastAsia="Times New Roman" w:cs="Times New Roman"/>
      <w:sz w:val="20"/>
      <w:szCs w:val="20"/>
    </w:rPr>
  </w:style>
  <w:style w:type="paragraph" w:styleId="NormalWeb">
    <w:name w:val="Normal (Web)"/>
    <w:basedOn w:val="Normal"/>
    <w:uiPriority w:val="99"/>
    <w:semiHidden/>
    <w:unhideWhenUsed/>
    <w:rsid w:val="00DF5DC5"/>
    <w:pPr>
      <w:spacing w:before="100" w:beforeAutospacing="1" w:after="100" w:afterAutospacing="1"/>
    </w:pPr>
    <w:rPr>
      <w:color w:val="000000"/>
    </w:rPr>
  </w:style>
  <w:style w:type="character" w:styleId="Emphasis">
    <w:name w:val="Emphasis"/>
    <w:basedOn w:val="DefaultParagraphFont"/>
    <w:uiPriority w:val="20"/>
    <w:qFormat/>
    <w:rsid w:val="00DF5DC5"/>
    <w:rPr>
      <w:i/>
      <w:iCs/>
    </w:rPr>
  </w:style>
  <w:style w:type="paragraph" w:customStyle="1" w:styleId="Heading1Black">
    <w:name w:val="Heading 1_Black"/>
    <w:basedOn w:val="Normal"/>
    <w:next w:val="Normal"/>
    <w:qFormat/>
    <w:rsid w:val="00DF5DC5"/>
    <w:pPr>
      <w:tabs>
        <w:tab w:val="left" w:pos="432"/>
      </w:tabs>
      <w:spacing w:before="240" w:after="240"/>
      <w:jc w:val="center"/>
    </w:pPr>
    <w:rPr>
      <w:rFonts w:ascii="Lucida Sans" w:hAnsi="Lucida Sans"/>
      <w:b/>
      <w:caps/>
    </w:rPr>
  </w:style>
  <w:style w:type="paragraph" w:styleId="CommentSubject">
    <w:name w:val="annotation subject"/>
    <w:basedOn w:val="CommentText"/>
    <w:next w:val="CommentText"/>
    <w:link w:val="CommentSubjectChar"/>
    <w:semiHidden/>
    <w:unhideWhenUsed/>
    <w:rsid w:val="00CA2595"/>
    <w:rPr>
      <w:b/>
      <w:bCs/>
    </w:rPr>
  </w:style>
  <w:style w:type="character" w:customStyle="1" w:styleId="CommentSubjectChar">
    <w:name w:val="Comment Subject Char"/>
    <w:basedOn w:val="CommentTextChar"/>
    <w:link w:val="CommentSubject"/>
    <w:semiHidden/>
    <w:rsid w:val="00CA2595"/>
    <w:rPr>
      <w:rFonts w:eastAsia="Times New Roman" w:cs="Times New Roman"/>
      <w:b/>
      <w:bCs/>
      <w:sz w:val="20"/>
      <w:szCs w:val="20"/>
    </w:rPr>
  </w:style>
  <w:style w:type="paragraph" w:customStyle="1" w:styleId="covertitle">
    <w:name w:val="cover title"/>
    <w:basedOn w:val="Normal"/>
    <w:qFormat/>
    <w:rsid w:val="001969A3"/>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coverallcaps">
    <w:name w:val="cover all caps"/>
    <w:basedOn w:val="Normal"/>
    <w:qFormat/>
    <w:rsid w:val="001969A3"/>
    <w:pPr>
      <w:spacing w:line="560" w:lineRule="exact"/>
    </w:pPr>
    <w:rPr>
      <w:rFonts w:ascii="Arial" w:hAnsi="Arial"/>
      <w:caps/>
      <w:spacing w:val="28"/>
      <w:sz w:val="17"/>
      <w:szCs w:val="26"/>
    </w:rPr>
  </w:style>
  <w:style w:type="paragraph" w:customStyle="1" w:styleId="coverdate">
    <w:name w:val="cover date"/>
    <w:qFormat/>
    <w:rsid w:val="001969A3"/>
    <w:pPr>
      <w:spacing w:after="0" w:line="440" w:lineRule="exact"/>
    </w:pPr>
    <w:rPr>
      <w:rFonts w:ascii="Arial" w:eastAsia="Times New Roman" w:hAnsi="Arial" w:cs="Times New Roman"/>
      <w:sz w:val="34"/>
      <w:szCs w:val="26"/>
    </w:rPr>
  </w:style>
  <w:style w:type="paragraph" w:customStyle="1" w:styleId="covertext">
    <w:name w:val="cover text"/>
    <w:qFormat/>
    <w:rsid w:val="001969A3"/>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1969A3"/>
    <w:pPr>
      <w:pBdr>
        <w:bottom w:val="single" w:sz="2" w:space="1" w:color="auto"/>
      </w:pBdr>
      <w:spacing w:line="240" w:lineRule="auto"/>
    </w:pPr>
  </w:style>
  <w:style w:type="paragraph" w:customStyle="1" w:styleId="reportcovername">
    <w:name w:val="report cover name"/>
    <w:basedOn w:val="covertext"/>
    <w:qFormat/>
    <w:rsid w:val="001969A3"/>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1969A3"/>
    <w:rPr>
      <w:rFonts w:ascii="Arial Black" w:hAnsi="Arial Black"/>
      <w:noProof/>
      <w:sz w:val="16"/>
      <w:szCs w:val="19"/>
    </w:rPr>
  </w:style>
  <w:style w:type="paragraph" w:customStyle="1" w:styleId="backcovercities">
    <w:name w:val="back cover cities"/>
    <w:basedOn w:val="Normal"/>
    <w:qFormat/>
    <w:rsid w:val="00B97274"/>
    <w:rPr>
      <w:rFonts w:ascii="Arial Black" w:hAnsi="Arial Black"/>
      <w:caps/>
      <w:noProof/>
      <w:spacing w:val="-3"/>
      <w:sz w:val="14"/>
      <w:szCs w:val="19"/>
    </w:rPr>
  </w:style>
  <w:style w:type="paragraph" w:customStyle="1" w:styleId="backcovertitle">
    <w:name w:val="back cover title"/>
    <w:basedOn w:val="Normal"/>
    <w:qFormat/>
    <w:rsid w:val="00B97274"/>
    <w:pPr>
      <w:pBdr>
        <w:top w:val="single" w:sz="4" w:space="5" w:color="auto"/>
        <w:bottom w:val="single" w:sz="4" w:space="5" w:color="auto"/>
      </w:pBdr>
      <w:spacing w:after="184" w:line="280" w:lineRule="exact"/>
      <w:outlineLvl w:val="0"/>
    </w:pPr>
    <w:rPr>
      <w:rFonts w:ascii="Arial Black" w:hAnsi="Arial Black"/>
      <w:noProof/>
      <w:color w:val="E70033"/>
      <w:szCs w:val="26"/>
    </w:rPr>
  </w:style>
  <w:style w:type="paragraph" w:styleId="Revision">
    <w:name w:val="Revision"/>
    <w:hidden/>
    <w:uiPriority w:val="99"/>
    <w:semiHidden/>
    <w:rsid w:val="00F14FA1"/>
    <w:pPr>
      <w:spacing w:after="0"/>
    </w:pPr>
    <w:rPr>
      <w:rFonts w:eastAsia="Times New Roman" w:cs="Times New Roman"/>
    </w:rPr>
  </w:style>
  <w:style w:type="character" w:styleId="Hyperlink">
    <w:name w:val="Hyperlink"/>
    <w:basedOn w:val="DefaultParagraphFont"/>
    <w:unhideWhenUsed/>
    <w:rsid w:val="00F14FA1"/>
    <w:rPr>
      <w:color w:val="0000FF" w:themeColor="hyperlink"/>
      <w:u w:val="single"/>
    </w:rPr>
  </w:style>
  <w:style w:type="paragraph" w:customStyle="1" w:styleId="bullet">
    <w:name w:val="bullet"/>
    <w:rsid w:val="000D132C"/>
    <w:pPr>
      <w:numPr>
        <w:numId w:val="12"/>
      </w:numPr>
      <w:spacing w:after="180"/>
      <w:ind w:left="720" w:right="360" w:hanging="288"/>
      <w:jc w:val="both"/>
    </w:pPr>
    <w:rPr>
      <w:rFonts w:eastAsia="Times New Roman" w:cs="Times New Roman"/>
      <w:szCs w:val="20"/>
    </w:rPr>
  </w:style>
  <w:style w:type="paragraph" w:customStyle="1" w:styleId="Tablesideheadings">
    <w:name w:val="Table side headings"/>
    <w:basedOn w:val="Normal"/>
    <w:link w:val="TablesideheadingsChar"/>
    <w:rsid w:val="000D132C"/>
    <w:pPr>
      <w:spacing w:before="60" w:after="60"/>
    </w:pPr>
    <w:rPr>
      <w:rFonts w:ascii="Arial" w:hAnsi="Arial"/>
      <w:sz w:val="20"/>
      <w:szCs w:val="20"/>
    </w:rPr>
  </w:style>
  <w:style w:type="paragraph" w:customStyle="1" w:styleId="Tabletopheadings">
    <w:name w:val="Table top headings"/>
    <w:basedOn w:val="Normal"/>
    <w:rsid w:val="000D132C"/>
    <w:pPr>
      <w:pBdr>
        <w:bottom w:val="single" w:sz="12" w:space="1" w:color="auto"/>
      </w:pBdr>
      <w:spacing w:before="120"/>
      <w:jc w:val="center"/>
    </w:pPr>
    <w:rPr>
      <w:rFonts w:ascii="Arial" w:hAnsi="Arial" w:cs="Arial"/>
      <w:b/>
      <w:sz w:val="20"/>
      <w:szCs w:val="20"/>
    </w:rPr>
  </w:style>
  <w:style w:type="character" w:customStyle="1" w:styleId="TablesideheadingsChar">
    <w:name w:val="Table side headings Char"/>
    <w:link w:val="Tablesideheadings"/>
    <w:rsid w:val="000D132C"/>
    <w:rPr>
      <w:rFonts w:ascii="Arial" w:eastAsia="Times New Roman" w:hAnsi="Arial" w:cs="Times New Roman"/>
      <w:sz w:val="20"/>
      <w:szCs w:val="20"/>
    </w:rPr>
  </w:style>
  <w:style w:type="paragraph" w:styleId="Caption">
    <w:name w:val="caption"/>
    <w:basedOn w:val="Normal"/>
    <w:next w:val="Normal"/>
    <w:qFormat/>
    <w:rsid w:val="000D132C"/>
    <w:pPr>
      <w:keepNext/>
      <w:keepLines/>
      <w:spacing w:before="180" w:after="120"/>
      <w:jc w:val="center"/>
    </w:pPr>
    <w:rPr>
      <w:rFonts w:ascii="Arial" w:hAnsi="Arial" w:cs="Arial"/>
      <w:b/>
      <w:sz w:val="22"/>
      <w:szCs w:val="22"/>
    </w:rPr>
  </w:style>
  <w:style w:type="paragraph" w:customStyle="1" w:styleId="Bullet3">
    <w:name w:val="Bullet 3"/>
    <w:basedOn w:val="Normal"/>
    <w:qFormat/>
    <w:rsid w:val="000D132C"/>
    <w:pPr>
      <w:numPr>
        <w:ilvl w:val="2"/>
        <w:numId w:val="13"/>
      </w:numPr>
      <w:spacing w:after="120"/>
      <w:ind w:right="1440"/>
    </w:pPr>
    <w:rPr>
      <w:position w:val="2"/>
    </w:rPr>
  </w:style>
  <w:style w:type="paragraph" w:customStyle="1" w:styleId="Bullet4">
    <w:name w:val="Bullet 4"/>
    <w:basedOn w:val="Normal"/>
    <w:rsid w:val="000D132C"/>
    <w:pPr>
      <w:numPr>
        <w:ilvl w:val="3"/>
        <w:numId w:val="13"/>
      </w:numPr>
      <w:spacing w:after="120"/>
      <w:ind w:right="1440"/>
    </w:pPr>
    <w:rPr>
      <w:position w:val="8"/>
    </w:rPr>
  </w:style>
  <w:style w:type="paragraph" w:customStyle="1" w:styleId="bulletnumbered1">
    <w:name w:val="bullet numbered 1"/>
    <w:basedOn w:val="bullet1"/>
    <w:rsid w:val="000D132C"/>
    <w:pPr>
      <w:numPr>
        <w:numId w:val="14"/>
      </w:numPr>
      <w:tabs>
        <w:tab w:val="clear" w:pos="720"/>
      </w:tabs>
      <w:spacing w:before="120"/>
      <w:ind w:hanging="360"/>
    </w:pPr>
  </w:style>
  <w:style w:type="paragraph" w:customStyle="1" w:styleId="bulletnumbered2">
    <w:name w:val="bullet numbered 2"/>
    <w:basedOn w:val="bullet1"/>
    <w:rsid w:val="000D132C"/>
    <w:pPr>
      <w:numPr>
        <w:ilvl w:val="1"/>
        <w:numId w:val="14"/>
      </w:numPr>
      <w:tabs>
        <w:tab w:val="clear" w:pos="1080"/>
      </w:tabs>
      <w:ind w:left="1440" w:right="1440" w:hanging="360"/>
    </w:pPr>
  </w:style>
  <w:style w:type="paragraph" w:customStyle="1" w:styleId="bullet2">
    <w:name w:val="bullet 2"/>
    <w:basedOn w:val="Normal"/>
    <w:qFormat/>
    <w:rsid w:val="000D132C"/>
    <w:pPr>
      <w:numPr>
        <w:ilvl w:val="1"/>
        <w:numId w:val="13"/>
      </w:numPr>
      <w:spacing w:after="120"/>
      <w:ind w:right="1440"/>
    </w:pPr>
    <w:rPr>
      <w:position w:val="6"/>
    </w:rPr>
  </w:style>
  <w:style w:type="paragraph" w:customStyle="1" w:styleId="bullet1">
    <w:name w:val="bullet 1"/>
    <w:link w:val="bullet1Char"/>
    <w:qFormat/>
    <w:rsid w:val="000D132C"/>
    <w:pPr>
      <w:numPr>
        <w:numId w:val="13"/>
      </w:numPr>
      <w:spacing w:after="120"/>
      <w:ind w:right="720"/>
    </w:pPr>
    <w:rPr>
      <w:rFonts w:eastAsia="Times New Roman" w:cs="Times New Roman"/>
      <w:szCs w:val="20"/>
    </w:rPr>
  </w:style>
  <w:style w:type="character" w:customStyle="1" w:styleId="bullet1Char">
    <w:name w:val="bullet 1 Char"/>
    <w:basedOn w:val="DefaultParagraphFont"/>
    <w:link w:val="bullet1"/>
    <w:rsid w:val="000D132C"/>
    <w:rPr>
      <w:rFonts w:eastAsia="Times New Roman" w:cs="Times New Roman"/>
      <w:szCs w:val="20"/>
    </w:rPr>
  </w:style>
  <w:style w:type="paragraph" w:customStyle="1" w:styleId="bulletnumbered3">
    <w:name w:val="bullet numbered 3"/>
    <w:basedOn w:val="bullet1"/>
    <w:rsid w:val="000D132C"/>
    <w:pPr>
      <w:numPr>
        <w:ilvl w:val="2"/>
        <w:numId w:val="14"/>
      </w:numPr>
      <w:tabs>
        <w:tab w:val="clear" w:pos="1570"/>
      </w:tabs>
      <w:ind w:left="2160" w:right="1440" w:hanging="360"/>
    </w:pPr>
    <w:rPr>
      <w:szCs w:val="24"/>
    </w:rPr>
  </w:style>
  <w:style w:type="paragraph" w:customStyle="1" w:styleId="bulletnumbered4">
    <w:name w:val="bullet numbered 4"/>
    <w:basedOn w:val="bullet1"/>
    <w:rsid w:val="000D132C"/>
    <w:pPr>
      <w:numPr>
        <w:ilvl w:val="3"/>
        <w:numId w:val="14"/>
      </w:numPr>
      <w:tabs>
        <w:tab w:val="clear" w:pos="2002"/>
      </w:tabs>
      <w:ind w:left="2880" w:right="1440" w:hanging="360"/>
    </w:pPr>
    <w:rPr>
      <w:szCs w:val="24"/>
    </w:rPr>
  </w:style>
  <w:style w:type="paragraph" w:customStyle="1" w:styleId="Tablebullet1">
    <w:name w:val="Table bullet 1"/>
    <w:basedOn w:val="Normal"/>
    <w:link w:val="Tablebullet1Char"/>
    <w:rsid w:val="000D132C"/>
    <w:pPr>
      <w:numPr>
        <w:numId w:val="15"/>
      </w:numPr>
      <w:spacing w:before="60" w:after="60"/>
      <w:ind w:left="201" w:hanging="259"/>
    </w:pPr>
    <w:rPr>
      <w:rFonts w:ascii="Arial" w:hAnsi="Arial" w:cs="Arial"/>
      <w:sz w:val="20"/>
      <w:szCs w:val="20"/>
    </w:rPr>
  </w:style>
  <w:style w:type="paragraph" w:customStyle="1" w:styleId="Tablebullet2">
    <w:name w:val="Table bullet 2"/>
    <w:basedOn w:val="Normal"/>
    <w:rsid w:val="000D132C"/>
    <w:pPr>
      <w:numPr>
        <w:ilvl w:val="1"/>
        <w:numId w:val="15"/>
      </w:numPr>
      <w:spacing w:before="40" w:after="30"/>
    </w:pPr>
    <w:rPr>
      <w:rFonts w:ascii="Arial" w:hAnsi="Arial" w:cs="Arial"/>
      <w:position w:val="6"/>
      <w:sz w:val="20"/>
      <w:szCs w:val="20"/>
    </w:rPr>
  </w:style>
  <w:style w:type="paragraph" w:customStyle="1" w:styleId="Tablebullet3">
    <w:name w:val="Table bullet 3"/>
    <w:basedOn w:val="Normal"/>
    <w:rsid w:val="000D132C"/>
    <w:pPr>
      <w:numPr>
        <w:ilvl w:val="2"/>
        <w:numId w:val="15"/>
      </w:numPr>
      <w:spacing w:before="60" w:after="60"/>
      <w:ind w:left="692" w:hanging="202"/>
    </w:pPr>
    <w:rPr>
      <w:rFonts w:ascii="Arial" w:hAnsi="Arial" w:cs="Arial"/>
      <w:position w:val="2"/>
      <w:sz w:val="20"/>
      <w:szCs w:val="20"/>
    </w:rPr>
  </w:style>
  <w:style w:type="paragraph" w:customStyle="1" w:styleId="Tablebullet4">
    <w:name w:val="Table bullet 4"/>
    <w:basedOn w:val="Normal"/>
    <w:rsid w:val="000D132C"/>
    <w:pPr>
      <w:numPr>
        <w:ilvl w:val="3"/>
        <w:numId w:val="15"/>
      </w:numPr>
      <w:spacing w:before="20" w:after="40"/>
    </w:pPr>
    <w:rPr>
      <w:rFonts w:ascii="Arial" w:hAnsi="Arial" w:cs="Arial"/>
      <w:position w:val="8"/>
      <w:sz w:val="20"/>
      <w:szCs w:val="20"/>
    </w:rPr>
  </w:style>
  <w:style w:type="table" w:styleId="TableGrid1">
    <w:name w:val="Table Grid 1"/>
    <w:basedOn w:val="TableNormal"/>
    <w:rsid w:val="000D132C"/>
    <w:pPr>
      <w:spacing w:before="120" w:after="120" w:line="300" w:lineRule="auto"/>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extbox-bodyChar">
    <w:name w:val="Text box - body Char"/>
    <w:basedOn w:val="DefaultParagraphFont"/>
    <w:link w:val="Textbox-body"/>
    <w:rsid w:val="000D132C"/>
    <w:rPr>
      <w:rFonts w:ascii="Arial" w:hAnsi="Arial" w:cs="Arial"/>
      <w:sz w:val="22"/>
      <w:szCs w:val="22"/>
    </w:rPr>
  </w:style>
  <w:style w:type="paragraph" w:customStyle="1" w:styleId="Header-oddpage">
    <w:name w:val="Header - odd page"/>
    <w:basedOn w:val="Normal"/>
    <w:rsid w:val="000D132C"/>
    <w:pPr>
      <w:pBdr>
        <w:bottom w:val="single" w:sz="4" w:space="1" w:color="auto"/>
      </w:pBdr>
      <w:spacing w:line="276" w:lineRule="auto"/>
      <w:jc w:val="right"/>
    </w:pPr>
    <w:rPr>
      <w:rFonts w:ascii="Arial" w:hAnsi="Arial" w:cs="Arial"/>
      <w:i/>
      <w:snapToGrid w:val="0"/>
      <w:sz w:val="18"/>
      <w:szCs w:val="18"/>
    </w:rPr>
  </w:style>
  <w:style w:type="paragraph" w:customStyle="1" w:styleId="Header-filepath">
    <w:name w:val="Header - filepath"/>
    <w:basedOn w:val="Normal"/>
    <w:rsid w:val="000D132C"/>
    <w:pPr>
      <w:tabs>
        <w:tab w:val="right" w:pos="9360"/>
      </w:tabs>
      <w:spacing w:line="276" w:lineRule="auto"/>
    </w:pPr>
    <w:rPr>
      <w:rFonts w:ascii="Arial" w:hAnsi="Arial" w:cs="Arial"/>
      <w:snapToGrid w:val="0"/>
      <w:sz w:val="18"/>
      <w:szCs w:val="18"/>
    </w:rPr>
  </w:style>
  <w:style w:type="paragraph" w:customStyle="1" w:styleId="Header-evenpage">
    <w:name w:val="Header - even page"/>
    <w:basedOn w:val="Normal"/>
    <w:rsid w:val="000D132C"/>
    <w:pPr>
      <w:pBdr>
        <w:bottom w:val="single" w:sz="4" w:space="1" w:color="auto"/>
      </w:pBdr>
      <w:spacing w:line="276" w:lineRule="auto"/>
    </w:pPr>
    <w:rPr>
      <w:rFonts w:ascii="Arial" w:hAnsi="Arial" w:cs="Arial"/>
      <w:i/>
      <w:snapToGrid w:val="0"/>
      <w:sz w:val="18"/>
      <w:szCs w:val="18"/>
    </w:rPr>
  </w:style>
  <w:style w:type="paragraph" w:customStyle="1" w:styleId="Textbox-body">
    <w:name w:val="Text box - body"/>
    <w:basedOn w:val="Normal"/>
    <w:link w:val="Textbox-bodyChar"/>
    <w:rsid w:val="000D132C"/>
    <w:pPr>
      <w:spacing w:before="120" w:after="60"/>
      <w:ind w:left="115" w:right="115"/>
    </w:pPr>
    <w:rPr>
      <w:rFonts w:ascii="Arial" w:eastAsiaTheme="minorEastAsia" w:hAnsi="Arial" w:cs="Arial"/>
      <w:sz w:val="22"/>
      <w:szCs w:val="22"/>
    </w:rPr>
  </w:style>
  <w:style w:type="paragraph" w:styleId="Quote">
    <w:name w:val="Quote"/>
    <w:basedOn w:val="Normal"/>
    <w:link w:val="QuoteChar"/>
    <w:qFormat/>
    <w:rsid w:val="000D132C"/>
    <w:pPr>
      <w:spacing w:after="60"/>
      <w:ind w:left="720" w:right="1440"/>
    </w:pPr>
    <w:rPr>
      <w:i/>
      <w:szCs w:val="20"/>
    </w:rPr>
  </w:style>
  <w:style w:type="character" w:customStyle="1" w:styleId="QuoteChar">
    <w:name w:val="Quote Char"/>
    <w:basedOn w:val="DefaultParagraphFont"/>
    <w:link w:val="Quote"/>
    <w:rsid w:val="000D132C"/>
    <w:rPr>
      <w:rFonts w:eastAsia="Times New Roman" w:cs="Times New Roman"/>
      <w:i/>
      <w:szCs w:val="20"/>
    </w:rPr>
  </w:style>
  <w:style w:type="paragraph" w:customStyle="1" w:styleId="Tablenumbers">
    <w:name w:val="Table numbers"/>
    <w:basedOn w:val="Normal"/>
    <w:rsid w:val="000D132C"/>
    <w:pPr>
      <w:tabs>
        <w:tab w:val="decimal" w:pos="855"/>
      </w:tabs>
      <w:spacing w:before="60" w:after="60"/>
    </w:pPr>
    <w:rPr>
      <w:rFonts w:ascii="Arial" w:hAnsi="Arial" w:cs="Arial"/>
      <w:sz w:val="20"/>
      <w:szCs w:val="20"/>
    </w:rPr>
  </w:style>
  <w:style w:type="paragraph" w:customStyle="1" w:styleId="FootnoteText-2ndparagraph">
    <w:name w:val="Footnote Text - 2nd paragraph"/>
    <w:basedOn w:val="FootnoteText"/>
    <w:rsid w:val="000D132C"/>
    <w:pPr>
      <w:spacing w:before="100" w:after="0"/>
      <w:ind w:leftChars="120" w:left="120"/>
    </w:pPr>
    <w:rPr>
      <w:szCs w:val="20"/>
    </w:rPr>
  </w:style>
  <w:style w:type="paragraph" w:customStyle="1" w:styleId="Textbox-caption">
    <w:name w:val="Text box - caption"/>
    <w:basedOn w:val="Normal"/>
    <w:next w:val="Textbox-body"/>
    <w:rsid w:val="000D132C"/>
    <w:pPr>
      <w:spacing w:before="120" w:after="120"/>
      <w:ind w:left="115" w:right="115"/>
      <w:jc w:val="center"/>
    </w:pPr>
    <w:rPr>
      <w:rFonts w:ascii="Arial" w:hAnsi="Arial" w:cs="Arial"/>
      <w:b/>
      <w:sz w:val="22"/>
      <w:szCs w:val="22"/>
    </w:rPr>
  </w:style>
  <w:style w:type="paragraph" w:customStyle="1" w:styleId="Contents">
    <w:name w:val="Contents"/>
    <w:basedOn w:val="Heading1"/>
    <w:next w:val="Normal"/>
    <w:rsid w:val="000D132C"/>
    <w:pPr>
      <w:keepLines/>
      <w:pageBreakBefore/>
      <w:pBdr>
        <w:bottom w:val="thickThinSmallGap" w:sz="18" w:space="6" w:color="auto"/>
      </w:pBdr>
      <w:tabs>
        <w:tab w:val="clear" w:pos="432"/>
        <w:tab w:val="left" w:pos="706"/>
      </w:tabs>
      <w:spacing w:before="0" w:after="600"/>
    </w:pPr>
    <w:rPr>
      <w:rFonts w:ascii="Arial" w:hAnsi="Arial" w:cs="Arial"/>
      <w:b/>
      <w:sz w:val="32"/>
      <w:szCs w:val="32"/>
    </w:rPr>
  </w:style>
  <w:style w:type="paragraph" w:customStyle="1" w:styleId="SidebarTextbox">
    <w:name w:val="Sidebar Text box"/>
    <w:basedOn w:val="Textbox-body"/>
    <w:semiHidden/>
    <w:rsid w:val="000D132C"/>
    <w:pPr>
      <w:framePr w:wrap="around" w:hAnchor="text" w:y="7057"/>
    </w:pPr>
    <w:rPr>
      <w:i/>
    </w:rPr>
  </w:style>
  <w:style w:type="paragraph" w:customStyle="1" w:styleId="tableindentsideheading">
    <w:name w:val="table indent side heading"/>
    <w:basedOn w:val="Tablesideheadings"/>
    <w:rsid w:val="000D132C"/>
    <w:pPr>
      <w:ind w:left="216"/>
    </w:pPr>
    <w:rPr>
      <w:rFonts w:cs="Arial"/>
    </w:rPr>
  </w:style>
  <w:style w:type="paragraph" w:customStyle="1" w:styleId="tabledoubleindentsideheading">
    <w:name w:val="table double indent side heading"/>
    <w:basedOn w:val="tableindentsideheading"/>
    <w:rsid w:val="000D132C"/>
    <w:pPr>
      <w:ind w:left="432"/>
    </w:pPr>
  </w:style>
  <w:style w:type="paragraph" w:customStyle="1" w:styleId="insertexhibitstyle">
    <w:name w:val="[insert exhibit style]"/>
    <w:basedOn w:val="Caption"/>
    <w:next w:val="Normal"/>
    <w:semiHidden/>
    <w:rsid w:val="000D132C"/>
    <w:pPr>
      <w:spacing w:after="240"/>
    </w:pPr>
    <w:rPr>
      <w:b w:val="0"/>
    </w:rPr>
  </w:style>
  <w:style w:type="paragraph" w:customStyle="1" w:styleId="Source">
    <w:name w:val="Source"/>
    <w:basedOn w:val="BodyText"/>
    <w:rsid w:val="000D132C"/>
    <w:pPr>
      <w:tabs>
        <w:tab w:val="left" w:pos="639"/>
      </w:tabs>
      <w:spacing w:before="60" w:after="60" w:line="240" w:lineRule="auto"/>
    </w:pPr>
    <w:rPr>
      <w:rFonts w:ascii="Arial" w:hAnsi="Arial" w:cs="Arial"/>
      <w:i/>
      <w:sz w:val="16"/>
      <w:szCs w:val="16"/>
    </w:rPr>
  </w:style>
  <w:style w:type="paragraph" w:styleId="BodyText">
    <w:name w:val="Body Text"/>
    <w:basedOn w:val="Normal"/>
    <w:link w:val="BodyTextChar"/>
    <w:rsid w:val="000D132C"/>
    <w:pPr>
      <w:spacing w:before="120" w:after="120" w:line="300" w:lineRule="auto"/>
    </w:pPr>
    <w:rPr>
      <w:szCs w:val="20"/>
    </w:rPr>
  </w:style>
  <w:style w:type="character" w:customStyle="1" w:styleId="BodyTextChar">
    <w:name w:val="Body Text Char"/>
    <w:basedOn w:val="DefaultParagraphFont"/>
    <w:link w:val="BodyText"/>
    <w:rsid w:val="000D132C"/>
    <w:rPr>
      <w:rFonts w:eastAsia="Times New Roman" w:cs="Times New Roman"/>
      <w:szCs w:val="20"/>
    </w:rPr>
  </w:style>
  <w:style w:type="paragraph" w:customStyle="1" w:styleId="TableList11">
    <w:name w:val="Table List 11"/>
    <w:basedOn w:val="Tablesideheadings"/>
    <w:rsid w:val="000D132C"/>
    <w:pPr>
      <w:numPr>
        <w:numId w:val="16"/>
      </w:numPr>
      <w:tabs>
        <w:tab w:val="clear" w:pos="346"/>
        <w:tab w:val="num" w:pos="360"/>
      </w:tabs>
    </w:pPr>
    <w:rPr>
      <w:rFonts w:cs="Arial"/>
    </w:rPr>
  </w:style>
  <w:style w:type="paragraph" w:customStyle="1" w:styleId="TableList21">
    <w:name w:val="Table List 21"/>
    <w:basedOn w:val="Tablesideheadings"/>
    <w:rsid w:val="000D132C"/>
    <w:pPr>
      <w:numPr>
        <w:ilvl w:val="1"/>
        <w:numId w:val="16"/>
      </w:numPr>
      <w:ind w:left="620" w:hanging="130"/>
    </w:pPr>
    <w:rPr>
      <w:rFonts w:cs="Arial"/>
    </w:rPr>
  </w:style>
  <w:style w:type="paragraph" w:customStyle="1" w:styleId="TableList31">
    <w:name w:val="Table List 31"/>
    <w:basedOn w:val="Tablesideheadings"/>
    <w:rsid w:val="000D132C"/>
    <w:pPr>
      <w:numPr>
        <w:ilvl w:val="2"/>
        <w:numId w:val="16"/>
      </w:numPr>
    </w:pPr>
    <w:rPr>
      <w:rFonts w:cs="Arial"/>
    </w:rPr>
  </w:style>
  <w:style w:type="paragraph" w:customStyle="1" w:styleId="TableList41">
    <w:name w:val="Table List 41"/>
    <w:basedOn w:val="Tablesideheadings"/>
    <w:rsid w:val="000D132C"/>
    <w:pPr>
      <w:numPr>
        <w:ilvl w:val="3"/>
        <w:numId w:val="16"/>
      </w:numPr>
      <w:ind w:left="1268" w:hanging="130"/>
    </w:pPr>
    <w:rPr>
      <w:rFonts w:cs="Arial"/>
    </w:rPr>
  </w:style>
  <w:style w:type="paragraph" w:customStyle="1" w:styleId="Textboxbullet1">
    <w:name w:val="Text box bullet 1"/>
    <w:basedOn w:val="Textbox-body"/>
    <w:rsid w:val="000D132C"/>
    <w:pPr>
      <w:numPr>
        <w:numId w:val="17"/>
      </w:numPr>
      <w:tabs>
        <w:tab w:val="clear" w:pos="374"/>
      </w:tabs>
      <w:spacing w:after="0"/>
      <w:ind w:left="792" w:hanging="360"/>
    </w:pPr>
  </w:style>
  <w:style w:type="paragraph" w:customStyle="1" w:styleId="Textboxbullet2">
    <w:name w:val="Text box bullet 2"/>
    <w:basedOn w:val="Textbox-body"/>
    <w:rsid w:val="000D132C"/>
    <w:pPr>
      <w:numPr>
        <w:ilvl w:val="1"/>
        <w:numId w:val="17"/>
      </w:numPr>
      <w:tabs>
        <w:tab w:val="clear" w:pos="706"/>
        <w:tab w:val="num" w:pos="360"/>
      </w:tabs>
      <w:spacing w:before="10" w:after="0"/>
      <w:ind w:left="705" w:hanging="331"/>
    </w:pPr>
  </w:style>
  <w:style w:type="paragraph" w:customStyle="1" w:styleId="Textboxbullet3">
    <w:name w:val="Text box bullet 3"/>
    <w:basedOn w:val="Textbox-body"/>
    <w:rsid w:val="000D132C"/>
    <w:pPr>
      <w:numPr>
        <w:ilvl w:val="2"/>
        <w:numId w:val="17"/>
      </w:numPr>
      <w:tabs>
        <w:tab w:val="clear" w:pos="965"/>
        <w:tab w:val="num" w:pos="360"/>
      </w:tabs>
      <w:spacing w:after="0"/>
      <w:ind w:left="2592" w:hanging="360"/>
    </w:pPr>
  </w:style>
  <w:style w:type="paragraph" w:customStyle="1" w:styleId="Textboxbullet4">
    <w:name w:val="Text box bullet 4"/>
    <w:basedOn w:val="Textbox-body"/>
    <w:rsid w:val="000D132C"/>
    <w:pPr>
      <w:numPr>
        <w:ilvl w:val="3"/>
        <w:numId w:val="17"/>
      </w:numPr>
      <w:tabs>
        <w:tab w:val="clear" w:pos="1195"/>
        <w:tab w:val="num" w:pos="360"/>
      </w:tabs>
      <w:spacing w:before="10" w:after="0"/>
      <w:ind w:left="3312" w:hanging="360"/>
    </w:pPr>
  </w:style>
  <w:style w:type="paragraph" w:customStyle="1" w:styleId="Textboxbulletnumbered1">
    <w:name w:val="Text box bullet numbered 1"/>
    <w:basedOn w:val="Textbox-body"/>
    <w:rsid w:val="000D132C"/>
    <w:pPr>
      <w:numPr>
        <w:numId w:val="18"/>
      </w:numPr>
      <w:tabs>
        <w:tab w:val="clear" w:pos="518"/>
        <w:tab w:val="num" w:pos="720"/>
      </w:tabs>
      <w:spacing w:after="0"/>
      <w:ind w:left="519" w:hanging="130"/>
    </w:pPr>
  </w:style>
  <w:style w:type="paragraph" w:customStyle="1" w:styleId="Textboxbulletnumbered2">
    <w:name w:val="Text box bullet numbered 2"/>
    <w:basedOn w:val="Textbox-body"/>
    <w:rsid w:val="000D132C"/>
    <w:pPr>
      <w:numPr>
        <w:ilvl w:val="1"/>
        <w:numId w:val="18"/>
      </w:numPr>
      <w:tabs>
        <w:tab w:val="clear" w:pos="806"/>
        <w:tab w:val="num" w:pos="346"/>
      </w:tabs>
      <w:spacing w:after="0"/>
      <w:ind w:left="807" w:hanging="130"/>
    </w:pPr>
  </w:style>
  <w:style w:type="paragraph" w:customStyle="1" w:styleId="Textboxbulletnumbered3">
    <w:name w:val="Text box bullet numbered 3"/>
    <w:basedOn w:val="Textbox-body"/>
    <w:rsid w:val="000D132C"/>
    <w:pPr>
      <w:numPr>
        <w:ilvl w:val="2"/>
        <w:numId w:val="18"/>
      </w:numPr>
      <w:tabs>
        <w:tab w:val="clear" w:pos="1181"/>
        <w:tab w:val="num" w:pos="346"/>
      </w:tabs>
      <w:spacing w:after="0"/>
      <w:ind w:left="1080" w:hanging="360"/>
    </w:pPr>
  </w:style>
  <w:style w:type="paragraph" w:customStyle="1" w:styleId="Textboxbulletnumbered4">
    <w:name w:val="Text box bullet numbered 4"/>
    <w:basedOn w:val="Textbox-body"/>
    <w:rsid w:val="000D132C"/>
    <w:pPr>
      <w:numPr>
        <w:ilvl w:val="3"/>
        <w:numId w:val="18"/>
      </w:numPr>
      <w:tabs>
        <w:tab w:val="clear" w:pos="1584"/>
        <w:tab w:val="num" w:pos="346"/>
      </w:tabs>
      <w:spacing w:after="0"/>
      <w:ind w:left="1440" w:hanging="360"/>
    </w:pPr>
  </w:style>
  <w:style w:type="character" w:customStyle="1" w:styleId="Tablebullet1Char">
    <w:name w:val="Table bullet 1 Char"/>
    <w:basedOn w:val="DefaultParagraphFont"/>
    <w:link w:val="Tablebullet1"/>
    <w:rsid w:val="000D132C"/>
    <w:rPr>
      <w:rFonts w:ascii="Arial" w:eastAsia="Times New Roman" w:hAnsi="Arial" w:cs="Arial"/>
      <w:sz w:val="20"/>
      <w:szCs w:val="20"/>
    </w:rPr>
  </w:style>
  <w:style w:type="table" w:customStyle="1" w:styleId="LightList1">
    <w:name w:val="Light List1"/>
    <w:basedOn w:val="TableNormal"/>
    <w:uiPriority w:val="61"/>
    <w:locked/>
    <w:rsid w:val="000D132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semiHidden/>
    <w:unhideWhenUsed/>
    <w:rsid w:val="000D132C"/>
    <w:rPr>
      <w:color w:val="800080" w:themeColor="followedHyperlink"/>
      <w:u w:val="single"/>
    </w:rPr>
  </w:style>
  <w:style w:type="paragraph" w:customStyle="1" w:styleId="NormalItalic">
    <w:name w:val="Normal Italic"/>
    <w:basedOn w:val="Normal"/>
    <w:qFormat/>
    <w:rsid w:val="000D132C"/>
    <w:pPr>
      <w:spacing w:before="120" w:after="120"/>
    </w:pPr>
    <w:rPr>
      <w:rFonts w:eastAsia="Calibri"/>
      <w:i/>
    </w:rPr>
  </w:style>
  <w:style w:type="paragraph" w:customStyle="1" w:styleId="NormalItalics">
    <w:name w:val="Normal Italics"/>
    <w:basedOn w:val="Normal"/>
    <w:qFormat/>
    <w:rsid w:val="000D132C"/>
    <w:pPr>
      <w:spacing w:before="120" w:after="120"/>
    </w:pPr>
    <w:rPr>
      <w: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annotation text" w:uiPriority="0"/>
    <w:lsdException w:name="header" w:qFormat="1"/>
    <w:lsdException w:name="footer" w:uiPriority="0" w:qFormat="1"/>
    <w:lsdException w:name="caption" w:uiPriority="0" w:qFormat="1"/>
    <w:lsdException w:name="table of figures" w:locked="1" w:uiPriority="0"/>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1"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B6"/>
    <w:pPr>
      <w:spacing w:after="0"/>
    </w:pPr>
    <w:rPr>
      <w:rFonts w:eastAsia="Times New Roman" w:cs="Times New Roman"/>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qFormat/>
    <w:rsid w:val="00850F24"/>
    <w:pPr>
      <w:keepNext/>
      <w:framePr w:wrap="around" w:vAnchor="text" w:hAnchor="text" w:y="1"/>
      <w:numPr>
        <w:ilvl w:val="4"/>
        <w:numId w:val="9"/>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9"/>
      </w:numPr>
      <w:spacing w:after="120"/>
      <w:outlineLvl w:val="5"/>
    </w:pPr>
  </w:style>
  <w:style w:type="paragraph" w:styleId="Heading7">
    <w:name w:val="heading 7"/>
    <w:basedOn w:val="Normal"/>
    <w:next w:val="Normal"/>
    <w:link w:val="Heading7Char"/>
    <w:semiHidden/>
    <w:qFormat/>
    <w:rsid w:val="002B76AB"/>
    <w:pPr>
      <w:keepNext/>
      <w:numPr>
        <w:ilvl w:val="6"/>
        <w:numId w:val="9"/>
      </w:numPr>
      <w:spacing w:after="120"/>
      <w:outlineLvl w:val="6"/>
    </w:pPr>
  </w:style>
  <w:style w:type="paragraph" w:styleId="Heading8">
    <w:name w:val="heading 8"/>
    <w:basedOn w:val="Normal"/>
    <w:next w:val="Normal"/>
    <w:link w:val="Heading8Char"/>
    <w:semiHidden/>
    <w:qFormat/>
    <w:rsid w:val="002B76AB"/>
    <w:pPr>
      <w:keepNext/>
      <w:numPr>
        <w:ilvl w:val="7"/>
        <w:numId w:val="9"/>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9"/>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0">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0"/>
    <w:next w:val="NormalSS"/>
    <w:qFormat/>
    <w:rsid w:val="009A5B76"/>
    <w:pPr>
      <w:numPr>
        <w:numId w:val="2"/>
      </w:numPr>
      <w:spacing w:after="240"/>
      <w:ind w:left="432" w:hanging="432"/>
    </w:pPr>
  </w:style>
  <w:style w:type="paragraph" w:customStyle="1" w:styleId="BulletLastDS">
    <w:name w:val="Bullet (Last DS)"/>
    <w:basedOn w:val="Bullet0"/>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F41939"/>
    <w:pPr>
      <w:numPr>
        <w:numId w:val="4"/>
      </w:numPr>
      <w:tabs>
        <w:tab w:val="left" w:pos="288"/>
      </w:tabs>
      <w:spacing w:after="120"/>
      <w:ind w:left="720" w:hanging="288"/>
    </w:pPr>
  </w:style>
  <w:style w:type="paragraph" w:customStyle="1" w:styleId="DashLASTSS">
    <w:name w:val="Dash (LAST SS)"/>
    <w:basedOn w:val="Dash"/>
    <w:next w:val="NormalSS"/>
    <w:qFormat/>
    <w:rsid w:val="00F41939"/>
    <w:pPr>
      <w:numPr>
        <w:numId w:val="5"/>
      </w:numPr>
      <w:spacing w:after="240"/>
      <w:ind w:left="720" w:hanging="288"/>
    </w:pPr>
    <w:rPr>
      <w:rFonts w:cs="Arial"/>
      <w:color w:val="1A1818"/>
    </w:r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rsid w:val="00756E06"/>
    <w:rPr>
      <w:rFonts w:eastAsia="Times New Roman" w:cs="Times New Roman"/>
      <w:b/>
    </w:rPr>
  </w:style>
  <w:style w:type="character" w:customStyle="1" w:styleId="Heading6Char">
    <w:name w:val="Heading 6 Char"/>
    <w:basedOn w:val="DefaultParagraphFont"/>
    <w:link w:val="Heading6"/>
    <w:semiHidden/>
    <w:rsid w:val="002B76AB"/>
    <w:rPr>
      <w:rFonts w:eastAsia="Times New Roman" w:cs="Times New Roman"/>
    </w:rPr>
  </w:style>
  <w:style w:type="character" w:customStyle="1" w:styleId="Heading7Char">
    <w:name w:val="Heading 7 Char"/>
    <w:basedOn w:val="DefaultParagraphFont"/>
    <w:link w:val="Heading7"/>
    <w:semiHidden/>
    <w:rsid w:val="002B76AB"/>
    <w:rPr>
      <w:rFonts w:eastAsia="Times New Roman" w:cs="Times New Roman"/>
    </w:rPr>
  </w:style>
  <w:style w:type="character" w:customStyle="1" w:styleId="Heading8Char">
    <w:name w:val="Heading 8 Char"/>
    <w:basedOn w:val="DefaultParagraphFont"/>
    <w:link w:val="Heading8"/>
    <w:semiHidden/>
    <w:rsid w:val="002B76AB"/>
    <w:rPr>
      <w:rFonts w:eastAsia="Times New Roman" w:cs="Times New Roman"/>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DF5DC5"/>
    <w:pPr>
      <w:spacing w:after="240"/>
      <w:ind w:firstLine="432"/>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9141F0"/>
    <w:pPr>
      <w:spacing w:before="120" w:after="60"/>
    </w:pPr>
    <w:rPr>
      <w:b/>
      <w:bCs/>
      <w:color w:val="FFFFFF" w:themeColor="background1"/>
      <w:szCs w:val="22"/>
      <w:lang w:bidi="en-US"/>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qFormat/>
    <w:rsid w:val="00542061"/>
    <w:pPr>
      <w:tabs>
        <w:tab w:val="right" w:leader="dot" w:pos="9360"/>
      </w:tabs>
      <w:spacing w:after="180" w:line="240" w:lineRule="exact"/>
      <w:ind w:left="630" w:right="720" w:hanging="630"/>
    </w:pPr>
    <w:rPr>
      <w:rFonts w:ascii="Arial" w:eastAsia="Times New Roman" w:hAnsi="Arial" w:cs="Times New Roman"/>
      <w:caps/>
      <w:sz w:val="20"/>
      <w:szCs w:val="20"/>
    </w:rPr>
  </w:style>
  <w:style w:type="paragraph" w:styleId="TOC2">
    <w:name w:val="toc 2"/>
    <w:next w:val="Normal"/>
    <w:autoRedefine/>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link w:val="NormalSS"/>
    <w:locked/>
    <w:rsid w:val="00DF5DC5"/>
    <w:rPr>
      <w:rFonts w:eastAsia="Times New Roman" w:cs="Times New Roman"/>
    </w:rPr>
  </w:style>
  <w:style w:type="character" w:styleId="CommentReference">
    <w:name w:val="annotation reference"/>
    <w:basedOn w:val="DefaultParagraphFont"/>
    <w:rsid w:val="00DF5DC5"/>
    <w:rPr>
      <w:sz w:val="16"/>
      <w:szCs w:val="16"/>
    </w:rPr>
  </w:style>
  <w:style w:type="paragraph" w:styleId="CommentText">
    <w:name w:val="annotation text"/>
    <w:basedOn w:val="Normal"/>
    <w:link w:val="CommentTextChar"/>
    <w:rsid w:val="00DF5DC5"/>
    <w:rPr>
      <w:sz w:val="20"/>
      <w:szCs w:val="20"/>
    </w:rPr>
  </w:style>
  <w:style w:type="character" w:customStyle="1" w:styleId="CommentTextChar">
    <w:name w:val="Comment Text Char"/>
    <w:basedOn w:val="DefaultParagraphFont"/>
    <w:link w:val="CommentText"/>
    <w:rsid w:val="00DF5DC5"/>
    <w:rPr>
      <w:rFonts w:eastAsia="Times New Roman" w:cs="Times New Roman"/>
      <w:sz w:val="20"/>
      <w:szCs w:val="20"/>
    </w:rPr>
  </w:style>
  <w:style w:type="paragraph" w:styleId="NormalWeb">
    <w:name w:val="Normal (Web)"/>
    <w:basedOn w:val="Normal"/>
    <w:uiPriority w:val="99"/>
    <w:semiHidden/>
    <w:unhideWhenUsed/>
    <w:rsid w:val="00DF5DC5"/>
    <w:pPr>
      <w:spacing w:before="100" w:beforeAutospacing="1" w:after="100" w:afterAutospacing="1"/>
    </w:pPr>
    <w:rPr>
      <w:color w:val="000000"/>
    </w:rPr>
  </w:style>
  <w:style w:type="character" w:styleId="Emphasis">
    <w:name w:val="Emphasis"/>
    <w:basedOn w:val="DefaultParagraphFont"/>
    <w:uiPriority w:val="20"/>
    <w:qFormat/>
    <w:rsid w:val="00DF5DC5"/>
    <w:rPr>
      <w:i/>
      <w:iCs/>
    </w:rPr>
  </w:style>
  <w:style w:type="paragraph" w:customStyle="1" w:styleId="Heading1Black">
    <w:name w:val="Heading 1_Black"/>
    <w:basedOn w:val="Normal"/>
    <w:next w:val="Normal"/>
    <w:qFormat/>
    <w:rsid w:val="00DF5DC5"/>
    <w:pPr>
      <w:tabs>
        <w:tab w:val="left" w:pos="432"/>
      </w:tabs>
      <w:spacing w:before="240" w:after="240"/>
      <w:jc w:val="center"/>
    </w:pPr>
    <w:rPr>
      <w:rFonts w:ascii="Lucida Sans" w:hAnsi="Lucida Sans"/>
      <w:b/>
      <w:caps/>
    </w:rPr>
  </w:style>
  <w:style w:type="paragraph" w:styleId="CommentSubject">
    <w:name w:val="annotation subject"/>
    <w:basedOn w:val="CommentText"/>
    <w:next w:val="CommentText"/>
    <w:link w:val="CommentSubjectChar"/>
    <w:semiHidden/>
    <w:unhideWhenUsed/>
    <w:rsid w:val="00CA2595"/>
    <w:rPr>
      <w:b/>
      <w:bCs/>
    </w:rPr>
  </w:style>
  <w:style w:type="character" w:customStyle="1" w:styleId="CommentSubjectChar">
    <w:name w:val="Comment Subject Char"/>
    <w:basedOn w:val="CommentTextChar"/>
    <w:link w:val="CommentSubject"/>
    <w:semiHidden/>
    <w:rsid w:val="00CA2595"/>
    <w:rPr>
      <w:rFonts w:eastAsia="Times New Roman" w:cs="Times New Roman"/>
      <w:b/>
      <w:bCs/>
      <w:sz w:val="20"/>
      <w:szCs w:val="20"/>
    </w:rPr>
  </w:style>
  <w:style w:type="paragraph" w:customStyle="1" w:styleId="covertitle">
    <w:name w:val="cover title"/>
    <w:basedOn w:val="Normal"/>
    <w:qFormat/>
    <w:rsid w:val="001969A3"/>
    <w:pPr>
      <w:pBdr>
        <w:top w:val="single" w:sz="4" w:space="5" w:color="auto"/>
        <w:bottom w:val="single" w:sz="4" w:space="5" w:color="auto"/>
      </w:pBdr>
      <w:spacing w:after="184" w:line="440" w:lineRule="exact"/>
    </w:pPr>
    <w:rPr>
      <w:rFonts w:ascii="Arial Black" w:hAnsi="Arial Black"/>
      <w:noProof/>
      <w:color w:val="E70033"/>
      <w:sz w:val="37"/>
      <w:szCs w:val="26"/>
    </w:rPr>
  </w:style>
  <w:style w:type="paragraph" w:customStyle="1" w:styleId="coverallcaps">
    <w:name w:val="cover all caps"/>
    <w:basedOn w:val="Normal"/>
    <w:qFormat/>
    <w:rsid w:val="001969A3"/>
    <w:pPr>
      <w:spacing w:line="560" w:lineRule="exact"/>
    </w:pPr>
    <w:rPr>
      <w:rFonts w:ascii="Arial" w:hAnsi="Arial"/>
      <w:caps/>
      <w:spacing w:val="28"/>
      <w:sz w:val="17"/>
      <w:szCs w:val="26"/>
    </w:rPr>
  </w:style>
  <w:style w:type="paragraph" w:customStyle="1" w:styleId="coverdate">
    <w:name w:val="cover date"/>
    <w:qFormat/>
    <w:rsid w:val="001969A3"/>
    <w:pPr>
      <w:spacing w:after="0" w:line="440" w:lineRule="exact"/>
    </w:pPr>
    <w:rPr>
      <w:rFonts w:ascii="Arial" w:eastAsia="Times New Roman" w:hAnsi="Arial" w:cs="Times New Roman"/>
      <w:sz w:val="34"/>
      <w:szCs w:val="26"/>
    </w:rPr>
  </w:style>
  <w:style w:type="paragraph" w:customStyle="1" w:styleId="covertext">
    <w:name w:val="cover text"/>
    <w:qFormat/>
    <w:rsid w:val="001969A3"/>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1969A3"/>
    <w:pPr>
      <w:pBdr>
        <w:bottom w:val="single" w:sz="2" w:space="1" w:color="auto"/>
      </w:pBdr>
      <w:spacing w:line="240" w:lineRule="auto"/>
    </w:pPr>
  </w:style>
  <w:style w:type="paragraph" w:customStyle="1" w:styleId="reportcovername">
    <w:name w:val="report cover name"/>
    <w:basedOn w:val="covertext"/>
    <w:qFormat/>
    <w:rsid w:val="001969A3"/>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1969A3"/>
    <w:rPr>
      <w:rFonts w:ascii="Arial Black" w:hAnsi="Arial Black"/>
      <w:noProof/>
      <w:sz w:val="16"/>
      <w:szCs w:val="19"/>
    </w:rPr>
  </w:style>
  <w:style w:type="paragraph" w:customStyle="1" w:styleId="backcovercities">
    <w:name w:val="back cover cities"/>
    <w:basedOn w:val="Normal"/>
    <w:qFormat/>
    <w:rsid w:val="00B97274"/>
    <w:rPr>
      <w:rFonts w:ascii="Arial Black" w:hAnsi="Arial Black"/>
      <w:caps/>
      <w:noProof/>
      <w:spacing w:val="-3"/>
      <w:sz w:val="14"/>
      <w:szCs w:val="19"/>
    </w:rPr>
  </w:style>
  <w:style w:type="paragraph" w:customStyle="1" w:styleId="backcovertitle">
    <w:name w:val="back cover title"/>
    <w:basedOn w:val="Normal"/>
    <w:qFormat/>
    <w:rsid w:val="00B97274"/>
    <w:pPr>
      <w:pBdr>
        <w:top w:val="single" w:sz="4" w:space="5" w:color="auto"/>
        <w:bottom w:val="single" w:sz="4" w:space="5" w:color="auto"/>
      </w:pBdr>
      <w:spacing w:after="184" w:line="280" w:lineRule="exact"/>
      <w:outlineLvl w:val="0"/>
    </w:pPr>
    <w:rPr>
      <w:rFonts w:ascii="Arial Black" w:hAnsi="Arial Black"/>
      <w:noProof/>
      <w:color w:val="E70033"/>
      <w:szCs w:val="26"/>
    </w:rPr>
  </w:style>
  <w:style w:type="paragraph" w:styleId="Revision">
    <w:name w:val="Revision"/>
    <w:hidden/>
    <w:uiPriority w:val="99"/>
    <w:semiHidden/>
    <w:rsid w:val="00F14FA1"/>
    <w:pPr>
      <w:spacing w:after="0"/>
    </w:pPr>
    <w:rPr>
      <w:rFonts w:eastAsia="Times New Roman" w:cs="Times New Roman"/>
    </w:rPr>
  </w:style>
  <w:style w:type="character" w:styleId="Hyperlink">
    <w:name w:val="Hyperlink"/>
    <w:basedOn w:val="DefaultParagraphFont"/>
    <w:unhideWhenUsed/>
    <w:rsid w:val="00F14FA1"/>
    <w:rPr>
      <w:color w:val="0000FF" w:themeColor="hyperlink"/>
      <w:u w:val="single"/>
    </w:rPr>
  </w:style>
  <w:style w:type="paragraph" w:customStyle="1" w:styleId="bullet">
    <w:name w:val="bullet"/>
    <w:rsid w:val="000D132C"/>
    <w:pPr>
      <w:numPr>
        <w:numId w:val="12"/>
      </w:numPr>
      <w:spacing w:after="180"/>
      <w:ind w:left="720" w:right="360" w:hanging="288"/>
      <w:jc w:val="both"/>
    </w:pPr>
    <w:rPr>
      <w:rFonts w:eastAsia="Times New Roman" w:cs="Times New Roman"/>
      <w:szCs w:val="20"/>
    </w:rPr>
  </w:style>
  <w:style w:type="paragraph" w:customStyle="1" w:styleId="Tablesideheadings">
    <w:name w:val="Table side headings"/>
    <w:basedOn w:val="Normal"/>
    <w:link w:val="TablesideheadingsChar"/>
    <w:rsid w:val="000D132C"/>
    <w:pPr>
      <w:spacing w:before="60" w:after="60"/>
    </w:pPr>
    <w:rPr>
      <w:rFonts w:ascii="Arial" w:hAnsi="Arial"/>
      <w:sz w:val="20"/>
      <w:szCs w:val="20"/>
    </w:rPr>
  </w:style>
  <w:style w:type="paragraph" w:customStyle="1" w:styleId="Tabletopheadings">
    <w:name w:val="Table top headings"/>
    <w:basedOn w:val="Normal"/>
    <w:rsid w:val="000D132C"/>
    <w:pPr>
      <w:pBdr>
        <w:bottom w:val="single" w:sz="12" w:space="1" w:color="auto"/>
      </w:pBdr>
      <w:spacing w:before="120"/>
      <w:jc w:val="center"/>
    </w:pPr>
    <w:rPr>
      <w:rFonts w:ascii="Arial" w:hAnsi="Arial" w:cs="Arial"/>
      <w:b/>
      <w:sz w:val="20"/>
      <w:szCs w:val="20"/>
    </w:rPr>
  </w:style>
  <w:style w:type="character" w:customStyle="1" w:styleId="TablesideheadingsChar">
    <w:name w:val="Table side headings Char"/>
    <w:link w:val="Tablesideheadings"/>
    <w:rsid w:val="000D132C"/>
    <w:rPr>
      <w:rFonts w:ascii="Arial" w:eastAsia="Times New Roman" w:hAnsi="Arial" w:cs="Times New Roman"/>
      <w:sz w:val="20"/>
      <w:szCs w:val="20"/>
    </w:rPr>
  </w:style>
  <w:style w:type="paragraph" w:styleId="Caption">
    <w:name w:val="caption"/>
    <w:basedOn w:val="Normal"/>
    <w:next w:val="Normal"/>
    <w:qFormat/>
    <w:rsid w:val="000D132C"/>
    <w:pPr>
      <w:keepNext/>
      <w:keepLines/>
      <w:spacing w:before="180" w:after="120"/>
      <w:jc w:val="center"/>
    </w:pPr>
    <w:rPr>
      <w:rFonts w:ascii="Arial" w:hAnsi="Arial" w:cs="Arial"/>
      <w:b/>
      <w:sz w:val="22"/>
      <w:szCs w:val="22"/>
    </w:rPr>
  </w:style>
  <w:style w:type="paragraph" w:customStyle="1" w:styleId="Bullet3">
    <w:name w:val="Bullet 3"/>
    <w:basedOn w:val="Normal"/>
    <w:qFormat/>
    <w:rsid w:val="000D132C"/>
    <w:pPr>
      <w:numPr>
        <w:ilvl w:val="2"/>
        <w:numId w:val="13"/>
      </w:numPr>
      <w:spacing w:after="120"/>
      <w:ind w:right="1440"/>
    </w:pPr>
    <w:rPr>
      <w:position w:val="2"/>
    </w:rPr>
  </w:style>
  <w:style w:type="paragraph" w:customStyle="1" w:styleId="Bullet4">
    <w:name w:val="Bullet 4"/>
    <w:basedOn w:val="Normal"/>
    <w:rsid w:val="000D132C"/>
    <w:pPr>
      <w:numPr>
        <w:ilvl w:val="3"/>
        <w:numId w:val="13"/>
      </w:numPr>
      <w:spacing w:after="120"/>
      <w:ind w:right="1440"/>
    </w:pPr>
    <w:rPr>
      <w:position w:val="8"/>
    </w:rPr>
  </w:style>
  <w:style w:type="paragraph" w:customStyle="1" w:styleId="bulletnumbered1">
    <w:name w:val="bullet numbered 1"/>
    <w:basedOn w:val="bullet1"/>
    <w:rsid w:val="000D132C"/>
    <w:pPr>
      <w:numPr>
        <w:numId w:val="14"/>
      </w:numPr>
      <w:tabs>
        <w:tab w:val="clear" w:pos="720"/>
      </w:tabs>
      <w:spacing w:before="120"/>
      <w:ind w:hanging="360"/>
    </w:pPr>
  </w:style>
  <w:style w:type="paragraph" w:customStyle="1" w:styleId="bulletnumbered2">
    <w:name w:val="bullet numbered 2"/>
    <w:basedOn w:val="bullet1"/>
    <w:rsid w:val="000D132C"/>
    <w:pPr>
      <w:numPr>
        <w:ilvl w:val="1"/>
        <w:numId w:val="14"/>
      </w:numPr>
      <w:tabs>
        <w:tab w:val="clear" w:pos="1080"/>
      </w:tabs>
      <w:ind w:left="1440" w:right="1440" w:hanging="360"/>
    </w:pPr>
  </w:style>
  <w:style w:type="paragraph" w:customStyle="1" w:styleId="bullet2">
    <w:name w:val="bullet 2"/>
    <w:basedOn w:val="Normal"/>
    <w:qFormat/>
    <w:rsid w:val="000D132C"/>
    <w:pPr>
      <w:numPr>
        <w:ilvl w:val="1"/>
        <w:numId w:val="13"/>
      </w:numPr>
      <w:spacing w:after="120"/>
      <w:ind w:right="1440"/>
    </w:pPr>
    <w:rPr>
      <w:position w:val="6"/>
    </w:rPr>
  </w:style>
  <w:style w:type="paragraph" w:customStyle="1" w:styleId="bullet1">
    <w:name w:val="bullet 1"/>
    <w:link w:val="bullet1Char"/>
    <w:qFormat/>
    <w:rsid w:val="000D132C"/>
    <w:pPr>
      <w:numPr>
        <w:numId w:val="13"/>
      </w:numPr>
      <w:spacing w:after="120"/>
      <w:ind w:right="720"/>
    </w:pPr>
    <w:rPr>
      <w:rFonts w:eastAsia="Times New Roman" w:cs="Times New Roman"/>
      <w:szCs w:val="20"/>
    </w:rPr>
  </w:style>
  <w:style w:type="character" w:customStyle="1" w:styleId="bullet1Char">
    <w:name w:val="bullet 1 Char"/>
    <w:basedOn w:val="DefaultParagraphFont"/>
    <w:link w:val="bullet1"/>
    <w:rsid w:val="000D132C"/>
    <w:rPr>
      <w:rFonts w:eastAsia="Times New Roman" w:cs="Times New Roman"/>
      <w:szCs w:val="20"/>
    </w:rPr>
  </w:style>
  <w:style w:type="paragraph" w:customStyle="1" w:styleId="bulletnumbered3">
    <w:name w:val="bullet numbered 3"/>
    <w:basedOn w:val="bullet1"/>
    <w:rsid w:val="000D132C"/>
    <w:pPr>
      <w:numPr>
        <w:ilvl w:val="2"/>
        <w:numId w:val="14"/>
      </w:numPr>
      <w:tabs>
        <w:tab w:val="clear" w:pos="1570"/>
      </w:tabs>
      <w:ind w:left="2160" w:right="1440" w:hanging="360"/>
    </w:pPr>
    <w:rPr>
      <w:szCs w:val="24"/>
    </w:rPr>
  </w:style>
  <w:style w:type="paragraph" w:customStyle="1" w:styleId="bulletnumbered4">
    <w:name w:val="bullet numbered 4"/>
    <w:basedOn w:val="bullet1"/>
    <w:rsid w:val="000D132C"/>
    <w:pPr>
      <w:numPr>
        <w:ilvl w:val="3"/>
        <w:numId w:val="14"/>
      </w:numPr>
      <w:tabs>
        <w:tab w:val="clear" w:pos="2002"/>
      </w:tabs>
      <w:ind w:left="2880" w:right="1440" w:hanging="360"/>
    </w:pPr>
    <w:rPr>
      <w:szCs w:val="24"/>
    </w:rPr>
  </w:style>
  <w:style w:type="paragraph" w:customStyle="1" w:styleId="Tablebullet1">
    <w:name w:val="Table bullet 1"/>
    <w:basedOn w:val="Normal"/>
    <w:link w:val="Tablebullet1Char"/>
    <w:rsid w:val="000D132C"/>
    <w:pPr>
      <w:numPr>
        <w:numId w:val="15"/>
      </w:numPr>
      <w:spacing w:before="60" w:after="60"/>
      <w:ind w:left="201" w:hanging="259"/>
    </w:pPr>
    <w:rPr>
      <w:rFonts w:ascii="Arial" w:hAnsi="Arial" w:cs="Arial"/>
      <w:sz w:val="20"/>
      <w:szCs w:val="20"/>
    </w:rPr>
  </w:style>
  <w:style w:type="paragraph" w:customStyle="1" w:styleId="Tablebullet2">
    <w:name w:val="Table bullet 2"/>
    <w:basedOn w:val="Normal"/>
    <w:rsid w:val="000D132C"/>
    <w:pPr>
      <w:numPr>
        <w:ilvl w:val="1"/>
        <w:numId w:val="15"/>
      </w:numPr>
      <w:spacing w:before="40" w:after="30"/>
    </w:pPr>
    <w:rPr>
      <w:rFonts w:ascii="Arial" w:hAnsi="Arial" w:cs="Arial"/>
      <w:position w:val="6"/>
      <w:sz w:val="20"/>
      <w:szCs w:val="20"/>
    </w:rPr>
  </w:style>
  <w:style w:type="paragraph" w:customStyle="1" w:styleId="Tablebullet3">
    <w:name w:val="Table bullet 3"/>
    <w:basedOn w:val="Normal"/>
    <w:rsid w:val="000D132C"/>
    <w:pPr>
      <w:numPr>
        <w:ilvl w:val="2"/>
        <w:numId w:val="15"/>
      </w:numPr>
      <w:spacing w:before="60" w:after="60"/>
      <w:ind w:left="692" w:hanging="202"/>
    </w:pPr>
    <w:rPr>
      <w:rFonts w:ascii="Arial" w:hAnsi="Arial" w:cs="Arial"/>
      <w:position w:val="2"/>
      <w:sz w:val="20"/>
      <w:szCs w:val="20"/>
    </w:rPr>
  </w:style>
  <w:style w:type="paragraph" w:customStyle="1" w:styleId="Tablebullet4">
    <w:name w:val="Table bullet 4"/>
    <w:basedOn w:val="Normal"/>
    <w:rsid w:val="000D132C"/>
    <w:pPr>
      <w:numPr>
        <w:ilvl w:val="3"/>
        <w:numId w:val="15"/>
      </w:numPr>
      <w:spacing w:before="20" w:after="40"/>
    </w:pPr>
    <w:rPr>
      <w:rFonts w:ascii="Arial" w:hAnsi="Arial" w:cs="Arial"/>
      <w:position w:val="8"/>
      <w:sz w:val="20"/>
      <w:szCs w:val="20"/>
    </w:rPr>
  </w:style>
  <w:style w:type="table" w:styleId="TableGrid1">
    <w:name w:val="Table Grid 1"/>
    <w:basedOn w:val="TableNormal"/>
    <w:rsid w:val="000D132C"/>
    <w:pPr>
      <w:spacing w:before="120" w:after="120" w:line="300" w:lineRule="auto"/>
    </w:pPr>
    <w:rPr>
      <w:rFonts w:eastAsia="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extbox-bodyChar">
    <w:name w:val="Text box - body Char"/>
    <w:basedOn w:val="DefaultParagraphFont"/>
    <w:link w:val="Textbox-body"/>
    <w:rsid w:val="000D132C"/>
    <w:rPr>
      <w:rFonts w:ascii="Arial" w:hAnsi="Arial" w:cs="Arial"/>
      <w:sz w:val="22"/>
      <w:szCs w:val="22"/>
    </w:rPr>
  </w:style>
  <w:style w:type="paragraph" w:customStyle="1" w:styleId="Header-oddpage">
    <w:name w:val="Header - odd page"/>
    <w:basedOn w:val="Normal"/>
    <w:rsid w:val="000D132C"/>
    <w:pPr>
      <w:pBdr>
        <w:bottom w:val="single" w:sz="4" w:space="1" w:color="auto"/>
      </w:pBdr>
      <w:spacing w:line="276" w:lineRule="auto"/>
      <w:jc w:val="right"/>
    </w:pPr>
    <w:rPr>
      <w:rFonts w:ascii="Arial" w:hAnsi="Arial" w:cs="Arial"/>
      <w:i/>
      <w:snapToGrid w:val="0"/>
      <w:sz w:val="18"/>
      <w:szCs w:val="18"/>
    </w:rPr>
  </w:style>
  <w:style w:type="paragraph" w:customStyle="1" w:styleId="Header-filepath">
    <w:name w:val="Header - filepath"/>
    <w:basedOn w:val="Normal"/>
    <w:rsid w:val="000D132C"/>
    <w:pPr>
      <w:tabs>
        <w:tab w:val="right" w:pos="9360"/>
      </w:tabs>
      <w:spacing w:line="276" w:lineRule="auto"/>
    </w:pPr>
    <w:rPr>
      <w:rFonts w:ascii="Arial" w:hAnsi="Arial" w:cs="Arial"/>
      <w:snapToGrid w:val="0"/>
      <w:sz w:val="18"/>
      <w:szCs w:val="18"/>
    </w:rPr>
  </w:style>
  <w:style w:type="paragraph" w:customStyle="1" w:styleId="Header-evenpage">
    <w:name w:val="Header - even page"/>
    <w:basedOn w:val="Normal"/>
    <w:rsid w:val="000D132C"/>
    <w:pPr>
      <w:pBdr>
        <w:bottom w:val="single" w:sz="4" w:space="1" w:color="auto"/>
      </w:pBdr>
      <w:spacing w:line="276" w:lineRule="auto"/>
    </w:pPr>
    <w:rPr>
      <w:rFonts w:ascii="Arial" w:hAnsi="Arial" w:cs="Arial"/>
      <w:i/>
      <w:snapToGrid w:val="0"/>
      <w:sz w:val="18"/>
      <w:szCs w:val="18"/>
    </w:rPr>
  </w:style>
  <w:style w:type="paragraph" w:customStyle="1" w:styleId="Textbox-body">
    <w:name w:val="Text box - body"/>
    <w:basedOn w:val="Normal"/>
    <w:link w:val="Textbox-bodyChar"/>
    <w:rsid w:val="000D132C"/>
    <w:pPr>
      <w:spacing w:before="120" w:after="60"/>
      <w:ind w:left="115" w:right="115"/>
    </w:pPr>
    <w:rPr>
      <w:rFonts w:ascii="Arial" w:eastAsiaTheme="minorEastAsia" w:hAnsi="Arial" w:cs="Arial"/>
      <w:sz w:val="22"/>
      <w:szCs w:val="22"/>
    </w:rPr>
  </w:style>
  <w:style w:type="paragraph" w:styleId="Quote">
    <w:name w:val="Quote"/>
    <w:basedOn w:val="Normal"/>
    <w:link w:val="QuoteChar"/>
    <w:qFormat/>
    <w:rsid w:val="000D132C"/>
    <w:pPr>
      <w:spacing w:after="60"/>
      <w:ind w:left="720" w:right="1440"/>
    </w:pPr>
    <w:rPr>
      <w:i/>
      <w:szCs w:val="20"/>
    </w:rPr>
  </w:style>
  <w:style w:type="character" w:customStyle="1" w:styleId="QuoteChar">
    <w:name w:val="Quote Char"/>
    <w:basedOn w:val="DefaultParagraphFont"/>
    <w:link w:val="Quote"/>
    <w:rsid w:val="000D132C"/>
    <w:rPr>
      <w:rFonts w:eastAsia="Times New Roman" w:cs="Times New Roman"/>
      <w:i/>
      <w:szCs w:val="20"/>
    </w:rPr>
  </w:style>
  <w:style w:type="paragraph" w:customStyle="1" w:styleId="Tablenumbers">
    <w:name w:val="Table numbers"/>
    <w:basedOn w:val="Normal"/>
    <w:rsid w:val="000D132C"/>
    <w:pPr>
      <w:tabs>
        <w:tab w:val="decimal" w:pos="855"/>
      </w:tabs>
      <w:spacing w:before="60" w:after="60"/>
    </w:pPr>
    <w:rPr>
      <w:rFonts w:ascii="Arial" w:hAnsi="Arial" w:cs="Arial"/>
      <w:sz w:val="20"/>
      <w:szCs w:val="20"/>
    </w:rPr>
  </w:style>
  <w:style w:type="paragraph" w:customStyle="1" w:styleId="FootnoteText-2ndparagraph">
    <w:name w:val="Footnote Text - 2nd paragraph"/>
    <w:basedOn w:val="FootnoteText"/>
    <w:rsid w:val="000D132C"/>
    <w:pPr>
      <w:spacing w:before="100" w:after="0"/>
      <w:ind w:leftChars="120" w:left="120"/>
    </w:pPr>
    <w:rPr>
      <w:szCs w:val="20"/>
    </w:rPr>
  </w:style>
  <w:style w:type="paragraph" w:customStyle="1" w:styleId="Textbox-caption">
    <w:name w:val="Text box - caption"/>
    <w:basedOn w:val="Normal"/>
    <w:next w:val="Textbox-body"/>
    <w:rsid w:val="000D132C"/>
    <w:pPr>
      <w:spacing w:before="120" w:after="120"/>
      <w:ind w:left="115" w:right="115"/>
      <w:jc w:val="center"/>
    </w:pPr>
    <w:rPr>
      <w:rFonts w:ascii="Arial" w:hAnsi="Arial" w:cs="Arial"/>
      <w:b/>
      <w:sz w:val="22"/>
      <w:szCs w:val="22"/>
    </w:rPr>
  </w:style>
  <w:style w:type="paragraph" w:customStyle="1" w:styleId="Contents">
    <w:name w:val="Contents"/>
    <w:basedOn w:val="Heading1"/>
    <w:next w:val="Normal"/>
    <w:rsid w:val="000D132C"/>
    <w:pPr>
      <w:keepLines/>
      <w:pageBreakBefore/>
      <w:pBdr>
        <w:bottom w:val="thickThinSmallGap" w:sz="18" w:space="6" w:color="auto"/>
      </w:pBdr>
      <w:tabs>
        <w:tab w:val="clear" w:pos="432"/>
        <w:tab w:val="left" w:pos="706"/>
      </w:tabs>
      <w:spacing w:before="0" w:after="600"/>
    </w:pPr>
    <w:rPr>
      <w:rFonts w:ascii="Arial" w:hAnsi="Arial" w:cs="Arial"/>
      <w:b/>
      <w:sz w:val="32"/>
      <w:szCs w:val="32"/>
    </w:rPr>
  </w:style>
  <w:style w:type="paragraph" w:customStyle="1" w:styleId="SidebarTextbox">
    <w:name w:val="Sidebar Text box"/>
    <w:basedOn w:val="Textbox-body"/>
    <w:semiHidden/>
    <w:rsid w:val="000D132C"/>
    <w:pPr>
      <w:framePr w:wrap="around" w:hAnchor="text" w:y="7057"/>
    </w:pPr>
    <w:rPr>
      <w:i/>
    </w:rPr>
  </w:style>
  <w:style w:type="paragraph" w:customStyle="1" w:styleId="tableindentsideheading">
    <w:name w:val="table indent side heading"/>
    <w:basedOn w:val="Tablesideheadings"/>
    <w:rsid w:val="000D132C"/>
    <w:pPr>
      <w:ind w:left="216"/>
    </w:pPr>
    <w:rPr>
      <w:rFonts w:cs="Arial"/>
    </w:rPr>
  </w:style>
  <w:style w:type="paragraph" w:customStyle="1" w:styleId="tabledoubleindentsideheading">
    <w:name w:val="table double indent side heading"/>
    <w:basedOn w:val="tableindentsideheading"/>
    <w:rsid w:val="000D132C"/>
    <w:pPr>
      <w:ind w:left="432"/>
    </w:pPr>
  </w:style>
  <w:style w:type="paragraph" w:customStyle="1" w:styleId="insertexhibitstyle">
    <w:name w:val="[insert exhibit style]"/>
    <w:basedOn w:val="Caption"/>
    <w:next w:val="Normal"/>
    <w:semiHidden/>
    <w:rsid w:val="000D132C"/>
    <w:pPr>
      <w:spacing w:after="240"/>
    </w:pPr>
    <w:rPr>
      <w:b w:val="0"/>
    </w:rPr>
  </w:style>
  <w:style w:type="paragraph" w:customStyle="1" w:styleId="Source">
    <w:name w:val="Source"/>
    <w:basedOn w:val="BodyText"/>
    <w:rsid w:val="000D132C"/>
    <w:pPr>
      <w:tabs>
        <w:tab w:val="left" w:pos="639"/>
      </w:tabs>
      <w:spacing w:before="60" w:after="60" w:line="240" w:lineRule="auto"/>
    </w:pPr>
    <w:rPr>
      <w:rFonts w:ascii="Arial" w:hAnsi="Arial" w:cs="Arial"/>
      <w:i/>
      <w:sz w:val="16"/>
      <w:szCs w:val="16"/>
    </w:rPr>
  </w:style>
  <w:style w:type="paragraph" w:styleId="BodyText">
    <w:name w:val="Body Text"/>
    <w:basedOn w:val="Normal"/>
    <w:link w:val="BodyTextChar"/>
    <w:rsid w:val="000D132C"/>
    <w:pPr>
      <w:spacing w:before="120" w:after="120" w:line="300" w:lineRule="auto"/>
    </w:pPr>
    <w:rPr>
      <w:szCs w:val="20"/>
    </w:rPr>
  </w:style>
  <w:style w:type="character" w:customStyle="1" w:styleId="BodyTextChar">
    <w:name w:val="Body Text Char"/>
    <w:basedOn w:val="DefaultParagraphFont"/>
    <w:link w:val="BodyText"/>
    <w:rsid w:val="000D132C"/>
    <w:rPr>
      <w:rFonts w:eastAsia="Times New Roman" w:cs="Times New Roman"/>
      <w:szCs w:val="20"/>
    </w:rPr>
  </w:style>
  <w:style w:type="paragraph" w:customStyle="1" w:styleId="TableList11">
    <w:name w:val="Table List 11"/>
    <w:basedOn w:val="Tablesideheadings"/>
    <w:rsid w:val="000D132C"/>
    <w:pPr>
      <w:numPr>
        <w:numId w:val="16"/>
      </w:numPr>
      <w:tabs>
        <w:tab w:val="clear" w:pos="346"/>
        <w:tab w:val="num" w:pos="360"/>
      </w:tabs>
    </w:pPr>
    <w:rPr>
      <w:rFonts w:cs="Arial"/>
    </w:rPr>
  </w:style>
  <w:style w:type="paragraph" w:customStyle="1" w:styleId="TableList21">
    <w:name w:val="Table List 21"/>
    <w:basedOn w:val="Tablesideheadings"/>
    <w:rsid w:val="000D132C"/>
    <w:pPr>
      <w:numPr>
        <w:ilvl w:val="1"/>
        <w:numId w:val="16"/>
      </w:numPr>
      <w:ind w:left="620" w:hanging="130"/>
    </w:pPr>
    <w:rPr>
      <w:rFonts w:cs="Arial"/>
    </w:rPr>
  </w:style>
  <w:style w:type="paragraph" w:customStyle="1" w:styleId="TableList31">
    <w:name w:val="Table List 31"/>
    <w:basedOn w:val="Tablesideheadings"/>
    <w:rsid w:val="000D132C"/>
    <w:pPr>
      <w:numPr>
        <w:ilvl w:val="2"/>
        <w:numId w:val="16"/>
      </w:numPr>
    </w:pPr>
    <w:rPr>
      <w:rFonts w:cs="Arial"/>
    </w:rPr>
  </w:style>
  <w:style w:type="paragraph" w:customStyle="1" w:styleId="TableList41">
    <w:name w:val="Table List 41"/>
    <w:basedOn w:val="Tablesideheadings"/>
    <w:rsid w:val="000D132C"/>
    <w:pPr>
      <w:numPr>
        <w:ilvl w:val="3"/>
        <w:numId w:val="16"/>
      </w:numPr>
      <w:ind w:left="1268" w:hanging="130"/>
    </w:pPr>
    <w:rPr>
      <w:rFonts w:cs="Arial"/>
    </w:rPr>
  </w:style>
  <w:style w:type="paragraph" w:customStyle="1" w:styleId="Textboxbullet1">
    <w:name w:val="Text box bullet 1"/>
    <w:basedOn w:val="Textbox-body"/>
    <w:rsid w:val="000D132C"/>
    <w:pPr>
      <w:numPr>
        <w:numId w:val="17"/>
      </w:numPr>
      <w:tabs>
        <w:tab w:val="clear" w:pos="374"/>
      </w:tabs>
      <w:spacing w:after="0"/>
      <w:ind w:left="792" w:hanging="360"/>
    </w:pPr>
  </w:style>
  <w:style w:type="paragraph" w:customStyle="1" w:styleId="Textboxbullet2">
    <w:name w:val="Text box bullet 2"/>
    <w:basedOn w:val="Textbox-body"/>
    <w:rsid w:val="000D132C"/>
    <w:pPr>
      <w:numPr>
        <w:ilvl w:val="1"/>
        <w:numId w:val="17"/>
      </w:numPr>
      <w:tabs>
        <w:tab w:val="clear" w:pos="706"/>
        <w:tab w:val="num" w:pos="360"/>
      </w:tabs>
      <w:spacing w:before="10" w:after="0"/>
      <w:ind w:left="705" w:hanging="331"/>
    </w:pPr>
  </w:style>
  <w:style w:type="paragraph" w:customStyle="1" w:styleId="Textboxbullet3">
    <w:name w:val="Text box bullet 3"/>
    <w:basedOn w:val="Textbox-body"/>
    <w:rsid w:val="000D132C"/>
    <w:pPr>
      <w:numPr>
        <w:ilvl w:val="2"/>
        <w:numId w:val="17"/>
      </w:numPr>
      <w:tabs>
        <w:tab w:val="clear" w:pos="965"/>
        <w:tab w:val="num" w:pos="360"/>
      </w:tabs>
      <w:spacing w:after="0"/>
      <w:ind w:left="2592" w:hanging="360"/>
    </w:pPr>
  </w:style>
  <w:style w:type="paragraph" w:customStyle="1" w:styleId="Textboxbullet4">
    <w:name w:val="Text box bullet 4"/>
    <w:basedOn w:val="Textbox-body"/>
    <w:rsid w:val="000D132C"/>
    <w:pPr>
      <w:numPr>
        <w:ilvl w:val="3"/>
        <w:numId w:val="17"/>
      </w:numPr>
      <w:tabs>
        <w:tab w:val="clear" w:pos="1195"/>
        <w:tab w:val="num" w:pos="360"/>
      </w:tabs>
      <w:spacing w:before="10" w:after="0"/>
      <w:ind w:left="3312" w:hanging="360"/>
    </w:pPr>
  </w:style>
  <w:style w:type="paragraph" w:customStyle="1" w:styleId="Textboxbulletnumbered1">
    <w:name w:val="Text box bullet numbered 1"/>
    <w:basedOn w:val="Textbox-body"/>
    <w:rsid w:val="000D132C"/>
    <w:pPr>
      <w:numPr>
        <w:numId w:val="18"/>
      </w:numPr>
      <w:tabs>
        <w:tab w:val="clear" w:pos="518"/>
        <w:tab w:val="num" w:pos="720"/>
      </w:tabs>
      <w:spacing w:after="0"/>
      <w:ind w:left="519" w:hanging="130"/>
    </w:pPr>
  </w:style>
  <w:style w:type="paragraph" w:customStyle="1" w:styleId="Textboxbulletnumbered2">
    <w:name w:val="Text box bullet numbered 2"/>
    <w:basedOn w:val="Textbox-body"/>
    <w:rsid w:val="000D132C"/>
    <w:pPr>
      <w:numPr>
        <w:ilvl w:val="1"/>
        <w:numId w:val="18"/>
      </w:numPr>
      <w:tabs>
        <w:tab w:val="clear" w:pos="806"/>
        <w:tab w:val="num" w:pos="346"/>
      </w:tabs>
      <w:spacing w:after="0"/>
      <w:ind w:left="807" w:hanging="130"/>
    </w:pPr>
  </w:style>
  <w:style w:type="paragraph" w:customStyle="1" w:styleId="Textboxbulletnumbered3">
    <w:name w:val="Text box bullet numbered 3"/>
    <w:basedOn w:val="Textbox-body"/>
    <w:rsid w:val="000D132C"/>
    <w:pPr>
      <w:numPr>
        <w:ilvl w:val="2"/>
        <w:numId w:val="18"/>
      </w:numPr>
      <w:tabs>
        <w:tab w:val="clear" w:pos="1181"/>
        <w:tab w:val="num" w:pos="346"/>
      </w:tabs>
      <w:spacing w:after="0"/>
      <w:ind w:left="1080" w:hanging="360"/>
    </w:pPr>
  </w:style>
  <w:style w:type="paragraph" w:customStyle="1" w:styleId="Textboxbulletnumbered4">
    <w:name w:val="Text box bullet numbered 4"/>
    <w:basedOn w:val="Textbox-body"/>
    <w:rsid w:val="000D132C"/>
    <w:pPr>
      <w:numPr>
        <w:ilvl w:val="3"/>
        <w:numId w:val="18"/>
      </w:numPr>
      <w:tabs>
        <w:tab w:val="clear" w:pos="1584"/>
        <w:tab w:val="num" w:pos="346"/>
      </w:tabs>
      <w:spacing w:after="0"/>
      <w:ind w:left="1440" w:hanging="360"/>
    </w:pPr>
  </w:style>
  <w:style w:type="character" w:customStyle="1" w:styleId="Tablebullet1Char">
    <w:name w:val="Table bullet 1 Char"/>
    <w:basedOn w:val="DefaultParagraphFont"/>
    <w:link w:val="Tablebullet1"/>
    <w:rsid w:val="000D132C"/>
    <w:rPr>
      <w:rFonts w:ascii="Arial" w:eastAsia="Times New Roman" w:hAnsi="Arial" w:cs="Arial"/>
      <w:sz w:val="20"/>
      <w:szCs w:val="20"/>
    </w:rPr>
  </w:style>
  <w:style w:type="table" w:customStyle="1" w:styleId="LightList1">
    <w:name w:val="Light List1"/>
    <w:basedOn w:val="TableNormal"/>
    <w:uiPriority w:val="61"/>
    <w:locked/>
    <w:rsid w:val="000D132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semiHidden/>
    <w:unhideWhenUsed/>
    <w:rsid w:val="000D132C"/>
    <w:rPr>
      <w:color w:val="800080" w:themeColor="followedHyperlink"/>
      <w:u w:val="single"/>
    </w:rPr>
  </w:style>
  <w:style w:type="paragraph" w:customStyle="1" w:styleId="NormalItalic">
    <w:name w:val="Normal Italic"/>
    <w:basedOn w:val="Normal"/>
    <w:qFormat/>
    <w:rsid w:val="000D132C"/>
    <w:pPr>
      <w:spacing w:before="120" w:after="120"/>
    </w:pPr>
    <w:rPr>
      <w:rFonts w:eastAsia="Calibri"/>
      <w:i/>
    </w:rPr>
  </w:style>
  <w:style w:type="paragraph" w:customStyle="1" w:styleId="NormalItalics">
    <w:name w:val="Normal Italics"/>
    <w:basedOn w:val="Normal"/>
    <w:qFormat/>
    <w:rsid w:val="000D132C"/>
    <w:pPr>
      <w:spacing w:before="120" w:after="120"/>
    </w:pPr>
    <w:rPr>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768258">
      <w:bodyDiv w:val="1"/>
      <w:marLeft w:val="0"/>
      <w:marRight w:val="0"/>
      <w:marTop w:val="0"/>
      <w:marBottom w:val="0"/>
      <w:divBdr>
        <w:top w:val="none" w:sz="0" w:space="0" w:color="auto"/>
        <w:left w:val="none" w:sz="0" w:space="0" w:color="auto"/>
        <w:bottom w:val="none" w:sz="0" w:space="0" w:color="auto"/>
        <w:right w:val="none" w:sz="0" w:space="0" w:color="auto"/>
      </w:divBdr>
      <w:divsChild>
        <w:div w:id="760220608">
          <w:marLeft w:val="0"/>
          <w:marRight w:val="0"/>
          <w:marTop w:val="0"/>
          <w:marBottom w:val="375"/>
          <w:divBdr>
            <w:top w:val="none" w:sz="0" w:space="0" w:color="auto"/>
            <w:left w:val="none" w:sz="0" w:space="0" w:color="auto"/>
            <w:bottom w:val="none" w:sz="0" w:space="0" w:color="auto"/>
            <w:right w:val="none" w:sz="0" w:space="0" w:color="auto"/>
          </w:divBdr>
          <w:divsChild>
            <w:div w:id="446004017">
              <w:marLeft w:val="0"/>
              <w:marRight w:val="0"/>
              <w:marTop w:val="0"/>
              <w:marBottom w:val="375"/>
              <w:divBdr>
                <w:top w:val="none" w:sz="0" w:space="0" w:color="auto"/>
                <w:left w:val="none" w:sz="0" w:space="0" w:color="auto"/>
                <w:bottom w:val="none" w:sz="0" w:space="0" w:color="auto"/>
                <w:right w:val="none" w:sz="0" w:space="0" w:color="auto"/>
              </w:divBdr>
              <w:divsChild>
                <w:div w:id="1006129568">
                  <w:marLeft w:val="0"/>
                  <w:marRight w:val="0"/>
                  <w:marTop w:val="225"/>
                  <w:marBottom w:val="0"/>
                  <w:divBdr>
                    <w:top w:val="none" w:sz="0" w:space="0" w:color="auto"/>
                    <w:left w:val="none" w:sz="0" w:space="0" w:color="auto"/>
                    <w:bottom w:val="none" w:sz="0" w:space="0" w:color="auto"/>
                    <w:right w:val="none" w:sz="0" w:space="0" w:color="auto"/>
                  </w:divBdr>
                  <w:divsChild>
                    <w:div w:id="1323392442">
                      <w:marLeft w:val="0"/>
                      <w:marRight w:val="0"/>
                      <w:marTop w:val="0"/>
                      <w:marBottom w:val="0"/>
                      <w:divBdr>
                        <w:top w:val="none" w:sz="0" w:space="0" w:color="auto"/>
                        <w:left w:val="none" w:sz="0" w:space="0" w:color="auto"/>
                        <w:bottom w:val="none" w:sz="0" w:space="0" w:color="auto"/>
                        <w:right w:val="none" w:sz="0" w:space="0" w:color="auto"/>
                      </w:divBdr>
                      <w:divsChild>
                        <w:div w:id="355232954">
                          <w:marLeft w:val="0"/>
                          <w:marRight w:val="0"/>
                          <w:marTop w:val="0"/>
                          <w:marBottom w:val="0"/>
                          <w:divBdr>
                            <w:top w:val="none" w:sz="0" w:space="0" w:color="auto"/>
                            <w:left w:val="none" w:sz="0" w:space="0" w:color="auto"/>
                            <w:bottom w:val="none" w:sz="0" w:space="0" w:color="auto"/>
                            <w:right w:val="none" w:sz="0" w:space="0" w:color="auto"/>
                          </w:divBdr>
                          <w:divsChild>
                            <w:div w:id="10215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989239-917C-4AE5-A9E1-F4D477485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3590</Words>
  <Characters>20464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Irwin, Molly E - ASP</dc:creator>
  <cp:lastModifiedBy>Irwin, Molly E - ASP</cp:lastModifiedBy>
  <cp:revision>2</cp:revision>
  <dcterms:created xsi:type="dcterms:W3CDTF">2016-03-25T21:15:00Z</dcterms:created>
  <dcterms:modified xsi:type="dcterms:W3CDTF">2016-03-25T21:15:00Z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