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2711B"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4369F6FE" w14:textId="77777777" w:rsidR="00AF1157" w:rsidRPr="007A5D4B" w:rsidRDefault="00AF1157" w:rsidP="00D73D2D">
      <w:pPr>
        <w:suppressAutoHyphens/>
        <w:jc w:val="center"/>
        <w:rPr>
          <w:rFonts w:ascii="Arial" w:hAnsi="Arial" w:cs="Arial"/>
          <w:b/>
          <w:sz w:val="22"/>
          <w:szCs w:val="22"/>
        </w:rPr>
      </w:pPr>
    </w:p>
    <w:p w14:paraId="5335547A"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3FF69CDE" w14:textId="77777777" w:rsidR="00AF1157" w:rsidRPr="007A5D4B" w:rsidRDefault="00AF1157" w:rsidP="00D73D2D">
      <w:pPr>
        <w:suppressAutoHyphens/>
        <w:jc w:val="center"/>
        <w:rPr>
          <w:rFonts w:ascii="Arial" w:hAnsi="Arial" w:cs="Arial"/>
          <w:b/>
          <w:sz w:val="22"/>
          <w:szCs w:val="22"/>
        </w:rPr>
      </w:pPr>
    </w:p>
    <w:p w14:paraId="72ECD49A"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02A4FDA1" w14:textId="77777777" w:rsidR="00AF1157" w:rsidRPr="007A5D4B" w:rsidRDefault="00AF1157" w:rsidP="00D73D2D">
      <w:pPr>
        <w:suppressAutoHyphens/>
        <w:jc w:val="center"/>
        <w:rPr>
          <w:rFonts w:ascii="Arial" w:hAnsi="Arial" w:cs="Arial"/>
          <w:b/>
          <w:sz w:val="22"/>
          <w:szCs w:val="22"/>
        </w:rPr>
      </w:pPr>
    </w:p>
    <w:p w14:paraId="0EA2A956" w14:textId="77777777" w:rsidR="00AF1157" w:rsidRPr="007A5D4B" w:rsidRDefault="00AF1157" w:rsidP="00D73D2D">
      <w:pPr>
        <w:suppressAutoHyphens/>
        <w:jc w:val="center"/>
        <w:rPr>
          <w:rFonts w:ascii="Arial" w:hAnsi="Arial" w:cs="Arial"/>
          <w:b/>
          <w:sz w:val="22"/>
          <w:szCs w:val="22"/>
        </w:rPr>
      </w:pPr>
      <w:r w:rsidRPr="00041AB1">
        <w:rPr>
          <w:rFonts w:ascii="Arial" w:hAnsi="Arial" w:cs="Arial"/>
          <w:b/>
          <w:sz w:val="22"/>
          <w:szCs w:val="22"/>
        </w:rPr>
        <w:t>OMB Control Number 1513</w:t>
      </w:r>
      <w:r w:rsidR="00D73D2D" w:rsidRPr="00041AB1">
        <w:rPr>
          <w:rFonts w:ascii="Arial" w:hAnsi="Arial" w:cs="Arial"/>
          <w:b/>
          <w:sz w:val="22"/>
          <w:szCs w:val="22"/>
        </w:rPr>
        <w:t>–</w:t>
      </w:r>
      <w:r w:rsidR="00041AB1" w:rsidRPr="00041AB1">
        <w:rPr>
          <w:rFonts w:ascii="Arial" w:hAnsi="Arial" w:cs="Arial"/>
          <w:b/>
          <w:sz w:val="22"/>
          <w:szCs w:val="22"/>
        </w:rPr>
        <w:t>0061</w:t>
      </w:r>
      <w:r w:rsidR="00987432">
        <w:rPr>
          <w:rFonts w:ascii="Arial" w:hAnsi="Arial" w:cs="Arial"/>
          <w:b/>
          <w:sz w:val="22"/>
          <w:szCs w:val="22"/>
        </w:rPr>
        <w:t xml:space="preserve"> </w:t>
      </w:r>
    </w:p>
    <w:p w14:paraId="1147034B" w14:textId="77777777" w:rsidR="00AF1157" w:rsidRPr="007A5D4B" w:rsidRDefault="00AF1157" w:rsidP="00D73D2D">
      <w:pPr>
        <w:suppressAutoHyphens/>
        <w:rPr>
          <w:rFonts w:ascii="Arial" w:hAnsi="Arial" w:cs="Arial"/>
          <w:sz w:val="22"/>
          <w:szCs w:val="22"/>
        </w:rPr>
      </w:pPr>
    </w:p>
    <w:p w14:paraId="6C55FD74" w14:textId="77777777" w:rsidR="00D73D2D" w:rsidRDefault="00D73D2D" w:rsidP="00D73D2D">
      <w:pPr>
        <w:suppressAutoHyphens/>
        <w:rPr>
          <w:rFonts w:ascii="Arial" w:hAnsi="Arial" w:cs="Arial"/>
          <w:sz w:val="22"/>
          <w:szCs w:val="22"/>
        </w:rPr>
      </w:pPr>
    </w:p>
    <w:p w14:paraId="39E94799" w14:textId="77777777"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456C872F" w14:textId="77777777" w:rsidR="00E86B1B" w:rsidRPr="00E86B1B" w:rsidRDefault="00E86B1B" w:rsidP="00D73D2D">
      <w:pPr>
        <w:suppressAutoHyphens/>
        <w:rPr>
          <w:rFonts w:ascii="Arial" w:hAnsi="Arial" w:cs="Arial"/>
          <w:sz w:val="22"/>
          <w:szCs w:val="22"/>
          <w:u w:val="single"/>
        </w:rPr>
      </w:pPr>
    </w:p>
    <w:p w14:paraId="6F8ADE4D" w14:textId="77777777" w:rsidR="00E86B1B" w:rsidRPr="00F74ADB" w:rsidRDefault="00F74ADB" w:rsidP="009A6532">
      <w:pPr>
        <w:rPr>
          <w:rFonts w:ascii="Arial" w:hAnsi="Arial" w:cs="Arial"/>
          <w:sz w:val="22"/>
          <w:szCs w:val="22"/>
        </w:rPr>
      </w:pPr>
      <w:r w:rsidRPr="00F74ADB">
        <w:rPr>
          <w:rFonts w:ascii="Arial" w:hAnsi="Arial" w:cs="Arial"/>
          <w:sz w:val="22"/>
          <w:szCs w:val="22"/>
        </w:rPr>
        <w:t>Letterhead Applications and Notices Relating to Denatured Spirits, TTB REC 5150/2</w:t>
      </w:r>
      <w:r>
        <w:rPr>
          <w:rFonts w:ascii="Arial" w:hAnsi="Arial" w:cs="Arial"/>
          <w:sz w:val="22"/>
          <w:szCs w:val="22"/>
        </w:rPr>
        <w:t>.</w:t>
      </w:r>
      <w:r w:rsidR="00B47E37">
        <w:rPr>
          <w:rFonts w:ascii="Arial" w:hAnsi="Arial" w:cs="Arial"/>
          <w:sz w:val="22"/>
          <w:szCs w:val="22"/>
        </w:rPr>
        <w:t xml:space="preserve"> </w:t>
      </w:r>
    </w:p>
    <w:p w14:paraId="3D7F3412" w14:textId="77777777" w:rsidR="00F74ADB" w:rsidRDefault="00F74ADB" w:rsidP="009A6532">
      <w:pPr>
        <w:rPr>
          <w:rFonts w:ascii="Arial" w:hAnsi="Arial" w:cs="Arial"/>
          <w:sz w:val="22"/>
          <w:szCs w:val="22"/>
          <w:highlight w:val="yellow"/>
        </w:rPr>
      </w:pPr>
    </w:p>
    <w:p w14:paraId="53FD795E" w14:textId="77777777" w:rsidR="00D73D2D" w:rsidRPr="007A5D4B" w:rsidRDefault="00D73D2D" w:rsidP="00D73D2D">
      <w:pPr>
        <w:suppressAutoHyphens/>
        <w:rPr>
          <w:rFonts w:ascii="Arial" w:hAnsi="Arial" w:cs="Arial"/>
          <w:sz w:val="22"/>
          <w:szCs w:val="22"/>
        </w:rPr>
      </w:pPr>
    </w:p>
    <w:p w14:paraId="3E25FB64"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522A08EA" w14:textId="77777777" w:rsidR="00AF1157" w:rsidRPr="007A5D4B" w:rsidRDefault="00AF1157" w:rsidP="00D73D2D">
      <w:pPr>
        <w:suppressAutoHyphens/>
        <w:rPr>
          <w:rFonts w:ascii="Arial" w:hAnsi="Arial" w:cs="Arial"/>
          <w:sz w:val="22"/>
          <w:szCs w:val="22"/>
        </w:rPr>
      </w:pPr>
    </w:p>
    <w:p w14:paraId="31A4CDD4"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A79092C" w14:textId="77777777" w:rsidR="00AF1157" w:rsidRDefault="00AF1157" w:rsidP="008B146B">
      <w:pPr>
        <w:ind w:left="360"/>
        <w:rPr>
          <w:rFonts w:ascii="Arial" w:hAnsi="Arial" w:cs="Arial"/>
          <w:sz w:val="22"/>
          <w:szCs w:val="22"/>
        </w:rPr>
      </w:pPr>
    </w:p>
    <w:p w14:paraId="30619794"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2B00E441" w14:textId="77777777" w:rsidR="000B6799" w:rsidRDefault="000B6799" w:rsidP="003A4DFA">
      <w:pPr>
        <w:ind w:left="360"/>
        <w:rPr>
          <w:rFonts w:ascii="Arial" w:hAnsi="Arial" w:cs="Arial"/>
          <w:sz w:val="22"/>
          <w:szCs w:val="22"/>
        </w:rPr>
      </w:pPr>
    </w:p>
    <w:p w14:paraId="5C416322" w14:textId="12821878" w:rsidR="00F74ADB" w:rsidRPr="00F74ADB" w:rsidRDefault="00F74ADB" w:rsidP="00F74ADB">
      <w:pPr>
        <w:widowControl w:val="0"/>
        <w:autoSpaceDE w:val="0"/>
        <w:autoSpaceDN w:val="0"/>
        <w:adjustRightInd w:val="0"/>
        <w:ind w:left="360"/>
        <w:rPr>
          <w:rFonts w:ascii="Arial" w:hAnsi="Arial" w:cs="Arial"/>
          <w:sz w:val="22"/>
          <w:szCs w:val="22"/>
        </w:rPr>
      </w:pPr>
      <w:r w:rsidRPr="00F74ADB">
        <w:rPr>
          <w:rFonts w:ascii="Arial" w:hAnsi="Arial" w:cs="Arial"/>
          <w:sz w:val="22"/>
          <w:szCs w:val="22"/>
        </w:rPr>
        <w:t>Denatured distilled spirits</w:t>
      </w:r>
      <w:r w:rsidR="00EE1CF5">
        <w:rPr>
          <w:rFonts w:ascii="Arial" w:hAnsi="Arial" w:cs="Arial"/>
          <w:sz w:val="22"/>
          <w:szCs w:val="22"/>
        </w:rPr>
        <w:t xml:space="preserve"> </w:t>
      </w:r>
      <w:r w:rsidRPr="00F74ADB">
        <w:rPr>
          <w:rFonts w:ascii="Arial" w:hAnsi="Arial" w:cs="Arial"/>
          <w:sz w:val="22"/>
          <w:szCs w:val="22"/>
        </w:rPr>
        <w:t>and articles containing denatured spirits are regulated under a</w:t>
      </w:r>
      <w:bookmarkStart w:id="0" w:name="_GoBack"/>
      <w:r w:rsidRPr="00F74ADB">
        <w:rPr>
          <w:rFonts w:ascii="Arial" w:hAnsi="Arial" w:cs="Arial"/>
          <w:sz w:val="22"/>
          <w:szCs w:val="22"/>
        </w:rPr>
        <w:t xml:space="preserve"> </w:t>
      </w:r>
      <w:bookmarkEnd w:id="0"/>
      <w:r w:rsidRPr="00F74ADB">
        <w:rPr>
          <w:rFonts w:ascii="Arial" w:hAnsi="Arial" w:cs="Arial"/>
          <w:sz w:val="22"/>
          <w:szCs w:val="22"/>
        </w:rPr>
        <w:t>comprehensive system of laws</w:t>
      </w:r>
      <w:r w:rsidR="00B47E37">
        <w:rPr>
          <w:rFonts w:ascii="Arial" w:hAnsi="Arial" w:cs="Arial"/>
          <w:sz w:val="22"/>
          <w:szCs w:val="22"/>
        </w:rPr>
        <w:t xml:space="preserve">, codified in the IRC at 26 U.S.C 5271–5275, </w:t>
      </w:r>
      <w:r w:rsidR="00C830B7">
        <w:rPr>
          <w:rFonts w:ascii="Arial" w:hAnsi="Arial" w:cs="Arial"/>
          <w:sz w:val="22"/>
          <w:szCs w:val="22"/>
        </w:rPr>
        <w:t xml:space="preserve">which are intended </w:t>
      </w:r>
      <w:r w:rsidR="00B47E37">
        <w:rPr>
          <w:rFonts w:ascii="Arial" w:hAnsi="Arial" w:cs="Arial"/>
          <w:sz w:val="22"/>
          <w:szCs w:val="22"/>
        </w:rPr>
        <w:t>t</w:t>
      </w:r>
      <w:r w:rsidRPr="00F74ADB">
        <w:rPr>
          <w:rFonts w:ascii="Arial" w:hAnsi="Arial" w:cs="Arial"/>
          <w:sz w:val="22"/>
          <w:szCs w:val="22"/>
        </w:rPr>
        <w:t xml:space="preserve">o prevent illegal diversion </w:t>
      </w:r>
      <w:r w:rsidR="00C830B7">
        <w:rPr>
          <w:rFonts w:ascii="Arial" w:hAnsi="Arial" w:cs="Arial"/>
          <w:sz w:val="22"/>
          <w:szCs w:val="22"/>
        </w:rPr>
        <w:t xml:space="preserve">of such spirits </w:t>
      </w:r>
      <w:r w:rsidRPr="00F74ADB">
        <w:rPr>
          <w:rFonts w:ascii="Arial" w:hAnsi="Arial" w:cs="Arial"/>
          <w:sz w:val="22"/>
          <w:szCs w:val="22"/>
        </w:rPr>
        <w:t xml:space="preserve">to taxable beverage use. </w:t>
      </w:r>
      <w:r w:rsidR="00B47E37">
        <w:rPr>
          <w:rFonts w:ascii="Arial" w:hAnsi="Arial" w:cs="Arial"/>
          <w:sz w:val="22"/>
          <w:szCs w:val="22"/>
        </w:rPr>
        <w:t xml:space="preserve"> </w:t>
      </w:r>
      <w:r w:rsidR="00B309C4">
        <w:rPr>
          <w:rFonts w:ascii="Arial" w:hAnsi="Arial" w:cs="Arial"/>
          <w:sz w:val="22"/>
          <w:szCs w:val="22"/>
        </w:rPr>
        <w:t>T</w:t>
      </w:r>
      <w:r w:rsidRPr="00F74ADB">
        <w:rPr>
          <w:rFonts w:ascii="Arial" w:hAnsi="Arial" w:cs="Arial"/>
          <w:sz w:val="22"/>
          <w:szCs w:val="22"/>
        </w:rPr>
        <w:t xml:space="preserve">he </w:t>
      </w:r>
      <w:r w:rsidR="00B47E37">
        <w:rPr>
          <w:rFonts w:ascii="Arial" w:hAnsi="Arial" w:cs="Arial"/>
          <w:sz w:val="22"/>
          <w:szCs w:val="22"/>
        </w:rPr>
        <w:t>TT</w:t>
      </w:r>
      <w:r w:rsidR="00876A0E">
        <w:rPr>
          <w:rFonts w:ascii="Arial" w:hAnsi="Arial" w:cs="Arial"/>
          <w:sz w:val="22"/>
          <w:szCs w:val="22"/>
        </w:rPr>
        <w:t>B</w:t>
      </w:r>
      <w:r w:rsidR="00B47E37">
        <w:rPr>
          <w:rFonts w:ascii="Arial" w:hAnsi="Arial" w:cs="Arial"/>
          <w:sz w:val="22"/>
          <w:szCs w:val="22"/>
        </w:rPr>
        <w:t xml:space="preserve"> </w:t>
      </w:r>
      <w:r w:rsidRPr="00F74ADB">
        <w:rPr>
          <w:rFonts w:ascii="Arial" w:hAnsi="Arial" w:cs="Arial"/>
          <w:sz w:val="22"/>
          <w:szCs w:val="22"/>
        </w:rPr>
        <w:t xml:space="preserve">regulations </w:t>
      </w:r>
      <w:r w:rsidR="00B309C4">
        <w:rPr>
          <w:rFonts w:ascii="Arial" w:hAnsi="Arial" w:cs="Arial"/>
          <w:sz w:val="22"/>
          <w:szCs w:val="22"/>
        </w:rPr>
        <w:t xml:space="preserve">that implement these laws include </w:t>
      </w:r>
      <w:r w:rsidRPr="00F74ADB">
        <w:rPr>
          <w:rFonts w:ascii="Arial" w:hAnsi="Arial" w:cs="Arial"/>
          <w:sz w:val="22"/>
          <w:szCs w:val="22"/>
        </w:rPr>
        <w:t xml:space="preserve">27 CFR Part 20, </w:t>
      </w:r>
      <w:r w:rsidR="00876A0E">
        <w:rPr>
          <w:rFonts w:ascii="Arial" w:hAnsi="Arial" w:cs="Arial"/>
          <w:sz w:val="22"/>
          <w:szCs w:val="22"/>
        </w:rPr>
        <w:t>Distribution and Use of Denatured Alcohol and Rum.  Among other things, the part 20 regulations</w:t>
      </w:r>
      <w:r w:rsidR="00B47E37">
        <w:rPr>
          <w:rFonts w:ascii="Arial" w:hAnsi="Arial" w:cs="Arial"/>
          <w:sz w:val="22"/>
          <w:szCs w:val="22"/>
        </w:rPr>
        <w:t xml:space="preserve"> </w:t>
      </w:r>
      <w:r w:rsidRPr="00F74ADB">
        <w:rPr>
          <w:rFonts w:ascii="Arial" w:hAnsi="Arial" w:cs="Arial"/>
          <w:sz w:val="22"/>
          <w:szCs w:val="22"/>
        </w:rPr>
        <w:t>allow denatured spirits to be used for industrial purposes free of tax, including the manufacture of products for personal and household</w:t>
      </w:r>
      <w:r w:rsidR="0014566F">
        <w:rPr>
          <w:rFonts w:ascii="Arial" w:hAnsi="Arial" w:cs="Arial"/>
          <w:sz w:val="22"/>
          <w:szCs w:val="22"/>
        </w:rPr>
        <w:t xml:space="preserve"> use</w:t>
      </w:r>
      <w:r w:rsidR="00B47E37">
        <w:rPr>
          <w:rFonts w:ascii="Arial" w:hAnsi="Arial" w:cs="Arial"/>
          <w:sz w:val="22"/>
          <w:szCs w:val="22"/>
        </w:rPr>
        <w:t xml:space="preserve">. </w:t>
      </w:r>
      <w:r w:rsidR="00876A0E">
        <w:rPr>
          <w:rFonts w:ascii="Arial" w:hAnsi="Arial" w:cs="Arial"/>
          <w:sz w:val="22"/>
          <w:szCs w:val="22"/>
        </w:rPr>
        <w:t xml:space="preserve"> These</w:t>
      </w:r>
      <w:r w:rsidRPr="00F74ADB">
        <w:rPr>
          <w:rFonts w:ascii="Arial" w:hAnsi="Arial" w:cs="Arial"/>
          <w:sz w:val="22"/>
          <w:szCs w:val="22"/>
        </w:rPr>
        <w:t xml:space="preserve"> regulations require an application and permit to withdraw and use specially denatured spirits to prevent the re</w:t>
      </w:r>
      <w:r w:rsidR="00EE1CF5">
        <w:rPr>
          <w:rFonts w:ascii="Arial" w:hAnsi="Arial" w:cs="Arial"/>
          <w:sz w:val="22"/>
          <w:szCs w:val="22"/>
        </w:rPr>
        <w:t xml:space="preserve">covery of potable alcohol from </w:t>
      </w:r>
      <w:r w:rsidRPr="00F74ADB">
        <w:rPr>
          <w:rFonts w:ascii="Arial" w:hAnsi="Arial" w:cs="Arial"/>
          <w:sz w:val="22"/>
          <w:szCs w:val="22"/>
        </w:rPr>
        <w:t>denatured spirits and articles m</w:t>
      </w:r>
      <w:r w:rsidR="00EE1CF5">
        <w:rPr>
          <w:rFonts w:ascii="Arial" w:hAnsi="Arial" w:cs="Arial"/>
          <w:sz w:val="22"/>
          <w:szCs w:val="22"/>
        </w:rPr>
        <w:t xml:space="preserve">ade with denatured spirits.  </w:t>
      </w:r>
      <w:r w:rsidRPr="00F74ADB">
        <w:rPr>
          <w:rFonts w:ascii="Arial" w:hAnsi="Arial" w:cs="Arial"/>
          <w:sz w:val="22"/>
          <w:szCs w:val="22"/>
        </w:rPr>
        <w:t xml:space="preserve">Additional requirements under 27 CFR </w:t>
      </w:r>
      <w:r w:rsidR="00876A0E">
        <w:rPr>
          <w:rFonts w:ascii="Arial" w:hAnsi="Arial" w:cs="Arial"/>
          <w:sz w:val="22"/>
          <w:szCs w:val="22"/>
        </w:rPr>
        <w:t>p</w:t>
      </w:r>
      <w:r w:rsidRPr="00F74ADB">
        <w:rPr>
          <w:rFonts w:ascii="Arial" w:hAnsi="Arial" w:cs="Arial"/>
          <w:sz w:val="22"/>
          <w:szCs w:val="22"/>
        </w:rPr>
        <w:t xml:space="preserve">art 20 include submitting formulas, recordkeeping, reporting, and other operational procedures. </w:t>
      </w:r>
    </w:p>
    <w:p w14:paraId="5385012B" w14:textId="77777777" w:rsidR="00F74ADB" w:rsidRPr="00F74ADB" w:rsidRDefault="00F74ADB" w:rsidP="00F74ADB">
      <w:pPr>
        <w:widowControl w:val="0"/>
        <w:autoSpaceDE w:val="0"/>
        <w:autoSpaceDN w:val="0"/>
        <w:adjustRightInd w:val="0"/>
        <w:ind w:left="360"/>
        <w:rPr>
          <w:rFonts w:ascii="Arial" w:hAnsi="Arial" w:cs="Arial"/>
          <w:sz w:val="22"/>
          <w:szCs w:val="22"/>
        </w:rPr>
      </w:pPr>
    </w:p>
    <w:p w14:paraId="308AA517" w14:textId="13685F0C" w:rsidR="00F74ADB" w:rsidRPr="00F74ADB" w:rsidRDefault="00F74ADB" w:rsidP="00F74ADB">
      <w:pPr>
        <w:widowControl w:val="0"/>
        <w:autoSpaceDE w:val="0"/>
        <w:autoSpaceDN w:val="0"/>
        <w:adjustRightInd w:val="0"/>
        <w:ind w:left="360"/>
        <w:rPr>
          <w:rFonts w:ascii="Arial" w:hAnsi="Arial" w:cs="Arial"/>
          <w:sz w:val="22"/>
          <w:szCs w:val="22"/>
        </w:rPr>
      </w:pPr>
      <w:r w:rsidRPr="00F74ADB">
        <w:rPr>
          <w:rFonts w:ascii="Arial" w:hAnsi="Arial" w:cs="Arial"/>
          <w:sz w:val="22"/>
          <w:szCs w:val="22"/>
        </w:rPr>
        <w:t xml:space="preserve">Reports included in this </w:t>
      </w:r>
      <w:r w:rsidR="00876A0E">
        <w:rPr>
          <w:rFonts w:ascii="Arial" w:hAnsi="Arial" w:cs="Arial"/>
          <w:sz w:val="22"/>
          <w:szCs w:val="22"/>
        </w:rPr>
        <w:t xml:space="preserve">information collection </w:t>
      </w:r>
      <w:r w:rsidRPr="00F74ADB">
        <w:rPr>
          <w:rFonts w:ascii="Arial" w:hAnsi="Arial" w:cs="Arial"/>
          <w:sz w:val="22"/>
          <w:szCs w:val="22"/>
        </w:rPr>
        <w:t xml:space="preserve">submission are letterhead applications and </w:t>
      </w:r>
      <w:proofErr w:type="gramStart"/>
      <w:r w:rsidRPr="00F74ADB">
        <w:rPr>
          <w:rFonts w:ascii="Arial" w:hAnsi="Arial" w:cs="Arial"/>
          <w:sz w:val="22"/>
          <w:szCs w:val="22"/>
        </w:rPr>
        <w:t>notices</w:t>
      </w:r>
      <w:proofErr w:type="gramEnd"/>
      <w:r w:rsidRPr="00F74ADB">
        <w:rPr>
          <w:rFonts w:ascii="Arial" w:hAnsi="Arial" w:cs="Arial"/>
          <w:sz w:val="22"/>
          <w:szCs w:val="22"/>
        </w:rPr>
        <w:t xml:space="preserve">. </w:t>
      </w:r>
      <w:r w:rsidR="00876A0E">
        <w:rPr>
          <w:rFonts w:ascii="Arial" w:hAnsi="Arial" w:cs="Arial"/>
          <w:sz w:val="22"/>
          <w:szCs w:val="22"/>
        </w:rPr>
        <w:t xml:space="preserve"> </w:t>
      </w:r>
      <w:r w:rsidRPr="00F74ADB">
        <w:rPr>
          <w:rFonts w:ascii="Arial" w:hAnsi="Arial" w:cs="Arial"/>
          <w:sz w:val="22"/>
          <w:szCs w:val="22"/>
        </w:rPr>
        <w:t>Letterhead applications are documents submitted for approval by TTB</w:t>
      </w:r>
      <w:r w:rsidR="00876A0E">
        <w:rPr>
          <w:rFonts w:ascii="Arial" w:hAnsi="Arial" w:cs="Arial"/>
          <w:sz w:val="22"/>
          <w:szCs w:val="22"/>
        </w:rPr>
        <w:t>,</w:t>
      </w:r>
      <w:r w:rsidRPr="00F74ADB">
        <w:rPr>
          <w:rFonts w:ascii="Arial" w:hAnsi="Arial" w:cs="Arial"/>
          <w:sz w:val="22"/>
          <w:szCs w:val="22"/>
        </w:rPr>
        <w:t xml:space="preserve"> and notices are documents submitted </w:t>
      </w:r>
      <w:r w:rsidR="00876A0E">
        <w:rPr>
          <w:rFonts w:ascii="Arial" w:hAnsi="Arial" w:cs="Arial"/>
          <w:sz w:val="22"/>
          <w:szCs w:val="22"/>
        </w:rPr>
        <w:t xml:space="preserve">to TTB for which </w:t>
      </w:r>
      <w:r w:rsidRPr="00F74ADB">
        <w:rPr>
          <w:rFonts w:ascii="Arial" w:hAnsi="Arial" w:cs="Arial"/>
          <w:sz w:val="22"/>
          <w:szCs w:val="22"/>
        </w:rPr>
        <w:t xml:space="preserve">no approval </w:t>
      </w:r>
      <w:r w:rsidR="00876A0E">
        <w:rPr>
          <w:rFonts w:ascii="Arial" w:hAnsi="Arial" w:cs="Arial"/>
          <w:sz w:val="22"/>
          <w:szCs w:val="22"/>
        </w:rPr>
        <w:t xml:space="preserve">is required.  </w:t>
      </w:r>
      <w:r w:rsidRPr="00F74ADB">
        <w:rPr>
          <w:rFonts w:ascii="Arial" w:hAnsi="Arial" w:cs="Arial"/>
          <w:sz w:val="22"/>
          <w:szCs w:val="22"/>
        </w:rPr>
        <w:t xml:space="preserve">Letterhead applications and notices are qualifying documents relating to specific regulated activities.  If the applicant is a permittee, the letterhead application or notice is an amendment to approved qualifying documents already on file. </w:t>
      </w:r>
      <w:r w:rsidR="00C830B7">
        <w:rPr>
          <w:rFonts w:ascii="Arial" w:hAnsi="Arial" w:cs="Arial"/>
          <w:sz w:val="22"/>
          <w:szCs w:val="22"/>
        </w:rPr>
        <w:t xml:space="preserve"> </w:t>
      </w:r>
      <w:r w:rsidR="009742F0">
        <w:rPr>
          <w:rFonts w:ascii="Arial" w:hAnsi="Arial" w:cs="Arial"/>
          <w:sz w:val="22"/>
          <w:szCs w:val="22"/>
        </w:rPr>
        <w:t>Generally, u</w:t>
      </w:r>
      <w:r w:rsidR="001B35E9">
        <w:rPr>
          <w:rFonts w:ascii="Arial" w:hAnsi="Arial" w:cs="Arial"/>
          <w:sz w:val="22"/>
          <w:szCs w:val="22"/>
        </w:rPr>
        <w:t xml:space="preserve">nder the TTB regulations specified below, </w:t>
      </w:r>
      <w:r w:rsidR="00C830B7" w:rsidRPr="00F74ADB">
        <w:rPr>
          <w:rFonts w:ascii="Arial" w:hAnsi="Arial" w:cs="Arial"/>
          <w:sz w:val="22"/>
          <w:szCs w:val="22"/>
        </w:rPr>
        <w:t>activities with greater jeopardy to the revenue</w:t>
      </w:r>
      <w:r w:rsidR="006172E1">
        <w:rPr>
          <w:rFonts w:ascii="Arial" w:hAnsi="Arial" w:cs="Arial"/>
          <w:sz w:val="22"/>
          <w:szCs w:val="22"/>
        </w:rPr>
        <w:t xml:space="preserve"> </w:t>
      </w:r>
      <w:r w:rsidR="001B35E9">
        <w:rPr>
          <w:rFonts w:ascii="Arial" w:hAnsi="Arial" w:cs="Arial"/>
          <w:sz w:val="22"/>
          <w:szCs w:val="22"/>
        </w:rPr>
        <w:t xml:space="preserve">require the submission and approval of a </w:t>
      </w:r>
      <w:r w:rsidR="00C830B7" w:rsidRPr="00F74ADB">
        <w:rPr>
          <w:rFonts w:ascii="Arial" w:hAnsi="Arial" w:cs="Arial"/>
          <w:sz w:val="22"/>
          <w:szCs w:val="22"/>
        </w:rPr>
        <w:t xml:space="preserve">letterhead application, and activities with less jeopardy to the revenue </w:t>
      </w:r>
      <w:r w:rsidR="001B35E9">
        <w:rPr>
          <w:rFonts w:ascii="Arial" w:hAnsi="Arial" w:cs="Arial"/>
          <w:sz w:val="22"/>
          <w:szCs w:val="22"/>
        </w:rPr>
        <w:t xml:space="preserve">require the submission of a </w:t>
      </w:r>
      <w:r w:rsidR="00C830B7" w:rsidRPr="00F74ADB">
        <w:rPr>
          <w:rFonts w:ascii="Arial" w:hAnsi="Arial" w:cs="Arial"/>
          <w:sz w:val="22"/>
          <w:szCs w:val="22"/>
        </w:rPr>
        <w:t xml:space="preserve">notice. </w:t>
      </w:r>
    </w:p>
    <w:p w14:paraId="51EC2E5C" w14:textId="77777777" w:rsidR="00F74ADB" w:rsidRDefault="00F74ADB" w:rsidP="00F74ADB">
      <w:pPr>
        <w:widowControl w:val="0"/>
        <w:autoSpaceDE w:val="0"/>
        <w:autoSpaceDN w:val="0"/>
        <w:adjustRightInd w:val="0"/>
        <w:ind w:left="360"/>
        <w:rPr>
          <w:rFonts w:ascii="Arial" w:hAnsi="Arial" w:cs="Arial"/>
          <w:sz w:val="22"/>
          <w:szCs w:val="22"/>
        </w:rPr>
      </w:pPr>
    </w:p>
    <w:p w14:paraId="2613132C" w14:textId="77777777" w:rsidR="00E94362" w:rsidRPr="00F74ADB" w:rsidRDefault="00E94362" w:rsidP="00F74ADB">
      <w:pPr>
        <w:widowControl w:val="0"/>
        <w:autoSpaceDE w:val="0"/>
        <w:autoSpaceDN w:val="0"/>
        <w:adjustRightInd w:val="0"/>
        <w:ind w:left="360"/>
        <w:rPr>
          <w:rFonts w:ascii="Arial" w:hAnsi="Arial" w:cs="Arial"/>
          <w:sz w:val="22"/>
          <w:szCs w:val="22"/>
        </w:rPr>
      </w:pPr>
    </w:p>
    <w:p w14:paraId="6CBB5271" w14:textId="77777777" w:rsidR="00F74ADB" w:rsidRPr="00F74ADB" w:rsidRDefault="00F74ADB" w:rsidP="00C830B7">
      <w:pPr>
        <w:widowControl w:val="0"/>
        <w:autoSpaceDE w:val="0"/>
        <w:autoSpaceDN w:val="0"/>
        <w:adjustRightInd w:val="0"/>
        <w:ind w:left="360"/>
        <w:rPr>
          <w:rFonts w:ascii="Arial" w:hAnsi="Arial" w:cs="Arial"/>
          <w:sz w:val="22"/>
          <w:szCs w:val="22"/>
        </w:rPr>
      </w:pPr>
      <w:r w:rsidRPr="00F74ADB">
        <w:rPr>
          <w:rFonts w:ascii="Arial" w:hAnsi="Arial" w:cs="Arial"/>
          <w:sz w:val="22"/>
          <w:szCs w:val="22"/>
        </w:rPr>
        <w:lastRenderedPageBreak/>
        <w:t>Letterhead applications or notices are the only qualifying documents necessary for persons who are not required to obtain a permit under the law.</w:t>
      </w:r>
      <w:r w:rsidR="00876A0E">
        <w:rPr>
          <w:rFonts w:ascii="Arial" w:hAnsi="Arial" w:cs="Arial"/>
          <w:sz w:val="22"/>
          <w:szCs w:val="22"/>
        </w:rPr>
        <w:t xml:space="preserve"> </w:t>
      </w:r>
      <w:r w:rsidRPr="00F74ADB">
        <w:rPr>
          <w:rFonts w:ascii="Arial" w:hAnsi="Arial" w:cs="Arial"/>
          <w:sz w:val="22"/>
          <w:szCs w:val="22"/>
        </w:rPr>
        <w:t xml:space="preserve"> Letterhead applications and notices from non-permittees relate to trafficking in large quantities of completely denatured alcohol or articles and to the procurement of samples of specially</w:t>
      </w:r>
      <w:r w:rsidR="00B70848">
        <w:rPr>
          <w:rFonts w:ascii="Arial" w:hAnsi="Arial" w:cs="Arial"/>
          <w:sz w:val="22"/>
          <w:szCs w:val="22"/>
        </w:rPr>
        <w:t xml:space="preserve"> denatured spirits (exceeding 5 </w:t>
      </w:r>
      <w:r w:rsidRPr="00F74ADB">
        <w:rPr>
          <w:rFonts w:ascii="Arial" w:hAnsi="Arial" w:cs="Arial"/>
          <w:sz w:val="22"/>
          <w:szCs w:val="22"/>
        </w:rPr>
        <w:t>gallons per annum</w:t>
      </w:r>
      <w:r w:rsidR="00876A0E">
        <w:rPr>
          <w:rFonts w:ascii="Arial" w:hAnsi="Arial" w:cs="Arial"/>
          <w:sz w:val="22"/>
          <w:szCs w:val="22"/>
        </w:rPr>
        <w:t xml:space="preserve">; see 27 CFR </w:t>
      </w:r>
      <w:r w:rsidRPr="00F74ADB">
        <w:rPr>
          <w:rFonts w:ascii="Arial" w:hAnsi="Arial" w:cs="Arial"/>
          <w:sz w:val="22"/>
          <w:szCs w:val="22"/>
        </w:rPr>
        <w:t>20.117 and 20.252</w:t>
      </w:r>
      <w:r w:rsidR="001B35E9">
        <w:rPr>
          <w:rFonts w:ascii="Arial" w:hAnsi="Arial" w:cs="Arial"/>
          <w:sz w:val="22"/>
          <w:szCs w:val="22"/>
        </w:rPr>
        <w:t>, respectively</w:t>
      </w:r>
      <w:r w:rsidRPr="00F74ADB">
        <w:rPr>
          <w:rFonts w:ascii="Arial" w:hAnsi="Arial" w:cs="Arial"/>
          <w:sz w:val="22"/>
          <w:szCs w:val="22"/>
        </w:rPr>
        <w:t xml:space="preserve">).  These applications or notices are necessary to identify the person and to ensure that the intended activity </w:t>
      </w:r>
      <w:r w:rsidR="00FD4CE1">
        <w:rPr>
          <w:rFonts w:ascii="Arial" w:hAnsi="Arial" w:cs="Arial"/>
          <w:sz w:val="22"/>
          <w:szCs w:val="22"/>
        </w:rPr>
        <w:t>is</w:t>
      </w:r>
      <w:r w:rsidRPr="00F74ADB">
        <w:rPr>
          <w:rFonts w:ascii="Arial" w:hAnsi="Arial" w:cs="Arial"/>
          <w:sz w:val="22"/>
          <w:szCs w:val="22"/>
        </w:rPr>
        <w:t xml:space="preserve"> conducted in compliance with the law. </w:t>
      </w:r>
      <w:r w:rsidR="00C830B7">
        <w:rPr>
          <w:rFonts w:ascii="Arial" w:hAnsi="Arial" w:cs="Arial"/>
          <w:sz w:val="22"/>
          <w:szCs w:val="22"/>
        </w:rPr>
        <w:t xml:space="preserve"> </w:t>
      </w:r>
      <w:r w:rsidR="00876A0E" w:rsidRPr="00F74ADB">
        <w:rPr>
          <w:rFonts w:ascii="Arial" w:hAnsi="Arial" w:cs="Arial"/>
          <w:sz w:val="22"/>
          <w:szCs w:val="22"/>
        </w:rPr>
        <w:t xml:space="preserve">Also included in this collection are </w:t>
      </w:r>
      <w:r w:rsidR="00876A0E">
        <w:rPr>
          <w:rFonts w:ascii="Arial" w:hAnsi="Arial" w:cs="Arial"/>
          <w:sz w:val="22"/>
          <w:szCs w:val="22"/>
        </w:rPr>
        <w:t xml:space="preserve">application for alternate methods, </w:t>
      </w:r>
      <w:r w:rsidR="00876A0E" w:rsidRPr="00F74ADB">
        <w:rPr>
          <w:rFonts w:ascii="Arial" w:hAnsi="Arial" w:cs="Arial"/>
          <w:sz w:val="22"/>
          <w:szCs w:val="22"/>
        </w:rPr>
        <w:t>requirements for the retention of invoices</w:t>
      </w:r>
      <w:r w:rsidR="00876A0E">
        <w:rPr>
          <w:rFonts w:ascii="Arial" w:hAnsi="Arial" w:cs="Arial"/>
          <w:sz w:val="22"/>
          <w:szCs w:val="22"/>
        </w:rPr>
        <w:t>,</w:t>
      </w:r>
      <w:r w:rsidR="00876A0E" w:rsidRPr="00F74ADB">
        <w:rPr>
          <w:rFonts w:ascii="Arial" w:hAnsi="Arial" w:cs="Arial"/>
          <w:sz w:val="22"/>
          <w:szCs w:val="22"/>
        </w:rPr>
        <w:t xml:space="preserve"> and labeling of articles.</w:t>
      </w:r>
      <w:r w:rsidR="00C830B7">
        <w:rPr>
          <w:rFonts w:ascii="Arial" w:hAnsi="Arial" w:cs="Arial"/>
          <w:sz w:val="22"/>
          <w:szCs w:val="22"/>
        </w:rPr>
        <w:t xml:space="preserve"> </w:t>
      </w:r>
    </w:p>
    <w:p w14:paraId="69569CC7" w14:textId="77777777" w:rsidR="00F74ADB" w:rsidRPr="00F74ADB" w:rsidRDefault="00F74ADB" w:rsidP="00F74ADB">
      <w:pPr>
        <w:widowControl w:val="0"/>
        <w:autoSpaceDE w:val="0"/>
        <w:autoSpaceDN w:val="0"/>
        <w:adjustRightInd w:val="0"/>
        <w:ind w:left="360"/>
        <w:rPr>
          <w:rFonts w:ascii="Arial" w:hAnsi="Arial" w:cs="Arial"/>
          <w:sz w:val="22"/>
          <w:szCs w:val="22"/>
        </w:rPr>
      </w:pPr>
    </w:p>
    <w:p w14:paraId="3AC97581" w14:textId="77777777" w:rsidR="00F74ADB" w:rsidRPr="00F74ADB" w:rsidRDefault="00F74ADB" w:rsidP="001D30BB">
      <w:pPr>
        <w:widowControl w:val="0"/>
        <w:autoSpaceDE w:val="0"/>
        <w:autoSpaceDN w:val="0"/>
        <w:adjustRightInd w:val="0"/>
        <w:ind w:left="360"/>
        <w:rPr>
          <w:rFonts w:ascii="Arial" w:hAnsi="Arial" w:cs="Arial"/>
          <w:sz w:val="22"/>
          <w:szCs w:val="22"/>
        </w:rPr>
      </w:pPr>
      <w:r w:rsidRPr="00F74ADB">
        <w:rPr>
          <w:rFonts w:ascii="Arial" w:hAnsi="Arial" w:cs="Arial"/>
          <w:sz w:val="22"/>
          <w:szCs w:val="22"/>
        </w:rPr>
        <w:t xml:space="preserve">The following </w:t>
      </w:r>
      <w:r w:rsidR="001D30BB">
        <w:rPr>
          <w:rFonts w:ascii="Arial" w:hAnsi="Arial" w:cs="Arial"/>
          <w:sz w:val="22"/>
          <w:szCs w:val="22"/>
        </w:rPr>
        <w:t xml:space="preserve">TTB </w:t>
      </w:r>
      <w:r w:rsidR="00C830B7">
        <w:rPr>
          <w:rFonts w:ascii="Arial" w:hAnsi="Arial" w:cs="Arial"/>
          <w:sz w:val="22"/>
          <w:szCs w:val="22"/>
        </w:rPr>
        <w:t>regulation</w:t>
      </w:r>
      <w:r w:rsidR="001D30BB">
        <w:rPr>
          <w:rFonts w:ascii="Arial" w:hAnsi="Arial" w:cs="Arial"/>
          <w:sz w:val="22"/>
          <w:szCs w:val="22"/>
        </w:rPr>
        <w:t>s</w:t>
      </w:r>
      <w:r w:rsidR="00C830B7">
        <w:rPr>
          <w:rFonts w:ascii="Arial" w:hAnsi="Arial" w:cs="Arial"/>
          <w:sz w:val="22"/>
          <w:szCs w:val="22"/>
        </w:rPr>
        <w:t xml:space="preserve"> </w:t>
      </w:r>
      <w:r w:rsidR="001D30BB">
        <w:rPr>
          <w:rFonts w:ascii="Arial" w:hAnsi="Arial" w:cs="Arial"/>
          <w:sz w:val="22"/>
          <w:szCs w:val="22"/>
        </w:rPr>
        <w:t xml:space="preserve">in 27 CFR part 20 </w:t>
      </w:r>
      <w:r w:rsidR="00C830B7">
        <w:rPr>
          <w:rFonts w:ascii="Arial" w:hAnsi="Arial" w:cs="Arial"/>
          <w:sz w:val="22"/>
          <w:szCs w:val="22"/>
        </w:rPr>
        <w:t xml:space="preserve">contain </w:t>
      </w:r>
      <w:r w:rsidR="001D30BB">
        <w:rPr>
          <w:rFonts w:ascii="Arial" w:hAnsi="Arial" w:cs="Arial"/>
          <w:sz w:val="22"/>
          <w:szCs w:val="22"/>
        </w:rPr>
        <w:t xml:space="preserve">letterhead application or notice </w:t>
      </w:r>
      <w:r w:rsidRPr="00F74ADB">
        <w:rPr>
          <w:rFonts w:ascii="Arial" w:hAnsi="Arial" w:cs="Arial"/>
          <w:sz w:val="22"/>
          <w:szCs w:val="22"/>
        </w:rPr>
        <w:t xml:space="preserve">reporting requirements </w:t>
      </w:r>
      <w:r w:rsidR="001D30BB">
        <w:rPr>
          <w:rFonts w:ascii="Arial" w:hAnsi="Arial" w:cs="Arial"/>
          <w:sz w:val="22"/>
          <w:szCs w:val="22"/>
        </w:rPr>
        <w:t xml:space="preserve">relating to denatured distilled spirits </w:t>
      </w:r>
      <w:r w:rsidRPr="00F74ADB">
        <w:rPr>
          <w:rFonts w:ascii="Arial" w:hAnsi="Arial" w:cs="Arial"/>
          <w:sz w:val="22"/>
          <w:szCs w:val="22"/>
        </w:rPr>
        <w:t>a</w:t>
      </w:r>
      <w:r w:rsidR="00C830B7">
        <w:rPr>
          <w:rFonts w:ascii="Arial" w:hAnsi="Arial" w:cs="Arial"/>
          <w:sz w:val="22"/>
          <w:szCs w:val="22"/>
        </w:rPr>
        <w:t>pproved under</w:t>
      </w:r>
      <w:r w:rsidR="001D30BB">
        <w:rPr>
          <w:rFonts w:ascii="Arial" w:hAnsi="Arial" w:cs="Arial"/>
          <w:sz w:val="22"/>
          <w:szCs w:val="22"/>
        </w:rPr>
        <w:t xml:space="preserve"> this information collection: </w:t>
      </w:r>
    </w:p>
    <w:p w14:paraId="5DADAF54" w14:textId="77777777" w:rsidR="00F74ADB" w:rsidRPr="00F74ADB" w:rsidRDefault="00F74ADB" w:rsidP="001D30BB">
      <w:pPr>
        <w:widowControl w:val="0"/>
        <w:autoSpaceDE w:val="0"/>
        <w:autoSpaceDN w:val="0"/>
        <w:adjustRightInd w:val="0"/>
        <w:ind w:left="360"/>
        <w:rPr>
          <w:rFonts w:ascii="Arial" w:hAnsi="Arial" w:cs="Arial"/>
          <w:sz w:val="22"/>
          <w:szCs w:val="22"/>
        </w:rPr>
      </w:pPr>
    </w:p>
    <w:p w14:paraId="6B2BFEB5" w14:textId="77777777" w:rsidR="00F74ADB" w:rsidRPr="00F74ADB" w:rsidRDefault="00F74ADB" w:rsidP="00E94362">
      <w:pPr>
        <w:widowControl w:val="0"/>
        <w:tabs>
          <w:tab w:val="left" w:pos="1620"/>
        </w:tabs>
        <w:autoSpaceDE w:val="0"/>
        <w:autoSpaceDN w:val="0"/>
        <w:adjustRightInd w:val="0"/>
        <w:ind w:left="1620" w:hanging="900"/>
        <w:rPr>
          <w:rFonts w:ascii="Arial" w:hAnsi="Arial" w:cs="Arial"/>
          <w:sz w:val="22"/>
          <w:szCs w:val="22"/>
        </w:rPr>
      </w:pPr>
      <w:r w:rsidRPr="00F74ADB">
        <w:rPr>
          <w:rFonts w:ascii="Arial" w:hAnsi="Arial" w:cs="Arial"/>
          <w:sz w:val="22"/>
          <w:szCs w:val="22"/>
        </w:rPr>
        <w:t>20.22</w:t>
      </w:r>
      <w:r w:rsidRPr="00F74ADB">
        <w:rPr>
          <w:rFonts w:ascii="Arial" w:hAnsi="Arial" w:cs="Arial"/>
          <w:sz w:val="22"/>
          <w:szCs w:val="22"/>
        </w:rPr>
        <w:tab/>
        <w:t xml:space="preserve">Alternate Methods or Procedures, and Emergency Variations From Requirements. </w:t>
      </w:r>
    </w:p>
    <w:p w14:paraId="11D753C0" w14:textId="77777777" w:rsidR="00F74ADB" w:rsidRPr="00F74ADB" w:rsidRDefault="00F74ADB" w:rsidP="00E94362">
      <w:pPr>
        <w:widowControl w:val="0"/>
        <w:tabs>
          <w:tab w:val="left" w:pos="1620"/>
        </w:tabs>
        <w:autoSpaceDE w:val="0"/>
        <w:autoSpaceDN w:val="0"/>
        <w:adjustRightInd w:val="0"/>
        <w:ind w:left="1620" w:hanging="900"/>
        <w:rPr>
          <w:rFonts w:ascii="Arial" w:hAnsi="Arial" w:cs="Arial"/>
          <w:sz w:val="22"/>
          <w:szCs w:val="22"/>
        </w:rPr>
      </w:pPr>
      <w:r w:rsidRPr="00F74ADB">
        <w:rPr>
          <w:rFonts w:ascii="Arial" w:hAnsi="Arial" w:cs="Arial"/>
          <w:sz w:val="22"/>
          <w:szCs w:val="22"/>
        </w:rPr>
        <w:t>20.56</w:t>
      </w:r>
      <w:r w:rsidRPr="00F74ADB">
        <w:rPr>
          <w:rFonts w:ascii="Arial" w:hAnsi="Arial" w:cs="Arial"/>
          <w:sz w:val="22"/>
          <w:szCs w:val="22"/>
        </w:rPr>
        <w:tab/>
        <w:t xml:space="preserve">Changes Affecting Applications and Permits. </w:t>
      </w:r>
    </w:p>
    <w:p w14:paraId="0CB4B91B" w14:textId="77777777" w:rsidR="00F74ADB" w:rsidRPr="00F74ADB" w:rsidRDefault="00F74ADB" w:rsidP="00E94362">
      <w:pPr>
        <w:widowControl w:val="0"/>
        <w:tabs>
          <w:tab w:val="left" w:pos="1620"/>
        </w:tabs>
        <w:autoSpaceDE w:val="0"/>
        <w:autoSpaceDN w:val="0"/>
        <w:adjustRightInd w:val="0"/>
        <w:ind w:left="1620" w:hanging="900"/>
        <w:rPr>
          <w:rFonts w:ascii="Arial" w:hAnsi="Arial" w:cs="Arial"/>
          <w:sz w:val="22"/>
          <w:szCs w:val="22"/>
        </w:rPr>
      </w:pPr>
      <w:r w:rsidRPr="00F74ADB">
        <w:rPr>
          <w:rFonts w:ascii="Arial" w:hAnsi="Arial" w:cs="Arial"/>
          <w:sz w:val="22"/>
          <w:szCs w:val="22"/>
        </w:rPr>
        <w:t>20.57</w:t>
      </w:r>
      <w:r w:rsidRPr="00F74ADB">
        <w:rPr>
          <w:rFonts w:ascii="Arial" w:hAnsi="Arial" w:cs="Arial"/>
          <w:sz w:val="22"/>
          <w:szCs w:val="22"/>
        </w:rPr>
        <w:tab/>
        <w:t xml:space="preserve">Automatic Termination of Permits. </w:t>
      </w:r>
    </w:p>
    <w:p w14:paraId="0C2DF7CF" w14:textId="77777777" w:rsidR="00F74ADB" w:rsidRPr="00F74ADB" w:rsidRDefault="00F74ADB" w:rsidP="00E94362">
      <w:pPr>
        <w:widowControl w:val="0"/>
        <w:tabs>
          <w:tab w:val="left" w:pos="1620"/>
        </w:tabs>
        <w:autoSpaceDE w:val="0"/>
        <w:autoSpaceDN w:val="0"/>
        <w:adjustRightInd w:val="0"/>
        <w:ind w:left="1620" w:hanging="900"/>
        <w:rPr>
          <w:rFonts w:ascii="Arial" w:hAnsi="Arial" w:cs="Arial"/>
          <w:sz w:val="22"/>
          <w:szCs w:val="22"/>
        </w:rPr>
      </w:pPr>
      <w:r w:rsidRPr="00F74ADB">
        <w:rPr>
          <w:rFonts w:ascii="Arial" w:hAnsi="Arial" w:cs="Arial"/>
          <w:sz w:val="22"/>
          <w:szCs w:val="22"/>
        </w:rPr>
        <w:t>20.60</w:t>
      </w:r>
      <w:r w:rsidRPr="00F74ADB">
        <w:rPr>
          <w:rFonts w:ascii="Arial" w:hAnsi="Arial" w:cs="Arial"/>
          <w:sz w:val="22"/>
          <w:szCs w:val="22"/>
        </w:rPr>
        <w:tab/>
        <w:t xml:space="preserve">Change in Name of Permittee. </w:t>
      </w:r>
    </w:p>
    <w:p w14:paraId="5A88801D" w14:textId="77777777" w:rsidR="00F74ADB" w:rsidRPr="00F74ADB" w:rsidRDefault="00F74ADB" w:rsidP="00E94362">
      <w:pPr>
        <w:widowControl w:val="0"/>
        <w:tabs>
          <w:tab w:val="left" w:pos="1620"/>
        </w:tabs>
        <w:autoSpaceDE w:val="0"/>
        <w:autoSpaceDN w:val="0"/>
        <w:adjustRightInd w:val="0"/>
        <w:ind w:left="1620" w:hanging="900"/>
        <w:rPr>
          <w:rFonts w:ascii="Arial" w:hAnsi="Arial" w:cs="Arial"/>
          <w:sz w:val="22"/>
          <w:szCs w:val="22"/>
        </w:rPr>
      </w:pPr>
      <w:r w:rsidRPr="00F74ADB">
        <w:rPr>
          <w:rFonts w:ascii="Arial" w:hAnsi="Arial" w:cs="Arial"/>
          <w:sz w:val="22"/>
          <w:szCs w:val="22"/>
        </w:rPr>
        <w:t>20.61</w:t>
      </w:r>
      <w:r w:rsidRPr="00F74ADB">
        <w:rPr>
          <w:rFonts w:ascii="Arial" w:hAnsi="Arial" w:cs="Arial"/>
          <w:sz w:val="22"/>
          <w:szCs w:val="22"/>
        </w:rPr>
        <w:tab/>
        <w:t xml:space="preserve">Change in Trade Name. </w:t>
      </w:r>
    </w:p>
    <w:p w14:paraId="41A7B00D" w14:textId="77777777" w:rsidR="00F74ADB" w:rsidRPr="00F74ADB" w:rsidRDefault="00F74ADB" w:rsidP="00E94362">
      <w:pPr>
        <w:widowControl w:val="0"/>
        <w:tabs>
          <w:tab w:val="left" w:pos="1620"/>
        </w:tabs>
        <w:autoSpaceDE w:val="0"/>
        <w:autoSpaceDN w:val="0"/>
        <w:adjustRightInd w:val="0"/>
        <w:ind w:left="1620" w:hanging="900"/>
        <w:rPr>
          <w:rFonts w:ascii="Arial" w:hAnsi="Arial" w:cs="Arial"/>
          <w:sz w:val="22"/>
          <w:szCs w:val="22"/>
        </w:rPr>
      </w:pPr>
      <w:r w:rsidRPr="00F74ADB">
        <w:rPr>
          <w:rFonts w:ascii="Arial" w:hAnsi="Arial" w:cs="Arial"/>
          <w:sz w:val="22"/>
          <w:szCs w:val="22"/>
        </w:rPr>
        <w:t>20.62</w:t>
      </w:r>
      <w:r w:rsidRPr="00F74ADB">
        <w:rPr>
          <w:rFonts w:ascii="Arial" w:hAnsi="Arial" w:cs="Arial"/>
          <w:sz w:val="22"/>
          <w:szCs w:val="22"/>
        </w:rPr>
        <w:tab/>
        <w:t>Change in Location</w:t>
      </w:r>
      <w:r w:rsidR="001D30BB">
        <w:rPr>
          <w:rFonts w:ascii="Arial" w:hAnsi="Arial" w:cs="Arial"/>
          <w:sz w:val="22"/>
          <w:szCs w:val="22"/>
        </w:rPr>
        <w:t>.</w:t>
      </w:r>
      <w:r w:rsidRPr="00F74ADB">
        <w:rPr>
          <w:rFonts w:ascii="Arial" w:hAnsi="Arial" w:cs="Arial"/>
          <w:sz w:val="22"/>
          <w:szCs w:val="22"/>
        </w:rPr>
        <w:t xml:space="preserve"> </w:t>
      </w:r>
    </w:p>
    <w:p w14:paraId="5919C28E" w14:textId="77777777" w:rsidR="00F74ADB" w:rsidRPr="00F74ADB" w:rsidRDefault="00F74ADB" w:rsidP="00E94362">
      <w:pPr>
        <w:widowControl w:val="0"/>
        <w:tabs>
          <w:tab w:val="left" w:pos="1620"/>
        </w:tabs>
        <w:autoSpaceDE w:val="0"/>
        <w:autoSpaceDN w:val="0"/>
        <w:adjustRightInd w:val="0"/>
        <w:ind w:left="1620" w:hanging="900"/>
        <w:rPr>
          <w:rFonts w:ascii="Arial" w:hAnsi="Arial" w:cs="Arial"/>
          <w:sz w:val="22"/>
          <w:szCs w:val="22"/>
        </w:rPr>
      </w:pPr>
      <w:r w:rsidRPr="00F74ADB">
        <w:rPr>
          <w:rFonts w:ascii="Arial" w:hAnsi="Arial" w:cs="Arial"/>
          <w:sz w:val="22"/>
          <w:szCs w:val="22"/>
        </w:rPr>
        <w:t>20.63</w:t>
      </w:r>
      <w:r w:rsidRPr="00F74ADB">
        <w:rPr>
          <w:rFonts w:ascii="Arial" w:hAnsi="Arial" w:cs="Arial"/>
          <w:sz w:val="22"/>
          <w:szCs w:val="22"/>
        </w:rPr>
        <w:tab/>
        <w:t xml:space="preserve">Adoption of Formulas and Statement of Process. </w:t>
      </w:r>
    </w:p>
    <w:p w14:paraId="4C49A7A3" w14:textId="77777777" w:rsidR="00F74ADB" w:rsidRPr="00F74ADB" w:rsidRDefault="00F74ADB" w:rsidP="00E94362">
      <w:pPr>
        <w:widowControl w:val="0"/>
        <w:tabs>
          <w:tab w:val="left" w:pos="1620"/>
        </w:tabs>
        <w:autoSpaceDE w:val="0"/>
        <w:autoSpaceDN w:val="0"/>
        <w:adjustRightInd w:val="0"/>
        <w:ind w:left="1620" w:hanging="900"/>
        <w:rPr>
          <w:rFonts w:ascii="Arial" w:hAnsi="Arial" w:cs="Arial"/>
          <w:sz w:val="22"/>
          <w:szCs w:val="22"/>
        </w:rPr>
      </w:pPr>
      <w:r w:rsidRPr="00F74ADB">
        <w:rPr>
          <w:rFonts w:ascii="Arial" w:hAnsi="Arial" w:cs="Arial"/>
          <w:sz w:val="22"/>
          <w:szCs w:val="22"/>
        </w:rPr>
        <w:t>20.68</w:t>
      </w:r>
      <w:r w:rsidRPr="00F74ADB">
        <w:rPr>
          <w:rFonts w:ascii="Arial" w:hAnsi="Arial" w:cs="Arial"/>
          <w:sz w:val="22"/>
          <w:szCs w:val="22"/>
        </w:rPr>
        <w:tab/>
        <w:t xml:space="preserve">Notice of Permanent Discontinuance. </w:t>
      </w:r>
    </w:p>
    <w:p w14:paraId="40B10131" w14:textId="77777777" w:rsidR="00F74ADB" w:rsidRPr="00F74ADB" w:rsidRDefault="00F74ADB" w:rsidP="00E94362">
      <w:pPr>
        <w:widowControl w:val="0"/>
        <w:tabs>
          <w:tab w:val="left" w:pos="1620"/>
        </w:tabs>
        <w:autoSpaceDE w:val="0"/>
        <w:autoSpaceDN w:val="0"/>
        <w:adjustRightInd w:val="0"/>
        <w:ind w:left="1620" w:hanging="900"/>
        <w:rPr>
          <w:rFonts w:ascii="Arial" w:hAnsi="Arial" w:cs="Arial"/>
          <w:sz w:val="22"/>
          <w:szCs w:val="22"/>
        </w:rPr>
      </w:pPr>
      <w:r w:rsidRPr="00F74ADB">
        <w:rPr>
          <w:rFonts w:ascii="Arial" w:hAnsi="Arial" w:cs="Arial"/>
          <w:sz w:val="22"/>
          <w:szCs w:val="22"/>
        </w:rPr>
        <w:t>20.111</w:t>
      </w:r>
      <w:r w:rsidRPr="00F74ADB">
        <w:rPr>
          <w:rFonts w:ascii="Arial" w:hAnsi="Arial" w:cs="Arial"/>
          <w:sz w:val="22"/>
          <w:szCs w:val="22"/>
        </w:rPr>
        <w:tab/>
        <w:t xml:space="preserve">General (General Use Formulas). </w:t>
      </w:r>
    </w:p>
    <w:p w14:paraId="61877AA2" w14:textId="77777777" w:rsidR="00F74ADB" w:rsidRPr="00F74ADB" w:rsidRDefault="00F74ADB" w:rsidP="00E94362">
      <w:pPr>
        <w:widowControl w:val="0"/>
        <w:tabs>
          <w:tab w:val="left" w:pos="1620"/>
        </w:tabs>
        <w:autoSpaceDE w:val="0"/>
        <w:autoSpaceDN w:val="0"/>
        <w:adjustRightInd w:val="0"/>
        <w:ind w:left="1620" w:hanging="900"/>
        <w:rPr>
          <w:rFonts w:ascii="Arial" w:hAnsi="Arial" w:cs="Arial"/>
          <w:sz w:val="22"/>
          <w:szCs w:val="22"/>
        </w:rPr>
      </w:pPr>
      <w:r w:rsidRPr="00F74ADB">
        <w:rPr>
          <w:rFonts w:ascii="Arial" w:hAnsi="Arial" w:cs="Arial"/>
          <w:sz w:val="22"/>
          <w:szCs w:val="22"/>
        </w:rPr>
        <w:t>20.117</w:t>
      </w:r>
      <w:r w:rsidRPr="00F74ADB">
        <w:rPr>
          <w:rFonts w:ascii="Arial" w:hAnsi="Arial" w:cs="Arial"/>
          <w:sz w:val="22"/>
          <w:szCs w:val="22"/>
        </w:rPr>
        <w:tab/>
        <w:t xml:space="preserve">Reagent Alcohol General Use Formula. </w:t>
      </w:r>
    </w:p>
    <w:p w14:paraId="25787DC8" w14:textId="77777777" w:rsidR="00F74ADB" w:rsidRPr="00F74ADB" w:rsidRDefault="00F74ADB" w:rsidP="00E94362">
      <w:pPr>
        <w:widowControl w:val="0"/>
        <w:tabs>
          <w:tab w:val="left" w:pos="1620"/>
        </w:tabs>
        <w:autoSpaceDE w:val="0"/>
        <w:autoSpaceDN w:val="0"/>
        <w:adjustRightInd w:val="0"/>
        <w:ind w:left="1620" w:hanging="900"/>
        <w:rPr>
          <w:rFonts w:ascii="Arial" w:hAnsi="Arial" w:cs="Arial"/>
          <w:sz w:val="22"/>
          <w:szCs w:val="22"/>
        </w:rPr>
      </w:pPr>
      <w:r w:rsidRPr="00F74ADB">
        <w:rPr>
          <w:rFonts w:ascii="Arial" w:hAnsi="Arial" w:cs="Arial"/>
          <w:sz w:val="22"/>
          <w:szCs w:val="22"/>
        </w:rPr>
        <w:t xml:space="preserve">20.133 </w:t>
      </w:r>
      <w:r w:rsidRPr="00F74ADB">
        <w:rPr>
          <w:rFonts w:ascii="Arial" w:hAnsi="Arial" w:cs="Arial"/>
          <w:sz w:val="22"/>
          <w:szCs w:val="22"/>
        </w:rPr>
        <w:tab/>
        <w:t xml:space="preserve">Registration of Persons Trafficking in Articles. </w:t>
      </w:r>
    </w:p>
    <w:p w14:paraId="1A7E2ED6" w14:textId="77777777" w:rsidR="00F74ADB" w:rsidRPr="00F74ADB" w:rsidRDefault="00F74ADB" w:rsidP="00E94362">
      <w:pPr>
        <w:widowControl w:val="0"/>
        <w:tabs>
          <w:tab w:val="left" w:pos="1620"/>
        </w:tabs>
        <w:autoSpaceDE w:val="0"/>
        <w:autoSpaceDN w:val="0"/>
        <w:adjustRightInd w:val="0"/>
        <w:ind w:left="1620" w:hanging="900"/>
        <w:rPr>
          <w:rFonts w:ascii="Arial" w:hAnsi="Arial" w:cs="Arial"/>
          <w:sz w:val="22"/>
          <w:szCs w:val="22"/>
        </w:rPr>
      </w:pPr>
      <w:r w:rsidRPr="00F74ADB">
        <w:rPr>
          <w:rFonts w:ascii="Arial" w:hAnsi="Arial" w:cs="Arial"/>
          <w:sz w:val="22"/>
          <w:szCs w:val="22"/>
        </w:rPr>
        <w:t xml:space="preserve">20.134 </w:t>
      </w:r>
      <w:r w:rsidRPr="00F74ADB">
        <w:rPr>
          <w:rFonts w:ascii="Arial" w:hAnsi="Arial" w:cs="Arial"/>
          <w:sz w:val="22"/>
          <w:szCs w:val="22"/>
        </w:rPr>
        <w:tab/>
        <w:t xml:space="preserve">Labeling (Articles). </w:t>
      </w:r>
    </w:p>
    <w:p w14:paraId="75D77EA9" w14:textId="77777777" w:rsidR="00F74ADB" w:rsidRPr="00F74ADB" w:rsidRDefault="00F74ADB" w:rsidP="00E94362">
      <w:pPr>
        <w:widowControl w:val="0"/>
        <w:tabs>
          <w:tab w:val="left" w:pos="1620"/>
        </w:tabs>
        <w:autoSpaceDE w:val="0"/>
        <w:autoSpaceDN w:val="0"/>
        <w:adjustRightInd w:val="0"/>
        <w:ind w:left="1620" w:hanging="900"/>
        <w:rPr>
          <w:rFonts w:ascii="Arial" w:hAnsi="Arial" w:cs="Arial"/>
          <w:sz w:val="22"/>
          <w:szCs w:val="22"/>
        </w:rPr>
      </w:pPr>
      <w:r w:rsidRPr="00F74ADB">
        <w:rPr>
          <w:rFonts w:ascii="Arial" w:hAnsi="Arial" w:cs="Arial"/>
          <w:sz w:val="22"/>
          <w:szCs w:val="22"/>
        </w:rPr>
        <w:t xml:space="preserve">20.202 </w:t>
      </w:r>
      <w:r w:rsidRPr="00F74ADB">
        <w:rPr>
          <w:rFonts w:ascii="Arial" w:hAnsi="Arial" w:cs="Arial"/>
          <w:sz w:val="22"/>
          <w:szCs w:val="22"/>
        </w:rPr>
        <w:tab/>
        <w:t xml:space="preserve">Losses in Transit. </w:t>
      </w:r>
    </w:p>
    <w:p w14:paraId="67231F11" w14:textId="77777777" w:rsidR="00F74ADB" w:rsidRPr="00F74ADB" w:rsidRDefault="00F74ADB" w:rsidP="00E94362">
      <w:pPr>
        <w:widowControl w:val="0"/>
        <w:tabs>
          <w:tab w:val="left" w:pos="1620"/>
        </w:tabs>
        <w:autoSpaceDE w:val="0"/>
        <w:autoSpaceDN w:val="0"/>
        <w:adjustRightInd w:val="0"/>
        <w:ind w:left="1620" w:hanging="900"/>
        <w:rPr>
          <w:rFonts w:ascii="Arial" w:hAnsi="Arial" w:cs="Arial"/>
          <w:sz w:val="22"/>
          <w:szCs w:val="22"/>
        </w:rPr>
      </w:pPr>
      <w:r w:rsidRPr="00F74ADB">
        <w:rPr>
          <w:rFonts w:ascii="Arial" w:hAnsi="Arial" w:cs="Arial"/>
          <w:sz w:val="22"/>
          <w:szCs w:val="22"/>
        </w:rPr>
        <w:t xml:space="preserve">20.234 </w:t>
      </w:r>
      <w:r w:rsidRPr="00F74ADB">
        <w:rPr>
          <w:rFonts w:ascii="Arial" w:hAnsi="Arial" w:cs="Arial"/>
          <w:sz w:val="22"/>
          <w:szCs w:val="22"/>
        </w:rPr>
        <w:tab/>
        <w:t xml:space="preserve">Disposition on Permanent Discontinuance of Use. </w:t>
      </w:r>
    </w:p>
    <w:p w14:paraId="496BAAD0" w14:textId="77777777" w:rsidR="00F74ADB" w:rsidRPr="00F74ADB" w:rsidRDefault="00F74ADB" w:rsidP="00E94362">
      <w:pPr>
        <w:widowControl w:val="0"/>
        <w:tabs>
          <w:tab w:val="left" w:pos="1620"/>
        </w:tabs>
        <w:autoSpaceDE w:val="0"/>
        <w:autoSpaceDN w:val="0"/>
        <w:adjustRightInd w:val="0"/>
        <w:ind w:left="1620" w:hanging="900"/>
        <w:rPr>
          <w:rFonts w:ascii="Arial" w:hAnsi="Arial" w:cs="Arial"/>
          <w:sz w:val="22"/>
          <w:szCs w:val="22"/>
        </w:rPr>
      </w:pPr>
      <w:r w:rsidRPr="00F74ADB">
        <w:rPr>
          <w:rFonts w:ascii="Arial" w:hAnsi="Arial" w:cs="Arial"/>
          <w:sz w:val="22"/>
          <w:szCs w:val="22"/>
        </w:rPr>
        <w:t xml:space="preserve">20.252 </w:t>
      </w:r>
      <w:r w:rsidRPr="00F74ADB">
        <w:rPr>
          <w:rFonts w:ascii="Arial" w:hAnsi="Arial" w:cs="Arial"/>
          <w:sz w:val="22"/>
          <w:szCs w:val="22"/>
        </w:rPr>
        <w:tab/>
        <w:t xml:space="preserve">Samples Larger Than Five Gallons. </w:t>
      </w:r>
    </w:p>
    <w:p w14:paraId="4284CD05" w14:textId="77777777" w:rsidR="00F74ADB" w:rsidRPr="00F74ADB" w:rsidRDefault="00F74ADB" w:rsidP="00E94362">
      <w:pPr>
        <w:widowControl w:val="0"/>
        <w:tabs>
          <w:tab w:val="left" w:pos="1620"/>
        </w:tabs>
        <w:autoSpaceDE w:val="0"/>
        <w:autoSpaceDN w:val="0"/>
        <w:adjustRightInd w:val="0"/>
        <w:ind w:left="1620" w:hanging="900"/>
        <w:rPr>
          <w:rFonts w:ascii="Arial" w:hAnsi="Arial" w:cs="Arial"/>
          <w:sz w:val="22"/>
          <w:szCs w:val="22"/>
        </w:rPr>
      </w:pPr>
      <w:r w:rsidRPr="00F74ADB">
        <w:rPr>
          <w:rFonts w:ascii="Arial" w:hAnsi="Arial" w:cs="Arial"/>
          <w:sz w:val="22"/>
          <w:szCs w:val="22"/>
        </w:rPr>
        <w:t xml:space="preserve">20.265 </w:t>
      </w:r>
      <w:r w:rsidRPr="00F74ADB">
        <w:rPr>
          <w:rFonts w:ascii="Arial" w:hAnsi="Arial" w:cs="Arial"/>
          <w:sz w:val="22"/>
          <w:szCs w:val="22"/>
        </w:rPr>
        <w:tab/>
        <w:t xml:space="preserve">Retention of Invoices. </w:t>
      </w:r>
    </w:p>
    <w:p w14:paraId="7BBA2263" w14:textId="77777777" w:rsidR="00B06EE5" w:rsidRDefault="00B06EE5" w:rsidP="00987432">
      <w:pPr>
        <w:ind w:left="360"/>
        <w:rPr>
          <w:rFonts w:ascii="Arial" w:hAnsi="Arial" w:cs="Arial"/>
          <w:sz w:val="22"/>
          <w:szCs w:val="22"/>
        </w:rPr>
      </w:pPr>
    </w:p>
    <w:p w14:paraId="2EC62D8C"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03CE17D3" w14:textId="77777777" w:rsidR="00ED4A03" w:rsidRPr="00EE1CF5" w:rsidRDefault="00ED4A03" w:rsidP="00987432">
      <w:pPr>
        <w:numPr>
          <w:ilvl w:val="0"/>
          <w:numId w:val="1"/>
        </w:numPr>
        <w:suppressAutoHyphens/>
        <w:spacing w:before="80"/>
        <w:ind w:left="1080"/>
        <w:rPr>
          <w:rFonts w:ascii="Arial" w:hAnsi="Arial" w:cs="Arial"/>
          <w:sz w:val="22"/>
          <w:szCs w:val="22"/>
        </w:rPr>
      </w:pPr>
      <w:r w:rsidRPr="00EE1CF5">
        <w:rPr>
          <w:rFonts w:ascii="Arial" w:hAnsi="Arial" w:cs="Arial"/>
          <w:sz w:val="22"/>
          <w:szCs w:val="22"/>
        </w:rPr>
        <w:t xml:space="preserve">Line of Business/Sub-function:  </w:t>
      </w:r>
      <w:r w:rsidR="00EE1CF5" w:rsidRPr="00EE1CF5">
        <w:rPr>
          <w:rFonts w:ascii="Arial" w:hAnsi="Arial" w:cs="Arial"/>
          <w:sz w:val="22"/>
          <w:szCs w:val="22"/>
        </w:rPr>
        <w:t>Law Enforcement/Substance Control</w:t>
      </w:r>
      <w:r w:rsidR="00987432" w:rsidRPr="00EE1CF5">
        <w:rPr>
          <w:rFonts w:ascii="Arial" w:hAnsi="Arial" w:cs="Arial"/>
          <w:sz w:val="22"/>
          <w:szCs w:val="22"/>
        </w:rPr>
        <w:t>.</w:t>
      </w:r>
      <w:r w:rsidRPr="00EE1CF5">
        <w:rPr>
          <w:rFonts w:ascii="Arial" w:hAnsi="Arial" w:cs="Arial"/>
          <w:sz w:val="22"/>
          <w:szCs w:val="22"/>
        </w:rPr>
        <w:t xml:space="preserve"> </w:t>
      </w:r>
    </w:p>
    <w:p w14:paraId="1474A377" w14:textId="77777777" w:rsidR="005E4F99" w:rsidRPr="00EE1CF5" w:rsidRDefault="00ED4A03" w:rsidP="00987432">
      <w:pPr>
        <w:numPr>
          <w:ilvl w:val="0"/>
          <w:numId w:val="1"/>
        </w:numPr>
        <w:suppressAutoHyphens/>
        <w:spacing w:before="80"/>
        <w:ind w:left="1080"/>
        <w:rPr>
          <w:rFonts w:ascii="Arial" w:hAnsi="Arial" w:cs="Arial"/>
          <w:sz w:val="22"/>
          <w:szCs w:val="22"/>
        </w:rPr>
      </w:pPr>
      <w:proofErr w:type="gramStart"/>
      <w:r w:rsidRPr="00EE1CF5">
        <w:rPr>
          <w:rFonts w:ascii="Arial" w:hAnsi="Arial" w:cs="Arial"/>
          <w:sz w:val="22"/>
          <w:szCs w:val="22"/>
        </w:rPr>
        <w:t>IT</w:t>
      </w:r>
      <w:proofErr w:type="gramEnd"/>
      <w:r w:rsidRPr="00EE1CF5">
        <w:rPr>
          <w:rFonts w:ascii="Arial" w:hAnsi="Arial" w:cs="Arial"/>
          <w:sz w:val="22"/>
          <w:szCs w:val="22"/>
        </w:rPr>
        <w:t xml:space="preserve"> Investment:  </w:t>
      </w:r>
      <w:r w:rsidR="00EE1CF5" w:rsidRPr="00EE1CF5">
        <w:rPr>
          <w:rFonts w:ascii="Arial" w:hAnsi="Arial" w:cs="Arial"/>
          <w:sz w:val="22"/>
          <w:szCs w:val="22"/>
        </w:rPr>
        <w:t>Tax Major Application Systems</w:t>
      </w:r>
      <w:r w:rsidR="00987432" w:rsidRPr="00EE1CF5">
        <w:rPr>
          <w:rFonts w:ascii="Arial" w:hAnsi="Arial" w:cs="Arial"/>
          <w:sz w:val="22"/>
          <w:szCs w:val="22"/>
        </w:rPr>
        <w:t xml:space="preserve">. </w:t>
      </w:r>
    </w:p>
    <w:p w14:paraId="59AFCD58" w14:textId="77777777" w:rsidR="005E4F99" w:rsidRPr="00090251" w:rsidRDefault="005E4F99" w:rsidP="00D73D2D">
      <w:pPr>
        <w:suppressAutoHyphens/>
        <w:rPr>
          <w:rFonts w:ascii="Arial" w:hAnsi="Arial" w:cs="Arial"/>
          <w:sz w:val="36"/>
          <w:szCs w:val="36"/>
        </w:rPr>
      </w:pPr>
    </w:p>
    <w:p w14:paraId="48657CE3"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7874FB16" w14:textId="77777777" w:rsidR="00AF1157" w:rsidRDefault="00AF1157" w:rsidP="000329F4">
      <w:pPr>
        <w:suppressAutoHyphens/>
        <w:ind w:left="360"/>
        <w:rPr>
          <w:rFonts w:ascii="Arial" w:hAnsi="Arial" w:cs="Arial"/>
          <w:sz w:val="22"/>
          <w:szCs w:val="22"/>
        </w:rPr>
      </w:pPr>
    </w:p>
    <w:p w14:paraId="3AD1670A" w14:textId="77777777" w:rsidR="00EE1CF5" w:rsidRPr="00EE1CF5" w:rsidRDefault="00EE1CF5" w:rsidP="00EE1CF5">
      <w:pPr>
        <w:widowControl w:val="0"/>
        <w:autoSpaceDE w:val="0"/>
        <w:autoSpaceDN w:val="0"/>
        <w:adjustRightInd w:val="0"/>
        <w:ind w:left="360"/>
        <w:rPr>
          <w:rFonts w:ascii="Arial" w:hAnsi="Arial" w:cs="Arial"/>
          <w:sz w:val="22"/>
          <w:szCs w:val="22"/>
        </w:rPr>
      </w:pPr>
      <w:r>
        <w:rPr>
          <w:rFonts w:ascii="Arial" w:hAnsi="Arial" w:cs="Arial"/>
          <w:sz w:val="22"/>
          <w:szCs w:val="22"/>
        </w:rPr>
        <w:t xml:space="preserve">TTB officials use </w:t>
      </w:r>
      <w:r w:rsidR="001D30BB">
        <w:rPr>
          <w:rFonts w:ascii="Arial" w:hAnsi="Arial" w:cs="Arial"/>
          <w:sz w:val="22"/>
          <w:szCs w:val="22"/>
        </w:rPr>
        <w:t xml:space="preserve">the </w:t>
      </w:r>
      <w:r>
        <w:rPr>
          <w:rFonts w:ascii="Arial" w:hAnsi="Arial" w:cs="Arial"/>
          <w:sz w:val="22"/>
          <w:szCs w:val="22"/>
        </w:rPr>
        <w:t>l</w:t>
      </w:r>
      <w:r w:rsidRPr="00EE1CF5">
        <w:rPr>
          <w:rFonts w:ascii="Arial" w:hAnsi="Arial" w:cs="Arial"/>
          <w:sz w:val="22"/>
          <w:szCs w:val="22"/>
        </w:rPr>
        <w:t xml:space="preserve">etterhead application and notice requirements </w:t>
      </w:r>
      <w:r w:rsidR="001D30BB">
        <w:rPr>
          <w:rFonts w:ascii="Arial" w:hAnsi="Arial" w:cs="Arial"/>
          <w:sz w:val="22"/>
          <w:szCs w:val="22"/>
        </w:rPr>
        <w:t xml:space="preserve">contained in this information collection </w:t>
      </w:r>
      <w:r w:rsidRPr="00EE1CF5">
        <w:rPr>
          <w:rFonts w:ascii="Arial" w:hAnsi="Arial" w:cs="Arial"/>
          <w:sz w:val="22"/>
          <w:szCs w:val="22"/>
        </w:rPr>
        <w:t xml:space="preserve">to ensure that lawful and appropriate actions are taken with regard to denatured alcohol.  Additionally, </w:t>
      </w:r>
      <w:r>
        <w:rPr>
          <w:rFonts w:ascii="Arial" w:hAnsi="Arial" w:cs="Arial"/>
          <w:sz w:val="22"/>
          <w:szCs w:val="22"/>
        </w:rPr>
        <w:t xml:space="preserve">the regulated individual maintains </w:t>
      </w:r>
      <w:r w:rsidRPr="00EE1CF5">
        <w:rPr>
          <w:rFonts w:ascii="Arial" w:hAnsi="Arial" w:cs="Arial"/>
          <w:sz w:val="22"/>
          <w:szCs w:val="22"/>
        </w:rPr>
        <w:t xml:space="preserve">a record of these reports for 3 years at the premises and </w:t>
      </w:r>
      <w:r>
        <w:rPr>
          <w:rFonts w:ascii="Arial" w:hAnsi="Arial" w:cs="Arial"/>
          <w:sz w:val="22"/>
          <w:szCs w:val="22"/>
        </w:rPr>
        <w:t>TTB routinely inspects</w:t>
      </w:r>
      <w:r w:rsidRPr="00EE1CF5">
        <w:rPr>
          <w:rFonts w:ascii="Arial" w:hAnsi="Arial" w:cs="Arial"/>
          <w:sz w:val="22"/>
          <w:szCs w:val="22"/>
        </w:rPr>
        <w:t xml:space="preserve"> </w:t>
      </w:r>
      <w:r>
        <w:rPr>
          <w:rFonts w:ascii="Arial" w:hAnsi="Arial" w:cs="Arial"/>
          <w:sz w:val="22"/>
          <w:szCs w:val="22"/>
        </w:rPr>
        <w:t>them</w:t>
      </w:r>
      <w:r w:rsidRPr="00EE1CF5">
        <w:rPr>
          <w:rFonts w:ascii="Arial" w:hAnsi="Arial" w:cs="Arial"/>
          <w:sz w:val="22"/>
          <w:szCs w:val="22"/>
        </w:rPr>
        <w:t xml:space="preserve"> during field tax compliance examinations.  These examinations are necessary to verify that all specially denatured spirits can be accounted for and are being used only for purposes authorized by law and regulations.  </w:t>
      </w:r>
    </w:p>
    <w:p w14:paraId="0E6AC1C7" w14:textId="77777777" w:rsidR="00EE1CF5" w:rsidRPr="00EE1CF5" w:rsidRDefault="00EE1CF5" w:rsidP="00EE1CF5">
      <w:pPr>
        <w:widowControl w:val="0"/>
        <w:autoSpaceDE w:val="0"/>
        <w:autoSpaceDN w:val="0"/>
        <w:adjustRightInd w:val="0"/>
        <w:ind w:left="360"/>
        <w:rPr>
          <w:rFonts w:ascii="Arial" w:hAnsi="Arial" w:cs="Arial"/>
          <w:sz w:val="22"/>
          <w:szCs w:val="22"/>
        </w:rPr>
      </w:pPr>
    </w:p>
    <w:p w14:paraId="3098AC49" w14:textId="77777777" w:rsidR="00EE1CF5" w:rsidRPr="00EE1CF5" w:rsidRDefault="00EE1CF5" w:rsidP="00EE1CF5">
      <w:pPr>
        <w:widowControl w:val="0"/>
        <w:autoSpaceDE w:val="0"/>
        <w:autoSpaceDN w:val="0"/>
        <w:adjustRightInd w:val="0"/>
        <w:ind w:left="360"/>
        <w:rPr>
          <w:rFonts w:ascii="Arial" w:hAnsi="Arial" w:cs="Arial"/>
          <w:sz w:val="22"/>
          <w:szCs w:val="22"/>
        </w:rPr>
      </w:pPr>
      <w:r w:rsidRPr="00EE1CF5">
        <w:rPr>
          <w:rFonts w:ascii="Arial" w:hAnsi="Arial" w:cs="Arial"/>
          <w:sz w:val="22"/>
          <w:szCs w:val="22"/>
        </w:rPr>
        <w:t xml:space="preserve">By ensuring that spirits have not been diverted to beverage use, </w:t>
      </w:r>
      <w:r>
        <w:rPr>
          <w:rFonts w:ascii="Arial" w:hAnsi="Arial" w:cs="Arial"/>
          <w:sz w:val="22"/>
          <w:szCs w:val="22"/>
        </w:rPr>
        <w:t xml:space="preserve">TTB protects </w:t>
      </w:r>
      <w:r w:rsidRPr="00EE1CF5">
        <w:rPr>
          <w:rFonts w:ascii="Arial" w:hAnsi="Arial" w:cs="Arial"/>
          <w:sz w:val="22"/>
          <w:szCs w:val="22"/>
        </w:rPr>
        <w:t xml:space="preserve">tax revenue and public safety. </w:t>
      </w:r>
    </w:p>
    <w:p w14:paraId="6C1640D0" w14:textId="77777777" w:rsidR="00AF1157" w:rsidRPr="00090251" w:rsidRDefault="00AF1157" w:rsidP="00D73D2D">
      <w:pPr>
        <w:ind w:left="576" w:hanging="576"/>
        <w:rPr>
          <w:rFonts w:ascii="Arial" w:hAnsi="Arial" w:cs="Arial"/>
          <w:sz w:val="36"/>
          <w:szCs w:val="36"/>
        </w:rPr>
      </w:pPr>
    </w:p>
    <w:p w14:paraId="2CC152AA"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lastRenderedPageBreak/>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0F8D1B34" w14:textId="77777777" w:rsidR="00AF1157" w:rsidRPr="007A5D4B" w:rsidRDefault="00AF1157" w:rsidP="00D73D2D">
      <w:pPr>
        <w:suppressAutoHyphens/>
        <w:rPr>
          <w:rFonts w:ascii="Arial" w:hAnsi="Arial" w:cs="Arial"/>
          <w:sz w:val="22"/>
          <w:szCs w:val="22"/>
        </w:rPr>
      </w:pPr>
    </w:p>
    <w:p w14:paraId="33594C65" w14:textId="77777777" w:rsidR="00F10C50" w:rsidRDefault="00F10C50" w:rsidP="00AA3F8F">
      <w:pPr>
        <w:tabs>
          <w:tab w:val="left" w:pos="8496"/>
        </w:tabs>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p>
    <w:p w14:paraId="03D48281" w14:textId="77777777" w:rsidR="00AF1157" w:rsidRPr="00090251" w:rsidRDefault="00AF1157" w:rsidP="00D73D2D">
      <w:pPr>
        <w:suppressAutoHyphens/>
        <w:rPr>
          <w:rFonts w:ascii="Arial" w:hAnsi="Arial" w:cs="Arial"/>
          <w:sz w:val="36"/>
          <w:szCs w:val="36"/>
        </w:rPr>
      </w:pPr>
    </w:p>
    <w:p w14:paraId="0A9F511A"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CF71BCD" w14:textId="77777777" w:rsidR="00AF1157" w:rsidRPr="007A5D4B" w:rsidRDefault="00AF1157" w:rsidP="00D73D2D">
      <w:pPr>
        <w:suppressAutoHyphens/>
        <w:ind w:left="480" w:hanging="480"/>
        <w:rPr>
          <w:rFonts w:ascii="Arial" w:hAnsi="Arial" w:cs="Arial"/>
          <w:sz w:val="22"/>
          <w:szCs w:val="22"/>
        </w:rPr>
      </w:pPr>
    </w:p>
    <w:p w14:paraId="4EF25AA4" w14:textId="44DD6BBF" w:rsidR="009C17D3" w:rsidRPr="00B44EC4" w:rsidRDefault="009C17D3" w:rsidP="009C17D3">
      <w:pPr>
        <w:ind w:left="360"/>
        <w:rPr>
          <w:rFonts w:ascii="Arial" w:hAnsi="Arial" w:cs="Arial"/>
          <w:sz w:val="22"/>
          <w:szCs w:val="22"/>
        </w:rPr>
      </w:pPr>
      <w:r w:rsidRPr="00B44EC4">
        <w:rPr>
          <w:rFonts w:ascii="Arial" w:hAnsi="Arial" w:cs="Arial"/>
          <w:sz w:val="22"/>
          <w:szCs w:val="22"/>
        </w:rPr>
        <w:t xml:space="preserve">The letterhead applications and notices </w:t>
      </w:r>
      <w:r>
        <w:rPr>
          <w:rFonts w:ascii="Arial" w:hAnsi="Arial" w:cs="Arial"/>
          <w:sz w:val="22"/>
          <w:szCs w:val="22"/>
        </w:rPr>
        <w:t xml:space="preserve">required under this information collection submission </w:t>
      </w:r>
      <w:r w:rsidRPr="00B44EC4">
        <w:rPr>
          <w:rFonts w:ascii="Arial" w:hAnsi="Arial" w:cs="Arial"/>
          <w:sz w:val="22"/>
          <w:szCs w:val="22"/>
        </w:rPr>
        <w:t xml:space="preserve">contain information pertinent to each respondent and applicable to </w:t>
      </w:r>
      <w:r w:rsidR="00B46947" w:rsidRPr="00B44EC4">
        <w:rPr>
          <w:rFonts w:ascii="Arial" w:hAnsi="Arial" w:cs="Arial"/>
          <w:sz w:val="22"/>
          <w:szCs w:val="22"/>
        </w:rPr>
        <w:t>the</w:t>
      </w:r>
      <w:r w:rsidR="00B46947">
        <w:rPr>
          <w:rFonts w:ascii="Arial" w:hAnsi="Arial" w:cs="Arial"/>
          <w:sz w:val="22"/>
          <w:szCs w:val="22"/>
        </w:rPr>
        <w:t xml:space="preserve"> applicant’s </w:t>
      </w:r>
      <w:r w:rsidRPr="00B44EC4">
        <w:rPr>
          <w:rFonts w:ascii="Arial" w:hAnsi="Arial" w:cs="Arial"/>
          <w:sz w:val="22"/>
          <w:szCs w:val="22"/>
        </w:rPr>
        <w:t xml:space="preserve">specific </w:t>
      </w:r>
      <w:r w:rsidR="00B46947">
        <w:rPr>
          <w:rFonts w:ascii="Arial" w:hAnsi="Arial" w:cs="Arial"/>
          <w:sz w:val="22"/>
          <w:szCs w:val="22"/>
        </w:rPr>
        <w:t>activity</w:t>
      </w:r>
      <w:r w:rsidRPr="00B44EC4">
        <w:rPr>
          <w:rFonts w:ascii="Arial" w:hAnsi="Arial" w:cs="Arial"/>
          <w:sz w:val="22"/>
          <w:szCs w:val="22"/>
        </w:rPr>
        <w:t xml:space="preserve">.  As far as TTB can determine, similar information is not available elsewhere. </w:t>
      </w:r>
    </w:p>
    <w:p w14:paraId="428C373F" w14:textId="77777777" w:rsidR="007A5D4B" w:rsidRPr="00090251" w:rsidRDefault="007A5D4B" w:rsidP="007A5D4B">
      <w:pPr>
        <w:suppressAutoHyphens/>
        <w:rPr>
          <w:rFonts w:ascii="Arial" w:hAnsi="Arial" w:cs="Arial"/>
          <w:sz w:val="36"/>
          <w:szCs w:val="36"/>
        </w:rPr>
      </w:pPr>
    </w:p>
    <w:p w14:paraId="1830346C"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0C57C01F" w14:textId="77777777" w:rsidR="007A5D4B" w:rsidRPr="007A5D4B" w:rsidRDefault="007A5D4B" w:rsidP="007A5D4B">
      <w:pPr>
        <w:suppressAutoHyphens/>
        <w:ind w:left="480" w:hanging="480"/>
        <w:rPr>
          <w:rFonts w:ascii="Arial" w:hAnsi="Arial" w:cs="Arial"/>
          <w:sz w:val="22"/>
          <w:szCs w:val="22"/>
        </w:rPr>
      </w:pPr>
    </w:p>
    <w:p w14:paraId="1D72112C" w14:textId="77777777" w:rsidR="007A5D4B" w:rsidRPr="007A5D4B" w:rsidRDefault="0004708F" w:rsidP="004D086A">
      <w:pPr>
        <w:ind w:left="360"/>
        <w:rPr>
          <w:rFonts w:ascii="Arial" w:hAnsi="Arial" w:cs="Arial"/>
          <w:sz w:val="22"/>
          <w:szCs w:val="22"/>
        </w:rPr>
      </w:pPr>
      <w:r w:rsidRPr="00853E85">
        <w:rPr>
          <w:rFonts w:ascii="Arial" w:hAnsi="Arial" w:cs="Arial"/>
          <w:sz w:val="22"/>
          <w:szCs w:val="22"/>
        </w:rPr>
        <w:t xml:space="preserve">All entities, regardless of size, are required by </w:t>
      </w:r>
      <w:r w:rsidR="0080576B">
        <w:rPr>
          <w:rFonts w:ascii="Arial" w:hAnsi="Arial" w:cs="Arial"/>
          <w:sz w:val="22"/>
          <w:szCs w:val="22"/>
        </w:rPr>
        <w:t xml:space="preserve">27 CFR part 20 </w:t>
      </w:r>
      <w:r w:rsidR="00F10C50" w:rsidRPr="00853E85">
        <w:rPr>
          <w:rFonts w:ascii="Arial" w:hAnsi="Arial" w:cs="Arial"/>
          <w:sz w:val="22"/>
          <w:szCs w:val="22"/>
        </w:rPr>
        <w:t xml:space="preserve">to </w:t>
      </w:r>
      <w:r w:rsidR="00F11047" w:rsidRPr="00F11047">
        <w:rPr>
          <w:rFonts w:ascii="Arial" w:hAnsi="Arial" w:cs="Arial"/>
          <w:sz w:val="22"/>
          <w:szCs w:val="22"/>
        </w:rPr>
        <w:t>submit letterhead applications or notice</w:t>
      </w:r>
      <w:r w:rsidR="00B46947">
        <w:rPr>
          <w:rFonts w:ascii="Arial" w:hAnsi="Arial" w:cs="Arial"/>
          <w:sz w:val="22"/>
          <w:szCs w:val="22"/>
        </w:rPr>
        <w:t>s</w:t>
      </w:r>
      <w:r w:rsidR="00F11047" w:rsidRPr="00F11047">
        <w:rPr>
          <w:rFonts w:ascii="Arial" w:hAnsi="Arial" w:cs="Arial"/>
          <w:sz w:val="22"/>
          <w:szCs w:val="22"/>
        </w:rPr>
        <w:t xml:space="preserve"> before they can begin certain </w:t>
      </w:r>
      <w:r w:rsidR="00F11047">
        <w:rPr>
          <w:rFonts w:ascii="Arial" w:hAnsi="Arial" w:cs="Arial"/>
          <w:sz w:val="22"/>
          <w:szCs w:val="22"/>
        </w:rPr>
        <w:t>activities related to denatured spirits</w:t>
      </w:r>
      <w:r w:rsidR="00F10C50" w:rsidRPr="00853E85">
        <w:rPr>
          <w:rFonts w:ascii="Arial" w:hAnsi="Arial" w:cs="Arial"/>
          <w:sz w:val="22"/>
          <w:szCs w:val="22"/>
        </w:rPr>
        <w:t xml:space="preserve">.  </w:t>
      </w:r>
      <w:r w:rsidRPr="00853E85">
        <w:rPr>
          <w:rFonts w:ascii="Arial" w:hAnsi="Arial" w:cs="Arial"/>
          <w:sz w:val="22"/>
          <w:szCs w:val="22"/>
        </w:rPr>
        <w:t xml:space="preserve">Waiver or reduction of this requirement, simply because the respondent's business is small, could </w:t>
      </w:r>
      <w:r w:rsidR="00F11047">
        <w:rPr>
          <w:rFonts w:ascii="Arial" w:hAnsi="Arial" w:cs="Arial"/>
          <w:sz w:val="22"/>
          <w:szCs w:val="22"/>
        </w:rPr>
        <w:t>pose jeopardy to the revenue</w:t>
      </w:r>
      <w:r w:rsidRPr="00853E85">
        <w:rPr>
          <w:rFonts w:ascii="Arial" w:hAnsi="Arial" w:cs="Arial"/>
          <w:sz w:val="22"/>
          <w:szCs w:val="22"/>
        </w:rPr>
        <w:t>.</w:t>
      </w:r>
      <w:r w:rsidR="007A5D4B" w:rsidRPr="007A5D4B">
        <w:rPr>
          <w:rFonts w:ascii="Arial" w:hAnsi="Arial" w:cs="Arial"/>
          <w:sz w:val="22"/>
          <w:szCs w:val="22"/>
        </w:rPr>
        <w:t xml:space="preserve"> </w:t>
      </w:r>
      <w:r w:rsidR="00853E85">
        <w:rPr>
          <w:rFonts w:ascii="Arial" w:hAnsi="Arial" w:cs="Arial"/>
          <w:sz w:val="22"/>
          <w:szCs w:val="22"/>
        </w:rPr>
        <w:t xml:space="preserve"> </w:t>
      </w:r>
    </w:p>
    <w:p w14:paraId="3C098965" w14:textId="77777777" w:rsidR="007A5D4B" w:rsidRPr="00090251" w:rsidRDefault="007A5D4B" w:rsidP="007A5D4B">
      <w:pPr>
        <w:suppressAutoHyphens/>
        <w:rPr>
          <w:rFonts w:ascii="Arial" w:hAnsi="Arial" w:cs="Arial"/>
          <w:sz w:val="36"/>
          <w:szCs w:val="36"/>
        </w:rPr>
      </w:pPr>
    </w:p>
    <w:p w14:paraId="54E8BB4F"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F66BACF" w14:textId="77777777" w:rsidR="00AF1157" w:rsidRPr="007A5D4B" w:rsidRDefault="00AF1157" w:rsidP="00D73D2D">
      <w:pPr>
        <w:suppressAutoHyphens/>
        <w:ind w:left="480" w:hanging="480"/>
        <w:rPr>
          <w:rFonts w:ascii="Arial" w:hAnsi="Arial" w:cs="Arial"/>
          <w:sz w:val="22"/>
          <w:szCs w:val="22"/>
        </w:rPr>
      </w:pPr>
    </w:p>
    <w:p w14:paraId="231993BB" w14:textId="77777777" w:rsidR="00A127DB" w:rsidRPr="00A127DB" w:rsidRDefault="00A127DB" w:rsidP="00A127DB">
      <w:pPr>
        <w:ind w:left="360"/>
        <w:rPr>
          <w:rFonts w:ascii="Arial" w:hAnsi="Arial" w:cs="Arial"/>
          <w:sz w:val="22"/>
          <w:szCs w:val="22"/>
        </w:rPr>
      </w:pPr>
      <w:r w:rsidRPr="00A127DB">
        <w:rPr>
          <w:rFonts w:ascii="Arial" w:hAnsi="Arial" w:cs="Arial"/>
          <w:sz w:val="22"/>
          <w:szCs w:val="22"/>
        </w:rPr>
        <w:t xml:space="preserve">These reporting requirements are considered to be the minimum necessary to ensure compliance with the IRC and the TTB regulations related to </w:t>
      </w:r>
      <w:r>
        <w:rPr>
          <w:rFonts w:ascii="Arial" w:hAnsi="Arial" w:cs="Arial"/>
          <w:sz w:val="22"/>
          <w:szCs w:val="22"/>
        </w:rPr>
        <w:t>denatured spirits</w:t>
      </w:r>
      <w:r w:rsidRPr="00A127DB">
        <w:rPr>
          <w:rFonts w:ascii="Arial" w:hAnsi="Arial" w:cs="Arial"/>
          <w:sz w:val="22"/>
          <w:szCs w:val="22"/>
        </w:rPr>
        <w:t xml:space="preserve"> operations.  Less frequent collection of this information would pose jeopardy to the revenue. </w:t>
      </w:r>
    </w:p>
    <w:p w14:paraId="27454294" w14:textId="77777777" w:rsidR="007A5D4B" w:rsidRPr="00090251" w:rsidRDefault="007A5D4B" w:rsidP="007A5D4B">
      <w:pPr>
        <w:suppressAutoHyphens/>
        <w:rPr>
          <w:rFonts w:ascii="Arial" w:hAnsi="Arial" w:cs="Arial"/>
          <w:sz w:val="36"/>
          <w:szCs w:val="36"/>
        </w:rPr>
      </w:pPr>
    </w:p>
    <w:p w14:paraId="2717F2D8"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5CCC2275" w14:textId="77777777" w:rsidR="00101DE7" w:rsidRPr="007A5D4B" w:rsidRDefault="00101DE7" w:rsidP="00D73D2D">
      <w:pPr>
        <w:rPr>
          <w:rFonts w:ascii="Arial" w:hAnsi="Arial" w:cs="Arial"/>
          <w:sz w:val="22"/>
          <w:szCs w:val="22"/>
        </w:rPr>
      </w:pPr>
    </w:p>
    <w:p w14:paraId="1E52C21D" w14:textId="77777777" w:rsidR="00EC4FC3" w:rsidRPr="007A5D4B" w:rsidRDefault="00EC4FC3" w:rsidP="004D086A">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67EDA3AE" w14:textId="77777777" w:rsidR="00EC4FC3" w:rsidRPr="000B6799" w:rsidRDefault="00EC4FC3" w:rsidP="00D73D2D">
      <w:pPr>
        <w:rPr>
          <w:rFonts w:ascii="Arial" w:hAnsi="Arial" w:cs="Arial"/>
          <w:sz w:val="36"/>
          <w:szCs w:val="36"/>
        </w:rPr>
      </w:pPr>
    </w:p>
    <w:p w14:paraId="22AD3F8D"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B6BC8EE" w14:textId="77777777" w:rsidR="005C282B" w:rsidRPr="007A5D4B" w:rsidRDefault="005C282B" w:rsidP="00D73D2D">
      <w:pPr>
        <w:suppressAutoHyphens/>
        <w:ind w:left="480" w:hanging="480"/>
        <w:rPr>
          <w:rFonts w:ascii="Arial" w:hAnsi="Arial" w:cs="Arial"/>
          <w:sz w:val="22"/>
          <w:szCs w:val="22"/>
        </w:rPr>
      </w:pPr>
    </w:p>
    <w:p w14:paraId="210841F5" w14:textId="77777777" w:rsidR="00D414AB" w:rsidRDefault="004D1808" w:rsidP="004D086A">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F06694" w:rsidRPr="009C3111">
        <w:rPr>
          <w:rFonts w:ascii="Arial" w:hAnsi="Arial" w:cs="Arial"/>
          <w:sz w:val="22"/>
          <w:szCs w:val="22"/>
        </w:rPr>
        <w:t xml:space="preserve">May 13, 2016, at 81 FR </w:t>
      </w:r>
      <w:r w:rsidR="00F06694" w:rsidRPr="001D30BB">
        <w:rPr>
          <w:rFonts w:ascii="Arial" w:hAnsi="Arial" w:cs="Arial"/>
          <w:sz w:val="22"/>
          <w:szCs w:val="22"/>
        </w:rPr>
        <w:t>29950</w:t>
      </w:r>
      <w:r w:rsidR="008603B9" w:rsidRPr="001D30BB">
        <w:rPr>
          <w:rFonts w:ascii="Arial" w:hAnsi="Arial" w:cs="Arial"/>
          <w:sz w:val="22"/>
          <w:szCs w:val="22"/>
        </w:rPr>
        <w:t xml:space="preserve">.  </w:t>
      </w:r>
      <w:r w:rsidRPr="001D30BB">
        <w:rPr>
          <w:rFonts w:ascii="Arial" w:hAnsi="Arial" w:cs="Arial"/>
          <w:sz w:val="22"/>
          <w:szCs w:val="22"/>
        </w:rPr>
        <w:t xml:space="preserve">TTB received </w:t>
      </w:r>
      <w:r w:rsidR="008603B9" w:rsidRPr="001D30BB">
        <w:rPr>
          <w:rFonts w:ascii="Arial" w:hAnsi="Arial" w:cs="Arial"/>
          <w:sz w:val="22"/>
          <w:szCs w:val="22"/>
        </w:rPr>
        <w:t xml:space="preserve">no </w:t>
      </w:r>
      <w:r w:rsidR="00734B25" w:rsidRPr="001D30BB">
        <w:rPr>
          <w:rFonts w:ascii="Arial" w:hAnsi="Arial" w:cs="Arial"/>
          <w:sz w:val="22"/>
          <w:szCs w:val="22"/>
        </w:rPr>
        <w:t>comments</w:t>
      </w:r>
      <w:r w:rsidR="005E4F9B" w:rsidRPr="001D30BB">
        <w:rPr>
          <w:rFonts w:ascii="Arial" w:hAnsi="Arial" w:cs="Arial"/>
          <w:sz w:val="22"/>
          <w:szCs w:val="22"/>
        </w:rPr>
        <w:t xml:space="preserve"> </w:t>
      </w:r>
      <w:r w:rsidR="008603B9" w:rsidRPr="001D30BB">
        <w:rPr>
          <w:rFonts w:ascii="Arial" w:hAnsi="Arial" w:cs="Arial"/>
          <w:sz w:val="22"/>
          <w:szCs w:val="22"/>
        </w:rPr>
        <w:t xml:space="preserve">on this information collection </w:t>
      </w:r>
      <w:r w:rsidR="005E4F9B" w:rsidRPr="001D30BB">
        <w:rPr>
          <w:rFonts w:ascii="Arial" w:hAnsi="Arial" w:cs="Arial"/>
          <w:sz w:val="22"/>
          <w:szCs w:val="22"/>
        </w:rPr>
        <w:t>in response</w:t>
      </w:r>
      <w:r w:rsidR="00734B25" w:rsidRPr="001D30BB">
        <w:rPr>
          <w:rFonts w:ascii="Arial" w:hAnsi="Arial" w:cs="Arial"/>
          <w:sz w:val="22"/>
          <w:szCs w:val="22"/>
        </w:rPr>
        <w:t>.</w:t>
      </w:r>
      <w:r w:rsidR="005E4F9B">
        <w:rPr>
          <w:rFonts w:ascii="Arial" w:hAnsi="Arial" w:cs="Arial"/>
          <w:sz w:val="22"/>
          <w:szCs w:val="22"/>
        </w:rPr>
        <w:t xml:space="preserve"> </w:t>
      </w:r>
    </w:p>
    <w:p w14:paraId="54D71245" w14:textId="77777777" w:rsidR="00734B25" w:rsidRPr="00090251" w:rsidRDefault="00734B25" w:rsidP="00D73D2D">
      <w:pPr>
        <w:suppressAutoHyphens/>
        <w:rPr>
          <w:rFonts w:ascii="Arial" w:hAnsi="Arial" w:cs="Arial"/>
          <w:sz w:val="36"/>
          <w:szCs w:val="36"/>
        </w:rPr>
      </w:pPr>
    </w:p>
    <w:p w14:paraId="59E4B8BB" w14:textId="77777777" w:rsidR="00EC4FC3" w:rsidRPr="00D656EA" w:rsidRDefault="001D30BB" w:rsidP="00D73D2D">
      <w:pPr>
        <w:suppressAutoHyphens/>
        <w:rPr>
          <w:rFonts w:ascii="Arial" w:hAnsi="Arial" w:cs="Arial"/>
          <w:i/>
          <w:sz w:val="22"/>
          <w:szCs w:val="22"/>
        </w:rPr>
      </w:pPr>
      <w:r>
        <w:rPr>
          <w:rFonts w:ascii="Arial" w:hAnsi="Arial" w:cs="Arial"/>
          <w:i/>
          <w:sz w:val="22"/>
          <w:szCs w:val="22"/>
        </w:rPr>
        <w:br w:type="page"/>
      </w:r>
      <w:r w:rsidR="005E4F9B" w:rsidRPr="00D656EA">
        <w:rPr>
          <w:rFonts w:ascii="Arial" w:hAnsi="Arial" w:cs="Arial"/>
          <w:i/>
          <w:sz w:val="22"/>
          <w:szCs w:val="22"/>
        </w:rPr>
        <w:lastRenderedPageBreak/>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368FCBB4" w14:textId="77777777" w:rsidR="00EC4FC3" w:rsidRPr="007A5D4B" w:rsidRDefault="00EC4FC3" w:rsidP="00D73D2D">
      <w:pPr>
        <w:suppressAutoHyphens/>
        <w:rPr>
          <w:rFonts w:ascii="Arial" w:hAnsi="Arial" w:cs="Arial"/>
          <w:sz w:val="22"/>
          <w:szCs w:val="22"/>
        </w:rPr>
      </w:pPr>
    </w:p>
    <w:p w14:paraId="45869633"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573D0C40" w14:textId="77777777" w:rsidR="00EC4FC3" w:rsidRPr="00090251" w:rsidRDefault="00EC4FC3" w:rsidP="00D73D2D">
      <w:pPr>
        <w:suppressAutoHyphens/>
        <w:rPr>
          <w:rFonts w:ascii="Arial" w:hAnsi="Arial" w:cs="Arial"/>
          <w:sz w:val="36"/>
          <w:szCs w:val="36"/>
        </w:rPr>
      </w:pPr>
    </w:p>
    <w:p w14:paraId="5C0BD867"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4D79C980" w14:textId="77777777" w:rsidR="00EC4FC3" w:rsidRPr="007A5D4B" w:rsidRDefault="00EC4FC3" w:rsidP="00D73D2D">
      <w:pPr>
        <w:rPr>
          <w:rFonts w:ascii="Arial" w:hAnsi="Arial" w:cs="Arial"/>
          <w:sz w:val="22"/>
          <w:szCs w:val="22"/>
        </w:rPr>
      </w:pPr>
    </w:p>
    <w:p w14:paraId="5434046C" w14:textId="77777777" w:rsidR="00B06BC0" w:rsidRPr="00B44EC4" w:rsidRDefault="00B06BC0" w:rsidP="00B06BC0">
      <w:pPr>
        <w:ind w:left="360"/>
        <w:rPr>
          <w:rFonts w:ascii="Arial" w:hAnsi="Arial" w:cs="Arial"/>
          <w:sz w:val="22"/>
          <w:szCs w:val="22"/>
        </w:rPr>
      </w:pPr>
      <w:r w:rsidRPr="00B44EC4">
        <w:rPr>
          <w:rFonts w:ascii="Arial" w:hAnsi="Arial" w:cs="Arial"/>
          <w:sz w:val="22"/>
          <w:szCs w:val="22"/>
        </w:rPr>
        <w:t xml:space="preserve">These </w:t>
      </w:r>
      <w:r>
        <w:rPr>
          <w:rFonts w:ascii="Arial" w:hAnsi="Arial" w:cs="Arial"/>
          <w:sz w:val="22"/>
          <w:szCs w:val="22"/>
        </w:rPr>
        <w:t xml:space="preserve">letterhead applications and notices </w:t>
      </w:r>
      <w:r w:rsidRPr="00B44EC4">
        <w:rPr>
          <w:rFonts w:ascii="Arial" w:hAnsi="Arial" w:cs="Arial"/>
          <w:sz w:val="22"/>
          <w:szCs w:val="22"/>
        </w:rPr>
        <w:t xml:space="preserve">are maintained at TTB Headquarters </w:t>
      </w:r>
      <w:r w:rsidR="001D30BB">
        <w:rPr>
          <w:rFonts w:ascii="Arial" w:hAnsi="Arial" w:cs="Arial"/>
          <w:sz w:val="22"/>
          <w:szCs w:val="22"/>
        </w:rPr>
        <w:t xml:space="preserve">or </w:t>
      </w:r>
      <w:r w:rsidRPr="00B44EC4">
        <w:rPr>
          <w:rFonts w:ascii="Arial" w:hAnsi="Arial" w:cs="Arial"/>
          <w:sz w:val="22"/>
          <w:szCs w:val="22"/>
        </w:rPr>
        <w:t xml:space="preserve">at </w:t>
      </w:r>
      <w:r w:rsidR="001D30BB">
        <w:rPr>
          <w:rFonts w:ascii="Arial" w:hAnsi="Arial" w:cs="Arial"/>
          <w:sz w:val="22"/>
          <w:szCs w:val="22"/>
        </w:rPr>
        <w:t>TTB’s</w:t>
      </w:r>
      <w:r w:rsidRPr="00B44EC4">
        <w:rPr>
          <w:rFonts w:ascii="Arial" w:hAnsi="Arial" w:cs="Arial"/>
          <w:sz w:val="22"/>
          <w:szCs w:val="22"/>
        </w:rPr>
        <w:t xml:space="preserve"> N</w:t>
      </w:r>
      <w:r w:rsidR="001D30BB">
        <w:rPr>
          <w:rFonts w:ascii="Arial" w:hAnsi="Arial" w:cs="Arial"/>
          <w:sz w:val="22"/>
          <w:szCs w:val="22"/>
        </w:rPr>
        <w:t xml:space="preserve">ational Revenue Center </w:t>
      </w:r>
      <w:r w:rsidRPr="00B44EC4">
        <w:rPr>
          <w:rFonts w:ascii="Arial" w:hAnsi="Arial" w:cs="Arial"/>
          <w:sz w:val="22"/>
          <w:szCs w:val="22"/>
        </w:rPr>
        <w:t xml:space="preserve">in secure file rooms with controlled public access.  Moreover, 26 U.S.C. 6103 protects the confidentiality of the </w:t>
      </w:r>
      <w:r>
        <w:rPr>
          <w:rFonts w:ascii="Arial" w:hAnsi="Arial" w:cs="Arial"/>
          <w:sz w:val="22"/>
          <w:szCs w:val="22"/>
        </w:rPr>
        <w:t xml:space="preserve">taxpayer </w:t>
      </w:r>
      <w:r w:rsidRPr="00B44EC4">
        <w:rPr>
          <w:rFonts w:ascii="Arial" w:hAnsi="Arial" w:cs="Arial"/>
          <w:sz w:val="22"/>
          <w:szCs w:val="22"/>
        </w:rPr>
        <w:t xml:space="preserve">information collected. </w:t>
      </w:r>
    </w:p>
    <w:p w14:paraId="6A9A83AA" w14:textId="77777777" w:rsidR="00AF1157" w:rsidRPr="00A5320B" w:rsidRDefault="00AF1157" w:rsidP="00D73D2D">
      <w:pPr>
        <w:suppressAutoHyphens/>
        <w:rPr>
          <w:rFonts w:ascii="Arial" w:hAnsi="Arial" w:cs="Arial"/>
          <w:sz w:val="36"/>
          <w:szCs w:val="36"/>
        </w:rPr>
      </w:pPr>
    </w:p>
    <w:p w14:paraId="44BA0832"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FD92E2C" w14:textId="77777777" w:rsidR="00A201BF" w:rsidRPr="00965E7F" w:rsidRDefault="00A201BF" w:rsidP="00A201BF">
      <w:pPr>
        <w:rPr>
          <w:rFonts w:ascii="Arial" w:hAnsi="Arial" w:cs="Arial"/>
          <w:i/>
          <w:sz w:val="22"/>
          <w:szCs w:val="22"/>
        </w:rPr>
      </w:pPr>
    </w:p>
    <w:p w14:paraId="39CD16D1" w14:textId="77777777" w:rsidR="00A5167D" w:rsidRDefault="00A5167D" w:rsidP="00A201BF">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r w:rsidR="001D30BB">
        <w:rPr>
          <w:rFonts w:ascii="Arial" w:hAnsi="Arial" w:cs="Arial"/>
          <w:sz w:val="22"/>
          <w:szCs w:val="22"/>
        </w:rPr>
        <w:t xml:space="preserve"> </w:t>
      </w:r>
    </w:p>
    <w:p w14:paraId="0BF118AF" w14:textId="77777777" w:rsidR="00A201BF" w:rsidRPr="00A5320B" w:rsidRDefault="00A201BF" w:rsidP="00D73D2D">
      <w:pPr>
        <w:suppressAutoHyphens/>
        <w:rPr>
          <w:rFonts w:ascii="Arial" w:hAnsi="Arial" w:cs="Arial"/>
          <w:sz w:val="36"/>
          <w:szCs w:val="36"/>
        </w:rPr>
      </w:pPr>
    </w:p>
    <w:p w14:paraId="3B4CB35D"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0889BCB2" w14:textId="77777777" w:rsidR="00AF1157" w:rsidRPr="007A5D4B" w:rsidRDefault="00AF1157" w:rsidP="00D73D2D">
      <w:pPr>
        <w:suppressAutoHyphens/>
        <w:rPr>
          <w:rFonts w:ascii="Arial" w:hAnsi="Arial" w:cs="Arial"/>
          <w:sz w:val="22"/>
          <w:szCs w:val="22"/>
        </w:rPr>
      </w:pPr>
    </w:p>
    <w:p w14:paraId="2718BE33" w14:textId="77777777" w:rsidR="00B06BC0" w:rsidRDefault="00B06BC0" w:rsidP="00B06BC0">
      <w:pPr>
        <w:ind w:left="360"/>
        <w:rPr>
          <w:rFonts w:ascii="Arial" w:hAnsi="Arial" w:cs="Arial"/>
          <w:sz w:val="22"/>
          <w:szCs w:val="22"/>
        </w:rPr>
      </w:pPr>
      <w:r w:rsidRPr="00B06BC0">
        <w:rPr>
          <w:rFonts w:ascii="Arial" w:hAnsi="Arial" w:cs="Arial"/>
          <w:sz w:val="22"/>
          <w:szCs w:val="22"/>
        </w:rPr>
        <w:t>We estimate that 3,778</w:t>
      </w:r>
      <w:r w:rsidR="001D30BB">
        <w:rPr>
          <w:rFonts w:ascii="Arial" w:hAnsi="Arial" w:cs="Arial"/>
          <w:sz w:val="22"/>
          <w:szCs w:val="22"/>
        </w:rPr>
        <w:t xml:space="preserve"> respondents </w:t>
      </w:r>
      <w:r w:rsidRPr="00B06BC0">
        <w:rPr>
          <w:rFonts w:ascii="Arial" w:hAnsi="Arial" w:cs="Arial"/>
          <w:sz w:val="22"/>
          <w:szCs w:val="22"/>
        </w:rPr>
        <w:t xml:space="preserve">will respond once annually and each response will take 30 minutes.  </w:t>
      </w:r>
      <w:r w:rsidR="001D30BB">
        <w:rPr>
          <w:rFonts w:ascii="Arial" w:hAnsi="Arial" w:cs="Arial"/>
          <w:sz w:val="22"/>
          <w:szCs w:val="22"/>
        </w:rPr>
        <w:t>Therefore, t</w:t>
      </w:r>
      <w:r w:rsidRPr="00B06BC0">
        <w:rPr>
          <w:rFonts w:ascii="Arial" w:hAnsi="Arial" w:cs="Arial"/>
          <w:sz w:val="22"/>
          <w:szCs w:val="22"/>
        </w:rPr>
        <w:t xml:space="preserve">he total annual estimated burden </w:t>
      </w:r>
      <w:r w:rsidR="001D30BB">
        <w:rPr>
          <w:rFonts w:ascii="Arial" w:hAnsi="Arial" w:cs="Arial"/>
          <w:sz w:val="22"/>
          <w:szCs w:val="22"/>
        </w:rPr>
        <w:t xml:space="preserve">for this information collection </w:t>
      </w:r>
      <w:r w:rsidRPr="00B06BC0">
        <w:rPr>
          <w:rFonts w:ascii="Arial" w:hAnsi="Arial" w:cs="Arial"/>
          <w:sz w:val="22"/>
          <w:szCs w:val="22"/>
        </w:rPr>
        <w:t>is 1,890</w:t>
      </w:r>
      <w:r w:rsidR="001D30BB">
        <w:rPr>
          <w:rFonts w:ascii="Arial" w:hAnsi="Arial" w:cs="Arial"/>
          <w:sz w:val="22"/>
          <w:szCs w:val="22"/>
        </w:rPr>
        <w:t xml:space="preserve"> hours</w:t>
      </w:r>
      <w:r w:rsidRPr="00B06BC0">
        <w:rPr>
          <w:rFonts w:ascii="Arial" w:hAnsi="Arial" w:cs="Arial"/>
          <w:sz w:val="22"/>
          <w:szCs w:val="22"/>
        </w:rPr>
        <w:t xml:space="preserve">. </w:t>
      </w:r>
    </w:p>
    <w:p w14:paraId="7B457394" w14:textId="77777777" w:rsidR="00B06BC0" w:rsidRDefault="00B06BC0" w:rsidP="00B06BC0">
      <w:pPr>
        <w:ind w:left="360"/>
        <w:rPr>
          <w:rFonts w:ascii="Arial" w:hAnsi="Arial" w:cs="Arial"/>
          <w:sz w:val="22"/>
          <w:szCs w:val="22"/>
        </w:rPr>
      </w:pPr>
    </w:p>
    <w:p w14:paraId="5858E045" w14:textId="64A0AC07" w:rsidR="00E94362" w:rsidRDefault="00E94362" w:rsidP="00B06BC0">
      <w:pPr>
        <w:ind w:left="360"/>
        <w:rPr>
          <w:rFonts w:ascii="Arial" w:hAnsi="Arial" w:cs="Arial"/>
          <w:sz w:val="22"/>
          <w:szCs w:val="22"/>
        </w:rPr>
      </w:pPr>
      <w:r>
        <w:rPr>
          <w:rFonts w:ascii="Arial" w:hAnsi="Arial" w:cs="Arial"/>
          <w:sz w:val="22"/>
          <w:szCs w:val="22"/>
        </w:rPr>
        <w:t xml:space="preserve">(3,778 respondents X 1 annual response = 3,778 responses per year X 0.5 hours per response (30 minutes) = 1,890 total estimated annual burden hours.) </w:t>
      </w:r>
    </w:p>
    <w:p w14:paraId="67454463" w14:textId="77777777" w:rsidR="00AF060A" w:rsidRPr="00A5320B" w:rsidRDefault="00AF060A" w:rsidP="00D73D2D">
      <w:pPr>
        <w:rPr>
          <w:rFonts w:ascii="Arial" w:hAnsi="Arial" w:cs="Arial"/>
          <w:sz w:val="36"/>
          <w:szCs w:val="36"/>
        </w:rPr>
      </w:pPr>
    </w:p>
    <w:p w14:paraId="675D65FA" w14:textId="77777777" w:rsidR="00101DE7" w:rsidRPr="00E94362" w:rsidRDefault="00AF060A" w:rsidP="00E94362">
      <w:pPr>
        <w:rPr>
          <w:rFonts w:ascii="Arial" w:hAnsi="Arial" w:cs="Arial"/>
          <w:i/>
          <w:sz w:val="22"/>
          <w:szCs w:val="22"/>
        </w:rPr>
      </w:pPr>
      <w:r w:rsidRPr="00E94362">
        <w:rPr>
          <w:rFonts w:ascii="Arial" w:hAnsi="Arial" w:cs="Arial"/>
          <w:i/>
          <w:sz w:val="22"/>
          <w:szCs w:val="22"/>
        </w:rPr>
        <w:t xml:space="preserve">13.  </w:t>
      </w:r>
      <w:r w:rsidR="00101DE7" w:rsidRPr="00E94362">
        <w:rPr>
          <w:rFonts w:ascii="Arial" w:hAnsi="Arial" w:cs="Arial"/>
          <w:i/>
          <w:sz w:val="22"/>
          <w:szCs w:val="22"/>
        </w:rPr>
        <w:t>What is the estimated annual cost burden to respondents or record keepers resulting from this information collection request (excluding the value of the hour burden</w:t>
      </w:r>
      <w:r w:rsidR="0033260C" w:rsidRPr="00E94362">
        <w:rPr>
          <w:rFonts w:ascii="Arial" w:hAnsi="Arial" w:cs="Arial"/>
          <w:i/>
          <w:sz w:val="22"/>
          <w:szCs w:val="22"/>
        </w:rPr>
        <w:t xml:space="preserve"> </w:t>
      </w:r>
      <w:r w:rsidR="00101DE7" w:rsidRPr="00E94362">
        <w:rPr>
          <w:rFonts w:ascii="Arial" w:hAnsi="Arial" w:cs="Arial"/>
          <w:i/>
          <w:sz w:val="22"/>
          <w:szCs w:val="22"/>
        </w:rPr>
        <w:t>in Question 12 above)?</w:t>
      </w:r>
      <w:r w:rsidRPr="00E94362">
        <w:rPr>
          <w:rFonts w:ascii="Arial" w:hAnsi="Arial" w:cs="Arial"/>
          <w:i/>
          <w:sz w:val="22"/>
          <w:szCs w:val="22"/>
        </w:rPr>
        <w:t xml:space="preserve"> </w:t>
      </w:r>
    </w:p>
    <w:p w14:paraId="051E03C3" w14:textId="77777777" w:rsidR="00101DE7" w:rsidRPr="00E94362" w:rsidRDefault="00101DE7" w:rsidP="00E94362">
      <w:pPr>
        <w:rPr>
          <w:rFonts w:ascii="Arial" w:hAnsi="Arial" w:cs="Arial"/>
          <w:sz w:val="22"/>
          <w:szCs w:val="22"/>
        </w:rPr>
      </w:pPr>
    </w:p>
    <w:p w14:paraId="6B82FE71" w14:textId="77777777" w:rsidR="00AF1157" w:rsidRDefault="00AF1157" w:rsidP="004D086A">
      <w:pPr>
        <w:suppressAutoHyphens/>
        <w:ind w:left="360"/>
        <w:rPr>
          <w:rFonts w:ascii="Arial" w:hAnsi="Arial" w:cs="Arial"/>
          <w:sz w:val="22"/>
          <w:szCs w:val="22"/>
        </w:rPr>
      </w:pPr>
      <w:r w:rsidRPr="00E56E11">
        <w:rPr>
          <w:rFonts w:ascii="Arial" w:hAnsi="Arial" w:cs="Arial"/>
          <w:sz w:val="22"/>
          <w:szCs w:val="22"/>
        </w:rPr>
        <w:t xml:space="preserve">There is no cost </w:t>
      </w:r>
      <w:r w:rsidR="00874C51">
        <w:rPr>
          <w:rFonts w:ascii="Arial" w:hAnsi="Arial" w:cs="Arial"/>
          <w:sz w:val="22"/>
          <w:szCs w:val="22"/>
        </w:rPr>
        <w:t xml:space="preserve">to respondents </w:t>
      </w:r>
      <w:r w:rsidRPr="00E56E11">
        <w:rPr>
          <w:rFonts w:ascii="Arial" w:hAnsi="Arial" w:cs="Arial"/>
          <w:sz w:val="22"/>
          <w:szCs w:val="22"/>
        </w:rPr>
        <w:t>associated with this collection.</w:t>
      </w:r>
      <w:r w:rsidR="00AF060A">
        <w:rPr>
          <w:rFonts w:ascii="Arial" w:hAnsi="Arial" w:cs="Arial"/>
          <w:sz w:val="22"/>
          <w:szCs w:val="22"/>
        </w:rPr>
        <w:t xml:space="preserve"> </w:t>
      </w:r>
    </w:p>
    <w:p w14:paraId="1B683482" w14:textId="77777777" w:rsidR="00AF1157" w:rsidRPr="00A5320B" w:rsidRDefault="00AF1157" w:rsidP="00D73D2D">
      <w:pPr>
        <w:suppressAutoHyphens/>
        <w:rPr>
          <w:rFonts w:ascii="Arial" w:hAnsi="Arial" w:cs="Arial"/>
          <w:sz w:val="36"/>
          <w:szCs w:val="36"/>
        </w:rPr>
      </w:pPr>
    </w:p>
    <w:p w14:paraId="07B311A8"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7BB916DF" w14:textId="77777777" w:rsidR="00AF1157" w:rsidRPr="007A5D4B" w:rsidRDefault="00AF1157" w:rsidP="00D73D2D">
      <w:pPr>
        <w:suppressAutoHyphens/>
        <w:ind w:left="480" w:hanging="480"/>
        <w:rPr>
          <w:rFonts w:ascii="Arial" w:hAnsi="Arial" w:cs="Arial"/>
          <w:sz w:val="22"/>
          <w:szCs w:val="22"/>
        </w:rPr>
      </w:pPr>
    </w:p>
    <w:p w14:paraId="06AF55BD" w14:textId="77777777" w:rsidR="00B06BC0" w:rsidRDefault="00B06BC0" w:rsidP="00B06BC0">
      <w:pPr>
        <w:ind w:left="360"/>
        <w:rPr>
          <w:rFonts w:ascii="Arial" w:hAnsi="Arial" w:cs="Arial"/>
          <w:sz w:val="22"/>
          <w:szCs w:val="22"/>
        </w:rPr>
      </w:pPr>
      <w:r w:rsidRPr="0057544C">
        <w:rPr>
          <w:rFonts w:ascii="Arial" w:hAnsi="Arial" w:cs="Arial"/>
          <w:sz w:val="22"/>
          <w:szCs w:val="22"/>
        </w:rPr>
        <w:t>There is no annualized cost to the Federal Government</w:t>
      </w:r>
      <w:r w:rsidRPr="00B44EC4">
        <w:rPr>
          <w:rFonts w:ascii="Arial" w:hAnsi="Arial" w:cs="Arial"/>
          <w:sz w:val="22"/>
          <w:szCs w:val="22"/>
        </w:rPr>
        <w:t xml:space="preserve"> associated with this collection</w:t>
      </w:r>
      <w:r>
        <w:rPr>
          <w:rFonts w:ascii="Arial" w:hAnsi="Arial" w:cs="Arial"/>
          <w:sz w:val="22"/>
          <w:szCs w:val="22"/>
        </w:rPr>
        <w:t xml:space="preserve">. </w:t>
      </w:r>
    </w:p>
    <w:p w14:paraId="0F78D65B" w14:textId="77777777" w:rsidR="00D6325C" w:rsidRPr="00A5320B" w:rsidRDefault="00D6325C" w:rsidP="00D73D2D">
      <w:pPr>
        <w:rPr>
          <w:rFonts w:ascii="Arial" w:hAnsi="Arial" w:cs="Arial"/>
          <w:sz w:val="36"/>
          <w:szCs w:val="36"/>
        </w:rPr>
      </w:pPr>
    </w:p>
    <w:p w14:paraId="29C4185B"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62E736D8" w14:textId="77777777" w:rsidR="00AF1157" w:rsidRDefault="00AF1157" w:rsidP="00D73D2D">
      <w:pPr>
        <w:suppressAutoHyphens/>
        <w:rPr>
          <w:rFonts w:ascii="Arial" w:hAnsi="Arial" w:cs="Arial"/>
          <w:sz w:val="22"/>
          <w:szCs w:val="22"/>
        </w:rPr>
      </w:pPr>
    </w:p>
    <w:p w14:paraId="5B2FE9DD" w14:textId="77777777" w:rsidR="0069718A" w:rsidRPr="0069718A" w:rsidRDefault="0069718A" w:rsidP="0069718A">
      <w:pPr>
        <w:ind w:left="360"/>
        <w:rPr>
          <w:rFonts w:ascii="Arial" w:hAnsi="Arial" w:cs="Arial"/>
          <w:sz w:val="22"/>
          <w:szCs w:val="22"/>
        </w:rPr>
      </w:pPr>
      <w:r w:rsidRPr="00B06BC0">
        <w:rPr>
          <w:rFonts w:ascii="Arial" w:hAnsi="Arial" w:cs="Arial"/>
          <w:sz w:val="22"/>
          <w:szCs w:val="22"/>
        </w:rPr>
        <w:t>There are no program changes or adjustments associated with this collection.</w:t>
      </w:r>
      <w:r w:rsidRPr="0069718A">
        <w:rPr>
          <w:rFonts w:ascii="Arial" w:hAnsi="Arial" w:cs="Arial"/>
          <w:sz w:val="22"/>
          <w:szCs w:val="22"/>
        </w:rPr>
        <w:t xml:space="preserve"> </w:t>
      </w:r>
    </w:p>
    <w:p w14:paraId="582BA49E" w14:textId="77777777" w:rsidR="00AF060A" w:rsidRPr="000B6799" w:rsidRDefault="00AF060A" w:rsidP="00AF060A">
      <w:pPr>
        <w:suppressAutoHyphens/>
        <w:rPr>
          <w:rFonts w:ascii="Arial" w:hAnsi="Arial" w:cs="Arial"/>
          <w:sz w:val="36"/>
          <w:szCs w:val="36"/>
        </w:rPr>
      </w:pPr>
    </w:p>
    <w:p w14:paraId="1D57195E"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lastRenderedPageBreak/>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3174E811" w14:textId="77777777" w:rsidR="00AF1157" w:rsidRPr="007A5D4B" w:rsidRDefault="00AF1157" w:rsidP="00D73D2D">
      <w:pPr>
        <w:suppressAutoHyphens/>
        <w:ind w:left="480" w:hanging="480"/>
        <w:rPr>
          <w:rFonts w:ascii="Arial" w:hAnsi="Arial" w:cs="Arial"/>
          <w:sz w:val="22"/>
          <w:szCs w:val="22"/>
        </w:rPr>
      </w:pPr>
    </w:p>
    <w:p w14:paraId="6CF7A180"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72FB96B8" w14:textId="77777777" w:rsidR="00AF1157" w:rsidRPr="00A5320B" w:rsidRDefault="00AF1157" w:rsidP="00D73D2D">
      <w:pPr>
        <w:suppressAutoHyphens/>
        <w:rPr>
          <w:rFonts w:ascii="Arial" w:hAnsi="Arial" w:cs="Arial"/>
          <w:sz w:val="36"/>
          <w:szCs w:val="36"/>
        </w:rPr>
      </w:pPr>
    </w:p>
    <w:p w14:paraId="38D20E59" w14:textId="77777777" w:rsidR="00AF1157" w:rsidRPr="00E94362" w:rsidRDefault="00AF060A" w:rsidP="00D73D2D">
      <w:pPr>
        <w:suppressAutoHyphens/>
        <w:rPr>
          <w:rFonts w:ascii="Arial" w:hAnsi="Arial" w:cs="Arial"/>
          <w:i/>
          <w:sz w:val="22"/>
          <w:szCs w:val="22"/>
        </w:rPr>
      </w:pPr>
      <w:r w:rsidRPr="00E94362">
        <w:rPr>
          <w:rFonts w:ascii="Arial" w:hAnsi="Arial" w:cs="Arial"/>
          <w:i/>
          <w:sz w:val="22"/>
          <w:szCs w:val="22"/>
        </w:rPr>
        <w:t xml:space="preserve">17.  </w:t>
      </w:r>
      <w:r w:rsidR="00AF1157" w:rsidRPr="00E94362">
        <w:rPr>
          <w:rFonts w:ascii="Arial" w:hAnsi="Arial" w:cs="Arial"/>
          <w:i/>
          <w:sz w:val="22"/>
          <w:szCs w:val="22"/>
        </w:rPr>
        <w:t>If seeking approval to not display the expiration date for OMB approval of this information collection, what are the reasons that the display would be inappropriate?</w:t>
      </w:r>
      <w:r w:rsidR="004D086A" w:rsidRPr="00E94362">
        <w:rPr>
          <w:rFonts w:ascii="Arial" w:hAnsi="Arial" w:cs="Arial"/>
          <w:i/>
          <w:sz w:val="22"/>
          <w:szCs w:val="22"/>
        </w:rPr>
        <w:t xml:space="preserve"> </w:t>
      </w:r>
    </w:p>
    <w:p w14:paraId="6D7D4FC2" w14:textId="77777777" w:rsidR="00AF1157" w:rsidRPr="007A5D4B" w:rsidRDefault="00AF1157" w:rsidP="00D73D2D">
      <w:pPr>
        <w:suppressAutoHyphens/>
        <w:rPr>
          <w:rFonts w:ascii="Arial" w:hAnsi="Arial" w:cs="Arial"/>
          <w:sz w:val="22"/>
          <w:szCs w:val="22"/>
        </w:rPr>
      </w:pPr>
    </w:p>
    <w:p w14:paraId="7B69C719" w14:textId="77777777" w:rsidR="00851169" w:rsidRDefault="00851169" w:rsidP="00014CEB">
      <w:pPr>
        <w:autoSpaceDE w:val="0"/>
        <w:autoSpaceDN w:val="0"/>
        <w:ind w:left="360"/>
        <w:rPr>
          <w:rFonts w:ascii="Arial" w:hAnsi="Arial" w:cs="Arial"/>
          <w:sz w:val="22"/>
          <w:szCs w:val="22"/>
        </w:rPr>
      </w:pPr>
      <w:r w:rsidRPr="00851169">
        <w:rPr>
          <w:rFonts w:ascii="Arial" w:hAnsi="Arial" w:cs="Arial"/>
          <w:sz w:val="22"/>
          <w:szCs w:val="22"/>
        </w:rPr>
        <w:t>There is no prescribed TTB form for this collection.  Therefore, there is no medium for TTB to display the OMB approval expiration date.</w:t>
      </w:r>
      <w:r w:rsidR="000B6799">
        <w:rPr>
          <w:rFonts w:ascii="Arial" w:hAnsi="Arial" w:cs="Arial"/>
          <w:sz w:val="22"/>
          <w:szCs w:val="22"/>
        </w:rPr>
        <w:t xml:space="preserve"> </w:t>
      </w:r>
    </w:p>
    <w:p w14:paraId="24081394" w14:textId="77777777" w:rsidR="00014CEB" w:rsidRPr="000B6799" w:rsidRDefault="00014CEB" w:rsidP="001D30BB">
      <w:pPr>
        <w:autoSpaceDE w:val="0"/>
        <w:autoSpaceDN w:val="0"/>
        <w:rPr>
          <w:rFonts w:ascii="Arial" w:hAnsi="Arial" w:cs="Arial"/>
          <w:sz w:val="36"/>
          <w:szCs w:val="36"/>
        </w:rPr>
      </w:pPr>
    </w:p>
    <w:p w14:paraId="64E3D43A"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1351AF82" w14:textId="77777777" w:rsidR="00AF1157" w:rsidRPr="00FD18EE" w:rsidRDefault="00AF1157" w:rsidP="00BA1A21">
      <w:pPr>
        <w:suppressAutoHyphens/>
        <w:ind w:left="360"/>
        <w:rPr>
          <w:rFonts w:ascii="Arial" w:hAnsi="Arial" w:cs="Arial"/>
          <w:sz w:val="22"/>
          <w:szCs w:val="22"/>
        </w:rPr>
      </w:pPr>
    </w:p>
    <w:p w14:paraId="3FC6BA0F"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45DCB541"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w:t>
      </w:r>
      <w:proofErr w:type="spellStart"/>
      <w:r w:rsidRPr="00A5320B">
        <w:rPr>
          <w:rFonts w:ascii="Arial" w:hAnsi="Arial" w:cs="Arial"/>
          <w:sz w:val="22"/>
          <w:szCs w:val="22"/>
        </w:rPr>
        <w:t>i</w:t>
      </w:r>
      <w:proofErr w:type="spellEnd"/>
      <w:r w:rsidRPr="00A5320B">
        <w:rPr>
          <w:rFonts w:ascii="Arial" w:hAnsi="Arial" w:cs="Arial"/>
          <w:sz w:val="22"/>
          <w:szCs w:val="22"/>
        </w:rPr>
        <w:t xml:space="preserve">)   No statistics are involved. </w:t>
      </w:r>
    </w:p>
    <w:p w14:paraId="3F22565B" w14:textId="77777777" w:rsidR="00851169" w:rsidRPr="00A5320B" w:rsidRDefault="00851169" w:rsidP="00851169">
      <w:pPr>
        <w:ind w:left="360"/>
        <w:rPr>
          <w:rFonts w:ascii="Arial" w:hAnsi="Arial" w:cs="Arial"/>
          <w:sz w:val="22"/>
          <w:szCs w:val="22"/>
        </w:rPr>
      </w:pPr>
      <w:r w:rsidRPr="00A5320B">
        <w:rPr>
          <w:rFonts w:ascii="Arial" w:hAnsi="Arial" w:cs="Arial"/>
          <w:sz w:val="22"/>
          <w:szCs w:val="22"/>
        </w:rPr>
        <w:t xml:space="preserve">(j)   See item 3 above. </w:t>
      </w:r>
    </w:p>
    <w:p w14:paraId="2357AF70" w14:textId="77777777" w:rsidR="00851169" w:rsidRPr="001D30BB" w:rsidRDefault="00851169" w:rsidP="00D73D2D">
      <w:pPr>
        <w:rPr>
          <w:rFonts w:ascii="Arial" w:hAnsi="Arial" w:cs="Arial"/>
          <w:sz w:val="36"/>
          <w:szCs w:val="36"/>
        </w:rPr>
      </w:pPr>
    </w:p>
    <w:p w14:paraId="75F20F03" w14:textId="77777777" w:rsidR="001D30BB" w:rsidRPr="001D30BB" w:rsidRDefault="001D30BB" w:rsidP="00D73D2D">
      <w:pPr>
        <w:rPr>
          <w:rFonts w:ascii="Arial" w:hAnsi="Arial" w:cs="Arial"/>
          <w:sz w:val="36"/>
          <w:szCs w:val="36"/>
        </w:rPr>
      </w:pPr>
    </w:p>
    <w:p w14:paraId="6236D030"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BDDA311" w14:textId="77777777" w:rsidR="00BD3333" w:rsidRPr="007A5D4B" w:rsidRDefault="00BD3333" w:rsidP="00D73D2D">
      <w:pPr>
        <w:pStyle w:val="Header"/>
        <w:tabs>
          <w:tab w:val="clear" w:pos="4320"/>
          <w:tab w:val="clear" w:pos="8640"/>
        </w:tabs>
        <w:rPr>
          <w:rFonts w:ascii="Arial" w:hAnsi="Arial" w:cs="Arial"/>
          <w:sz w:val="22"/>
          <w:szCs w:val="22"/>
        </w:rPr>
      </w:pPr>
    </w:p>
    <w:p w14:paraId="30C5B704"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2C0AE766" w14:textId="77777777" w:rsidR="00BA1A21" w:rsidRPr="007A5D4B" w:rsidRDefault="00BA1A21" w:rsidP="00D73D2D">
      <w:pPr>
        <w:suppressAutoHyphens/>
        <w:rPr>
          <w:rFonts w:ascii="Arial" w:hAnsi="Arial" w:cs="Arial"/>
          <w:sz w:val="22"/>
          <w:szCs w:val="22"/>
        </w:rPr>
      </w:pPr>
    </w:p>
    <w:sectPr w:rsidR="00BA1A21" w:rsidRPr="007A5D4B" w:rsidSect="007A5D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6ECA1" w14:textId="77777777" w:rsidR="00C830B7" w:rsidRDefault="00C830B7">
      <w:r>
        <w:separator/>
      </w:r>
    </w:p>
  </w:endnote>
  <w:endnote w:type="continuationSeparator" w:id="0">
    <w:p w14:paraId="32FBCEAC" w14:textId="77777777" w:rsidR="00C830B7" w:rsidRDefault="00C8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82ADF" w14:textId="77777777" w:rsidR="009217F6" w:rsidRDefault="009217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83898" w14:textId="77777777" w:rsidR="00C830B7" w:rsidRPr="007A5D4B" w:rsidRDefault="00C830B7"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3F6E0" w14:textId="77777777" w:rsidR="00C830B7" w:rsidRPr="007A5D4B" w:rsidRDefault="00C830B7"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7C352" w14:textId="77777777" w:rsidR="00C830B7" w:rsidRDefault="00C830B7">
      <w:r>
        <w:separator/>
      </w:r>
    </w:p>
  </w:footnote>
  <w:footnote w:type="continuationSeparator" w:id="0">
    <w:p w14:paraId="1A6DDF40" w14:textId="77777777" w:rsidR="00C830B7" w:rsidRDefault="00C83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D987F" w14:textId="77777777" w:rsidR="009217F6" w:rsidRDefault="009217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2D412" w14:textId="77777777" w:rsidR="00C830B7" w:rsidRPr="007A5D4B" w:rsidRDefault="00C830B7"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BD3C2A">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p w14:paraId="632E9F37" w14:textId="77777777" w:rsidR="00C830B7" w:rsidRDefault="00C830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1B70C" w14:textId="77777777" w:rsidR="00C830B7" w:rsidRPr="007A5D4B" w:rsidRDefault="00C830B7"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41AB1"/>
    <w:rsid w:val="0004708F"/>
    <w:rsid w:val="000473AC"/>
    <w:rsid w:val="0004764C"/>
    <w:rsid w:val="00074898"/>
    <w:rsid w:val="00090251"/>
    <w:rsid w:val="00095F53"/>
    <w:rsid w:val="000A2E33"/>
    <w:rsid w:val="000A4E1A"/>
    <w:rsid w:val="000B3E08"/>
    <w:rsid w:val="000B6799"/>
    <w:rsid w:val="000D6313"/>
    <w:rsid w:val="00101DE7"/>
    <w:rsid w:val="00102332"/>
    <w:rsid w:val="0014566F"/>
    <w:rsid w:val="001608E4"/>
    <w:rsid w:val="001B35E9"/>
    <w:rsid w:val="001D30BB"/>
    <w:rsid w:val="001E7BDE"/>
    <w:rsid w:val="001F2913"/>
    <w:rsid w:val="00207E00"/>
    <w:rsid w:val="0022156B"/>
    <w:rsid w:val="00250066"/>
    <w:rsid w:val="00273CEE"/>
    <w:rsid w:val="00276081"/>
    <w:rsid w:val="002B47FB"/>
    <w:rsid w:val="002D1324"/>
    <w:rsid w:val="002E6145"/>
    <w:rsid w:val="003301DA"/>
    <w:rsid w:val="0033260C"/>
    <w:rsid w:val="00381FFC"/>
    <w:rsid w:val="0038747C"/>
    <w:rsid w:val="003A4DFA"/>
    <w:rsid w:val="003C1FD2"/>
    <w:rsid w:val="0044522E"/>
    <w:rsid w:val="00447B6B"/>
    <w:rsid w:val="004A3DE5"/>
    <w:rsid w:val="004C3724"/>
    <w:rsid w:val="004D086A"/>
    <w:rsid w:val="004D1808"/>
    <w:rsid w:val="004D3468"/>
    <w:rsid w:val="004D4299"/>
    <w:rsid w:val="004E2C89"/>
    <w:rsid w:val="004F62C7"/>
    <w:rsid w:val="0050368E"/>
    <w:rsid w:val="005278E4"/>
    <w:rsid w:val="00536D29"/>
    <w:rsid w:val="005A6AF2"/>
    <w:rsid w:val="005C282B"/>
    <w:rsid w:val="005E4F99"/>
    <w:rsid w:val="005E4F9B"/>
    <w:rsid w:val="006172E1"/>
    <w:rsid w:val="006244FF"/>
    <w:rsid w:val="00631780"/>
    <w:rsid w:val="00631967"/>
    <w:rsid w:val="00663972"/>
    <w:rsid w:val="0069718A"/>
    <w:rsid w:val="006A35C6"/>
    <w:rsid w:val="006F2142"/>
    <w:rsid w:val="00721C76"/>
    <w:rsid w:val="00734B25"/>
    <w:rsid w:val="00736DD6"/>
    <w:rsid w:val="00740478"/>
    <w:rsid w:val="00767BC4"/>
    <w:rsid w:val="007A5D4B"/>
    <w:rsid w:val="007B4E08"/>
    <w:rsid w:val="007D5727"/>
    <w:rsid w:val="007E319C"/>
    <w:rsid w:val="007E57D5"/>
    <w:rsid w:val="007F40E3"/>
    <w:rsid w:val="00804B0C"/>
    <w:rsid w:val="0080576B"/>
    <w:rsid w:val="00811A04"/>
    <w:rsid w:val="00827956"/>
    <w:rsid w:val="0084640C"/>
    <w:rsid w:val="00851169"/>
    <w:rsid w:val="00853E85"/>
    <w:rsid w:val="008603B9"/>
    <w:rsid w:val="00874C51"/>
    <w:rsid w:val="00876A0E"/>
    <w:rsid w:val="008B146B"/>
    <w:rsid w:val="008C399F"/>
    <w:rsid w:val="009217F6"/>
    <w:rsid w:val="0096457D"/>
    <w:rsid w:val="00965E7F"/>
    <w:rsid w:val="009742F0"/>
    <w:rsid w:val="00987432"/>
    <w:rsid w:val="00990656"/>
    <w:rsid w:val="009A1CD5"/>
    <w:rsid w:val="009A6532"/>
    <w:rsid w:val="009C17D3"/>
    <w:rsid w:val="009E4E4C"/>
    <w:rsid w:val="00A127DB"/>
    <w:rsid w:val="00A17E04"/>
    <w:rsid w:val="00A201BF"/>
    <w:rsid w:val="00A5167D"/>
    <w:rsid w:val="00A5320B"/>
    <w:rsid w:val="00AA3F8F"/>
    <w:rsid w:val="00AA6881"/>
    <w:rsid w:val="00AC686F"/>
    <w:rsid w:val="00AF060A"/>
    <w:rsid w:val="00AF1157"/>
    <w:rsid w:val="00AF184C"/>
    <w:rsid w:val="00B06BC0"/>
    <w:rsid w:val="00B06EE5"/>
    <w:rsid w:val="00B1047F"/>
    <w:rsid w:val="00B23FF6"/>
    <w:rsid w:val="00B309C4"/>
    <w:rsid w:val="00B31E02"/>
    <w:rsid w:val="00B46947"/>
    <w:rsid w:val="00B47E37"/>
    <w:rsid w:val="00B508E9"/>
    <w:rsid w:val="00B539ED"/>
    <w:rsid w:val="00B70848"/>
    <w:rsid w:val="00B72AC4"/>
    <w:rsid w:val="00B95061"/>
    <w:rsid w:val="00BA1A21"/>
    <w:rsid w:val="00BB67E5"/>
    <w:rsid w:val="00BC1D1F"/>
    <w:rsid w:val="00BD3333"/>
    <w:rsid w:val="00BD3C2A"/>
    <w:rsid w:val="00BE3C19"/>
    <w:rsid w:val="00C1362D"/>
    <w:rsid w:val="00C271EA"/>
    <w:rsid w:val="00C71838"/>
    <w:rsid w:val="00C830B7"/>
    <w:rsid w:val="00CA07BF"/>
    <w:rsid w:val="00CA7E3C"/>
    <w:rsid w:val="00CC2DE7"/>
    <w:rsid w:val="00CD21EC"/>
    <w:rsid w:val="00CE124B"/>
    <w:rsid w:val="00CF1C87"/>
    <w:rsid w:val="00CF2DC1"/>
    <w:rsid w:val="00D004D6"/>
    <w:rsid w:val="00D01AA2"/>
    <w:rsid w:val="00D03A61"/>
    <w:rsid w:val="00D059BB"/>
    <w:rsid w:val="00D2030B"/>
    <w:rsid w:val="00D414AB"/>
    <w:rsid w:val="00D50640"/>
    <w:rsid w:val="00D56B01"/>
    <w:rsid w:val="00D6325C"/>
    <w:rsid w:val="00D656EA"/>
    <w:rsid w:val="00D73D2D"/>
    <w:rsid w:val="00D742EE"/>
    <w:rsid w:val="00D76DF0"/>
    <w:rsid w:val="00D85E10"/>
    <w:rsid w:val="00DA29D8"/>
    <w:rsid w:val="00DF5F98"/>
    <w:rsid w:val="00E115FD"/>
    <w:rsid w:val="00E323CD"/>
    <w:rsid w:val="00E414F9"/>
    <w:rsid w:val="00E41ED9"/>
    <w:rsid w:val="00E45CBA"/>
    <w:rsid w:val="00E51AD7"/>
    <w:rsid w:val="00E56E11"/>
    <w:rsid w:val="00E86B1B"/>
    <w:rsid w:val="00E94362"/>
    <w:rsid w:val="00EC4FC3"/>
    <w:rsid w:val="00ED4A03"/>
    <w:rsid w:val="00ED7233"/>
    <w:rsid w:val="00EE1CF5"/>
    <w:rsid w:val="00EE4237"/>
    <w:rsid w:val="00F03208"/>
    <w:rsid w:val="00F058FA"/>
    <w:rsid w:val="00F06694"/>
    <w:rsid w:val="00F10C50"/>
    <w:rsid w:val="00F11047"/>
    <w:rsid w:val="00F3584D"/>
    <w:rsid w:val="00F46E31"/>
    <w:rsid w:val="00F618E0"/>
    <w:rsid w:val="00F74ADB"/>
    <w:rsid w:val="00F95A6D"/>
    <w:rsid w:val="00FA228E"/>
    <w:rsid w:val="00FD18EE"/>
    <w:rsid w:val="00FD4CE1"/>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1E571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C79F5BCE.dotm</Template>
  <TotalTime>0</TotalTime>
  <Pages>5</Pages>
  <Words>1588</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2016-07-19T18:48:00Z</dcterms:created>
  <dcterms:modified xsi:type="dcterms:W3CDTF">2016-07-22T18:32:00Z</dcterms:modified>
</cp:coreProperties>
</file>