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A95C35" w:rsidRDefault="00A01190" w:rsidP="000D740B">
      <w:pPr>
        <w:pStyle w:val="BodyText3"/>
        <w:spacing w:line="276" w:lineRule="auto"/>
        <w:rPr>
          <w:rFonts w:ascii="Times New Roman" w:hAnsi="Times New Roman"/>
          <w:b/>
          <w:bCs/>
          <w:sz w:val="24"/>
          <w:szCs w:val="24"/>
        </w:rPr>
      </w:pPr>
      <w:bookmarkStart w:id="0" w:name="_GoBack"/>
      <w:bookmarkEnd w:id="0"/>
      <w:r w:rsidRPr="00A95C35">
        <w:rPr>
          <w:rFonts w:ascii="Times New Roman" w:hAnsi="Times New Roman"/>
          <w:b/>
          <w:bCs/>
          <w:sz w:val="24"/>
          <w:szCs w:val="24"/>
        </w:rPr>
        <w:t xml:space="preserve">Memorandum </w:t>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t>United States Department of Education</w:t>
      </w:r>
    </w:p>
    <w:p w14:paraId="5856B720" w14:textId="77777777" w:rsidR="00C2153D" w:rsidRPr="00A95C35" w:rsidRDefault="00A01190" w:rsidP="000D740B">
      <w:pPr>
        <w:pStyle w:val="BodyText3"/>
        <w:spacing w:line="276" w:lineRule="auto"/>
        <w:ind w:left="3600" w:firstLine="720"/>
        <w:rPr>
          <w:rFonts w:ascii="Times New Roman" w:hAnsi="Times New Roman"/>
          <w:b/>
          <w:bCs/>
          <w:sz w:val="24"/>
          <w:szCs w:val="24"/>
        </w:rPr>
      </w:pPr>
      <w:r w:rsidRPr="00A95C35">
        <w:rPr>
          <w:rFonts w:ascii="Times New Roman" w:hAnsi="Times New Roman"/>
          <w:b/>
          <w:bCs/>
          <w:sz w:val="24"/>
          <w:szCs w:val="24"/>
        </w:rPr>
        <w:tab/>
        <w:t>Institute of Education Sciences</w:t>
      </w:r>
    </w:p>
    <w:p w14:paraId="11BC288F" w14:textId="77777777" w:rsidR="00C2153D" w:rsidRPr="00A95C35" w:rsidRDefault="00A01190" w:rsidP="000D740B">
      <w:pPr>
        <w:pStyle w:val="Heading8"/>
        <w:pBdr>
          <w:bottom w:val="single" w:sz="12" w:space="1" w:color="auto"/>
        </w:pBdr>
        <w:spacing w:line="276" w:lineRule="auto"/>
      </w:pPr>
      <w:r w:rsidRPr="00A95C35">
        <w:tab/>
      </w:r>
      <w:r w:rsidRPr="00A95C35">
        <w:tab/>
      </w:r>
      <w:r w:rsidRPr="00A95C35">
        <w:tab/>
      </w:r>
      <w:r w:rsidRPr="00A95C35">
        <w:tab/>
      </w:r>
      <w:r w:rsidRPr="00A95C35">
        <w:tab/>
      </w:r>
      <w:r w:rsidRPr="00A95C35">
        <w:tab/>
      </w:r>
      <w:r w:rsidRPr="00A95C35">
        <w:tab/>
        <w:t>National Center for Education Statistics</w:t>
      </w:r>
    </w:p>
    <w:p w14:paraId="7A6CB8EF" w14:textId="77777777" w:rsidR="00C2153D" w:rsidRPr="00A95C35" w:rsidRDefault="00C2153D" w:rsidP="000D740B">
      <w:pPr>
        <w:spacing w:line="276" w:lineRule="auto"/>
      </w:pPr>
    </w:p>
    <w:p w14:paraId="6898DA05" w14:textId="46E71D30" w:rsidR="00D90962" w:rsidRPr="00A95C35" w:rsidRDefault="00C2153D" w:rsidP="000D740B">
      <w:pPr>
        <w:spacing w:line="276" w:lineRule="auto"/>
      </w:pPr>
      <w:r w:rsidRPr="00A95C35">
        <w:t>DATE:</w:t>
      </w:r>
      <w:r w:rsidRPr="00A95C35">
        <w:tab/>
      </w:r>
      <w:r w:rsidR="00A14445" w:rsidRPr="00A95C35">
        <w:tab/>
      </w:r>
      <w:r w:rsidR="00755A6A">
        <w:t xml:space="preserve">July </w:t>
      </w:r>
      <w:r w:rsidR="00884ED6">
        <w:t>2</w:t>
      </w:r>
      <w:r w:rsidR="00D27686">
        <w:t>1</w:t>
      </w:r>
      <w:r w:rsidR="001B15CB" w:rsidRPr="00A95C35">
        <w:t>, 2016</w:t>
      </w:r>
    </w:p>
    <w:p w14:paraId="0A386C93" w14:textId="62DA37BB" w:rsidR="00C2153D" w:rsidRPr="00235CA6" w:rsidRDefault="00C2153D" w:rsidP="009B4A44">
      <w:pPr>
        <w:rPr>
          <w:sz w:val="14"/>
          <w:szCs w:val="14"/>
        </w:rPr>
      </w:pPr>
    </w:p>
    <w:p w14:paraId="31AA0AF6" w14:textId="77777777" w:rsidR="00D018C6" w:rsidRPr="00A95C35" w:rsidRDefault="00026D24" w:rsidP="000D740B">
      <w:pPr>
        <w:spacing w:line="276" w:lineRule="auto"/>
      </w:pPr>
      <w:r w:rsidRPr="00A95C35">
        <w:t>TO:</w:t>
      </w:r>
      <w:r w:rsidRPr="00A95C35">
        <w:tab/>
      </w:r>
      <w:r w:rsidRPr="00A95C35">
        <w:tab/>
      </w:r>
      <w:r w:rsidR="00D018C6" w:rsidRPr="00A95C35">
        <w:t>Robert Sivinski, OMB</w:t>
      </w:r>
    </w:p>
    <w:p w14:paraId="128F7F3D" w14:textId="77777777" w:rsidR="009B4A44" w:rsidRPr="00235CA6" w:rsidRDefault="009B4A44" w:rsidP="009B4A44">
      <w:pPr>
        <w:rPr>
          <w:sz w:val="14"/>
          <w:szCs w:val="14"/>
        </w:rPr>
      </w:pPr>
    </w:p>
    <w:p w14:paraId="58215B3B" w14:textId="77777777" w:rsidR="00C2153D" w:rsidRPr="00A95C35" w:rsidRDefault="00026D24" w:rsidP="000D740B">
      <w:pPr>
        <w:spacing w:line="276" w:lineRule="auto"/>
      </w:pPr>
      <w:r w:rsidRPr="00A95C35">
        <w:t>THROUGH</w:t>
      </w:r>
      <w:r w:rsidR="00C2153D" w:rsidRPr="00A95C35">
        <w:t>:</w:t>
      </w:r>
      <w:r w:rsidRPr="00A95C35">
        <w:tab/>
      </w:r>
      <w:r w:rsidR="000E3482" w:rsidRPr="00A95C35">
        <w:t>Kashka Kubzdela</w:t>
      </w:r>
      <w:r w:rsidR="007D64A0" w:rsidRPr="00A95C35">
        <w:t xml:space="preserve">, OMB Liaison, </w:t>
      </w:r>
      <w:r w:rsidR="00C2153D" w:rsidRPr="00A95C35">
        <w:t>NCES</w:t>
      </w:r>
    </w:p>
    <w:p w14:paraId="26110ECB" w14:textId="77777777" w:rsidR="009B4A44" w:rsidRPr="00235CA6" w:rsidRDefault="009B4A44" w:rsidP="009B4A44">
      <w:pPr>
        <w:rPr>
          <w:sz w:val="14"/>
          <w:szCs w:val="14"/>
        </w:rPr>
      </w:pPr>
    </w:p>
    <w:p w14:paraId="636CDA47" w14:textId="77777777" w:rsidR="00C2153D" w:rsidRPr="00A95C35" w:rsidRDefault="00C2153D" w:rsidP="000D740B">
      <w:pPr>
        <w:spacing w:line="276" w:lineRule="auto"/>
      </w:pPr>
      <w:r w:rsidRPr="00A95C35">
        <w:t>FROM:</w:t>
      </w:r>
      <w:r w:rsidRPr="00A95C35">
        <w:tab/>
      </w:r>
      <w:r w:rsidR="00F65EBC" w:rsidRPr="00A95C35">
        <w:t>Elise Christopher</w:t>
      </w:r>
      <w:r w:rsidR="007D64A0" w:rsidRPr="00A95C35">
        <w:t xml:space="preserve">, </w:t>
      </w:r>
      <w:r w:rsidR="00F65EBC" w:rsidRPr="00A95C35">
        <w:t>HSLS:09</w:t>
      </w:r>
      <w:r w:rsidR="00D018C6" w:rsidRPr="00A95C35">
        <w:t xml:space="preserve"> Project Officer</w:t>
      </w:r>
      <w:r w:rsidRPr="00A95C35">
        <w:t>, NCES</w:t>
      </w:r>
    </w:p>
    <w:p w14:paraId="77714E18" w14:textId="77777777" w:rsidR="009B4A44" w:rsidRPr="00235CA6" w:rsidRDefault="009B4A44" w:rsidP="009B4A44">
      <w:pPr>
        <w:rPr>
          <w:sz w:val="14"/>
          <w:szCs w:val="14"/>
        </w:rPr>
      </w:pPr>
    </w:p>
    <w:p w14:paraId="6DEAD108" w14:textId="09C53ACB" w:rsidR="009B4A44" w:rsidRPr="00A95C35" w:rsidRDefault="00C2153D" w:rsidP="00FB296D">
      <w:pPr>
        <w:pStyle w:val="Heading1"/>
        <w:spacing w:line="276" w:lineRule="auto"/>
        <w:ind w:left="1440" w:hanging="1440"/>
        <w:rPr>
          <w:b w:val="0"/>
          <w:bCs w:val="0"/>
          <w:u w:val="none"/>
        </w:rPr>
      </w:pPr>
      <w:r w:rsidRPr="00A95C35">
        <w:rPr>
          <w:b w:val="0"/>
          <w:bCs w:val="0"/>
          <w:u w:val="none"/>
        </w:rPr>
        <w:t>SUBJECT:</w:t>
      </w:r>
      <w:r w:rsidRPr="00A95C35">
        <w:rPr>
          <w:b w:val="0"/>
          <w:bCs w:val="0"/>
          <w:u w:val="none"/>
        </w:rPr>
        <w:tab/>
      </w:r>
      <w:r w:rsidR="00FB296D" w:rsidRPr="00A95C35">
        <w:rPr>
          <w:b w:val="0"/>
          <w:bCs w:val="0"/>
          <w:u w:val="none"/>
        </w:rPr>
        <w:t xml:space="preserve">High School Longitudinal Study of 2009 (HSLS:09) Second Follow-up Main Study </w:t>
      </w:r>
      <w:r w:rsidR="00755A6A">
        <w:rPr>
          <w:b w:val="0"/>
          <w:bCs w:val="0"/>
          <w:u w:val="none"/>
        </w:rPr>
        <w:t>Second</w:t>
      </w:r>
      <w:r w:rsidR="00A95C35">
        <w:rPr>
          <w:b w:val="0"/>
          <w:bCs w:val="0"/>
          <w:u w:val="none"/>
        </w:rPr>
        <w:t xml:space="preserve"> Incentive </w:t>
      </w:r>
      <w:r w:rsidR="00AE04C7">
        <w:rPr>
          <w:b w:val="0"/>
          <w:bCs w:val="0"/>
          <w:u w:val="none"/>
        </w:rPr>
        <w:t xml:space="preserve">Boost </w:t>
      </w:r>
      <w:r w:rsidR="00A95C35">
        <w:rPr>
          <w:b w:val="0"/>
          <w:bCs w:val="0"/>
          <w:u w:val="none"/>
        </w:rPr>
        <w:t xml:space="preserve">Change Request </w:t>
      </w:r>
      <w:r w:rsidR="009B4A44" w:rsidRPr="00A95C35">
        <w:rPr>
          <w:b w:val="0"/>
          <w:bCs w:val="0"/>
          <w:u w:val="none"/>
        </w:rPr>
        <w:t>(OMB# 1850-0852 v.</w:t>
      </w:r>
      <w:r w:rsidR="00ED4F7B">
        <w:rPr>
          <w:b w:val="0"/>
          <w:bCs w:val="0"/>
          <w:u w:val="none"/>
        </w:rPr>
        <w:t>2</w:t>
      </w:r>
      <w:r w:rsidR="008C5D94">
        <w:rPr>
          <w:b w:val="0"/>
          <w:bCs w:val="0"/>
          <w:u w:val="none"/>
        </w:rPr>
        <w:t>2</w:t>
      </w:r>
      <w:r w:rsidR="009B4A44" w:rsidRPr="00A95C35">
        <w:rPr>
          <w:b w:val="0"/>
          <w:bCs w:val="0"/>
          <w:u w:val="none"/>
        </w:rPr>
        <w:t>)</w:t>
      </w:r>
      <w:r w:rsidR="00A95C35">
        <w:rPr>
          <w:b w:val="0"/>
          <w:bCs w:val="0"/>
          <w:u w:val="none"/>
        </w:rPr>
        <w:t xml:space="preserve"> - </w:t>
      </w:r>
      <w:r w:rsidR="00A95C35" w:rsidRPr="00A95C35">
        <w:rPr>
          <w:b w:val="0"/>
          <w:bCs w:val="0"/>
          <w:u w:val="none"/>
        </w:rPr>
        <w:t>Calibration Sample Results: Phase</w:t>
      </w:r>
      <w:r w:rsidR="0047422C">
        <w:rPr>
          <w:b w:val="0"/>
          <w:bCs w:val="0"/>
          <w:u w:val="none"/>
        </w:rPr>
        <w:t xml:space="preserve"> </w:t>
      </w:r>
      <w:r w:rsidR="00755A6A">
        <w:rPr>
          <w:b w:val="0"/>
          <w:bCs w:val="0"/>
          <w:u w:val="none"/>
        </w:rPr>
        <w:t>4</w:t>
      </w:r>
      <w:r w:rsidR="00AE04C7">
        <w:rPr>
          <w:b w:val="0"/>
          <w:bCs w:val="0"/>
          <w:u w:val="none"/>
        </w:rPr>
        <w:t xml:space="preserve"> and </w:t>
      </w:r>
      <w:r w:rsidR="00755A6A">
        <w:rPr>
          <w:b w:val="0"/>
          <w:bCs w:val="0"/>
          <w:u w:val="none"/>
        </w:rPr>
        <w:t>revised institution contacting materials</w:t>
      </w:r>
    </w:p>
    <w:p w14:paraId="52FD3891" w14:textId="77777777" w:rsidR="00EA4F96" w:rsidRPr="00A95C35" w:rsidRDefault="00EA4F96" w:rsidP="004F4D11">
      <w:pPr>
        <w:pStyle w:val="Bodytextnoindent"/>
        <w:spacing w:before="0" w:after="0" w:line="276" w:lineRule="auto"/>
        <w:ind w:firstLine="720"/>
        <w:rPr>
          <w:szCs w:val="24"/>
        </w:rPr>
      </w:pPr>
    </w:p>
    <w:p w14:paraId="1A7FAC47" w14:textId="435EED21" w:rsidR="0012347F" w:rsidRDefault="00ED4F7B" w:rsidP="00A95C35">
      <w:pPr>
        <w:pStyle w:val="Bodytextnoindent"/>
        <w:spacing w:before="0" w:line="23" w:lineRule="atLeast"/>
        <w:rPr>
          <w:szCs w:val="24"/>
        </w:rPr>
      </w:pPr>
      <w:r w:rsidRPr="00A95C35">
        <w:rPr>
          <w:szCs w:val="24"/>
        </w:rPr>
        <w:t xml:space="preserve">The High School Longitudinal Study of 2009 (HSLS:09) Second Follow-up Main Study and 2018 Panel Maintenance request </w:t>
      </w:r>
      <w:r w:rsidRPr="00ED4F7B">
        <w:rPr>
          <w:szCs w:val="24"/>
        </w:rPr>
        <w:t xml:space="preserve">was approved by OMB in December 2015 </w:t>
      </w:r>
      <w:r w:rsidRPr="00A95C35">
        <w:rPr>
          <w:szCs w:val="24"/>
        </w:rPr>
        <w:t>(OMB# 1850-0852 v.1</w:t>
      </w:r>
      <w:r>
        <w:rPr>
          <w:bCs/>
        </w:rPr>
        <w:t>7</w:t>
      </w:r>
      <w:r>
        <w:rPr>
          <w:szCs w:val="24"/>
        </w:rPr>
        <w:t xml:space="preserve">) </w:t>
      </w:r>
      <w:r w:rsidRPr="00ED4F7B">
        <w:rPr>
          <w:szCs w:val="24"/>
        </w:rPr>
        <w:t>with updates in March</w:t>
      </w:r>
      <w:r w:rsidR="008C5D94">
        <w:rPr>
          <w:szCs w:val="24"/>
        </w:rPr>
        <w:t>,</w:t>
      </w:r>
      <w:r w:rsidRPr="00ED4F7B">
        <w:rPr>
          <w:szCs w:val="24"/>
        </w:rPr>
        <w:t xml:space="preserve"> May</w:t>
      </w:r>
      <w:r w:rsidR="008C5D94">
        <w:rPr>
          <w:szCs w:val="24"/>
        </w:rPr>
        <w:t>, and June</w:t>
      </w:r>
      <w:r w:rsidRPr="00ED4F7B">
        <w:rPr>
          <w:szCs w:val="24"/>
        </w:rPr>
        <w:t xml:space="preserve"> 2016 (OMB# 1850-0852 v.1</w:t>
      </w:r>
      <w:r>
        <w:rPr>
          <w:szCs w:val="24"/>
        </w:rPr>
        <w:t>8</w:t>
      </w:r>
      <w:r w:rsidRPr="00ED4F7B">
        <w:rPr>
          <w:szCs w:val="24"/>
        </w:rPr>
        <w:t>-2</w:t>
      </w:r>
      <w:r w:rsidR="008C5D94">
        <w:rPr>
          <w:szCs w:val="24"/>
        </w:rPr>
        <w:t>1</w:t>
      </w:r>
      <w:r w:rsidRPr="00ED4F7B">
        <w:rPr>
          <w:szCs w:val="24"/>
        </w:rPr>
        <w:t>).</w:t>
      </w:r>
      <w:r>
        <w:rPr>
          <w:szCs w:val="24"/>
        </w:rPr>
        <w:t xml:space="preserve"> </w:t>
      </w:r>
      <w:r w:rsidR="00856A8B" w:rsidRPr="00856A8B">
        <w:rPr>
          <w:szCs w:val="24"/>
        </w:rPr>
        <w:t xml:space="preserve">This submission provides results from the </w:t>
      </w:r>
      <w:r w:rsidR="00E317C4">
        <w:rPr>
          <w:szCs w:val="24"/>
        </w:rPr>
        <w:t>fourth</w:t>
      </w:r>
      <w:r w:rsidR="00856A8B" w:rsidRPr="00856A8B">
        <w:rPr>
          <w:szCs w:val="24"/>
        </w:rPr>
        <w:t xml:space="preserve"> phase of </w:t>
      </w:r>
      <w:r w:rsidR="00E317C4">
        <w:rPr>
          <w:szCs w:val="24"/>
        </w:rPr>
        <w:t xml:space="preserve">the </w:t>
      </w:r>
      <w:r w:rsidR="00856A8B" w:rsidRPr="00856A8B">
        <w:rPr>
          <w:szCs w:val="24"/>
        </w:rPr>
        <w:t xml:space="preserve">calibration sample experiment, and requests approval for recommended </w:t>
      </w:r>
      <w:r w:rsidR="00E317C4">
        <w:rPr>
          <w:szCs w:val="24"/>
        </w:rPr>
        <w:t>second</w:t>
      </w:r>
      <w:r w:rsidR="00856A8B" w:rsidRPr="00856A8B">
        <w:rPr>
          <w:szCs w:val="24"/>
        </w:rPr>
        <w:t xml:space="preserve"> incentive boost amount for phase </w:t>
      </w:r>
      <w:r w:rsidR="00E317C4">
        <w:rPr>
          <w:szCs w:val="24"/>
        </w:rPr>
        <w:t>4</w:t>
      </w:r>
      <w:r w:rsidR="00856A8B" w:rsidRPr="00856A8B">
        <w:rPr>
          <w:szCs w:val="24"/>
        </w:rPr>
        <w:t xml:space="preserve"> of the main sample data collection, as well as approval to </w:t>
      </w:r>
      <w:r w:rsidR="00E317C4">
        <w:rPr>
          <w:szCs w:val="24"/>
        </w:rPr>
        <w:t>revise institution contacting materials that will be used in the upcoming student records and transcript collections</w:t>
      </w:r>
      <w:r w:rsidR="0012347F">
        <w:rPr>
          <w:szCs w:val="24"/>
        </w:rPr>
        <w:t>.</w:t>
      </w:r>
      <w:r w:rsidR="00501AD8">
        <w:rPr>
          <w:szCs w:val="24"/>
        </w:rPr>
        <w:t xml:space="preserve"> No change to estimated response burden or the total cost to the federal government is associated with this request.</w:t>
      </w:r>
    </w:p>
    <w:p w14:paraId="0F2BCEB4" w14:textId="27E4641E" w:rsidR="0012347F" w:rsidRDefault="0012347F" w:rsidP="00C90410">
      <w:pPr>
        <w:pStyle w:val="Heading1"/>
        <w:numPr>
          <w:ilvl w:val="0"/>
          <w:numId w:val="21"/>
        </w:numPr>
      </w:pPr>
      <w:r>
        <w:t xml:space="preserve">Phase </w:t>
      </w:r>
      <w:r w:rsidR="00761660">
        <w:t>4</w:t>
      </w:r>
      <w:r>
        <w:t xml:space="preserve"> incentive boost amount</w:t>
      </w:r>
    </w:p>
    <w:p w14:paraId="3277243C" w14:textId="5E4726B6" w:rsidR="001B15CB" w:rsidRPr="00307F6F" w:rsidRDefault="0047422C" w:rsidP="00A95C35">
      <w:pPr>
        <w:pStyle w:val="Bodytextnoindent"/>
        <w:spacing w:before="0" w:line="23" w:lineRule="atLeast"/>
        <w:rPr>
          <w:rFonts w:asciiTheme="majorBidi" w:hAnsiTheme="majorBidi" w:cstheme="majorBidi"/>
          <w:szCs w:val="24"/>
        </w:rPr>
      </w:pPr>
      <w:r w:rsidRPr="00307F6F">
        <w:rPr>
          <w:rFonts w:asciiTheme="majorBidi" w:hAnsiTheme="majorBidi" w:cstheme="majorBidi"/>
          <w:szCs w:val="24"/>
        </w:rPr>
        <w:t xml:space="preserve">A change request was submitted and approved in </w:t>
      </w:r>
      <w:r w:rsidR="00761660">
        <w:rPr>
          <w:rFonts w:asciiTheme="majorBidi" w:hAnsiTheme="majorBidi" w:cstheme="majorBidi"/>
          <w:szCs w:val="24"/>
        </w:rPr>
        <w:t>June</w:t>
      </w:r>
      <w:r w:rsidRPr="00307F6F">
        <w:rPr>
          <w:rFonts w:asciiTheme="majorBidi" w:hAnsiTheme="majorBidi" w:cstheme="majorBidi"/>
          <w:szCs w:val="24"/>
        </w:rPr>
        <w:t xml:space="preserve"> to establish </w:t>
      </w:r>
      <w:r w:rsidR="00761660">
        <w:rPr>
          <w:rFonts w:asciiTheme="majorBidi" w:hAnsiTheme="majorBidi" w:cstheme="majorBidi"/>
          <w:szCs w:val="24"/>
        </w:rPr>
        <w:t>the incentive amount for the first of two “incentive boosts”</w:t>
      </w:r>
      <w:r w:rsidRPr="00307F6F">
        <w:rPr>
          <w:rFonts w:asciiTheme="majorBidi" w:hAnsiTheme="majorBidi" w:cstheme="majorBidi"/>
          <w:szCs w:val="24"/>
        </w:rPr>
        <w:t xml:space="preserve"> for the main sample. </w:t>
      </w:r>
      <w:r w:rsidR="001F7E7E" w:rsidRPr="00307F6F">
        <w:rPr>
          <w:rFonts w:asciiTheme="majorBidi" w:hAnsiTheme="majorBidi" w:cstheme="majorBidi"/>
          <w:szCs w:val="24"/>
        </w:rPr>
        <w:t>This</w:t>
      </w:r>
      <w:r w:rsidR="00450CC6" w:rsidRPr="00307F6F">
        <w:rPr>
          <w:rFonts w:asciiTheme="majorBidi" w:hAnsiTheme="majorBidi" w:cstheme="majorBidi"/>
          <w:szCs w:val="24"/>
        </w:rPr>
        <w:t xml:space="preserve"> memorandum </w:t>
      </w:r>
      <w:r w:rsidR="004E0012" w:rsidRPr="00307F6F">
        <w:rPr>
          <w:rFonts w:asciiTheme="majorBidi" w:hAnsiTheme="majorBidi" w:cstheme="majorBidi"/>
          <w:szCs w:val="24"/>
        </w:rPr>
        <w:t xml:space="preserve">provides </w:t>
      </w:r>
      <w:r w:rsidR="00DE39F0" w:rsidRPr="00307F6F">
        <w:rPr>
          <w:rFonts w:asciiTheme="majorBidi" w:hAnsiTheme="majorBidi" w:cstheme="majorBidi"/>
          <w:szCs w:val="24"/>
        </w:rPr>
        <w:t xml:space="preserve">data collection results from the </w:t>
      </w:r>
      <w:r w:rsidR="00A95C35" w:rsidRPr="00307F6F">
        <w:rPr>
          <w:rFonts w:asciiTheme="majorBidi" w:hAnsiTheme="majorBidi" w:cstheme="majorBidi"/>
          <w:szCs w:val="24"/>
        </w:rPr>
        <w:t xml:space="preserve">calibration sample </w:t>
      </w:r>
      <w:r w:rsidR="00761660">
        <w:rPr>
          <w:rFonts w:asciiTheme="majorBidi" w:hAnsiTheme="majorBidi" w:cstheme="majorBidi"/>
          <w:szCs w:val="24"/>
        </w:rPr>
        <w:t>fourth</w:t>
      </w:r>
      <w:r w:rsidR="00834859">
        <w:rPr>
          <w:rFonts w:asciiTheme="majorBidi" w:hAnsiTheme="majorBidi" w:cstheme="majorBidi"/>
          <w:szCs w:val="24"/>
        </w:rPr>
        <w:t xml:space="preserve"> </w:t>
      </w:r>
      <w:r w:rsidRPr="00307F6F">
        <w:rPr>
          <w:rFonts w:asciiTheme="majorBidi" w:hAnsiTheme="majorBidi" w:cstheme="majorBidi"/>
          <w:szCs w:val="24"/>
        </w:rPr>
        <w:t>phase</w:t>
      </w:r>
      <w:r w:rsidR="00834859">
        <w:rPr>
          <w:rFonts w:asciiTheme="majorBidi" w:hAnsiTheme="majorBidi" w:cstheme="majorBidi"/>
          <w:szCs w:val="24"/>
        </w:rPr>
        <w:t xml:space="preserve"> (</w:t>
      </w:r>
      <w:r w:rsidR="00761660">
        <w:rPr>
          <w:rFonts w:asciiTheme="majorBidi" w:hAnsiTheme="majorBidi" w:cstheme="majorBidi"/>
          <w:szCs w:val="24"/>
        </w:rPr>
        <w:t>second</w:t>
      </w:r>
      <w:r w:rsidR="00834859">
        <w:rPr>
          <w:rFonts w:asciiTheme="majorBidi" w:hAnsiTheme="majorBidi" w:cstheme="majorBidi"/>
          <w:szCs w:val="24"/>
        </w:rPr>
        <w:t xml:space="preserve"> incentive boost experiment)</w:t>
      </w:r>
      <w:r w:rsidR="00DE39F0" w:rsidRPr="00307F6F">
        <w:rPr>
          <w:rFonts w:asciiTheme="majorBidi" w:hAnsiTheme="majorBidi" w:cstheme="majorBidi"/>
          <w:szCs w:val="24"/>
        </w:rPr>
        <w:t xml:space="preserve">, and </w:t>
      </w:r>
      <w:r w:rsidR="003F14B1" w:rsidRPr="00307F6F">
        <w:rPr>
          <w:rFonts w:asciiTheme="majorBidi" w:hAnsiTheme="majorBidi" w:cstheme="majorBidi"/>
          <w:szCs w:val="24"/>
        </w:rPr>
        <w:t xml:space="preserve">requests approval for recommended </w:t>
      </w:r>
      <w:r w:rsidR="00DE39F0" w:rsidRPr="00307F6F">
        <w:rPr>
          <w:rFonts w:asciiTheme="majorBidi" w:hAnsiTheme="majorBidi" w:cstheme="majorBidi"/>
          <w:szCs w:val="24"/>
        </w:rPr>
        <w:t xml:space="preserve">incentive </w:t>
      </w:r>
      <w:r w:rsidRPr="00307F6F">
        <w:rPr>
          <w:rFonts w:asciiTheme="majorBidi" w:hAnsiTheme="majorBidi" w:cstheme="majorBidi"/>
          <w:szCs w:val="24"/>
        </w:rPr>
        <w:t xml:space="preserve">boost </w:t>
      </w:r>
      <w:r w:rsidR="00DE39F0" w:rsidRPr="00307F6F">
        <w:rPr>
          <w:rFonts w:asciiTheme="majorBidi" w:hAnsiTheme="majorBidi" w:cstheme="majorBidi"/>
          <w:szCs w:val="24"/>
        </w:rPr>
        <w:t>plans for the main sample</w:t>
      </w:r>
      <w:r w:rsidR="00D90962" w:rsidRPr="00307F6F">
        <w:rPr>
          <w:rFonts w:asciiTheme="majorBidi" w:hAnsiTheme="majorBidi" w:cstheme="majorBidi"/>
          <w:szCs w:val="24"/>
        </w:rPr>
        <w:t>.</w:t>
      </w:r>
    </w:p>
    <w:p w14:paraId="0DEB3822" w14:textId="6408F0A7" w:rsidR="001F7E7E" w:rsidRPr="00307F6F" w:rsidRDefault="00FC0F0E" w:rsidP="009F504E">
      <w:pPr>
        <w:pStyle w:val="NoSpacing"/>
        <w:spacing w:before="120" w:after="120" w:line="23" w:lineRule="atLeast"/>
        <w:rPr>
          <w:rFonts w:asciiTheme="majorBidi" w:hAnsiTheme="majorBidi" w:cstheme="majorBidi"/>
        </w:rPr>
      </w:pPr>
      <w:r w:rsidRPr="00307F6F">
        <w:rPr>
          <w:rFonts w:asciiTheme="majorBidi" w:hAnsiTheme="majorBidi" w:cstheme="majorBidi"/>
        </w:rPr>
        <w:t xml:space="preserve">For reference, an excerpt from </w:t>
      </w:r>
      <w:r w:rsidR="00120E05" w:rsidRPr="00307F6F">
        <w:rPr>
          <w:rFonts w:asciiTheme="majorBidi" w:hAnsiTheme="majorBidi" w:cstheme="majorBidi"/>
        </w:rPr>
        <w:t xml:space="preserve">Part B of </w:t>
      </w:r>
      <w:r w:rsidRPr="00307F6F">
        <w:rPr>
          <w:rFonts w:asciiTheme="majorBidi" w:hAnsiTheme="majorBidi" w:cstheme="majorBidi"/>
        </w:rPr>
        <w:t xml:space="preserve">the </w:t>
      </w:r>
      <w:r w:rsidR="00120E05" w:rsidRPr="00307F6F">
        <w:rPr>
          <w:rFonts w:asciiTheme="majorBidi" w:hAnsiTheme="majorBidi" w:cstheme="majorBidi"/>
        </w:rPr>
        <w:t xml:space="preserve">second follow-up </w:t>
      </w:r>
      <w:r w:rsidRPr="00307F6F">
        <w:rPr>
          <w:rFonts w:asciiTheme="majorBidi" w:hAnsiTheme="majorBidi" w:cstheme="majorBidi"/>
        </w:rPr>
        <w:t xml:space="preserve">main study </w:t>
      </w:r>
      <w:r w:rsidR="00120E05" w:rsidRPr="00307F6F">
        <w:rPr>
          <w:rFonts w:asciiTheme="majorBidi" w:hAnsiTheme="majorBidi" w:cstheme="majorBidi"/>
        </w:rPr>
        <w:t>submission</w:t>
      </w:r>
      <w:r w:rsidRPr="00307F6F">
        <w:rPr>
          <w:rFonts w:asciiTheme="majorBidi" w:hAnsiTheme="majorBidi" w:cstheme="majorBidi"/>
        </w:rPr>
        <w:t xml:space="preserve"> that describes main study responsive design plans is presented in Attachment 1</w:t>
      </w:r>
      <w:r w:rsidR="00A95C35" w:rsidRPr="00307F6F">
        <w:rPr>
          <w:rFonts w:asciiTheme="majorBidi" w:hAnsiTheme="majorBidi" w:cstheme="majorBidi"/>
        </w:rPr>
        <w:t xml:space="preserve"> below</w:t>
      </w:r>
      <w:r w:rsidRPr="00307F6F">
        <w:rPr>
          <w:rFonts w:asciiTheme="majorBidi" w:hAnsiTheme="majorBidi" w:cstheme="majorBidi"/>
        </w:rPr>
        <w:t xml:space="preserve">. </w:t>
      </w:r>
      <w:r w:rsidR="001F7E7E" w:rsidRPr="00307F6F">
        <w:rPr>
          <w:rFonts w:asciiTheme="majorBidi" w:hAnsiTheme="majorBidi" w:cstheme="majorBidi"/>
        </w:rPr>
        <w:t>In the HSLS:09 second follow-up main study, there are three subgroups of special interest.</w:t>
      </w:r>
    </w:p>
    <w:p w14:paraId="13D51751" w14:textId="537BD424" w:rsidR="001F7E7E" w:rsidRPr="00307F6F" w:rsidRDefault="001F7E7E" w:rsidP="009F504E">
      <w:pPr>
        <w:pStyle w:val="NoSpacing"/>
        <w:numPr>
          <w:ilvl w:val="0"/>
          <w:numId w:val="11"/>
        </w:numPr>
        <w:spacing w:before="120" w:after="120" w:line="23" w:lineRule="atLeast"/>
        <w:rPr>
          <w:rFonts w:asciiTheme="majorBidi" w:hAnsiTheme="majorBidi" w:cstheme="majorBidi"/>
        </w:rPr>
      </w:pPr>
      <w:r w:rsidRPr="00307F6F">
        <w:rPr>
          <w:rFonts w:asciiTheme="majorBidi" w:hAnsiTheme="majorBidi" w:cstheme="majorBidi"/>
        </w:rPr>
        <w:t xml:space="preserve">Subgroup </w:t>
      </w:r>
      <w:r w:rsidR="0089162D" w:rsidRPr="00307F6F">
        <w:rPr>
          <w:rFonts w:asciiTheme="majorBidi" w:hAnsiTheme="majorBidi" w:cstheme="majorBidi"/>
        </w:rPr>
        <w:t>A</w:t>
      </w:r>
      <w:r w:rsidR="0010095E" w:rsidRPr="00307F6F">
        <w:rPr>
          <w:rStyle w:val="FootnoteReference"/>
          <w:rFonts w:asciiTheme="majorBidi" w:hAnsiTheme="majorBidi" w:cstheme="majorBidi"/>
          <w:sz w:val="24"/>
          <w:szCs w:val="24"/>
        </w:rPr>
        <w:footnoteReference w:id="2"/>
      </w:r>
      <w:r w:rsidRPr="00307F6F">
        <w:rPr>
          <w:rFonts w:asciiTheme="majorBidi" w:hAnsiTheme="majorBidi" w:cstheme="majorBidi"/>
        </w:rPr>
        <w:t xml:space="preserve"> (high school late/alternative/non-completers) is the subset of sample members who, as of the 2013 Update, had not completed high school, were still enrolled in high school, received an alternative credential, completed high school late, or experienced a dropout episode with unknown completion status.</w:t>
      </w:r>
    </w:p>
    <w:p w14:paraId="70EC4348" w14:textId="6DF3806F" w:rsidR="001F7E7E" w:rsidRPr="00307F6F" w:rsidRDefault="0089162D" w:rsidP="009F504E">
      <w:pPr>
        <w:pStyle w:val="NoSpacing"/>
        <w:numPr>
          <w:ilvl w:val="0"/>
          <w:numId w:val="11"/>
        </w:numPr>
        <w:spacing w:before="120" w:after="120" w:line="23" w:lineRule="atLeast"/>
        <w:rPr>
          <w:rFonts w:asciiTheme="majorBidi" w:hAnsiTheme="majorBidi" w:cstheme="majorBidi"/>
        </w:rPr>
      </w:pPr>
      <w:r w:rsidRPr="00307F6F">
        <w:rPr>
          <w:rFonts w:asciiTheme="majorBidi" w:hAnsiTheme="majorBidi" w:cstheme="majorBidi"/>
        </w:rPr>
        <w:t>Subgroup B</w:t>
      </w:r>
      <w:r w:rsidR="001F7E7E" w:rsidRPr="00307F6F">
        <w:rPr>
          <w:rFonts w:asciiTheme="majorBidi" w:hAnsiTheme="majorBidi" w:cstheme="majorBidi"/>
        </w:rPr>
        <w:t xml:space="preserve"> (ultra-cooperative respondents) includes sample members who participated in the base year, first follow-up, and 2013 Update without an incentive offer. These cases were also early web respondents in </w:t>
      </w:r>
      <w:r w:rsidR="00120E05" w:rsidRPr="00307F6F">
        <w:rPr>
          <w:rFonts w:asciiTheme="majorBidi" w:hAnsiTheme="majorBidi" w:cstheme="majorBidi"/>
        </w:rPr>
        <w:t xml:space="preserve">the </w:t>
      </w:r>
      <w:r w:rsidR="001F7E7E" w:rsidRPr="00307F6F">
        <w:rPr>
          <w:rFonts w:asciiTheme="majorBidi" w:hAnsiTheme="majorBidi" w:cstheme="majorBidi"/>
        </w:rPr>
        <w:t>2013 Update and, by definition, are high school completers.</w:t>
      </w:r>
    </w:p>
    <w:p w14:paraId="32DE1E96" w14:textId="31930395" w:rsidR="001F7E7E" w:rsidRPr="00307F6F" w:rsidRDefault="0089162D" w:rsidP="009F504E">
      <w:pPr>
        <w:pStyle w:val="NoSpacing"/>
        <w:numPr>
          <w:ilvl w:val="0"/>
          <w:numId w:val="11"/>
        </w:numPr>
        <w:spacing w:before="120" w:after="120" w:line="23" w:lineRule="atLeast"/>
        <w:rPr>
          <w:rFonts w:asciiTheme="majorBidi" w:hAnsiTheme="majorBidi" w:cstheme="majorBidi"/>
        </w:rPr>
      </w:pPr>
      <w:r w:rsidRPr="00307F6F">
        <w:rPr>
          <w:rFonts w:asciiTheme="majorBidi" w:hAnsiTheme="majorBidi" w:cstheme="majorBidi"/>
        </w:rPr>
        <w:t>Subgroup C</w:t>
      </w:r>
      <w:r w:rsidR="001F7E7E" w:rsidRPr="00307F6F">
        <w:rPr>
          <w:rFonts w:asciiTheme="majorBidi" w:hAnsiTheme="majorBidi" w:cstheme="majorBidi"/>
        </w:rPr>
        <w:t xml:space="preserve"> (high school completers and unknown high school completion status) include</w:t>
      </w:r>
      <w:r w:rsidR="002A3CB7" w:rsidRPr="00307F6F">
        <w:rPr>
          <w:rFonts w:asciiTheme="majorBidi" w:hAnsiTheme="majorBidi" w:cstheme="majorBidi"/>
        </w:rPr>
        <w:t>s</w:t>
      </w:r>
      <w:r w:rsidR="001F7E7E" w:rsidRPr="00307F6F">
        <w:rPr>
          <w:rFonts w:asciiTheme="majorBidi" w:hAnsiTheme="majorBidi" w:cstheme="majorBidi"/>
        </w:rPr>
        <w:t xml:space="preserve"> cases that, as of the 2013 Update, were known </w:t>
      </w:r>
      <w:r w:rsidR="00120E05" w:rsidRPr="00307F6F">
        <w:rPr>
          <w:rFonts w:asciiTheme="majorBidi" w:hAnsiTheme="majorBidi" w:cstheme="majorBidi"/>
        </w:rPr>
        <w:t xml:space="preserve">to be </w:t>
      </w:r>
      <w:r w:rsidR="001F7E7E" w:rsidRPr="00307F6F">
        <w:rPr>
          <w:rFonts w:asciiTheme="majorBidi" w:hAnsiTheme="majorBidi" w:cstheme="majorBidi"/>
        </w:rPr>
        <w:t>on-time or early regular diploma completers (and not identified as ultra-cooperative) and cases with unknown high school completion status who were not previously identified as ever having a dropout episode.</w:t>
      </w:r>
    </w:p>
    <w:p w14:paraId="779303D9" w14:textId="38A2571D" w:rsidR="001F7E7E" w:rsidRPr="00307F6F" w:rsidRDefault="001F7E7E" w:rsidP="00235CA6">
      <w:pPr>
        <w:pStyle w:val="NoSpacing"/>
        <w:widowControl w:val="0"/>
        <w:spacing w:before="120" w:after="120" w:line="23" w:lineRule="atLeast"/>
        <w:rPr>
          <w:rFonts w:asciiTheme="majorBidi" w:hAnsiTheme="majorBidi" w:cstheme="majorBidi"/>
        </w:rPr>
      </w:pPr>
      <w:r w:rsidRPr="00307F6F">
        <w:rPr>
          <w:rFonts w:asciiTheme="majorBidi" w:hAnsiTheme="majorBidi" w:cstheme="majorBidi"/>
        </w:rPr>
        <w:t xml:space="preserve">To determine </w:t>
      </w:r>
      <w:r w:rsidRPr="00307F6F">
        <w:rPr>
          <w:rFonts w:asciiTheme="majorBidi" w:hAnsiTheme="majorBidi" w:cstheme="majorBidi"/>
          <w:bCs/>
        </w:rPr>
        <w:t xml:space="preserve">optimal incentive amounts, </w:t>
      </w:r>
      <w:r w:rsidRPr="00307F6F">
        <w:rPr>
          <w:rFonts w:asciiTheme="majorBidi" w:hAnsiTheme="majorBidi" w:cstheme="majorBidi"/>
        </w:rPr>
        <w:t xml:space="preserve">a calibration subsample </w:t>
      </w:r>
      <w:r w:rsidR="00696340" w:rsidRPr="00307F6F">
        <w:rPr>
          <w:rFonts w:asciiTheme="majorBidi" w:hAnsiTheme="majorBidi" w:cstheme="majorBidi"/>
        </w:rPr>
        <w:t>has been</w:t>
      </w:r>
      <w:r w:rsidRPr="00307F6F">
        <w:rPr>
          <w:rFonts w:asciiTheme="majorBidi" w:hAnsiTheme="majorBidi" w:cstheme="majorBidi"/>
        </w:rPr>
        <w:t xml:space="preserve"> selected from each of the aforementioned subgroups to begin data collection ahead of the main sample.</w:t>
      </w:r>
      <w:r w:rsidR="00696340" w:rsidRPr="00307F6F">
        <w:rPr>
          <w:rFonts w:asciiTheme="majorBidi" w:hAnsiTheme="majorBidi" w:cstheme="majorBidi"/>
        </w:rPr>
        <w:t xml:space="preserve"> The experimental subsamples </w:t>
      </w:r>
      <w:r w:rsidR="002968A9" w:rsidRPr="00307F6F">
        <w:rPr>
          <w:rFonts w:asciiTheme="majorBidi" w:hAnsiTheme="majorBidi" w:cstheme="majorBidi"/>
        </w:rPr>
        <w:t>a</w:t>
      </w:r>
      <w:r w:rsidR="00F33B51" w:rsidRPr="00307F6F">
        <w:rPr>
          <w:rFonts w:asciiTheme="majorBidi" w:hAnsiTheme="majorBidi" w:cstheme="majorBidi"/>
        </w:rPr>
        <w:t>re</w:t>
      </w:r>
      <w:r w:rsidR="00696340" w:rsidRPr="00307F6F">
        <w:rPr>
          <w:rFonts w:asciiTheme="majorBidi" w:hAnsiTheme="majorBidi" w:cstheme="majorBidi"/>
        </w:rPr>
        <w:t xml:space="preserve"> fielded about six weeks prior to the main sample </w:t>
      </w:r>
      <w:r w:rsidR="00FC0F0E" w:rsidRPr="00307F6F">
        <w:rPr>
          <w:rFonts w:asciiTheme="majorBidi" w:hAnsiTheme="majorBidi" w:cstheme="majorBidi"/>
        </w:rPr>
        <w:t>to allow time to</w:t>
      </w:r>
      <w:r w:rsidR="00696340" w:rsidRPr="00307F6F">
        <w:rPr>
          <w:rFonts w:asciiTheme="majorBidi" w:hAnsiTheme="majorBidi" w:cstheme="majorBidi"/>
        </w:rPr>
        <w:t xml:space="preserve"> analyze the results and consult with </w:t>
      </w:r>
      <w:r w:rsidR="00696340" w:rsidRPr="00307F6F">
        <w:rPr>
          <w:rFonts w:asciiTheme="majorBidi" w:hAnsiTheme="majorBidi" w:cstheme="majorBidi"/>
        </w:rPr>
        <w:lastRenderedPageBreak/>
        <w:t xml:space="preserve">OMB to determine the baseline incentive amounts </w:t>
      </w:r>
      <w:r w:rsidR="00FC0F0E" w:rsidRPr="00307F6F">
        <w:rPr>
          <w:rFonts w:asciiTheme="majorBidi" w:hAnsiTheme="majorBidi" w:cstheme="majorBidi"/>
        </w:rPr>
        <w:t xml:space="preserve">to be implemented </w:t>
      </w:r>
      <w:r w:rsidR="00696340" w:rsidRPr="00307F6F">
        <w:rPr>
          <w:rFonts w:asciiTheme="majorBidi" w:hAnsiTheme="majorBidi" w:cstheme="majorBidi"/>
        </w:rPr>
        <w:t>for each subgroup in the main sample</w:t>
      </w:r>
      <w:r w:rsidR="00E32E16" w:rsidRPr="00307F6F">
        <w:rPr>
          <w:rFonts w:asciiTheme="majorBidi" w:hAnsiTheme="majorBidi" w:cstheme="majorBidi"/>
        </w:rPr>
        <w:t>.</w:t>
      </w:r>
    </w:p>
    <w:p w14:paraId="52F0BBBA" w14:textId="2807F427" w:rsidR="0010135B" w:rsidRDefault="00525932" w:rsidP="005B3D5C">
      <w:pPr>
        <w:spacing w:before="120" w:after="120" w:line="23" w:lineRule="atLeast"/>
        <w:rPr>
          <w:rFonts w:asciiTheme="majorBidi" w:hAnsiTheme="majorBidi" w:cstheme="majorBidi"/>
        </w:rPr>
      </w:pPr>
      <w:r w:rsidRPr="00A95C35">
        <w:rPr>
          <w:b/>
          <w:u w:val="single"/>
        </w:rPr>
        <w:t>Calibration sample results</w:t>
      </w:r>
      <w:r w:rsidR="002968A9" w:rsidRPr="00A95C35">
        <w:rPr>
          <w:b/>
          <w:u w:val="single"/>
        </w:rPr>
        <w:t xml:space="preserve"> from phase</w:t>
      </w:r>
      <w:r w:rsidR="001C4603">
        <w:rPr>
          <w:b/>
          <w:u w:val="single"/>
        </w:rPr>
        <w:t xml:space="preserve"> </w:t>
      </w:r>
      <w:r w:rsidR="00845B02">
        <w:rPr>
          <w:b/>
          <w:u w:val="single"/>
        </w:rPr>
        <w:t>4</w:t>
      </w:r>
      <w:r w:rsidR="00153D6A">
        <w:rPr>
          <w:b/>
          <w:u w:val="single"/>
        </w:rPr>
        <w:t xml:space="preserve"> (boost </w:t>
      </w:r>
      <w:r w:rsidR="00845B02">
        <w:rPr>
          <w:b/>
          <w:u w:val="single"/>
        </w:rPr>
        <w:t>2</w:t>
      </w:r>
      <w:r w:rsidR="00153D6A">
        <w:rPr>
          <w:b/>
          <w:u w:val="single"/>
        </w:rPr>
        <w:t>)</w:t>
      </w:r>
      <w:r w:rsidR="00531C04">
        <w:rPr>
          <w:rFonts w:asciiTheme="majorBidi" w:hAnsiTheme="majorBidi" w:cstheme="majorBidi"/>
          <w:b/>
        </w:rPr>
        <w:t xml:space="preserve">. </w:t>
      </w:r>
      <w:r w:rsidR="00BD2503" w:rsidRPr="00307F6F">
        <w:rPr>
          <w:rFonts w:asciiTheme="majorBidi" w:hAnsiTheme="majorBidi" w:cstheme="majorBidi"/>
        </w:rPr>
        <w:t xml:space="preserve">Phase </w:t>
      </w:r>
      <w:r w:rsidR="00845B02">
        <w:rPr>
          <w:rFonts w:asciiTheme="majorBidi" w:hAnsiTheme="majorBidi" w:cstheme="majorBidi"/>
        </w:rPr>
        <w:t>4</w:t>
      </w:r>
      <w:r w:rsidR="00BD2503" w:rsidRPr="00307F6F">
        <w:rPr>
          <w:rFonts w:asciiTheme="majorBidi" w:hAnsiTheme="majorBidi" w:cstheme="majorBidi"/>
        </w:rPr>
        <w:t xml:space="preserve"> of the calibration study introduced a</w:t>
      </w:r>
      <w:r w:rsidR="00845B02">
        <w:rPr>
          <w:rFonts w:asciiTheme="majorBidi" w:hAnsiTheme="majorBidi" w:cstheme="majorBidi"/>
        </w:rPr>
        <w:t xml:space="preserve"> second</w:t>
      </w:r>
      <w:r w:rsidR="00BD2503" w:rsidRPr="00307F6F">
        <w:rPr>
          <w:rFonts w:asciiTheme="majorBidi" w:hAnsiTheme="majorBidi" w:cstheme="majorBidi"/>
        </w:rPr>
        <w:t xml:space="preserve"> incentive boost that was offered </w:t>
      </w:r>
      <w:r w:rsidR="00977F6A">
        <w:rPr>
          <w:rFonts w:asciiTheme="majorBidi" w:hAnsiTheme="majorBidi" w:cstheme="majorBidi"/>
        </w:rPr>
        <w:t xml:space="preserve">to a subset of pending nonrespondents </w:t>
      </w:r>
      <w:r w:rsidR="00BD2503" w:rsidRPr="00307F6F">
        <w:rPr>
          <w:rFonts w:asciiTheme="majorBidi" w:hAnsiTheme="majorBidi" w:cstheme="majorBidi"/>
        </w:rPr>
        <w:t>in addition to the baseline amount</w:t>
      </w:r>
      <w:r w:rsidR="00845B02">
        <w:rPr>
          <w:rFonts w:asciiTheme="majorBidi" w:hAnsiTheme="majorBidi" w:cstheme="majorBidi"/>
        </w:rPr>
        <w:t xml:space="preserve">, and first boost </w:t>
      </w:r>
      <w:r w:rsidR="000D1B8B">
        <w:rPr>
          <w:rFonts w:asciiTheme="majorBidi" w:hAnsiTheme="majorBidi" w:cstheme="majorBidi"/>
        </w:rPr>
        <w:t>when</w:t>
      </w:r>
      <w:r w:rsidR="00845B02">
        <w:rPr>
          <w:rFonts w:asciiTheme="majorBidi" w:hAnsiTheme="majorBidi" w:cstheme="majorBidi"/>
        </w:rPr>
        <w:t xml:space="preserve"> applicable,</w:t>
      </w:r>
      <w:r w:rsidR="00BD2503" w:rsidRPr="00307F6F">
        <w:rPr>
          <w:rFonts w:asciiTheme="majorBidi" w:hAnsiTheme="majorBidi" w:cstheme="majorBidi"/>
        </w:rPr>
        <w:t xml:space="preserve"> offered in the prior phases.</w:t>
      </w:r>
      <w:r w:rsidR="000D1B8B">
        <w:rPr>
          <w:rFonts w:asciiTheme="majorBidi" w:hAnsiTheme="majorBidi" w:cstheme="majorBidi"/>
        </w:rPr>
        <w:t xml:space="preserve"> </w:t>
      </w:r>
      <w:r w:rsidR="00BD2503" w:rsidRPr="00307F6F">
        <w:rPr>
          <w:rFonts w:asciiTheme="majorBidi" w:hAnsiTheme="majorBidi" w:cstheme="majorBidi"/>
        </w:rPr>
        <w:t xml:space="preserve">The purpose of this memo is to present the results from phase </w:t>
      </w:r>
      <w:r w:rsidR="00845B02">
        <w:rPr>
          <w:rFonts w:asciiTheme="majorBidi" w:hAnsiTheme="majorBidi" w:cstheme="majorBidi"/>
        </w:rPr>
        <w:t>4</w:t>
      </w:r>
      <w:r w:rsidR="00BD2503" w:rsidRPr="00307F6F">
        <w:rPr>
          <w:rFonts w:asciiTheme="majorBidi" w:hAnsiTheme="majorBidi" w:cstheme="majorBidi"/>
        </w:rPr>
        <w:t xml:space="preserve"> for the calibration sample and to recommend an incentive boost amount for each subgroup to be implemented in the main sample.</w:t>
      </w:r>
    </w:p>
    <w:p w14:paraId="1B2F5704" w14:textId="7120985B" w:rsidR="00BD2503" w:rsidRPr="002A1203" w:rsidRDefault="00BD2503" w:rsidP="00BD2503">
      <w:pPr>
        <w:pStyle w:val="ListParagraph"/>
        <w:numPr>
          <w:ilvl w:val="0"/>
          <w:numId w:val="13"/>
        </w:numPr>
        <w:spacing w:after="160" w:line="259" w:lineRule="auto"/>
        <w:contextualSpacing/>
        <w:rPr>
          <w:rFonts w:asciiTheme="majorBidi" w:hAnsiTheme="majorBidi" w:cstheme="majorBidi"/>
          <w:sz w:val="24"/>
        </w:rPr>
      </w:pPr>
      <w:r w:rsidRPr="002A1203">
        <w:rPr>
          <w:rFonts w:asciiTheme="majorBidi" w:hAnsiTheme="majorBidi" w:cstheme="majorBidi"/>
          <w:sz w:val="24"/>
        </w:rPr>
        <w:t>Subgroup A (High School Late/Alternative/ Non-Completers.) Among all remaining nonrespondents, cases were randomized to a b</w:t>
      </w:r>
      <w:r w:rsidR="004772D8" w:rsidRPr="002A1203">
        <w:rPr>
          <w:rFonts w:asciiTheme="majorBidi" w:hAnsiTheme="majorBidi" w:cstheme="majorBidi"/>
          <w:sz w:val="24"/>
        </w:rPr>
        <w:t>oost 2</w:t>
      </w:r>
      <w:r w:rsidRPr="002A1203">
        <w:rPr>
          <w:rFonts w:asciiTheme="majorBidi" w:hAnsiTheme="majorBidi" w:cstheme="majorBidi"/>
          <w:sz w:val="24"/>
        </w:rPr>
        <w:t xml:space="preserve"> incentive amount of $1</w:t>
      </w:r>
      <w:r w:rsidR="002A3FA1" w:rsidRPr="002A1203">
        <w:rPr>
          <w:rFonts w:asciiTheme="majorBidi" w:hAnsiTheme="majorBidi" w:cstheme="majorBidi"/>
          <w:sz w:val="24"/>
        </w:rPr>
        <w:t>0</w:t>
      </w:r>
      <w:r w:rsidRPr="002A1203">
        <w:rPr>
          <w:rFonts w:asciiTheme="majorBidi" w:hAnsiTheme="majorBidi" w:cstheme="majorBidi"/>
          <w:sz w:val="24"/>
        </w:rPr>
        <w:t xml:space="preserve"> or $2</w:t>
      </w:r>
      <w:r w:rsidR="002A3FA1" w:rsidRPr="002A1203">
        <w:rPr>
          <w:rFonts w:asciiTheme="majorBidi" w:hAnsiTheme="majorBidi" w:cstheme="majorBidi"/>
          <w:sz w:val="24"/>
        </w:rPr>
        <w:t>0</w:t>
      </w:r>
      <w:r w:rsidRPr="002A1203">
        <w:rPr>
          <w:rFonts w:asciiTheme="majorBidi" w:hAnsiTheme="majorBidi" w:cstheme="majorBidi"/>
          <w:sz w:val="24"/>
        </w:rPr>
        <w:t>.</w:t>
      </w:r>
    </w:p>
    <w:p w14:paraId="0229F69E" w14:textId="42673CDB" w:rsidR="00BD2503" w:rsidRPr="002A1203" w:rsidRDefault="00BD2503" w:rsidP="00BD2503">
      <w:pPr>
        <w:pStyle w:val="ListParagraph"/>
        <w:numPr>
          <w:ilvl w:val="0"/>
          <w:numId w:val="13"/>
        </w:numPr>
        <w:spacing w:after="160" w:line="259" w:lineRule="auto"/>
        <w:contextualSpacing/>
        <w:rPr>
          <w:rFonts w:asciiTheme="majorBidi" w:hAnsiTheme="majorBidi" w:cstheme="majorBidi"/>
          <w:sz w:val="24"/>
        </w:rPr>
      </w:pPr>
      <w:r w:rsidRPr="002A1203">
        <w:rPr>
          <w:rFonts w:asciiTheme="majorBidi" w:hAnsiTheme="majorBidi" w:cstheme="majorBidi"/>
          <w:sz w:val="24"/>
        </w:rPr>
        <w:t>Subgroup B (Ultra-Cooperative Respondents.) Among the remaining nonrespondents, cases that were identified for targeting by the bias</w:t>
      </w:r>
      <w:r w:rsidR="00977F6A" w:rsidRPr="002A1203">
        <w:rPr>
          <w:rFonts w:asciiTheme="majorBidi" w:hAnsiTheme="majorBidi" w:cstheme="majorBidi"/>
          <w:sz w:val="24"/>
        </w:rPr>
        <w:t>-likelihood</w:t>
      </w:r>
      <w:r w:rsidRPr="002A1203">
        <w:rPr>
          <w:rFonts w:asciiTheme="majorBidi" w:hAnsiTheme="majorBidi" w:cstheme="majorBidi"/>
          <w:sz w:val="24"/>
        </w:rPr>
        <w:t xml:space="preserve"> mo</w:t>
      </w:r>
      <w:r w:rsidR="004772D8" w:rsidRPr="002A1203">
        <w:rPr>
          <w:rFonts w:asciiTheme="majorBidi" w:hAnsiTheme="majorBidi" w:cstheme="majorBidi"/>
          <w:sz w:val="24"/>
        </w:rPr>
        <w:t>del were randomized to a boost 2</w:t>
      </w:r>
      <w:r w:rsidRPr="002A1203">
        <w:rPr>
          <w:rFonts w:asciiTheme="majorBidi" w:hAnsiTheme="majorBidi" w:cstheme="majorBidi"/>
          <w:sz w:val="24"/>
        </w:rPr>
        <w:t xml:space="preserve"> incentive amount of $10 or $20.</w:t>
      </w:r>
      <w:r w:rsidR="004772D8" w:rsidRPr="002A1203">
        <w:rPr>
          <w:rFonts w:asciiTheme="majorBidi" w:hAnsiTheme="majorBidi" w:cstheme="majorBidi"/>
          <w:sz w:val="24"/>
        </w:rPr>
        <w:t xml:space="preserve"> Non-targeted cases were assigned a boost 2 </w:t>
      </w:r>
      <w:r w:rsidR="00307255" w:rsidRPr="002A1203">
        <w:rPr>
          <w:rFonts w:asciiTheme="majorBidi" w:hAnsiTheme="majorBidi" w:cstheme="majorBidi"/>
          <w:sz w:val="24"/>
        </w:rPr>
        <w:t xml:space="preserve">incentive </w:t>
      </w:r>
      <w:r w:rsidR="004772D8" w:rsidRPr="002A1203">
        <w:rPr>
          <w:rFonts w:asciiTheme="majorBidi" w:hAnsiTheme="majorBidi" w:cstheme="majorBidi"/>
          <w:sz w:val="24"/>
        </w:rPr>
        <w:t>of $0.</w:t>
      </w:r>
    </w:p>
    <w:p w14:paraId="1EE6CDCA" w14:textId="65D89F61" w:rsidR="00BD2503" w:rsidRPr="002A1203" w:rsidRDefault="00BD2503" w:rsidP="00BD2503">
      <w:pPr>
        <w:pStyle w:val="ListParagraph"/>
        <w:numPr>
          <w:ilvl w:val="0"/>
          <w:numId w:val="13"/>
        </w:numPr>
        <w:spacing w:after="160" w:line="259" w:lineRule="auto"/>
        <w:contextualSpacing/>
        <w:rPr>
          <w:rFonts w:asciiTheme="majorBidi" w:hAnsiTheme="majorBidi" w:cstheme="majorBidi"/>
          <w:sz w:val="24"/>
        </w:rPr>
      </w:pPr>
      <w:r w:rsidRPr="002A1203">
        <w:rPr>
          <w:rFonts w:asciiTheme="majorBidi" w:hAnsiTheme="majorBidi" w:cstheme="majorBidi"/>
          <w:sz w:val="24"/>
        </w:rPr>
        <w:t>Subgroup C (All Other High School Completers and Unknown Cases.) Among the remaining nonrespondents, cases that were identified for targeting by the bias</w:t>
      </w:r>
      <w:r w:rsidR="00977F6A" w:rsidRPr="002A1203">
        <w:rPr>
          <w:rFonts w:asciiTheme="majorBidi" w:hAnsiTheme="majorBidi" w:cstheme="majorBidi"/>
          <w:sz w:val="24"/>
        </w:rPr>
        <w:t>-likelihood</w:t>
      </w:r>
      <w:r w:rsidRPr="002A1203">
        <w:rPr>
          <w:rFonts w:asciiTheme="majorBidi" w:hAnsiTheme="majorBidi" w:cstheme="majorBidi"/>
          <w:sz w:val="24"/>
        </w:rPr>
        <w:t xml:space="preserve"> model were randomized to a boost </w:t>
      </w:r>
      <w:r w:rsidR="004772D8" w:rsidRPr="002A1203">
        <w:rPr>
          <w:rFonts w:asciiTheme="majorBidi" w:hAnsiTheme="majorBidi" w:cstheme="majorBidi"/>
          <w:sz w:val="24"/>
        </w:rPr>
        <w:t>2</w:t>
      </w:r>
      <w:r w:rsidRPr="002A1203">
        <w:rPr>
          <w:rFonts w:asciiTheme="majorBidi" w:hAnsiTheme="majorBidi" w:cstheme="majorBidi"/>
          <w:sz w:val="24"/>
        </w:rPr>
        <w:t xml:space="preserve"> incentive amount of $10 or $20.</w:t>
      </w:r>
      <w:r w:rsidR="004772D8" w:rsidRPr="002A1203">
        <w:rPr>
          <w:rFonts w:asciiTheme="majorBidi" w:hAnsiTheme="majorBidi" w:cstheme="majorBidi"/>
          <w:sz w:val="24"/>
        </w:rPr>
        <w:t xml:space="preserve"> Non-targeted cases were assigned a boost 2 </w:t>
      </w:r>
      <w:r w:rsidR="00307255" w:rsidRPr="002A1203">
        <w:rPr>
          <w:rFonts w:asciiTheme="majorBidi" w:hAnsiTheme="majorBidi" w:cstheme="majorBidi"/>
          <w:sz w:val="24"/>
        </w:rPr>
        <w:t xml:space="preserve">incentive </w:t>
      </w:r>
      <w:r w:rsidR="004772D8" w:rsidRPr="002A1203">
        <w:rPr>
          <w:rFonts w:asciiTheme="majorBidi" w:hAnsiTheme="majorBidi" w:cstheme="majorBidi"/>
          <w:sz w:val="24"/>
        </w:rPr>
        <w:t>of $0.</w:t>
      </w:r>
    </w:p>
    <w:p w14:paraId="75C831FE" w14:textId="43C6DA2B" w:rsidR="00BD2503" w:rsidRPr="002A1203" w:rsidRDefault="00BD2503" w:rsidP="00BD2503">
      <w:pPr>
        <w:rPr>
          <w:rFonts w:asciiTheme="majorBidi" w:hAnsiTheme="majorBidi" w:cstheme="majorBidi"/>
        </w:rPr>
      </w:pPr>
      <w:r w:rsidRPr="002A1203">
        <w:rPr>
          <w:rFonts w:asciiTheme="majorBidi" w:hAnsiTheme="majorBidi" w:cstheme="majorBidi"/>
          <w:b/>
          <w:i/>
        </w:rPr>
        <w:t>Subgroup A (High School Late/Alternative/ Non-Completers).</w:t>
      </w:r>
      <w:r w:rsidRPr="002A1203">
        <w:rPr>
          <w:rFonts w:asciiTheme="majorBidi" w:hAnsiTheme="majorBidi" w:cstheme="majorBidi"/>
        </w:rPr>
        <w:t xml:space="preserve"> Exhibit 1 displa</w:t>
      </w:r>
      <w:r w:rsidR="000A625B" w:rsidRPr="002A1203">
        <w:rPr>
          <w:rFonts w:asciiTheme="majorBidi" w:hAnsiTheme="majorBidi" w:cstheme="majorBidi"/>
        </w:rPr>
        <w:t>ys response rates during phase 4</w:t>
      </w:r>
      <w:r w:rsidRPr="002A1203">
        <w:rPr>
          <w:rFonts w:asciiTheme="majorBidi" w:hAnsiTheme="majorBidi" w:cstheme="majorBidi"/>
        </w:rPr>
        <w:t xml:space="preserve"> by incentive boost level. One-way chi-square tests were used to perform pairwise contrasts between the boost amounts offered to all remaining nonrespondents in Subgroup A calibration sample. No significant difference was detected between the response rates of </w:t>
      </w:r>
      <w:r w:rsidR="00856A8B" w:rsidRPr="002A1203">
        <w:rPr>
          <w:rFonts w:asciiTheme="majorBidi" w:hAnsiTheme="majorBidi" w:cstheme="majorBidi"/>
        </w:rPr>
        <w:t>sample members</w:t>
      </w:r>
      <w:r w:rsidRPr="002A1203">
        <w:rPr>
          <w:rFonts w:asciiTheme="majorBidi" w:hAnsiTheme="majorBidi" w:cstheme="majorBidi"/>
        </w:rPr>
        <w:t xml:space="preserve"> who </w:t>
      </w:r>
      <w:r w:rsidR="00856A8B" w:rsidRPr="002A1203">
        <w:rPr>
          <w:rFonts w:asciiTheme="majorBidi" w:hAnsiTheme="majorBidi" w:cstheme="majorBidi"/>
        </w:rPr>
        <w:t>were offered</w:t>
      </w:r>
      <w:r w:rsidR="00EE4434" w:rsidRPr="002A1203">
        <w:rPr>
          <w:rFonts w:asciiTheme="majorBidi" w:hAnsiTheme="majorBidi" w:cstheme="majorBidi"/>
        </w:rPr>
        <w:t xml:space="preserve"> the $10 (5.3 percent) and $20 (5.8 percent) boost 2</w:t>
      </w:r>
      <w:r w:rsidRPr="002A1203">
        <w:rPr>
          <w:rFonts w:asciiTheme="majorBidi" w:hAnsiTheme="majorBidi" w:cstheme="majorBidi"/>
        </w:rPr>
        <w:t xml:space="preserve"> incentive (</w:t>
      </w:r>
      <w:r w:rsidRPr="002A1203">
        <w:rPr>
          <w:rFonts w:asciiTheme="majorBidi" w:hAnsiTheme="majorBidi" w:cstheme="majorBidi"/>
          <w:i/>
        </w:rPr>
        <w:t>χ</w:t>
      </w:r>
      <w:r w:rsidRPr="002A1203">
        <w:rPr>
          <w:rFonts w:asciiTheme="majorBidi" w:hAnsiTheme="majorBidi" w:cstheme="majorBidi"/>
          <w:i/>
          <w:vertAlign w:val="superscript"/>
        </w:rPr>
        <w:t xml:space="preserve">2 </w:t>
      </w:r>
      <w:r w:rsidRPr="002A1203">
        <w:rPr>
          <w:rFonts w:asciiTheme="majorBidi" w:hAnsiTheme="majorBidi" w:cstheme="majorBidi"/>
        </w:rPr>
        <w:t xml:space="preserve">(1, </w:t>
      </w:r>
      <w:r w:rsidRPr="002A1203">
        <w:rPr>
          <w:rFonts w:asciiTheme="majorBidi" w:hAnsiTheme="majorBidi" w:cstheme="majorBidi"/>
          <w:i/>
        </w:rPr>
        <w:t>N</w:t>
      </w:r>
      <w:r w:rsidRPr="002A1203">
        <w:rPr>
          <w:rFonts w:asciiTheme="majorBidi" w:hAnsiTheme="majorBidi" w:cstheme="majorBidi"/>
        </w:rPr>
        <w:t xml:space="preserve"> = </w:t>
      </w:r>
      <w:r w:rsidR="0011603C" w:rsidRPr="002A1203">
        <w:rPr>
          <w:rFonts w:asciiTheme="majorBidi" w:hAnsiTheme="majorBidi" w:cstheme="majorBidi"/>
        </w:rPr>
        <w:t>308) = .04</w:t>
      </w:r>
      <w:r w:rsidRPr="002A1203">
        <w:rPr>
          <w:rFonts w:asciiTheme="majorBidi" w:hAnsiTheme="majorBidi" w:cstheme="majorBidi"/>
        </w:rPr>
        <w:t xml:space="preserve">, </w:t>
      </w:r>
      <w:r w:rsidRPr="002A1203">
        <w:rPr>
          <w:rFonts w:asciiTheme="majorBidi" w:hAnsiTheme="majorBidi" w:cstheme="majorBidi"/>
          <w:i/>
        </w:rPr>
        <w:t>p</w:t>
      </w:r>
      <w:r w:rsidR="0011603C" w:rsidRPr="002A1203">
        <w:rPr>
          <w:rFonts w:asciiTheme="majorBidi" w:hAnsiTheme="majorBidi" w:cstheme="majorBidi"/>
        </w:rPr>
        <w:t xml:space="preserve"> = .85</w:t>
      </w:r>
      <w:r w:rsidRPr="002A1203">
        <w:rPr>
          <w:rFonts w:asciiTheme="majorBidi" w:hAnsiTheme="majorBidi" w:cstheme="majorBidi"/>
        </w:rPr>
        <w:t xml:space="preserve">). Our recommendation, therefore, is </w:t>
      </w:r>
      <w:r w:rsidR="00856A8B" w:rsidRPr="002A1203">
        <w:rPr>
          <w:rFonts w:asciiTheme="majorBidi" w:hAnsiTheme="majorBidi" w:cstheme="majorBidi"/>
        </w:rPr>
        <w:t xml:space="preserve">that </w:t>
      </w:r>
      <w:r w:rsidRPr="002A1203">
        <w:rPr>
          <w:rFonts w:asciiTheme="majorBidi" w:hAnsiTheme="majorBidi" w:cstheme="majorBidi"/>
        </w:rPr>
        <w:t>a boost of $1</w:t>
      </w:r>
      <w:r w:rsidR="0092090F" w:rsidRPr="002A1203">
        <w:rPr>
          <w:rFonts w:asciiTheme="majorBidi" w:hAnsiTheme="majorBidi" w:cstheme="majorBidi"/>
        </w:rPr>
        <w:t>0</w:t>
      </w:r>
      <w:r w:rsidRPr="002A1203">
        <w:rPr>
          <w:rFonts w:asciiTheme="majorBidi" w:hAnsiTheme="majorBidi" w:cstheme="majorBidi"/>
        </w:rPr>
        <w:t xml:space="preserve"> be offered to all cases in the Subgroup A main sample.</w:t>
      </w:r>
    </w:p>
    <w:p w14:paraId="603F3655" w14:textId="77777777" w:rsidR="001C4603" w:rsidRPr="00235CA6" w:rsidRDefault="001C4603" w:rsidP="00BD2503">
      <w:pPr>
        <w:rPr>
          <w:rFonts w:ascii="Garamond" w:hAnsi="Garamond"/>
          <w:b/>
          <w:sz w:val="14"/>
          <w:szCs w:val="14"/>
        </w:rPr>
      </w:pPr>
    </w:p>
    <w:p w14:paraId="1C32C6A0" w14:textId="15700DDE" w:rsidR="00BD2503" w:rsidRPr="002A1203" w:rsidRDefault="00BD2503" w:rsidP="00BD2503">
      <w:pPr>
        <w:rPr>
          <w:rFonts w:ascii="Arial" w:hAnsi="Arial" w:cs="Arial"/>
          <w:b/>
          <w:sz w:val="18"/>
        </w:rPr>
      </w:pPr>
      <w:r w:rsidRPr="002A1203">
        <w:rPr>
          <w:rFonts w:ascii="Arial" w:hAnsi="Arial" w:cs="Arial"/>
          <w:b/>
          <w:sz w:val="18"/>
        </w:rPr>
        <w:t>Exhibit 1. Subg</w:t>
      </w:r>
      <w:r w:rsidR="0011603C" w:rsidRPr="002A1203">
        <w:rPr>
          <w:rFonts w:ascii="Arial" w:hAnsi="Arial" w:cs="Arial"/>
          <w:b/>
          <w:sz w:val="18"/>
        </w:rPr>
        <w:t>roup A response rates in phase 4, by boost 2</w:t>
      </w:r>
      <w:r w:rsidRPr="002A1203">
        <w:rPr>
          <w:rFonts w:ascii="Arial" w:hAnsi="Arial" w:cs="Arial"/>
          <w:b/>
          <w:sz w:val="18"/>
        </w:rPr>
        <w:t xml:space="preserve"> incentive amount</w:t>
      </w:r>
    </w:p>
    <w:tbl>
      <w:tblPr>
        <w:tblW w:w="5000" w:type="pct"/>
        <w:tblLook w:val="04A0" w:firstRow="1" w:lastRow="0" w:firstColumn="1" w:lastColumn="0" w:noHBand="0" w:noVBand="1"/>
      </w:tblPr>
      <w:tblGrid>
        <w:gridCol w:w="1905"/>
        <w:gridCol w:w="2968"/>
        <w:gridCol w:w="1816"/>
        <w:gridCol w:w="1992"/>
        <w:gridCol w:w="1903"/>
      </w:tblGrid>
      <w:tr w:rsidR="002A1203" w:rsidRPr="002A1203" w14:paraId="21708F3A" w14:textId="77777777" w:rsidTr="00834859">
        <w:trPr>
          <w:trHeight w:val="630"/>
        </w:trPr>
        <w:tc>
          <w:tcPr>
            <w:tcW w:w="900" w:type="pct"/>
            <w:tcBorders>
              <w:top w:val="single" w:sz="12" w:space="0" w:color="auto"/>
              <w:left w:val="nil"/>
              <w:bottom w:val="nil"/>
              <w:right w:val="nil"/>
            </w:tcBorders>
            <w:shd w:val="clear" w:color="auto" w:fill="auto"/>
            <w:vAlign w:val="center"/>
            <w:hideMark/>
          </w:tcPr>
          <w:p w14:paraId="62FAAA96" w14:textId="42982D30" w:rsidR="00BD2503" w:rsidRPr="002A1203" w:rsidRDefault="0011603C" w:rsidP="00834859">
            <w:pPr>
              <w:jc w:val="right"/>
              <w:rPr>
                <w:rFonts w:ascii="Arial" w:hAnsi="Arial" w:cs="Arial"/>
                <w:sz w:val="20"/>
              </w:rPr>
            </w:pPr>
            <w:r w:rsidRPr="002A1203">
              <w:rPr>
                <w:rFonts w:ascii="Arial" w:hAnsi="Arial" w:cs="Arial"/>
                <w:sz w:val="20"/>
              </w:rPr>
              <w:t>Boost 2</w:t>
            </w:r>
          </w:p>
        </w:tc>
        <w:tc>
          <w:tcPr>
            <w:tcW w:w="1402" w:type="pct"/>
            <w:tcBorders>
              <w:top w:val="single" w:sz="12" w:space="0" w:color="auto"/>
              <w:left w:val="nil"/>
              <w:bottom w:val="nil"/>
              <w:right w:val="nil"/>
            </w:tcBorders>
            <w:shd w:val="clear" w:color="auto" w:fill="auto"/>
            <w:vAlign w:val="center"/>
            <w:hideMark/>
          </w:tcPr>
          <w:p w14:paraId="456F1AC1" w14:textId="77777777" w:rsidR="00BD2503" w:rsidRPr="002A1203" w:rsidRDefault="00BD2503" w:rsidP="00834859">
            <w:pPr>
              <w:jc w:val="right"/>
              <w:rPr>
                <w:rFonts w:ascii="Arial" w:hAnsi="Arial" w:cs="Arial"/>
                <w:sz w:val="20"/>
              </w:rPr>
            </w:pPr>
            <w:r w:rsidRPr="002A1203">
              <w:rPr>
                <w:rFonts w:ascii="Arial" w:hAnsi="Arial" w:cs="Arial"/>
                <w:sz w:val="20"/>
              </w:rPr>
              <w:t>Sample members</w:t>
            </w:r>
            <w:r w:rsidRPr="002A1203">
              <w:rPr>
                <w:rFonts w:ascii="Arial" w:hAnsi="Arial" w:cs="Arial"/>
                <w:sz w:val="20"/>
              </w:rPr>
              <w:br/>
              <w:t>(n)</w:t>
            </w:r>
          </w:p>
        </w:tc>
        <w:tc>
          <w:tcPr>
            <w:tcW w:w="1799" w:type="pct"/>
            <w:gridSpan w:val="2"/>
            <w:tcBorders>
              <w:top w:val="single" w:sz="12" w:space="0" w:color="auto"/>
              <w:left w:val="nil"/>
              <w:bottom w:val="single" w:sz="8" w:space="0" w:color="auto"/>
              <w:right w:val="nil"/>
            </w:tcBorders>
            <w:shd w:val="clear" w:color="auto" w:fill="auto"/>
            <w:vAlign w:val="center"/>
            <w:hideMark/>
          </w:tcPr>
          <w:p w14:paraId="526224EB" w14:textId="0FD182AB" w:rsidR="00BD2503" w:rsidRPr="002A1203" w:rsidRDefault="0011603C" w:rsidP="00834859">
            <w:pPr>
              <w:jc w:val="center"/>
              <w:rPr>
                <w:rFonts w:ascii="Arial" w:hAnsi="Arial" w:cs="Arial"/>
                <w:sz w:val="20"/>
              </w:rPr>
            </w:pPr>
            <w:r w:rsidRPr="002A1203">
              <w:rPr>
                <w:rFonts w:ascii="Arial" w:hAnsi="Arial" w:cs="Arial"/>
                <w:sz w:val="20"/>
              </w:rPr>
              <w:t>Boost 2</w:t>
            </w:r>
            <w:r w:rsidR="00BD2503" w:rsidRPr="002A1203">
              <w:rPr>
                <w:rFonts w:ascii="Arial" w:hAnsi="Arial" w:cs="Arial"/>
                <w:sz w:val="20"/>
              </w:rPr>
              <w:t xml:space="preserve"> response</w:t>
            </w:r>
          </w:p>
        </w:tc>
        <w:tc>
          <w:tcPr>
            <w:tcW w:w="899" w:type="pct"/>
            <w:tcBorders>
              <w:top w:val="single" w:sz="12" w:space="0" w:color="auto"/>
              <w:left w:val="nil"/>
              <w:bottom w:val="nil"/>
              <w:right w:val="nil"/>
            </w:tcBorders>
            <w:shd w:val="clear" w:color="auto" w:fill="auto"/>
            <w:vAlign w:val="center"/>
            <w:hideMark/>
          </w:tcPr>
          <w:p w14:paraId="1A2F3E2A" w14:textId="21F7BAFC" w:rsidR="00BD2503" w:rsidRPr="002A1203" w:rsidRDefault="0011603C" w:rsidP="00834859">
            <w:pPr>
              <w:jc w:val="right"/>
              <w:rPr>
                <w:rFonts w:ascii="Arial" w:hAnsi="Arial" w:cs="Arial"/>
                <w:sz w:val="20"/>
              </w:rPr>
            </w:pPr>
            <w:r w:rsidRPr="002A1203">
              <w:rPr>
                <w:rFonts w:ascii="Arial" w:hAnsi="Arial" w:cs="Arial"/>
                <w:sz w:val="20"/>
              </w:rPr>
              <w:t>Boost 2</w:t>
            </w:r>
            <w:r w:rsidR="00BD2503" w:rsidRPr="002A1203">
              <w:rPr>
                <w:rFonts w:ascii="Arial" w:hAnsi="Arial" w:cs="Arial"/>
                <w:sz w:val="20"/>
              </w:rPr>
              <w:t xml:space="preserve"> response rate (%)</w:t>
            </w:r>
          </w:p>
        </w:tc>
      </w:tr>
      <w:tr w:rsidR="002A1203" w:rsidRPr="002A1203" w14:paraId="73FA246E" w14:textId="77777777" w:rsidTr="00834859">
        <w:trPr>
          <w:trHeight w:val="315"/>
        </w:trPr>
        <w:tc>
          <w:tcPr>
            <w:tcW w:w="900" w:type="pct"/>
            <w:tcBorders>
              <w:top w:val="nil"/>
              <w:left w:val="nil"/>
              <w:bottom w:val="single" w:sz="8" w:space="0" w:color="auto"/>
              <w:right w:val="nil"/>
            </w:tcBorders>
            <w:shd w:val="clear" w:color="auto" w:fill="auto"/>
            <w:noWrap/>
            <w:vAlign w:val="center"/>
            <w:hideMark/>
          </w:tcPr>
          <w:p w14:paraId="76335FDC" w14:textId="77777777" w:rsidR="00BD2503" w:rsidRPr="002A1203" w:rsidRDefault="00BD2503" w:rsidP="00834859">
            <w:pPr>
              <w:jc w:val="right"/>
              <w:rPr>
                <w:rFonts w:ascii="Arial" w:hAnsi="Arial" w:cs="Arial"/>
                <w:sz w:val="20"/>
              </w:rPr>
            </w:pPr>
            <w:r w:rsidRPr="002A1203">
              <w:rPr>
                <w:rFonts w:ascii="Arial" w:hAnsi="Arial" w:cs="Arial"/>
                <w:sz w:val="20"/>
              </w:rPr>
              <w:t> </w:t>
            </w:r>
          </w:p>
        </w:tc>
        <w:tc>
          <w:tcPr>
            <w:tcW w:w="1402" w:type="pct"/>
            <w:tcBorders>
              <w:top w:val="nil"/>
              <w:left w:val="nil"/>
              <w:bottom w:val="single" w:sz="8" w:space="0" w:color="auto"/>
              <w:right w:val="nil"/>
            </w:tcBorders>
            <w:shd w:val="clear" w:color="auto" w:fill="auto"/>
            <w:noWrap/>
            <w:vAlign w:val="center"/>
            <w:hideMark/>
          </w:tcPr>
          <w:p w14:paraId="2BF1792D" w14:textId="77777777" w:rsidR="00BD2503" w:rsidRPr="002A1203" w:rsidRDefault="00BD2503" w:rsidP="00834859">
            <w:pPr>
              <w:jc w:val="right"/>
              <w:rPr>
                <w:rFonts w:ascii="Arial" w:hAnsi="Arial" w:cs="Arial"/>
                <w:sz w:val="20"/>
              </w:rPr>
            </w:pPr>
            <w:r w:rsidRPr="002A1203">
              <w:rPr>
                <w:rFonts w:ascii="Arial" w:hAnsi="Arial" w:cs="Arial"/>
                <w:sz w:val="20"/>
              </w:rPr>
              <w:t> </w:t>
            </w:r>
          </w:p>
        </w:tc>
        <w:tc>
          <w:tcPr>
            <w:tcW w:w="858" w:type="pct"/>
            <w:tcBorders>
              <w:top w:val="nil"/>
              <w:left w:val="nil"/>
              <w:bottom w:val="single" w:sz="8" w:space="0" w:color="auto"/>
              <w:right w:val="nil"/>
            </w:tcBorders>
            <w:shd w:val="clear" w:color="auto" w:fill="auto"/>
            <w:noWrap/>
            <w:vAlign w:val="center"/>
            <w:hideMark/>
          </w:tcPr>
          <w:p w14:paraId="69C28FBB" w14:textId="77777777" w:rsidR="00BD2503" w:rsidRPr="002A1203" w:rsidRDefault="00BD2503" w:rsidP="00834859">
            <w:pPr>
              <w:jc w:val="right"/>
              <w:rPr>
                <w:rFonts w:ascii="Arial" w:hAnsi="Arial" w:cs="Arial"/>
                <w:sz w:val="20"/>
              </w:rPr>
            </w:pPr>
            <w:r w:rsidRPr="002A1203">
              <w:rPr>
                <w:rFonts w:ascii="Arial" w:hAnsi="Arial" w:cs="Arial"/>
                <w:sz w:val="20"/>
              </w:rPr>
              <w:t>Yes</w:t>
            </w:r>
          </w:p>
        </w:tc>
        <w:tc>
          <w:tcPr>
            <w:tcW w:w="941" w:type="pct"/>
            <w:tcBorders>
              <w:top w:val="nil"/>
              <w:left w:val="nil"/>
              <w:bottom w:val="single" w:sz="8" w:space="0" w:color="auto"/>
              <w:right w:val="nil"/>
            </w:tcBorders>
            <w:shd w:val="clear" w:color="auto" w:fill="auto"/>
            <w:noWrap/>
            <w:vAlign w:val="center"/>
            <w:hideMark/>
          </w:tcPr>
          <w:p w14:paraId="6810F7B6" w14:textId="77777777" w:rsidR="00BD2503" w:rsidRPr="002A1203" w:rsidRDefault="00BD2503" w:rsidP="00834859">
            <w:pPr>
              <w:jc w:val="right"/>
              <w:rPr>
                <w:rFonts w:ascii="Arial" w:hAnsi="Arial" w:cs="Arial"/>
                <w:sz w:val="20"/>
              </w:rPr>
            </w:pPr>
            <w:r w:rsidRPr="002A1203">
              <w:rPr>
                <w:rFonts w:ascii="Arial" w:hAnsi="Arial" w:cs="Arial"/>
                <w:sz w:val="20"/>
              </w:rPr>
              <w:t>No</w:t>
            </w:r>
          </w:p>
        </w:tc>
        <w:tc>
          <w:tcPr>
            <w:tcW w:w="899" w:type="pct"/>
            <w:tcBorders>
              <w:top w:val="nil"/>
              <w:left w:val="nil"/>
              <w:bottom w:val="single" w:sz="8" w:space="0" w:color="auto"/>
              <w:right w:val="nil"/>
            </w:tcBorders>
            <w:shd w:val="clear" w:color="auto" w:fill="auto"/>
            <w:noWrap/>
            <w:vAlign w:val="center"/>
            <w:hideMark/>
          </w:tcPr>
          <w:p w14:paraId="6DFBE7D7" w14:textId="77777777" w:rsidR="00BD2503" w:rsidRPr="002A1203" w:rsidRDefault="00BD2503" w:rsidP="00834859">
            <w:pPr>
              <w:jc w:val="right"/>
              <w:rPr>
                <w:rFonts w:ascii="Arial" w:hAnsi="Arial" w:cs="Arial"/>
                <w:sz w:val="20"/>
              </w:rPr>
            </w:pPr>
            <w:r w:rsidRPr="002A1203">
              <w:rPr>
                <w:rFonts w:ascii="Arial" w:hAnsi="Arial" w:cs="Arial"/>
                <w:sz w:val="20"/>
              </w:rPr>
              <w:t> </w:t>
            </w:r>
          </w:p>
        </w:tc>
      </w:tr>
      <w:tr w:rsidR="002A1203" w:rsidRPr="002A1203" w14:paraId="55A04A75" w14:textId="77777777" w:rsidTr="00235CA6">
        <w:trPr>
          <w:trHeight w:val="144"/>
        </w:trPr>
        <w:tc>
          <w:tcPr>
            <w:tcW w:w="900" w:type="pct"/>
            <w:tcBorders>
              <w:top w:val="nil"/>
              <w:left w:val="nil"/>
              <w:bottom w:val="nil"/>
              <w:right w:val="nil"/>
            </w:tcBorders>
            <w:shd w:val="clear" w:color="auto" w:fill="auto"/>
            <w:noWrap/>
            <w:vAlign w:val="bottom"/>
            <w:hideMark/>
          </w:tcPr>
          <w:p w14:paraId="5E547D94" w14:textId="77777777" w:rsidR="00BD2503" w:rsidRPr="002A1203" w:rsidRDefault="00BD2503" w:rsidP="00834859">
            <w:pPr>
              <w:rPr>
                <w:rFonts w:ascii="Arial" w:hAnsi="Arial" w:cs="Arial"/>
                <w:sz w:val="20"/>
              </w:rPr>
            </w:pPr>
          </w:p>
        </w:tc>
        <w:tc>
          <w:tcPr>
            <w:tcW w:w="1402" w:type="pct"/>
            <w:tcBorders>
              <w:top w:val="nil"/>
              <w:left w:val="nil"/>
              <w:bottom w:val="nil"/>
              <w:right w:val="nil"/>
            </w:tcBorders>
            <w:shd w:val="clear" w:color="auto" w:fill="auto"/>
            <w:noWrap/>
            <w:vAlign w:val="bottom"/>
            <w:hideMark/>
          </w:tcPr>
          <w:p w14:paraId="6A628D13" w14:textId="77777777" w:rsidR="00BD2503" w:rsidRPr="002A1203"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61CB0AD6" w14:textId="77777777" w:rsidR="00BD2503" w:rsidRPr="002A1203"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456B9406" w14:textId="77777777" w:rsidR="00BD2503" w:rsidRPr="002A1203"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4B1A93AE" w14:textId="77777777" w:rsidR="00BD2503" w:rsidRPr="002A1203" w:rsidRDefault="00BD2503" w:rsidP="00834859">
            <w:pPr>
              <w:rPr>
                <w:rFonts w:ascii="Arial" w:hAnsi="Arial" w:cs="Arial"/>
                <w:sz w:val="20"/>
                <w:szCs w:val="20"/>
              </w:rPr>
            </w:pPr>
          </w:p>
        </w:tc>
      </w:tr>
      <w:tr w:rsidR="002A1203" w:rsidRPr="002A1203" w14:paraId="313C0EA2" w14:textId="77777777" w:rsidTr="00834859">
        <w:trPr>
          <w:trHeight w:val="300"/>
        </w:trPr>
        <w:tc>
          <w:tcPr>
            <w:tcW w:w="900" w:type="pct"/>
            <w:tcBorders>
              <w:top w:val="nil"/>
              <w:left w:val="nil"/>
              <w:bottom w:val="nil"/>
              <w:right w:val="nil"/>
            </w:tcBorders>
            <w:shd w:val="clear" w:color="auto" w:fill="auto"/>
            <w:noWrap/>
            <w:vAlign w:val="center"/>
            <w:hideMark/>
          </w:tcPr>
          <w:p w14:paraId="015558F4" w14:textId="706058BD" w:rsidR="00BD2503" w:rsidRPr="002A1203" w:rsidRDefault="00BD2503" w:rsidP="0011603C">
            <w:pPr>
              <w:jc w:val="right"/>
              <w:rPr>
                <w:rFonts w:ascii="Arial" w:hAnsi="Arial" w:cs="Arial"/>
                <w:sz w:val="20"/>
              </w:rPr>
            </w:pPr>
            <w:r w:rsidRPr="002A1203">
              <w:rPr>
                <w:rFonts w:ascii="Arial" w:hAnsi="Arial" w:cs="Arial"/>
                <w:sz w:val="20"/>
              </w:rPr>
              <w:t>$</w:t>
            </w:r>
            <w:r w:rsidR="0011603C" w:rsidRPr="002A1203">
              <w:rPr>
                <w:rFonts w:ascii="Arial" w:hAnsi="Arial" w:cs="Arial"/>
                <w:sz w:val="20"/>
              </w:rPr>
              <w:t>10</w:t>
            </w:r>
            <w:r w:rsidRPr="002A1203">
              <w:rPr>
                <w:rFonts w:ascii="Arial" w:hAnsi="Arial" w:cs="Arial"/>
                <w:sz w:val="20"/>
              </w:rPr>
              <w:t xml:space="preserve"> </w:t>
            </w:r>
          </w:p>
        </w:tc>
        <w:tc>
          <w:tcPr>
            <w:tcW w:w="1402" w:type="pct"/>
            <w:tcBorders>
              <w:top w:val="nil"/>
              <w:left w:val="nil"/>
              <w:bottom w:val="nil"/>
              <w:right w:val="nil"/>
            </w:tcBorders>
            <w:shd w:val="clear" w:color="auto" w:fill="auto"/>
            <w:noWrap/>
            <w:vAlign w:val="center"/>
            <w:hideMark/>
          </w:tcPr>
          <w:p w14:paraId="42423213" w14:textId="4D9BAFD0" w:rsidR="00BD2503" w:rsidRPr="002A1203" w:rsidRDefault="0011603C" w:rsidP="00834859">
            <w:pPr>
              <w:jc w:val="right"/>
              <w:rPr>
                <w:rFonts w:ascii="Arial" w:hAnsi="Arial" w:cs="Arial"/>
                <w:sz w:val="20"/>
              </w:rPr>
            </w:pPr>
            <w:r w:rsidRPr="002A1203">
              <w:rPr>
                <w:rFonts w:ascii="Arial" w:hAnsi="Arial" w:cs="Arial"/>
                <w:sz w:val="20"/>
              </w:rPr>
              <w:t>152</w:t>
            </w:r>
          </w:p>
        </w:tc>
        <w:tc>
          <w:tcPr>
            <w:tcW w:w="858" w:type="pct"/>
            <w:tcBorders>
              <w:top w:val="nil"/>
              <w:left w:val="nil"/>
              <w:bottom w:val="nil"/>
              <w:right w:val="nil"/>
            </w:tcBorders>
            <w:shd w:val="clear" w:color="auto" w:fill="auto"/>
            <w:noWrap/>
            <w:vAlign w:val="center"/>
            <w:hideMark/>
          </w:tcPr>
          <w:p w14:paraId="0087EDE8" w14:textId="4F5AE249" w:rsidR="00BD2503" w:rsidRPr="002A1203" w:rsidRDefault="0011603C" w:rsidP="00834859">
            <w:pPr>
              <w:jc w:val="right"/>
              <w:rPr>
                <w:rFonts w:ascii="Arial" w:hAnsi="Arial" w:cs="Arial"/>
                <w:sz w:val="20"/>
              </w:rPr>
            </w:pPr>
            <w:r w:rsidRPr="002A1203">
              <w:rPr>
                <w:rFonts w:ascii="Arial" w:hAnsi="Arial" w:cs="Arial"/>
                <w:sz w:val="20"/>
              </w:rPr>
              <w:t>8</w:t>
            </w:r>
          </w:p>
        </w:tc>
        <w:tc>
          <w:tcPr>
            <w:tcW w:w="941" w:type="pct"/>
            <w:tcBorders>
              <w:top w:val="nil"/>
              <w:left w:val="nil"/>
              <w:bottom w:val="nil"/>
              <w:right w:val="nil"/>
            </w:tcBorders>
            <w:shd w:val="clear" w:color="auto" w:fill="auto"/>
            <w:noWrap/>
            <w:vAlign w:val="bottom"/>
            <w:hideMark/>
          </w:tcPr>
          <w:p w14:paraId="79BE848A" w14:textId="53AE6888" w:rsidR="00BD2503" w:rsidRPr="002A1203" w:rsidRDefault="0011603C" w:rsidP="00834859">
            <w:pPr>
              <w:jc w:val="right"/>
              <w:rPr>
                <w:rFonts w:ascii="Arial" w:hAnsi="Arial" w:cs="Arial"/>
                <w:sz w:val="20"/>
              </w:rPr>
            </w:pPr>
            <w:r w:rsidRPr="002A1203">
              <w:rPr>
                <w:rFonts w:ascii="Arial" w:hAnsi="Arial" w:cs="Arial"/>
                <w:sz w:val="20"/>
              </w:rPr>
              <w:t>144</w:t>
            </w:r>
          </w:p>
        </w:tc>
        <w:tc>
          <w:tcPr>
            <w:tcW w:w="899" w:type="pct"/>
            <w:tcBorders>
              <w:top w:val="nil"/>
              <w:left w:val="nil"/>
              <w:bottom w:val="nil"/>
              <w:right w:val="nil"/>
            </w:tcBorders>
            <w:shd w:val="clear" w:color="auto" w:fill="auto"/>
            <w:noWrap/>
            <w:vAlign w:val="bottom"/>
            <w:hideMark/>
          </w:tcPr>
          <w:p w14:paraId="1CEFA93B" w14:textId="1A834670" w:rsidR="00BD2503" w:rsidRPr="002A1203" w:rsidRDefault="00E60B9E" w:rsidP="00834859">
            <w:pPr>
              <w:jc w:val="right"/>
              <w:rPr>
                <w:rFonts w:ascii="Arial" w:hAnsi="Arial" w:cs="Arial"/>
                <w:sz w:val="20"/>
              </w:rPr>
            </w:pPr>
            <w:r w:rsidRPr="002A1203">
              <w:rPr>
                <w:rFonts w:ascii="Arial" w:hAnsi="Arial" w:cs="Arial"/>
                <w:sz w:val="20"/>
              </w:rPr>
              <w:t>5.3</w:t>
            </w:r>
          </w:p>
        </w:tc>
      </w:tr>
      <w:tr w:rsidR="002A1203" w:rsidRPr="002A1203" w14:paraId="1CE38554" w14:textId="77777777" w:rsidTr="00834859">
        <w:trPr>
          <w:trHeight w:val="300"/>
        </w:trPr>
        <w:tc>
          <w:tcPr>
            <w:tcW w:w="900" w:type="pct"/>
            <w:tcBorders>
              <w:top w:val="nil"/>
              <w:left w:val="nil"/>
              <w:bottom w:val="nil"/>
              <w:right w:val="nil"/>
            </w:tcBorders>
            <w:shd w:val="clear" w:color="auto" w:fill="auto"/>
            <w:noWrap/>
            <w:vAlign w:val="center"/>
            <w:hideMark/>
          </w:tcPr>
          <w:p w14:paraId="680A1A4A" w14:textId="1E22673E" w:rsidR="00BD2503" w:rsidRPr="002A1203" w:rsidRDefault="0011603C" w:rsidP="00834859">
            <w:pPr>
              <w:jc w:val="right"/>
              <w:rPr>
                <w:rFonts w:ascii="Arial" w:hAnsi="Arial" w:cs="Arial"/>
                <w:sz w:val="20"/>
              </w:rPr>
            </w:pPr>
            <w:r w:rsidRPr="002A1203">
              <w:rPr>
                <w:rFonts w:ascii="Arial" w:hAnsi="Arial" w:cs="Arial"/>
                <w:sz w:val="20"/>
              </w:rPr>
              <w:t>$20</w:t>
            </w:r>
            <w:r w:rsidR="00BD2503" w:rsidRPr="002A1203">
              <w:rPr>
                <w:rFonts w:ascii="Arial" w:hAnsi="Arial" w:cs="Arial"/>
                <w:sz w:val="20"/>
              </w:rPr>
              <w:t xml:space="preserve"> </w:t>
            </w:r>
          </w:p>
        </w:tc>
        <w:tc>
          <w:tcPr>
            <w:tcW w:w="1402" w:type="pct"/>
            <w:tcBorders>
              <w:top w:val="nil"/>
              <w:left w:val="nil"/>
              <w:bottom w:val="nil"/>
              <w:right w:val="nil"/>
            </w:tcBorders>
            <w:shd w:val="clear" w:color="auto" w:fill="auto"/>
            <w:noWrap/>
            <w:vAlign w:val="center"/>
            <w:hideMark/>
          </w:tcPr>
          <w:p w14:paraId="669F86FC" w14:textId="1C477D4E" w:rsidR="00BD2503" w:rsidRPr="002A1203" w:rsidRDefault="0011603C" w:rsidP="00834859">
            <w:pPr>
              <w:jc w:val="right"/>
              <w:rPr>
                <w:rFonts w:ascii="Arial" w:hAnsi="Arial" w:cs="Arial"/>
                <w:sz w:val="20"/>
              </w:rPr>
            </w:pPr>
            <w:r w:rsidRPr="002A1203">
              <w:rPr>
                <w:rFonts w:ascii="Arial" w:hAnsi="Arial" w:cs="Arial"/>
                <w:sz w:val="20"/>
              </w:rPr>
              <w:t>156</w:t>
            </w:r>
          </w:p>
        </w:tc>
        <w:tc>
          <w:tcPr>
            <w:tcW w:w="858" w:type="pct"/>
            <w:tcBorders>
              <w:top w:val="nil"/>
              <w:left w:val="nil"/>
              <w:bottom w:val="nil"/>
              <w:right w:val="nil"/>
            </w:tcBorders>
            <w:shd w:val="clear" w:color="auto" w:fill="auto"/>
            <w:noWrap/>
            <w:vAlign w:val="center"/>
            <w:hideMark/>
          </w:tcPr>
          <w:p w14:paraId="110A664A" w14:textId="02DBCD79" w:rsidR="00BD2503" w:rsidRPr="002A1203" w:rsidRDefault="0011603C" w:rsidP="00834859">
            <w:pPr>
              <w:jc w:val="right"/>
              <w:rPr>
                <w:rFonts w:ascii="Arial" w:hAnsi="Arial" w:cs="Arial"/>
                <w:sz w:val="20"/>
              </w:rPr>
            </w:pPr>
            <w:r w:rsidRPr="002A1203">
              <w:rPr>
                <w:rFonts w:ascii="Arial" w:hAnsi="Arial" w:cs="Arial"/>
                <w:sz w:val="20"/>
              </w:rPr>
              <w:t>9</w:t>
            </w:r>
          </w:p>
        </w:tc>
        <w:tc>
          <w:tcPr>
            <w:tcW w:w="941" w:type="pct"/>
            <w:tcBorders>
              <w:top w:val="nil"/>
              <w:left w:val="nil"/>
              <w:bottom w:val="nil"/>
              <w:right w:val="nil"/>
            </w:tcBorders>
            <w:shd w:val="clear" w:color="auto" w:fill="auto"/>
            <w:noWrap/>
            <w:vAlign w:val="bottom"/>
            <w:hideMark/>
          </w:tcPr>
          <w:p w14:paraId="5702D835" w14:textId="03C575BC" w:rsidR="00BD2503" w:rsidRPr="002A1203" w:rsidRDefault="0011603C" w:rsidP="00834859">
            <w:pPr>
              <w:jc w:val="right"/>
              <w:rPr>
                <w:rFonts w:ascii="Arial" w:hAnsi="Arial" w:cs="Arial"/>
                <w:sz w:val="20"/>
              </w:rPr>
            </w:pPr>
            <w:r w:rsidRPr="002A1203">
              <w:rPr>
                <w:rFonts w:ascii="Arial" w:hAnsi="Arial" w:cs="Arial"/>
                <w:sz w:val="20"/>
              </w:rPr>
              <w:t>147</w:t>
            </w:r>
          </w:p>
        </w:tc>
        <w:tc>
          <w:tcPr>
            <w:tcW w:w="899" w:type="pct"/>
            <w:tcBorders>
              <w:top w:val="nil"/>
              <w:left w:val="nil"/>
              <w:bottom w:val="nil"/>
              <w:right w:val="nil"/>
            </w:tcBorders>
            <w:shd w:val="clear" w:color="auto" w:fill="auto"/>
            <w:noWrap/>
            <w:vAlign w:val="bottom"/>
            <w:hideMark/>
          </w:tcPr>
          <w:p w14:paraId="232D535B" w14:textId="1375BA26" w:rsidR="00BD2503" w:rsidRPr="002A1203" w:rsidRDefault="00E60B9E" w:rsidP="00834859">
            <w:pPr>
              <w:jc w:val="right"/>
              <w:rPr>
                <w:rFonts w:ascii="Arial" w:hAnsi="Arial" w:cs="Arial"/>
                <w:sz w:val="20"/>
              </w:rPr>
            </w:pPr>
            <w:r w:rsidRPr="002A1203">
              <w:rPr>
                <w:rFonts w:ascii="Arial" w:hAnsi="Arial" w:cs="Arial"/>
                <w:sz w:val="20"/>
              </w:rPr>
              <w:t>5.8</w:t>
            </w:r>
          </w:p>
        </w:tc>
      </w:tr>
      <w:tr w:rsidR="002A1203" w:rsidRPr="002A1203" w14:paraId="38A4AAB0" w14:textId="77777777" w:rsidTr="00235CA6">
        <w:trPr>
          <w:trHeight w:val="144"/>
        </w:trPr>
        <w:tc>
          <w:tcPr>
            <w:tcW w:w="900" w:type="pct"/>
            <w:tcBorders>
              <w:top w:val="nil"/>
              <w:left w:val="nil"/>
              <w:bottom w:val="nil"/>
              <w:right w:val="nil"/>
            </w:tcBorders>
            <w:shd w:val="clear" w:color="auto" w:fill="auto"/>
            <w:noWrap/>
            <w:vAlign w:val="bottom"/>
            <w:hideMark/>
          </w:tcPr>
          <w:p w14:paraId="5F7EB4FD" w14:textId="77777777" w:rsidR="00BD2503" w:rsidRPr="002A1203" w:rsidRDefault="00BD2503" w:rsidP="00834859">
            <w:pPr>
              <w:jc w:val="right"/>
              <w:rPr>
                <w:rFonts w:ascii="Arial" w:hAnsi="Arial" w:cs="Arial"/>
                <w:sz w:val="20"/>
              </w:rPr>
            </w:pPr>
          </w:p>
        </w:tc>
        <w:tc>
          <w:tcPr>
            <w:tcW w:w="1402" w:type="pct"/>
            <w:tcBorders>
              <w:top w:val="nil"/>
              <w:left w:val="nil"/>
              <w:bottom w:val="nil"/>
              <w:right w:val="nil"/>
            </w:tcBorders>
            <w:shd w:val="clear" w:color="auto" w:fill="auto"/>
            <w:noWrap/>
            <w:vAlign w:val="bottom"/>
            <w:hideMark/>
          </w:tcPr>
          <w:p w14:paraId="1AF24712" w14:textId="77777777" w:rsidR="00BD2503" w:rsidRPr="002A1203"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5B9D4C5D" w14:textId="77777777" w:rsidR="00BD2503" w:rsidRPr="002A1203"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3C8768EC" w14:textId="77777777" w:rsidR="00BD2503" w:rsidRPr="002A1203"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31D0F71C" w14:textId="77777777" w:rsidR="00BD2503" w:rsidRPr="002A1203" w:rsidRDefault="00BD2503" w:rsidP="00834859">
            <w:pPr>
              <w:rPr>
                <w:rFonts w:ascii="Arial" w:hAnsi="Arial" w:cs="Arial"/>
                <w:sz w:val="20"/>
                <w:szCs w:val="20"/>
              </w:rPr>
            </w:pPr>
          </w:p>
        </w:tc>
      </w:tr>
      <w:tr w:rsidR="002A1203" w:rsidRPr="002A1203" w14:paraId="218B0D07" w14:textId="77777777" w:rsidTr="00834859">
        <w:trPr>
          <w:trHeight w:val="315"/>
        </w:trPr>
        <w:tc>
          <w:tcPr>
            <w:tcW w:w="900" w:type="pct"/>
            <w:tcBorders>
              <w:top w:val="nil"/>
              <w:left w:val="nil"/>
              <w:bottom w:val="single" w:sz="12" w:space="0" w:color="auto"/>
              <w:right w:val="nil"/>
            </w:tcBorders>
            <w:shd w:val="clear" w:color="auto" w:fill="auto"/>
            <w:noWrap/>
            <w:vAlign w:val="center"/>
            <w:hideMark/>
          </w:tcPr>
          <w:p w14:paraId="203500A6" w14:textId="77777777" w:rsidR="00BD2503" w:rsidRPr="002A1203" w:rsidRDefault="00BD2503" w:rsidP="00834859">
            <w:pPr>
              <w:rPr>
                <w:rFonts w:ascii="Arial" w:hAnsi="Arial" w:cs="Arial"/>
                <w:sz w:val="20"/>
              </w:rPr>
            </w:pPr>
            <w:r w:rsidRPr="002A1203">
              <w:rPr>
                <w:rFonts w:ascii="Arial" w:hAnsi="Arial" w:cs="Arial"/>
                <w:sz w:val="20"/>
              </w:rPr>
              <w:t>Total</w:t>
            </w:r>
          </w:p>
        </w:tc>
        <w:tc>
          <w:tcPr>
            <w:tcW w:w="1402" w:type="pct"/>
            <w:tcBorders>
              <w:top w:val="nil"/>
              <w:left w:val="nil"/>
              <w:bottom w:val="single" w:sz="12" w:space="0" w:color="auto"/>
              <w:right w:val="nil"/>
            </w:tcBorders>
            <w:shd w:val="clear" w:color="auto" w:fill="auto"/>
            <w:noWrap/>
            <w:vAlign w:val="center"/>
            <w:hideMark/>
          </w:tcPr>
          <w:p w14:paraId="2C66AA8F" w14:textId="5AB118DA" w:rsidR="00BD2503" w:rsidRPr="002A1203" w:rsidRDefault="00E60B9E" w:rsidP="00834859">
            <w:pPr>
              <w:jc w:val="right"/>
              <w:rPr>
                <w:rFonts w:ascii="Arial" w:hAnsi="Arial" w:cs="Arial"/>
                <w:sz w:val="20"/>
              </w:rPr>
            </w:pPr>
            <w:r w:rsidRPr="002A1203">
              <w:rPr>
                <w:rFonts w:ascii="Arial" w:hAnsi="Arial" w:cs="Arial"/>
                <w:sz w:val="20"/>
              </w:rPr>
              <w:t>308</w:t>
            </w:r>
          </w:p>
        </w:tc>
        <w:tc>
          <w:tcPr>
            <w:tcW w:w="858" w:type="pct"/>
            <w:tcBorders>
              <w:top w:val="nil"/>
              <w:left w:val="nil"/>
              <w:bottom w:val="single" w:sz="12" w:space="0" w:color="auto"/>
              <w:right w:val="nil"/>
            </w:tcBorders>
            <w:shd w:val="clear" w:color="auto" w:fill="auto"/>
            <w:noWrap/>
            <w:vAlign w:val="center"/>
            <w:hideMark/>
          </w:tcPr>
          <w:p w14:paraId="79AA0A03" w14:textId="02FD9F17" w:rsidR="00BD2503" w:rsidRPr="002A1203" w:rsidRDefault="00E60B9E" w:rsidP="00834859">
            <w:pPr>
              <w:jc w:val="right"/>
              <w:rPr>
                <w:rFonts w:ascii="Arial" w:hAnsi="Arial" w:cs="Arial"/>
                <w:sz w:val="20"/>
              </w:rPr>
            </w:pPr>
            <w:r w:rsidRPr="002A1203">
              <w:rPr>
                <w:rFonts w:ascii="Arial" w:hAnsi="Arial" w:cs="Arial"/>
                <w:sz w:val="20"/>
              </w:rPr>
              <w:t>17</w:t>
            </w:r>
          </w:p>
        </w:tc>
        <w:tc>
          <w:tcPr>
            <w:tcW w:w="941" w:type="pct"/>
            <w:tcBorders>
              <w:top w:val="nil"/>
              <w:left w:val="nil"/>
              <w:bottom w:val="single" w:sz="12" w:space="0" w:color="auto"/>
              <w:right w:val="nil"/>
            </w:tcBorders>
            <w:shd w:val="clear" w:color="auto" w:fill="auto"/>
            <w:noWrap/>
            <w:vAlign w:val="center"/>
            <w:hideMark/>
          </w:tcPr>
          <w:p w14:paraId="0B4EFBAC" w14:textId="487754C3" w:rsidR="00BD2503" w:rsidRPr="002A1203" w:rsidRDefault="00E60B9E" w:rsidP="00834859">
            <w:pPr>
              <w:jc w:val="right"/>
              <w:rPr>
                <w:rFonts w:ascii="Arial" w:hAnsi="Arial" w:cs="Arial"/>
                <w:sz w:val="20"/>
              </w:rPr>
            </w:pPr>
            <w:r w:rsidRPr="002A1203">
              <w:rPr>
                <w:rFonts w:ascii="Arial" w:hAnsi="Arial" w:cs="Arial"/>
                <w:sz w:val="20"/>
              </w:rPr>
              <w:t>291</w:t>
            </w:r>
          </w:p>
        </w:tc>
        <w:tc>
          <w:tcPr>
            <w:tcW w:w="899" w:type="pct"/>
            <w:tcBorders>
              <w:top w:val="nil"/>
              <w:left w:val="nil"/>
              <w:bottom w:val="single" w:sz="12" w:space="0" w:color="auto"/>
              <w:right w:val="nil"/>
            </w:tcBorders>
            <w:shd w:val="clear" w:color="auto" w:fill="auto"/>
            <w:noWrap/>
            <w:vAlign w:val="center"/>
            <w:hideMark/>
          </w:tcPr>
          <w:p w14:paraId="70199C38" w14:textId="515172DC" w:rsidR="00BD2503" w:rsidRPr="002A1203" w:rsidRDefault="00E60B9E" w:rsidP="00834859">
            <w:pPr>
              <w:jc w:val="right"/>
              <w:rPr>
                <w:rFonts w:ascii="Arial" w:hAnsi="Arial" w:cs="Arial"/>
                <w:sz w:val="20"/>
              </w:rPr>
            </w:pPr>
            <w:r w:rsidRPr="002A1203">
              <w:rPr>
                <w:rFonts w:ascii="Arial" w:hAnsi="Arial" w:cs="Arial"/>
                <w:sz w:val="20"/>
              </w:rPr>
              <w:t>5.5</w:t>
            </w:r>
          </w:p>
        </w:tc>
      </w:tr>
    </w:tbl>
    <w:p w14:paraId="5AAEE4A7" w14:textId="77777777" w:rsidR="0010135B" w:rsidRPr="002A1203" w:rsidRDefault="00BD2503" w:rsidP="00BD2503">
      <w:pPr>
        <w:rPr>
          <w:rFonts w:ascii="Arial" w:hAnsi="Arial" w:cs="Arial"/>
          <w:sz w:val="18"/>
        </w:rPr>
      </w:pPr>
      <w:r w:rsidRPr="002A1203">
        <w:rPr>
          <w:rFonts w:ascii="Arial" w:hAnsi="Arial" w:cs="Arial"/>
          <w:sz w:val="18"/>
        </w:rPr>
        <w:t>NOTE: Excludes partially completed cases.</w:t>
      </w:r>
    </w:p>
    <w:p w14:paraId="2CC275F0" w14:textId="10E9214B" w:rsidR="00BD2503" w:rsidRPr="002A1203" w:rsidRDefault="00BD2503" w:rsidP="00BD2503">
      <w:pPr>
        <w:rPr>
          <w:rFonts w:ascii="Arial" w:hAnsi="Arial" w:cs="Arial"/>
          <w:sz w:val="18"/>
        </w:rPr>
      </w:pPr>
      <w:r w:rsidRPr="002A1203">
        <w:rPr>
          <w:rFonts w:ascii="Arial" w:hAnsi="Arial" w:cs="Arial"/>
          <w:sz w:val="18"/>
        </w:rPr>
        <w:t>SOURCE: U.S. Department of Education, National Center for Education Statistics. High School Longitudinal Study of 2009 (HSLS:09) Second Follow-up Main Study.</w:t>
      </w:r>
    </w:p>
    <w:p w14:paraId="3B3334F4" w14:textId="77777777" w:rsidR="00BD2503" w:rsidRPr="00B613DB" w:rsidRDefault="00BD2503" w:rsidP="00BD2503">
      <w:pPr>
        <w:rPr>
          <w:color w:val="0070C0"/>
        </w:rPr>
      </w:pPr>
    </w:p>
    <w:p w14:paraId="36835A65" w14:textId="3F4B0BAB" w:rsidR="00BD2503" w:rsidRDefault="00BD2503" w:rsidP="00235CA6">
      <w:pPr>
        <w:spacing w:after="120"/>
        <w:rPr>
          <w:rFonts w:asciiTheme="majorBidi" w:hAnsiTheme="majorBidi" w:cstheme="majorBidi"/>
        </w:rPr>
      </w:pPr>
      <w:r w:rsidRPr="00D84196">
        <w:rPr>
          <w:rFonts w:asciiTheme="majorBidi" w:hAnsiTheme="majorBidi" w:cstheme="majorBidi"/>
          <w:b/>
          <w:i/>
        </w:rPr>
        <w:t>Subgroup B (Ultra-Cooperative Respondents).</w:t>
      </w:r>
      <w:r w:rsidRPr="00D84196">
        <w:rPr>
          <w:rFonts w:asciiTheme="majorBidi" w:hAnsiTheme="majorBidi" w:cstheme="majorBidi"/>
        </w:rPr>
        <w:t xml:space="preserve"> Exhibit 2 displays Subgroup B response rates during phase </w:t>
      </w:r>
      <w:r w:rsidR="00D84196" w:rsidRPr="00D84196">
        <w:rPr>
          <w:rFonts w:asciiTheme="majorBidi" w:hAnsiTheme="majorBidi" w:cstheme="majorBidi"/>
        </w:rPr>
        <w:t>4</w:t>
      </w:r>
      <w:r w:rsidRPr="00D84196">
        <w:rPr>
          <w:rFonts w:asciiTheme="majorBidi" w:hAnsiTheme="majorBidi" w:cstheme="majorBidi"/>
        </w:rPr>
        <w:t xml:space="preserve"> by incentive boost level</w:t>
      </w:r>
      <w:r w:rsidR="00531C04" w:rsidRPr="00D84196">
        <w:rPr>
          <w:rFonts w:asciiTheme="majorBidi" w:hAnsiTheme="majorBidi" w:cstheme="majorBidi"/>
        </w:rPr>
        <w:t xml:space="preserve"> for those targeted by the bias-likelihood model for intervention</w:t>
      </w:r>
      <w:r w:rsidRPr="00D84196">
        <w:rPr>
          <w:rFonts w:asciiTheme="majorBidi" w:hAnsiTheme="majorBidi" w:cstheme="majorBidi"/>
        </w:rPr>
        <w:t>. Note that most of the ultra-cooperative sample</w:t>
      </w:r>
      <w:r w:rsidR="00D84196" w:rsidRPr="00D84196">
        <w:rPr>
          <w:rFonts w:asciiTheme="majorBidi" w:hAnsiTheme="majorBidi" w:cstheme="majorBidi"/>
        </w:rPr>
        <w:t xml:space="preserve"> members had responded in prior phases</w:t>
      </w:r>
      <w:r w:rsidRPr="00D84196">
        <w:rPr>
          <w:rFonts w:asciiTheme="majorBidi" w:hAnsiTheme="majorBidi" w:cstheme="majorBidi"/>
        </w:rPr>
        <w:t xml:space="preserve">, leaving </w:t>
      </w:r>
      <w:r w:rsidR="00CC7499">
        <w:rPr>
          <w:rFonts w:asciiTheme="majorBidi" w:hAnsiTheme="majorBidi" w:cstheme="majorBidi"/>
        </w:rPr>
        <w:t xml:space="preserve">only 38 remaining cases for phase 4. Of these 38 cases, 13 </w:t>
      </w:r>
      <w:r w:rsidR="00977F6A" w:rsidRPr="00D84196">
        <w:rPr>
          <w:rFonts w:asciiTheme="majorBidi" w:hAnsiTheme="majorBidi" w:cstheme="majorBidi"/>
        </w:rPr>
        <w:t xml:space="preserve">were targeted for an incentive intervention </w:t>
      </w:r>
      <w:r w:rsidRPr="00D84196">
        <w:rPr>
          <w:rFonts w:asciiTheme="majorBidi" w:hAnsiTheme="majorBidi" w:cstheme="majorBidi"/>
        </w:rPr>
        <w:t xml:space="preserve">in phase </w:t>
      </w:r>
      <w:r w:rsidR="00D84196" w:rsidRPr="00D84196">
        <w:rPr>
          <w:rFonts w:asciiTheme="majorBidi" w:hAnsiTheme="majorBidi" w:cstheme="majorBidi"/>
        </w:rPr>
        <w:t>4</w:t>
      </w:r>
      <w:r w:rsidRPr="00D84196">
        <w:rPr>
          <w:rFonts w:asciiTheme="majorBidi" w:hAnsiTheme="majorBidi" w:cstheme="majorBidi"/>
        </w:rPr>
        <w:t xml:space="preserve">. Given the small number of </w:t>
      </w:r>
      <w:r w:rsidR="00CC7499">
        <w:rPr>
          <w:rFonts w:asciiTheme="majorBidi" w:hAnsiTheme="majorBidi" w:cstheme="majorBidi"/>
        </w:rPr>
        <w:t xml:space="preserve">targeted </w:t>
      </w:r>
      <w:r w:rsidRPr="00D84196">
        <w:rPr>
          <w:rFonts w:asciiTheme="majorBidi" w:hAnsiTheme="majorBidi" w:cstheme="majorBidi"/>
        </w:rPr>
        <w:t>cases within Subgroup B, sta</w:t>
      </w:r>
      <w:r w:rsidR="0023083F">
        <w:rPr>
          <w:rFonts w:asciiTheme="majorBidi" w:hAnsiTheme="majorBidi" w:cstheme="majorBidi"/>
        </w:rPr>
        <w:t>tistical analysis of the boost 2</w:t>
      </w:r>
      <w:r w:rsidRPr="00D84196">
        <w:rPr>
          <w:rFonts w:asciiTheme="majorBidi" w:hAnsiTheme="majorBidi" w:cstheme="majorBidi"/>
        </w:rPr>
        <w:t xml:space="preserve"> incentive was not conducted. However, we recommend </w:t>
      </w:r>
      <w:r w:rsidR="00856A8B" w:rsidRPr="00D84196">
        <w:rPr>
          <w:rFonts w:asciiTheme="majorBidi" w:hAnsiTheme="majorBidi" w:cstheme="majorBidi"/>
        </w:rPr>
        <w:t xml:space="preserve">that </w:t>
      </w:r>
      <w:r w:rsidRPr="00D84196">
        <w:rPr>
          <w:rFonts w:asciiTheme="majorBidi" w:hAnsiTheme="majorBidi" w:cstheme="majorBidi"/>
        </w:rPr>
        <w:t xml:space="preserve">the </w:t>
      </w:r>
      <w:r w:rsidR="00CC7499">
        <w:rPr>
          <w:rFonts w:asciiTheme="majorBidi" w:hAnsiTheme="majorBidi" w:cstheme="majorBidi"/>
        </w:rPr>
        <w:t>$10</w:t>
      </w:r>
      <w:r w:rsidRPr="00D84196">
        <w:rPr>
          <w:rFonts w:asciiTheme="majorBidi" w:hAnsiTheme="majorBidi" w:cstheme="majorBidi"/>
        </w:rPr>
        <w:t xml:space="preserve"> </w:t>
      </w:r>
      <w:r w:rsidR="002D2609">
        <w:rPr>
          <w:rFonts w:asciiTheme="majorBidi" w:hAnsiTheme="majorBidi" w:cstheme="majorBidi"/>
        </w:rPr>
        <w:t xml:space="preserve">boost 2 </w:t>
      </w:r>
      <w:r w:rsidRPr="00D84196">
        <w:rPr>
          <w:rFonts w:asciiTheme="majorBidi" w:hAnsiTheme="majorBidi" w:cstheme="majorBidi"/>
        </w:rPr>
        <w:t xml:space="preserve">incentive be offered to </w:t>
      </w:r>
      <w:r w:rsidR="00856A8B" w:rsidRPr="00D84196">
        <w:rPr>
          <w:rFonts w:asciiTheme="majorBidi" w:hAnsiTheme="majorBidi" w:cstheme="majorBidi"/>
        </w:rPr>
        <w:t>Subgroup B main sample cases</w:t>
      </w:r>
      <w:r w:rsidR="00CC7499">
        <w:rPr>
          <w:rFonts w:asciiTheme="majorBidi" w:hAnsiTheme="majorBidi" w:cstheme="majorBidi"/>
        </w:rPr>
        <w:t xml:space="preserve"> that are targeted by the bias-likelihood model for intervention</w:t>
      </w:r>
      <w:r w:rsidR="00856A8B" w:rsidRPr="00D84196">
        <w:rPr>
          <w:rFonts w:asciiTheme="majorBidi" w:hAnsiTheme="majorBidi" w:cstheme="majorBidi"/>
        </w:rPr>
        <w:t>.</w:t>
      </w:r>
    </w:p>
    <w:p w14:paraId="4CBAB152" w14:textId="3FDB1C60" w:rsidR="006B433D" w:rsidRDefault="0003157E" w:rsidP="00235CA6">
      <w:pPr>
        <w:widowControl w:val="0"/>
        <w:rPr>
          <w:rFonts w:asciiTheme="majorBidi" w:hAnsiTheme="majorBidi" w:cstheme="majorBidi"/>
        </w:rPr>
      </w:pPr>
      <w:r>
        <w:rPr>
          <w:rFonts w:asciiTheme="majorBidi" w:hAnsiTheme="majorBidi" w:cstheme="majorBidi"/>
        </w:rPr>
        <w:t>Separate from the</w:t>
      </w:r>
      <w:r w:rsidR="00582611">
        <w:rPr>
          <w:rFonts w:asciiTheme="majorBidi" w:hAnsiTheme="majorBidi" w:cstheme="majorBidi"/>
        </w:rPr>
        <w:t xml:space="preserve"> </w:t>
      </w:r>
      <w:r w:rsidR="00B8553D">
        <w:rPr>
          <w:rFonts w:asciiTheme="majorBidi" w:hAnsiTheme="majorBidi" w:cstheme="majorBidi"/>
        </w:rPr>
        <w:t xml:space="preserve">proposed </w:t>
      </w:r>
      <w:r w:rsidR="00582611">
        <w:rPr>
          <w:rFonts w:asciiTheme="majorBidi" w:hAnsiTheme="majorBidi" w:cstheme="majorBidi"/>
        </w:rPr>
        <w:t xml:space="preserve">$10 boost 2 incentive for targeted cases, </w:t>
      </w:r>
      <w:r w:rsidR="00582611" w:rsidRPr="00582611">
        <w:rPr>
          <w:rFonts w:asciiTheme="majorBidi" w:hAnsiTheme="majorBidi" w:cstheme="majorBidi"/>
        </w:rPr>
        <w:t xml:space="preserve">we </w:t>
      </w:r>
      <w:r w:rsidR="00A803EA">
        <w:rPr>
          <w:rFonts w:asciiTheme="majorBidi" w:hAnsiTheme="majorBidi" w:cstheme="majorBidi"/>
        </w:rPr>
        <w:t>recommend</w:t>
      </w:r>
      <w:r w:rsidR="00582611" w:rsidRPr="00582611">
        <w:rPr>
          <w:rFonts w:asciiTheme="majorBidi" w:hAnsiTheme="majorBidi" w:cstheme="majorBidi"/>
        </w:rPr>
        <w:t xml:space="preserve"> that </w:t>
      </w:r>
      <w:r w:rsidR="00A803EA">
        <w:rPr>
          <w:rFonts w:asciiTheme="majorBidi" w:hAnsiTheme="majorBidi" w:cstheme="majorBidi"/>
        </w:rPr>
        <w:t xml:space="preserve">a </w:t>
      </w:r>
      <w:r>
        <w:rPr>
          <w:rFonts w:asciiTheme="majorBidi" w:hAnsiTheme="majorBidi" w:cstheme="majorBidi"/>
        </w:rPr>
        <w:t xml:space="preserve">$10 first-time incentive </w:t>
      </w:r>
      <w:r w:rsidR="00582611" w:rsidRPr="00582611">
        <w:rPr>
          <w:rFonts w:asciiTheme="majorBidi" w:hAnsiTheme="majorBidi" w:cstheme="majorBidi"/>
        </w:rPr>
        <w:t xml:space="preserve">be offered to </w:t>
      </w:r>
      <w:r w:rsidR="00582611">
        <w:rPr>
          <w:rFonts w:asciiTheme="majorBidi" w:hAnsiTheme="majorBidi" w:cstheme="majorBidi"/>
        </w:rPr>
        <w:t xml:space="preserve">main sample </w:t>
      </w:r>
      <w:r w:rsidR="00582611" w:rsidRPr="00582611">
        <w:rPr>
          <w:rFonts w:asciiTheme="majorBidi" w:hAnsiTheme="majorBidi" w:cstheme="majorBidi"/>
        </w:rPr>
        <w:t xml:space="preserve">Subgroup B </w:t>
      </w:r>
      <w:r w:rsidR="00582611">
        <w:rPr>
          <w:rFonts w:asciiTheme="majorBidi" w:hAnsiTheme="majorBidi" w:cstheme="majorBidi"/>
        </w:rPr>
        <w:t xml:space="preserve">cases </w:t>
      </w:r>
      <w:r w:rsidR="00582611" w:rsidRPr="00582611">
        <w:rPr>
          <w:rFonts w:asciiTheme="majorBidi" w:hAnsiTheme="majorBidi" w:cstheme="majorBidi"/>
        </w:rPr>
        <w:t xml:space="preserve">that </w:t>
      </w:r>
      <w:r w:rsidR="00950A26">
        <w:rPr>
          <w:rFonts w:asciiTheme="majorBidi" w:hAnsiTheme="majorBidi" w:cstheme="majorBidi"/>
        </w:rPr>
        <w:t xml:space="preserve">were neither targeted for the boost 1 incentive nor </w:t>
      </w:r>
      <w:r w:rsidR="00357F44">
        <w:rPr>
          <w:rFonts w:asciiTheme="majorBidi" w:hAnsiTheme="majorBidi" w:cstheme="majorBidi"/>
        </w:rPr>
        <w:t xml:space="preserve">for the </w:t>
      </w:r>
      <w:r w:rsidR="00950A26">
        <w:rPr>
          <w:rFonts w:asciiTheme="majorBidi" w:hAnsiTheme="majorBidi" w:cstheme="majorBidi"/>
        </w:rPr>
        <w:t>boost 2 incentive</w:t>
      </w:r>
      <w:r w:rsidR="00582611">
        <w:rPr>
          <w:rFonts w:asciiTheme="majorBidi" w:hAnsiTheme="majorBidi" w:cstheme="majorBidi"/>
        </w:rPr>
        <w:t>.</w:t>
      </w:r>
      <w:r w:rsidR="00950A26">
        <w:rPr>
          <w:rFonts w:asciiTheme="majorBidi" w:hAnsiTheme="majorBidi" w:cstheme="majorBidi"/>
        </w:rPr>
        <w:t xml:space="preserve"> Given that these cases </w:t>
      </w:r>
      <w:r w:rsidR="00357F44">
        <w:rPr>
          <w:rFonts w:asciiTheme="majorBidi" w:hAnsiTheme="majorBidi" w:cstheme="majorBidi"/>
        </w:rPr>
        <w:t>heretofore</w:t>
      </w:r>
      <w:r w:rsidR="00950A26">
        <w:rPr>
          <w:rFonts w:asciiTheme="majorBidi" w:hAnsiTheme="majorBidi" w:cstheme="majorBidi"/>
        </w:rPr>
        <w:t xml:space="preserve"> have received no financial incentives across </w:t>
      </w:r>
      <w:r w:rsidR="00193553">
        <w:rPr>
          <w:rFonts w:asciiTheme="majorBidi" w:hAnsiTheme="majorBidi" w:cstheme="majorBidi"/>
        </w:rPr>
        <w:t xml:space="preserve">baseline and boost </w:t>
      </w:r>
      <w:r w:rsidR="00950A26">
        <w:rPr>
          <w:rFonts w:asciiTheme="majorBidi" w:hAnsiTheme="majorBidi" w:cstheme="majorBidi"/>
        </w:rPr>
        <w:t>stages, we recommend this intervention as a</w:t>
      </w:r>
      <w:r w:rsidR="00357F44">
        <w:rPr>
          <w:rFonts w:asciiTheme="majorBidi" w:hAnsiTheme="majorBidi" w:cstheme="majorBidi"/>
        </w:rPr>
        <w:t>n</w:t>
      </w:r>
      <w:r w:rsidR="00950A26">
        <w:rPr>
          <w:rFonts w:asciiTheme="majorBidi" w:hAnsiTheme="majorBidi" w:cstheme="majorBidi"/>
        </w:rPr>
        <w:t xml:space="preserve"> effort to induce participation among the</w:t>
      </w:r>
      <w:r w:rsidR="00357F44">
        <w:rPr>
          <w:rFonts w:asciiTheme="majorBidi" w:hAnsiTheme="majorBidi" w:cstheme="majorBidi"/>
        </w:rPr>
        <w:t>se</w:t>
      </w:r>
      <w:r w:rsidR="00950A26">
        <w:rPr>
          <w:rFonts w:asciiTheme="majorBidi" w:hAnsiTheme="majorBidi" w:cstheme="majorBidi"/>
        </w:rPr>
        <w:t xml:space="preserve"> </w:t>
      </w:r>
      <w:r w:rsidR="00357F44">
        <w:rPr>
          <w:rFonts w:asciiTheme="majorBidi" w:hAnsiTheme="majorBidi" w:cstheme="majorBidi"/>
        </w:rPr>
        <w:t>particular</w:t>
      </w:r>
      <w:r w:rsidR="00950A26">
        <w:rPr>
          <w:rFonts w:asciiTheme="majorBidi" w:hAnsiTheme="majorBidi" w:cstheme="majorBidi"/>
        </w:rPr>
        <w:t xml:space="preserve"> Subgroup B nonrespondents</w:t>
      </w:r>
      <w:r w:rsidR="00357F44">
        <w:rPr>
          <w:rFonts w:asciiTheme="majorBidi" w:hAnsiTheme="majorBidi" w:cstheme="majorBidi"/>
        </w:rPr>
        <w:t>, such that all pending nonrespondent cases will now receive some monetary incentive offer</w:t>
      </w:r>
      <w:r w:rsidR="006B433D">
        <w:rPr>
          <w:rFonts w:asciiTheme="majorBidi" w:hAnsiTheme="majorBidi" w:cstheme="majorBidi"/>
        </w:rPr>
        <w:t>.</w:t>
      </w:r>
    </w:p>
    <w:p w14:paraId="31317AF8" w14:textId="77777777" w:rsidR="006B433D" w:rsidRPr="00235CA6" w:rsidRDefault="006B433D" w:rsidP="00582611">
      <w:pPr>
        <w:rPr>
          <w:rFonts w:asciiTheme="majorBidi" w:hAnsiTheme="majorBidi" w:cstheme="majorBidi"/>
          <w:sz w:val="14"/>
          <w:szCs w:val="14"/>
        </w:rPr>
      </w:pPr>
    </w:p>
    <w:p w14:paraId="682FA1CA" w14:textId="3F5C182C" w:rsidR="00BD2503" w:rsidRPr="00A55535" w:rsidRDefault="00BD2503" w:rsidP="00BD2503">
      <w:pPr>
        <w:rPr>
          <w:rFonts w:ascii="Arial" w:hAnsi="Arial" w:cs="Arial"/>
          <w:b/>
          <w:sz w:val="18"/>
        </w:rPr>
      </w:pPr>
      <w:r w:rsidRPr="00A55535">
        <w:rPr>
          <w:rFonts w:ascii="Arial" w:hAnsi="Arial" w:cs="Arial"/>
          <w:b/>
          <w:sz w:val="18"/>
        </w:rPr>
        <w:lastRenderedPageBreak/>
        <w:t>Exhibit 2. Subg</w:t>
      </w:r>
      <w:r w:rsidR="00C719D7" w:rsidRPr="00A55535">
        <w:rPr>
          <w:rFonts w:ascii="Arial" w:hAnsi="Arial" w:cs="Arial"/>
          <w:b/>
          <w:sz w:val="18"/>
        </w:rPr>
        <w:t>roup B response rates in phase 4, by boost 2</w:t>
      </w:r>
      <w:r w:rsidRPr="00A55535">
        <w:rPr>
          <w:rFonts w:ascii="Arial" w:hAnsi="Arial" w:cs="Arial"/>
          <w:b/>
          <w:sz w:val="18"/>
        </w:rPr>
        <w:t xml:space="preserve"> incentive amount</w:t>
      </w:r>
    </w:p>
    <w:tbl>
      <w:tblPr>
        <w:tblW w:w="5000" w:type="pct"/>
        <w:tblLook w:val="04A0" w:firstRow="1" w:lastRow="0" w:firstColumn="1" w:lastColumn="0" w:noHBand="0" w:noVBand="1"/>
      </w:tblPr>
      <w:tblGrid>
        <w:gridCol w:w="1905"/>
        <w:gridCol w:w="2968"/>
        <w:gridCol w:w="2036"/>
        <w:gridCol w:w="1772"/>
        <w:gridCol w:w="1903"/>
      </w:tblGrid>
      <w:tr w:rsidR="00A55535" w:rsidRPr="00A55535" w14:paraId="6A39BA8E" w14:textId="77777777" w:rsidTr="00834859">
        <w:trPr>
          <w:trHeight w:val="630"/>
        </w:trPr>
        <w:tc>
          <w:tcPr>
            <w:tcW w:w="900" w:type="pct"/>
            <w:tcBorders>
              <w:top w:val="single" w:sz="12" w:space="0" w:color="auto"/>
              <w:left w:val="nil"/>
              <w:bottom w:val="nil"/>
              <w:right w:val="nil"/>
            </w:tcBorders>
            <w:shd w:val="clear" w:color="auto" w:fill="auto"/>
            <w:vAlign w:val="center"/>
            <w:hideMark/>
          </w:tcPr>
          <w:p w14:paraId="065EBF11" w14:textId="22279B2E" w:rsidR="00C719D7" w:rsidRPr="00A55535" w:rsidRDefault="00C719D7" w:rsidP="00C719D7">
            <w:pPr>
              <w:jc w:val="right"/>
              <w:rPr>
                <w:rFonts w:ascii="Arial" w:hAnsi="Arial" w:cs="Arial"/>
                <w:sz w:val="20"/>
              </w:rPr>
            </w:pPr>
            <w:r w:rsidRPr="00A55535">
              <w:rPr>
                <w:rFonts w:ascii="Arial" w:hAnsi="Arial" w:cs="Arial"/>
                <w:sz w:val="20"/>
              </w:rPr>
              <w:t>Boost 2</w:t>
            </w:r>
          </w:p>
        </w:tc>
        <w:tc>
          <w:tcPr>
            <w:tcW w:w="1402" w:type="pct"/>
            <w:tcBorders>
              <w:top w:val="single" w:sz="12" w:space="0" w:color="auto"/>
              <w:left w:val="nil"/>
              <w:bottom w:val="nil"/>
              <w:right w:val="nil"/>
            </w:tcBorders>
            <w:shd w:val="clear" w:color="auto" w:fill="auto"/>
            <w:vAlign w:val="center"/>
            <w:hideMark/>
          </w:tcPr>
          <w:p w14:paraId="7BD4AC3D" w14:textId="0E834004" w:rsidR="00C719D7" w:rsidRPr="00A55535" w:rsidRDefault="00C719D7" w:rsidP="00C719D7">
            <w:pPr>
              <w:jc w:val="right"/>
              <w:rPr>
                <w:rFonts w:ascii="Arial" w:hAnsi="Arial" w:cs="Arial"/>
                <w:sz w:val="20"/>
              </w:rPr>
            </w:pPr>
            <w:r w:rsidRPr="00A55535">
              <w:rPr>
                <w:rFonts w:ascii="Arial" w:hAnsi="Arial" w:cs="Arial"/>
                <w:sz w:val="20"/>
              </w:rPr>
              <w:t>Sample members</w:t>
            </w:r>
            <w:r w:rsidRPr="00A55535">
              <w:rPr>
                <w:rFonts w:ascii="Arial" w:hAnsi="Arial" w:cs="Arial"/>
                <w:sz w:val="20"/>
              </w:rPr>
              <w:br/>
              <w:t>(n)</w:t>
            </w:r>
          </w:p>
        </w:tc>
        <w:tc>
          <w:tcPr>
            <w:tcW w:w="1799" w:type="pct"/>
            <w:gridSpan w:val="2"/>
            <w:tcBorders>
              <w:top w:val="single" w:sz="12" w:space="0" w:color="auto"/>
              <w:left w:val="nil"/>
              <w:bottom w:val="single" w:sz="8" w:space="0" w:color="auto"/>
              <w:right w:val="nil"/>
            </w:tcBorders>
            <w:shd w:val="clear" w:color="auto" w:fill="auto"/>
            <w:vAlign w:val="center"/>
            <w:hideMark/>
          </w:tcPr>
          <w:p w14:paraId="28E0A1CA" w14:textId="753565A3" w:rsidR="00C719D7" w:rsidRPr="00A55535" w:rsidRDefault="00C719D7" w:rsidP="00C719D7">
            <w:pPr>
              <w:jc w:val="center"/>
              <w:rPr>
                <w:rFonts w:ascii="Arial" w:hAnsi="Arial" w:cs="Arial"/>
                <w:sz w:val="20"/>
              </w:rPr>
            </w:pPr>
            <w:r w:rsidRPr="00A55535">
              <w:rPr>
                <w:rFonts w:ascii="Arial" w:hAnsi="Arial" w:cs="Arial"/>
                <w:sz w:val="20"/>
              </w:rPr>
              <w:t>Boost 2 response</w:t>
            </w:r>
          </w:p>
        </w:tc>
        <w:tc>
          <w:tcPr>
            <w:tcW w:w="899" w:type="pct"/>
            <w:tcBorders>
              <w:top w:val="single" w:sz="12" w:space="0" w:color="auto"/>
              <w:left w:val="nil"/>
              <w:bottom w:val="nil"/>
              <w:right w:val="nil"/>
            </w:tcBorders>
            <w:shd w:val="clear" w:color="auto" w:fill="auto"/>
            <w:vAlign w:val="center"/>
            <w:hideMark/>
          </w:tcPr>
          <w:p w14:paraId="4CAB7F26" w14:textId="513BB93E" w:rsidR="00C719D7" w:rsidRPr="00A55535" w:rsidRDefault="00C719D7" w:rsidP="00C719D7">
            <w:pPr>
              <w:jc w:val="right"/>
              <w:rPr>
                <w:rFonts w:ascii="Arial" w:hAnsi="Arial" w:cs="Arial"/>
                <w:sz w:val="20"/>
              </w:rPr>
            </w:pPr>
            <w:r w:rsidRPr="00A55535">
              <w:rPr>
                <w:rFonts w:ascii="Arial" w:hAnsi="Arial" w:cs="Arial"/>
                <w:sz w:val="20"/>
              </w:rPr>
              <w:t>Boost 2 response rate (%)</w:t>
            </w:r>
          </w:p>
        </w:tc>
      </w:tr>
      <w:tr w:rsidR="00A55535" w:rsidRPr="00A55535" w14:paraId="12F77EEC" w14:textId="77777777" w:rsidTr="00834859">
        <w:trPr>
          <w:trHeight w:val="315"/>
        </w:trPr>
        <w:tc>
          <w:tcPr>
            <w:tcW w:w="900" w:type="pct"/>
            <w:tcBorders>
              <w:top w:val="nil"/>
              <w:left w:val="nil"/>
              <w:bottom w:val="single" w:sz="8" w:space="0" w:color="auto"/>
              <w:right w:val="nil"/>
            </w:tcBorders>
            <w:shd w:val="clear" w:color="auto" w:fill="auto"/>
            <w:noWrap/>
            <w:vAlign w:val="center"/>
            <w:hideMark/>
          </w:tcPr>
          <w:p w14:paraId="43B6CD0D" w14:textId="77777777" w:rsidR="00BD2503" w:rsidRPr="00A55535" w:rsidRDefault="00BD2503" w:rsidP="00834859">
            <w:pPr>
              <w:jc w:val="right"/>
              <w:rPr>
                <w:rFonts w:ascii="Arial" w:hAnsi="Arial" w:cs="Arial"/>
                <w:sz w:val="20"/>
              </w:rPr>
            </w:pPr>
            <w:r w:rsidRPr="00A55535">
              <w:rPr>
                <w:rFonts w:ascii="Arial" w:hAnsi="Arial" w:cs="Arial"/>
                <w:sz w:val="20"/>
              </w:rPr>
              <w:t> </w:t>
            </w:r>
          </w:p>
        </w:tc>
        <w:tc>
          <w:tcPr>
            <w:tcW w:w="1402" w:type="pct"/>
            <w:tcBorders>
              <w:top w:val="nil"/>
              <w:left w:val="nil"/>
              <w:bottom w:val="single" w:sz="8" w:space="0" w:color="auto"/>
              <w:right w:val="nil"/>
            </w:tcBorders>
            <w:shd w:val="clear" w:color="auto" w:fill="auto"/>
            <w:noWrap/>
            <w:vAlign w:val="center"/>
            <w:hideMark/>
          </w:tcPr>
          <w:p w14:paraId="56E5420A" w14:textId="77777777" w:rsidR="00BD2503" w:rsidRPr="00A55535" w:rsidRDefault="00BD2503" w:rsidP="00834859">
            <w:pPr>
              <w:jc w:val="right"/>
              <w:rPr>
                <w:rFonts w:ascii="Arial" w:hAnsi="Arial" w:cs="Arial"/>
                <w:sz w:val="20"/>
              </w:rPr>
            </w:pPr>
            <w:r w:rsidRPr="00A55535">
              <w:rPr>
                <w:rFonts w:ascii="Arial" w:hAnsi="Arial" w:cs="Arial"/>
                <w:sz w:val="20"/>
              </w:rPr>
              <w:t> </w:t>
            </w:r>
          </w:p>
        </w:tc>
        <w:tc>
          <w:tcPr>
            <w:tcW w:w="962" w:type="pct"/>
            <w:tcBorders>
              <w:top w:val="nil"/>
              <w:left w:val="nil"/>
              <w:bottom w:val="single" w:sz="8" w:space="0" w:color="auto"/>
              <w:right w:val="nil"/>
            </w:tcBorders>
            <w:shd w:val="clear" w:color="auto" w:fill="auto"/>
            <w:noWrap/>
            <w:vAlign w:val="center"/>
            <w:hideMark/>
          </w:tcPr>
          <w:p w14:paraId="34235D10" w14:textId="77777777" w:rsidR="00BD2503" w:rsidRPr="00A55535" w:rsidRDefault="00BD2503" w:rsidP="00834859">
            <w:pPr>
              <w:jc w:val="right"/>
              <w:rPr>
                <w:rFonts w:ascii="Arial" w:hAnsi="Arial" w:cs="Arial"/>
                <w:sz w:val="20"/>
              </w:rPr>
            </w:pPr>
            <w:r w:rsidRPr="00A55535">
              <w:rPr>
                <w:rFonts w:ascii="Arial" w:hAnsi="Arial" w:cs="Arial"/>
                <w:sz w:val="20"/>
              </w:rPr>
              <w:t>Yes</w:t>
            </w:r>
          </w:p>
        </w:tc>
        <w:tc>
          <w:tcPr>
            <w:tcW w:w="837" w:type="pct"/>
            <w:tcBorders>
              <w:top w:val="nil"/>
              <w:left w:val="nil"/>
              <w:bottom w:val="single" w:sz="8" w:space="0" w:color="auto"/>
              <w:right w:val="nil"/>
            </w:tcBorders>
            <w:shd w:val="clear" w:color="auto" w:fill="auto"/>
            <w:noWrap/>
            <w:vAlign w:val="center"/>
            <w:hideMark/>
          </w:tcPr>
          <w:p w14:paraId="4BB60A13" w14:textId="77777777" w:rsidR="00BD2503" w:rsidRPr="00A55535" w:rsidRDefault="00BD2503" w:rsidP="00834859">
            <w:pPr>
              <w:jc w:val="right"/>
              <w:rPr>
                <w:rFonts w:ascii="Arial" w:hAnsi="Arial" w:cs="Arial"/>
                <w:sz w:val="20"/>
              </w:rPr>
            </w:pPr>
            <w:r w:rsidRPr="00A55535">
              <w:rPr>
                <w:rFonts w:ascii="Arial" w:hAnsi="Arial" w:cs="Arial"/>
                <w:sz w:val="20"/>
              </w:rPr>
              <w:t>No</w:t>
            </w:r>
          </w:p>
        </w:tc>
        <w:tc>
          <w:tcPr>
            <w:tcW w:w="899" w:type="pct"/>
            <w:tcBorders>
              <w:top w:val="nil"/>
              <w:left w:val="nil"/>
              <w:bottom w:val="single" w:sz="8" w:space="0" w:color="auto"/>
              <w:right w:val="nil"/>
            </w:tcBorders>
            <w:shd w:val="clear" w:color="auto" w:fill="auto"/>
            <w:noWrap/>
            <w:vAlign w:val="center"/>
            <w:hideMark/>
          </w:tcPr>
          <w:p w14:paraId="21AD5DE3" w14:textId="77777777" w:rsidR="00BD2503" w:rsidRPr="00A55535" w:rsidRDefault="00BD2503" w:rsidP="00834859">
            <w:pPr>
              <w:jc w:val="right"/>
              <w:rPr>
                <w:rFonts w:ascii="Arial" w:hAnsi="Arial" w:cs="Arial"/>
                <w:sz w:val="20"/>
              </w:rPr>
            </w:pPr>
            <w:r w:rsidRPr="00A55535">
              <w:rPr>
                <w:rFonts w:ascii="Arial" w:hAnsi="Arial" w:cs="Arial"/>
                <w:sz w:val="20"/>
              </w:rPr>
              <w:t> </w:t>
            </w:r>
          </w:p>
        </w:tc>
      </w:tr>
      <w:tr w:rsidR="00A55535" w:rsidRPr="00A55535" w14:paraId="2CC72B9D" w14:textId="77777777" w:rsidTr="00235CA6">
        <w:trPr>
          <w:trHeight w:val="144"/>
        </w:trPr>
        <w:tc>
          <w:tcPr>
            <w:tcW w:w="900" w:type="pct"/>
            <w:tcBorders>
              <w:top w:val="nil"/>
              <w:left w:val="nil"/>
              <w:bottom w:val="nil"/>
              <w:right w:val="nil"/>
            </w:tcBorders>
            <w:shd w:val="clear" w:color="auto" w:fill="auto"/>
            <w:noWrap/>
            <w:vAlign w:val="bottom"/>
            <w:hideMark/>
          </w:tcPr>
          <w:p w14:paraId="3BCCD2B7" w14:textId="77777777" w:rsidR="00BD2503" w:rsidRPr="00A55535" w:rsidRDefault="00BD2503" w:rsidP="00834859">
            <w:pPr>
              <w:rPr>
                <w:rFonts w:ascii="Arial" w:hAnsi="Arial" w:cs="Arial"/>
                <w:sz w:val="20"/>
              </w:rPr>
            </w:pPr>
          </w:p>
        </w:tc>
        <w:tc>
          <w:tcPr>
            <w:tcW w:w="1402" w:type="pct"/>
            <w:tcBorders>
              <w:top w:val="nil"/>
              <w:left w:val="nil"/>
              <w:bottom w:val="nil"/>
              <w:right w:val="nil"/>
            </w:tcBorders>
            <w:shd w:val="clear" w:color="auto" w:fill="auto"/>
            <w:noWrap/>
            <w:vAlign w:val="bottom"/>
            <w:hideMark/>
          </w:tcPr>
          <w:p w14:paraId="3BBC8C0D" w14:textId="77777777" w:rsidR="00BD2503" w:rsidRPr="00A55535" w:rsidRDefault="00BD2503" w:rsidP="00834859">
            <w:pPr>
              <w:rPr>
                <w:rFonts w:ascii="Arial" w:hAnsi="Arial" w:cs="Arial"/>
                <w:sz w:val="20"/>
                <w:szCs w:val="20"/>
              </w:rPr>
            </w:pPr>
          </w:p>
        </w:tc>
        <w:tc>
          <w:tcPr>
            <w:tcW w:w="962" w:type="pct"/>
            <w:tcBorders>
              <w:top w:val="nil"/>
              <w:left w:val="nil"/>
              <w:bottom w:val="nil"/>
              <w:right w:val="nil"/>
            </w:tcBorders>
            <w:shd w:val="clear" w:color="auto" w:fill="auto"/>
            <w:noWrap/>
            <w:vAlign w:val="bottom"/>
            <w:hideMark/>
          </w:tcPr>
          <w:p w14:paraId="4B5592D5" w14:textId="77777777" w:rsidR="00BD2503" w:rsidRPr="00A55535" w:rsidRDefault="00BD2503" w:rsidP="00834859">
            <w:pPr>
              <w:rPr>
                <w:rFonts w:ascii="Arial" w:hAnsi="Arial" w:cs="Arial"/>
                <w:sz w:val="20"/>
                <w:szCs w:val="20"/>
              </w:rPr>
            </w:pPr>
          </w:p>
        </w:tc>
        <w:tc>
          <w:tcPr>
            <w:tcW w:w="837" w:type="pct"/>
            <w:tcBorders>
              <w:top w:val="nil"/>
              <w:left w:val="nil"/>
              <w:bottom w:val="nil"/>
              <w:right w:val="nil"/>
            </w:tcBorders>
            <w:shd w:val="clear" w:color="auto" w:fill="auto"/>
            <w:noWrap/>
            <w:vAlign w:val="bottom"/>
            <w:hideMark/>
          </w:tcPr>
          <w:p w14:paraId="2CEED37E" w14:textId="77777777" w:rsidR="00BD2503" w:rsidRPr="00A55535"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613441A4" w14:textId="77777777" w:rsidR="00BD2503" w:rsidRPr="00A55535" w:rsidRDefault="00BD2503" w:rsidP="00834859">
            <w:pPr>
              <w:rPr>
                <w:rFonts w:ascii="Arial" w:hAnsi="Arial" w:cs="Arial"/>
                <w:sz w:val="20"/>
                <w:szCs w:val="20"/>
              </w:rPr>
            </w:pPr>
          </w:p>
        </w:tc>
      </w:tr>
      <w:tr w:rsidR="00A55535" w:rsidRPr="00A55535" w14:paraId="6E39811E" w14:textId="77777777" w:rsidTr="00834859">
        <w:trPr>
          <w:trHeight w:val="300"/>
        </w:trPr>
        <w:tc>
          <w:tcPr>
            <w:tcW w:w="900" w:type="pct"/>
            <w:tcBorders>
              <w:top w:val="nil"/>
              <w:left w:val="nil"/>
              <w:bottom w:val="nil"/>
              <w:right w:val="nil"/>
            </w:tcBorders>
            <w:shd w:val="clear" w:color="auto" w:fill="auto"/>
            <w:noWrap/>
            <w:vAlign w:val="center"/>
            <w:hideMark/>
          </w:tcPr>
          <w:p w14:paraId="6FE0E340" w14:textId="77777777" w:rsidR="00BD2503" w:rsidRPr="00A55535" w:rsidRDefault="00BD2503" w:rsidP="00834859">
            <w:pPr>
              <w:jc w:val="right"/>
              <w:rPr>
                <w:rFonts w:ascii="Arial" w:hAnsi="Arial" w:cs="Arial"/>
                <w:sz w:val="20"/>
              </w:rPr>
            </w:pPr>
            <w:r w:rsidRPr="00A55535">
              <w:rPr>
                <w:rFonts w:ascii="Arial" w:hAnsi="Arial" w:cs="Arial"/>
                <w:sz w:val="20"/>
              </w:rPr>
              <w:t xml:space="preserve">$10 </w:t>
            </w:r>
          </w:p>
        </w:tc>
        <w:tc>
          <w:tcPr>
            <w:tcW w:w="1402" w:type="pct"/>
            <w:tcBorders>
              <w:top w:val="nil"/>
              <w:left w:val="nil"/>
              <w:bottom w:val="nil"/>
              <w:right w:val="nil"/>
            </w:tcBorders>
            <w:shd w:val="clear" w:color="auto" w:fill="auto"/>
            <w:noWrap/>
            <w:vAlign w:val="center"/>
            <w:hideMark/>
          </w:tcPr>
          <w:p w14:paraId="217AF774" w14:textId="5E177A23" w:rsidR="00BD2503" w:rsidRPr="00A55535" w:rsidRDefault="00457590" w:rsidP="00834859">
            <w:pPr>
              <w:jc w:val="right"/>
              <w:rPr>
                <w:rFonts w:ascii="Arial" w:hAnsi="Arial" w:cs="Arial"/>
                <w:sz w:val="20"/>
              </w:rPr>
            </w:pPr>
            <w:r w:rsidRPr="00A55535">
              <w:rPr>
                <w:rFonts w:ascii="Arial" w:hAnsi="Arial" w:cs="Arial"/>
                <w:sz w:val="20"/>
              </w:rPr>
              <w:t>7</w:t>
            </w:r>
          </w:p>
        </w:tc>
        <w:tc>
          <w:tcPr>
            <w:tcW w:w="962" w:type="pct"/>
            <w:tcBorders>
              <w:top w:val="nil"/>
              <w:left w:val="nil"/>
              <w:bottom w:val="nil"/>
              <w:right w:val="nil"/>
            </w:tcBorders>
            <w:shd w:val="clear" w:color="auto" w:fill="auto"/>
            <w:noWrap/>
            <w:vAlign w:val="center"/>
            <w:hideMark/>
          </w:tcPr>
          <w:p w14:paraId="0573D185" w14:textId="532B7EC5" w:rsidR="00BD2503" w:rsidRPr="00A55535" w:rsidRDefault="00457590" w:rsidP="00834859">
            <w:pPr>
              <w:jc w:val="right"/>
              <w:rPr>
                <w:rFonts w:ascii="Arial" w:hAnsi="Arial" w:cs="Arial"/>
                <w:sz w:val="20"/>
              </w:rPr>
            </w:pPr>
            <w:r w:rsidRPr="00A55535">
              <w:rPr>
                <w:rFonts w:ascii="Arial" w:hAnsi="Arial" w:cs="Arial"/>
                <w:sz w:val="20"/>
              </w:rPr>
              <w:t>1</w:t>
            </w:r>
          </w:p>
        </w:tc>
        <w:tc>
          <w:tcPr>
            <w:tcW w:w="837" w:type="pct"/>
            <w:tcBorders>
              <w:top w:val="nil"/>
              <w:left w:val="nil"/>
              <w:bottom w:val="nil"/>
              <w:right w:val="nil"/>
            </w:tcBorders>
            <w:shd w:val="clear" w:color="auto" w:fill="auto"/>
            <w:noWrap/>
            <w:vAlign w:val="bottom"/>
            <w:hideMark/>
          </w:tcPr>
          <w:p w14:paraId="47398D85" w14:textId="77777777" w:rsidR="00BD2503" w:rsidRPr="00A55535" w:rsidRDefault="00BD2503" w:rsidP="00834859">
            <w:pPr>
              <w:jc w:val="right"/>
              <w:rPr>
                <w:rFonts w:ascii="Arial" w:hAnsi="Arial" w:cs="Arial"/>
                <w:sz w:val="20"/>
              </w:rPr>
            </w:pPr>
            <w:r w:rsidRPr="00A55535">
              <w:rPr>
                <w:rFonts w:ascii="Arial" w:hAnsi="Arial" w:cs="Arial"/>
                <w:sz w:val="20"/>
              </w:rPr>
              <w:t>6</w:t>
            </w:r>
          </w:p>
        </w:tc>
        <w:tc>
          <w:tcPr>
            <w:tcW w:w="899" w:type="pct"/>
            <w:tcBorders>
              <w:top w:val="nil"/>
              <w:left w:val="nil"/>
              <w:bottom w:val="nil"/>
              <w:right w:val="nil"/>
            </w:tcBorders>
            <w:shd w:val="clear" w:color="auto" w:fill="auto"/>
            <w:noWrap/>
            <w:vAlign w:val="bottom"/>
            <w:hideMark/>
          </w:tcPr>
          <w:p w14:paraId="05F6F59F" w14:textId="060C3F94" w:rsidR="00BD2503" w:rsidRPr="00A55535" w:rsidRDefault="00457590" w:rsidP="00834859">
            <w:pPr>
              <w:jc w:val="right"/>
              <w:rPr>
                <w:rFonts w:ascii="Arial" w:hAnsi="Arial" w:cs="Arial"/>
                <w:sz w:val="20"/>
              </w:rPr>
            </w:pPr>
            <w:r w:rsidRPr="00A55535">
              <w:rPr>
                <w:rFonts w:ascii="Arial" w:hAnsi="Arial" w:cs="Arial"/>
                <w:sz w:val="20"/>
              </w:rPr>
              <w:t>14.3</w:t>
            </w:r>
          </w:p>
        </w:tc>
      </w:tr>
      <w:tr w:rsidR="00A55535" w:rsidRPr="00A55535" w14:paraId="6BC16EE5" w14:textId="77777777" w:rsidTr="00834859">
        <w:trPr>
          <w:trHeight w:val="300"/>
        </w:trPr>
        <w:tc>
          <w:tcPr>
            <w:tcW w:w="900" w:type="pct"/>
            <w:tcBorders>
              <w:top w:val="nil"/>
              <w:left w:val="nil"/>
              <w:bottom w:val="nil"/>
              <w:right w:val="nil"/>
            </w:tcBorders>
            <w:shd w:val="clear" w:color="auto" w:fill="auto"/>
            <w:noWrap/>
            <w:vAlign w:val="center"/>
            <w:hideMark/>
          </w:tcPr>
          <w:p w14:paraId="2F1B4A1F" w14:textId="77777777" w:rsidR="00BD2503" w:rsidRPr="00A55535" w:rsidRDefault="00BD2503" w:rsidP="00834859">
            <w:pPr>
              <w:jc w:val="right"/>
              <w:rPr>
                <w:rFonts w:ascii="Arial" w:hAnsi="Arial" w:cs="Arial"/>
                <w:sz w:val="20"/>
              </w:rPr>
            </w:pPr>
            <w:r w:rsidRPr="00A55535">
              <w:rPr>
                <w:rFonts w:ascii="Arial" w:hAnsi="Arial" w:cs="Arial"/>
                <w:sz w:val="20"/>
              </w:rPr>
              <w:t xml:space="preserve">$20 </w:t>
            </w:r>
          </w:p>
        </w:tc>
        <w:tc>
          <w:tcPr>
            <w:tcW w:w="1402" w:type="pct"/>
            <w:tcBorders>
              <w:top w:val="nil"/>
              <w:left w:val="nil"/>
              <w:bottom w:val="nil"/>
              <w:right w:val="nil"/>
            </w:tcBorders>
            <w:shd w:val="clear" w:color="auto" w:fill="auto"/>
            <w:noWrap/>
            <w:vAlign w:val="center"/>
            <w:hideMark/>
          </w:tcPr>
          <w:p w14:paraId="44F7423B" w14:textId="5C91B213" w:rsidR="00BD2503" w:rsidRPr="00A55535" w:rsidRDefault="00457590" w:rsidP="00834859">
            <w:pPr>
              <w:jc w:val="right"/>
              <w:rPr>
                <w:rFonts w:ascii="Arial" w:hAnsi="Arial" w:cs="Arial"/>
                <w:sz w:val="20"/>
              </w:rPr>
            </w:pPr>
            <w:r w:rsidRPr="00A55535">
              <w:rPr>
                <w:rFonts w:ascii="Arial" w:hAnsi="Arial" w:cs="Arial"/>
                <w:sz w:val="20"/>
              </w:rPr>
              <w:t>6</w:t>
            </w:r>
          </w:p>
        </w:tc>
        <w:tc>
          <w:tcPr>
            <w:tcW w:w="962" w:type="pct"/>
            <w:tcBorders>
              <w:top w:val="nil"/>
              <w:left w:val="nil"/>
              <w:bottom w:val="nil"/>
              <w:right w:val="nil"/>
            </w:tcBorders>
            <w:shd w:val="clear" w:color="auto" w:fill="auto"/>
            <w:noWrap/>
            <w:vAlign w:val="center"/>
            <w:hideMark/>
          </w:tcPr>
          <w:p w14:paraId="5CB4A966" w14:textId="2F7070D3" w:rsidR="00BD2503" w:rsidRPr="00A55535" w:rsidRDefault="00457590" w:rsidP="00834859">
            <w:pPr>
              <w:jc w:val="right"/>
              <w:rPr>
                <w:rFonts w:ascii="Arial" w:hAnsi="Arial" w:cs="Arial"/>
                <w:sz w:val="20"/>
              </w:rPr>
            </w:pPr>
            <w:r w:rsidRPr="00A55535">
              <w:rPr>
                <w:rFonts w:ascii="Arial" w:hAnsi="Arial" w:cs="Arial"/>
                <w:sz w:val="20"/>
              </w:rPr>
              <w:t>1</w:t>
            </w:r>
          </w:p>
        </w:tc>
        <w:tc>
          <w:tcPr>
            <w:tcW w:w="837" w:type="pct"/>
            <w:tcBorders>
              <w:top w:val="nil"/>
              <w:left w:val="nil"/>
              <w:bottom w:val="nil"/>
              <w:right w:val="nil"/>
            </w:tcBorders>
            <w:shd w:val="clear" w:color="auto" w:fill="auto"/>
            <w:noWrap/>
            <w:vAlign w:val="bottom"/>
            <w:hideMark/>
          </w:tcPr>
          <w:p w14:paraId="19D39156" w14:textId="1F223167" w:rsidR="00BD2503" w:rsidRPr="00A55535" w:rsidRDefault="00457590" w:rsidP="00834859">
            <w:pPr>
              <w:jc w:val="right"/>
              <w:rPr>
                <w:rFonts w:ascii="Arial" w:hAnsi="Arial" w:cs="Arial"/>
                <w:sz w:val="20"/>
              </w:rPr>
            </w:pPr>
            <w:r w:rsidRPr="00A55535">
              <w:rPr>
                <w:rFonts w:ascii="Arial" w:hAnsi="Arial" w:cs="Arial"/>
                <w:sz w:val="20"/>
              </w:rPr>
              <w:t>5</w:t>
            </w:r>
          </w:p>
        </w:tc>
        <w:tc>
          <w:tcPr>
            <w:tcW w:w="899" w:type="pct"/>
            <w:tcBorders>
              <w:top w:val="nil"/>
              <w:left w:val="nil"/>
              <w:bottom w:val="nil"/>
              <w:right w:val="nil"/>
            </w:tcBorders>
            <w:shd w:val="clear" w:color="auto" w:fill="auto"/>
            <w:noWrap/>
            <w:vAlign w:val="bottom"/>
            <w:hideMark/>
          </w:tcPr>
          <w:p w14:paraId="647B5D91" w14:textId="1EEFD63A" w:rsidR="00BD2503" w:rsidRPr="00A55535" w:rsidRDefault="00457590" w:rsidP="00834859">
            <w:pPr>
              <w:jc w:val="right"/>
              <w:rPr>
                <w:rFonts w:ascii="Arial" w:hAnsi="Arial" w:cs="Arial"/>
                <w:sz w:val="20"/>
              </w:rPr>
            </w:pPr>
            <w:r w:rsidRPr="00A55535">
              <w:rPr>
                <w:rFonts w:ascii="Arial" w:hAnsi="Arial" w:cs="Arial"/>
                <w:sz w:val="20"/>
              </w:rPr>
              <w:t>16.7</w:t>
            </w:r>
          </w:p>
        </w:tc>
      </w:tr>
      <w:tr w:rsidR="00A55535" w:rsidRPr="00A55535" w14:paraId="1CE6F6CE" w14:textId="77777777" w:rsidTr="00235CA6">
        <w:trPr>
          <w:trHeight w:val="144"/>
        </w:trPr>
        <w:tc>
          <w:tcPr>
            <w:tcW w:w="900" w:type="pct"/>
            <w:tcBorders>
              <w:top w:val="nil"/>
              <w:left w:val="nil"/>
              <w:bottom w:val="nil"/>
              <w:right w:val="nil"/>
            </w:tcBorders>
            <w:shd w:val="clear" w:color="auto" w:fill="auto"/>
            <w:noWrap/>
            <w:vAlign w:val="bottom"/>
            <w:hideMark/>
          </w:tcPr>
          <w:p w14:paraId="76C8449E" w14:textId="77777777" w:rsidR="00BD2503" w:rsidRPr="00A55535" w:rsidRDefault="00BD2503" w:rsidP="00834859">
            <w:pPr>
              <w:jc w:val="right"/>
              <w:rPr>
                <w:rFonts w:ascii="Arial" w:hAnsi="Arial" w:cs="Arial"/>
                <w:sz w:val="20"/>
              </w:rPr>
            </w:pPr>
          </w:p>
        </w:tc>
        <w:tc>
          <w:tcPr>
            <w:tcW w:w="1402" w:type="pct"/>
            <w:tcBorders>
              <w:top w:val="nil"/>
              <w:left w:val="nil"/>
              <w:bottom w:val="nil"/>
              <w:right w:val="nil"/>
            </w:tcBorders>
            <w:shd w:val="clear" w:color="auto" w:fill="auto"/>
            <w:noWrap/>
            <w:vAlign w:val="bottom"/>
            <w:hideMark/>
          </w:tcPr>
          <w:p w14:paraId="7BFD644B" w14:textId="77777777" w:rsidR="00BD2503" w:rsidRPr="00A55535" w:rsidRDefault="00BD2503" w:rsidP="00834859">
            <w:pPr>
              <w:rPr>
                <w:rFonts w:ascii="Arial" w:hAnsi="Arial" w:cs="Arial"/>
                <w:sz w:val="20"/>
                <w:szCs w:val="20"/>
              </w:rPr>
            </w:pPr>
          </w:p>
        </w:tc>
        <w:tc>
          <w:tcPr>
            <w:tcW w:w="962" w:type="pct"/>
            <w:tcBorders>
              <w:top w:val="nil"/>
              <w:left w:val="nil"/>
              <w:bottom w:val="nil"/>
              <w:right w:val="nil"/>
            </w:tcBorders>
            <w:shd w:val="clear" w:color="auto" w:fill="auto"/>
            <w:noWrap/>
            <w:vAlign w:val="bottom"/>
            <w:hideMark/>
          </w:tcPr>
          <w:p w14:paraId="42FD9E09" w14:textId="77777777" w:rsidR="00BD2503" w:rsidRPr="00A55535" w:rsidRDefault="00BD2503" w:rsidP="00834859">
            <w:pPr>
              <w:rPr>
                <w:rFonts w:ascii="Arial" w:hAnsi="Arial" w:cs="Arial"/>
                <w:sz w:val="20"/>
                <w:szCs w:val="20"/>
              </w:rPr>
            </w:pPr>
          </w:p>
        </w:tc>
        <w:tc>
          <w:tcPr>
            <w:tcW w:w="837" w:type="pct"/>
            <w:tcBorders>
              <w:top w:val="nil"/>
              <w:left w:val="nil"/>
              <w:bottom w:val="nil"/>
              <w:right w:val="nil"/>
            </w:tcBorders>
            <w:shd w:val="clear" w:color="auto" w:fill="auto"/>
            <w:noWrap/>
            <w:vAlign w:val="bottom"/>
            <w:hideMark/>
          </w:tcPr>
          <w:p w14:paraId="16A4A4CD" w14:textId="77777777" w:rsidR="00BD2503" w:rsidRPr="00A55535"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455304AB" w14:textId="77777777" w:rsidR="00BD2503" w:rsidRPr="00A55535" w:rsidRDefault="00BD2503" w:rsidP="00834859">
            <w:pPr>
              <w:rPr>
                <w:rFonts w:ascii="Arial" w:hAnsi="Arial" w:cs="Arial"/>
                <w:sz w:val="20"/>
                <w:szCs w:val="20"/>
              </w:rPr>
            </w:pPr>
          </w:p>
        </w:tc>
      </w:tr>
      <w:tr w:rsidR="00A55535" w:rsidRPr="00A55535" w14:paraId="04199772" w14:textId="77777777" w:rsidTr="00834859">
        <w:trPr>
          <w:trHeight w:val="315"/>
        </w:trPr>
        <w:tc>
          <w:tcPr>
            <w:tcW w:w="900" w:type="pct"/>
            <w:tcBorders>
              <w:top w:val="nil"/>
              <w:left w:val="nil"/>
              <w:bottom w:val="single" w:sz="12" w:space="0" w:color="auto"/>
              <w:right w:val="nil"/>
            </w:tcBorders>
            <w:shd w:val="clear" w:color="auto" w:fill="auto"/>
            <w:noWrap/>
            <w:vAlign w:val="center"/>
            <w:hideMark/>
          </w:tcPr>
          <w:p w14:paraId="6396F8C7" w14:textId="77777777" w:rsidR="00BD2503" w:rsidRPr="00A55535" w:rsidRDefault="00BD2503" w:rsidP="00834859">
            <w:pPr>
              <w:rPr>
                <w:rFonts w:ascii="Arial" w:hAnsi="Arial" w:cs="Arial"/>
                <w:sz w:val="20"/>
              </w:rPr>
            </w:pPr>
            <w:r w:rsidRPr="00A55535">
              <w:rPr>
                <w:rFonts w:ascii="Arial" w:hAnsi="Arial" w:cs="Arial"/>
                <w:sz w:val="20"/>
              </w:rPr>
              <w:t>Total</w:t>
            </w:r>
          </w:p>
        </w:tc>
        <w:tc>
          <w:tcPr>
            <w:tcW w:w="1402" w:type="pct"/>
            <w:tcBorders>
              <w:top w:val="nil"/>
              <w:left w:val="nil"/>
              <w:bottom w:val="single" w:sz="12" w:space="0" w:color="auto"/>
              <w:right w:val="nil"/>
            </w:tcBorders>
            <w:shd w:val="clear" w:color="auto" w:fill="auto"/>
            <w:noWrap/>
            <w:vAlign w:val="center"/>
            <w:hideMark/>
          </w:tcPr>
          <w:p w14:paraId="31D2D01F" w14:textId="110AD0FA" w:rsidR="00BD2503" w:rsidRPr="00A55535" w:rsidRDefault="00457590" w:rsidP="00834859">
            <w:pPr>
              <w:jc w:val="right"/>
              <w:rPr>
                <w:rFonts w:ascii="Arial" w:hAnsi="Arial" w:cs="Arial"/>
                <w:sz w:val="20"/>
              </w:rPr>
            </w:pPr>
            <w:r w:rsidRPr="00A55535">
              <w:rPr>
                <w:rFonts w:ascii="Arial" w:hAnsi="Arial" w:cs="Arial"/>
                <w:sz w:val="20"/>
              </w:rPr>
              <w:t>13</w:t>
            </w:r>
          </w:p>
        </w:tc>
        <w:tc>
          <w:tcPr>
            <w:tcW w:w="962" w:type="pct"/>
            <w:tcBorders>
              <w:top w:val="nil"/>
              <w:left w:val="nil"/>
              <w:bottom w:val="single" w:sz="12" w:space="0" w:color="auto"/>
              <w:right w:val="nil"/>
            </w:tcBorders>
            <w:shd w:val="clear" w:color="auto" w:fill="auto"/>
            <w:noWrap/>
            <w:vAlign w:val="center"/>
            <w:hideMark/>
          </w:tcPr>
          <w:p w14:paraId="7F870954" w14:textId="640CB298" w:rsidR="00BD2503" w:rsidRPr="00A55535" w:rsidRDefault="00457590" w:rsidP="00834859">
            <w:pPr>
              <w:jc w:val="right"/>
              <w:rPr>
                <w:rFonts w:ascii="Arial" w:hAnsi="Arial" w:cs="Arial"/>
                <w:sz w:val="20"/>
              </w:rPr>
            </w:pPr>
            <w:r w:rsidRPr="00A55535">
              <w:rPr>
                <w:rFonts w:ascii="Arial" w:hAnsi="Arial" w:cs="Arial"/>
                <w:sz w:val="20"/>
              </w:rPr>
              <w:t>2</w:t>
            </w:r>
          </w:p>
        </w:tc>
        <w:tc>
          <w:tcPr>
            <w:tcW w:w="837" w:type="pct"/>
            <w:tcBorders>
              <w:top w:val="nil"/>
              <w:left w:val="nil"/>
              <w:bottom w:val="single" w:sz="12" w:space="0" w:color="auto"/>
              <w:right w:val="nil"/>
            </w:tcBorders>
            <w:shd w:val="clear" w:color="auto" w:fill="auto"/>
            <w:noWrap/>
            <w:vAlign w:val="center"/>
            <w:hideMark/>
          </w:tcPr>
          <w:p w14:paraId="7A7DD412" w14:textId="63057881" w:rsidR="00BD2503" w:rsidRPr="00A55535" w:rsidRDefault="00457590" w:rsidP="00834859">
            <w:pPr>
              <w:jc w:val="right"/>
              <w:rPr>
                <w:rFonts w:ascii="Arial" w:hAnsi="Arial" w:cs="Arial"/>
                <w:sz w:val="20"/>
              </w:rPr>
            </w:pPr>
            <w:r w:rsidRPr="00A55535">
              <w:rPr>
                <w:rFonts w:ascii="Arial" w:hAnsi="Arial" w:cs="Arial"/>
                <w:sz w:val="20"/>
              </w:rPr>
              <w:t>11</w:t>
            </w:r>
          </w:p>
        </w:tc>
        <w:tc>
          <w:tcPr>
            <w:tcW w:w="899" w:type="pct"/>
            <w:tcBorders>
              <w:top w:val="nil"/>
              <w:left w:val="nil"/>
              <w:bottom w:val="single" w:sz="12" w:space="0" w:color="auto"/>
              <w:right w:val="nil"/>
            </w:tcBorders>
            <w:shd w:val="clear" w:color="auto" w:fill="auto"/>
            <w:noWrap/>
            <w:vAlign w:val="center"/>
            <w:hideMark/>
          </w:tcPr>
          <w:p w14:paraId="483DC0C8" w14:textId="00D1B18E" w:rsidR="00BD2503" w:rsidRPr="00A55535" w:rsidRDefault="00457590" w:rsidP="00834859">
            <w:pPr>
              <w:jc w:val="right"/>
              <w:rPr>
                <w:rFonts w:ascii="Arial" w:hAnsi="Arial" w:cs="Arial"/>
                <w:sz w:val="20"/>
              </w:rPr>
            </w:pPr>
            <w:r w:rsidRPr="00A55535">
              <w:rPr>
                <w:rFonts w:ascii="Arial" w:hAnsi="Arial" w:cs="Arial"/>
                <w:sz w:val="20"/>
              </w:rPr>
              <w:t>15.4</w:t>
            </w:r>
          </w:p>
        </w:tc>
      </w:tr>
    </w:tbl>
    <w:p w14:paraId="64D39B45" w14:textId="77777777" w:rsidR="00BD2503" w:rsidRPr="00A55535" w:rsidRDefault="00BD2503" w:rsidP="00BD2503">
      <w:pPr>
        <w:rPr>
          <w:rFonts w:ascii="Arial" w:hAnsi="Arial" w:cs="Arial"/>
          <w:sz w:val="18"/>
        </w:rPr>
      </w:pPr>
      <w:r w:rsidRPr="00A55535">
        <w:rPr>
          <w:rFonts w:ascii="Arial" w:hAnsi="Arial" w:cs="Arial"/>
          <w:sz w:val="18"/>
        </w:rPr>
        <w:t xml:space="preserve">NOTE: Excludes partially completed cases. </w:t>
      </w:r>
      <w:r w:rsidRPr="00A55535">
        <w:rPr>
          <w:rFonts w:ascii="Arial" w:hAnsi="Arial" w:cs="Arial"/>
          <w:sz w:val="18"/>
        </w:rPr>
        <w:br/>
        <w:t>SOURCE: U.S. Department of Education, National Center for Education Statistics. High School Longitudinal Study of 2009 (HSLS:09) Second Follow-up Main Study.</w:t>
      </w:r>
    </w:p>
    <w:p w14:paraId="24F8A260" w14:textId="77777777" w:rsidR="00BD2503" w:rsidRPr="00B613DB" w:rsidRDefault="00BD2503" w:rsidP="00BD2503">
      <w:pPr>
        <w:rPr>
          <w:rFonts w:ascii="Garamond" w:hAnsi="Garamond"/>
          <w:b/>
          <w:i/>
          <w:color w:val="0070C0"/>
        </w:rPr>
      </w:pPr>
    </w:p>
    <w:p w14:paraId="7179FD76" w14:textId="0BDED17D" w:rsidR="00BD2503" w:rsidRPr="00310D00" w:rsidRDefault="00BD2503" w:rsidP="00BD2503">
      <w:r w:rsidRPr="00310D00">
        <w:rPr>
          <w:b/>
          <w:i/>
        </w:rPr>
        <w:t xml:space="preserve">Subgroup C (All Other High School Completers and Unknown Cases). </w:t>
      </w:r>
      <w:r w:rsidRPr="00310D00">
        <w:t xml:space="preserve">Exhibit 3 displays Subgroup C response rates during phase </w:t>
      </w:r>
      <w:r w:rsidR="00543E99" w:rsidRPr="00310D00">
        <w:t>4</w:t>
      </w:r>
      <w:r w:rsidRPr="00310D00">
        <w:t xml:space="preserve"> by incentive level</w:t>
      </w:r>
      <w:r w:rsidR="00977F6A" w:rsidRPr="00310D00">
        <w:t xml:space="preserve">, among the </w:t>
      </w:r>
      <w:r w:rsidR="00A20C61" w:rsidRPr="00310D00">
        <w:t>573</w:t>
      </w:r>
      <w:r w:rsidR="00977F6A" w:rsidRPr="00310D00">
        <w:t xml:space="preserve"> cases selected for an incentive boost based on the </w:t>
      </w:r>
      <w:r w:rsidR="00531C04" w:rsidRPr="00310D00">
        <w:t>bias-likelihood model</w:t>
      </w:r>
      <w:r w:rsidRPr="00310D00">
        <w:t xml:space="preserve">. </w:t>
      </w:r>
      <w:r w:rsidR="002D2609">
        <w:t xml:space="preserve">(Another 420 Subgroup C cases were not targeted for a phase 4 incentive boost.) </w:t>
      </w:r>
      <w:r w:rsidRPr="00310D00">
        <w:t xml:space="preserve">No significant difference </w:t>
      </w:r>
      <w:r w:rsidR="00A20C61" w:rsidRPr="00310D00">
        <w:t>was detected between the phase 4</w:t>
      </w:r>
      <w:r w:rsidRPr="00310D00">
        <w:t xml:space="preserve"> response rates of sample members offered $10 (</w:t>
      </w:r>
      <w:r w:rsidR="00A20C61" w:rsidRPr="00310D00">
        <w:t>6</w:t>
      </w:r>
      <w:r w:rsidRPr="00310D00">
        <w:t>.0 percent) and $20 (</w:t>
      </w:r>
      <w:r w:rsidR="00A20C61" w:rsidRPr="00310D00">
        <w:t>6.</w:t>
      </w:r>
      <w:r w:rsidR="00BA1CB4">
        <w:t>6</w:t>
      </w:r>
      <w:r w:rsidR="00310D00" w:rsidRPr="00310D00">
        <w:t xml:space="preserve"> percent) boost 2</w:t>
      </w:r>
      <w:r w:rsidRPr="00310D00">
        <w:t xml:space="preserve"> (</w:t>
      </w:r>
      <w:r w:rsidRPr="00310D00">
        <w:rPr>
          <w:i/>
        </w:rPr>
        <w:t>χ</w:t>
      </w:r>
      <w:r w:rsidRPr="00310D00">
        <w:rPr>
          <w:i/>
          <w:vertAlign w:val="superscript"/>
        </w:rPr>
        <w:t xml:space="preserve">2 </w:t>
      </w:r>
      <w:r w:rsidRPr="00310D00">
        <w:t xml:space="preserve">(1, </w:t>
      </w:r>
      <w:r w:rsidRPr="00310D00">
        <w:rPr>
          <w:i/>
        </w:rPr>
        <w:t>N</w:t>
      </w:r>
      <w:r w:rsidRPr="00310D00">
        <w:t xml:space="preserve"> = </w:t>
      </w:r>
      <w:r w:rsidR="00310D00" w:rsidRPr="00310D00">
        <w:t>573) = 0.</w:t>
      </w:r>
      <w:r w:rsidR="00353DD7">
        <w:t>10</w:t>
      </w:r>
      <w:r w:rsidRPr="00310D00">
        <w:t xml:space="preserve">, </w:t>
      </w:r>
      <w:r w:rsidRPr="00310D00">
        <w:rPr>
          <w:i/>
        </w:rPr>
        <w:t>p</w:t>
      </w:r>
      <w:r w:rsidR="00310D00" w:rsidRPr="00310D00">
        <w:t xml:space="preserve"> = .</w:t>
      </w:r>
      <w:r w:rsidR="00353DD7">
        <w:t>76</w:t>
      </w:r>
      <w:r w:rsidRPr="00310D00">
        <w:t>)</w:t>
      </w:r>
      <w:r w:rsidR="00A20C61" w:rsidRPr="00310D00">
        <w:t>. As such we recommend a boost 2</w:t>
      </w:r>
      <w:r w:rsidRPr="00310D00">
        <w:t xml:space="preserve"> of $10 be offered to all cases in the Subgroup C main sample</w:t>
      </w:r>
      <w:r w:rsidR="002D2609">
        <w:t xml:space="preserve"> that are targeted for intervention by the bias-likelihood model</w:t>
      </w:r>
      <w:r w:rsidRPr="00310D00">
        <w:t>.</w:t>
      </w:r>
    </w:p>
    <w:p w14:paraId="6E7AA29B" w14:textId="77777777" w:rsidR="00856A8B" w:rsidRPr="00235CA6" w:rsidRDefault="00856A8B" w:rsidP="00BD2503">
      <w:pPr>
        <w:rPr>
          <w:b/>
          <w:sz w:val="14"/>
          <w:szCs w:val="14"/>
        </w:rPr>
      </w:pPr>
    </w:p>
    <w:p w14:paraId="6FFD87BC" w14:textId="03C73FFF" w:rsidR="00BD2503" w:rsidRPr="00310D00" w:rsidRDefault="00BD2503" w:rsidP="00BD2503">
      <w:pPr>
        <w:rPr>
          <w:rFonts w:ascii="Arial" w:hAnsi="Arial" w:cs="Arial"/>
          <w:b/>
          <w:sz w:val="18"/>
        </w:rPr>
      </w:pPr>
      <w:r w:rsidRPr="00310D00">
        <w:rPr>
          <w:rFonts w:ascii="Arial" w:hAnsi="Arial" w:cs="Arial"/>
          <w:b/>
          <w:sz w:val="18"/>
        </w:rPr>
        <w:t>Exhibit 3. Subg</w:t>
      </w:r>
      <w:r w:rsidR="00C719D7" w:rsidRPr="00310D00">
        <w:rPr>
          <w:rFonts w:ascii="Arial" w:hAnsi="Arial" w:cs="Arial"/>
          <w:b/>
          <w:sz w:val="18"/>
        </w:rPr>
        <w:t>roup C response rates in phase 4, by boost 2</w:t>
      </w:r>
      <w:r w:rsidRPr="00310D00">
        <w:rPr>
          <w:rFonts w:ascii="Arial" w:hAnsi="Arial" w:cs="Arial"/>
          <w:b/>
          <w:sz w:val="18"/>
        </w:rPr>
        <w:t xml:space="preserve"> incentive amount</w:t>
      </w:r>
    </w:p>
    <w:tbl>
      <w:tblPr>
        <w:tblW w:w="5000" w:type="pct"/>
        <w:tblLook w:val="04A0" w:firstRow="1" w:lastRow="0" w:firstColumn="1" w:lastColumn="0" w:noHBand="0" w:noVBand="1"/>
      </w:tblPr>
      <w:tblGrid>
        <w:gridCol w:w="1905"/>
        <w:gridCol w:w="2968"/>
        <w:gridCol w:w="1816"/>
        <w:gridCol w:w="1992"/>
        <w:gridCol w:w="1903"/>
      </w:tblGrid>
      <w:tr w:rsidR="00310D00" w:rsidRPr="00310D00" w14:paraId="06298D88" w14:textId="77777777" w:rsidTr="00834859">
        <w:trPr>
          <w:trHeight w:val="630"/>
        </w:trPr>
        <w:tc>
          <w:tcPr>
            <w:tcW w:w="900" w:type="pct"/>
            <w:tcBorders>
              <w:top w:val="single" w:sz="12" w:space="0" w:color="auto"/>
              <w:left w:val="nil"/>
              <w:bottom w:val="nil"/>
              <w:right w:val="nil"/>
            </w:tcBorders>
            <w:shd w:val="clear" w:color="auto" w:fill="auto"/>
            <w:vAlign w:val="center"/>
            <w:hideMark/>
          </w:tcPr>
          <w:p w14:paraId="6C4D187A" w14:textId="5CACFD12" w:rsidR="00C719D7" w:rsidRPr="00310D00" w:rsidRDefault="00C719D7" w:rsidP="00C719D7">
            <w:pPr>
              <w:jc w:val="right"/>
              <w:rPr>
                <w:rFonts w:ascii="Arial" w:hAnsi="Arial" w:cs="Arial"/>
                <w:sz w:val="20"/>
              </w:rPr>
            </w:pPr>
            <w:r w:rsidRPr="00310D00">
              <w:rPr>
                <w:rFonts w:ascii="Arial" w:hAnsi="Arial" w:cs="Arial"/>
                <w:sz w:val="20"/>
              </w:rPr>
              <w:t>Boost 2</w:t>
            </w:r>
          </w:p>
        </w:tc>
        <w:tc>
          <w:tcPr>
            <w:tcW w:w="1402" w:type="pct"/>
            <w:tcBorders>
              <w:top w:val="single" w:sz="12" w:space="0" w:color="auto"/>
              <w:left w:val="nil"/>
              <w:bottom w:val="nil"/>
              <w:right w:val="nil"/>
            </w:tcBorders>
            <w:shd w:val="clear" w:color="auto" w:fill="auto"/>
            <w:vAlign w:val="center"/>
            <w:hideMark/>
          </w:tcPr>
          <w:p w14:paraId="64B0F0C9" w14:textId="00636B07" w:rsidR="00C719D7" w:rsidRPr="00310D00" w:rsidRDefault="00C719D7" w:rsidP="00C719D7">
            <w:pPr>
              <w:jc w:val="right"/>
              <w:rPr>
                <w:rFonts w:ascii="Arial" w:hAnsi="Arial" w:cs="Arial"/>
                <w:sz w:val="20"/>
              </w:rPr>
            </w:pPr>
            <w:r w:rsidRPr="00310D00">
              <w:rPr>
                <w:rFonts w:ascii="Arial" w:hAnsi="Arial" w:cs="Arial"/>
                <w:sz w:val="20"/>
              </w:rPr>
              <w:t>Sample members</w:t>
            </w:r>
            <w:r w:rsidRPr="00310D00">
              <w:rPr>
                <w:rFonts w:ascii="Arial" w:hAnsi="Arial" w:cs="Arial"/>
                <w:sz w:val="20"/>
              </w:rPr>
              <w:br/>
              <w:t>(n)</w:t>
            </w:r>
          </w:p>
        </w:tc>
        <w:tc>
          <w:tcPr>
            <w:tcW w:w="1799" w:type="pct"/>
            <w:gridSpan w:val="2"/>
            <w:tcBorders>
              <w:top w:val="single" w:sz="12" w:space="0" w:color="auto"/>
              <w:left w:val="nil"/>
              <w:bottom w:val="single" w:sz="8" w:space="0" w:color="auto"/>
              <w:right w:val="nil"/>
            </w:tcBorders>
            <w:shd w:val="clear" w:color="auto" w:fill="auto"/>
            <w:vAlign w:val="center"/>
            <w:hideMark/>
          </w:tcPr>
          <w:p w14:paraId="73124195" w14:textId="04CDBB25" w:rsidR="00C719D7" w:rsidRPr="00310D00" w:rsidRDefault="00C719D7" w:rsidP="00C719D7">
            <w:pPr>
              <w:jc w:val="center"/>
              <w:rPr>
                <w:rFonts w:ascii="Arial" w:hAnsi="Arial" w:cs="Arial"/>
                <w:sz w:val="20"/>
              </w:rPr>
            </w:pPr>
            <w:r w:rsidRPr="00310D00">
              <w:rPr>
                <w:rFonts w:ascii="Arial" w:hAnsi="Arial" w:cs="Arial"/>
                <w:sz w:val="20"/>
              </w:rPr>
              <w:t>Boost 2 response</w:t>
            </w:r>
          </w:p>
        </w:tc>
        <w:tc>
          <w:tcPr>
            <w:tcW w:w="899" w:type="pct"/>
            <w:tcBorders>
              <w:top w:val="single" w:sz="12" w:space="0" w:color="auto"/>
              <w:left w:val="nil"/>
              <w:bottom w:val="nil"/>
              <w:right w:val="nil"/>
            </w:tcBorders>
            <w:shd w:val="clear" w:color="auto" w:fill="auto"/>
            <w:vAlign w:val="center"/>
            <w:hideMark/>
          </w:tcPr>
          <w:p w14:paraId="1E6AE6EB" w14:textId="55610F21" w:rsidR="00C719D7" w:rsidRPr="00310D00" w:rsidRDefault="00C719D7" w:rsidP="00C719D7">
            <w:pPr>
              <w:jc w:val="right"/>
              <w:rPr>
                <w:rFonts w:ascii="Arial" w:hAnsi="Arial" w:cs="Arial"/>
                <w:sz w:val="20"/>
              </w:rPr>
            </w:pPr>
            <w:r w:rsidRPr="00310D00">
              <w:rPr>
                <w:rFonts w:ascii="Arial" w:hAnsi="Arial" w:cs="Arial"/>
                <w:sz w:val="20"/>
              </w:rPr>
              <w:t>Boost 2 response rate (%)</w:t>
            </w:r>
          </w:p>
        </w:tc>
      </w:tr>
      <w:tr w:rsidR="00310D00" w:rsidRPr="00310D00" w14:paraId="1D9D4C81" w14:textId="77777777" w:rsidTr="00834859">
        <w:trPr>
          <w:trHeight w:val="315"/>
        </w:trPr>
        <w:tc>
          <w:tcPr>
            <w:tcW w:w="900" w:type="pct"/>
            <w:tcBorders>
              <w:top w:val="nil"/>
              <w:left w:val="nil"/>
              <w:bottom w:val="single" w:sz="8" w:space="0" w:color="auto"/>
              <w:right w:val="nil"/>
            </w:tcBorders>
            <w:shd w:val="clear" w:color="auto" w:fill="auto"/>
            <w:noWrap/>
            <w:vAlign w:val="bottom"/>
            <w:hideMark/>
          </w:tcPr>
          <w:p w14:paraId="03274AD0" w14:textId="77777777" w:rsidR="00BD2503" w:rsidRPr="00310D00" w:rsidRDefault="00BD2503" w:rsidP="00834859">
            <w:pPr>
              <w:rPr>
                <w:rFonts w:ascii="Arial" w:hAnsi="Arial" w:cs="Arial"/>
                <w:sz w:val="20"/>
              </w:rPr>
            </w:pPr>
            <w:r w:rsidRPr="00310D00">
              <w:rPr>
                <w:rFonts w:ascii="Arial" w:hAnsi="Arial" w:cs="Arial"/>
                <w:sz w:val="20"/>
              </w:rPr>
              <w:t> </w:t>
            </w:r>
          </w:p>
        </w:tc>
        <w:tc>
          <w:tcPr>
            <w:tcW w:w="1402" w:type="pct"/>
            <w:tcBorders>
              <w:top w:val="nil"/>
              <w:left w:val="nil"/>
              <w:bottom w:val="single" w:sz="8" w:space="0" w:color="auto"/>
              <w:right w:val="nil"/>
            </w:tcBorders>
            <w:shd w:val="clear" w:color="auto" w:fill="auto"/>
            <w:noWrap/>
            <w:vAlign w:val="bottom"/>
            <w:hideMark/>
          </w:tcPr>
          <w:p w14:paraId="156DCE14" w14:textId="77777777" w:rsidR="00BD2503" w:rsidRPr="00310D00" w:rsidRDefault="00BD2503" w:rsidP="00834859">
            <w:pPr>
              <w:rPr>
                <w:rFonts w:ascii="Arial" w:hAnsi="Arial" w:cs="Arial"/>
                <w:sz w:val="20"/>
              </w:rPr>
            </w:pPr>
            <w:r w:rsidRPr="00310D00">
              <w:rPr>
                <w:rFonts w:ascii="Arial" w:hAnsi="Arial" w:cs="Arial"/>
                <w:sz w:val="20"/>
              </w:rPr>
              <w:t> </w:t>
            </w:r>
          </w:p>
        </w:tc>
        <w:tc>
          <w:tcPr>
            <w:tcW w:w="858" w:type="pct"/>
            <w:tcBorders>
              <w:top w:val="nil"/>
              <w:left w:val="nil"/>
              <w:bottom w:val="single" w:sz="8" w:space="0" w:color="auto"/>
              <w:right w:val="nil"/>
            </w:tcBorders>
            <w:shd w:val="clear" w:color="auto" w:fill="auto"/>
            <w:noWrap/>
            <w:vAlign w:val="center"/>
            <w:hideMark/>
          </w:tcPr>
          <w:p w14:paraId="308797CE" w14:textId="77777777" w:rsidR="00BD2503" w:rsidRPr="00310D00" w:rsidRDefault="00BD2503" w:rsidP="00834859">
            <w:pPr>
              <w:jc w:val="right"/>
              <w:rPr>
                <w:rFonts w:ascii="Arial" w:hAnsi="Arial" w:cs="Arial"/>
                <w:sz w:val="20"/>
              </w:rPr>
            </w:pPr>
            <w:r w:rsidRPr="00310D00">
              <w:rPr>
                <w:rFonts w:ascii="Arial" w:hAnsi="Arial" w:cs="Arial"/>
                <w:sz w:val="20"/>
              </w:rPr>
              <w:t>Yes</w:t>
            </w:r>
          </w:p>
        </w:tc>
        <w:tc>
          <w:tcPr>
            <w:tcW w:w="941" w:type="pct"/>
            <w:tcBorders>
              <w:top w:val="nil"/>
              <w:left w:val="nil"/>
              <w:bottom w:val="single" w:sz="8" w:space="0" w:color="auto"/>
              <w:right w:val="nil"/>
            </w:tcBorders>
            <w:shd w:val="clear" w:color="auto" w:fill="auto"/>
            <w:noWrap/>
            <w:vAlign w:val="center"/>
            <w:hideMark/>
          </w:tcPr>
          <w:p w14:paraId="5CD78FB4" w14:textId="77777777" w:rsidR="00BD2503" w:rsidRPr="00310D00" w:rsidRDefault="00BD2503" w:rsidP="00834859">
            <w:pPr>
              <w:jc w:val="right"/>
              <w:rPr>
                <w:rFonts w:ascii="Arial" w:hAnsi="Arial" w:cs="Arial"/>
                <w:sz w:val="20"/>
              </w:rPr>
            </w:pPr>
            <w:r w:rsidRPr="00310D00">
              <w:rPr>
                <w:rFonts w:ascii="Arial" w:hAnsi="Arial" w:cs="Arial"/>
                <w:sz w:val="20"/>
              </w:rPr>
              <w:t>No</w:t>
            </w:r>
          </w:p>
        </w:tc>
        <w:tc>
          <w:tcPr>
            <w:tcW w:w="899" w:type="pct"/>
            <w:tcBorders>
              <w:top w:val="nil"/>
              <w:left w:val="nil"/>
              <w:bottom w:val="single" w:sz="8" w:space="0" w:color="auto"/>
              <w:right w:val="nil"/>
            </w:tcBorders>
            <w:shd w:val="clear" w:color="auto" w:fill="auto"/>
            <w:noWrap/>
            <w:vAlign w:val="bottom"/>
            <w:hideMark/>
          </w:tcPr>
          <w:p w14:paraId="54B0CC5F" w14:textId="77777777" w:rsidR="00BD2503" w:rsidRPr="00310D00" w:rsidRDefault="00BD2503" w:rsidP="00834859">
            <w:pPr>
              <w:rPr>
                <w:rFonts w:ascii="Arial" w:hAnsi="Arial" w:cs="Arial"/>
                <w:sz w:val="20"/>
              </w:rPr>
            </w:pPr>
            <w:r w:rsidRPr="00310D00">
              <w:rPr>
                <w:rFonts w:ascii="Arial" w:hAnsi="Arial" w:cs="Arial"/>
                <w:sz w:val="20"/>
              </w:rPr>
              <w:t> </w:t>
            </w:r>
          </w:p>
        </w:tc>
      </w:tr>
      <w:tr w:rsidR="00310D00" w:rsidRPr="00310D00" w14:paraId="75220903" w14:textId="77777777" w:rsidTr="00235CA6">
        <w:trPr>
          <w:trHeight w:val="144"/>
        </w:trPr>
        <w:tc>
          <w:tcPr>
            <w:tcW w:w="900" w:type="pct"/>
            <w:tcBorders>
              <w:top w:val="nil"/>
              <w:left w:val="nil"/>
              <w:bottom w:val="nil"/>
              <w:right w:val="nil"/>
            </w:tcBorders>
            <w:shd w:val="clear" w:color="auto" w:fill="auto"/>
            <w:noWrap/>
            <w:vAlign w:val="bottom"/>
            <w:hideMark/>
          </w:tcPr>
          <w:p w14:paraId="368CAB3C" w14:textId="77777777" w:rsidR="00BD2503" w:rsidRPr="00310D00" w:rsidRDefault="00BD2503" w:rsidP="00834859">
            <w:pPr>
              <w:rPr>
                <w:rFonts w:ascii="Arial" w:hAnsi="Arial" w:cs="Arial"/>
                <w:sz w:val="20"/>
              </w:rPr>
            </w:pPr>
          </w:p>
        </w:tc>
        <w:tc>
          <w:tcPr>
            <w:tcW w:w="1402" w:type="pct"/>
            <w:tcBorders>
              <w:top w:val="nil"/>
              <w:left w:val="nil"/>
              <w:bottom w:val="nil"/>
              <w:right w:val="nil"/>
            </w:tcBorders>
            <w:shd w:val="clear" w:color="auto" w:fill="auto"/>
            <w:noWrap/>
            <w:vAlign w:val="bottom"/>
            <w:hideMark/>
          </w:tcPr>
          <w:p w14:paraId="4D91E361" w14:textId="77777777" w:rsidR="00BD2503" w:rsidRPr="00310D00"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70CCDE1F" w14:textId="77777777" w:rsidR="00BD2503" w:rsidRPr="00310D00"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7E723BF3" w14:textId="77777777" w:rsidR="00BD2503" w:rsidRPr="00310D00"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7F72E0AB" w14:textId="77777777" w:rsidR="00BD2503" w:rsidRPr="00310D00" w:rsidRDefault="00BD2503" w:rsidP="00834859">
            <w:pPr>
              <w:rPr>
                <w:rFonts w:ascii="Arial" w:hAnsi="Arial" w:cs="Arial"/>
                <w:sz w:val="20"/>
                <w:szCs w:val="20"/>
              </w:rPr>
            </w:pPr>
          </w:p>
        </w:tc>
      </w:tr>
      <w:tr w:rsidR="00310D00" w:rsidRPr="00310D00" w14:paraId="1FF5AC8C" w14:textId="77777777" w:rsidTr="00834859">
        <w:trPr>
          <w:trHeight w:val="300"/>
        </w:trPr>
        <w:tc>
          <w:tcPr>
            <w:tcW w:w="900" w:type="pct"/>
            <w:tcBorders>
              <w:top w:val="nil"/>
              <w:left w:val="nil"/>
              <w:bottom w:val="nil"/>
              <w:right w:val="nil"/>
            </w:tcBorders>
            <w:shd w:val="clear" w:color="auto" w:fill="auto"/>
            <w:noWrap/>
            <w:vAlign w:val="center"/>
            <w:hideMark/>
          </w:tcPr>
          <w:p w14:paraId="35C0B2E6" w14:textId="77777777" w:rsidR="00BD2503" w:rsidRPr="00310D00" w:rsidRDefault="00BD2503" w:rsidP="00834859">
            <w:pPr>
              <w:jc w:val="right"/>
              <w:rPr>
                <w:rFonts w:ascii="Arial" w:hAnsi="Arial" w:cs="Arial"/>
                <w:sz w:val="20"/>
              </w:rPr>
            </w:pPr>
            <w:r w:rsidRPr="00310D00">
              <w:rPr>
                <w:rFonts w:ascii="Arial" w:hAnsi="Arial" w:cs="Arial"/>
                <w:sz w:val="20"/>
              </w:rPr>
              <w:t xml:space="preserve">$10 </w:t>
            </w:r>
          </w:p>
        </w:tc>
        <w:tc>
          <w:tcPr>
            <w:tcW w:w="1402" w:type="pct"/>
            <w:tcBorders>
              <w:top w:val="nil"/>
              <w:left w:val="nil"/>
              <w:bottom w:val="nil"/>
              <w:right w:val="nil"/>
            </w:tcBorders>
            <w:shd w:val="clear" w:color="auto" w:fill="auto"/>
            <w:noWrap/>
            <w:vAlign w:val="center"/>
            <w:hideMark/>
          </w:tcPr>
          <w:p w14:paraId="3C9BF04E" w14:textId="795EC8D5" w:rsidR="00BD2503" w:rsidRPr="00310D00" w:rsidRDefault="00A20C61" w:rsidP="00834859">
            <w:pPr>
              <w:jc w:val="right"/>
              <w:rPr>
                <w:rFonts w:ascii="Arial" w:hAnsi="Arial" w:cs="Arial"/>
                <w:sz w:val="20"/>
              </w:rPr>
            </w:pPr>
            <w:r w:rsidRPr="00310D00">
              <w:rPr>
                <w:rFonts w:ascii="Arial" w:hAnsi="Arial" w:cs="Arial"/>
                <w:sz w:val="20"/>
              </w:rPr>
              <w:t>285</w:t>
            </w:r>
          </w:p>
        </w:tc>
        <w:tc>
          <w:tcPr>
            <w:tcW w:w="858" w:type="pct"/>
            <w:tcBorders>
              <w:top w:val="nil"/>
              <w:left w:val="nil"/>
              <w:bottom w:val="nil"/>
              <w:right w:val="nil"/>
            </w:tcBorders>
            <w:shd w:val="clear" w:color="auto" w:fill="auto"/>
            <w:noWrap/>
            <w:vAlign w:val="center"/>
            <w:hideMark/>
          </w:tcPr>
          <w:p w14:paraId="455EB681" w14:textId="712C7FC1" w:rsidR="00BD2503" w:rsidRPr="00310D00" w:rsidRDefault="00A20C61" w:rsidP="00834859">
            <w:pPr>
              <w:jc w:val="right"/>
              <w:rPr>
                <w:rFonts w:ascii="Arial" w:hAnsi="Arial" w:cs="Arial"/>
                <w:sz w:val="20"/>
              </w:rPr>
            </w:pPr>
            <w:r w:rsidRPr="00310D00">
              <w:rPr>
                <w:rFonts w:ascii="Arial" w:hAnsi="Arial" w:cs="Arial"/>
                <w:sz w:val="20"/>
              </w:rPr>
              <w:t>17</w:t>
            </w:r>
          </w:p>
        </w:tc>
        <w:tc>
          <w:tcPr>
            <w:tcW w:w="941" w:type="pct"/>
            <w:tcBorders>
              <w:top w:val="nil"/>
              <w:left w:val="nil"/>
              <w:bottom w:val="nil"/>
              <w:right w:val="nil"/>
            </w:tcBorders>
            <w:shd w:val="clear" w:color="auto" w:fill="auto"/>
            <w:noWrap/>
            <w:vAlign w:val="bottom"/>
            <w:hideMark/>
          </w:tcPr>
          <w:p w14:paraId="5D8C485B" w14:textId="2FD28E15" w:rsidR="00BD2503" w:rsidRPr="00310D00" w:rsidRDefault="00A20C61" w:rsidP="00834859">
            <w:pPr>
              <w:jc w:val="right"/>
              <w:rPr>
                <w:rFonts w:ascii="Arial" w:hAnsi="Arial" w:cs="Arial"/>
                <w:sz w:val="20"/>
              </w:rPr>
            </w:pPr>
            <w:r w:rsidRPr="00310D00">
              <w:rPr>
                <w:rFonts w:ascii="Arial" w:hAnsi="Arial" w:cs="Arial"/>
                <w:sz w:val="20"/>
              </w:rPr>
              <w:t>268</w:t>
            </w:r>
          </w:p>
        </w:tc>
        <w:tc>
          <w:tcPr>
            <w:tcW w:w="899" w:type="pct"/>
            <w:tcBorders>
              <w:top w:val="nil"/>
              <w:left w:val="nil"/>
              <w:bottom w:val="nil"/>
              <w:right w:val="nil"/>
            </w:tcBorders>
            <w:shd w:val="clear" w:color="auto" w:fill="auto"/>
            <w:noWrap/>
            <w:vAlign w:val="bottom"/>
            <w:hideMark/>
          </w:tcPr>
          <w:p w14:paraId="69C0AE90" w14:textId="316EF8C4" w:rsidR="00BD2503" w:rsidRPr="00310D00" w:rsidRDefault="00A20C61" w:rsidP="00834859">
            <w:pPr>
              <w:jc w:val="right"/>
              <w:rPr>
                <w:rFonts w:ascii="Arial" w:hAnsi="Arial" w:cs="Arial"/>
                <w:sz w:val="20"/>
              </w:rPr>
            </w:pPr>
            <w:r w:rsidRPr="00310D00">
              <w:rPr>
                <w:rFonts w:ascii="Arial" w:hAnsi="Arial" w:cs="Arial"/>
                <w:sz w:val="20"/>
              </w:rPr>
              <w:t>6.0</w:t>
            </w:r>
          </w:p>
        </w:tc>
      </w:tr>
      <w:tr w:rsidR="00310D00" w:rsidRPr="00310D00" w14:paraId="1589B13A" w14:textId="77777777" w:rsidTr="00834859">
        <w:trPr>
          <w:trHeight w:val="300"/>
        </w:trPr>
        <w:tc>
          <w:tcPr>
            <w:tcW w:w="900" w:type="pct"/>
            <w:tcBorders>
              <w:top w:val="nil"/>
              <w:left w:val="nil"/>
              <w:bottom w:val="nil"/>
              <w:right w:val="nil"/>
            </w:tcBorders>
            <w:shd w:val="clear" w:color="auto" w:fill="auto"/>
            <w:noWrap/>
            <w:vAlign w:val="center"/>
            <w:hideMark/>
          </w:tcPr>
          <w:p w14:paraId="2EE92F5B" w14:textId="77777777" w:rsidR="00BD2503" w:rsidRPr="00310D00" w:rsidRDefault="00BD2503" w:rsidP="00834859">
            <w:pPr>
              <w:jc w:val="right"/>
              <w:rPr>
                <w:rFonts w:ascii="Arial" w:hAnsi="Arial" w:cs="Arial"/>
                <w:sz w:val="20"/>
              </w:rPr>
            </w:pPr>
            <w:r w:rsidRPr="00310D00">
              <w:rPr>
                <w:rFonts w:ascii="Arial" w:hAnsi="Arial" w:cs="Arial"/>
                <w:sz w:val="20"/>
              </w:rPr>
              <w:t xml:space="preserve">$20 </w:t>
            </w:r>
          </w:p>
        </w:tc>
        <w:tc>
          <w:tcPr>
            <w:tcW w:w="1402" w:type="pct"/>
            <w:tcBorders>
              <w:top w:val="nil"/>
              <w:left w:val="nil"/>
              <w:bottom w:val="nil"/>
              <w:right w:val="nil"/>
            </w:tcBorders>
            <w:shd w:val="clear" w:color="auto" w:fill="auto"/>
            <w:noWrap/>
            <w:vAlign w:val="center"/>
            <w:hideMark/>
          </w:tcPr>
          <w:p w14:paraId="42CA8E40" w14:textId="744BC167" w:rsidR="00BD2503" w:rsidRPr="00310D00" w:rsidRDefault="00A20C61" w:rsidP="00834859">
            <w:pPr>
              <w:jc w:val="right"/>
              <w:rPr>
                <w:rFonts w:ascii="Arial" w:hAnsi="Arial" w:cs="Arial"/>
                <w:sz w:val="20"/>
              </w:rPr>
            </w:pPr>
            <w:r w:rsidRPr="00310D00">
              <w:rPr>
                <w:rFonts w:ascii="Arial" w:hAnsi="Arial" w:cs="Arial"/>
                <w:sz w:val="20"/>
              </w:rPr>
              <w:t>288</w:t>
            </w:r>
          </w:p>
        </w:tc>
        <w:tc>
          <w:tcPr>
            <w:tcW w:w="858" w:type="pct"/>
            <w:tcBorders>
              <w:top w:val="nil"/>
              <w:left w:val="nil"/>
              <w:bottom w:val="nil"/>
              <w:right w:val="nil"/>
            </w:tcBorders>
            <w:shd w:val="clear" w:color="auto" w:fill="auto"/>
            <w:noWrap/>
            <w:vAlign w:val="center"/>
            <w:hideMark/>
          </w:tcPr>
          <w:p w14:paraId="6FBFFF12" w14:textId="7E1764B9" w:rsidR="00BD2503" w:rsidRPr="00310D00" w:rsidRDefault="00A20C61" w:rsidP="00834859">
            <w:pPr>
              <w:jc w:val="right"/>
              <w:rPr>
                <w:rFonts w:ascii="Arial" w:hAnsi="Arial" w:cs="Arial"/>
                <w:sz w:val="20"/>
              </w:rPr>
            </w:pPr>
            <w:r w:rsidRPr="00310D00">
              <w:rPr>
                <w:rFonts w:ascii="Arial" w:hAnsi="Arial" w:cs="Arial"/>
                <w:sz w:val="20"/>
              </w:rPr>
              <w:t>1</w:t>
            </w:r>
            <w:r w:rsidR="00AE6CF1">
              <w:rPr>
                <w:rFonts w:ascii="Arial" w:hAnsi="Arial" w:cs="Arial"/>
                <w:sz w:val="20"/>
              </w:rPr>
              <w:t>9</w:t>
            </w:r>
          </w:p>
        </w:tc>
        <w:tc>
          <w:tcPr>
            <w:tcW w:w="941" w:type="pct"/>
            <w:tcBorders>
              <w:top w:val="nil"/>
              <w:left w:val="nil"/>
              <w:bottom w:val="nil"/>
              <w:right w:val="nil"/>
            </w:tcBorders>
            <w:shd w:val="clear" w:color="auto" w:fill="auto"/>
            <w:noWrap/>
            <w:vAlign w:val="bottom"/>
            <w:hideMark/>
          </w:tcPr>
          <w:p w14:paraId="33A93CDE" w14:textId="628015E0" w:rsidR="00BD2503" w:rsidRPr="00310D00" w:rsidRDefault="00A20C61" w:rsidP="00834859">
            <w:pPr>
              <w:jc w:val="right"/>
              <w:rPr>
                <w:rFonts w:ascii="Arial" w:hAnsi="Arial" w:cs="Arial"/>
                <w:sz w:val="20"/>
              </w:rPr>
            </w:pPr>
            <w:r w:rsidRPr="00310D00">
              <w:rPr>
                <w:rFonts w:ascii="Arial" w:hAnsi="Arial" w:cs="Arial"/>
                <w:sz w:val="20"/>
              </w:rPr>
              <w:t>2</w:t>
            </w:r>
            <w:r w:rsidR="00AE6CF1">
              <w:rPr>
                <w:rFonts w:ascii="Arial" w:hAnsi="Arial" w:cs="Arial"/>
                <w:sz w:val="20"/>
              </w:rPr>
              <w:t>69</w:t>
            </w:r>
          </w:p>
        </w:tc>
        <w:tc>
          <w:tcPr>
            <w:tcW w:w="899" w:type="pct"/>
            <w:tcBorders>
              <w:top w:val="nil"/>
              <w:left w:val="nil"/>
              <w:bottom w:val="nil"/>
              <w:right w:val="nil"/>
            </w:tcBorders>
            <w:shd w:val="clear" w:color="auto" w:fill="auto"/>
            <w:noWrap/>
            <w:vAlign w:val="bottom"/>
            <w:hideMark/>
          </w:tcPr>
          <w:p w14:paraId="51769EAD" w14:textId="24985ED0" w:rsidR="00AE6CF1" w:rsidRDefault="00A20C61" w:rsidP="00834859">
            <w:pPr>
              <w:jc w:val="right"/>
              <w:rPr>
                <w:rFonts w:ascii="Arial" w:hAnsi="Arial" w:cs="Arial"/>
                <w:sz w:val="20"/>
              </w:rPr>
            </w:pPr>
            <w:r w:rsidRPr="00310D00">
              <w:rPr>
                <w:rFonts w:ascii="Arial" w:hAnsi="Arial" w:cs="Arial"/>
                <w:sz w:val="20"/>
              </w:rPr>
              <w:t>6.</w:t>
            </w:r>
            <w:r w:rsidR="00AE6CF1">
              <w:rPr>
                <w:rFonts w:ascii="Arial" w:hAnsi="Arial" w:cs="Arial"/>
                <w:sz w:val="20"/>
              </w:rPr>
              <w:t>6</w:t>
            </w:r>
          </w:p>
          <w:p w14:paraId="7E90D6B4" w14:textId="66D41833" w:rsidR="00BD2503" w:rsidRPr="00310D00" w:rsidRDefault="00BD2503" w:rsidP="00834859">
            <w:pPr>
              <w:jc w:val="right"/>
              <w:rPr>
                <w:rFonts w:ascii="Arial" w:hAnsi="Arial" w:cs="Arial"/>
                <w:sz w:val="20"/>
              </w:rPr>
            </w:pPr>
          </w:p>
        </w:tc>
      </w:tr>
      <w:tr w:rsidR="00310D00" w:rsidRPr="00310D00" w14:paraId="60522ED9" w14:textId="77777777" w:rsidTr="00235CA6">
        <w:trPr>
          <w:trHeight w:val="144"/>
        </w:trPr>
        <w:tc>
          <w:tcPr>
            <w:tcW w:w="900" w:type="pct"/>
            <w:tcBorders>
              <w:top w:val="nil"/>
              <w:left w:val="nil"/>
              <w:bottom w:val="nil"/>
              <w:right w:val="nil"/>
            </w:tcBorders>
            <w:shd w:val="clear" w:color="auto" w:fill="auto"/>
            <w:noWrap/>
            <w:vAlign w:val="bottom"/>
            <w:hideMark/>
          </w:tcPr>
          <w:p w14:paraId="5E60BF08" w14:textId="4EB2426A" w:rsidR="00BD2503" w:rsidRPr="00310D00" w:rsidRDefault="00BD2503" w:rsidP="00834859">
            <w:pPr>
              <w:jc w:val="right"/>
              <w:rPr>
                <w:rFonts w:ascii="Arial" w:hAnsi="Arial" w:cs="Arial"/>
                <w:sz w:val="20"/>
              </w:rPr>
            </w:pPr>
          </w:p>
        </w:tc>
        <w:tc>
          <w:tcPr>
            <w:tcW w:w="1402" w:type="pct"/>
            <w:tcBorders>
              <w:top w:val="nil"/>
              <w:left w:val="nil"/>
              <w:bottom w:val="nil"/>
              <w:right w:val="nil"/>
            </w:tcBorders>
            <w:shd w:val="clear" w:color="auto" w:fill="auto"/>
            <w:noWrap/>
            <w:vAlign w:val="bottom"/>
            <w:hideMark/>
          </w:tcPr>
          <w:p w14:paraId="408D8241" w14:textId="77777777" w:rsidR="00BD2503" w:rsidRPr="00310D00" w:rsidRDefault="00BD2503" w:rsidP="00834859">
            <w:pPr>
              <w:rPr>
                <w:rFonts w:ascii="Arial" w:hAnsi="Arial" w:cs="Arial"/>
                <w:sz w:val="20"/>
                <w:szCs w:val="20"/>
              </w:rPr>
            </w:pPr>
          </w:p>
        </w:tc>
        <w:tc>
          <w:tcPr>
            <w:tcW w:w="858" w:type="pct"/>
            <w:tcBorders>
              <w:top w:val="nil"/>
              <w:left w:val="nil"/>
              <w:bottom w:val="nil"/>
              <w:right w:val="nil"/>
            </w:tcBorders>
            <w:shd w:val="clear" w:color="auto" w:fill="auto"/>
            <w:noWrap/>
            <w:vAlign w:val="bottom"/>
            <w:hideMark/>
          </w:tcPr>
          <w:p w14:paraId="0FCAC41E" w14:textId="77777777" w:rsidR="00BD2503" w:rsidRPr="00310D00" w:rsidRDefault="00BD2503" w:rsidP="00834859">
            <w:pPr>
              <w:rPr>
                <w:rFonts w:ascii="Arial" w:hAnsi="Arial" w:cs="Arial"/>
                <w:sz w:val="20"/>
                <w:szCs w:val="20"/>
              </w:rPr>
            </w:pPr>
          </w:p>
        </w:tc>
        <w:tc>
          <w:tcPr>
            <w:tcW w:w="941" w:type="pct"/>
            <w:tcBorders>
              <w:top w:val="nil"/>
              <w:left w:val="nil"/>
              <w:bottom w:val="nil"/>
              <w:right w:val="nil"/>
            </w:tcBorders>
            <w:shd w:val="clear" w:color="auto" w:fill="auto"/>
            <w:noWrap/>
            <w:vAlign w:val="bottom"/>
            <w:hideMark/>
          </w:tcPr>
          <w:p w14:paraId="70D277D4" w14:textId="77777777" w:rsidR="00BD2503" w:rsidRPr="00310D00" w:rsidRDefault="00BD2503" w:rsidP="00834859">
            <w:pPr>
              <w:rPr>
                <w:rFonts w:ascii="Arial" w:hAnsi="Arial" w:cs="Arial"/>
                <w:sz w:val="20"/>
                <w:szCs w:val="20"/>
              </w:rPr>
            </w:pPr>
          </w:p>
        </w:tc>
        <w:tc>
          <w:tcPr>
            <w:tcW w:w="899" w:type="pct"/>
            <w:tcBorders>
              <w:top w:val="nil"/>
              <w:left w:val="nil"/>
              <w:bottom w:val="nil"/>
              <w:right w:val="nil"/>
            </w:tcBorders>
            <w:shd w:val="clear" w:color="auto" w:fill="auto"/>
            <w:noWrap/>
            <w:vAlign w:val="bottom"/>
            <w:hideMark/>
          </w:tcPr>
          <w:p w14:paraId="554C046A" w14:textId="77777777" w:rsidR="00BD2503" w:rsidRPr="00310D00" w:rsidRDefault="00BD2503" w:rsidP="00834859">
            <w:pPr>
              <w:rPr>
                <w:rFonts w:ascii="Arial" w:hAnsi="Arial" w:cs="Arial"/>
                <w:sz w:val="20"/>
                <w:szCs w:val="20"/>
              </w:rPr>
            </w:pPr>
          </w:p>
        </w:tc>
      </w:tr>
      <w:tr w:rsidR="00310D00" w:rsidRPr="00310D00" w14:paraId="47C00DD9" w14:textId="77777777" w:rsidTr="00834859">
        <w:trPr>
          <w:trHeight w:val="315"/>
        </w:trPr>
        <w:tc>
          <w:tcPr>
            <w:tcW w:w="900" w:type="pct"/>
            <w:tcBorders>
              <w:top w:val="nil"/>
              <w:left w:val="nil"/>
              <w:bottom w:val="single" w:sz="12" w:space="0" w:color="auto"/>
              <w:right w:val="nil"/>
            </w:tcBorders>
            <w:shd w:val="clear" w:color="auto" w:fill="auto"/>
            <w:noWrap/>
            <w:vAlign w:val="center"/>
            <w:hideMark/>
          </w:tcPr>
          <w:p w14:paraId="4BDC1A97" w14:textId="77777777" w:rsidR="00BD2503" w:rsidRPr="00310D00" w:rsidRDefault="00BD2503" w:rsidP="00834859">
            <w:pPr>
              <w:rPr>
                <w:rFonts w:ascii="Arial" w:hAnsi="Arial" w:cs="Arial"/>
                <w:sz w:val="20"/>
              </w:rPr>
            </w:pPr>
            <w:r w:rsidRPr="00310D00">
              <w:rPr>
                <w:rFonts w:ascii="Arial" w:hAnsi="Arial" w:cs="Arial"/>
                <w:sz w:val="20"/>
              </w:rPr>
              <w:t>Total</w:t>
            </w:r>
          </w:p>
        </w:tc>
        <w:tc>
          <w:tcPr>
            <w:tcW w:w="1402" w:type="pct"/>
            <w:tcBorders>
              <w:top w:val="nil"/>
              <w:left w:val="nil"/>
              <w:bottom w:val="single" w:sz="12" w:space="0" w:color="auto"/>
              <w:right w:val="nil"/>
            </w:tcBorders>
            <w:shd w:val="clear" w:color="auto" w:fill="auto"/>
            <w:noWrap/>
            <w:vAlign w:val="center"/>
            <w:hideMark/>
          </w:tcPr>
          <w:p w14:paraId="55F4F1F0" w14:textId="55E37260" w:rsidR="00BD2503" w:rsidRPr="00310D00" w:rsidRDefault="00A20C61" w:rsidP="00834859">
            <w:pPr>
              <w:jc w:val="right"/>
              <w:rPr>
                <w:rFonts w:ascii="Arial" w:hAnsi="Arial" w:cs="Arial"/>
                <w:sz w:val="20"/>
              </w:rPr>
            </w:pPr>
            <w:r w:rsidRPr="00310D00">
              <w:rPr>
                <w:rFonts w:ascii="Arial" w:hAnsi="Arial" w:cs="Arial"/>
                <w:sz w:val="20"/>
              </w:rPr>
              <w:t>573</w:t>
            </w:r>
          </w:p>
        </w:tc>
        <w:tc>
          <w:tcPr>
            <w:tcW w:w="858" w:type="pct"/>
            <w:tcBorders>
              <w:top w:val="nil"/>
              <w:left w:val="nil"/>
              <w:bottom w:val="single" w:sz="12" w:space="0" w:color="auto"/>
              <w:right w:val="nil"/>
            </w:tcBorders>
            <w:shd w:val="clear" w:color="auto" w:fill="auto"/>
            <w:noWrap/>
            <w:vAlign w:val="center"/>
            <w:hideMark/>
          </w:tcPr>
          <w:p w14:paraId="30F27149" w14:textId="71B156F5" w:rsidR="00BD2503" w:rsidRPr="00310D00" w:rsidRDefault="00A20C61" w:rsidP="00834859">
            <w:pPr>
              <w:jc w:val="right"/>
              <w:rPr>
                <w:rFonts w:ascii="Arial" w:hAnsi="Arial" w:cs="Arial"/>
                <w:sz w:val="20"/>
              </w:rPr>
            </w:pPr>
            <w:r w:rsidRPr="00310D00">
              <w:rPr>
                <w:rFonts w:ascii="Arial" w:hAnsi="Arial" w:cs="Arial"/>
                <w:sz w:val="20"/>
              </w:rPr>
              <w:t>3</w:t>
            </w:r>
            <w:r w:rsidR="00AE6CF1">
              <w:rPr>
                <w:rFonts w:ascii="Arial" w:hAnsi="Arial" w:cs="Arial"/>
                <w:sz w:val="20"/>
              </w:rPr>
              <w:t>6</w:t>
            </w:r>
          </w:p>
        </w:tc>
        <w:tc>
          <w:tcPr>
            <w:tcW w:w="941" w:type="pct"/>
            <w:tcBorders>
              <w:top w:val="nil"/>
              <w:left w:val="nil"/>
              <w:bottom w:val="single" w:sz="12" w:space="0" w:color="auto"/>
              <w:right w:val="nil"/>
            </w:tcBorders>
            <w:shd w:val="clear" w:color="auto" w:fill="auto"/>
            <w:noWrap/>
            <w:vAlign w:val="center"/>
            <w:hideMark/>
          </w:tcPr>
          <w:p w14:paraId="5FF0C2FA" w14:textId="3B61ED90" w:rsidR="00BD2503" w:rsidRPr="00310D00" w:rsidRDefault="00A20C61" w:rsidP="00834859">
            <w:pPr>
              <w:jc w:val="right"/>
              <w:rPr>
                <w:rFonts w:ascii="Arial" w:hAnsi="Arial" w:cs="Arial"/>
                <w:sz w:val="20"/>
              </w:rPr>
            </w:pPr>
            <w:r w:rsidRPr="00310D00">
              <w:rPr>
                <w:rFonts w:ascii="Arial" w:hAnsi="Arial" w:cs="Arial"/>
                <w:sz w:val="20"/>
              </w:rPr>
              <w:t>53</w:t>
            </w:r>
            <w:r w:rsidR="00AE6CF1">
              <w:rPr>
                <w:rFonts w:ascii="Arial" w:hAnsi="Arial" w:cs="Arial"/>
                <w:sz w:val="20"/>
              </w:rPr>
              <w:t>7</w:t>
            </w:r>
          </w:p>
        </w:tc>
        <w:tc>
          <w:tcPr>
            <w:tcW w:w="899" w:type="pct"/>
            <w:tcBorders>
              <w:top w:val="nil"/>
              <w:left w:val="nil"/>
              <w:bottom w:val="single" w:sz="12" w:space="0" w:color="auto"/>
              <w:right w:val="nil"/>
            </w:tcBorders>
            <w:shd w:val="clear" w:color="auto" w:fill="auto"/>
            <w:noWrap/>
            <w:vAlign w:val="center"/>
            <w:hideMark/>
          </w:tcPr>
          <w:p w14:paraId="3274D946" w14:textId="36E39131" w:rsidR="00BD2503" w:rsidRPr="00310D00" w:rsidRDefault="00A20C61" w:rsidP="00834859">
            <w:pPr>
              <w:jc w:val="right"/>
              <w:rPr>
                <w:rFonts w:ascii="Arial" w:hAnsi="Arial" w:cs="Arial"/>
                <w:sz w:val="20"/>
              </w:rPr>
            </w:pPr>
            <w:r w:rsidRPr="00310D00">
              <w:rPr>
                <w:rFonts w:ascii="Arial" w:hAnsi="Arial" w:cs="Arial"/>
                <w:sz w:val="20"/>
              </w:rPr>
              <w:t>6.</w:t>
            </w:r>
            <w:r w:rsidR="00AE6CF1">
              <w:rPr>
                <w:rFonts w:ascii="Arial" w:hAnsi="Arial" w:cs="Arial"/>
                <w:sz w:val="20"/>
              </w:rPr>
              <w:t>3</w:t>
            </w:r>
          </w:p>
        </w:tc>
      </w:tr>
    </w:tbl>
    <w:p w14:paraId="2DE0193F" w14:textId="77777777" w:rsidR="00BD2503" w:rsidRPr="00310D00" w:rsidRDefault="00BD2503" w:rsidP="00BD2503">
      <w:r w:rsidRPr="00310D00">
        <w:rPr>
          <w:rFonts w:ascii="Arial" w:hAnsi="Arial" w:cs="Arial"/>
          <w:sz w:val="18"/>
        </w:rPr>
        <w:t>NOTE: Excludes partially completed cases.</w:t>
      </w:r>
      <w:r w:rsidRPr="00310D00">
        <w:rPr>
          <w:rFonts w:ascii="Arial" w:hAnsi="Arial" w:cs="Arial"/>
          <w:sz w:val="18"/>
        </w:rPr>
        <w:br/>
        <w:t>SOURCE: U.S. Department of Education, National Center for Education Statistics. High School Longitudinal Study of 2009 (HSLS:09) Second Follow-up Main Study.</w:t>
      </w:r>
    </w:p>
    <w:p w14:paraId="0BC06E77" w14:textId="77777777" w:rsidR="00E32781" w:rsidRPr="00235CA6" w:rsidRDefault="00E32781" w:rsidP="00235CA6">
      <w:pPr>
        <w:spacing w:line="23" w:lineRule="atLeast"/>
        <w:rPr>
          <w:b/>
          <w:sz w:val="14"/>
          <w:szCs w:val="14"/>
          <w:u w:val="single"/>
        </w:rPr>
      </w:pPr>
    </w:p>
    <w:p w14:paraId="1AAC776C" w14:textId="77777777" w:rsidR="0010117D" w:rsidRDefault="0010117D" w:rsidP="0010117D">
      <w:pPr>
        <w:pStyle w:val="Heading1"/>
        <w:numPr>
          <w:ilvl w:val="0"/>
          <w:numId w:val="21"/>
        </w:numPr>
      </w:pPr>
      <w:r>
        <w:t>Revisions to institution contacting materials</w:t>
      </w:r>
    </w:p>
    <w:p w14:paraId="4BFDE638" w14:textId="2C75EF02" w:rsidR="0010117D" w:rsidRDefault="00DD2710" w:rsidP="001A471E">
      <w:pPr>
        <w:pStyle w:val="Bodytextnoindent"/>
        <w:spacing w:line="23" w:lineRule="atLeast"/>
      </w:pPr>
      <w:r w:rsidRPr="005113A0">
        <w:rPr>
          <w:szCs w:val="24"/>
        </w:rPr>
        <w:t>This submission requests</w:t>
      </w:r>
      <w:r w:rsidRPr="00971BA6">
        <w:rPr>
          <w:szCs w:val="24"/>
        </w:rPr>
        <w:t xml:space="preserve"> approval for changes to the transcript </w:t>
      </w:r>
      <w:r w:rsidR="005113A0" w:rsidRPr="00971BA6">
        <w:rPr>
          <w:szCs w:val="24"/>
        </w:rPr>
        <w:t xml:space="preserve">data request </w:t>
      </w:r>
      <w:r w:rsidRPr="00971BA6">
        <w:rPr>
          <w:szCs w:val="24"/>
        </w:rPr>
        <w:t xml:space="preserve">and student </w:t>
      </w:r>
      <w:r w:rsidRPr="005113A0">
        <w:t xml:space="preserve">records </w:t>
      </w:r>
      <w:r w:rsidR="005113A0" w:rsidRPr="005113A0">
        <w:t>request</w:t>
      </w:r>
      <w:r w:rsidRPr="005113A0">
        <w:t xml:space="preserve"> contacting materials that were approved in </w:t>
      </w:r>
      <w:r w:rsidR="001A471E" w:rsidRPr="005113A0">
        <w:t>March 2016</w:t>
      </w:r>
      <w:r w:rsidR="00A71BD3">
        <w:t xml:space="preserve"> (</w:t>
      </w:r>
      <w:r w:rsidR="00235CA6">
        <w:t>A</w:t>
      </w:r>
      <w:r w:rsidR="00A71BD3">
        <w:t>ppendixes F and G)</w:t>
      </w:r>
      <w:r w:rsidRPr="005113A0">
        <w:t>.</w:t>
      </w:r>
      <w:r w:rsidR="000D1B8B">
        <w:t xml:space="preserve"> </w:t>
      </w:r>
      <w:r w:rsidRPr="005113A0">
        <w:t>The changes are a result of the decision to conduct HSLS:09 transcript and student records collection</w:t>
      </w:r>
      <w:r w:rsidR="005113A0" w:rsidRPr="005113A0">
        <w:t>s</w:t>
      </w:r>
      <w:r w:rsidRPr="005113A0">
        <w:t xml:space="preserve"> concurrently with the BPS:12 student records collection and BPS:12 </w:t>
      </w:r>
      <w:r w:rsidRPr="00971BA6">
        <w:rPr>
          <w:szCs w:val="24"/>
        </w:rPr>
        <w:t>pilot</w:t>
      </w:r>
      <w:r w:rsidR="005113A0" w:rsidRPr="00971BA6">
        <w:rPr>
          <w:szCs w:val="24"/>
        </w:rPr>
        <w:t xml:space="preserve"> test</w:t>
      </w:r>
      <w:r w:rsidRPr="00971BA6">
        <w:rPr>
          <w:szCs w:val="24"/>
        </w:rPr>
        <w:t xml:space="preserve"> transcript collection</w:t>
      </w:r>
      <w:r w:rsidR="0010117D" w:rsidRPr="00971BA6">
        <w:rPr>
          <w:szCs w:val="24"/>
        </w:rPr>
        <w:t xml:space="preserve">. The </w:t>
      </w:r>
      <w:r w:rsidR="00A71BD3">
        <w:rPr>
          <w:szCs w:val="24"/>
        </w:rPr>
        <w:t xml:space="preserve">list of </w:t>
      </w:r>
      <w:r w:rsidR="0010117D" w:rsidRPr="00971BA6">
        <w:rPr>
          <w:szCs w:val="24"/>
        </w:rPr>
        <w:t xml:space="preserve">revised </w:t>
      </w:r>
      <w:r w:rsidR="005113A0">
        <w:rPr>
          <w:szCs w:val="24"/>
        </w:rPr>
        <w:t xml:space="preserve">contacting </w:t>
      </w:r>
      <w:r w:rsidR="0010117D" w:rsidRPr="00971BA6">
        <w:rPr>
          <w:szCs w:val="24"/>
        </w:rPr>
        <w:t xml:space="preserve">materials </w:t>
      </w:r>
      <w:r w:rsidR="001D0A3D">
        <w:rPr>
          <w:szCs w:val="24"/>
        </w:rPr>
        <w:t>is</w:t>
      </w:r>
      <w:r w:rsidR="001D0A3D" w:rsidRPr="00971BA6">
        <w:rPr>
          <w:szCs w:val="24"/>
        </w:rPr>
        <w:t xml:space="preserve"> </w:t>
      </w:r>
      <w:r w:rsidR="0010117D" w:rsidRPr="00971BA6">
        <w:rPr>
          <w:szCs w:val="24"/>
        </w:rPr>
        <w:t>presented in Attachment 2</w:t>
      </w:r>
      <w:r w:rsidR="00235CA6">
        <w:rPr>
          <w:szCs w:val="24"/>
        </w:rPr>
        <w:t xml:space="preserve"> in this document, and the </w:t>
      </w:r>
      <w:r w:rsidR="00A71BD3">
        <w:rPr>
          <w:szCs w:val="24"/>
        </w:rPr>
        <w:t>revis</w:t>
      </w:r>
      <w:r w:rsidR="00235CA6">
        <w:rPr>
          <w:szCs w:val="24"/>
        </w:rPr>
        <w:t>ed</w:t>
      </w:r>
      <w:r w:rsidR="00A71BD3">
        <w:rPr>
          <w:szCs w:val="24"/>
        </w:rPr>
        <w:t xml:space="preserve"> </w:t>
      </w:r>
      <w:r w:rsidR="00235CA6">
        <w:rPr>
          <w:szCs w:val="24"/>
        </w:rPr>
        <w:t>A</w:t>
      </w:r>
      <w:r w:rsidR="00A71BD3">
        <w:rPr>
          <w:szCs w:val="24"/>
        </w:rPr>
        <w:t xml:space="preserve">ppendixes F and G </w:t>
      </w:r>
      <w:r w:rsidR="00235CA6">
        <w:rPr>
          <w:szCs w:val="24"/>
        </w:rPr>
        <w:t xml:space="preserve">document is also </w:t>
      </w:r>
      <w:r w:rsidR="00A71BD3">
        <w:rPr>
          <w:szCs w:val="24"/>
        </w:rPr>
        <w:t>included with this request</w:t>
      </w:r>
      <w:r w:rsidR="0010117D" w:rsidRPr="00971BA6">
        <w:rPr>
          <w:szCs w:val="24"/>
        </w:rPr>
        <w:t>.</w:t>
      </w:r>
      <w:r w:rsidR="001A471E" w:rsidRPr="005113A0">
        <w:t xml:space="preserve"> Please note that materials that are used by both studies are labeled with “Joint Study Collection;” these materials are also being submitted in an appendix of the BPS:12/17 OMB package.</w:t>
      </w:r>
    </w:p>
    <w:p w14:paraId="7E6A3393" w14:textId="365D59FA" w:rsidR="001D0A3D" w:rsidRDefault="001D0A3D" w:rsidP="001A471E">
      <w:pPr>
        <w:pStyle w:val="Bodytextnoindent"/>
        <w:spacing w:line="23" w:lineRule="atLeast"/>
      </w:pPr>
      <w:r>
        <w:t xml:space="preserve">Because several NCES studies with postsecondary collections (e.g., HSLS:09, BPS, NPSAS) will be requesting transcripts and student records moving forward, NCES </w:t>
      </w:r>
      <w:r w:rsidR="00D27686">
        <w:t xml:space="preserve">intends </w:t>
      </w:r>
      <w:r>
        <w:t>to streamline requests to postsecondary institutional record</w:t>
      </w:r>
      <w:r w:rsidR="00D27686">
        <w:t>s</w:t>
      </w:r>
      <w:r>
        <w:t xml:space="preserve"> staff</w:t>
      </w:r>
      <w:r w:rsidR="00825402">
        <w:t xml:space="preserve"> by </w:t>
      </w:r>
      <w:r>
        <w:t>minimiz</w:t>
      </w:r>
      <w:r w:rsidR="00825402">
        <w:t>ing</w:t>
      </w:r>
      <w:r>
        <w:t xml:space="preserve"> </w:t>
      </w:r>
      <w:r w:rsidR="00825402">
        <w:t xml:space="preserve">the </w:t>
      </w:r>
      <w:r>
        <w:t>number of contacts</w:t>
      </w:r>
      <w:r w:rsidR="00825402">
        <w:t xml:space="preserve"> each institution receives</w:t>
      </w:r>
      <w:r>
        <w:t xml:space="preserve"> and thereby decrease burden. </w:t>
      </w:r>
      <w:r w:rsidR="00D27686">
        <w:t>The goal is</w:t>
      </w:r>
      <w:r>
        <w:t xml:space="preserve"> to combine the requests for as many studies as possible that have ongoing transcripts and/or student records</w:t>
      </w:r>
      <w:r w:rsidR="00825402">
        <w:t xml:space="preserve"> collections</w:t>
      </w:r>
      <w:r>
        <w:t xml:space="preserve">. In 2017, HSLS:09 Second Follow-up and BPS:12/17 will have </w:t>
      </w:r>
      <w:r w:rsidR="00D27686">
        <w:t xml:space="preserve">ongoing </w:t>
      </w:r>
      <w:r>
        <w:t>transcripts and student records collections, and so NCES combine</w:t>
      </w:r>
      <w:r w:rsidR="00D27686">
        <w:t>d</w:t>
      </w:r>
      <w:r>
        <w:t xml:space="preserve"> communication materials for the two studies. Relevant contacts (e.g., Institutional Records or IR staff) will get one letter informing them of an upcoming request for transcripts and student records, rather than two. Following this initial contact, as HSLS:09 and BPS collect transcripts and code that information, more postsecondary </w:t>
      </w:r>
      <w:r>
        <w:lastRenderedPageBreak/>
        <w:t xml:space="preserve">institutions </w:t>
      </w:r>
      <w:r w:rsidR="00D27686">
        <w:t xml:space="preserve">attended by sample students </w:t>
      </w:r>
      <w:r>
        <w:t xml:space="preserve">may be learned of, </w:t>
      </w:r>
      <w:r w:rsidR="00D27686">
        <w:t>thereby increasing</w:t>
      </w:r>
      <w:r>
        <w:t xml:space="preserve"> the set of institutions </w:t>
      </w:r>
      <w:r w:rsidR="00D27686">
        <w:t>to contact</w:t>
      </w:r>
      <w:r>
        <w:t xml:space="preserve">. </w:t>
      </w:r>
      <w:r w:rsidR="00D27686">
        <w:t>In such cases,</w:t>
      </w:r>
      <w:r>
        <w:t xml:space="preserve"> NCES</w:t>
      </w:r>
      <w:r w:rsidR="00D27686">
        <w:t xml:space="preserve"> will</w:t>
      </w:r>
      <w:r>
        <w:t xml:space="preserve"> combine as many of the</w:t>
      </w:r>
      <w:r w:rsidR="003E65C9">
        <w:t xml:space="preserve"> newly discovered</w:t>
      </w:r>
      <w:r>
        <w:t xml:space="preserve"> cases into as few requests as possible. For example, </w:t>
      </w:r>
      <w:r w:rsidR="003E65C9">
        <w:t>if</w:t>
      </w:r>
      <w:r>
        <w:t xml:space="preserve"> a sample member did not respond to the Second Follow-up but their postsecondary institution </w:t>
      </w:r>
      <w:r w:rsidR="00EC2A2D">
        <w:t xml:space="preserve">attended </w:t>
      </w:r>
      <w:r>
        <w:t>was known as of 2013</w:t>
      </w:r>
      <w:r w:rsidR="003E65C9">
        <w:t>, u</w:t>
      </w:r>
      <w:r>
        <w:t>pon receipt of the 2013 institution’s transcript, another institutional attendance</w:t>
      </w:r>
      <w:r w:rsidR="00EC2A2D">
        <w:t xml:space="preserve"> between 2013 and 2016</w:t>
      </w:r>
      <w:r>
        <w:t xml:space="preserve"> may be discovered and thus </w:t>
      </w:r>
      <w:r w:rsidR="003E65C9">
        <w:t>be</w:t>
      </w:r>
      <w:r>
        <w:t xml:space="preserve"> added to the </w:t>
      </w:r>
      <w:r w:rsidR="003E65C9">
        <w:t xml:space="preserve">contact </w:t>
      </w:r>
      <w:r>
        <w:t>set.</w:t>
      </w:r>
      <w:r w:rsidR="00EC2A2D">
        <w:t xml:space="preserve"> Rather than sending a request for another transcript for one student to the new institution’s IR staff person immediately, the institutional contacting staff will hold this request until </w:t>
      </w:r>
      <w:r w:rsidR="00C46C9D">
        <w:t>additional</w:t>
      </w:r>
      <w:r w:rsidR="00EC2A2D">
        <w:t xml:space="preserve"> new cases have been discovered. A request will be placed later in the collection window</w:t>
      </w:r>
      <w:r w:rsidR="003E65C9">
        <w:t xml:space="preserve"> to ask </w:t>
      </w:r>
      <w:r w:rsidR="00EC2A2D">
        <w:t xml:space="preserve">for </w:t>
      </w:r>
      <w:r w:rsidR="003E65C9">
        <w:t>multiple</w:t>
      </w:r>
      <w:r w:rsidR="00EC2A2D">
        <w:t xml:space="preserve"> student transcripts</w:t>
      </w:r>
      <w:r w:rsidR="003E65C9">
        <w:t xml:space="preserve"> at the same time</w:t>
      </w:r>
      <w:r w:rsidR="00EC2A2D">
        <w:t xml:space="preserve">. Because adding </w:t>
      </w:r>
      <w:r w:rsidR="00C46C9D">
        <w:t>individual</w:t>
      </w:r>
      <w:r w:rsidR="00EC2A2D">
        <w:t xml:space="preserve"> student record</w:t>
      </w:r>
      <w:r w:rsidR="00C46C9D">
        <w:t>s</w:t>
      </w:r>
      <w:r w:rsidR="00EC2A2D">
        <w:t xml:space="preserve"> </w:t>
      </w:r>
      <w:r w:rsidR="00C46C9D">
        <w:t xml:space="preserve">to one request </w:t>
      </w:r>
      <w:r w:rsidR="00EC2A2D">
        <w:t xml:space="preserve">is simpler than initiating </w:t>
      </w:r>
      <w:r w:rsidR="00C46C9D">
        <w:t>multiple</w:t>
      </w:r>
      <w:r w:rsidR="00EC2A2D">
        <w:t xml:space="preserve"> new request</w:t>
      </w:r>
      <w:r w:rsidR="00C46C9D">
        <w:t>s</w:t>
      </w:r>
      <w:r w:rsidR="00EC2A2D">
        <w:t>, it will reduce burden on the institutional record staff.</w:t>
      </w:r>
    </w:p>
    <w:p w14:paraId="1D8BA8CA" w14:textId="3019FCDA" w:rsidR="00D3014C" w:rsidRPr="00A95C35" w:rsidRDefault="00E56FFB" w:rsidP="00235CA6">
      <w:pPr>
        <w:spacing w:before="120" w:after="120" w:line="23" w:lineRule="atLeast"/>
        <w:rPr>
          <w:rFonts w:asciiTheme="majorBidi" w:hAnsiTheme="majorBidi" w:cstheme="majorBidi"/>
          <w:b/>
          <w:sz w:val="28"/>
        </w:rPr>
      </w:pPr>
      <w:r w:rsidRPr="005113A0">
        <w:t xml:space="preserve">NCES </w:t>
      </w:r>
      <w:r w:rsidR="008A023A" w:rsidRPr="005113A0">
        <w:t xml:space="preserve">thanks </w:t>
      </w:r>
      <w:r w:rsidRPr="005113A0">
        <w:t>OMB</w:t>
      </w:r>
      <w:r w:rsidR="008A023A" w:rsidRPr="005113A0">
        <w:t xml:space="preserve"> for considering these changes</w:t>
      </w:r>
      <w:r w:rsidRPr="00A95C35">
        <w:t xml:space="preserve">. </w:t>
      </w:r>
      <w:r w:rsidR="003440C3">
        <w:t>Phase 4 of d</w:t>
      </w:r>
      <w:r w:rsidRPr="00A95C35">
        <w:t>ata collection</w:t>
      </w:r>
      <w:r w:rsidR="00DE39F0" w:rsidRPr="00A95C35">
        <w:t xml:space="preserve"> for the main sample</w:t>
      </w:r>
      <w:r w:rsidRPr="00A95C35">
        <w:t xml:space="preserve"> is scheduled to begin </w:t>
      </w:r>
      <w:r w:rsidR="00E32781" w:rsidRPr="00A95C35">
        <w:t xml:space="preserve">on </w:t>
      </w:r>
      <w:r w:rsidR="0010117D" w:rsidRPr="002D30E6">
        <w:t>August 1</w:t>
      </w:r>
      <w:r w:rsidRPr="002D30E6">
        <w:t>, 2016.</w:t>
      </w:r>
      <w:r w:rsidR="00D3014C" w:rsidRPr="00A95C35">
        <w:br w:type="page"/>
      </w:r>
      <w:r w:rsidR="00D3014C" w:rsidRPr="00A95C35">
        <w:rPr>
          <w:rFonts w:asciiTheme="majorBidi" w:hAnsiTheme="majorBidi" w:cstheme="majorBidi"/>
          <w:b/>
          <w:sz w:val="28"/>
        </w:rPr>
        <w:lastRenderedPageBreak/>
        <w:t xml:space="preserve">Attachment 1 – Description of main study responsive design plans (excerpt from </w:t>
      </w:r>
      <w:r w:rsidR="00F7318B">
        <w:rPr>
          <w:rFonts w:asciiTheme="majorBidi" w:hAnsiTheme="majorBidi" w:cstheme="majorBidi"/>
          <w:b/>
          <w:sz w:val="28"/>
        </w:rPr>
        <w:t>Supporting Statement Part B</w:t>
      </w:r>
      <w:r w:rsidR="00D3014C" w:rsidRPr="00A95C35">
        <w:rPr>
          <w:rFonts w:asciiTheme="majorBidi" w:hAnsiTheme="majorBidi" w:cstheme="majorBidi"/>
          <w:b/>
          <w:sz w:val="28"/>
        </w:rPr>
        <w:t xml:space="preserve"> approved </w:t>
      </w:r>
      <w:r w:rsidR="00F7318B">
        <w:rPr>
          <w:rFonts w:asciiTheme="majorBidi" w:hAnsiTheme="majorBidi" w:cstheme="majorBidi"/>
          <w:b/>
          <w:sz w:val="28"/>
        </w:rPr>
        <w:t>on 12</w:t>
      </w:r>
      <w:r w:rsidR="00D3014C" w:rsidRPr="00A95C35">
        <w:rPr>
          <w:rFonts w:asciiTheme="majorBidi" w:hAnsiTheme="majorBidi" w:cstheme="majorBidi"/>
          <w:b/>
          <w:sz w:val="28"/>
        </w:rPr>
        <w:t>/</w:t>
      </w:r>
      <w:r w:rsidR="00F7318B">
        <w:rPr>
          <w:rFonts w:asciiTheme="majorBidi" w:hAnsiTheme="majorBidi" w:cstheme="majorBidi"/>
          <w:b/>
          <w:sz w:val="28"/>
        </w:rPr>
        <w:t>15</w:t>
      </w:r>
      <w:r w:rsidR="00D3014C" w:rsidRPr="00A95C35">
        <w:rPr>
          <w:rFonts w:asciiTheme="majorBidi" w:hAnsiTheme="majorBidi" w:cstheme="majorBidi"/>
          <w:b/>
          <w:sz w:val="28"/>
        </w:rPr>
        <w:t>/201</w:t>
      </w:r>
      <w:r w:rsidR="00F7318B">
        <w:rPr>
          <w:rFonts w:asciiTheme="majorBidi" w:hAnsiTheme="majorBidi" w:cstheme="majorBidi"/>
          <w:b/>
          <w:sz w:val="28"/>
        </w:rPr>
        <w:t>5</w:t>
      </w:r>
      <w:r w:rsidR="00D3014C" w:rsidRPr="00A95C35">
        <w:rPr>
          <w:rFonts w:asciiTheme="majorBidi" w:hAnsiTheme="majorBidi" w:cstheme="majorBidi"/>
          <w:b/>
          <w:sz w:val="28"/>
        </w:rPr>
        <w:t>)</w:t>
      </w:r>
    </w:p>
    <w:p w14:paraId="03F4487B" w14:textId="77777777" w:rsidR="00344A28" w:rsidRPr="00A95C35" w:rsidRDefault="00344A28" w:rsidP="00D3014C">
      <w:pPr>
        <w:pStyle w:val="ListParagraph"/>
        <w:spacing w:line="23" w:lineRule="atLeast"/>
        <w:ind w:left="0"/>
        <w:rPr>
          <w:rFonts w:asciiTheme="majorBidi" w:hAnsiTheme="majorBidi" w:cstheme="majorBidi"/>
          <w:b/>
          <w:sz w:val="28"/>
          <w:szCs w:val="24"/>
        </w:rPr>
      </w:pPr>
    </w:p>
    <w:p w14:paraId="11D70A14" w14:textId="77777777" w:rsidR="00D3014C" w:rsidRPr="00A95C35" w:rsidRDefault="00D3014C" w:rsidP="00D3014C">
      <w:pPr>
        <w:pStyle w:val="bodytextpsg"/>
        <w:spacing w:after="120" w:line="23" w:lineRule="atLeast"/>
        <w:rPr>
          <w:rFonts w:asciiTheme="majorBidi" w:hAnsiTheme="majorBidi" w:cstheme="majorBidi"/>
          <w:b/>
          <w:bCs/>
          <w:i/>
        </w:rPr>
      </w:pPr>
      <w:r w:rsidRPr="00A95C35">
        <w:rPr>
          <w:rFonts w:asciiTheme="majorBidi" w:hAnsiTheme="majorBidi" w:cstheme="majorBidi"/>
          <w:b/>
          <w:bCs/>
          <w:i/>
        </w:rPr>
        <w:t>B.4.d</w:t>
      </w:r>
      <w:r w:rsidRPr="00A95C35">
        <w:rPr>
          <w:rFonts w:asciiTheme="majorBidi" w:hAnsiTheme="majorBidi" w:cstheme="majorBidi"/>
          <w:b/>
          <w:bCs/>
          <w:i/>
        </w:rPr>
        <w:tab/>
        <w:t>Main Study Plans</w:t>
      </w:r>
    </w:p>
    <w:p w14:paraId="01AA59B1"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rPr>
        <w:t>NCES and RTI are working closely together to design a data collection approach that makes use of evaluations from prior interventions that were used to improve sample representativeness by ensuring that the responding sample is as similar as possible to the total sample. In previous rounds of HSLS:09 and in other NCES studies (such as BPS:12/14, B&amp;B:08/12, and ELS:2002 third follow-up), responsive designs have been used to improve sample representativeness in key survey variables. The proposed main study data collection plan has been designed to maximize data quality through a responsive design approach in which variance between the responding sample and the overall sample is estimated at several points during data collection. An advantage of the proposed responsive design is that it allows us to determine, during data collection, how representative the responding sample is of the total sample, so that we can focus efforts and resources on bringing in the cases that are most needed to achieve balance in the responding sample.</w:t>
      </w:r>
    </w:p>
    <w:p w14:paraId="7F3F8628" w14:textId="77777777" w:rsidR="00D3014C" w:rsidRPr="00A95C35" w:rsidRDefault="00D3014C" w:rsidP="00736CA1">
      <w:pPr>
        <w:pStyle w:val="bodytextpsg"/>
        <w:spacing w:after="120" w:line="23" w:lineRule="atLeast"/>
        <w:rPr>
          <w:rFonts w:asciiTheme="majorBidi" w:hAnsiTheme="majorBidi" w:cstheme="majorBidi"/>
        </w:rPr>
      </w:pPr>
      <w:r w:rsidRPr="00A95C35">
        <w:rPr>
          <w:rFonts w:asciiTheme="majorBidi" w:hAnsiTheme="majorBidi" w:cstheme="majorBidi"/>
        </w:rPr>
        <w:t>Plans for the HSLS:09 second follow-up main study are based upon 1) results of incentive experiments and responsive design modeling simulations from the HSLS:09 second follow-up field test, 2) results from related longitudinal studies, and 3) prior experience with the HSLS:09 cohort. This section describes plans for responsive design in the main study data collection. In particular, there are three subgroups of interest that will be handled differently. This section describes the phases of data collection and how and when interventions will be implemented and evaluated. Finally, we discuss the development of the response likelihood and bias likelihood models that will be used to identify cases for targeted treatments.</w:t>
      </w:r>
    </w:p>
    <w:p w14:paraId="430AA8D7"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QuoteChar"/>
          <w:rFonts w:asciiTheme="majorBidi" w:hAnsiTheme="majorBidi" w:cstheme="majorBidi"/>
          <w:b/>
          <w:bCs/>
          <w:color w:val="auto"/>
        </w:rPr>
        <w:t>Sample subgroup classification</w:t>
      </w:r>
      <w:r w:rsidRPr="00A95C35">
        <w:rPr>
          <w:rFonts w:asciiTheme="majorBidi" w:hAnsiTheme="majorBidi" w:cstheme="majorBidi"/>
        </w:rPr>
        <w:t>. In the HSLS:09 second follow-up main study, there will be three subgroups of special interest.</w:t>
      </w:r>
    </w:p>
    <w:p w14:paraId="0AFC0C50"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1 (high school late/alternative/non-completers) will be the subset of sample members who, as of the 2013 Update, had not completed high school, were still enrolled in high school, received an alternative credential, completed high school late, or experienced a dropout episode with unknown completion status.</w:t>
      </w:r>
    </w:p>
    <w:p w14:paraId="02710221"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2 (ultra-cooperative respondents) includes sample members who participated in the base year, first follow-up, and 2013 Update without an incentive offer. These cases were also early web respondents in 2013 Update and, by definition, are high school completers.</w:t>
      </w:r>
    </w:p>
    <w:p w14:paraId="446B4DC8"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3 (high school completers and unknown high school completion status) will include cases that, as of the 2013 Update, were known on-time or early regular diploma completers (and not identified as ultra-cooperative) and cases with unknown high school completion status who were not previously identified as ever having a dropout episode.</w:t>
      </w:r>
    </w:p>
    <w:p w14:paraId="6393C86C"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QuoteChar"/>
          <w:b/>
          <w:color w:val="auto"/>
        </w:rPr>
        <w:t>Calibration subsamples</w:t>
      </w:r>
      <w:r w:rsidRPr="00A95C35">
        <w:rPr>
          <w:rStyle w:val="IntenseQuoteChar"/>
          <w:b/>
          <w:bCs/>
          <w:color w:val="auto"/>
        </w:rPr>
        <w:t>.</w:t>
      </w:r>
      <w:r w:rsidRPr="00A95C35">
        <w:rPr>
          <w:rFonts w:asciiTheme="majorBidi" w:hAnsiTheme="majorBidi" w:cstheme="majorBidi"/>
        </w:rPr>
        <w:t xml:space="preserve"> To determine </w:t>
      </w:r>
      <w:r w:rsidRPr="00A95C35">
        <w:rPr>
          <w:rStyle w:val="IntenseQuoteChar"/>
          <w:rFonts w:asciiTheme="majorBidi" w:hAnsiTheme="majorBidi" w:cstheme="majorBidi"/>
          <w:bCs/>
          <w:color w:val="auto"/>
        </w:rPr>
        <w:t xml:space="preserve">optimal incentive amounts, </w:t>
      </w:r>
      <w:r w:rsidRPr="00A95C35">
        <w:rPr>
          <w:rFonts w:asciiTheme="majorBidi" w:hAnsiTheme="majorBidi" w:cstheme="majorBidi"/>
        </w:rPr>
        <w:t>a calibration subsample will be selected from each of the aforementioned subgroups to begin data collection ahead of the main sample. A similar approach was used successfully in BPS:12/14, where</w:t>
      </w:r>
      <w:r w:rsidRPr="00A95C35" w:rsidDel="00BB66DD">
        <w:rPr>
          <w:rFonts w:asciiTheme="majorBidi" w:hAnsiTheme="majorBidi" w:cstheme="majorBidi"/>
        </w:rPr>
        <w:t xml:space="preserve"> </w:t>
      </w:r>
      <w:r w:rsidRPr="00A95C35">
        <w:rPr>
          <w:rFonts w:asciiTheme="majorBidi" w:hAnsiTheme="majorBidi" w:cstheme="majorBidi"/>
        </w:rPr>
        <w:t>approximately 10 percent of that sample (3,700 cases) was selected and fielded seven weeks prior to the rest of the BPS:12/14 sample. The experimental subsample was treated in advance of the remaining cases, and after analyzing the results for the experimental sample and consultation with OMB, the successful treatment was implemented with the remaining sample. In the HSLS:09 second follow-up main study, a similar approach is proposed with the HSLS:09 calibration subsamples fielded six weeks prior to the rest of the HSLS:09 sample. Exhibit B-7 shows the estimated size of each subgroup, the percentage of cases to be selected for the calibration subsample, and the estimated number of cases in the calibration sample.</w:t>
      </w:r>
    </w:p>
    <w:p w14:paraId="377CD51D" w14:textId="77777777" w:rsidR="00D3014C" w:rsidRPr="00A95C35" w:rsidRDefault="00D3014C" w:rsidP="00D3014C">
      <w:pPr>
        <w:pStyle w:val="ExhibitTitle"/>
        <w:spacing w:line="23" w:lineRule="atLeast"/>
      </w:pPr>
      <w:bookmarkStart w:id="1" w:name="_Toc430965867"/>
      <w:bookmarkStart w:id="2" w:name="_Toc433779238"/>
      <w:r w:rsidRPr="00A95C35">
        <w:lastRenderedPageBreak/>
        <w:t>Exhibit B-7. Calibration Sample Sizes</w:t>
      </w:r>
      <w:bookmarkEnd w:id="1"/>
      <w:r w:rsidRPr="00A95C35">
        <w:t>, by Subgroup</w:t>
      </w:r>
      <w:bookmarkEnd w:id="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75"/>
        <w:gridCol w:w="5614"/>
        <w:gridCol w:w="1237"/>
        <w:gridCol w:w="1290"/>
        <w:gridCol w:w="1290"/>
      </w:tblGrid>
      <w:tr w:rsidR="00F11A5F" w:rsidRPr="00A95C35" w14:paraId="4BBBCD65" w14:textId="77777777" w:rsidTr="00C55CAB">
        <w:trPr>
          <w:trHeight w:val="144"/>
        </w:trPr>
        <w:tc>
          <w:tcPr>
            <w:tcW w:w="450" w:type="pct"/>
            <w:shd w:val="clear" w:color="auto" w:fill="D9D9D9" w:themeFill="background1" w:themeFillShade="D9"/>
            <w:tcMar>
              <w:top w:w="0" w:type="dxa"/>
              <w:left w:w="115" w:type="dxa"/>
              <w:bottom w:w="0" w:type="dxa"/>
              <w:right w:w="115" w:type="dxa"/>
            </w:tcMar>
            <w:vAlign w:val="center"/>
            <w:hideMark/>
          </w:tcPr>
          <w:p w14:paraId="4B08995E" w14:textId="77777777" w:rsidR="00D3014C" w:rsidRPr="00A95C35" w:rsidRDefault="00D3014C" w:rsidP="00C55CAB">
            <w:pPr>
              <w:pStyle w:val="Tabletext"/>
              <w:spacing w:before="0" w:after="0" w:line="23" w:lineRule="atLeast"/>
              <w:ind w:left="0" w:firstLine="0"/>
              <w:rPr>
                <w:rFonts w:cs="Arial"/>
                <w:b/>
                <w:bCs/>
              </w:rPr>
            </w:pPr>
            <w:r w:rsidRPr="00A95C35">
              <w:rPr>
                <w:rFonts w:cs="Arial"/>
                <w:b/>
                <w:bCs/>
              </w:rPr>
              <w:t>Subgroup Number</w:t>
            </w:r>
          </w:p>
        </w:tc>
        <w:tc>
          <w:tcPr>
            <w:tcW w:w="2673" w:type="pct"/>
            <w:shd w:val="clear" w:color="auto" w:fill="D9D9D9" w:themeFill="background1" w:themeFillShade="D9"/>
            <w:tcMar>
              <w:top w:w="0" w:type="dxa"/>
              <w:left w:w="115" w:type="dxa"/>
              <w:bottom w:w="0" w:type="dxa"/>
              <w:right w:w="115" w:type="dxa"/>
            </w:tcMar>
            <w:vAlign w:val="center"/>
            <w:hideMark/>
          </w:tcPr>
          <w:p w14:paraId="23F09134"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Subgroup Description</w:t>
            </w:r>
          </w:p>
        </w:tc>
        <w:tc>
          <w:tcPr>
            <w:tcW w:w="609" w:type="pct"/>
            <w:shd w:val="clear" w:color="auto" w:fill="D9D9D9" w:themeFill="background1" w:themeFillShade="D9"/>
            <w:tcMar>
              <w:top w:w="0" w:type="dxa"/>
              <w:left w:w="115" w:type="dxa"/>
              <w:bottom w:w="0" w:type="dxa"/>
              <w:right w:w="115" w:type="dxa"/>
            </w:tcMar>
            <w:vAlign w:val="center"/>
            <w:hideMark/>
          </w:tcPr>
          <w:p w14:paraId="5EFF3A8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Main Sample</w:t>
            </w:r>
          </w:p>
        </w:tc>
        <w:tc>
          <w:tcPr>
            <w:tcW w:w="634" w:type="pct"/>
            <w:shd w:val="clear" w:color="auto" w:fill="D9D9D9" w:themeFill="background1" w:themeFillShade="D9"/>
            <w:tcMar>
              <w:top w:w="0" w:type="dxa"/>
              <w:left w:w="115" w:type="dxa"/>
              <w:bottom w:w="0" w:type="dxa"/>
              <w:right w:w="115" w:type="dxa"/>
            </w:tcMar>
            <w:vAlign w:val="center"/>
            <w:hideMark/>
          </w:tcPr>
          <w:p w14:paraId="00742CB3"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Calibration Sample</w:t>
            </w:r>
          </w:p>
        </w:tc>
        <w:tc>
          <w:tcPr>
            <w:tcW w:w="634" w:type="pct"/>
            <w:shd w:val="clear" w:color="auto" w:fill="D9D9D9" w:themeFill="background1" w:themeFillShade="D9"/>
            <w:tcMar>
              <w:top w:w="0" w:type="dxa"/>
              <w:left w:w="115" w:type="dxa"/>
              <w:bottom w:w="0" w:type="dxa"/>
              <w:right w:w="115" w:type="dxa"/>
            </w:tcMar>
            <w:vAlign w:val="center"/>
            <w:hideMark/>
          </w:tcPr>
          <w:p w14:paraId="03E38D99"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Calibration Percent</w:t>
            </w:r>
          </w:p>
        </w:tc>
      </w:tr>
      <w:tr w:rsidR="00F11A5F" w:rsidRPr="00A95C35" w14:paraId="1F78ECC3" w14:textId="77777777" w:rsidTr="00C55CAB">
        <w:trPr>
          <w:trHeight w:val="144"/>
        </w:trPr>
        <w:tc>
          <w:tcPr>
            <w:tcW w:w="450" w:type="pct"/>
            <w:shd w:val="clear" w:color="auto" w:fill="FFFFFF" w:themeFill="background1"/>
            <w:tcMar>
              <w:top w:w="0" w:type="dxa"/>
              <w:left w:w="115" w:type="dxa"/>
              <w:bottom w:w="0" w:type="dxa"/>
              <w:right w:w="115" w:type="dxa"/>
            </w:tcMar>
            <w:hideMark/>
          </w:tcPr>
          <w:p w14:paraId="7EC38478"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1</w:t>
            </w:r>
          </w:p>
        </w:tc>
        <w:tc>
          <w:tcPr>
            <w:tcW w:w="2673" w:type="pct"/>
            <w:shd w:val="clear" w:color="auto" w:fill="FFFFFF" w:themeFill="background1"/>
            <w:tcMar>
              <w:top w:w="0" w:type="dxa"/>
              <w:left w:w="115" w:type="dxa"/>
              <w:bottom w:w="0" w:type="dxa"/>
              <w:right w:w="115" w:type="dxa"/>
            </w:tcMar>
            <w:hideMark/>
          </w:tcPr>
          <w:p w14:paraId="2DBDFC4F"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High School Late/Alternative/ Non-Completers</w:t>
            </w:r>
          </w:p>
          <w:p w14:paraId="6C854155"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Non-completers, late completers, still enrolled, and alternative credential as of the 2013 Update as well as ever dropouts with no completion status,</w:t>
            </w:r>
          </w:p>
        </w:tc>
        <w:tc>
          <w:tcPr>
            <w:tcW w:w="609" w:type="pct"/>
            <w:shd w:val="clear" w:color="auto" w:fill="FFFFFF" w:themeFill="background1"/>
            <w:tcMar>
              <w:top w:w="0" w:type="dxa"/>
              <w:left w:w="115" w:type="dxa"/>
              <w:bottom w:w="0" w:type="dxa"/>
              <w:right w:w="115" w:type="dxa"/>
            </w:tcMar>
            <w:hideMark/>
          </w:tcPr>
          <w:p w14:paraId="4F284387"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2,545</w:t>
            </w:r>
          </w:p>
        </w:tc>
        <w:tc>
          <w:tcPr>
            <w:tcW w:w="634" w:type="pct"/>
            <w:shd w:val="clear" w:color="auto" w:fill="FFFFFF" w:themeFill="background1"/>
            <w:tcMar>
              <w:top w:w="0" w:type="dxa"/>
              <w:left w:w="115" w:type="dxa"/>
              <w:bottom w:w="0" w:type="dxa"/>
              <w:right w:w="115" w:type="dxa"/>
            </w:tcMar>
            <w:hideMark/>
          </w:tcPr>
          <w:p w14:paraId="56B3706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509</w:t>
            </w:r>
          </w:p>
        </w:tc>
        <w:tc>
          <w:tcPr>
            <w:tcW w:w="634" w:type="pct"/>
            <w:shd w:val="clear" w:color="auto" w:fill="FFFFFF" w:themeFill="background1"/>
            <w:tcMar>
              <w:top w:w="0" w:type="dxa"/>
              <w:left w:w="115" w:type="dxa"/>
              <w:bottom w:w="0" w:type="dxa"/>
              <w:right w:w="115" w:type="dxa"/>
            </w:tcMar>
            <w:hideMark/>
          </w:tcPr>
          <w:p w14:paraId="3CEB0704"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20%</w:t>
            </w:r>
          </w:p>
        </w:tc>
      </w:tr>
      <w:tr w:rsidR="00F11A5F" w:rsidRPr="00A95C35" w14:paraId="5822F5EB" w14:textId="77777777" w:rsidTr="00C55CAB">
        <w:trPr>
          <w:trHeight w:val="144"/>
        </w:trPr>
        <w:tc>
          <w:tcPr>
            <w:tcW w:w="450" w:type="pct"/>
            <w:shd w:val="clear" w:color="auto" w:fill="FFFFFF" w:themeFill="background1"/>
            <w:tcMar>
              <w:top w:w="0" w:type="dxa"/>
              <w:left w:w="115" w:type="dxa"/>
              <w:bottom w:w="0" w:type="dxa"/>
              <w:right w:w="115" w:type="dxa"/>
            </w:tcMar>
            <w:hideMark/>
          </w:tcPr>
          <w:p w14:paraId="7D1FB32D"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2</w:t>
            </w:r>
          </w:p>
        </w:tc>
        <w:tc>
          <w:tcPr>
            <w:tcW w:w="2673" w:type="pct"/>
            <w:shd w:val="clear" w:color="auto" w:fill="FFFFFF" w:themeFill="background1"/>
            <w:tcMar>
              <w:top w:w="0" w:type="dxa"/>
              <w:left w:w="115" w:type="dxa"/>
              <w:bottom w:w="0" w:type="dxa"/>
              <w:right w:w="115" w:type="dxa"/>
            </w:tcMar>
            <w:hideMark/>
          </w:tcPr>
          <w:p w14:paraId="4429CA58"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Ultra-Cooperative Respondents</w:t>
            </w:r>
          </w:p>
          <w:p w14:paraId="12447BB2"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High school completers who participated in base year and the first follow-up, and completed the 2013 Update in early web period, with no incentive</w:t>
            </w:r>
          </w:p>
        </w:tc>
        <w:tc>
          <w:tcPr>
            <w:tcW w:w="609" w:type="pct"/>
            <w:shd w:val="clear" w:color="auto" w:fill="FFFFFF" w:themeFill="background1"/>
            <w:tcMar>
              <w:top w:w="0" w:type="dxa"/>
              <w:left w:w="115" w:type="dxa"/>
              <w:bottom w:w="0" w:type="dxa"/>
              <w:right w:w="115" w:type="dxa"/>
            </w:tcMar>
            <w:hideMark/>
          </w:tcPr>
          <w:p w14:paraId="684A1A74"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1,027</w:t>
            </w:r>
          </w:p>
        </w:tc>
        <w:tc>
          <w:tcPr>
            <w:tcW w:w="634" w:type="pct"/>
            <w:shd w:val="clear" w:color="auto" w:fill="FFFFFF" w:themeFill="background1"/>
            <w:tcMar>
              <w:top w:w="0" w:type="dxa"/>
              <w:left w:w="115" w:type="dxa"/>
              <w:bottom w:w="0" w:type="dxa"/>
              <w:right w:w="115" w:type="dxa"/>
            </w:tcMar>
            <w:hideMark/>
          </w:tcPr>
          <w:p w14:paraId="7DE5B638"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154</w:t>
            </w:r>
          </w:p>
        </w:tc>
        <w:tc>
          <w:tcPr>
            <w:tcW w:w="634" w:type="pct"/>
            <w:shd w:val="clear" w:color="auto" w:fill="FFFFFF" w:themeFill="background1"/>
            <w:tcMar>
              <w:top w:w="0" w:type="dxa"/>
              <w:left w:w="115" w:type="dxa"/>
              <w:bottom w:w="0" w:type="dxa"/>
              <w:right w:w="115" w:type="dxa"/>
            </w:tcMar>
            <w:hideMark/>
          </w:tcPr>
          <w:p w14:paraId="708C79A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 xml:space="preserve">15% </w:t>
            </w:r>
          </w:p>
        </w:tc>
      </w:tr>
      <w:tr w:rsidR="00F11A5F" w:rsidRPr="00A95C35" w14:paraId="466D3CE3" w14:textId="77777777" w:rsidTr="00C55CAB">
        <w:trPr>
          <w:trHeight w:val="144"/>
        </w:trPr>
        <w:tc>
          <w:tcPr>
            <w:tcW w:w="450" w:type="pct"/>
            <w:shd w:val="clear" w:color="auto" w:fill="FFFFFF" w:themeFill="background1"/>
            <w:tcMar>
              <w:top w:w="0" w:type="dxa"/>
              <w:left w:w="115" w:type="dxa"/>
              <w:bottom w:w="0" w:type="dxa"/>
              <w:right w:w="115" w:type="dxa"/>
            </w:tcMar>
            <w:hideMark/>
          </w:tcPr>
          <w:p w14:paraId="50412FE2"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3</w:t>
            </w:r>
          </w:p>
        </w:tc>
        <w:tc>
          <w:tcPr>
            <w:tcW w:w="2673" w:type="pct"/>
            <w:shd w:val="clear" w:color="auto" w:fill="FFFFFF" w:themeFill="background1"/>
            <w:tcMar>
              <w:top w:w="0" w:type="dxa"/>
              <w:left w:w="115" w:type="dxa"/>
              <w:bottom w:w="0" w:type="dxa"/>
              <w:right w:w="115" w:type="dxa"/>
            </w:tcMar>
            <w:hideMark/>
          </w:tcPr>
          <w:p w14:paraId="6FD6C013"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 xml:space="preserve">All Other High School </w:t>
            </w:r>
            <w:r w:rsidRPr="00A95C35">
              <w:rPr>
                <w:rFonts w:ascii="Arial" w:hAnsi="Arial" w:cs="Arial"/>
                <w:b/>
                <w:sz w:val="20"/>
                <w:szCs w:val="20"/>
              </w:rPr>
              <w:t>Completers and Unknown Cases</w:t>
            </w:r>
          </w:p>
          <w:p w14:paraId="1C9383FA"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HS Diploma completed early/on-time unknown or unknown completion status with no known dropout episode</w:t>
            </w:r>
          </w:p>
        </w:tc>
        <w:tc>
          <w:tcPr>
            <w:tcW w:w="609" w:type="pct"/>
            <w:shd w:val="clear" w:color="auto" w:fill="FFFFFF" w:themeFill="background1"/>
            <w:tcMar>
              <w:top w:w="0" w:type="dxa"/>
              <w:left w:w="115" w:type="dxa"/>
              <w:bottom w:w="0" w:type="dxa"/>
              <w:right w:w="115" w:type="dxa"/>
            </w:tcMar>
            <w:hideMark/>
          </w:tcPr>
          <w:p w14:paraId="623AD706"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19,747</w:t>
            </w:r>
          </w:p>
        </w:tc>
        <w:tc>
          <w:tcPr>
            <w:tcW w:w="634" w:type="pct"/>
            <w:shd w:val="clear" w:color="auto" w:fill="FFFFFF" w:themeFill="background1"/>
            <w:tcMar>
              <w:top w:w="0" w:type="dxa"/>
              <w:left w:w="115" w:type="dxa"/>
              <w:bottom w:w="0" w:type="dxa"/>
              <w:right w:w="115" w:type="dxa"/>
            </w:tcMar>
            <w:hideMark/>
          </w:tcPr>
          <w:p w14:paraId="0657ECC8"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1,975</w:t>
            </w:r>
          </w:p>
        </w:tc>
        <w:tc>
          <w:tcPr>
            <w:tcW w:w="634" w:type="pct"/>
            <w:shd w:val="clear" w:color="auto" w:fill="FFFFFF" w:themeFill="background1"/>
            <w:tcMar>
              <w:top w:w="0" w:type="dxa"/>
              <w:left w:w="115" w:type="dxa"/>
              <w:bottom w:w="0" w:type="dxa"/>
              <w:right w:w="115" w:type="dxa"/>
            </w:tcMar>
            <w:hideMark/>
          </w:tcPr>
          <w:p w14:paraId="762361D6"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10%</w:t>
            </w:r>
          </w:p>
        </w:tc>
      </w:tr>
    </w:tbl>
    <w:p w14:paraId="67C5AAE7" w14:textId="77777777" w:rsidR="00D3014C" w:rsidRPr="00A95C35" w:rsidRDefault="00D3014C" w:rsidP="00D3014C">
      <w:pPr>
        <w:pStyle w:val="bodytextpsg"/>
        <w:spacing w:after="120" w:line="23" w:lineRule="atLeast"/>
        <w:rPr>
          <w:rFonts w:asciiTheme="majorBidi" w:hAnsiTheme="majorBidi" w:cstheme="majorBidi"/>
        </w:rPr>
      </w:pPr>
    </w:p>
    <w:p w14:paraId="253A42FA"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Emphasis"/>
          <w:rFonts w:asciiTheme="majorBidi" w:hAnsiTheme="majorBidi" w:cstheme="majorBidi"/>
          <w:b/>
          <w:bCs/>
          <w:color w:val="auto"/>
        </w:rPr>
        <w:t>Data collection phases, treatments, and evaluations.</w:t>
      </w:r>
      <w:r w:rsidRPr="00A95C35">
        <w:rPr>
          <w:rFonts w:asciiTheme="majorBidi" w:hAnsiTheme="majorBidi" w:cstheme="majorBidi"/>
        </w:rPr>
        <w:t xml:space="preserve"> For the second follow-up main study, the data collection plan includes a phased responsive design strategy specifically aimed at improving sample representativeness in the final survey participants. Exhibit B-8 presents the schedule for the planned phases of data collection for both the calibration samples and the main samples. Exhibit B-9 summarizes the baseline and boost incentives to be tested for each subgroup.</w:t>
      </w:r>
      <w:r w:rsidRPr="00A95C35" w:rsidDel="00D15542">
        <w:rPr>
          <w:rFonts w:asciiTheme="majorBidi" w:hAnsiTheme="majorBidi" w:cstheme="majorBidi"/>
        </w:rPr>
        <w:t xml:space="preserve"> </w:t>
      </w:r>
      <w:r w:rsidRPr="00A95C35">
        <w:rPr>
          <w:rFonts w:asciiTheme="majorBidi" w:hAnsiTheme="majorBidi" w:cstheme="majorBidi"/>
        </w:rPr>
        <w:t>The phases will proceed as follows:</w:t>
      </w:r>
    </w:p>
    <w:p w14:paraId="4728293E" w14:textId="77777777" w:rsidR="00D3014C" w:rsidRPr="00A95C35" w:rsidRDefault="00D3014C" w:rsidP="00C2639F">
      <w:pPr>
        <w:pStyle w:val="bodytextpsg"/>
        <w:spacing w:after="120" w:line="23" w:lineRule="atLeast"/>
        <w:rPr>
          <w:rStyle w:val="IntenseQuoteChar"/>
          <w:rFonts w:asciiTheme="majorBidi" w:hAnsiTheme="majorBidi" w:cstheme="majorBidi"/>
          <w:bCs/>
          <w:i w:val="0"/>
          <w:iCs w:val="0"/>
          <w:color w:val="auto"/>
        </w:rPr>
      </w:pPr>
      <w:r w:rsidRPr="00A95C35">
        <w:rPr>
          <w:rStyle w:val="IntenseQuoteChar"/>
          <w:rFonts w:asciiTheme="majorBidi" w:hAnsiTheme="majorBidi" w:cstheme="majorBidi"/>
          <w:b/>
          <w:bCs/>
          <w:color w:val="auto"/>
        </w:rPr>
        <w:t>Baseline incentive (phase 1).</w:t>
      </w:r>
      <w:r w:rsidRPr="00A95C35">
        <w:rPr>
          <w:rStyle w:val="IntenseQuoteChar"/>
          <w:rFonts w:asciiTheme="majorBidi" w:hAnsiTheme="majorBidi" w:cstheme="majorBidi"/>
          <w:bCs/>
          <w:color w:val="auto"/>
        </w:rPr>
        <w:t xml:space="preserve"> </w:t>
      </w:r>
      <w:r w:rsidRPr="00A95C35">
        <w:t xml:space="preserve">During this beginning phase of data collection, the survey will be open exclusively for self-administered interviews via the web. Web response will remain open throughout the entire data collection. </w:t>
      </w:r>
      <w:r w:rsidRPr="00A95C35">
        <w:rPr>
          <w:rStyle w:val="IntenseQuoteChar"/>
          <w:rFonts w:asciiTheme="majorBidi" w:hAnsiTheme="majorBidi" w:cstheme="majorBidi"/>
          <w:bCs/>
          <w:color w:val="auto"/>
        </w:rPr>
        <w:t>As described above, the calibration samples will allow for testing of incentive amounts on a subset of cases, and the results will inform the implementation plan for the main samples. Prior to the start of the main sample data collection for phase 1, calibration sample response rates will be evaluated. An ANOVA-based model will be used to perform pairwise contrasts between the different incentive amounts offered to the treatment and control groups in each phase. NCES and OMB will meet to review the results of the calibration experiment and determine the optimal incentive amount for each of the subgroups.</w:t>
      </w:r>
    </w:p>
    <w:p w14:paraId="6AC300BE" w14:textId="77777777" w:rsidR="00D3014C" w:rsidRPr="00A95C35" w:rsidRDefault="00D3014C" w:rsidP="00D3014C">
      <w:pPr>
        <w:pStyle w:val="bodytextpsg"/>
        <w:numPr>
          <w:ilvl w:val="0"/>
          <w:numId w:val="15"/>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1 (high school late/alternative/non-completers) will be offered 3 different baseline incentive amounts ($30, $40, or $50). The optimal amount (to be determined in consultation with OMB) will be offered to all cases in the subgroup 1 main sample.</w:t>
      </w:r>
    </w:p>
    <w:p w14:paraId="56007554" w14:textId="77777777" w:rsidR="00D3014C" w:rsidRPr="00A95C35" w:rsidRDefault="00D3014C" w:rsidP="00D3014C">
      <w:pPr>
        <w:pStyle w:val="bodytextpsg"/>
        <w:numPr>
          <w:ilvl w:val="0"/>
          <w:numId w:val="15"/>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2 (ultra-cooperative respondents) will not be offered a baseline incentive. The subgroup 2 calibration sample response rate will be evaluated against early response rates for other cohorts (such as BPS:12/14 and ELS:2002 third follow-up) to estimate a “successful” response benchmark for HSLS:09. If it is determined that the subgroup 2 calibration sample response rate is not successful, we will discuss with OMB the possibility of offering a baseline incentive (amount to be determined in consultation with OMB) to the subgroup 2 main sample.</w:t>
      </w:r>
    </w:p>
    <w:p w14:paraId="6AA1FE77" w14:textId="77777777" w:rsidR="00D3014C" w:rsidRPr="00A95C35" w:rsidRDefault="00D3014C" w:rsidP="00D3014C">
      <w:pPr>
        <w:pStyle w:val="bodytextpsg"/>
        <w:numPr>
          <w:ilvl w:val="0"/>
          <w:numId w:val="15"/>
        </w:numPr>
        <w:spacing w:after="120" w:line="23" w:lineRule="atLeast"/>
        <w:ind w:left="450"/>
        <w:rPr>
          <w:rStyle w:val="IntenseQuoteChar"/>
          <w:i w:val="0"/>
          <w:iCs w:val="0"/>
          <w:color w:val="auto"/>
        </w:rPr>
      </w:pPr>
      <w:r w:rsidRPr="00A95C35">
        <w:rPr>
          <w:rStyle w:val="IntenseQuoteChar"/>
          <w:rFonts w:asciiTheme="majorBidi" w:hAnsiTheme="majorBidi" w:cstheme="majorBidi"/>
          <w:bCs/>
          <w:color w:val="auto"/>
        </w:rPr>
        <w:t>Subgroup 3 (high school completers and unknowns) will be offered 6 different incentive amounts, ranging from $15 to $40 ($15, $20, $25, $30, $35, or $40). The $15 starting point for this baseline incentive calibration experiment is based on the results of the HSLS:09 second follow-up field test experiment. The optimal amount (to be determined in consultation with OMB) will be offered to all cases in the subgroup 3 main sample.</w:t>
      </w:r>
    </w:p>
    <w:p w14:paraId="6D3A38C3" w14:textId="77777777" w:rsidR="00AE4148" w:rsidRPr="00A95C35" w:rsidRDefault="00AE4148" w:rsidP="0006440F">
      <w:pPr>
        <w:pStyle w:val="bodytextpsg"/>
        <w:spacing w:after="120" w:line="23" w:lineRule="atLeast"/>
        <w:rPr>
          <w:rStyle w:val="IntenseQuoteChar"/>
          <w:rFonts w:asciiTheme="majorBidi" w:hAnsiTheme="majorBidi" w:cstheme="majorBidi"/>
          <w:bCs/>
          <w:color w:val="auto"/>
        </w:rPr>
      </w:pPr>
    </w:p>
    <w:p w14:paraId="796713A3" w14:textId="77777777" w:rsidR="00AE4148" w:rsidRPr="00A95C35" w:rsidRDefault="00AE4148" w:rsidP="0006440F">
      <w:pPr>
        <w:pStyle w:val="bodytextpsg"/>
        <w:spacing w:after="120" w:line="23" w:lineRule="atLeast"/>
      </w:pPr>
    </w:p>
    <w:p w14:paraId="63AC0B19" w14:textId="77777777" w:rsidR="00D3014C" w:rsidRPr="00A95C35" w:rsidRDefault="00D3014C" w:rsidP="00D3014C">
      <w:pPr>
        <w:pStyle w:val="ExhibitTitle"/>
        <w:spacing w:line="23" w:lineRule="atLeast"/>
      </w:pPr>
      <w:bookmarkStart w:id="3" w:name="_Toc433779239"/>
      <w:bookmarkStart w:id="4" w:name="_Toc430965868"/>
      <w:r w:rsidRPr="00A95C35">
        <w:lastRenderedPageBreak/>
        <w:t>Exhibit B-8. Data Collection Schedule and Phases.</w:t>
      </w:r>
      <w:bookmarkEnd w:id="3"/>
      <w:bookmarkEnd w:id="4"/>
    </w:p>
    <w:p w14:paraId="6311DDDC" w14:textId="77777777" w:rsidR="00D3014C" w:rsidRPr="00A95C35" w:rsidRDefault="00D3014C" w:rsidP="00D3014C">
      <w:pPr>
        <w:spacing w:line="23" w:lineRule="atLeast"/>
      </w:pPr>
      <w:r w:rsidRPr="00A95C35">
        <w:rPr>
          <w:rFonts w:asciiTheme="majorBidi" w:hAnsiTheme="majorBidi" w:cstheme="majorBidi"/>
          <w:b/>
          <w:noProof/>
        </w:rPr>
        <w:drawing>
          <wp:inline distT="0" distB="0" distL="0" distR="0" wp14:anchorId="344F6236" wp14:editId="64778E74">
            <wp:extent cx="6185139" cy="244990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793091" w14:textId="66557D2D" w:rsidR="00D3014C" w:rsidRPr="00A95C35" w:rsidRDefault="00C2639F" w:rsidP="00D3014C">
      <w:pPr>
        <w:pStyle w:val="bodytextpsg"/>
        <w:spacing w:after="120" w:line="23" w:lineRule="atLeast"/>
        <w:rPr>
          <w:rFonts w:asciiTheme="majorBidi" w:hAnsiTheme="majorBidi" w:cstheme="majorBidi"/>
          <w:iCs/>
        </w:rPr>
      </w:pPr>
      <w:r w:rsidRPr="00A95C35">
        <w:rPr>
          <w:rFonts w:asciiTheme="majorBidi" w:hAnsiTheme="majorBidi" w:cstheme="majorBidi"/>
          <w:b/>
          <w:i/>
          <w:iCs/>
        </w:rPr>
        <w:br/>
      </w:r>
      <w:r w:rsidR="00D3014C" w:rsidRPr="00A95C35">
        <w:rPr>
          <w:rFonts w:asciiTheme="majorBidi" w:hAnsiTheme="majorBidi" w:cstheme="majorBidi"/>
          <w:b/>
          <w:i/>
          <w:iCs/>
        </w:rPr>
        <w:t>Outbound CATI prompting (phase 2).</w:t>
      </w:r>
      <w:r w:rsidR="00D3014C" w:rsidRPr="00A95C35">
        <w:rPr>
          <w:rFonts w:asciiTheme="majorBidi" w:hAnsiTheme="majorBidi" w:cstheme="majorBidi"/>
          <w:iCs/>
        </w:rPr>
        <w:t xml:space="preserve"> After phase 1 data collection which is self-administered via the web (except for instances when sample members call in to the help desk), phase 2 will initiate another mode of data collection. Telephone interviewers will begin making outbound calls to prompt for self-administration or to conduct telephone interviews. No additional incentives will be offered during phase 2.</w:t>
      </w:r>
    </w:p>
    <w:p w14:paraId="2748F6E1" w14:textId="77777777" w:rsidR="00D3014C" w:rsidRPr="00A95C35" w:rsidRDefault="00D3014C" w:rsidP="00D3014C">
      <w:pPr>
        <w:pStyle w:val="bodytextpsg"/>
        <w:numPr>
          <w:ilvl w:val="0"/>
          <w:numId w:val="17"/>
        </w:numPr>
        <w:spacing w:after="120" w:line="23" w:lineRule="atLeast"/>
        <w:ind w:left="648"/>
        <w:rPr>
          <w:rFonts w:asciiTheme="majorBidi" w:hAnsiTheme="majorBidi" w:cstheme="majorBidi"/>
          <w:iCs/>
        </w:rPr>
      </w:pPr>
      <w:r w:rsidRPr="00A95C35">
        <w:rPr>
          <w:rFonts w:asciiTheme="majorBidi" w:hAnsiTheme="majorBidi" w:cstheme="majorBidi"/>
          <w:iCs/>
        </w:rPr>
        <w:t>Subgroup 1 will begin outbound CATI earlier than the other subgroups, to allow additional time for telephone interviewers to work these high priority cases.</w:t>
      </w:r>
    </w:p>
    <w:p w14:paraId="3533E52A" w14:textId="77777777" w:rsidR="00D3014C" w:rsidRPr="00A95C35" w:rsidRDefault="00D3014C" w:rsidP="00D3014C">
      <w:pPr>
        <w:pStyle w:val="bodytextpsg"/>
        <w:spacing w:after="120" w:line="23" w:lineRule="atLeast"/>
        <w:rPr>
          <w:rStyle w:val="IntenseQuoteChar"/>
          <w:rFonts w:asciiTheme="majorBidi" w:hAnsiTheme="majorBidi" w:cstheme="majorBidi"/>
          <w:bCs/>
          <w:i w:val="0"/>
          <w:iCs w:val="0"/>
          <w:color w:val="auto"/>
        </w:rPr>
      </w:pPr>
      <w:r w:rsidRPr="00A95C35">
        <w:rPr>
          <w:rStyle w:val="IntenseQuoteChar"/>
          <w:rFonts w:asciiTheme="majorBidi" w:hAnsiTheme="majorBidi" w:cstheme="majorBidi"/>
          <w:b/>
          <w:bCs/>
          <w:color w:val="auto"/>
        </w:rPr>
        <w:t>Incentive boosts (phases 3 and 4).</w:t>
      </w:r>
      <w:r w:rsidRPr="00A95C35">
        <w:rPr>
          <w:rStyle w:val="IntenseQuoteChar"/>
          <w:rFonts w:asciiTheme="majorBidi" w:hAnsiTheme="majorBidi" w:cstheme="majorBidi"/>
          <w:bCs/>
          <w:color w:val="auto"/>
        </w:rPr>
        <w:t xml:space="preserve"> P</w:t>
      </w:r>
      <w:r w:rsidRPr="00A95C35">
        <w:rPr>
          <w:rFonts w:asciiTheme="majorBidi" w:hAnsiTheme="majorBidi" w:cstheme="majorBidi"/>
          <w:bCs/>
        </w:rPr>
        <w:t xml:space="preserve">hases 3 and 4 introduce the use of responsive design with the bias likelihood model. Targeted cases will be offered an incentive boost in addition to the baseline incentive offer. </w:t>
      </w:r>
      <w:r w:rsidRPr="00A95C35">
        <w:rPr>
          <w:rStyle w:val="IntenseQuoteChar"/>
          <w:rFonts w:asciiTheme="majorBidi" w:hAnsiTheme="majorBidi" w:cstheme="majorBidi"/>
          <w:bCs/>
          <w:color w:val="auto"/>
        </w:rPr>
        <w:t>The calibration samples will allow for testing of incentive boost amounts on a subset of the remaining nonrespondents in phases 3 and 4, and the results will inform the incentive boost implementation plan for the main samples. Prior to the start of the main sample data collection for phases 3 and 4, calibration sample response rates will be evaluated. An ANOVA-based model will be used to perform pairwise contrasts between the different incentive boost amounts offered to the treatment and control groups in each phase. NCES and OMB will meet to review the results of the calibration experiment and determine the optimal incentive boost amount for each of the subgroups.</w:t>
      </w:r>
    </w:p>
    <w:p w14:paraId="22EB446A" w14:textId="77777777" w:rsidR="00D3014C" w:rsidRPr="00A95C35" w:rsidRDefault="00D3014C" w:rsidP="00D3014C">
      <w:pPr>
        <w:pStyle w:val="bodytextpsg"/>
        <w:numPr>
          <w:ilvl w:val="0"/>
          <w:numId w:val="16"/>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1 (high school late/alternative/non-completers) will be offered an incentive boost of either $15 or $25, on top of the baseline incentive they were offered in phase 1. The optimal amount (to be determined in consultation with OMB) based on the calibration sample results, will be offered to all remaining nonrespondents in subgroup 1.</w:t>
      </w:r>
    </w:p>
    <w:p w14:paraId="36AC6D47" w14:textId="77777777" w:rsidR="00D3014C" w:rsidRPr="00A95C35" w:rsidRDefault="00D3014C" w:rsidP="00D3014C">
      <w:pPr>
        <w:pStyle w:val="bodytextpsg"/>
        <w:numPr>
          <w:ilvl w:val="0"/>
          <w:numId w:val="16"/>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The subset of subgroup 2 (ultra-cooperative respondents) cases that are targeted for intervention, based on bias likelihood modeling, will be offered an incentive boost of either $10 or $20, and the optimal amount (to be determined in consultation with OMB) will be offered only to targeted cases among the remaining subgroup 2 nonrespondents.</w:t>
      </w:r>
    </w:p>
    <w:p w14:paraId="0FE8FD4F" w14:textId="77777777" w:rsidR="00D3014C" w:rsidRPr="00A95C35" w:rsidRDefault="00D3014C" w:rsidP="00D3014C">
      <w:pPr>
        <w:pStyle w:val="bodytextpsg"/>
        <w:numPr>
          <w:ilvl w:val="0"/>
          <w:numId w:val="16"/>
        </w:numPr>
        <w:spacing w:after="120" w:line="23" w:lineRule="atLeast"/>
        <w:ind w:left="450"/>
      </w:pPr>
      <w:r w:rsidRPr="00A95C35">
        <w:rPr>
          <w:rStyle w:val="IntenseQuoteChar"/>
          <w:rFonts w:asciiTheme="majorBidi" w:hAnsiTheme="majorBidi" w:cstheme="majorBidi"/>
          <w:bCs/>
          <w:color w:val="auto"/>
        </w:rPr>
        <w:t>The subset of subgroup 3 (high school completers and unknowns) cases that are targeted for intervention, based on bias likelihood modeling, will be offered an incentive boost of either $10 or $20, and the optimal amount (to be determined in consultation with OMB) will be offered only to targeted cases among the remaining subgroup 3 nonrespondents.</w:t>
      </w:r>
    </w:p>
    <w:p w14:paraId="0AA0F78D" w14:textId="77777777" w:rsidR="00AE4148" w:rsidRPr="00A95C35" w:rsidRDefault="00AE4148">
      <w:pPr>
        <w:rPr>
          <w:b/>
          <w:szCs w:val="20"/>
        </w:rPr>
      </w:pPr>
      <w:bookmarkStart w:id="5" w:name="_Toc433779240"/>
      <w:r w:rsidRPr="00A95C35">
        <w:br w:type="page"/>
      </w:r>
    </w:p>
    <w:p w14:paraId="784A823C" w14:textId="7C98BD3E" w:rsidR="00D3014C" w:rsidRPr="00A95C35" w:rsidRDefault="00D3014C" w:rsidP="00D3014C">
      <w:pPr>
        <w:pStyle w:val="ExhibitTitle"/>
        <w:spacing w:line="23" w:lineRule="atLeast"/>
      </w:pPr>
      <w:r w:rsidRPr="00A95C35">
        <w:lastRenderedPageBreak/>
        <w:t>Exhibit B-9. Main study baseline and incentive boost experiments</w:t>
      </w:r>
      <w:bookmarkEnd w:id="5"/>
    </w:p>
    <w:tbl>
      <w:tblPr>
        <w:tblStyle w:val="TableGrid"/>
        <w:tblW w:w="5000" w:type="pct"/>
        <w:tblLayout w:type="fixed"/>
        <w:tblLook w:val="04A0" w:firstRow="1" w:lastRow="0" w:firstColumn="1" w:lastColumn="0" w:noHBand="0" w:noVBand="1"/>
      </w:tblPr>
      <w:tblGrid>
        <w:gridCol w:w="2027"/>
        <w:gridCol w:w="3649"/>
        <w:gridCol w:w="1094"/>
        <w:gridCol w:w="1907"/>
        <w:gridCol w:w="1907"/>
      </w:tblGrid>
      <w:tr w:rsidR="00F11A5F" w:rsidRPr="00A95C35" w14:paraId="44FC6DED" w14:textId="77777777" w:rsidTr="00C55CAB">
        <w:trPr>
          <w:trHeight w:val="300"/>
          <w:tblHeader/>
        </w:trPr>
        <w:tc>
          <w:tcPr>
            <w:tcW w:w="957" w:type="pct"/>
            <w:shd w:val="clear" w:color="auto" w:fill="D9D9D9" w:themeFill="background1" w:themeFillShade="D9"/>
            <w:hideMark/>
          </w:tcPr>
          <w:p w14:paraId="5D731D06" w14:textId="77777777" w:rsidR="00D3014C" w:rsidRPr="00A95C35" w:rsidRDefault="00D3014C" w:rsidP="00C55CAB">
            <w:pPr>
              <w:pStyle w:val="bodytextpsg"/>
              <w:spacing w:after="0" w:line="23" w:lineRule="atLeast"/>
              <w:rPr>
                <w:rFonts w:ascii="Arial" w:hAnsi="Arial"/>
                <w:b/>
                <w:bCs/>
                <w:sz w:val="20"/>
                <w:szCs w:val="20"/>
              </w:rPr>
            </w:pPr>
          </w:p>
        </w:tc>
        <w:tc>
          <w:tcPr>
            <w:tcW w:w="1724" w:type="pct"/>
            <w:shd w:val="clear" w:color="auto" w:fill="D9D9D9" w:themeFill="background1" w:themeFillShade="D9"/>
            <w:vAlign w:val="center"/>
            <w:hideMark/>
          </w:tcPr>
          <w:p w14:paraId="242D584E"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Incentive Phase</w:t>
            </w:r>
          </w:p>
        </w:tc>
        <w:tc>
          <w:tcPr>
            <w:tcW w:w="517" w:type="pct"/>
            <w:shd w:val="clear" w:color="auto" w:fill="D9D9D9" w:themeFill="background1" w:themeFillShade="D9"/>
            <w:vAlign w:val="center"/>
            <w:hideMark/>
          </w:tcPr>
          <w:p w14:paraId="7AA17C1A"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Amount</w:t>
            </w:r>
          </w:p>
        </w:tc>
        <w:tc>
          <w:tcPr>
            <w:tcW w:w="901" w:type="pct"/>
            <w:shd w:val="clear" w:color="auto" w:fill="D9D9D9" w:themeFill="background1" w:themeFillShade="D9"/>
            <w:vAlign w:val="center"/>
            <w:hideMark/>
          </w:tcPr>
          <w:p w14:paraId="2022F47F"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Total Cumulative Incentives Offered</w:t>
            </w:r>
          </w:p>
        </w:tc>
        <w:tc>
          <w:tcPr>
            <w:tcW w:w="901" w:type="pct"/>
            <w:shd w:val="clear" w:color="auto" w:fill="D9D9D9" w:themeFill="background1" w:themeFillShade="D9"/>
            <w:vAlign w:val="center"/>
            <w:hideMark/>
          </w:tcPr>
          <w:p w14:paraId="780A7A22"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Estimated Number of Cases to be Worked</w:t>
            </w:r>
          </w:p>
        </w:tc>
      </w:tr>
      <w:tr w:rsidR="00F11A5F" w:rsidRPr="00A95C35" w14:paraId="28EDEF3C" w14:textId="77777777" w:rsidTr="00C55CAB">
        <w:trPr>
          <w:trHeight w:val="300"/>
        </w:trPr>
        <w:tc>
          <w:tcPr>
            <w:tcW w:w="957" w:type="pct"/>
            <w:vMerge w:val="restart"/>
            <w:vAlign w:val="center"/>
            <w:hideMark/>
          </w:tcPr>
          <w:p w14:paraId="2311F571"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High School Late/Alternative/Non-Completers</w:t>
            </w:r>
          </w:p>
        </w:tc>
        <w:tc>
          <w:tcPr>
            <w:tcW w:w="1724" w:type="pct"/>
            <w:hideMark/>
          </w:tcPr>
          <w:p w14:paraId="0301A973"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Base Incentive </w:t>
            </w:r>
          </w:p>
        </w:tc>
        <w:tc>
          <w:tcPr>
            <w:tcW w:w="517" w:type="pct"/>
            <w:hideMark/>
          </w:tcPr>
          <w:p w14:paraId="71CE597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$30 </w:t>
            </w:r>
          </w:p>
        </w:tc>
        <w:tc>
          <w:tcPr>
            <w:tcW w:w="901" w:type="pct"/>
            <w:vMerge w:val="restart"/>
            <w:hideMark/>
          </w:tcPr>
          <w:p w14:paraId="144C4A3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$30 to $50</w:t>
            </w:r>
          </w:p>
        </w:tc>
        <w:tc>
          <w:tcPr>
            <w:tcW w:w="901" w:type="pct"/>
            <w:hideMark/>
          </w:tcPr>
          <w:p w14:paraId="4DC8BC55"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170</w:t>
            </w:r>
          </w:p>
        </w:tc>
      </w:tr>
      <w:tr w:rsidR="00F11A5F" w:rsidRPr="00A95C35" w14:paraId="27650603" w14:textId="77777777" w:rsidTr="00C55CAB">
        <w:trPr>
          <w:trHeight w:val="300"/>
        </w:trPr>
        <w:tc>
          <w:tcPr>
            <w:tcW w:w="957" w:type="pct"/>
            <w:vMerge/>
            <w:vAlign w:val="center"/>
            <w:hideMark/>
          </w:tcPr>
          <w:p w14:paraId="4AFF88EB"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48347B15"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(all calibration sample cases)</w:t>
            </w:r>
          </w:p>
        </w:tc>
        <w:tc>
          <w:tcPr>
            <w:tcW w:w="517" w:type="pct"/>
            <w:hideMark/>
          </w:tcPr>
          <w:p w14:paraId="2062BB0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$40 </w:t>
            </w:r>
          </w:p>
        </w:tc>
        <w:tc>
          <w:tcPr>
            <w:tcW w:w="901" w:type="pct"/>
            <w:vMerge/>
            <w:hideMark/>
          </w:tcPr>
          <w:p w14:paraId="06AEED8B"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FDB9EB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170</w:t>
            </w:r>
          </w:p>
        </w:tc>
      </w:tr>
      <w:tr w:rsidR="00F11A5F" w:rsidRPr="00A95C35" w14:paraId="2F4AF524" w14:textId="77777777" w:rsidTr="00C55CAB">
        <w:trPr>
          <w:trHeight w:val="300"/>
        </w:trPr>
        <w:tc>
          <w:tcPr>
            <w:tcW w:w="957" w:type="pct"/>
            <w:vMerge/>
            <w:vAlign w:val="center"/>
            <w:hideMark/>
          </w:tcPr>
          <w:p w14:paraId="69A45CA8"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61838261"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0D2DABE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$50 </w:t>
            </w:r>
          </w:p>
        </w:tc>
        <w:tc>
          <w:tcPr>
            <w:tcW w:w="901" w:type="pct"/>
            <w:vMerge/>
            <w:hideMark/>
          </w:tcPr>
          <w:p w14:paraId="2C29005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3BFE8BE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169</w:t>
            </w:r>
          </w:p>
        </w:tc>
      </w:tr>
      <w:tr w:rsidR="00F11A5F" w:rsidRPr="00A95C35" w14:paraId="71840D92" w14:textId="77777777" w:rsidTr="00C55CAB">
        <w:trPr>
          <w:trHeight w:val="300"/>
        </w:trPr>
        <w:tc>
          <w:tcPr>
            <w:tcW w:w="957" w:type="pct"/>
            <w:vMerge/>
            <w:vAlign w:val="center"/>
            <w:hideMark/>
          </w:tcPr>
          <w:p w14:paraId="69AB2B16"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66A0CFF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(all remaining calibration sample nonrespondents)</w:t>
            </w:r>
          </w:p>
        </w:tc>
        <w:tc>
          <w:tcPr>
            <w:tcW w:w="517" w:type="pct"/>
            <w:hideMark/>
          </w:tcPr>
          <w:p w14:paraId="42583DC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$15 </w:t>
            </w:r>
          </w:p>
        </w:tc>
        <w:tc>
          <w:tcPr>
            <w:tcW w:w="901" w:type="pct"/>
            <w:vMerge w:val="restart"/>
            <w:hideMark/>
          </w:tcPr>
          <w:p w14:paraId="4E46FAD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$45 to $75</w:t>
            </w:r>
          </w:p>
        </w:tc>
        <w:tc>
          <w:tcPr>
            <w:tcW w:w="901" w:type="pct"/>
            <w:hideMark/>
          </w:tcPr>
          <w:p w14:paraId="141129F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158</w:t>
            </w:r>
          </w:p>
        </w:tc>
      </w:tr>
      <w:tr w:rsidR="00F11A5F" w:rsidRPr="00A95C35" w14:paraId="79F894B9" w14:textId="77777777" w:rsidTr="00C55CAB">
        <w:trPr>
          <w:trHeight w:val="300"/>
        </w:trPr>
        <w:tc>
          <w:tcPr>
            <w:tcW w:w="957" w:type="pct"/>
            <w:vMerge/>
            <w:vAlign w:val="center"/>
            <w:hideMark/>
          </w:tcPr>
          <w:p w14:paraId="72098B41"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73302822"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1980935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$25 </w:t>
            </w:r>
          </w:p>
        </w:tc>
        <w:tc>
          <w:tcPr>
            <w:tcW w:w="901" w:type="pct"/>
            <w:vMerge/>
            <w:hideMark/>
          </w:tcPr>
          <w:p w14:paraId="74A25017"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11E7857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158</w:t>
            </w:r>
          </w:p>
        </w:tc>
      </w:tr>
      <w:tr w:rsidR="00F11A5F" w:rsidRPr="00A95C35" w14:paraId="64896B21" w14:textId="77777777" w:rsidTr="00C55CAB">
        <w:trPr>
          <w:trHeight w:val="300"/>
        </w:trPr>
        <w:tc>
          <w:tcPr>
            <w:tcW w:w="957" w:type="pct"/>
            <w:vMerge/>
            <w:vAlign w:val="center"/>
            <w:hideMark/>
          </w:tcPr>
          <w:p w14:paraId="506E83A1"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3ABC8C3C"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(all remaining calibration sample nonrespondents)</w:t>
            </w:r>
          </w:p>
        </w:tc>
        <w:tc>
          <w:tcPr>
            <w:tcW w:w="517" w:type="pct"/>
            <w:hideMark/>
          </w:tcPr>
          <w:p w14:paraId="6E5C9DF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72258B4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$55 to $95</w:t>
            </w:r>
          </w:p>
        </w:tc>
        <w:tc>
          <w:tcPr>
            <w:tcW w:w="901" w:type="pct"/>
            <w:hideMark/>
          </w:tcPr>
          <w:p w14:paraId="255C648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102</w:t>
            </w:r>
          </w:p>
        </w:tc>
      </w:tr>
      <w:tr w:rsidR="00F11A5F" w:rsidRPr="00A95C35" w14:paraId="244E6AF4" w14:textId="77777777" w:rsidTr="00C55CAB">
        <w:trPr>
          <w:trHeight w:val="300"/>
        </w:trPr>
        <w:tc>
          <w:tcPr>
            <w:tcW w:w="957" w:type="pct"/>
            <w:vMerge/>
            <w:vAlign w:val="center"/>
            <w:hideMark/>
          </w:tcPr>
          <w:p w14:paraId="06DFB3E6"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4F05290A"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14043E1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01CF1A4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012FDD6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102</w:t>
            </w:r>
          </w:p>
        </w:tc>
      </w:tr>
      <w:tr w:rsidR="00F11A5F" w:rsidRPr="00A95C35" w14:paraId="794FB441" w14:textId="77777777" w:rsidTr="00C55CAB">
        <w:trPr>
          <w:trHeight w:val="300"/>
        </w:trPr>
        <w:tc>
          <w:tcPr>
            <w:tcW w:w="957" w:type="pct"/>
            <w:vMerge w:val="restart"/>
            <w:vAlign w:val="center"/>
            <w:hideMark/>
          </w:tcPr>
          <w:p w14:paraId="6F69E0A2"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Ultra-Cooperative Respondents</w:t>
            </w:r>
          </w:p>
        </w:tc>
        <w:tc>
          <w:tcPr>
            <w:tcW w:w="1724" w:type="pct"/>
            <w:hideMark/>
          </w:tcPr>
          <w:p w14:paraId="4BDB9748"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Base Incentive (all calibration sample cases)</w:t>
            </w:r>
          </w:p>
        </w:tc>
        <w:tc>
          <w:tcPr>
            <w:tcW w:w="517" w:type="pct"/>
            <w:vMerge w:val="restart"/>
            <w:hideMark/>
          </w:tcPr>
          <w:p w14:paraId="4247811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$0</w:t>
            </w:r>
          </w:p>
        </w:tc>
        <w:tc>
          <w:tcPr>
            <w:tcW w:w="901" w:type="pct"/>
            <w:vMerge w:val="restart"/>
            <w:hideMark/>
          </w:tcPr>
          <w:p w14:paraId="4C304AB0"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$0</w:t>
            </w:r>
          </w:p>
        </w:tc>
        <w:tc>
          <w:tcPr>
            <w:tcW w:w="901" w:type="pct"/>
            <w:vMerge w:val="restart"/>
            <w:hideMark/>
          </w:tcPr>
          <w:p w14:paraId="73AE1B06"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154</w:t>
            </w:r>
          </w:p>
        </w:tc>
      </w:tr>
      <w:tr w:rsidR="00F11A5F" w:rsidRPr="00A95C35" w14:paraId="2ABFF04E" w14:textId="77777777" w:rsidTr="00C55CAB">
        <w:trPr>
          <w:trHeight w:val="300"/>
        </w:trPr>
        <w:tc>
          <w:tcPr>
            <w:tcW w:w="957" w:type="pct"/>
            <w:vMerge/>
            <w:vAlign w:val="center"/>
            <w:hideMark/>
          </w:tcPr>
          <w:p w14:paraId="01C32438" w14:textId="77777777" w:rsidR="00D3014C" w:rsidRPr="00A95C35" w:rsidRDefault="00D3014C" w:rsidP="00C55CAB">
            <w:pPr>
              <w:pStyle w:val="bodytextpsg"/>
              <w:spacing w:after="0" w:line="23" w:lineRule="atLeast"/>
              <w:rPr>
                <w:rFonts w:ascii="Arial" w:hAnsi="Arial"/>
                <w:b/>
                <w:bCs/>
                <w:sz w:val="20"/>
                <w:szCs w:val="20"/>
              </w:rPr>
            </w:pPr>
          </w:p>
        </w:tc>
        <w:tc>
          <w:tcPr>
            <w:tcW w:w="1724" w:type="pct"/>
          </w:tcPr>
          <w:p w14:paraId="36511C89" w14:textId="77777777" w:rsidR="00D3014C" w:rsidRPr="00A95C35" w:rsidRDefault="00D3014C" w:rsidP="00C55CAB">
            <w:pPr>
              <w:pStyle w:val="bodytextpsg"/>
              <w:spacing w:after="0" w:line="23" w:lineRule="atLeast"/>
              <w:rPr>
                <w:rFonts w:ascii="Arial" w:hAnsi="Arial"/>
                <w:sz w:val="20"/>
                <w:szCs w:val="20"/>
              </w:rPr>
            </w:pPr>
          </w:p>
        </w:tc>
        <w:tc>
          <w:tcPr>
            <w:tcW w:w="517" w:type="pct"/>
            <w:vMerge/>
            <w:hideMark/>
          </w:tcPr>
          <w:p w14:paraId="60C0835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547BB410"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28B7B5A3"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4DB340B9" w14:textId="77777777" w:rsidTr="00C55CAB">
        <w:trPr>
          <w:trHeight w:val="300"/>
        </w:trPr>
        <w:tc>
          <w:tcPr>
            <w:tcW w:w="957" w:type="pct"/>
            <w:vMerge/>
            <w:vAlign w:val="center"/>
            <w:hideMark/>
          </w:tcPr>
          <w:p w14:paraId="20729BC2"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67CE1686"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(for targeted cases only: combined with subsample 3)</w:t>
            </w:r>
          </w:p>
        </w:tc>
        <w:tc>
          <w:tcPr>
            <w:tcW w:w="517" w:type="pct"/>
            <w:hideMark/>
          </w:tcPr>
          <w:p w14:paraId="6843039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6DEDD42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 to $20 targeted; $0 otherwise</w:t>
            </w:r>
          </w:p>
        </w:tc>
        <w:tc>
          <w:tcPr>
            <w:tcW w:w="901" w:type="pct"/>
            <w:vMerge w:val="restart"/>
            <w:hideMark/>
          </w:tcPr>
          <w:p w14:paraId="57F0D89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(very few if any cases expected to be selected)</w:t>
            </w:r>
          </w:p>
        </w:tc>
      </w:tr>
      <w:tr w:rsidR="00F11A5F" w:rsidRPr="00A95C35" w14:paraId="2084DC7A" w14:textId="77777777" w:rsidTr="00C55CAB">
        <w:trPr>
          <w:trHeight w:val="300"/>
        </w:trPr>
        <w:tc>
          <w:tcPr>
            <w:tcW w:w="957" w:type="pct"/>
            <w:vMerge/>
            <w:vAlign w:val="center"/>
            <w:hideMark/>
          </w:tcPr>
          <w:p w14:paraId="70C6E7CC"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19B78136"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2FE4B116"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736A62DE"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535FE299"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41B74199" w14:textId="77777777" w:rsidTr="00C55CAB">
        <w:trPr>
          <w:trHeight w:val="300"/>
        </w:trPr>
        <w:tc>
          <w:tcPr>
            <w:tcW w:w="957" w:type="pct"/>
            <w:vMerge/>
            <w:vAlign w:val="center"/>
            <w:hideMark/>
          </w:tcPr>
          <w:p w14:paraId="240B0672"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5602F9E3"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(for targeted cases only: combined with subsample 3)</w:t>
            </w:r>
          </w:p>
        </w:tc>
        <w:tc>
          <w:tcPr>
            <w:tcW w:w="517" w:type="pct"/>
            <w:hideMark/>
          </w:tcPr>
          <w:p w14:paraId="4B39555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718B458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 to $40 targeted; $0 to $20 otherwise</w:t>
            </w:r>
          </w:p>
        </w:tc>
        <w:tc>
          <w:tcPr>
            <w:tcW w:w="901" w:type="pct"/>
            <w:vMerge w:val="restart"/>
            <w:hideMark/>
          </w:tcPr>
          <w:p w14:paraId="06F6B62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(very few if any cases expected to be selected)</w:t>
            </w:r>
          </w:p>
        </w:tc>
      </w:tr>
      <w:tr w:rsidR="00F11A5F" w:rsidRPr="00A95C35" w14:paraId="279AF99A" w14:textId="77777777" w:rsidTr="00C55CAB">
        <w:trPr>
          <w:trHeight w:val="300"/>
        </w:trPr>
        <w:tc>
          <w:tcPr>
            <w:tcW w:w="957" w:type="pct"/>
            <w:vMerge/>
            <w:vAlign w:val="center"/>
            <w:hideMark/>
          </w:tcPr>
          <w:p w14:paraId="2E5C6A57"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2A686AB1"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02D1CF0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60051BA"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154C3507"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6BF58E4F" w14:textId="77777777" w:rsidTr="00C55CAB">
        <w:trPr>
          <w:trHeight w:val="300"/>
        </w:trPr>
        <w:tc>
          <w:tcPr>
            <w:tcW w:w="957" w:type="pct"/>
            <w:vMerge w:val="restart"/>
            <w:vAlign w:val="center"/>
            <w:hideMark/>
          </w:tcPr>
          <w:p w14:paraId="7F665B4A"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High School Completers and Unknowns</w:t>
            </w:r>
          </w:p>
        </w:tc>
        <w:tc>
          <w:tcPr>
            <w:tcW w:w="1724" w:type="pct"/>
            <w:hideMark/>
          </w:tcPr>
          <w:p w14:paraId="14C917A0"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Base Incentive </w:t>
            </w:r>
          </w:p>
        </w:tc>
        <w:tc>
          <w:tcPr>
            <w:tcW w:w="517" w:type="pct"/>
            <w:hideMark/>
          </w:tcPr>
          <w:p w14:paraId="019C24C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$15 </w:t>
            </w:r>
          </w:p>
        </w:tc>
        <w:tc>
          <w:tcPr>
            <w:tcW w:w="901" w:type="pct"/>
            <w:vMerge w:val="restart"/>
            <w:hideMark/>
          </w:tcPr>
          <w:p w14:paraId="5E3B9CF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 to $40</w:t>
            </w:r>
          </w:p>
        </w:tc>
        <w:tc>
          <w:tcPr>
            <w:tcW w:w="901" w:type="pct"/>
            <w:hideMark/>
          </w:tcPr>
          <w:p w14:paraId="300286A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330</w:t>
            </w:r>
          </w:p>
        </w:tc>
      </w:tr>
      <w:tr w:rsidR="00F11A5F" w:rsidRPr="00A95C35" w14:paraId="72C32241" w14:textId="77777777" w:rsidTr="00C55CAB">
        <w:trPr>
          <w:trHeight w:val="300"/>
        </w:trPr>
        <w:tc>
          <w:tcPr>
            <w:tcW w:w="957" w:type="pct"/>
            <w:vMerge/>
            <w:hideMark/>
          </w:tcPr>
          <w:p w14:paraId="46616961"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221491AC"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(all calibration sample cases)</w:t>
            </w:r>
          </w:p>
        </w:tc>
        <w:tc>
          <w:tcPr>
            <w:tcW w:w="517" w:type="pct"/>
            <w:hideMark/>
          </w:tcPr>
          <w:p w14:paraId="0A25286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E8B1A9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49879DF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13084691" w14:textId="77777777" w:rsidTr="00C55CAB">
        <w:trPr>
          <w:trHeight w:val="300"/>
        </w:trPr>
        <w:tc>
          <w:tcPr>
            <w:tcW w:w="957" w:type="pct"/>
            <w:vMerge/>
            <w:hideMark/>
          </w:tcPr>
          <w:p w14:paraId="4306138B"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5B28A61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4179B8F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$25 </w:t>
            </w:r>
          </w:p>
        </w:tc>
        <w:tc>
          <w:tcPr>
            <w:tcW w:w="901" w:type="pct"/>
            <w:vMerge/>
            <w:hideMark/>
          </w:tcPr>
          <w:p w14:paraId="75B8F2E7"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534B83B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3809EE5B" w14:textId="77777777" w:rsidTr="00C55CAB">
        <w:trPr>
          <w:trHeight w:val="300"/>
        </w:trPr>
        <w:tc>
          <w:tcPr>
            <w:tcW w:w="957" w:type="pct"/>
            <w:vMerge/>
            <w:hideMark/>
          </w:tcPr>
          <w:p w14:paraId="3F87E8AA"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5BF5A03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7911463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$30 </w:t>
            </w:r>
          </w:p>
        </w:tc>
        <w:tc>
          <w:tcPr>
            <w:tcW w:w="901" w:type="pct"/>
            <w:vMerge/>
            <w:hideMark/>
          </w:tcPr>
          <w:p w14:paraId="26C0523A"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3B1F3A3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426992E5" w14:textId="77777777" w:rsidTr="00C55CAB">
        <w:trPr>
          <w:trHeight w:val="300"/>
        </w:trPr>
        <w:tc>
          <w:tcPr>
            <w:tcW w:w="957" w:type="pct"/>
            <w:vMerge/>
            <w:hideMark/>
          </w:tcPr>
          <w:p w14:paraId="7009FBBD"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4A0B63F7"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3206E08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$35 </w:t>
            </w:r>
          </w:p>
        </w:tc>
        <w:tc>
          <w:tcPr>
            <w:tcW w:w="901" w:type="pct"/>
            <w:vMerge/>
            <w:hideMark/>
          </w:tcPr>
          <w:p w14:paraId="4CE1A20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07116C0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131705ED" w14:textId="77777777" w:rsidTr="00C55CAB">
        <w:trPr>
          <w:trHeight w:val="300"/>
        </w:trPr>
        <w:tc>
          <w:tcPr>
            <w:tcW w:w="957" w:type="pct"/>
            <w:vMerge/>
            <w:hideMark/>
          </w:tcPr>
          <w:p w14:paraId="673532EE"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7EEFC932"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5006833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$40 </w:t>
            </w:r>
          </w:p>
        </w:tc>
        <w:tc>
          <w:tcPr>
            <w:tcW w:w="901" w:type="pct"/>
            <w:vMerge/>
            <w:hideMark/>
          </w:tcPr>
          <w:p w14:paraId="24E4BF2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68623C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587A79BB" w14:textId="77777777" w:rsidTr="00C55CAB">
        <w:trPr>
          <w:trHeight w:val="300"/>
        </w:trPr>
        <w:tc>
          <w:tcPr>
            <w:tcW w:w="957" w:type="pct"/>
            <w:vMerge/>
            <w:hideMark/>
          </w:tcPr>
          <w:p w14:paraId="754B01FA"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5997CC74"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(for targeted cases: 1/2 of non-respondents)</w:t>
            </w:r>
          </w:p>
        </w:tc>
        <w:tc>
          <w:tcPr>
            <w:tcW w:w="517" w:type="pct"/>
            <w:hideMark/>
          </w:tcPr>
          <w:p w14:paraId="2F8B6911"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124A6C5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 to $60 targeted; $15 to $40 otherwise</w:t>
            </w:r>
          </w:p>
        </w:tc>
        <w:tc>
          <w:tcPr>
            <w:tcW w:w="901" w:type="pct"/>
            <w:hideMark/>
          </w:tcPr>
          <w:p w14:paraId="4C2C3F05"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250</w:t>
            </w:r>
          </w:p>
        </w:tc>
      </w:tr>
      <w:tr w:rsidR="00F11A5F" w:rsidRPr="00A95C35" w14:paraId="3EC90F09" w14:textId="77777777" w:rsidTr="00C55CAB">
        <w:trPr>
          <w:trHeight w:val="300"/>
        </w:trPr>
        <w:tc>
          <w:tcPr>
            <w:tcW w:w="957" w:type="pct"/>
            <w:vMerge/>
            <w:hideMark/>
          </w:tcPr>
          <w:p w14:paraId="6D9CEFBF"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38A6530C"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5FCCB31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B009C34"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1755EF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250</w:t>
            </w:r>
          </w:p>
        </w:tc>
      </w:tr>
      <w:tr w:rsidR="00F11A5F" w:rsidRPr="00A95C35" w14:paraId="50E24306" w14:textId="77777777" w:rsidTr="00C55CAB">
        <w:trPr>
          <w:trHeight w:val="300"/>
        </w:trPr>
        <w:tc>
          <w:tcPr>
            <w:tcW w:w="957" w:type="pct"/>
            <w:vMerge/>
            <w:hideMark/>
          </w:tcPr>
          <w:p w14:paraId="425295ED"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754E6DC6"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(for targeted cases: 1/2 of non-respondents)</w:t>
            </w:r>
          </w:p>
        </w:tc>
        <w:tc>
          <w:tcPr>
            <w:tcW w:w="517" w:type="pct"/>
            <w:hideMark/>
          </w:tcPr>
          <w:p w14:paraId="5CD64C79"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2440AE6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 to $80 targeted; $15 to $60 otherwise</w:t>
            </w:r>
          </w:p>
        </w:tc>
        <w:tc>
          <w:tcPr>
            <w:tcW w:w="901" w:type="pct"/>
            <w:hideMark/>
          </w:tcPr>
          <w:p w14:paraId="607057B9"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175</w:t>
            </w:r>
          </w:p>
        </w:tc>
      </w:tr>
      <w:tr w:rsidR="007E68D0" w:rsidRPr="00A95C35" w14:paraId="724172AA" w14:textId="77777777" w:rsidTr="00C55CAB">
        <w:trPr>
          <w:trHeight w:val="116"/>
        </w:trPr>
        <w:tc>
          <w:tcPr>
            <w:tcW w:w="957" w:type="pct"/>
            <w:vMerge/>
            <w:hideMark/>
          </w:tcPr>
          <w:p w14:paraId="13322FD3"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076161AF"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3DED3A9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50EE49D0"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609293E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175</w:t>
            </w:r>
          </w:p>
        </w:tc>
      </w:tr>
    </w:tbl>
    <w:p w14:paraId="53D8CADC" w14:textId="77777777" w:rsidR="00D3014C" w:rsidRPr="00A95C35" w:rsidRDefault="00D3014C" w:rsidP="00D3014C">
      <w:pPr>
        <w:pStyle w:val="bodytextpsg"/>
        <w:spacing w:after="120" w:line="23" w:lineRule="atLeast"/>
        <w:rPr>
          <w:rFonts w:asciiTheme="majorBidi" w:hAnsiTheme="majorBidi"/>
          <w:b/>
          <w:i/>
        </w:rPr>
      </w:pPr>
    </w:p>
    <w:p w14:paraId="3EEB315D" w14:textId="77777777" w:rsidR="00D3014C" w:rsidRPr="00A95C35" w:rsidRDefault="00D3014C" w:rsidP="00D3014C">
      <w:pPr>
        <w:pStyle w:val="bodytextpsg"/>
        <w:spacing w:after="120" w:line="23" w:lineRule="atLeast"/>
        <w:rPr>
          <w:rFonts w:asciiTheme="majorBidi" w:hAnsiTheme="majorBidi" w:cstheme="majorBidi"/>
          <w:i/>
          <w:iCs/>
        </w:rPr>
      </w:pPr>
      <w:r w:rsidRPr="00A95C35">
        <w:rPr>
          <w:rStyle w:val="IntenseEmphasis"/>
          <w:rFonts w:asciiTheme="majorBidi" w:hAnsiTheme="majorBidi" w:cstheme="majorBidi"/>
          <w:b/>
          <w:bCs/>
          <w:color w:val="auto"/>
        </w:rPr>
        <w:t>Additional treatments for targeted cases.</w:t>
      </w:r>
      <w:r w:rsidRPr="00A95C35">
        <w:rPr>
          <w:rFonts w:asciiTheme="majorBidi" w:hAnsiTheme="majorBidi" w:cstheme="majorBidi"/>
        </w:rPr>
        <w:t xml:space="preserve"> In addition to the monetary interventions described above, the HSLS:09 second follow-up main study design includes non-monetary treatments to be used with targeted cases.</w:t>
      </w:r>
    </w:p>
    <w:p w14:paraId="5FD195A6"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iCs/>
        </w:rPr>
        <w:t>Field interviewing (phase 5).</w:t>
      </w:r>
      <w:r w:rsidRPr="00A95C35">
        <w:rPr>
          <w:rFonts w:eastAsiaTheme="minorHAnsi"/>
        </w:rPr>
        <w:t xml:space="preserve"> </w:t>
      </w:r>
      <w:r w:rsidRPr="00A95C35">
        <w:rPr>
          <w:rFonts w:asciiTheme="majorBidi" w:hAnsiTheme="majorBidi" w:cstheme="majorBidi"/>
          <w:iCs/>
        </w:rPr>
        <w:t xml:space="preserve">Field interviewing will be conducted for all targeted nonrespondents at the same time; there will be no time lag between the calibration and main samples. </w:t>
      </w:r>
      <w:r w:rsidRPr="00A95C35">
        <w:rPr>
          <w:rFonts w:asciiTheme="majorBidi" w:hAnsiTheme="majorBidi" w:cstheme="majorBidi"/>
        </w:rPr>
        <w:t>Cases identified for targeted treatment (all high school late/alternative/non-completers, and sample members with high bias likelihood scores) will be considered for field interviewing. The decision to conduct field interviewing for a case may also be determined by other factors, such as the location of a case and its proximity to other likely field cases. Nontargeted cases may potentially be included in field interviewing if it is cost effective to do so. Conversely, given the expense of field interviewing, cases with a very low response likelihood may not be pursued.</w:t>
      </w:r>
    </w:p>
    <w:p w14:paraId="0666EB7B"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iCs/>
        </w:rPr>
        <w:t>Extended data collection (phase 6).</w:t>
      </w:r>
      <w:r w:rsidRPr="00A95C35">
        <w:rPr>
          <w:rFonts w:asciiTheme="majorBidi" w:hAnsiTheme="majorBidi" w:cstheme="majorBidi"/>
          <w:i/>
          <w:iCs/>
        </w:rPr>
        <w:t xml:space="preserve"> </w:t>
      </w:r>
      <w:r w:rsidRPr="00A95C35">
        <w:rPr>
          <w:rFonts w:asciiTheme="majorBidi" w:hAnsiTheme="majorBidi" w:cstheme="majorBidi"/>
        </w:rPr>
        <w:t>Cases identified for targeted treatment (all high school late/alternative/non-completers, and sample members with high bias likelihood scores) will be part of an extended data collection period. During this period (the last month of data collection), only targeted cases will be actively prompted to participate. Data collection will remain open for all other cases if they choose to participate, but effort to pursue those cases will be suspended.</w:t>
      </w:r>
    </w:p>
    <w:p w14:paraId="35648FEC" w14:textId="77777777" w:rsidR="00D3014C" w:rsidRPr="00A95C35" w:rsidRDefault="00D3014C" w:rsidP="0006440F">
      <w:pPr>
        <w:pStyle w:val="bodytextpsg"/>
        <w:spacing w:after="120" w:line="23" w:lineRule="atLeast"/>
        <w:rPr>
          <w:rStyle w:val="IntenseQuoteChar"/>
          <w:rFonts w:asciiTheme="majorBidi" w:hAnsiTheme="majorBidi"/>
          <w:color w:val="auto"/>
        </w:rPr>
      </w:pPr>
      <w:r w:rsidRPr="00A95C35">
        <w:rPr>
          <w:rStyle w:val="IntenseQuoteChar"/>
          <w:rFonts w:asciiTheme="majorBidi" w:hAnsiTheme="majorBidi" w:cstheme="majorBidi"/>
          <w:b/>
          <w:bCs/>
          <w:color w:val="auto"/>
        </w:rPr>
        <w:lastRenderedPageBreak/>
        <w:t>Model development.</w:t>
      </w:r>
      <w:r w:rsidRPr="00A95C35">
        <w:rPr>
          <w:rStyle w:val="IntenseQuoteChar"/>
          <w:rFonts w:asciiTheme="majorBidi" w:hAnsiTheme="majorBidi" w:cstheme="majorBidi"/>
          <w:color w:val="auto"/>
        </w:rPr>
        <w:t xml:space="preserve"> A critical element of any responsive design is the method used to identify cases that will receive special treatment. As described above, the primary goal of this approach is to improve sample representativeness. The bias likelihood model will help determine which cases are most needed to balance the responding sample, and the response likelihood model will help determine which cases may not be optimal for pursuing with targeted interventions so that project resources can be most effectively allocated. In this section, we describe our modeling approach and the variables to be considered for use as predictor variables for both the bias likelihood and the response likelihood models. Variables</w:t>
      </w:r>
      <w:r w:rsidRPr="00A95C35">
        <w:t xml:space="preserve"> will be drawn from data obtained in prior waves of data collection with this cohort (base-year, first follow-up, and 2013 Update survey data; high school transcripts; school characteristics; sampling frame information; and paradata). </w:t>
      </w:r>
      <w:r w:rsidRPr="00A95C35">
        <w:rPr>
          <w:rFonts w:asciiTheme="majorBidi" w:hAnsiTheme="majorBidi" w:cstheme="majorBidi"/>
        </w:rPr>
        <w:t>The models for the HSLS:09 second follow-up main study have been developed and will be refined from models for previous rounds of HSLS:09, ELS:2002, and other NCES studies, including BPS:12/14.</w:t>
      </w:r>
    </w:p>
    <w:p w14:paraId="6DF21A16" w14:textId="77777777" w:rsidR="00D3014C" w:rsidRPr="00A95C35" w:rsidRDefault="00D3014C" w:rsidP="0006440F">
      <w:pPr>
        <w:pStyle w:val="bodytextpsg"/>
        <w:spacing w:after="120" w:line="23" w:lineRule="atLeast"/>
        <w:rPr>
          <w:rFonts w:asciiTheme="majorBidi" w:hAnsiTheme="majorBidi" w:cstheme="majorBidi"/>
        </w:rPr>
      </w:pPr>
      <w:r w:rsidRPr="00A95C35">
        <w:rPr>
          <w:b/>
          <w:i/>
        </w:rPr>
        <w:t>Response Likelihood Model</w:t>
      </w:r>
      <w:r w:rsidRPr="00A95C35">
        <w:rPr>
          <w:b/>
          <w:i/>
          <w:sz w:val="20"/>
          <w:szCs w:val="20"/>
        </w:rPr>
        <w:t>.</w:t>
      </w:r>
      <w:r w:rsidRPr="00A95C35">
        <w:rPr>
          <w:i/>
          <w:sz w:val="20"/>
          <w:szCs w:val="20"/>
        </w:rPr>
        <w:t xml:space="preserve"> </w:t>
      </w:r>
      <w:r w:rsidRPr="00A95C35">
        <w:rPr>
          <w:rFonts w:asciiTheme="majorBidi" w:hAnsiTheme="majorBidi" w:cstheme="majorBidi"/>
        </w:rPr>
        <w:t>The response likelihood model will be run only once, before data collection begins. Using data obtained in prior waves that are correlated with response outcome (primarily paradata variables), we will fit a model predicting response outcome in the 2013 Update. We will then use the coefficients associated with the significant predictors to estimate the likelihood of response in the second follow-up main study, and each sample member will be assigned a likelihood score prior to the start of data collection. Exhibit B-10 lists the universe of predictor variables that will be considered for the response likelihood model.</w:t>
      </w:r>
    </w:p>
    <w:p w14:paraId="7BDFB786" w14:textId="77777777" w:rsidR="00D3014C" w:rsidRPr="00A95C35" w:rsidRDefault="00D3014C" w:rsidP="001C2531">
      <w:pPr>
        <w:pStyle w:val="bodytextpsg"/>
        <w:spacing w:after="120" w:line="23" w:lineRule="atLeast"/>
        <w:rPr>
          <w:rFonts w:asciiTheme="majorBidi" w:hAnsiTheme="majorBidi" w:cstheme="majorBidi"/>
        </w:rPr>
      </w:pPr>
      <w:r w:rsidRPr="00A95C35">
        <w:rPr>
          <w:rFonts w:asciiTheme="majorBidi" w:hAnsiTheme="majorBidi" w:cstheme="majorBidi"/>
        </w:rPr>
        <w:t>During data collection, the response likelihood scores will be used as a “filter” to assist in determining intervention resource allocation. For example, cases that have a very high likelihood of participation may not be offered an incentive boost, since they are likely to participate without it. The response likelihood score can also be used to exclude cases with very low likelihood from the field interviewing intervention. We will also consider using the response likelihood score to adjust the classification of cases in the subgroups. For example, cases with very high response likelihood scores could potentially be treated as “ultra-cooperative” cases. The primary objective of the response likelihood model is to provide information that will inform decisions about inclusion or exclusion of targeted cases for interventions, thereby controlling costs.</w:t>
      </w:r>
    </w:p>
    <w:p w14:paraId="5090817F"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rPr>
        <w:t>Bias Likelihood Model</w:t>
      </w:r>
      <w:r w:rsidRPr="00A95C35">
        <w:rPr>
          <w:rFonts w:asciiTheme="majorBidi" w:hAnsiTheme="majorBidi" w:cstheme="majorBidi"/>
          <w:b/>
        </w:rPr>
        <w:t>.</w:t>
      </w:r>
      <w:r w:rsidRPr="00A95C35">
        <w:rPr>
          <w:rFonts w:asciiTheme="majorBidi" w:hAnsiTheme="majorBidi" w:cstheme="majorBidi"/>
        </w:rPr>
        <w:t xml:space="preserve"> The bias likelihood model will be used to identify cases that are most unlike the set of sample members that have responded. As was done in the responsive design approach for the 2013 Update, the bias likelihood model will use only key survey and frame variables as predictors to identify nonrespondents most likely to reduce bias in key survey variables if converted to respondents. To calculate bias likelihood, we will run a logistic regression with the second follow-up response outcome as the dependent variable. The bias likelihood model will be run at the beginning of phases 3, 4, 5, and 6 for the calibration samples and at the beginning of phases 3, 4, 5, and 6 for the rest of the cases. (Modeling will be done on the combined sample [calibration cases and rest of cases] prior to phases 5 and 6.) We will then use the coefficients associated with the significant predictors to assign a bias likelihood score for each case. Because the set of respondents and nonrespondents is dynamic, the bias likelihood score for an individual case may change across the phases. The universe of candidate predictor variables have been selected due to their analytic importance for the study, and are presented in Exhibit B-11.</w:t>
      </w:r>
    </w:p>
    <w:p w14:paraId="7EED66B8" w14:textId="77777777" w:rsidR="001C2531" w:rsidRPr="00A95C35" w:rsidRDefault="001C2531">
      <w:pPr>
        <w:rPr>
          <w:b/>
          <w:szCs w:val="20"/>
        </w:rPr>
      </w:pPr>
      <w:bookmarkStart w:id="6" w:name="_Toc433779241"/>
      <w:bookmarkStart w:id="7" w:name="_Toc430965871"/>
      <w:r w:rsidRPr="00A95C35">
        <w:br w:type="page"/>
      </w:r>
    </w:p>
    <w:p w14:paraId="52C4BBAE" w14:textId="369EA359" w:rsidR="00D3014C" w:rsidRPr="00A95C35" w:rsidRDefault="00D3014C" w:rsidP="00D3014C">
      <w:pPr>
        <w:pStyle w:val="ExhibitTitle"/>
        <w:spacing w:line="23" w:lineRule="atLeast"/>
      </w:pPr>
      <w:r w:rsidRPr="00A95C35">
        <w:lastRenderedPageBreak/>
        <w:t>Exhibit B-10. Candidate Variables for the Main Study Response Likelihood Model</w:t>
      </w:r>
      <w:bookmarkEnd w:id="6"/>
      <w:r w:rsidRPr="00A95C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20"/>
        <w:gridCol w:w="7378"/>
      </w:tblGrid>
      <w:tr w:rsidR="00F11A5F" w:rsidRPr="00A95C35" w14:paraId="38287D90"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0D42E"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Data collection wave</w:t>
            </w:r>
          </w:p>
        </w:tc>
        <w:tc>
          <w:tcPr>
            <w:tcW w:w="3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8DDF8"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Variables</w:t>
            </w:r>
          </w:p>
        </w:tc>
      </w:tr>
      <w:tr w:rsidR="00F11A5F" w:rsidRPr="00A95C35" w14:paraId="77DC508B"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0465CA91"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Base year </w:t>
            </w:r>
          </w:p>
        </w:tc>
        <w:tc>
          <w:tcPr>
            <w:tcW w:w="3481" w:type="pct"/>
            <w:tcBorders>
              <w:top w:val="single" w:sz="4" w:space="0" w:color="auto"/>
              <w:left w:val="single" w:sz="4" w:space="0" w:color="auto"/>
              <w:bottom w:val="single" w:sz="4" w:space="0" w:color="auto"/>
              <w:right w:val="single" w:sz="4" w:space="0" w:color="auto"/>
            </w:tcBorders>
            <w:vAlign w:val="center"/>
          </w:tcPr>
          <w:p w14:paraId="5018DA91"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outcome</w:t>
            </w:r>
          </w:p>
          <w:p w14:paraId="6485C7DD"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7B51454B"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tc>
      </w:tr>
      <w:tr w:rsidR="00F11A5F" w:rsidRPr="00A95C35" w14:paraId="1839422A"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5A0ADFE7"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First follow-up </w:t>
            </w:r>
          </w:p>
        </w:tc>
        <w:tc>
          <w:tcPr>
            <w:tcW w:w="3481" w:type="pct"/>
            <w:tcBorders>
              <w:top w:val="single" w:sz="4" w:space="0" w:color="auto"/>
              <w:left w:val="single" w:sz="4" w:space="0" w:color="auto"/>
              <w:bottom w:val="single" w:sz="4" w:space="0" w:color="auto"/>
              <w:right w:val="single" w:sz="4" w:space="0" w:color="auto"/>
            </w:tcBorders>
            <w:vAlign w:val="center"/>
          </w:tcPr>
          <w:p w14:paraId="6E3C810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outcome</w:t>
            </w:r>
          </w:p>
          <w:p w14:paraId="222FAB4A"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19CAE82A"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tc>
      </w:tr>
      <w:tr w:rsidR="00F11A5F" w:rsidRPr="00A95C35" w14:paraId="33B960AD" w14:textId="77777777" w:rsidTr="00C55CAB">
        <w:trPr>
          <w:trHeight w:val="144"/>
        </w:trPr>
        <w:tc>
          <w:tcPr>
            <w:tcW w:w="1519" w:type="pct"/>
            <w:tcBorders>
              <w:top w:val="single" w:sz="4" w:space="0" w:color="auto"/>
              <w:left w:val="single" w:sz="4" w:space="0" w:color="auto"/>
              <w:bottom w:val="nil"/>
              <w:right w:val="single" w:sz="4" w:space="0" w:color="auto"/>
            </w:tcBorders>
            <w:vAlign w:val="center"/>
          </w:tcPr>
          <w:p w14:paraId="67AC13DB"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Panel Maintenance and Address Updates</w:t>
            </w:r>
          </w:p>
        </w:tc>
        <w:tc>
          <w:tcPr>
            <w:tcW w:w="3481" w:type="pct"/>
            <w:tcBorders>
              <w:top w:val="single" w:sz="4" w:space="0" w:color="auto"/>
              <w:left w:val="single" w:sz="4" w:space="0" w:color="auto"/>
              <w:bottom w:val="nil"/>
              <w:right w:val="single" w:sz="4" w:space="0" w:color="auto"/>
            </w:tcBorders>
            <w:vAlign w:val="center"/>
          </w:tcPr>
          <w:p w14:paraId="4F82A727"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Panel maintenance response status</w:t>
            </w:r>
          </w:p>
          <w:p w14:paraId="625360E7"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Address update response status</w:t>
            </w:r>
          </w:p>
        </w:tc>
      </w:tr>
      <w:tr w:rsidR="00F11A5F" w:rsidRPr="00A95C35" w14:paraId="591CA75F" w14:textId="77777777" w:rsidTr="00C55CAB">
        <w:trPr>
          <w:trHeight w:val="144"/>
        </w:trPr>
        <w:tc>
          <w:tcPr>
            <w:tcW w:w="1519" w:type="pct"/>
            <w:tcBorders>
              <w:top w:val="single" w:sz="4" w:space="0" w:color="auto"/>
              <w:left w:val="single" w:sz="4" w:space="0" w:color="auto"/>
              <w:bottom w:val="nil"/>
              <w:right w:val="single" w:sz="4" w:space="0" w:color="auto"/>
            </w:tcBorders>
            <w:vAlign w:val="center"/>
          </w:tcPr>
          <w:p w14:paraId="69BE8FC2"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2013 Update Survey </w:t>
            </w:r>
          </w:p>
        </w:tc>
        <w:tc>
          <w:tcPr>
            <w:tcW w:w="3481" w:type="pct"/>
            <w:tcBorders>
              <w:top w:val="single" w:sz="4" w:space="0" w:color="auto"/>
              <w:left w:val="single" w:sz="4" w:space="0" w:color="auto"/>
              <w:bottom w:val="nil"/>
              <w:right w:val="single" w:sz="4" w:space="0" w:color="auto"/>
            </w:tcBorders>
            <w:vAlign w:val="center"/>
          </w:tcPr>
          <w:p w14:paraId="4E9DE72F"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2013 Update response by student (not parent)</w:t>
            </w:r>
          </w:p>
          <w:p w14:paraId="1ABACA85"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p w14:paraId="0AF81EFF"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6BC9C578"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Incentive amount (to control for the effect of incentives on response outcomes)</w:t>
            </w:r>
          </w:p>
          <w:p w14:paraId="36A98C92"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called in to the help desk</w:t>
            </w:r>
          </w:p>
          <w:p w14:paraId="2182A02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refused (sample member)</w:t>
            </w:r>
          </w:p>
          <w:p w14:paraId="2B477760"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refused (other contact)</w:t>
            </w:r>
          </w:p>
          <w:p w14:paraId="6FBB6AF9"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agreed to complete web interview</w:t>
            </w:r>
          </w:p>
          <w:p w14:paraId="0403CF24"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Dual language speaker</w:t>
            </w:r>
          </w:p>
          <w:p w14:paraId="212E5526"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HS completion status indicator</w:t>
            </w:r>
          </w:p>
          <w:p w14:paraId="098547B5"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Gender</w:t>
            </w:r>
          </w:p>
        </w:tc>
      </w:tr>
      <w:tr w:rsidR="007E68D0" w:rsidRPr="00A95C35" w14:paraId="68E3A836" w14:textId="77777777" w:rsidTr="00C55CAB">
        <w:trPr>
          <w:trHeight w:val="144"/>
        </w:trPr>
        <w:tc>
          <w:tcPr>
            <w:tcW w:w="1519" w:type="pct"/>
            <w:tcBorders>
              <w:top w:val="nil"/>
              <w:left w:val="single" w:sz="4" w:space="0" w:color="auto"/>
              <w:bottom w:val="single" w:sz="4" w:space="0" w:color="auto"/>
              <w:right w:val="single" w:sz="4" w:space="0" w:color="auto"/>
            </w:tcBorders>
            <w:vAlign w:val="center"/>
          </w:tcPr>
          <w:p w14:paraId="3B4DBF54"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p>
        </w:tc>
        <w:tc>
          <w:tcPr>
            <w:tcW w:w="3481" w:type="pct"/>
            <w:tcBorders>
              <w:top w:val="nil"/>
              <w:left w:val="single" w:sz="4" w:space="0" w:color="auto"/>
              <w:bottom w:val="single" w:sz="4" w:space="0" w:color="auto"/>
              <w:right w:val="single" w:sz="4" w:space="0" w:color="auto"/>
            </w:tcBorders>
            <w:vAlign w:val="center"/>
          </w:tcPr>
          <w:p w14:paraId="30B1CED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email addresses</w:t>
            </w:r>
          </w:p>
          <w:p w14:paraId="3059A37E"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phone numbers</w:t>
            </w:r>
          </w:p>
          <w:p w14:paraId="79E1DCE1"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addresses</w:t>
            </w:r>
          </w:p>
        </w:tc>
      </w:tr>
    </w:tbl>
    <w:p w14:paraId="00B8FEDB" w14:textId="77777777" w:rsidR="00D3014C" w:rsidRPr="00A95C35" w:rsidRDefault="00D3014C" w:rsidP="00D3014C">
      <w:pPr>
        <w:pStyle w:val="bodytextpsg"/>
        <w:spacing w:after="120" w:line="23" w:lineRule="atLeast"/>
        <w:rPr>
          <w:rFonts w:asciiTheme="majorBidi" w:hAnsiTheme="majorBidi" w:cstheme="majorBidi"/>
        </w:rPr>
      </w:pPr>
    </w:p>
    <w:p w14:paraId="5415C5DD" w14:textId="77777777" w:rsidR="00D3014C" w:rsidRPr="00A95C35" w:rsidRDefault="00D3014C" w:rsidP="00D3014C">
      <w:pPr>
        <w:pStyle w:val="ExhibitTitle"/>
        <w:spacing w:before="0" w:after="0" w:line="23" w:lineRule="atLeast"/>
        <w:ind w:left="0" w:firstLine="0"/>
      </w:pPr>
      <w:bookmarkStart w:id="8" w:name="_Toc433779242"/>
      <w:r w:rsidRPr="00A95C35">
        <w:t>Exhibit B-11. Candidate Variables for the Main Study Bias Likelihood Model</w:t>
      </w:r>
      <w:bookmarkEnd w:id="7"/>
      <w:bookmarkEnd w:id="8"/>
      <w:r w:rsidRPr="00A95C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652"/>
        <w:gridCol w:w="7946"/>
      </w:tblGrid>
      <w:tr w:rsidR="00F11A5F" w:rsidRPr="00A95C35" w14:paraId="63CA68FF" w14:textId="77777777" w:rsidTr="0006440F">
        <w:trPr>
          <w:trHeight w:val="20"/>
          <w:tblHeader/>
        </w:trPr>
        <w:tc>
          <w:tcPr>
            <w:tcW w:w="1251" w:type="pct"/>
            <w:shd w:val="clear" w:color="auto" w:fill="D9D9D9" w:themeFill="background1" w:themeFillShade="D9"/>
            <w:tcMar>
              <w:top w:w="0" w:type="dxa"/>
              <w:left w:w="115" w:type="dxa"/>
              <w:bottom w:w="0" w:type="dxa"/>
              <w:right w:w="115" w:type="dxa"/>
            </w:tcMar>
            <w:vAlign w:val="center"/>
          </w:tcPr>
          <w:p w14:paraId="625492DD"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Data collection wave</w:t>
            </w:r>
          </w:p>
        </w:tc>
        <w:tc>
          <w:tcPr>
            <w:tcW w:w="3749" w:type="pct"/>
            <w:shd w:val="clear" w:color="auto" w:fill="D9D9D9" w:themeFill="background1" w:themeFillShade="D9"/>
            <w:tcMar>
              <w:top w:w="0" w:type="dxa"/>
              <w:left w:w="115" w:type="dxa"/>
              <w:bottom w:w="0" w:type="dxa"/>
              <w:right w:w="115" w:type="dxa"/>
            </w:tcMar>
            <w:vAlign w:val="center"/>
          </w:tcPr>
          <w:p w14:paraId="61931CF2"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Variables</w:t>
            </w:r>
          </w:p>
        </w:tc>
      </w:tr>
      <w:tr w:rsidR="00F11A5F" w:rsidRPr="00A95C35" w14:paraId="082118ED" w14:textId="77777777" w:rsidTr="00C55CAB">
        <w:trPr>
          <w:trHeight w:val="144"/>
        </w:trPr>
        <w:tc>
          <w:tcPr>
            <w:tcW w:w="1251" w:type="pct"/>
            <w:tcMar>
              <w:top w:w="0" w:type="dxa"/>
              <w:left w:w="115" w:type="dxa"/>
              <w:bottom w:w="0" w:type="dxa"/>
              <w:right w:w="115" w:type="dxa"/>
            </w:tcMar>
            <w:vAlign w:val="center"/>
          </w:tcPr>
          <w:p w14:paraId="672AECDB"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r w:rsidRPr="00A95C35">
              <w:rPr>
                <w:rFonts w:ascii="Arial" w:eastAsiaTheme="minorHAnsi" w:hAnsi="Arial" w:cs="Arial"/>
                <w:b/>
                <w:sz w:val="20"/>
                <w:szCs w:val="20"/>
              </w:rPr>
              <w:t>Sampling frame</w:t>
            </w:r>
          </w:p>
        </w:tc>
        <w:tc>
          <w:tcPr>
            <w:tcW w:w="3749" w:type="pct"/>
            <w:tcMar>
              <w:top w:w="0" w:type="dxa"/>
              <w:left w:w="115" w:type="dxa"/>
              <w:bottom w:w="0" w:type="dxa"/>
              <w:right w:w="115" w:type="dxa"/>
            </w:tcMar>
            <w:vAlign w:val="center"/>
          </w:tcPr>
          <w:p w14:paraId="74CD6ED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Race</w:t>
            </w:r>
          </w:p>
        </w:tc>
      </w:tr>
      <w:tr w:rsidR="00F11A5F" w:rsidRPr="00A95C35" w14:paraId="4ED97664" w14:textId="77777777" w:rsidTr="00C55CAB">
        <w:trPr>
          <w:trHeight w:val="144"/>
        </w:trPr>
        <w:tc>
          <w:tcPr>
            <w:tcW w:w="1251" w:type="pct"/>
            <w:tcMar>
              <w:top w:w="0" w:type="dxa"/>
              <w:left w:w="115" w:type="dxa"/>
              <w:bottom w:w="0" w:type="dxa"/>
              <w:right w:w="115" w:type="dxa"/>
            </w:tcMar>
            <w:vAlign w:val="center"/>
          </w:tcPr>
          <w:p w14:paraId="78C5FD35"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5E8FD48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Gender</w:t>
            </w:r>
          </w:p>
        </w:tc>
      </w:tr>
      <w:tr w:rsidR="00F11A5F" w:rsidRPr="00A95C35" w14:paraId="2A284511" w14:textId="77777777" w:rsidTr="00C55CAB">
        <w:trPr>
          <w:trHeight w:val="144"/>
        </w:trPr>
        <w:tc>
          <w:tcPr>
            <w:tcW w:w="1251" w:type="pct"/>
            <w:tcMar>
              <w:top w:w="0" w:type="dxa"/>
              <w:left w:w="115" w:type="dxa"/>
              <w:bottom w:w="0" w:type="dxa"/>
              <w:right w:w="115" w:type="dxa"/>
            </w:tcMar>
            <w:vAlign w:val="center"/>
          </w:tcPr>
          <w:p w14:paraId="079FC661"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178A27D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School type</w:t>
            </w:r>
          </w:p>
        </w:tc>
      </w:tr>
      <w:tr w:rsidR="00F11A5F" w:rsidRPr="00A95C35" w14:paraId="4DD0D714" w14:textId="77777777" w:rsidTr="00C55CAB">
        <w:trPr>
          <w:trHeight w:val="144"/>
        </w:trPr>
        <w:tc>
          <w:tcPr>
            <w:tcW w:w="1251" w:type="pct"/>
            <w:tcMar>
              <w:top w:w="0" w:type="dxa"/>
              <w:left w:w="115" w:type="dxa"/>
              <w:bottom w:w="0" w:type="dxa"/>
              <w:right w:w="115" w:type="dxa"/>
            </w:tcMar>
            <w:vAlign w:val="center"/>
          </w:tcPr>
          <w:p w14:paraId="65EE79B6"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08C0217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Metropolitan area</w:t>
            </w:r>
          </w:p>
        </w:tc>
      </w:tr>
      <w:tr w:rsidR="00F11A5F" w:rsidRPr="00A95C35" w14:paraId="71A07C56" w14:textId="77777777" w:rsidTr="00C55CAB">
        <w:trPr>
          <w:trHeight w:val="144"/>
        </w:trPr>
        <w:tc>
          <w:tcPr>
            <w:tcW w:w="1251" w:type="pct"/>
            <w:tcMar>
              <w:top w:w="0" w:type="dxa"/>
              <w:left w:w="115" w:type="dxa"/>
              <w:bottom w:w="0" w:type="dxa"/>
              <w:right w:w="115" w:type="dxa"/>
            </w:tcMar>
            <w:vAlign w:val="center"/>
          </w:tcPr>
          <w:p w14:paraId="5FD7F5FA"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7B045E3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Geographic region</w:t>
            </w:r>
          </w:p>
        </w:tc>
      </w:tr>
      <w:tr w:rsidR="00F11A5F" w:rsidRPr="00A95C35" w14:paraId="6F05923B" w14:textId="77777777" w:rsidTr="00C55CAB">
        <w:trPr>
          <w:trHeight w:val="144"/>
        </w:trPr>
        <w:tc>
          <w:tcPr>
            <w:tcW w:w="1251" w:type="pct"/>
            <w:tcMar>
              <w:top w:w="0" w:type="dxa"/>
              <w:left w:w="115" w:type="dxa"/>
              <w:bottom w:w="0" w:type="dxa"/>
              <w:right w:w="115" w:type="dxa"/>
            </w:tcMar>
            <w:vAlign w:val="center"/>
          </w:tcPr>
          <w:p w14:paraId="34CEED5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sz w:val="20"/>
                <w:szCs w:val="20"/>
              </w:rPr>
              <w:t>Base Year</w:t>
            </w:r>
            <w:r w:rsidRPr="00A95C35">
              <w:rPr>
                <w:rFonts w:ascii="Arial" w:eastAsiaTheme="minorHAnsi" w:hAnsi="Arial" w:cs="Arial"/>
                <w:sz w:val="20"/>
                <w:szCs w:val="20"/>
              </w:rPr>
              <w:t xml:space="preserve"> </w:t>
            </w:r>
          </w:p>
        </w:tc>
        <w:tc>
          <w:tcPr>
            <w:tcW w:w="3749" w:type="pct"/>
            <w:tcMar>
              <w:top w:w="0" w:type="dxa"/>
              <w:left w:w="115" w:type="dxa"/>
              <w:bottom w:w="0" w:type="dxa"/>
              <w:right w:w="115" w:type="dxa"/>
            </w:tcMar>
            <w:vAlign w:val="center"/>
          </w:tcPr>
          <w:p w14:paraId="01743DC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Student’s educational expectations</w:t>
            </w:r>
          </w:p>
          <w:p w14:paraId="6373025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Parent’s education expectations</w:t>
            </w:r>
          </w:p>
          <w:p w14:paraId="4E2C9D0A"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a Fall 09 math course</w:t>
            </w:r>
          </w:p>
          <w:p w14:paraId="2091761B"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a Fall 09 science course</w:t>
            </w:r>
          </w:p>
          <w:p w14:paraId="076CABC0"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Base year math assessment score</w:t>
            </w:r>
          </w:p>
        </w:tc>
      </w:tr>
      <w:tr w:rsidR="00F11A5F" w:rsidRPr="00A95C35" w14:paraId="6BFFB821" w14:textId="77777777" w:rsidTr="00C55CAB">
        <w:trPr>
          <w:trHeight w:val="144"/>
        </w:trPr>
        <w:tc>
          <w:tcPr>
            <w:tcW w:w="1251" w:type="pct"/>
            <w:tcMar>
              <w:top w:w="0" w:type="dxa"/>
              <w:left w:w="115" w:type="dxa"/>
              <w:bottom w:w="0" w:type="dxa"/>
              <w:right w:w="115" w:type="dxa"/>
            </w:tcMar>
            <w:vAlign w:val="center"/>
          </w:tcPr>
          <w:p w14:paraId="43C7C51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sz w:val="20"/>
                <w:szCs w:val="20"/>
              </w:rPr>
              <w:t>First Follow up</w:t>
            </w:r>
          </w:p>
        </w:tc>
        <w:tc>
          <w:tcPr>
            <w:tcW w:w="3749" w:type="pct"/>
            <w:tcMar>
              <w:top w:w="0" w:type="dxa"/>
              <w:left w:w="115" w:type="dxa"/>
              <w:bottom w:w="0" w:type="dxa"/>
              <w:right w:w="115" w:type="dxa"/>
            </w:tcMar>
            <w:vAlign w:val="center"/>
          </w:tcPr>
          <w:p w14:paraId="61E0CD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When Algebra 1 was taken</w:t>
            </w:r>
          </w:p>
          <w:p w14:paraId="083134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Grade in Algebra 1</w:t>
            </w:r>
          </w:p>
          <w:p w14:paraId="62AE72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Student’s educational expectations</w:t>
            </w:r>
          </w:p>
          <w:p w14:paraId="5964329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Parent’s education expectations</w:t>
            </w:r>
          </w:p>
          <w:p w14:paraId="73F5A84A"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Grade in 2011-12</w:t>
            </w:r>
          </w:p>
          <w:p w14:paraId="32460C21"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Location</w:t>
            </w:r>
          </w:p>
          <w:p w14:paraId="444C2189"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Dual language indicator</w:t>
            </w:r>
          </w:p>
          <w:p w14:paraId="37AF4C8D"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Socioeconomic status indicator</w:t>
            </w:r>
          </w:p>
          <w:p w14:paraId="5B189783"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Repeated a grade?</w:t>
            </w:r>
          </w:p>
          <w:p w14:paraId="597951B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F1 math assessment score</w:t>
            </w:r>
          </w:p>
          <w:p w14:paraId="1E4073C8"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Attended a job fair?</w:t>
            </w:r>
          </w:p>
          <w:p w14:paraId="29A6902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Toured a college?</w:t>
            </w:r>
          </w:p>
          <w:p w14:paraId="75F41EF9"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Taken a college class?</w:t>
            </w:r>
          </w:p>
          <w:p w14:paraId="315520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Completed an internship?</w:t>
            </w:r>
          </w:p>
          <w:p w14:paraId="29C349BD"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Performed work in job related to career goals?</w:t>
            </w:r>
          </w:p>
          <w:p w14:paraId="43F08F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Searched internet/college guides for college options?</w:t>
            </w:r>
          </w:p>
          <w:p w14:paraId="7EB4A84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Talked to HS counselor about after high school options?</w:t>
            </w:r>
          </w:p>
          <w:p w14:paraId="73A86257"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Talked with college admission counselor?</w:t>
            </w:r>
          </w:p>
          <w:p w14:paraId="1DD18670"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Taken a college entrance exam prep course?</w:t>
            </w:r>
          </w:p>
          <w:p w14:paraId="0A1F40A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Taking math classes in spring 2012?</w:t>
            </w:r>
          </w:p>
        </w:tc>
      </w:tr>
      <w:tr w:rsidR="00F11A5F" w:rsidRPr="00A95C35" w14:paraId="1883F506" w14:textId="77777777" w:rsidTr="0006440F">
        <w:tblPrEx>
          <w:tblCellMar>
            <w:top w:w="0" w:type="dxa"/>
            <w:bottom w:w="0" w:type="dxa"/>
          </w:tblCellMar>
        </w:tblPrEx>
        <w:trPr>
          <w:cantSplit/>
          <w:trHeight w:val="206"/>
        </w:trPr>
        <w:tc>
          <w:tcPr>
            <w:tcW w:w="1251" w:type="pct"/>
            <w:vMerge w:val="restart"/>
            <w:tcMar>
              <w:top w:w="0" w:type="dxa"/>
              <w:left w:w="115" w:type="dxa"/>
              <w:bottom w:w="0" w:type="dxa"/>
              <w:right w:w="115" w:type="dxa"/>
            </w:tcMar>
            <w:vAlign w:val="center"/>
          </w:tcPr>
          <w:p w14:paraId="4C47C10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bCs/>
                <w:sz w:val="20"/>
                <w:szCs w:val="18"/>
              </w:rPr>
              <w:lastRenderedPageBreak/>
              <w:t>2013 Update Survey and High School Transcript Collection</w:t>
            </w:r>
          </w:p>
        </w:tc>
        <w:tc>
          <w:tcPr>
            <w:tcW w:w="3749" w:type="pct"/>
            <w:tcMar>
              <w:top w:w="0" w:type="dxa"/>
              <w:left w:w="115" w:type="dxa"/>
              <w:bottom w:w="0" w:type="dxa"/>
              <w:right w:w="115" w:type="dxa"/>
            </w:tcMar>
          </w:tcPr>
          <w:p w14:paraId="77C5DB52"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Sample member has high school credential</w:t>
            </w:r>
          </w:p>
          <w:p w14:paraId="7C7BE38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Date of high school credential</w:t>
            </w:r>
          </w:p>
          <w:p w14:paraId="37D5A7B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School characteristics of last-attended high school</w:t>
            </w:r>
          </w:p>
          <w:p w14:paraId="1A8FC4F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Dual-enrollment status/information</w:t>
            </w:r>
          </w:p>
        </w:tc>
      </w:tr>
      <w:tr w:rsidR="00F11A5F" w:rsidRPr="00A95C35" w14:paraId="1517DD6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95BB0F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DA18A2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postsecondary classes as of Nov 1 2013</w:t>
            </w:r>
          </w:p>
          <w:p w14:paraId="693E4632"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Sector of postsecondary institution as of Nov 1 2013</w:t>
            </w:r>
          </w:p>
        </w:tc>
      </w:tr>
      <w:tr w:rsidR="00F11A5F" w:rsidRPr="00A95C35" w14:paraId="1629A0E3"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94BDA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83DCE8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Apprenticing as of Nov 1 2013</w:t>
            </w:r>
          </w:p>
        </w:tc>
      </w:tr>
      <w:tr w:rsidR="00F11A5F" w:rsidRPr="00A95C35" w14:paraId="37D55E89"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60DD7A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C168AB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Working for pay as of Nov 1 2013</w:t>
            </w:r>
          </w:p>
        </w:tc>
      </w:tr>
      <w:tr w:rsidR="00F11A5F" w:rsidRPr="00A95C35" w14:paraId="763D3961" w14:textId="77777777" w:rsidTr="00C55CAB">
        <w:tblPrEx>
          <w:tblCellMar>
            <w:top w:w="0" w:type="dxa"/>
            <w:bottom w:w="0" w:type="dxa"/>
          </w:tblCellMar>
        </w:tblPrEx>
        <w:trPr>
          <w:trHeight w:val="95"/>
        </w:trPr>
        <w:tc>
          <w:tcPr>
            <w:tcW w:w="1251" w:type="pct"/>
            <w:vMerge/>
            <w:tcMar>
              <w:top w:w="0" w:type="dxa"/>
              <w:left w:w="115" w:type="dxa"/>
              <w:bottom w:w="0" w:type="dxa"/>
              <w:right w:w="115" w:type="dxa"/>
            </w:tcMar>
            <w:vAlign w:val="center"/>
          </w:tcPr>
          <w:p w14:paraId="0F987A9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A313D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Serving in the military as of Nov 1 2013</w:t>
            </w:r>
          </w:p>
        </w:tc>
      </w:tr>
      <w:tr w:rsidR="00F11A5F" w:rsidRPr="00A95C35" w14:paraId="63B4567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5CF3E5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A98670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Starting family/taking care of children as of Nov 1 2013</w:t>
            </w:r>
          </w:p>
        </w:tc>
      </w:tr>
      <w:tr w:rsidR="00F11A5F" w:rsidRPr="00A95C35" w14:paraId="76BD2B7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8653F6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F3D88F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Attending high school or homeschool as of Nov 1 2013</w:t>
            </w:r>
          </w:p>
        </w:tc>
      </w:tr>
      <w:tr w:rsidR="00F11A5F" w:rsidRPr="00A95C35" w14:paraId="5C6EA310"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238B70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4D1DF0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In a course to prepare for GED as of Nov 1 2013</w:t>
            </w:r>
          </w:p>
          <w:p w14:paraId="62651F4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Number of postsecondary institutions applied to</w:t>
            </w:r>
          </w:p>
        </w:tc>
      </w:tr>
      <w:tr w:rsidR="00F11A5F" w:rsidRPr="00A95C35" w14:paraId="2F315387"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B7291B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54C67A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Completed a FAFSA for teenager's education</w:t>
            </w:r>
          </w:p>
        </w:tc>
      </w:tr>
      <w:tr w:rsidR="00F11A5F" w:rsidRPr="00A95C35" w14:paraId="7A2CCAD5"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25E1E1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FB4123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want to go into debt</w:t>
            </w:r>
          </w:p>
        </w:tc>
      </w:tr>
      <w:tr w:rsidR="00F11A5F" w:rsidRPr="00A95C35" w14:paraId="19391836"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36E465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88C4B7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can afford college without financial aid</w:t>
            </w:r>
          </w:p>
        </w:tc>
      </w:tr>
      <w:tr w:rsidR="00F11A5F" w:rsidRPr="00A95C35" w14:paraId="5A3B88C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E6297A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5F9DF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thought ineligible or unqualified</w:t>
            </w:r>
          </w:p>
        </w:tc>
      </w:tr>
      <w:tr w:rsidR="00F11A5F" w:rsidRPr="00A95C35" w14:paraId="26988E97"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8FA62A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8A68065"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know how</w:t>
            </w:r>
          </w:p>
        </w:tc>
      </w:tr>
      <w:tr w:rsidR="00F11A5F" w:rsidRPr="00A95C35" w14:paraId="57616B1F"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5A2FFE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9406B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forms were too time-consuming/too much work</w:t>
            </w:r>
          </w:p>
        </w:tc>
      </w:tr>
      <w:tr w:rsidR="00F11A5F" w:rsidRPr="00A95C35" w14:paraId="471696C0"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5771A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8B01B5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know could</w:t>
            </w:r>
          </w:p>
        </w:tc>
      </w:tr>
      <w:tr w:rsidR="00F11A5F" w:rsidRPr="00A95C35" w14:paraId="5A4761A8"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8A2270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FC02B3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teen does not plan to continue education</w:t>
            </w:r>
          </w:p>
        </w:tc>
      </w:tr>
      <w:tr w:rsidR="00F11A5F" w:rsidRPr="00A95C35" w14:paraId="3F232C16" w14:textId="77777777" w:rsidTr="00C55CAB">
        <w:trPr>
          <w:trHeight w:val="20"/>
        </w:trPr>
        <w:tc>
          <w:tcPr>
            <w:tcW w:w="1251" w:type="pct"/>
            <w:vMerge/>
            <w:tcMar>
              <w:top w:w="0" w:type="dxa"/>
              <w:left w:w="115" w:type="dxa"/>
              <w:bottom w:w="0" w:type="dxa"/>
              <w:right w:w="115" w:type="dxa"/>
            </w:tcMar>
            <w:vAlign w:val="center"/>
          </w:tcPr>
          <w:p w14:paraId="7F7A411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020387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Currently working for pay</w:t>
            </w:r>
          </w:p>
        </w:tc>
      </w:tr>
      <w:tr w:rsidR="00F11A5F" w:rsidRPr="00A95C35" w14:paraId="787B331D"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35F0F5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0DBB9F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Number of high schools attended</w:t>
            </w:r>
          </w:p>
        </w:tc>
      </w:tr>
      <w:tr w:rsidR="00F11A5F" w:rsidRPr="00A95C35" w14:paraId="5265052D" w14:textId="77777777" w:rsidTr="00C55CAB">
        <w:trPr>
          <w:trHeight w:val="20"/>
        </w:trPr>
        <w:tc>
          <w:tcPr>
            <w:tcW w:w="1251" w:type="pct"/>
            <w:vMerge/>
            <w:tcMar>
              <w:top w:w="0" w:type="dxa"/>
              <w:left w:w="115" w:type="dxa"/>
              <w:bottom w:w="0" w:type="dxa"/>
              <w:right w:w="115" w:type="dxa"/>
            </w:tcMar>
            <w:vAlign w:val="center"/>
          </w:tcPr>
          <w:p w14:paraId="2964EAA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F8BD48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Attended CTE center (flag)</w:t>
            </w:r>
          </w:p>
        </w:tc>
      </w:tr>
      <w:tr w:rsidR="00F11A5F" w:rsidRPr="00A95C35" w14:paraId="2476E2B0" w14:textId="77777777" w:rsidTr="00C55CAB">
        <w:trPr>
          <w:trHeight w:val="20"/>
        </w:trPr>
        <w:tc>
          <w:tcPr>
            <w:tcW w:w="1251" w:type="pct"/>
            <w:vMerge/>
            <w:tcMar>
              <w:top w:w="0" w:type="dxa"/>
              <w:left w:w="115" w:type="dxa"/>
              <w:bottom w:w="0" w:type="dxa"/>
              <w:right w:w="115" w:type="dxa"/>
            </w:tcMar>
            <w:vAlign w:val="center"/>
          </w:tcPr>
          <w:p w14:paraId="088469CA"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ADB271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English language learner status</w:t>
            </w:r>
          </w:p>
        </w:tc>
      </w:tr>
      <w:tr w:rsidR="00F11A5F" w:rsidRPr="00A95C35" w14:paraId="54D12F0A" w14:textId="77777777" w:rsidTr="00C55CAB">
        <w:trPr>
          <w:trHeight w:val="20"/>
        </w:trPr>
        <w:tc>
          <w:tcPr>
            <w:tcW w:w="1251" w:type="pct"/>
            <w:vMerge/>
            <w:tcMar>
              <w:top w:w="0" w:type="dxa"/>
              <w:left w:w="115" w:type="dxa"/>
              <w:bottom w:w="0" w:type="dxa"/>
              <w:right w:w="115" w:type="dxa"/>
            </w:tcMar>
            <w:vAlign w:val="center"/>
          </w:tcPr>
          <w:p w14:paraId="7FE34B2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DC739D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overall</w:t>
            </w:r>
          </w:p>
          <w:p w14:paraId="6F02ADC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English</w:t>
            </w:r>
          </w:p>
        </w:tc>
      </w:tr>
      <w:tr w:rsidR="00F11A5F" w:rsidRPr="00A95C35" w14:paraId="10564038"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78066FC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9FAA9F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mathematics</w:t>
            </w:r>
          </w:p>
        </w:tc>
      </w:tr>
      <w:tr w:rsidR="00F11A5F" w:rsidRPr="00A95C35" w14:paraId="1E615D51"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7EA6AA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709648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science</w:t>
            </w:r>
          </w:p>
        </w:tc>
      </w:tr>
      <w:tr w:rsidR="00F11A5F" w:rsidRPr="00A95C35" w14:paraId="58CD13EF"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845A59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2EEA8C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Total credits earned</w:t>
            </w:r>
          </w:p>
        </w:tc>
      </w:tr>
      <w:tr w:rsidR="007E68D0" w:rsidRPr="00A95C35" w14:paraId="4DB7618B"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E82A28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4A1BB5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Credits earned in academic courses</w:t>
            </w:r>
          </w:p>
          <w:p w14:paraId="4B9C7EC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Ever had a dropout episode</w:t>
            </w:r>
          </w:p>
        </w:tc>
      </w:tr>
    </w:tbl>
    <w:p w14:paraId="0F25EA84" w14:textId="77777777" w:rsidR="00D3014C" w:rsidRPr="00A95C35" w:rsidRDefault="00D3014C" w:rsidP="00D3014C">
      <w:pPr>
        <w:rPr>
          <w:sz w:val="20"/>
          <w:szCs w:val="18"/>
        </w:rPr>
      </w:pPr>
    </w:p>
    <w:p w14:paraId="3CA27556" w14:textId="77777777" w:rsidR="00D3014C" w:rsidRPr="00A95C35" w:rsidRDefault="00D3014C" w:rsidP="0006440F">
      <w:pPr>
        <w:pStyle w:val="bodytextpsg"/>
        <w:spacing w:after="120" w:line="23" w:lineRule="atLeast"/>
      </w:pPr>
      <w:r w:rsidRPr="00A95C35">
        <w:t>The goal of the bias likelihood model is not to accurately predict response, but to classify sample members’ current response rates along the dimensions represented by the predictor variables. As such, statistical significance should not be a determining factor in which variables are included in the model, rather the criterion should be that variable’s importance for HSLS:09. The threshold for identifying cases for targeted treatment will be based on an assessment of the bias likelihood score, the response likelihood score, and available project resources.</w:t>
      </w:r>
    </w:p>
    <w:p w14:paraId="3F7C449A" w14:textId="77777777" w:rsidR="00D3014C" w:rsidRPr="00A95C35" w:rsidRDefault="00D3014C" w:rsidP="00D3014C">
      <w:pPr>
        <w:spacing w:after="120" w:line="23" w:lineRule="atLeast"/>
        <w:rPr>
          <w:rFonts w:asciiTheme="majorBidi" w:hAnsiTheme="majorBidi"/>
        </w:rPr>
      </w:pPr>
      <w:r w:rsidRPr="00A95C35">
        <w:rPr>
          <w:rFonts w:asciiTheme="majorBidi" w:hAnsiTheme="majorBidi" w:cstheme="majorBidi"/>
          <w:b/>
        </w:rPr>
        <w:t>Evaluation of responsive design approach.</w:t>
      </w:r>
    </w:p>
    <w:p w14:paraId="1D60920D" w14:textId="77777777" w:rsidR="00D3014C" w:rsidRPr="00A95C35" w:rsidRDefault="00D3014C" w:rsidP="00D3014C">
      <w:pPr>
        <w:spacing w:after="120" w:line="23" w:lineRule="atLeast"/>
      </w:pPr>
      <w:r w:rsidRPr="00A95C35">
        <w:t>There are three elements to be evaluated in the proposed responsive design approach: (1) that sample cases that contribute to sample representativeness can be identified at the beginning of the third and subsequent data collection phases, (2) that interventions used during each phase of the data collection design are effective in increasing participation, and (3) that increasing response rates among the targeted cases will improve sample representativeness. We intend to examine these three aspects of the responsive design and its implementation for the HSLS:09 second follow up as follows:</w:t>
      </w:r>
    </w:p>
    <w:p w14:paraId="1CCFC8DA" w14:textId="77777777" w:rsidR="00D3014C" w:rsidRPr="00A95C35" w:rsidRDefault="00D3014C" w:rsidP="00D3014C">
      <w:pPr>
        <w:pStyle w:val="ListParagraph"/>
        <w:numPr>
          <w:ilvl w:val="0"/>
          <w:numId w:val="18"/>
        </w:numPr>
        <w:spacing w:after="120" w:line="23" w:lineRule="atLeast"/>
        <w:ind w:left="450"/>
        <w:rPr>
          <w:rFonts w:ascii="Times New Roman" w:hAnsi="Times New Roman"/>
          <w:sz w:val="24"/>
        </w:rPr>
      </w:pPr>
      <w:r w:rsidRPr="00A95C35">
        <w:rPr>
          <w:rFonts w:ascii="Times New Roman" w:hAnsi="Times New Roman"/>
          <w:i/>
          <w:iCs/>
          <w:sz w:val="24"/>
          <w:szCs w:val="24"/>
        </w:rPr>
        <w:t xml:space="preserve">Evaluate the bias likelihood model used to identify targeted cases. </w:t>
      </w:r>
      <w:r w:rsidRPr="00A95C35">
        <w:rPr>
          <w:rFonts w:ascii="Times New Roman" w:hAnsi="Times New Roman"/>
          <w:sz w:val="24"/>
          <w:szCs w:val="24"/>
        </w:rPr>
        <w:t>To assess whether the bias likelihood model successfully identifies nonresponding cases that are underrepresented on key survey variables, we will compare estimates within the categories of each model variable for respondents and nonrespondents at each phase. This comparison will highlight the model variables that exhibit bias at each phase and the relative size of the imbalance that remains to be reduced through the intervention.</w:t>
      </w:r>
    </w:p>
    <w:p w14:paraId="6A591BA6" w14:textId="77777777" w:rsidR="00D3014C" w:rsidRPr="00A95C35" w:rsidRDefault="00D3014C" w:rsidP="00D3014C">
      <w:pPr>
        <w:pStyle w:val="ListParagraph"/>
        <w:numPr>
          <w:ilvl w:val="0"/>
          <w:numId w:val="18"/>
        </w:numPr>
        <w:spacing w:after="120" w:line="23" w:lineRule="atLeast"/>
        <w:ind w:left="450"/>
        <w:rPr>
          <w:rFonts w:ascii="Times New Roman" w:hAnsi="Times New Roman"/>
          <w:sz w:val="24"/>
        </w:rPr>
      </w:pPr>
      <w:r w:rsidRPr="00A95C35">
        <w:rPr>
          <w:rFonts w:ascii="Times New Roman" w:hAnsi="Times New Roman"/>
          <w:i/>
          <w:iCs/>
          <w:sz w:val="24"/>
          <w:szCs w:val="24"/>
        </w:rPr>
        <w:t xml:space="preserve">Evaluate the effectiveness of each intervention in increasing survey participation. </w:t>
      </w:r>
      <w:r w:rsidRPr="00A95C35">
        <w:rPr>
          <w:rFonts w:ascii="Times New Roman" w:hAnsi="Times New Roman"/>
          <w:sz w:val="24"/>
          <w:szCs w:val="24"/>
        </w:rPr>
        <w:t xml:space="preserve">The second key component of this responsive design is the effectiveness of the targeted treatments in increasing </w:t>
      </w:r>
      <w:r w:rsidRPr="00A95C35">
        <w:rPr>
          <w:rFonts w:ascii="Times New Roman" w:hAnsi="Times New Roman"/>
          <w:sz w:val="24"/>
          <w:szCs w:val="24"/>
        </w:rPr>
        <w:lastRenderedPageBreak/>
        <w:t>participation. Experiments conducted with the calibration samples will allow us to assess the efficacy of the various treatments.</w:t>
      </w:r>
    </w:p>
    <w:p w14:paraId="7786A1F1" w14:textId="77777777" w:rsidR="00D3014C" w:rsidRPr="00A95C35" w:rsidRDefault="00D3014C" w:rsidP="00D3014C">
      <w:pPr>
        <w:pStyle w:val="ListParagraph"/>
        <w:numPr>
          <w:ilvl w:val="0"/>
          <w:numId w:val="18"/>
        </w:numPr>
        <w:spacing w:after="120" w:line="23" w:lineRule="atLeast"/>
        <w:ind w:left="450"/>
      </w:pPr>
      <w:r w:rsidRPr="00A95C35">
        <w:rPr>
          <w:rFonts w:ascii="Times New Roman" w:hAnsi="Times New Roman"/>
          <w:i/>
          <w:iCs/>
          <w:sz w:val="24"/>
          <w:szCs w:val="24"/>
        </w:rPr>
        <w:t xml:space="preserve">Evaluate the ability to increase sample representativeness, by identifying cases for targeted treatment. </w:t>
      </w:r>
      <w:r w:rsidRPr="00A95C35">
        <w:rPr>
          <w:rFonts w:ascii="Times New Roman" w:hAnsi="Times New Roman"/>
          <w:sz w:val="24"/>
          <w:szCs w:val="24"/>
        </w:rPr>
        <w:t>We will measure sample representativeness by comparing estimates on key variables for respondents and nonrespondents, at each phase of data collection and at the end of data collection. We will then be able to assess whether sample representativeness is improved over the course of data collection through the use of the targeted interventions for cases identified with the bias likelihood model.</w:t>
      </w:r>
    </w:p>
    <w:p w14:paraId="02FF974F" w14:textId="2D2256C7" w:rsidR="00D3014C" w:rsidRPr="00A95C35" w:rsidRDefault="00D3014C" w:rsidP="00D3014C">
      <w:pPr>
        <w:spacing w:after="120" w:line="23" w:lineRule="atLeast"/>
        <w:rPr>
          <w:rFonts w:ascii="Times New Roman Bold" w:hAnsi="Times New Roman Bold"/>
          <w:b/>
          <w:bCs/>
          <w:caps/>
          <w:sz w:val="22"/>
          <w:szCs w:val="22"/>
        </w:rPr>
      </w:pPr>
    </w:p>
    <w:p w14:paraId="225C75D0" w14:textId="77777777" w:rsidR="00D3014C" w:rsidRPr="00A95C35" w:rsidRDefault="00D3014C" w:rsidP="00D3014C">
      <w:pPr>
        <w:pStyle w:val="Heading1"/>
        <w:spacing w:line="23" w:lineRule="atLeast"/>
        <w:rPr>
          <w:sz w:val="22"/>
          <w:szCs w:val="22"/>
        </w:rPr>
      </w:pPr>
      <w:bookmarkStart w:id="9" w:name="_Toc433779232"/>
      <w:bookmarkStart w:id="10" w:name="_Toc430962815"/>
      <w:r w:rsidRPr="00A95C35">
        <w:rPr>
          <w:sz w:val="22"/>
          <w:szCs w:val="22"/>
        </w:rPr>
        <w:t>References</w:t>
      </w:r>
      <w:bookmarkEnd w:id="9"/>
      <w:bookmarkEnd w:id="10"/>
    </w:p>
    <w:p w14:paraId="50206450" w14:textId="77777777" w:rsidR="00D3014C" w:rsidRPr="00A95C35" w:rsidRDefault="00D3014C" w:rsidP="00D3014C">
      <w:pPr>
        <w:pStyle w:val="R-Pubs-Pres"/>
        <w:spacing w:after="120" w:line="23" w:lineRule="atLeast"/>
        <w:rPr>
          <w:szCs w:val="22"/>
        </w:rPr>
      </w:pPr>
      <w:r w:rsidRPr="00A95C35">
        <w:rPr>
          <w:szCs w:val="22"/>
        </w:rPr>
        <w:t>Rosen, J. A.,</w:t>
      </w:r>
      <w:r w:rsidRPr="00A95C35">
        <w:rPr>
          <w:rStyle w:val="apple-converted-space"/>
          <w:szCs w:val="22"/>
        </w:rPr>
        <w:t> </w:t>
      </w:r>
      <w:r w:rsidRPr="00A95C35">
        <w:rPr>
          <w:szCs w:val="22"/>
        </w:rPr>
        <w:t>Murphy, J. J.,</w:t>
      </w:r>
      <w:r w:rsidRPr="00A95C35">
        <w:rPr>
          <w:rStyle w:val="apple-converted-space"/>
          <w:szCs w:val="22"/>
        </w:rPr>
        <w:t> </w:t>
      </w:r>
      <w:r w:rsidRPr="00A95C35">
        <w:rPr>
          <w:szCs w:val="22"/>
        </w:rPr>
        <w:t>Peytchev, A.,</w:t>
      </w:r>
      <w:r w:rsidRPr="00A95C35">
        <w:rPr>
          <w:rStyle w:val="apple-converted-space"/>
          <w:szCs w:val="22"/>
        </w:rPr>
        <w:t> </w:t>
      </w:r>
      <w:r w:rsidRPr="00A95C35">
        <w:rPr>
          <w:szCs w:val="22"/>
        </w:rPr>
        <w:t>Holder, T. E.,</w:t>
      </w:r>
      <w:r w:rsidRPr="00A95C35">
        <w:rPr>
          <w:rStyle w:val="apple-converted-space"/>
          <w:szCs w:val="22"/>
        </w:rPr>
        <w:t> </w:t>
      </w:r>
      <w:r w:rsidRPr="00A95C35">
        <w:rPr>
          <w:szCs w:val="22"/>
        </w:rPr>
        <w:t>Dever, J. A., Herget, D. R., &amp;</w:t>
      </w:r>
      <w:r w:rsidRPr="00A95C35">
        <w:rPr>
          <w:rStyle w:val="apple-converted-space"/>
          <w:szCs w:val="22"/>
        </w:rPr>
        <w:t> </w:t>
      </w:r>
      <w:r w:rsidRPr="00A95C35">
        <w:rPr>
          <w:szCs w:val="22"/>
        </w:rPr>
        <w:t>Pratt, D. J.</w:t>
      </w:r>
      <w:r w:rsidRPr="00A95C35">
        <w:rPr>
          <w:rStyle w:val="apple-converted-space"/>
          <w:szCs w:val="22"/>
        </w:rPr>
        <w:t> </w:t>
      </w:r>
      <w:r w:rsidRPr="00A95C35">
        <w:rPr>
          <w:szCs w:val="22"/>
        </w:rPr>
        <w:t>(2014). Prioritizing low-propensity sample members in a survey: Implications for nonresponse bias.</w:t>
      </w:r>
      <w:r w:rsidRPr="00A95C35">
        <w:rPr>
          <w:rStyle w:val="apple-converted-space"/>
          <w:szCs w:val="22"/>
        </w:rPr>
        <w:t> </w:t>
      </w:r>
      <w:r w:rsidRPr="00A95C35">
        <w:rPr>
          <w:i/>
          <w:szCs w:val="22"/>
        </w:rPr>
        <w:t>Survey Practice, 7</w:t>
      </w:r>
      <w:r w:rsidRPr="00A95C35">
        <w:rPr>
          <w:szCs w:val="22"/>
        </w:rPr>
        <w:t>(1), 1–8.</w:t>
      </w:r>
    </w:p>
    <w:p w14:paraId="05B520F1" w14:textId="77777777" w:rsidR="00D3014C" w:rsidRPr="00A95C35" w:rsidRDefault="00D3014C" w:rsidP="00D3014C">
      <w:pPr>
        <w:pStyle w:val="R-Pubs-Pres"/>
        <w:spacing w:after="120" w:line="23" w:lineRule="atLeast"/>
        <w:rPr>
          <w:szCs w:val="22"/>
        </w:rPr>
      </w:pPr>
      <w:r w:rsidRPr="00A95C35">
        <w:rPr>
          <w:bCs/>
          <w:szCs w:val="22"/>
        </w:rPr>
        <w:t>Pratt, D. J.</w:t>
      </w:r>
      <w:r w:rsidRPr="00A95C35">
        <w:rPr>
          <w:szCs w:val="22"/>
        </w:rPr>
        <w:t xml:space="preserve"> (Invited Speaker). (2014, March). </w:t>
      </w:r>
      <w:r w:rsidRPr="00A95C35">
        <w:rPr>
          <w:i/>
          <w:iCs/>
          <w:szCs w:val="22"/>
        </w:rPr>
        <w:t>What is adaptive design in practice? Approaches, experiences, and perspectives</w:t>
      </w:r>
      <w:r w:rsidRPr="00A95C35">
        <w:rPr>
          <w:szCs w:val="22"/>
        </w:rPr>
        <w:t>. Presented at FedCASIC 2014 Workshop Plenary Panel Session, Washington, DC.</w:t>
      </w:r>
    </w:p>
    <w:p w14:paraId="2D67530B" w14:textId="49C95A93" w:rsidR="008A290B" w:rsidRDefault="00D3014C" w:rsidP="0010135B">
      <w:pPr>
        <w:pStyle w:val="R-Pubs-Pres"/>
        <w:spacing w:after="240" w:line="23" w:lineRule="atLeast"/>
        <w:rPr>
          <w:szCs w:val="22"/>
        </w:rPr>
      </w:pPr>
      <w:r w:rsidRPr="00A95C35">
        <w:rPr>
          <w:szCs w:val="22"/>
        </w:rPr>
        <w:t xml:space="preserve">Pratt, D. J. (2013, December). </w:t>
      </w:r>
      <w:r w:rsidRPr="00A95C35">
        <w:rPr>
          <w:i/>
          <w:szCs w:val="22"/>
        </w:rPr>
        <w:t>Modeling, prioritization, and phased interventions to reduce potential nonresponse bias</w:t>
      </w:r>
      <w:r w:rsidRPr="00A95C35">
        <w:rPr>
          <w:szCs w:val="22"/>
        </w:rPr>
        <w:t>. Presented at Workshop on Advances in Adaptive and Responsive Surve</w:t>
      </w:r>
      <w:r w:rsidR="0010135B">
        <w:rPr>
          <w:szCs w:val="22"/>
        </w:rPr>
        <w:t>y Design, Heerlen, Netherlands.</w:t>
      </w:r>
    </w:p>
    <w:p w14:paraId="4CA4A23A" w14:textId="77777777" w:rsidR="008A290B" w:rsidRDefault="008A290B">
      <w:pPr>
        <w:rPr>
          <w:sz w:val="22"/>
          <w:szCs w:val="22"/>
        </w:rPr>
      </w:pPr>
      <w:r>
        <w:rPr>
          <w:szCs w:val="22"/>
        </w:rPr>
        <w:br w:type="page"/>
      </w:r>
    </w:p>
    <w:p w14:paraId="03D2C917" w14:textId="2BBBD6D1" w:rsidR="00A71BD3" w:rsidRPr="00322237" w:rsidRDefault="00A71BD3" w:rsidP="00A71BD3">
      <w:pPr>
        <w:rPr>
          <w:rFonts w:asciiTheme="majorBidi" w:hAnsiTheme="majorBidi" w:cstheme="majorBidi"/>
          <w:b/>
          <w:sz w:val="28"/>
        </w:rPr>
      </w:pPr>
      <w:r w:rsidRPr="00322237">
        <w:rPr>
          <w:rFonts w:asciiTheme="majorBidi" w:hAnsiTheme="majorBidi" w:cstheme="majorBidi"/>
          <w:b/>
          <w:sz w:val="28"/>
        </w:rPr>
        <w:lastRenderedPageBreak/>
        <w:t xml:space="preserve">Attachment </w:t>
      </w:r>
      <w:r>
        <w:rPr>
          <w:rFonts w:asciiTheme="majorBidi" w:hAnsiTheme="majorBidi" w:cstheme="majorBidi"/>
          <w:b/>
          <w:sz w:val="28"/>
        </w:rPr>
        <w:t>2</w:t>
      </w:r>
      <w:r w:rsidRPr="00322237">
        <w:rPr>
          <w:rFonts w:asciiTheme="majorBidi" w:hAnsiTheme="majorBidi" w:cstheme="majorBidi"/>
          <w:b/>
          <w:sz w:val="28"/>
        </w:rPr>
        <w:t xml:space="preserve"> – </w:t>
      </w:r>
      <w:r>
        <w:rPr>
          <w:rFonts w:asciiTheme="majorBidi" w:hAnsiTheme="majorBidi" w:cstheme="majorBidi"/>
          <w:b/>
          <w:sz w:val="28"/>
        </w:rPr>
        <w:t xml:space="preserve">Changes to </w:t>
      </w:r>
      <w:r w:rsidRPr="00322237">
        <w:rPr>
          <w:rFonts w:asciiTheme="majorBidi" w:hAnsiTheme="majorBidi" w:cstheme="majorBidi"/>
          <w:b/>
          <w:sz w:val="28"/>
        </w:rPr>
        <w:t>transcript and student records contacting materials</w:t>
      </w:r>
    </w:p>
    <w:p w14:paraId="48791D1F" w14:textId="77777777" w:rsidR="00A71BD3" w:rsidRPr="00322237" w:rsidRDefault="00A71BD3" w:rsidP="00A71BD3">
      <w:pPr>
        <w:spacing w:line="23" w:lineRule="atLeast"/>
        <w:rPr>
          <w:rFonts w:asciiTheme="majorBidi" w:eastAsia="Calibri" w:hAnsiTheme="majorBidi" w:cstheme="majorBidi"/>
          <w:b/>
          <w:sz w:val="28"/>
        </w:rPr>
      </w:pPr>
    </w:p>
    <w:p w14:paraId="7B2BBD1E" w14:textId="602CE2DF" w:rsidR="00A71BD3" w:rsidRDefault="00A71BD3" w:rsidP="00A71BD3">
      <w:r w:rsidRPr="00322237">
        <w:t>As mentioned in the memo, this submission requests approval for changes to the transcript data request and student records request contacting materials.</w:t>
      </w:r>
      <w:r w:rsidR="00235CA6">
        <w:t xml:space="preserve"> </w:t>
      </w:r>
      <w:r w:rsidRPr="00322237">
        <w:t>The table below includes the new page number of each document</w:t>
      </w:r>
      <w:r w:rsidR="006A167F">
        <w:t xml:space="preserve"> within the revised Appendixes F and G</w:t>
      </w:r>
      <w:r w:rsidRPr="00322237">
        <w:t xml:space="preserve">, the document name, when and to whom it </w:t>
      </w:r>
      <w:r w:rsidR="006A167F">
        <w:t>will be</w:t>
      </w:r>
      <w:r w:rsidRPr="00322237">
        <w:t xml:space="preserve"> sent, and a summary of revisions</w:t>
      </w:r>
      <w:r w:rsidR="006A167F">
        <w:t xml:space="preserve"> when applicable (</w:t>
      </w:r>
      <w:r w:rsidR="006A167F" w:rsidRPr="006A167F">
        <w:rPr>
          <w:color w:val="7030A0"/>
        </w:rPr>
        <w:t>color coded in blue font</w:t>
      </w:r>
      <w:r w:rsidR="006A167F">
        <w:t>)</w:t>
      </w:r>
      <w:r w:rsidRPr="00322237">
        <w:t>.</w:t>
      </w:r>
    </w:p>
    <w:p w14:paraId="6135A3AD" w14:textId="77777777" w:rsidR="00A71BD3" w:rsidRPr="00322237" w:rsidRDefault="00A71BD3" w:rsidP="00A71BD3"/>
    <w:p w14:paraId="580324A7" w14:textId="77777777" w:rsidR="00A71BD3" w:rsidRDefault="00A71BD3" w:rsidP="00A71BD3">
      <w:pPr>
        <w:pStyle w:val="Heading1"/>
      </w:pPr>
      <w:bookmarkStart w:id="11" w:name="_Toc444762843"/>
      <w:bookmarkStart w:id="12" w:name="_Toc444764123"/>
      <w:r>
        <w:t>Exhibit 1: Changes to contacting materials since the 3/7/201</w:t>
      </w:r>
      <w:bookmarkEnd w:id="11"/>
      <w:bookmarkEnd w:id="12"/>
      <w:r>
        <w:t>6 OMB approval</w:t>
      </w:r>
    </w:p>
    <w:tbl>
      <w:tblPr>
        <w:tblW w:w="5000" w:type="pct"/>
        <w:tblLayout w:type="fixed"/>
        <w:tblLook w:val="04A0" w:firstRow="1" w:lastRow="0" w:firstColumn="1" w:lastColumn="0" w:noHBand="0" w:noVBand="1"/>
      </w:tblPr>
      <w:tblGrid>
        <w:gridCol w:w="918"/>
        <w:gridCol w:w="3239"/>
        <w:gridCol w:w="3241"/>
        <w:gridCol w:w="1262"/>
        <w:gridCol w:w="1924"/>
      </w:tblGrid>
      <w:tr w:rsidR="001263B1" w:rsidRPr="00341C64" w14:paraId="0CE4CE97" w14:textId="77777777" w:rsidTr="001263B1">
        <w:trPr>
          <w:cantSplit/>
          <w:trHeight w:val="144"/>
          <w:tblHeader/>
        </w:trPr>
        <w:tc>
          <w:tcPr>
            <w:tcW w:w="4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A20525" w14:textId="77777777" w:rsidR="00A71BD3" w:rsidRPr="00680FF6" w:rsidRDefault="00A71BD3" w:rsidP="000D1B8B">
            <w:pPr>
              <w:rPr>
                <w:b/>
                <w:sz w:val="20"/>
                <w:szCs w:val="20"/>
              </w:rPr>
            </w:pPr>
            <w:r w:rsidRPr="00680FF6">
              <w:rPr>
                <w:b/>
                <w:sz w:val="20"/>
                <w:szCs w:val="20"/>
              </w:rPr>
              <w:t>New Page #</w:t>
            </w:r>
          </w:p>
        </w:tc>
        <w:tc>
          <w:tcPr>
            <w:tcW w:w="1530" w:type="pct"/>
            <w:tcBorders>
              <w:top w:val="single" w:sz="4" w:space="0" w:color="auto"/>
              <w:left w:val="nil"/>
              <w:bottom w:val="single" w:sz="4" w:space="0" w:color="auto"/>
              <w:right w:val="single" w:sz="4" w:space="0" w:color="auto"/>
            </w:tcBorders>
            <w:shd w:val="clear" w:color="auto" w:fill="auto"/>
            <w:noWrap/>
            <w:vAlign w:val="bottom"/>
            <w:hideMark/>
          </w:tcPr>
          <w:p w14:paraId="61AC1430" w14:textId="77777777" w:rsidR="00A71BD3" w:rsidRPr="00680FF6" w:rsidRDefault="00A71BD3" w:rsidP="000D1B8B">
            <w:pPr>
              <w:rPr>
                <w:b/>
                <w:sz w:val="20"/>
                <w:szCs w:val="20"/>
              </w:rPr>
            </w:pPr>
            <w:r w:rsidRPr="00680FF6">
              <w:rPr>
                <w:b/>
                <w:sz w:val="20"/>
                <w:szCs w:val="20"/>
              </w:rPr>
              <w:t>Item Name</w:t>
            </w:r>
          </w:p>
        </w:tc>
        <w:tc>
          <w:tcPr>
            <w:tcW w:w="1531" w:type="pct"/>
            <w:tcBorders>
              <w:top w:val="single" w:sz="4" w:space="0" w:color="auto"/>
              <w:left w:val="nil"/>
              <w:bottom w:val="single" w:sz="4" w:space="0" w:color="auto"/>
              <w:right w:val="single" w:sz="4" w:space="0" w:color="auto"/>
            </w:tcBorders>
            <w:shd w:val="clear" w:color="auto" w:fill="auto"/>
            <w:vAlign w:val="bottom"/>
            <w:hideMark/>
          </w:tcPr>
          <w:p w14:paraId="218F54AC" w14:textId="77777777" w:rsidR="00A71BD3" w:rsidRPr="00680FF6" w:rsidRDefault="00A71BD3" w:rsidP="000D1B8B">
            <w:pPr>
              <w:rPr>
                <w:b/>
                <w:sz w:val="20"/>
                <w:szCs w:val="20"/>
              </w:rPr>
            </w:pPr>
            <w:r w:rsidRPr="00680FF6">
              <w:rPr>
                <w:b/>
                <w:sz w:val="20"/>
                <w:szCs w:val="20"/>
              </w:rPr>
              <w:t>When/where Sent</w:t>
            </w:r>
          </w:p>
        </w:tc>
        <w:tc>
          <w:tcPr>
            <w:tcW w:w="596" w:type="pct"/>
            <w:tcBorders>
              <w:top w:val="single" w:sz="4" w:space="0" w:color="auto"/>
              <w:left w:val="nil"/>
              <w:bottom w:val="single" w:sz="4" w:space="0" w:color="auto"/>
              <w:right w:val="single" w:sz="4" w:space="0" w:color="auto"/>
            </w:tcBorders>
            <w:shd w:val="clear" w:color="auto" w:fill="auto"/>
            <w:vAlign w:val="bottom"/>
            <w:hideMark/>
          </w:tcPr>
          <w:p w14:paraId="12B01F28" w14:textId="77777777" w:rsidR="00A71BD3" w:rsidRPr="00680FF6" w:rsidRDefault="00A71BD3" w:rsidP="000D1B8B">
            <w:pPr>
              <w:rPr>
                <w:color w:val="7030A0"/>
                <w:sz w:val="20"/>
                <w:szCs w:val="20"/>
              </w:rPr>
            </w:pPr>
            <w:r w:rsidRPr="00680FF6">
              <w:rPr>
                <w:b/>
                <w:sz w:val="20"/>
                <w:szCs w:val="20"/>
              </w:rPr>
              <w:t>Change</w:t>
            </w:r>
            <w:r w:rsidRPr="00680FF6">
              <w:rPr>
                <w:sz w:val="20"/>
                <w:szCs w:val="20"/>
              </w:rPr>
              <w:br/>
            </w:r>
            <w:r w:rsidRPr="00680FF6">
              <w:rPr>
                <w:color w:val="00B050"/>
                <w:sz w:val="20"/>
                <w:szCs w:val="20"/>
              </w:rPr>
              <w:t>Added (A)</w:t>
            </w:r>
            <w:r w:rsidRPr="00680FF6">
              <w:rPr>
                <w:sz w:val="20"/>
                <w:szCs w:val="20"/>
              </w:rPr>
              <w:br/>
            </w:r>
            <w:r w:rsidRPr="00680FF6">
              <w:rPr>
                <w:color w:val="7030A0"/>
                <w:sz w:val="20"/>
                <w:szCs w:val="20"/>
              </w:rPr>
              <w:t>Revised (R)</w:t>
            </w:r>
          </w:p>
        </w:tc>
        <w:tc>
          <w:tcPr>
            <w:tcW w:w="909" w:type="pct"/>
            <w:tcBorders>
              <w:top w:val="single" w:sz="4" w:space="0" w:color="auto"/>
              <w:left w:val="nil"/>
              <w:bottom w:val="single" w:sz="4" w:space="0" w:color="auto"/>
              <w:right w:val="single" w:sz="4" w:space="0" w:color="auto"/>
            </w:tcBorders>
            <w:vAlign w:val="bottom"/>
          </w:tcPr>
          <w:p w14:paraId="09A7FEC0" w14:textId="77777777" w:rsidR="00A71BD3" w:rsidRPr="00680FF6" w:rsidRDefault="00A71BD3" w:rsidP="000D1B8B">
            <w:pPr>
              <w:rPr>
                <w:b/>
                <w:sz w:val="20"/>
                <w:szCs w:val="20"/>
              </w:rPr>
            </w:pPr>
            <w:r w:rsidRPr="00680FF6">
              <w:rPr>
                <w:b/>
                <w:sz w:val="20"/>
                <w:szCs w:val="20"/>
              </w:rPr>
              <w:t>Revision</w:t>
            </w:r>
          </w:p>
        </w:tc>
      </w:tr>
      <w:tr w:rsidR="001263B1" w:rsidRPr="00341C64" w14:paraId="588F1E76" w14:textId="77777777" w:rsidTr="001263B1">
        <w:trPr>
          <w:cantSplit/>
          <w:trHeight w:val="144"/>
        </w:trPr>
        <w:tc>
          <w:tcPr>
            <w:tcW w:w="434" w:type="pct"/>
            <w:tcBorders>
              <w:top w:val="nil"/>
              <w:left w:val="single" w:sz="4" w:space="0" w:color="auto"/>
              <w:bottom w:val="single" w:sz="4" w:space="0" w:color="auto"/>
              <w:right w:val="single" w:sz="4" w:space="0" w:color="auto"/>
            </w:tcBorders>
            <w:shd w:val="clear" w:color="auto" w:fill="auto"/>
            <w:hideMark/>
          </w:tcPr>
          <w:p w14:paraId="40D62B3B" w14:textId="77777777" w:rsidR="00A71BD3" w:rsidRPr="00680FF6" w:rsidRDefault="00A71BD3" w:rsidP="000D1B8B">
            <w:pPr>
              <w:rPr>
                <w:color w:val="7030A0"/>
                <w:sz w:val="20"/>
                <w:szCs w:val="20"/>
              </w:rPr>
            </w:pPr>
            <w:r w:rsidRPr="00680FF6">
              <w:rPr>
                <w:color w:val="00B050"/>
                <w:sz w:val="20"/>
                <w:szCs w:val="20"/>
              </w:rPr>
              <w:t>F-3 ADDED</w:t>
            </w:r>
          </w:p>
        </w:tc>
        <w:tc>
          <w:tcPr>
            <w:tcW w:w="1530" w:type="pct"/>
            <w:tcBorders>
              <w:top w:val="nil"/>
              <w:left w:val="nil"/>
              <w:bottom w:val="single" w:sz="4" w:space="0" w:color="auto"/>
              <w:right w:val="single" w:sz="4" w:space="0" w:color="auto"/>
            </w:tcBorders>
            <w:shd w:val="clear" w:color="auto" w:fill="auto"/>
            <w:noWrap/>
            <w:hideMark/>
          </w:tcPr>
          <w:p w14:paraId="73454EFF" w14:textId="0B6BE5B8" w:rsidR="00A71BD3" w:rsidRPr="00680FF6" w:rsidRDefault="00680FF6" w:rsidP="000D1B8B">
            <w:pPr>
              <w:rPr>
                <w:smallCaps/>
                <w:color w:val="00B050"/>
                <w:sz w:val="20"/>
                <w:szCs w:val="20"/>
              </w:rPr>
            </w:pPr>
            <w:r w:rsidRPr="00680FF6">
              <w:rPr>
                <w:smallCaps/>
                <w:color w:val="00B050"/>
                <w:sz w:val="20"/>
                <w:szCs w:val="20"/>
              </w:rPr>
              <w:t>Postsecondary Data Portal Packet Contents</w:t>
            </w:r>
          </w:p>
        </w:tc>
        <w:tc>
          <w:tcPr>
            <w:tcW w:w="1531" w:type="pct"/>
            <w:tcBorders>
              <w:top w:val="nil"/>
              <w:left w:val="nil"/>
              <w:bottom w:val="single" w:sz="4" w:space="0" w:color="auto"/>
              <w:right w:val="single" w:sz="4" w:space="0" w:color="auto"/>
            </w:tcBorders>
            <w:shd w:val="clear" w:color="auto" w:fill="auto"/>
          </w:tcPr>
          <w:p w14:paraId="44F4814D" w14:textId="77777777" w:rsidR="00A71BD3" w:rsidRPr="00680FF6" w:rsidRDefault="00A71BD3" w:rsidP="000D1B8B">
            <w:pPr>
              <w:rPr>
                <w:color w:val="00B050"/>
                <w:sz w:val="20"/>
                <w:szCs w:val="20"/>
              </w:rPr>
            </w:pPr>
            <w:r w:rsidRPr="00680FF6">
              <w:rPr>
                <w:color w:val="00B050"/>
                <w:sz w:val="20"/>
                <w:szCs w:val="20"/>
              </w:rPr>
              <w:t>Sent prior to data collection to IR director or Chief Administrator (CA) to introduce the PDP.</w:t>
            </w:r>
          </w:p>
        </w:tc>
        <w:tc>
          <w:tcPr>
            <w:tcW w:w="596" w:type="pct"/>
            <w:tcBorders>
              <w:top w:val="nil"/>
              <w:left w:val="nil"/>
              <w:bottom w:val="single" w:sz="4" w:space="0" w:color="auto"/>
              <w:right w:val="single" w:sz="4" w:space="0" w:color="auto"/>
            </w:tcBorders>
            <w:shd w:val="clear" w:color="auto" w:fill="auto"/>
          </w:tcPr>
          <w:p w14:paraId="731139C4" w14:textId="77777777" w:rsidR="00A71BD3" w:rsidRPr="00680FF6" w:rsidRDefault="00A71BD3" w:rsidP="000D1B8B">
            <w:pPr>
              <w:rPr>
                <w:color w:val="7030A0"/>
                <w:sz w:val="20"/>
                <w:szCs w:val="20"/>
              </w:rPr>
            </w:pPr>
            <w:r w:rsidRPr="00680FF6">
              <w:rPr>
                <w:color w:val="00B050"/>
                <w:sz w:val="20"/>
                <w:szCs w:val="20"/>
              </w:rPr>
              <w:t>A</w:t>
            </w:r>
          </w:p>
        </w:tc>
        <w:tc>
          <w:tcPr>
            <w:tcW w:w="909" w:type="pct"/>
            <w:tcBorders>
              <w:top w:val="nil"/>
              <w:left w:val="nil"/>
              <w:bottom w:val="single" w:sz="4" w:space="0" w:color="auto"/>
              <w:right w:val="single" w:sz="4" w:space="0" w:color="auto"/>
            </w:tcBorders>
          </w:tcPr>
          <w:p w14:paraId="76E20963" w14:textId="77777777" w:rsidR="00A71BD3" w:rsidRPr="00680FF6" w:rsidRDefault="00A71BD3" w:rsidP="000D1B8B">
            <w:pPr>
              <w:rPr>
                <w:color w:val="7030A0"/>
                <w:sz w:val="20"/>
                <w:szCs w:val="20"/>
              </w:rPr>
            </w:pPr>
          </w:p>
        </w:tc>
      </w:tr>
      <w:tr w:rsidR="001263B1" w:rsidRPr="00341C64" w14:paraId="692DE925" w14:textId="77777777" w:rsidTr="001263B1">
        <w:trPr>
          <w:cantSplit/>
          <w:trHeight w:val="144"/>
        </w:trPr>
        <w:tc>
          <w:tcPr>
            <w:tcW w:w="434" w:type="pct"/>
            <w:tcBorders>
              <w:top w:val="nil"/>
              <w:left w:val="single" w:sz="4" w:space="0" w:color="auto"/>
              <w:bottom w:val="single" w:sz="4" w:space="0" w:color="auto"/>
              <w:right w:val="single" w:sz="4" w:space="0" w:color="auto"/>
            </w:tcBorders>
            <w:shd w:val="clear" w:color="auto" w:fill="auto"/>
            <w:hideMark/>
          </w:tcPr>
          <w:p w14:paraId="05908CAE" w14:textId="77777777" w:rsidR="00A71BD3" w:rsidRPr="00680FF6" w:rsidRDefault="00A71BD3" w:rsidP="000D1B8B">
            <w:pPr>
              <w:rPr>
                <w:color w:val="7030A0"/>
                <w:sz w:val="20"/>
                <w:szCs w:val="20"/>
              </w:rPr>
            </w:pPr>
            <w:r w:rsidRPr="00680FF6">
              <w:rPr>
                <w:color w:val="7030A0"/>
                <w:sz w:val="20"/>
                <w:szCs w:val="20"/>
              </w:rPr>
              <w:t>F-6</w:t>
            </w:r>
          </w:p>
        </w:tc>
        <w:tc>
          <w:tcPr>
            <w:tcW w:w="1530" w:type="pct"/>
            <w:tcBorders>
              <w:top w:val="nil"/>
              <w:left w:val="nil"/>
              <w:bottom w:val="single" w:sz="4" w:space="0" w:color="auto"/>
              <w:right w:val="single" w:sz="4" w:space="0" w:color="auto"/>
            </w:tcBorders>
            <w:shd w:val="clear" w:color="auto" w:fill="auto"/>
            <w:noWrap/>
            <w:hideMark/>
          </w:tcPr>
          <w:p w14:paraId="1571B3B3" w14:textId="77705AD6" w:rsidR="00A71BD3" w:rsidRPr="00680FF6" w:rsidRDefault="00680FF6" w:rsidP="001D0A3D">
            <w:pPr>
              <w:rPr>
                <w:color w:val="7030A0"/>
                <w:sz w:val="20"/>
                <w:szCs w:val="20"/>
              </w:rPr>
            </w:pPr>
            <w:r w:rsidRPr="00680FF6">
              <w:rPr>
                <w:color w:val="7030A0"/>
                <w:sz w:val="20"/>
                <w:szCs w:val="20"/>
              </w:rPr>
              <w:t xml:space="preserve">Transcript And Student Records Collection Letter To </w:t>
            </w:r>
            <w:r w:rsidR="001D0A3D" w:rsidRPr="00680FF6">
              <w:rPr>
                <w:color w:val="7030A0"/>
                <w:sz w:val="20"/>
                <w:szCs w:val="20"/>
              </w:rPr>
              <w:t>I</w:t>
            </w:r>
            <w:r w:rsidR="001D0A3D">
              <w:rPr>
                <w:color w:val="7030A0"/>
                <w:sz w:val="20"/>
                <w:szCs w:val="20"/>
              </w:rPr>
              <w:t>R</w:t>
            </w:r>
            <w:r w:rsidR="001D0A3D" w:rsidRPr="00680FF6">
              <w:rPr>
                <w:color w:val="7030A0"/>
                <w:sz w:val="20"/>
                <w:szCs w:val="20"/>
              </w:rPr>
              <w:t xml:space="preserve"> </w:t>
            </w:r>
            <w:r w:rsidRPr="00680FF6">
              <w:rPr>
                <w:color w:val="7030A0"/>
                <w:sz w:val="20"/>
                <w:szCs w:val="20"/>
              </w:rPr>
              <w:t xml:space="preserve">Director </w:t>
            </w:r>
            <w:r w:rsidR="00BD1078">
              <w:rPr>
                <w:color w:val="7030A0"/>
                <w:sz w:val="20"/>
                <w:szCs w:val="20"/>
              </w:rPr>
              <w:t>o</w:t>
            </w:r>
            <w:r w:rsidR="001D0A3D" w:rsidRPr="00680FF6">
              <w:rPr>
                <w:color w:val="7030A0"/>
                <w:sz w:val="20"/>
                <w:szCs w:val="20"/>
              </w:rPr>
              <w:t xml:space="preserve">r </w:t>
            </w:r>
            <w:r w:rsidRPr="00680FF6">
              <w:rPr>
                <w:color w:val="7030A0"/>
                <w:sz w:val="20"/>
                <w:szCs w:val="20"/>
              </w:rPr>
              <w:t>Chief Administrator – Joint Study Collection</w:t>
            </w:r>
          </w:p>
        </w:tc>
        <w:tc>
          <w:tcPr>
            <w:tcW w:w="1531" w:type="pct"/>
            <w:tcBorders>
              <w:top w:val="nil"/>
              <w:left w:val="nil"/>
              <w:bottom w:val="single" w:sz="4" w:space="0" w:color="auto"/>
              <w:right w:val="single" w:sz="4" w:space="0" w:color="auto"/>
            </w:tcBorders>
            <w:shd w:val="clear" w:color="auto" w:fill="auto"/>
          </w:tcPr>
          <w:p w14:paraId="46078E41" w14:textId="77777777" w:rsidR="00A71BD3" w:rsidRPr="00680FF6" w:rsidRDefault="00A71BD3" w:rsidP="000D1B8B">
            <w:pPr>
              <w:rPr>
                <w:color w:val="7030A0"/>
                <w:sz w:val="20"/>
                <w:szCs w:val="20"/>
              </w:rPr>
            </w:pPr>
            <w:r w:rsidRPr="00680FF6">
              <w:rPr>
                <w:color w:val="7030A0"/>
                <w:sz w:val="20"/>
                <w:szCs w:val="20"/>
              </w:rPr>
              <w:t>Sent to IR director or CA as cover letter with request packets.</w:t>
            </w:r>
          </w:p>
        </w:tc>
        <w:tc>
          <w:tcPr>
            <w:tcW w:w="596" w:type="pct"/>
            <w:tcBorders>
              <w:top w:val="nil"/>
              <w:left w:val="nil"/>
              <w:bottom w:val="single" w:sz="4" w:space="0" w:color="auto"/>
              <w:right w:val="single" w:sz="4" w:space="0" w:color="auto"/>
            </w:tcBorders>
            <w:shd w:val="clear" w:color="auto" w:fill="auto"/>
          </w:tcPr>
          <w:p w14:paraId="2AE91E3E"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nil"/>
              <w:left w:val="nil"/>
              <w:bottom w:val="single" w:sz="4" w:space="0" w:color="auto"/>
              <w:right w:val="single" w:sz="4" w:space="0" w:color="auto"/>
            </w:tcBorders>
          </w:tcPr>
          <w:p w14:paraId="4C3A0711" w14:textId="77777777" w:rsidR="00A71BD3" w:rsidRPr="00680FF6" w:rsidRDefault="00A71BD3" w:rsidP="000D1B8B">
            <w:pPr>
              <w:rPr>
                <w:color w:val="7030A0"/>
                <w:sz w:val="20"/>
                <w:szCs w:val="20"/>
              </w:rPr>
            </w:pPr>
            <w:r w:rsidRPr="00680FF6">
              <w:rPr>
                <w:color w:val="7030A0"/>
                <w:sz w:val="20"/>
                <w:szCs w:val="20"/>
              </w:rPr>
              <w:t>Moved from G-3. Edits included adding BPS:12 and clarifications.</w:t>
            </w:r>
          </w:p>
        </w:tc>
      </w:tr>
      <w:tr w:rsidR="001263B1" w:rsidRPr="00341C64" w14:paraId="326BCDA2"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15625B5" w14:textId="77777777" w:rsidR="00A71BD3" w:rsidRPr="00680FF6" w:rsidRDefault="00A71BD3" w:rsidP="000D1B8B">
            <w:pPr>
              <w:rPr>
                <w:color w:val="7030A0"/>
                <w:sz w:val="20"/>
                <w:szCs w:val="20"/>
              </w:rPr>
            </w:pPr>
            <w:r w:rsidRPr="00680FF6">
              <w:rPr>
                <w:color w:val="7030A0"/>
                <w:sz w:val="20"/>
                <w:szCs w:val="20"/>
              </w:rPr>
              <w:t xml:space="preserve">F-8 </w:t>
            </w:r>
          </w:p>
        </w:tc>
        <w:tc>
          <w:tcPr>
            <w:tcW w:w="1530" w:type="pct"/>
            <w:tcBorders>
              <w:top w:val="single" w:sz="4" w:space="0" w:color="auto"/>
              <w:left w:val="nil"/>
              <w:bottom w:val="single" w:sz="4" w:space="0" w:color="auto"/>
              <w:right w:val="single" w:sz="4" w:space="0" w:color="auto"/>
            </w:tcBorders>
            <w:shd w:val="clear" w:color="auto" w:fill="auto"/>
            <w:noWrap/>
            <w:hideMark/>
          </w:tcPr>
          <w:p w14:paraId="00F14E80" w14:textId="2C59AA8C" w:rsidR="00A71BD3" w:rsidRPr="00680FF6" w:rsidRDefault="00680FF6" w:rsidP="001D0A3D">
            <w:pPr>
              <w:rPr>
                <w:color w:val="7030A0"/>
                <w:sz w:val="20"/>
                <w:szCs w:val="20"/>
              </w:rPr>
            </w:pPr>
            <w:r w:rsidRPr="00680FF6">
              <w:rPr>
                <w:color w:val="7030A0"/>
                <w:sz w:val="20"/>
                <w:szCs w:val="20"/>
              </w:rPr>
              <w:t xml:space="preserve">Transcript Collection Request Letter From </w:t>
            </w:r>
            <w:r w:rsidR="001D0A3D">
              <w:rPr>
                <w:color w:val="7030A0"/>
                <w:sz w:val="20"/>
                <w:szCs w:val="20"/>
              </w:rPr>
              <w:t>RTI</w:t>
            </w:r>
            <w:r w:rsidR="001D0A3D" w:rsidRPr="00680FF6">
              <w:rPr>
                <w:color w:val="7030A0"/>
                <w:sz w:val="20"/>
                <w:szCs w:val="20"/>
              </w:rPr>
              <w:t xml:space="preserve"> </w:t>
            </w:r>
            <w:r w:rsidRPr="00680FF6">
              <w:rPr>
                <w:color w:val="7030A0"/>
                <w:sz w:val="20"/>
                <w:szCs w:val="20"/>
              </w:rPr>
              <w:t>–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445D2B63"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45565938"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1CA99FFF" w14:textId="77777777" w:rsidR="00A71BD3" w:rsidRPr="00680FF6" w:rsidRDefault="00A71BD3" w:rsidP="000D1B8B">
            <w:pPr>
              <w:rPr>
                <w:color w:val="7030A0"/>
                <w:sz w:val="20"/>
                <w:szCs w:val="20"/>
              </w:rPr>
            </w:pPr>
            <w:r w:rsidRPr="00680FF6">
              <w:rPr>
                <w:color w:val="7030A0"/>
                <w:sz w:val="20"/>
                <w:szCs w:val="20"/>
              </w:rPr>
              <w:t>Added BPS:12 and edited text to clarify.</w:t>
            </w:r>
          </w:p>
        </w:tc>
      </w:tr>
      <w:tr w:rsidR="001263B1" w:rsidRPr="00341C64" w14:paraId="4D899350"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6CBC8B14" w14:textId="77777777" w:rsidR="00A71BD3" w:rsidRPr="00680FF6" w:rsidRDefault="00A71BD3" w:rsidP="000D1B8B">
            <w:pPr>
              <w:rPr>
                <w:color w:val="7030A0"/>
                <w:sz w:val="20"/>
                <w:szCs w:val="20"/>
              </w:rPr>
            </w:pPr>
            <w:r w:rsidRPr="00680FF6">
              <w:rPr>
                <w:color w:val="7030A0"/>
                <w:sz w:val="20"/>
                <w:szCs w:val="20"/>
              </w:rPr>
              <w:t>F-10</w:t>
            </w:r>
          </w:p>
        </w:tc>
        <w:tc>
          <w:tcPr>
            <w:tcW w:w="1530" w:type="pct"/>
            <w:tcBorders>
              <w:top w:val="single" w:sz="4" w:space="0" w:color="auto"/>
              <w:left w:val="nil"/>
              <w:bottom w:val="single" w:sz="4" w:space="0" w:color="auto"/>
              <w:right w:val="single" w:sz="4" w:space="0" w:color="auto"/>
            </w:tcBorders>
            <w:shd w:val="clear" w:color="auto" w:fill="auto"/>
            <w:noWrap/>
            <w:hideMark/>
          </w:tcPr>
          <w:p w14:paraId="18306632" w14:textId="06F0786E" w:rsidR="00A71BD3" w:rsidRPr="00680FF6" w:rsidRDefault="00680FF6" w:rsidP="001D0A3D">
            <w:pPr>
              <w:rPr>
                <w:color w:val="7030A0"/>
                <w:sz w:val="20"/>
                <w:szCs w:val="20"/>
              </w:rPr>
            </w:pPr>
            <w:r w:rsidRPr="00680FF6">
              <w:rPr>
                <w:color w:val="7030A0"/>
                <w:sz w:val="20"/>
                <w:szCs w:val="20"/>
              </w:rPr>
              <w:t xml:space="preserve">Transcript Collection Request Letter From </w:t>
            </w:r>
            <w:r w:rsidR="001D0A3D">
              <w:rPr>
                <w:color w:val="7030A0"/>
                <w:sz w:val="20"/>
                <w:szCs w:val="20"/>
              </w:rPr>
              <w:t>NCES</w:t>
            </w:r>
            <w:r w:rsidR="001D0A3D" w:rsidRPr="00680FF6">
              <w:rPr>
                <w:color w:val="7030A0"/>
                <w:sz w:val="20"/>
                <w:szCs w:val="20"/>
              </w:rPr>
              <w:t xml:space="preserve"> </w:t>
            </w:r>
            <w:r w:rsidRPr="00680FF6">
              <w:rPr>
                <w:color w:val="7030A0"/>
                <w:sz w:val="20"/>
                <w:szCs w:val="20"/>
              </w:rPr>
              <w:t>–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13CD3D3F"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43B34C63"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50865C23" w14:textId="77777777" w:rsidR="00A71BD3" w:rsidRPr="00680FF6" w:rsidRDefault="00A71BD3" w:rsidP="000D1B8B">
            <w:pPr>
              <w:rPr>
                <w:color w:val="7030A0"/>
                <w:sz w:val="20"/>
                <w:szCs w:val="20"/>
              </w:rPr>
            </w:pPr>
            <w:r w:rsidRPr="00680FF6">
              <w:rPr>
                <w:color w:val="7030A0"/>
                <w:sz w:val="20"/>
                <w:szCs w:val="20"/>
              </w:rPr>
              <w:t>Added BPS:12 and edited text to clarify.</w:t>
            </w:r>
          </w:p>
        </w:tc>
      </w:tr>
      <w:tr w:rsidR="001263B1" w:rsidRPr="00341C64" w14:paraId="36B2388B"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31E553C8" w14:textId="77777777" w:rsidR="00A71BD3" w:rsidRPr="00680FF6" w:rsidRDefault="00A71BD3" w:rsidP="000D1B8B">
            <w:pPr>
              <w:rPr>
                <w:color w:val="7030A0"/>
                <w:sz w:val="20"/>
                <w:szCs w:val="20"/>
              </w:rPr>
            </w:pPr>
            <w:r w:rsidRPr="00680FF6">
              <w:rPr>
                <w:color w:val="7030A0"/>
                <w:sz w:val="20"/>
                <w:szCs w:val="20"/>
              </w:rPr>
              <w:t>F-11</w:t>
            </w:r>
          </w:p>
        </w:tc>
        <w:tc>
          <w:tcPr>
            <w:tcW w:w="1530" w:type="pct"/>
            <w:tcBorders>
              <w:top w:val="single" w:sz="4" w:space="0" w:color="auto"/>
              <w:left w:val="nil"/>
              <w:bottom w:val="single" w:sz="4" w:space="0" w:color="auto"/>
              <w:right w:val="single" w:sz="4" w:space="0" w:color="auto"/>
            </w:tcBorders>
            <w:shd w:val="clear" w:color="auto" w:fill="auto"/>
            <w:noWrap/>
            <w:hideMark/>
          </w:tcPr>
          <w:p w14:paraId="45CBF2D4" w14:textId="47DF1AAF" w:rsidR="00A71BD3" w:rsidRPr="00680FF6" w:rsidRDefault="00680FF6" w:rsidP="000D1B8B">
            <w:pPr>
              <w:rPr>
                <w:color w:val="7030A0"/>
                <w:sz w:val="20"/>
                <w:szCs w:val="20"/>
              </w:rPr>
            </w:pPr>
            <w:r w:rsidRPr="00680FF6">
              <w:rPr>
                <w:color w:val="7030A0"/>
                <w:sz w:val="20"/>
                <w:szCs w:val="20"/>
              </w:rPr>
              <w:t>Transcript Request Letter From Endorsing Agency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3C2F7A52"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04746453"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0039710A" w14:textId="77777777" w:rsidR="00A71BD3" w:rsidRPr="00680FF6" w:rsidRDefault="00A71BD3" w:rsidP="000D1B8B">
            <w:pPr>
              <w:rPr>
                <w:color w:val="7030A0"/>
                <w:sz w:val="20"/>
                <w:szCs w:val="20"/>
              </w:rPr>
            </w:pPr>
            <w:r w:rsidRPr="00680FF6">
              <w:rPr>
                <w:color w:val="7030A0"/>
                <w:sz w:val="20"/>
                <w:szCs w:val="20"/>
              </w:rPr>
              <w:t>Added BPS:12 and edited text to clarify.</w:t>
            </w:r>
          </w:p>
        </w:tc>
      </w:tr>
      <w:tr w:rsidR="001263B1" w:rsidRPr="00341C64" w14:paraId="5F4FC23A"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6E2FF0E8" w14:textId="77777777" w:rsidR="00A71BD3" w:rsidRPr="00680FF6" w:rsidRDefault="00A71BD3" w:rsidP="000D1B8B">
            <w:pPr>
              <w:rPr>
                <w:color w:val="00B050"/>
                <w:sz w:val="20"/>
                <w:szCs w:val="20"/>
              </w:rPr>
            </w:pPr>
            <w:r w:rsidRPr="00680FF6">
              <w:rPr>
                <w:color w:val="00B050"/>
                <w:sz w:val="20"/>
                <w:szCs w:val="20"/>
              </w:rPr>
              <w:t>F-12 ADDED</w:t>
            </w:r>
          </w:p>
        </w:tc>
        <w:tc>
          <w:tcPr>
            <w:tcW w:w="1530" w:type="pct"/>
            <w:tcBorders>
              <w:top w:val="single" w:sz="4" w:space="0" w:color="auto"/>
              <w:left w:val="nil"/>
              <w:bottom w:val="single" w:sz="4" w:space="0" w:color="auto"/>
              <w:right w:val="single" w:sz="4" w:space="0" w:color="auto"/>
            </w:tcBorders>
            <w:shd w:val="clear" w:color="auto" w:fill="auto"/>
            <w:noWrap/>
            <w:hideMark/>
          </w:tcPr>
          <w:p w14:paraId="4039D64A" w14:textId="4D3C3F2C" w:rsidR="00A71BD3" w:rsidRPr="00680FF6" w:rsidRDefault="00680FF6" w:rsidP="000D1B8B">
            <w:pPr>
              <w:rPr>
                <w:color w:val="00B050"/>
                <w:sz w:val="20"/>
                <w:szCs w:val="20"/>
              </w:rPr>
            </w:pPr>
            <w:r w:rsidRPr="00680FF6">
              <w:rPr>
                <w:color w:val="00B050"/>
                <w:sz w:val="20"/>
                <w:szCs w:val="20"/>
              </w:rPr>
              <w:t>Transcript Request Letter – Additional Students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05DE9ED7" w14:textId="77777777" w:rsidR="00A71BD3" w:rsidRPr="00680FF6" w:rsidRDefault="00A71BD3" w:rsidP="000D1B8B">
            <w:pPr>
              <w:rPr>
                <w:color w:val="00B050"/>
                <w:sz w:val="20"/>
                <w:szCs w:val="20"/>
              </w:rPr>
            </w:pPr>
            <w:r w:rsidRPr="00680FF6">
              <w:rPr>
                <w:color w:val="00B050"/>
                <w:sz w:val="20"/>
                <w:szCs w:val="20"/>
              </w:rPr>
              <w:t>Included in subsequent transcript request packet for respondent Registrar or designee when additional students are requested.</w:t>
            </w:r>
          </w:p>
        </w:tc>
        <w:tc>
          <w:tcPr>
            <w:tcW w:w="596" w:type="pct"/>
            <w:tcBorders>
              <w:top w:val="single" w:sz="4" w:space="0" w:color="auto"/>
              <w:left w:val="nil"/>
              <w:bottom w:val="single" w:sz="4" w:space="0" w:color="auto"/>
              <w:right w:val="single" w:sz="4" w:space="0" w:color="auto"/>
            </w:tcBorders>
            <w:shd w:val="clear" w:color="auto" w:fill="auto"/>
          </w:tcPr>
          <w:p w14:paraId="48805C4C" w14:textId="77777777" w:rsidR="00A71BD3" w:rsidRPr="00680FF6" w:rsidRDefault="00A71BD3" w:rsidP="000D1B8B">
            <w:pPr>
              <w:rPr>
                <w:color w:val="00B050"/>
                <w:sz w:val="20"/>
                <w:szCs w:val="20"/>
              </w:rPr>
            </w:pPr>
            <w:r w:rsidRPr="00680FF6">
              <w:rPr>
                <w:color w:val="00B050"/>
                <w:sz w:val="20"/>
                <w:szCs w:val="20"/>
              </w:rPr>
              <w:t>A</w:t>
            </w:r>
          </w:p>
        </w:tc>
        <w:tc>
          <w:tcPr>
            <w:tcW w:w="909" w:type="pct"/>
            <w:tcBorders>
              <w:top w:val="single" w:sz="4" w:space="0" w:color="auto"/>
              <w:left w:val="nil"/>
              <w:bottom w:val="single" w:sz="4" w:space="0" w:color="auto"/>
              <w:right w:val="single" w:sz="4" w:space="0" w:color="auto"/>
            </w:tcBorders>
          </w:tcPr>
          <w:p w14:paraId="7F61A04E" w14:textId="77777777" w:rsidR="00A71BD3" w:rsidRPr="00680FF6" w:rsidRDefault="00A71BD3" w:rsidP="000D1B8B">
            <w:pPr>
              <w:rPr>
                <w:color w:val="7030A0"/>
                <w:sz w:val="20"/>
                <w:szCs w:val="20"/>
              </w:rPr>
            </w:pPr>
          </w:p>
        </w:tc>
      </w:tr>
      <w:tr w:rsidR="001263B1" w:rsidRPr="00341C64" w14:paraId="4F452838"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11DB0882" w14:textId="77777777" w:rsidR="00A71BD3" w:rsidRPr="00680FF6" w:rsidRDefault="00A71BD3" w:rsidP="000D1B8B">
            <w:pPr>
              <w:rPr>
                <w:color w:val="00B050"/>
                <w:sz w:val="20"/>
                <w:szCs w:val="20"/>
              </w:rPr>
            </w:pPr>
            <w:r w:rsidRPr="00680FF6">
              <w:rPr>
                <w:color w:val="00B050"/>
                <w:sz w:val="20"/>
                <w:szCs w:val="20"/>
              </w:rPr>
              <w:t>F-13 ADDED</w:t>
            </w:r>
          </w:p>
        </w:tc>
        <w:tc>
          <w:tcPr>
            <w:tcW w:w="1530" w:type="pct"/>
            <w:tcBorders>
              <w:top w:val="single" w:sz="4" w:space="0" w:color="auto"/>
              <w:left w:val="nil"/>
              <w:bottom w:val="single" w:sz="4" w:space="0" w:color="auto"/>
              <w:right w:val="single" w:sz="4" w:space="0" w:color="auto"/>
            </w:tcBorders>
            <w:shd w:val="clear" w:color="auto" w:fill="auto"/>
            <w:noWrap/>
            <w:hideMark/>
          </w:tcPr>
          <w:p w14:paraId="1AE22A1C" w14:textId="7728ADE9" w:rsidR="00A71BD3" w:rsidRPr="00680FF6" w:rsidRDefault="00680FF6" w:rsidP="000D1B8B">
            <w:pPr>
              <w:rPr>
                <w:color w:val="00B050"/>
                <w:sz w:val="20"/>
                <w:szCs w:val="20"/>
              </w:rPr>
            </w:pPr>
            <w:r w:rsidRPr="00680FF6">
              <w:rPr>
                <w:color w:val="00B050"/>
                <w:sz w:val="20"/>
                <w:szCs w:val="20"/>
              </w:rPr>
              <w:t>Transcript Request Letter – Additional Students – To Non-Respondents To First Request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71764790" w14:textId="77777777" w:rsidR="00A71BD3" w:rsidRPr="00680FF6" w:rsidRDefault="00A71BD3" w:rsidP="000D1B8B">
            <w:pPr>
              <w:rPr>
                <w:color w:val="00B050"/>
                <w:sz w:val="20"/>
                <w:szCs w:val="20"/>
              </w:rPr>
            </w:pPr>
            <w:r w:rsidRPr="00680FF6">
              <w:rPr>
                <w:color w:val="00B050"/>
                <w:sz w:val="20"/>
                <w:szCs w:val="20"/>
              </w:rPr>
              <w:t>Included in subsequent transcript request packet for non-respondent Registrar or designee when additional students are requested.</w:t>
            </w:r>
          </w:p>
        </w:tc>
        <w:tc>
          <w:tcPr>
            <w:tcW w:w="596" w:type="pct"/>
            <w:tcBorders>
              <w:top w:val="single" w:sz="4" w:space="0" w:color="auto"/>
              <w:left w:val="nil"/>
              <w:bottom w:val="single" w:sz="4" w:space="0" w:color="auto"/>
              <w:right w:val="single" w:sz="4" w:space="0" w:color="auto"/>
            </w:tcBorders>
            <w:shd w:val="clear" w:color="auto" w:fill="auto"/>
          </w:tcPr>
          <w:p w14:paraId="61A465E2" w14:textId="77777777" w:rsidR="00A71BD3" w:rsidRPr="00680FF6" w:rsidRDefault="00A71BD3" w:rsidP="000D1B8B">
            <w:pPr>
              <w:rPr>
                <w:color w:val="00B050"/>
                <w:sz w:val="20"/>
                <w:szCs w:val="20"/>
              </w:rPr>
            </w:pPr>
            <w:r w:rsidRPr="00680FF6">
              <w:rPr>
                <w:color w:val="00B050"/>
                <w:sz w:val="20"/>
                <w:szCs w:val="20"/>
              </w:rPr>
              <w:t>A</w:t>
            </w:r>
          </w:p>
        </w:tc>
        <w:tc>
          <w:tcPr>
            <w:tcW w:w="909" w:type="pct"/>
            <w:tcBorders>
              <w:top w:val="single" w:sz="4" w:space="0" w:color="auto"/>
              <w:left w:val="nil"/>
              <w:bottom w:val="single" w:sz="4" w:space="0" w:color="auto"/>
              <w:right w:val="single" w:sz="4" w:space="0" w:color="auto"/>
            </w:tcBorders>
          </w:tcPr>
          <w:p w14:paraId="7AE571A1" w14:textId="77777777" w:rsidR="00A71BD3" w:rsidRPr="00680FF6" w:rsidRDefault="00A71BD3" w:rsidP="000D1B8B">
            <w:pPr>
              <w:rPr>
                <w:color w:val="00B050"/>
                <w:sz w:val="20"/>
                <w:szCs w:val="20"/>
              </w:rPr>
            </w:pPr>
          </w:p>
        </w:tc>
      </w:tr>
      <w:tr w:rsidR="001263B1" w:rsidRPr="00341C64" w14:paraId="5F8B0924"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B24DA91" w14:textId="77777777" w:rsidR="00A71BD3" w:rsidRPr="00680FF6" w:rsidRDefault="00A71BD3" w:rsidP="000D1B8B">
            <w:pPr>
              <w:rPr>
                <w:color w:val="000000" w:themeColor="text1"/>
                <w:sz w:val="20"/>
                <w:szCs w:val="20"/>
              </w:rPr>
            </w:pPr>
            <w:r w:rsidRPr="00680FF6">
              <w:rPr>
                <w:color w:val="000000" w:themeColor="text1"/>
                <w:sz w:val="20"/>
                <w:szCs w:val="20"/>
              </w:rPr>
              <w:t>F-14</w:t>
            </w:r>
          </w:p>
        </w:tc>
        <w:tc>
          <w:tcPr>
            <w:tcW w:w="1530" w:type="pct"/>
            <w:tcBorders>
              <w:top w:val="single" w:sz="4" w:space="0" w:color="auto"/>
              <w:left w:val="nil"/>
              <w:bottom w:val="single" w:sz="4" w:space="0" w:color="auto"/>
              <w:right w:val="single" w:sz="4" w:space="0" w:color="auto"/>
            </w:tcBorders>
            <w:shd w:val="clear" w:color="auto" w:fill="auto"/>
            <w:noWrap/>
            <w:hideMark/>
          </w:tcPr>
          <w:p w14:paraId="3FE1A792" w14:textId="4275C7F1" w:rsidR="00A71BD3" w:rsidRPr="00680FF6" w:rsidRDefault="00680FF6" w:rsidP="000D1B8B">
            <w:pPr>
              <w:rPr>
                <w:color w:val="000000" w:themeColor="text1"/>
                <w:sz w:val="20"/>
                <w:szCs w:val="20"/>
              </w:rPr>
            </w:pPr>
            <w:r w:rsidRPr="00680FF6">
              <w:rPr>
                <w:color w:val="000000" w:themeColor="text1"/>
                <w:sz w:val="20"/>
                <w:szCs w:val="20"/>
              </w:rPr>
              <w:t>Sample List Of Endorsing Associations And Organizations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4EE65D09" w14:textId="77777777" w:rsidR="00A71BD3" w:rsidRPr="00680FF6" w:rsidRDefault="00A71BD3" w:rsidP="000D1B8B">
            <w:pPr>
              <w:rPr>
                <w:color w:val="000000" w:themeColor="text1"/>
                <w:sz w:val="20"/>
                <w:szCs w:val="20"/>
              </w:rPr>
            </w:pPr>
            <w:r w:rsidRPr="00680FF6">
              <w:rPr>
                <w:color w:val="000000" w:themeColor="text1"/>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768C09AB"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755BD86F"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r w:rsidR="001263B1" w:rsidRPr="00341C64" w14:paraId="264A25E9"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73EA9CCA" w14:textId="77777777" w:rsidR="00A71BD3" w:rsidRPr="00680FF6" w:rsidRDefault="00A71BD3" w:rsidP="000D1B8B">
            <w:pPr>
              <w:rPr>
                <w:color w:val="7030A0"/>
                <w:sz w:val="20"/>
                <w:szCs w:val="20"/>
              </w:rPr>
            </w:pPr>
            <w:r w:rsidRPr="00680FF6">
              <w:rPr>
                <w:color w:val="7030A0"/>
                <w:sz w:val="20"/>
                <w:szCs w:val="20"/>
              </w:rPr>
              <w:t>F-15</w:t>
            </w:r>
          </w:p>
        </w:tc>
        <w:tc>
          <w:tcPr>
            <w:tcW w:w="1530" w:type="pct"/>
            <w:tcBorders>
              <w:top w:val="single" w:sz="4" w:space="0" w:color="auto"/>
              <w:left w:val="nil"/>
              <w:bottom w:val="single" w:sz="4" w:space="0" w:color="auto"/>
              <w:right w:val="single" w:sz="4" w:space="0" w:color="auto"/>
            </w:tcBorders>
            <w:shd w:val="clear" w:color="auto" w:fill="auto"/>
            <w:noWrap/>
            <w:hideMark/>
          </w:tcPr>
          <w:p w14:paraId="0A8DF51C" w14:textId="2EB02E15" w:rsidR="00A71BD3" w:rsidRPr="00680FF6" w:rsidRDefault="00680FF6" w:rsidP="000D1B8B">
            <w:pPr>
              <w:rPr>
                <w:color w:val="7030A0"/>
                <w:sz w:val="20"/>
                <w:szCs w:val="20"/>
              </w:rPr>
            </w:pPr>
            <w:r w:rsidRPr="00680FF6">
              <w:rPr>
                <w:color w:val="7030A0"/>
                <w:sz w:val="20"/>
                <w:szCs w:val="20"/>
              </w:rPr>
              <w:t>Instructions For Providing Transcript Data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0300F33D"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56802A40"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0DE1B0D9" w14:textId="77777777" w:rsidR="00A71BD3" w:rsidRPr="00680FF6" w:rsidRDefault="00A71BD3" w:rsidP="000D1B8B">
            <w:pPr>
              <w:rPr>
                <w:color w:val="7030A0"/>
                <w:sz w:val="20"/>
                <w:szCs w:val="20"/>
              </w:rPr>
            </w:pPr>
            <w:r w:rsidRPr="00680FF6">
              <w:rPr>
                <w:color w:val="7030A0"/>
                <w:sz w:val="20"/>
                <w:szCs w:val="20"/>
              </w:rPr>
              <w:t>Edited text to clarify example instructions.</w:t>
            </w:r>
          </w:p>
        </w:tc>
      </w:tr>
      <w:tr w:rsidR="001263B1" w:rsidRPr="00341C64" w14:paraId="2C44232B"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059D3483" w14:textId="77777777" w:rsidR="00A71BD3" w:rsidRPr="00680FF6" w:rsidRDefault="00A71BD3" w:rsidP="000D1B8B">
            <w:pPr>
              <w:rPr>
                <w:color w:val="000000" w:themeColor="text1"/>
                <w:sz w:val="20"/>
                <w:szCs w:val="20"/>
              </w:rPr>
            </w:pPr>
            <w:r w:rsidRPr="00680FF6">
              <w:rPr>
                <w:color w:val="000000" w:themeColor="text1"/>
                <w:sz w:val="20"/>
                <w:szCs w:val="20"/>
              </w:rPr>
              <w:t>F-17</w:t>
            </w:r>
          </w:p>
        </w:tc>
        <w:tc>
          <w:tcPr>
            <w:tcW w:w="1530" w:type="pct"/>
            <w:tcBorders>
              <w:top w:val="single" w:sz="4" w:space="0" w:color="auto"/>
              <w:left w:val="nil"/>
              <w:bottom w:val="single" w:sz="4" w:space="0" w:color="auto"/>
              <w:right w:val="single" w:sz="4" w:space="0" w:color="auto"/>
            </w:tcBorders>
            <w:shd w:val="clear" w:color="auto" w:fill="auto"/>
            <w:noWrap/>
            <w:hideMark/>
          </w:tcPr>
          <w:p w14:paraId="7AF44966" w14:textId="77E8D2FF" w:rsidR="00A71BD3" w:rsidRPr="00680FF6" w:rsidRDefault="00680FF6" w:rsidP="000D1B8B">
            <w:pPr>
              <w:rPr>
                <w:color w:val="000000" w:themeColor="text1"/>
                <w:sz w:val="20"/>
                <w:szCs w:val="20"/>
              </w:rPr>
            </w:pPr>
            <w:r w:rsidRPr="00680FF6">
              <w:rPr>
                <w:color w:val="000000" w:themeColor="text1"/>
                <w:sz w:val="20"/>
                <w:szCs w:val="20"/>
              </w:rPr>
              <w:t>Family Educational Rights And Privacy Act Fact Sheet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08B0B6A9" w14:textId="77777777" w:rsidR="00A71BD3" w:rsidRPr="00680FF6" w:rsidRDefault="00A71BD3" w:rsidP="000D1B8B">
            <w:pPr>
              <w:rPr>
                <w:color w:val="000000" w:themeColor="text1"/>
                <w:sz w:val="20"/>
                <w:szCs w:val="20"/>
              </w:rPr>
            </w:pPr>
            <w:r w:rsidRPr="00680FF6">
              <w:rPr>
                <w:color w:val="000000" w:themeColor="text1"/>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7E5C1462"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2D86ED23"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r w:rsidR="001263B1" w:rsidRPr="00341C64" w14:paraId="7DF52CF3"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4D05FF16" w14:textId="77777777" w:rsidR="00A71BD3" w:rsidRPr="00680FF6" w:rsidRDefault="00A71BD3" w:rsidP="000D1B8B">
            <w:pPr>
              <w:rPr>
                <w:color w:val="000000" w:themeColor="text1"/>
                <w:sz w:val="20"/>
                <w:szCs w:val="20"/>
              </w:rPr>
            </w:pPr>
            <w:r w:rsidRPr="00680FF6">
              <w:rPr>
                <w:color w:val="000000" w:themeColor="text1"/>
                <w:sz w:val="20"/>
                <w:szCs w:val="20"/>
              </w:rPr>
              <w:t>F-24</w:t>
            </w:r>
          </w:p>
        </w:tc>
        <w:tc>
          <w:tcPr>
            <w:tcW w:w="1530" w:type="pct"/>
            <w:tcBorders>
              <w:top w:val="single" w:sz="4" w:space="0" w:color="auto"/>
              <w:left w:val="nil"/>
              <w:bottom w:val="single" w:sz="4" w:space="0" w:color="auto"/>
              <w:right w:val="single" w:sz="4" w:space="0" w:color="auto"/>
            </w:tcBorders>
            <w:shd w:val="clear" w:color="auto" w:fill="auto"/>
            <w:noWrap/>
            <w:hideMark/>
          </w:tcPr>
          <w:p w14:paraId="7A17E05B" w14:textId="4F6AEA97" w:rsidR="00A71BD3" w:rsidRPr="00680FF6" w:rsidRDefault="00680FF6" w:rsidP="001D0A3D">
            <w:pPr>
              <w:rPr>
                <w:color w:val="000000" w:themeColor="text1"/>
                <w:sz w:val="20"/>
                <w:szCs w:val="20"/>
              </w:rPr>
            </w:pPr>
            <w:r w:rsidRPr="00680FF6">
              <w:rPr>
                <w:color w:val="000000" w:themeColor="text1"/>
                <w:sz w:val="20"/>
                <w:szCs w:val="20"/>
              </w:rPr>
              <w:t xml:space="preserve">Brochure Text – </w:t>
            </w:r>
            <w:r w:rsidR="001D0A3D">
              <w:rPr>
                <w:color w:val="000000" w:themeColor="text1"/>
                <w:sz w:val="20"/>
                <w:szCs w:val="20"/>
              </w:rPr>
              <w:t>HSLS</w:t>
            </w:r>
            <w:r w:rsidRPr="00680FF6">
              <w:rPr>
                <w:color w:val="000000" w:themeColor="text1"/>
                <w:sz w:val="20"/>
                <w:szCs w:val="20"/>
              </w:rPr>
              <w:t xml:space="preserve">:09 </w:t>
            </w:r>
            <w:r w:rsidR="001D0A3D">
              <w:rPr>
                <w:color w:val="000000" w:themeColor="text1"/>
                <w:sz w:val="20"/>
                <w:szCs w:val="20"/>
              </w:rPr>
              <w:t>PETS</w:t>
            </w:r>
            <w:r w:rsidR="001D0A3D" w:rsidRPr="00680FF6">
              <w:rPr>
                <w:color w:val="000000" w:themeColor="text1"/>
                <w:sz w:val="20"/>
                <w:szCs w:val="20"/>
              </w:rPr>
              <w:t xml:space="preserve"> </w:t>
            </w:r>
            <w:r w:rsidRPr="00680FF6">
              <w:rPr>
                <w:color w:val="000000" w:themeColor="text1"/>
                <w:sz w:val="20"/>
                <w:szCs w:val="20"/>
              </w:rPr>
              <w:t>Only</w:t>
            </w:r>
          </w:p>
        </w:tc>
        <w:tc>
          <w:tcPr>
            <w:tcW w:w="1531" w:type="pct"/>
            <w:tcBorders>
              <w:top w:val="single" w:sz="4" w:space="0" w:color="auto"/>
              <w:left w:val="nil"/>
              <w:bottom w:val="single" w:sz="4" w:space="0" w:color="auto"/>
              <w:right w:val="single" w:sz="4" w:space="0" w:color="auto"/>
            </w:tcBorders>
            <w:shd w:val="clear" w:color="auto" w:fill="auto"/>
          </w:tcPr>
          <w:p w14:paraId="0106FC72" w14:textId="77777777" w:rsidR="00A71BD3" w:rsidRPr="00680FF6" w:rsidRDefault="00A71BD3" w:rsidP="000D1B8B">
            <w:pPr>
              <w:rPr>
                <w:color w:val="000000" w:themeColor="text1"/>
                <w:sz w:val="20"/>
                <w:szCs w:val="20"/>
              </w:rPr>
            </w:pPr>
            <w:r w:rsidRPr="00680FF6">
              <w:rPr>
                <w:color w:val="000000" w:themeColor="text1"/>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040F5EC9"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5CB3EF6E"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r w:rsidR="001263B1" w:rsidRPr="00341C64" w14:paraId="739B9479"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41CA6D00" w14:textId="77777777" w:rsidR="00A71BD3" w:rsidRPr="00680FF6" w:rsidRDefault="00A71BD3" w:rsidP="000D1B8B">
            <w:pPr>
              <w:rPr>
                <w:color w:val="7030A0"/>
                <w:sz w:val="20"/>
                <w:szCs w:val="20"/>
              </w:rPr>
            </w:pPr>
            <w:r w:rsidRPr="00680FF6">
              <w:rPr>
                <w:color w:val="7030A0"/>
                <w:sz w:val="20"/>
                <w:szCs w:val="20"/>
              </w:rPr>
              <w:t>F-27</w:t>
            </w:r>
          </w:p>
        </w:tc>
        <w:tc>
          <w:tcPr>
            <w:tcW w:w="1530" w:type="pct"/>
            <w:tcBorders>
              <w:top w:val="single" w:sz="4" w:space="0" w:color="auto"/>
              <w:left w:val="nil"/>
              <w:bottom w:val="single" w:sz="4" w:space="0" w:color="auto"/>
              <w:right w:val="single" w:sz="4" w:space="0" w:color="auto"/>
            </w:tcBorders>
            <w:shd w:val="clear" w:color="auto" w:fill="auto"/>
            <w:noWrap/>
            <w:hideMark/>
          </w:tcPr>
          <w:p w14:paraId="0DC46342" w14:textId="029FDBFB" w:rsidR="00A71BD3" w:rsidRPr="00680FF6" w:rsidRDefault="00680FF6" w:rsidP="000D1B8B">
            <w:pPr>
              <w:rPr>
                <w:color w:val="7030A0"/>
                <w:sz w:val="20"/>
                <w:szCs w:val="20"/>
              </w:rPr>
            </w:pPr>
            <w:r w:rsidRPr="00680FF6">
              <w:rPr>
                <w:color w:val="7030A0"/>
                <w:sz w:val="20"/>
                <w:szCs w:val="20"/>
              </w:rPr>
              <w:t>Disclosure Notice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42208EAD"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760E696C"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21EF47A0" w14:textId="77777777" w:rsidR="00A71BD3" w:rsidRPr="00680FF6" w:rsidRDefault="00A71BD3" w:rsidP="000D1B8B">
            <w:pPr>
              <w:rPr>
                <w:color w:val="7030A0"/>
                <w:sz w:val="20"/>
                <w:szCs w:val="20"/>
              </w:rPr>
            </w:pPr>
            <w:r w:rsidRPr="00680FF6">
              <w:rPr>
                <w:color w:val="7030A0"/>
                <w:sz w:val="20"/>
                <w:szCs w:val="20"/>
              </w:rPr>
              <w:t>Added BPS:12.</w:t>
            </w:r>
          </w:p>
        </w:tc>
      </w:tr>
      <w:tr w:rsidR="001263B1" w:rsidRPr="00341C64" w14:paraId="0F6CB75B"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329BCD82" w14:textId="77777777" w:rsidR="00A71BD3" w:rsidRPr="00680FF6" w:rsidRDefault="00A71BD3" w:rsidP="000D1B8B">
            <w:pPr>
              <w:rPr>
                <w:color w:val="7030A0"/>
                <w:sz w:val="20"/>
                <w:szCs w:val="20"/>
              </w:rPr>
            </w:pPr>
            <w:r w:rsidRPr="00680FF6">
              <w:rPr>
                <w:color w:val="7030A0"/>
                <w:sz w:val="20"/>
                <w:szCs w:val="20"/>
              </w:rPr>
              <w:t>F-28</w:t>
            </w:r>
          </w:p>
        </w:tc>
        <w:tc>
          <w:tcPr>
            <w:tcW w:w="1530" w:type="pct"/>
            <w:tcBorders>
              <w:top w:val="single" w:sz="4" w:space="0" w:color="auto"/>
              <w:left w:val="nil"/>
              <w:bottom w:val="single" w:sz="4" w:space="0" w:color="auto"/>
              <w:right w:val="single" w:sz="4" w:space="0" w:color="auto"/>
            </w:tcBorders>
            <w:shd w:val="clear" w:color="auto" w:fill="auto"/>
            <w:noWrap/>
            <w:hideMark/>
          </w:tcPr>
          <w:p w14:paraId="1E27CF44" w14:textId="6BDE5AD2" w:rsidR="00A71BD3" w:rsidRPr="00680FF6" w:rsidRDefault="00680FF6" w:rsidP="000D1B8B">
            <w:pPr>
              <w:rPr>
                <w:color w:val="7030A0"/>
                <w:sz w:val="20"/>
                <w:szCs w:val="20"/>
              </w:rPr>
            </w:pPr>
            <w:r w:rsidRPr="00680FF6">
              <w:rPr>
                <w:color w:val="7030A0"/>
                <w:sz w:val="20"/>
                <w:szCs w:val="20"/>
              </w:rPr>
              <w:t>Student Transcript Fax Test Page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784731C6"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5E4D8378"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5EB98D40" w14:textId="77777777" w:rsidR="00A71BD3" w:rsidRPr="00680FF6" w:rsidRDefault="00A71BD3" w:rsidP="000D1B8B">
            <w:pPr>
              <w:rPr>
                <w:color w:val="7030A0"/>
                <w:sz w:val="20"/>
                <w:szCs w:val="20"/>
              </w:rPr>
            </w:pPr>
            <w:r w:rsidRPr="00680FF6">
              <w:rPr>
                <w:color w:val="7030A0"/>
                <w:sz w:val="20"/>
                <w:szCs w:val="20"/>
              </w:rPr>
              <w:t>Revised “IPEDS ID” to “Study ID.”</w:t>
            </w:r>
          </w:p>
        </w:tc>
      </w:tr>
      <w:tr w:rsidR="001263B1" w:rsidRPr="00341C64" w14:paraId="42EE2FE8"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58C2CF23" w14:textId="77777777" w:rsidR="00A71BD3" w:rsidRPr="00680FF6" w:rsidRDefault="00A71BD3" w:rsidP="000D1B8B">
            <w:pPr>
              <w:rPr>
                <w:color w:val="7030A0"/>
                <w:sz w:val="20"/>
                <w:szCs w:val="20"/>
              </w:rPr>
            </w:pPr>
            <w:r w:rsidRPr="00680FF6">
              <w:rPr>
                <w:color w:val="7030A0"/>
                <w:sz w:val="20"/>
                <w:szCs w:val="20"/>
              </w:rPr>
              <w:t>F-29</w:t>
            </w:r>
          </w:p>
        </w:tc>
        <w:tc>
          <w:tcPr>
            <w:tcW w:w="1530" w:type="pct"/>
            <w:tcBorders>
              <w:top w:val="single" w:sz="4" w:space="0" w:color="auto"/>
              <w:left w:val="nil"/>
              <w:bottom w:val="single" w:sz="4" w:space="0" w:color="auto"/>
              <w:right w:val="single" w:sz="4" w:space="0" w:color="auto"/>
            </w:tcBorders>
            <w:shd w:val="clear" w:color="auto" w:fill="auto"/>
            <w:noWrap/>
            <w:hideMark/>
          </w:tcPr>
          <w:p w14:paraId="44914A94" w14:textId="0575D32C" w:rsidR="00A71BD3" w:rsidRPr="00680FF6" w:rsidRDefault="00680FF6" w:rsidP="000D1B8B">
            <w:pPr>
              <w:rPr>
                <w:color w:val="7030A0"/>
                <w:sz w:val="20"/>
                <w:szCs w:val="20"/>
              </w:rPr>
            </w:pPr>
            <w:r w:rsidRPr="00680FF6">
              <w:rPr>
                <w:color w:val="7030A0"/>
                <w:sz w:val="20"/>
                <w:szCs w:val="20"/>
              </w:rPr>
              <w:t>Student Transcript Fax Transmittal Sheet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14E6F9F1"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7C0F54C9"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733492BC" w14:textId="77777777" w:rsidR="00A71BD3" w:rsidRPr="00680FF6" w:rsidRDefault="00A71BD3" w:rsidP="000D1B8B">
            <w:pPr>
              <w:rPr>
                <w:color w:val="7030A0"/>
                <w:sz w:val="20"/>
                <w:szCs w:val="20"/>
              </w:rPr>
            </w:pPr>
            <w:r w:rsidRPr="00680FF6">
              <w:rPr>
                <w:color w:val="7030A0"/>
                <w:sz w:val="20"/>
                <w:szCs w:val="20"/>
              </w:rPr>
              <w:t>Revised “IPEDS ID” to “Study ID.”</w:t>
            </w:r>
          </w:p>
        </w:tc>
      </w:tr>
      <w:tr w:rsidR="001263B1" w:rsidRPr="00341C64" w14:paraId="0E97E83B"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46B0A9A1" w14:textId="77777777" w:rsidR="00A71BD3" w:rsidRPr="00680FF6" w:rsidRDefault="00A71BD3" w:rsidP="000D1B8B">
            <w:pPr>
              <w:rPr>
                <w:color w:val="7030A0"/>
                <w:sz w:val="20"/>
                <w:szCs w:val="20"/>
              </w:rPr>
            </w:pPr>
            <w:r w:rsidRPr="00680FF6">
              <w:rPr>
                <w:color w:val="7030A0"/>
                <w:sz w:val="20"/>
                <w:szCs w:val="20"/>
              </w:rPr>
              <w:t>F-30</w:t>
            </w:r>
          </w:p>
        </w:tc>
        <w:tc>
          <w:tcPr>
            <w:tcW w:w="1530" w:type="pct"/>
            <w:tcBorders>
              <w:top w:val="single" w:sz="4" w:space="0" w:color="auto"/>
              <w:left w:val="nil"/>
              <w:bottom w:val="single" w:sz="4" w:space="0" w:color="auto"/>
              <w:right w:val="single" w:sz="4" w:space="0" w:color="auto"/>
            </w:tcBorders>
            <w:shd w:val="clear" w:color="auto" w:fill="auto"/>
            <w:noWrap/>
            <w:hideMark/>
          </w:tcPr>
          <w:p w14:paraId="026850DF" w14:textId="012AAEF1" w:rsidR="00A71BD3" w:rsidRPr="00680FF6" w:rsidRDefault="00680FF6" w:rsidP="000D1B8B">
            <w:pPr>
              <w:rPr>
                <w:color w:val="7030A0"/>
                <w:sz w:val="20"/>
                <w:szCs w:val="20"/>
              </w:rPr>
            </w:pPr>
            <w:r w:rsidRPr="00680FF6">
              <w:rPr>
                <w:color w:val="7030A0"/>
                <w:sz w:val="20"/>
                <w:szCs w:val="20"/>
              </w:rPr>
              <w:t>Catalog Transmittal Sheet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76F32425" w14:textId="77777777" w:rsidR="00A71BD3" w:rsidRPr="00680FF6" w:rsidRDefault="00A71BD3" w:rsidP="000D1B8B">
            <w:pPr>
              <w:rPr>
                <w:color w:val="7030A0"/>
                <w:sz w:val="20"/>
                <w:szCs w:val="20"/>
              </w:rPr>
            </w:pPr>
            <w:r w:rsidRPr="00680FF6">
              <w:rPr>
                <w:color w:val="7030A0"/>
                <w:sz w:val="20"/>
                <w:szCs w:val="20"/>
              </w:rPr>
              <w:t>Included in transcript request packet for Registrar or designee.</w:t>
            </w:r>
          </w:p>
        </w:tc>
        <w:tc>
          <w:tcPr>
            <w:tcW w:w="596" w:type="pct"/>
            <w:tcBorders>
              <w:top w:val="single" w:sz="4" w:space="0" w:color="auto"/>
              <w:left w:val="nil"/>
              <w:bottom w:val="single" w:sz="4" w:space="0" w:color="auto"/>
              <w:right w:val="single" w:sz="4" w:space="0" w:color="auto"/>
            </w:tcBorders>
            <w:shd w:val="clear" w:color="auto" w:fill="auto"/>
          </w:tcPr>
          <w:p w14:paraId="68BE94EE"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7264582F" w14:textId="77777777" w:rsidR="00A71BD3" w:rsidRPr="00680FF6" w:rsidRDefault="00A71BD3" w:rsidP="000D1B8B">
            <w:pPr>
              <w:rPr>
                <w:color w:val="7030A0"/>
                <w:sz w:val="20"/>
                <w:szCs w:val="20"/>
              </w:rPr>
            </w:pPr>
            <w:r w:rsidRPr="00680FF6">
              <w:rPr>
                <w:color w:val="7030A0"/>
                <w:sz w:val="20"/>
                <w:szCs w:val="20"/>
              </w:rPr>
              <w:t>Revised “IPEDS ID” to “Study ID.”</w:t>
            </w:r>
          </w:p>
        </w:tc>
      </w:tr>
      <w:tr w:rsidR="001263B1" w:rsidRPr="00341C64" w14:paraId="6A5A38A3"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74B4DB4C" w14:textId="77777777" w:rsidR="00A71BD3" w:rsidRPr="00680FF6" w:rsidRDefault="00A71BD3" w:rsidP="000D1B8B">
            <w:pPr>
              <w:rPr>
                <w:color w:val="7030A0"/>
                <w:sz w:val="20"/>
                <w:szCs w:val="20"/>
              </w:rPr>
            </w:pPr>
            <w:r w:rsidRPr="00680FF6">
              <w:rPr>
                <w:color w:val="7030A0"/>
                <w:sz w:val="20"/>
                <w:szCs w:val="20"/>
              </w:rPr>
              <w:t xml:space="preserve">F-31 </w:t>
            </w:r>
          </w:p>
        </w:tc>
        <w:tc>
          <w:tcPr>
            <w:tcW w:w="1530" w:type="pct"/>
            <w:tcBorders>
              <w:top w:val="single" w:sz="4" w:space="0" w:color="auto"/>
              <w:left w:val="nil"/>
              <w:bottom w:val="single" w:sz="4" w:space="0" w:color="auto"/>
              <w:right w:val="single" w:sz="4" w:space="0" w:color="auto"/>
            </w:tcBorders>
            <w:shd w:val="clear" w:color="auto" w:fill="auto"/>
            <w:noWrap/>
            <w:hideMark/>
          </w:tcPr>
          <w:p w14:paraId="594DF7D5" w14:textId="77B78102" w:rsidR="00A71BD3" w:rsidRPr="00680FF6" w:rsidRDefault="00680FF6" w:rsidP="000D1B8B">
            <w:pPr>
              <w:rPr>
                <w:color w:val="7030A0"/>
                <w:sz w:val="20"/>
                <w:szCs w:val="20"/>
              </w:rPr>
            </w:pPr>
            <w:r w:rsidRPr="00680FF6">
              <w:rPr>
                <w:color w:val="7030A0"/>
                <w:sz w:val="20"/>
                <w:szCs w:val="20"/>
              </w:rPr>
              <w:t>Sample Reminder Email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1F297EB9" w14:textId="77777777" w:rsidR="00A71BD3" w:rsidRPr="00680FF6" w:rsidRDefault="00A71BD3" w:rsidP="000D1B8B">
            <w:pPr>
              <w:rPr>
                <w:color w:val="7030A0"/>
                <w:sz w:val="20"/>
                <w:szCs w:val="20"/>
              </w:rPr>
            </w:pPr>
            <w:r w:rsidRPr="00680FF6">
              <w:rPr>
                <w:color w:val="7030A0"/>
                <w:sz w:val="20"/>
                <w:szCs w:val="20"/>
              </w:rPr>
              <w:t>Sent to Primary Coordinator or designee to prompt for data.</w:t>
            </w:r>
          </w:p>
        </w:tc>
        <w:tc>
          <w:tcPr>
            <w:tcW w:w="596" w:type="pct"/>
            <w:tcBorders>
              <w:top w:val="single" w:sz="4" w:space="0" w:color="auto"/>
              <w:left w:val="nil"/>
              <w:bottom w:val="single" w:sz="4" w:space="0" w:color="auto"/>
              <w:right w:val="single" w:sz="4" w:space="0" w:color="auto"/>
            </w:tcBorders>
            <w:shd w:val="clear" w:color="auto" w:fill="auto"/>
          </w:tcPr>
          <w:p w14:paraId="15EF389B"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155B4B08" w14:textId="77777777" w:rsidR="00A71BD3" w:rsidRPr="00680FF6" w:rsidRDefault="00A71BD3" w:rsidP="000D1B8B">
            <w:pPr>
              <w:rPr>
                <w:color w:val="7030A0"/>
                <w:sz w:val="20"/>
                <w:szCs w:val="20"/>
              </w:rPr>
            </w:pPr>
            <w:r w:rsidRPr="00680FF6">
              <w:rPr>
                <w:color w:val="7030A0"/>
                <w:sz w:val="20"/>
                <w:szCs w:val="20"/>
              </w:rPr>
              <w:t>Added BPS:12 and added text to clarify.</w:t>
            </w:r>
          </w:p>
        </w:tc>
      </w:tr>
      <w:tr w:rsidR="001263B1" w:rsidRPr="00341C64" w14:paraId="60BF3696"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23BB10A" w14:textId="77777777" w:rsidR="00A71BD3" w:rsidRPr="00680FF6" w:rsidRDefault="00A71BD3" w:rsidP="000D1B8B">
            <w:pPr>
              <w:rPr>
                <w:color w:val="7030A0"/>
                <w:sz w:val="20"/>
                <w:szCs w:val="20"/>
              </w:rPr>
            </w:pPr>
            <w:r w:rsidRPr="00680FF6">
              <w:rPr>
                <w:sz w:val="20"/>
                <w:szCs w:val="20"/>
              </w:rPr>
              <w:t>F-32</w:t>
            </w:r>
          </w:p>
        </w:tc>
        <w:tc>
          <w:tcPr>
            <w:tcW w:w="1530" w:type="pct"/>
            <w:tcBorders>
              <w:top w:val="single" w:sz="4" w:space="0" w:color="auto"/>
              <w:left w:val="nil"/>
              <w:bottom w:val="single" w:sz="4" w:space="0" w:color="auto"/>
              <w:right w:val="single" w:sz="4" w:space="0" w:color="auto"/>
            </w:tcBorders>
            <w:shd w:val="clear" w:color="auto" w:fill="auto"/>
            <w:noWrap/>
            <w:hideMark/>
          </w:tcPr>
          <w:p w14:paraId="67038EB8" w14:textId="20EBFDA5" w:rsidR="00A71BD3" w:rsidRPr="00680FF6" w:rsidRDefault="00680FF6" w:rsidP="000D1B8B">
            <w:pPr>
              <w:rPr>
                <w:sz w:val="20"/>
                <w:szCs w:val="20"/>
              </w:rPr>
            </w:pPr>
            <w:r w:rsidRPr="00680FF6">
              <w:rPr>
                <w:sz w:val="20"/>
                <w:szCs w:val="20"/>
              </w:rPr>
              <w:t>Postsecondary Data Portal Flyer Text</w:t>
            </w:r>
          </w:p>
        </w:tc>
        <w:tc>
          <w:tcPr>
            <w:tcW w:w="1531" w:type="pct"/>
            <w:tcBorders>
              <w:top w:val="single" w:sz="4" w:space="0" w:color="auto"/>
              <w:left w:val="nil"/>
              <w:bottom w:val="single" w:sz="4" w:space="0" w:color="auto"/>
              <w:right w:val="single" w:sz="4" w:space="0" w:color="auto"/>
            </w:tcBorders>
            <w:shd w:val="clear" w:color="auto" w:fill="auto"/>
          </w:tcPr>
          <w:p w14:paraId="0E870AA1" w14:textId="77777777" w:rsidR="00A71BD3" w:rsidRPr="00680FF6" w:rsidRDefault="00A71BD3" w:rsidP="000D1B8B">
            <w:pPr>
              <w:rPr>
                <w:sz w:val="20"/>
                <w:szCs w:val="20"/>
              </w:rPr>
            </w:pPr>
            <w:r w:rsidRPr="00680FF6">
              <w:rPr>
                <w:sz w:val="20"/>
                <w:szCs w:val="20"/>
              </w:rPr>
              <w:t>Given to institution staff at conferences.</w:t>
            </w:r>
          </w:p>
        </w:tc>
        <w:tc>
          <w:tcPr>
            <w:tcW w:w="596" w:type="pct"/>
            <w:tcBorders>
              <w:top w:val="single" w:sz="4" w:space="0" w:color="auto"/>
              <w:left w:val="nil"/>
              <w:bottom w:val="single" w:sz="4" w:space="0" w:color="auto"/>
              <w:right w:val="single" w:sz="4" w:space="0" w:color="auto"/>
            </w:tcBorders>
            <w:shd w:val="clear" w:color="auto" w:fill="auto"/>
          </w:tcPr>
          <w:p w14:paraId="6DAF7789" w14:textId="77777777" w:rsidR="00A71BD3" w:rsidRPr="00680FF6" w:rsidRDefault="00A71BD3" w:rsidP="000D1B8B">
            <w:pPr>
              <w:rPr>
                <w:color w:val="7030A0"/>
                <w:sz w:val="20"/>
                <w:szCs w:val="20"/>
              </w:rPr>
            </w:pPr>
          </w:p>
        </w:tc>
        <w:tc>
          <w:tcPr>
            <w:tcW w:w="909" w:type="pct"/>
            <w:tcBorders>
              <w:top w:val="single" w:sz="4" w:space="0" w:color="auto"/>
              <w:left w:val="nil"/>
              <w:bottom w:val="single" w:sz="4" w:space="0" w:color="auto"/>
              <w:right w:val="single" w:sz="4" w:space="0" w:color="auto"/>
            </w:tcBorders>
          </w:tcPr>
          <w:p w14:paraId="7F89B3AF" w14:textId="77777777" w:rsidR="00A71BD3" w:rsidRPr="00680FF6" w:rsidRDefault="00A71BD3" w:rsidP="000D1B8B">
            <w:pPr>
              <w:rPr>
                <w:color w:val="7030A0"/>
                <w:sz w:val="20"/>
                <w:szCs w:val="20"/>
              </w:rPr>
            </w:pPr>
            <w:r w:rsidRPr="00680FF6">
              <w:rPr>
                <w:color w:val="000000" w:themeColor="text1"/>
                <w:sz w:val="20"/>
                <w:szCs w:val="20"/>
              </w:rPr>
              <w:t>No change</w:t>
            </w:r>
          </w:p>
        </w:tc>
      </w:tr>
      <w:tr w:rsidR="001263B1" w:rsidRPr="00341C64" w14:paraId="23E53995"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29DF5A1" w14:textId="77777777" w:rsidR="00A71BD3" w:rsidRPr="00680FF6" w:rsidRDefault="00A71BD3" w:rsidP="000D1B8B">
            <w:pPr>
              <w:rPr>
                <w:color w:val="7030A0"/>
                <w:sz w:val="20"/>
                <w:szCs w:val="20"/>
              </w:rPr>
            </w:pPr>
            <w:r w:rsidRPr="00680FF6">
              <w:rPr>
                <w:color w:val="7030A0"/>
                <w:sz w:val="20"/>
                <w:szCs w:val="20"/>
              </w:rPr>
              <w:lastRenderedPageBreak/>
              <w:t>F-33</w:t>
            </w:r>
          </w:p>
        </w:tc>
        <w:tc>
          <w:tcPr>
            <w:tcW w:w="1530" w:type="pct"/>
            <w:tcBorders>
              <w:top w:val="single" w:sz="4" w:space="0" w:color="auto"/>
              <w:left w:val="nil"/>
              <w:bottom w:val="single" w:sz="4" w:space="0" w:color="auto"/>
              <w:right w:val="single" w:sz="4" w:space="0" w:color="auto"/>
            </w:tcBorders>
            <w:shd w:val="clear" w:color="auto" w:fill="auto"/>
            <w:noWrap/>
            <w:hideMark/>
          </w:tcPr>
          <w:p w14:paraId="20E4F2DD" w14:textId="5C7772B9" w:rsidR="00A71BD3" w:rsidRPr="00680FF6" w:rsidRDefault="00680FF6" w:rsidP="000D1B8B">
            <w:pPr>
              <w:rPr>
                <w:color w:val="7030A0"/>
                <w:sz w:val="20"/>
                <w:szCs w:val="20"/>
              </w:rPr>
            </w:pPr>
            <w:r w:rsidRPr="00680FF6">
              <w:rPr>
                <w:color w:val="7030A0"/>
                <w:sz w:val="20"/>
                <w:szCs w:val="20"/>
              </w:rPr>
              <w:t>Website Text</w:t>
            </w:r>
          </w:p>
        </w:tc>
        <w:tc>
          <w:tcPr>
            <w:tcW w:w="1531" w:type="pct"/>
            <w:tcBorders>
              <w:top w:val="single" w:sz="4" w:space="0" w:color="auto"/>
              <w:left w:val="nil"/>
              <w:bottom w:val="single" w:sz="4" w:space="0" w:color="auto"/>
              <w:right w:val="single" w:sz="4" w:space="0" w:color="auto"/>
            </w:tcBorders>
            <w:shd w:val="clear" w:color="auto" w:fill="auto"/>
          </w:tcPr>
          <w:p w14:paraId="0A45C5CE" w14:textId="77777777" w:rsidR="00A71BD3" w:rsidRPr="00680FF6" w:rsidRDefault="00A71BD3" w:rsidP="000D1B8B">
            <w:pPr>
              <w:rPr>
                <w:color w:val="7030A0"/>
                <w:sz w:val="20"/>
                <w:szCs w:val="20"/>
              </w:rPr>
            </w:pPr>
            <w:r w:rsidRPr="00680FF6">
              <w:rPr>
                <w:color w:val="7030A0"/>
                <w:sz w:val="20"/>
                <w:szCs w:val="20"/>
              </w:rPr>
              <w:t>Available on PDP.</w:t>
            </w:r>
          </w:p>
        </w:tc>
        <w:tc>
          <w:tcPr>
            <w:tcW w:w="596" w:type="pct"/>
            <w:tcBorders>
              <w:top w:val="single" w:sz="4" w:space="0" w:color="auto"/>
              <w:left w:val="nil"/>
              <w:bottom w:val="single" w:sz="4" w:space="0" w:color="auto"/>
              <w:right w:val="single" w:sz="4" w:space="0" w:color="auto"/>
            </w:tcBorders>
            <w:shd w:val="clear" w:color="auto" w:fill="auto"/>
          </w:tcPr>
          <w:p w14:paraId="31C2282F"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shd w:val="clear" w:color="auto" w:fill="auto"/>
          </w:tcPr>
          <w:p w14:paraId="008C5D55" w14:textId="77777777" w:rsidR="00A71BD3" w:rsidRPr="00680FF6" w:rsidRDefault="00A71BD3" w:rsidP="000D1B8B">
            <w:pPr>
              <w:rPr>
                <w:color w:val="7030A0"/>
                <w:sz w:val="20"/>
                <w:szCs w:val="20"/>
              </w:rPr>
            </w:pPr>
            <w:r w:rsidRPr="00680FF6">
              <w:rPr>
                <w:color w:val="7030A0"/>
                <w:sz w:val="20"/>
                <w:szCs w:val="20"/>
              </w:rPr>
              <w:t>Added BPS:12 content. Added “Confidentiality and Security” section (see page F-36).</w:t>
            </w:r>
          </w:p>
        </w:tc>
      </w:tr>
      <w:tr w:rsidR="001263B1" w:rsidRPr="00341C64" w14:paraId="26C5F5C7"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BDEC958" w14:textId="77777777" w:rsidR="00A71BD3" w:rsidRPr="00680FF6" w:rsidRDefault="00A71BD3" w:rsidP="000D1B8B">
            <w:pPr>
              <w:rPr>
                <w:color w:val="000000" w:themeColor="text1"/>
                <w:sz w:val="20"/>
                <w:szCs w:val="20"/>
              </w:rPr>
            </w:pPr>
            <w:r w:rsidRPr="00680FF6">
              <w:rPr>
                <w:color w:val="000000" w:themeColor="text1"/>
                <w:sz w:val="20"/>
                <w:szCs w:val="20"/>
              </w:rPr>
              <w:t>F-45</w:t>
            </w:r>
          </w:p>
        </w:tc>
        <w:tc>
          <w:tcPr>
            <w:tcW w:w="1530" w:type="pct"/>
            <w:tcBorders>
              <w:top w:val="single" w:sz="4" w:space="0" w:color="auto"/>
              <w:left w:val="nil"/>
              <w:bottom w:val="single" w:sz="4" w:space="0" w:color="auto"/>
              <w:right w:val="single" w:sz="4" w:space="0" w:color="auto"/>
            </w:tcBorders>
            <w:shd w:val="clear" w:color="auto" w:fill="auto"/>
            <w:noWrap/>
            <w:hideMark/>
          </w:tcPr>
          <w:p w14:paraId="1CDF0D80" w14:textId="56739CD0" w:rsidR="00A71BD3" w:rsidRPr="00680FF6" w:rsidRDefault="00680FF6" w:rsidP="000D1B8B">
            <w:pPr>
              <w:rPr>
                <w:color w:val="000000" w:themeColor="text1"/>
                <w:sz w:val="20"/>
                <w:szCs w:val="20"/>
              </w:rPr>
            </w:pPr>
            <w:r w:rsidRPr="00680FF6">
              <w:rPr>
                <w:color w:val="000000" w:themeColor="text1"/>
                <w:sz w:val="20"/>
                <w:szCs w:val="20"/>
              </w:rPr>
              <w:t>Data Elements</w:t>
            </w:r>
          </w:p>
        </w:tc>
        <w:tc>
          <w:tcPr>
            <w:tcW w:w="1531" w:type="pct"/>
            <w:tcBorders>
              <w:top w:val="single" w:sz="4" w:space="0" w:color="auto"/>
              <w:left w:val="nil"/>
              <w:bottom w:val="single" w:sz="4" w:space="0" w:color="auto"/>
              <w:right w:val="single" w:sz="4" w:space="0" w:color="auto"/>
            </w:tcBorders>
            <w:shd w:val="clear" w:color="auto" w:fill="auto"/>
          </w:tcPr>
          <w:p w14:paraId="34159F23" w14:textId="77777777" w:rsidR="00A71BD3" w:rsidRPr="00680FF6" w:rsidRDefault="00A71BD3" w:rsidP="000D1B8B">
            <w:pPr>
              <w:rPr>
                <w:color w:val="000000" w:themeColor="text1"/>
                <w:sz w:val="20"/>
                <w:szCs w:val="20"/>
              </w:rPr>
            </w:pPr>
            <w:r w:rsidRPr="00680FF6">
              <w:rPr>
                <w:color w:val="000000" w:themeColor="text1"/>
                <w:sz w:val="20"/>
                <w:szCs w:val="20"/>
              </w:rPr>
              <w:t>Posted on website as reference material.</w:t>
            </w:r>
          </w:p>
        </w:tc>
        <w:tc>
          <w:tcPr>
            <w:tcW w:w="596" w:type="pct"/>
            <w:tcBorders>
              <w:top w:val="single" w:sz="4" w:space="0" w:color="auto"/>
              <w:left w:val="nil"/>
              <w:bottom w:val="single" w:sz="4" w:space="0" w:color="auto"/>
              <w:right w:val="single" w:sz="4" w:space="0" w:color="auto"/>
            </w:tcBorders>
            <w:shd w:val="clear" w:color="auto" w:fill="auto"/>
          </w:tcPr>
          <w:p w14:paraId="3C86C351"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18FFC219"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r w:rsidR="001263B1" w:rsidRPr="00341C64" w14:paraId="42A464F3"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13728BB8" w14:textId="77777777" w:rsidR="00A71BD3" w:rsidRPr="00680FF6" w:rsidRDefault="00A71BD3" w:rsidP="000D1B8B">
            <w:pPr>
              <w:rPr>
                <w:color w:val="7030A0"/>
                <w:sz w:val="20"/>
                <w:szCs w:val="20"/>
              </w:rPr>
            </w:pPr>
            <w:r w:rsidRPr="00680FF6">
              <w:rPr>
                <w:color w:val="7030A0"/>
                <w:sz w:val="20"/>
                <w:szCs w:val="20"/>
              </w:rPr>
              <w:t>G-3</w:t>
            </w:r>
          </w:p>
        </w:tc>
        <w:tc>
          <w:tcPr>
            <w:tcW w:w="1530" w:type="pct"/>
            <w:tcBorders>
              <w:top w:val="single" w:sz="4" w:space="0" w:color="auto"/>
              <w:left w:val="nil"/>
              <w:bottom w:val="single" w:sz="4" w:space="0" w:color="auto"/>
              <w:right w:val="single" w:sz="4" w:space="0" w:color="auto"/>
            </w:tcBorders>
            <w:shd w:val="clear" w:color="auto" w:fill="auto"/>
            <w:noWrap/>
          </w:tcPr>
          <w:p w14:paraId="2C66BCB4" w14:textId="7535FEEC" w:rsidR="00A71BD3" w:rsidRPr="00680FF6" w:rsidRDefault="00680FF6" w:rsidP="000D1B8B">
            <w:pPr>
              <w:rPr>
                <w:color w:val="7030A0"/>
                <w:sz w:val="20"/>
                <w:szCs w:val="20"/>
              </w:rPr>
            </w:pPr>
            <w:r w:rsidRPr="00680FF6">
              <w:rPr>
                <w:color w:val="7030A0"/>
                <w:sz w:val="20"/>
                <w:szCs w:val="20"/>
              </w:rPr>
              <w:t>Student Records Request Letter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7C621B54" w14:textId="77777777" w:rsidR="00A71BD3" w:rsidRPr="00680FF6" w:rsidRDefault="00A71BD3" w:rsidP="000D1B8B">
            <w:pPr>
              <w:rPr>
                <w:color w:val="7030A0"/>
                <w:sz w:val="20"/>
                <w:szCs w:val="20"/>
              </w:rPr>
            </w:pPr>
            <w:r w:rsidRPr="00680FF6">
              <w:rPr>
                <w:color w:val="7030A0"/>
                <w:sz w:val="20"/>
                <w:szCs w:val="20"/>
              </w:rPr>
              <w:t>Included in student records request packet for Financial Aid Director or designee.</w:t>
            </w:r>
          </w:p>
        </w:tc>
        <w:tc>
          <w:tcPr>
            <w:tcW w:w="596" w:type="pct"/>
            <w:tcBorders>
              <w:top w:val="single" w:sz="4" w:space="0" w:color="auto"/>
              <w:left w:val="nil"/>
              <w:bottom w:val="single" w:sz="4" w:space="0" w:color="auto"/>
              <w:right w:val="single" w:sz="4" w:space="0" w:color="auto"/>
            </w:tcBorders>
            <w:shd w:val="clear" w:color="auto" w:fill="auto"/>
          </w:tcPr>
          <w:p w14:paraId="5ABF72D4"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7DA51F08" w14:textId="77777777" w:rsidR="00A71BD3" w:rsidRPr="00680FF6" w:rsidRDefault="00A71BD3" w:rsidP="000D1B8B">
            <w:pPr>
              <w:rPr>
                <w:color w:val="7030A0"/>
                <w:sz w:val="20"/>
                <w:szCs w:val="20"/>
              </w:rPr>
            </w:pPr>
            <w:r w:rsidRPr="00680FF6">
              <w:rPr>
                <w:color w:val="7030A0"/>
                <w:sz w:val="20"/>
                <w:szCs w:val="20"/>
              </w:rPr>
              <w:t>Added BPS:12 and clarified text.</w:t>
            </w:r>
          </w:p>
        </w:tc>
      </w:tr>
      <w:tr w:rsidR="001263B1" w:rsidRPr="00341C64" w14:paraId="71A1F36B"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37C19F9C" w14:textId="77777777" w:rsidR="00A71BD3" w:rsidRPr="00680FF6" w:rsidRDefault="00A71BD3" w:rsidP="000D1B8B">
            <w:pPr>
              <w:rPr>
                <w:color w:val="000000" w:themeColor="text1"/>
                <w:sz w:val="20"/>
                <w:szCs w:val="20"/>
              </w:rPr>
            </w:pPr>
            <w:r w:rsidRPr="00680FF6">
              <w:rPr>
                <w:color w:val="000000" w:themeColor="text1"/>
                <w:sz w:val="20"/>
                <w:szCs w:val="20"/>
              </w:rPr>
              <w:t>G-5</w:t>
            </w:r>
          </w:p>
        </w:tc>
        <w:tc>
          <w:tcPr>
            <w:tcW w:w="1530" w:type="pct"/>
            <w:tcBorders>
              <w:top w:val="single" w:sz="4" w:space="0" w:color="auto"/>
              <w:left w:val="nil"/>
              <w:bottom w:val="single" w:sz="4" w:space="0" w:color="auto"/>
              <w:right w:val="single" w:sz="4" w:space="0" w:color="auto"/>
            </w:tcBorders>
            <w:shd w:val="clear" w:color="auto" w:fill="auto"/>
            <w:noWrap/>
          </w:tcPr>
          <w:p w14:paraId="1A14FBA4" w14:textId="7ACE19C5" w:rsidR="00A71BD3" w:rsidRPr="00680FF6" w:rsidRDefault="001D0A3D" w:rsidP="000D1B8B">
            <w:pPr>
              <w:rPr>
                <w:color w:val="000000" w:themeColor="text1"/>
                <w:sz w:val="20"/>
                <w:szCs w:val="20"/>
              </w:rPr>
            </w:pPr>
            <w:r>
              <w:rPr>
                <w:color w:val="000000" w:themeColor="text1"/>
                <w:sz w:val="20"/>
                <w:szCs w:val="20"/>
              </w:rPr>
              <w:t>HSLS</w:t>
            </w:r>
            <w:r w:rsidR="00680FF6" w:rsidRPr="00680FF6">
              <w:rPr>
                <w:color w:val="000000" w:themeColor="text1"/>
                <w:sz w:val="20"/>
                <w:szCs w:val="20"/>
              </w:rPr>
              <w:t xml:space="preserve">:09 </w:t>
            </w:r>
            <w:r w:rsidR="003E65C9">
              <w:rPr>
                <w:color w:val="000000" w:themeColor="text1"/>
                <w:sz w:val="20"/>
                <w:szCs w:val="20"/>
              </w:rPr>
              <w:t xml:space="preserve">Student </w:t>
            </w:r>
            <w:r w:rsidR="00680FF6" w:rsidRPr="00680FF6">
              <w:rPr>
                <w:color w:val="000000" w:themeColor="text1"/>
                <w:sz w:val="20"/>
                <w:szCs w:val="20"/>
              </w:rPr>
              <w:t>Record</w:t>
            </w:r>
            <w:r w:rsidR="003E65C9">
              <w:rPr>
                <w:color w:val="000000" w:themeColor="text1"/>
                <w:sz w:val="20"/>
                <w:szCs w:val="20"/>
              </w:rPr>
              <w:t>s</w:t>
            </w:r>
            <w:r w:rsidR="00680FF6" w:rsidRPr="00680FF6">
              <w:rPr>
                <w:color w:val="000000" w:themeColor="text1"/>
                <w:sz w:val="20"/>
                <w:szCs w:val="20"/>
              </w:rPr>
              <w:t xml:space="preserve"> Collection Frequently Asked Questions (Faqs)</w:t>
            </w:r>
          </w:p>
        </w:tc>
        <w:tc>
          <w:tcPr>
            <w:tcW w:w="1531" w:type="pct"/>
            <w:tcBorders>
              <w:top w:val="single" w:sz="4" w:space="0" w:color="auto"/>
              <w:left w:val="nil"/>
              <w:bottom w:val="single" w:sz="4" w:space="0" w:color="auto"/>
              <w:right w:val="single" w:sz="4" w:space="0" w:color="auto"/>
            </w:tcBorders>
            <w:shd w:val="clear" w:color="auto" w:fill="auto"/>
          </w:tcPr>
          <w:p w14:paraId="32067F7F" w14:textId="77777777" w:rsidR="00A71BD3" w:rsidRPr="00680FF6" w:rsidRDefault="00A71BD3" w:rsidP="000D1B8B">
            <w:pPr>
              <w:rPr>
                <w:color w:val="000000" w:themeColor="text1"/>
                <w:sz w:val="20"/>
                <w:szCs w:val="20"/>
              </w:rPr>
            </w:pPr>
            <w:r w:rsidRPr="00680FF6">
              <w:rPr>
                <w:color w:val="000000" w:themeColor="text1"/>
                <w:sz w:val="20"/>
                <w:szCs w:val="20"/>
              </w:rPr>
              <w:t>Included in student records request packet for Financial Aid Director or designee.</w:t>
            </w:r>
          </w:p>
        </w:tc>
        <w:tc>
          <w:tcPr>
            <w:tcW w:w="596" w:type="pct"/>
            <w:tcBorders>
              <w:top w:val="single" w:sz="4" w:space="0" w:color="auto"/>
              <w:left w:val="nil"/>
              <w:bottom w:val="single" w:sz="4" w:space="0" w:color="auto"/>
              <w:right w:val="single" w:sz="4" w:space="0" w:color="auto"/>
            </w:tcBorders>
            <w:shd w:val="clear" w:color="auto" w:fill="auto"/>
          </w:tcPr>
          <w:p w14:paraId="3E55F877"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0329B218"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r w:rsidR="001263B1" w:rsidRPr="00341C64" w14:paraId="48D583E6"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tcPr>
          <w:p w14:paraId="6D04529F" w14:textId="77777777" w:rsidR="00A71BD3" w:rsidRPr="00680FF6" w:rsidRDefault="00A71BD3" w:rsidP="000D1B8B">
            <w:pPr>
              <w:rPr>
                <w:color w:val="7030A0"/>
                <w:sz w:val="20"/>
                <w:szCs w:val="20"/>
              </w:rPr>
            </w:pPr>
            <w:r w:rsidRPr="00680FF6">
              <w:rPr>
                <w:color w:val="7030A0"/>
                <w:sz w:val="20"/>
                <w:szCs w:val="20"/>
              </w:rPr>
              <w:t>G-6</w:t>
            </w:r>
          </w:p>
        </w:tc>
        <w:tc>
          <w:tcPr>
            <w:tcW w:w="1530" w:type="pct"/>
            <w:tcBorders>
              <w:top w:val="single" w:sz="4" w:space="0" w:color="auto"/>
              <w:left w:val="nil"/>
              <w:bottom w:val="single" w:sz="4" w:space="0" w:color="auto"/>
              <w:right w:val="single" w:sz="4" w:space="0" w:color="auto"/>
            </w:tcBorders>
            <w:shd w:val="clear" w:color="auto" w:fill="auto"/>
            <w:noWrap/>
          </w:tcPr>
          <w:p w14:paraId="59E28D2E" w14:textId="171F33E9" w:rsidR="00A71BD3" w:rsidRPr="00680FF6" w:rsidRDefault="00680FF6" w:rsidP="000D1B8B">
            <w:pPr>
              <w:rPr>
                <w:color w:val="7030A0"/>
                <w:sz w:val="20"/>
                <w:szCs w:val="20"/>
              </w:rPr>
            </w:pPr>
            <w:r w:rsidRPr="00680FF6">
              <w:rPr>
                <w:color w:val="7030A0"/>
                <w:sz w:val="20"/>
                <w:szCs w:val="20"/>
              </w:rPr>
              <w:t>Disclosure Notice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634EFB72" w14:textId="77777777" w:rsidR="00A71BD3" w:rsidRPr="00680FF6" w:rsidRDefault="00A71BD3" w:rsidP="000D1B8B">
            <w:pPr>
              <w:rPr>
                <w:color w:val="7030A0"/>
                <w:sz w:val="20"/>
                <w:szCs w:val="20"/>
              </w:rPr>
            </w:pPr>
            <w:r w:rsidRPr="00680FF6">
              <w:rPr>
                <w:color w:val="7030A0"/>
                <w:sz w:val="20"/>
                <w:szCs w:val="20"/>
              </w:rPr>
              <w:t>Included in transcript request packet for Financial Aid Director or designee.</w:t>
            </w:r>
          </w:p>
        </w:tc>
        <w:tc>
          <w:tcPr>
            <w:tcW w:w="596" w:type="pct"/>
            <w:tcBorders>
              <w:top w:val="single" w:sz="4" w:space="0" w:color="auto"/>
              <w:left w:val="nil"/>
              <w:bottom w:val="single" w:sz="4" w:space="0" w:color="auto"/>
              <w:right w:val="single" w:sz="4" w:space="0" w:color="auto"/>
            </w:tcBorders>
            <w:shd w:val="clear" w:color="auto" w:fill="auto"/>
          </w:tcPr>
          <w:p w14:paraId="6811272B"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751885E4" w14:textId="77777777" w:rsidR="00A71BD3" w:rsidRPr="00680FF6" w:rsidRDefault="00A71BD3" w:rsidP="000D1B8B">
            <w:pPr>
              <w:rPr>
                <w:color w:val="7030A0"/>
                <w:sz w:val="20"/>
                <w:szCs w:val="20"/>
              </w:rPr>
            </w:pPr>
            <w:r w:rsidRPr="00680FF6">
              <w:rPr>
                <w:color w:val="7030A0"/>
                <w:sz w:val="20"/>
                <w:szCs w:val="20"/>
              </w:rPr>
              <w:t>Added BPS:12.</w:t>
            </w:r>
          </w:p>
        </w:tc>
      </w:tr>
      <w:tr w:rsidR="001263B1" w:rsidRPr="00341C64" w14:paraId="091D83B6"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4231E300" w14:textId="77777777" w:rsidR="00A71BD3" w:rsidRPr="00680FF6" w:rsidRDefault="00A71BD3" w:rsidP="000D1B8B">
            <w:pPr>
              <w:rPr>
                <w:color w:val="00B050"/>
                <w:sz w:val="20"/>
                <w:szCs w:val="20"/>
              </w:rPr>
            </w:pPr>
            <w:r w:rsidRPr="00680FF6">
              <w:rPr>
                <w:color w:val="00B050"/>
                <w:sz w:val="20"/>
                <w:szCs w:val="20"/>
              </w:rPr>
              <w:t>G-7 ADDED</w:t>
            </w:r>
          </w:p>
        </w:tc>
        <w:tc>
          <w:tcPr>
            <w:tcW w:w="1530" w:type="pct"/>
            <w:tcBorders>
              <w:top w:val="single" w:sz="4" w:space="0" w:color="auto"/>
              <w:left w:val="nil"/>
              <w:bottom w:val="single" w:sz="4" w:space="0" w:color="auto"/>
              <w:right w:val="single" w:sz="4" w:space="0" w:color="auto"/>
            </w:tcBorders>
            <w:shd w:val="clear" w:color="auto" w:fill="auto"/>
            <w:noWrap/>
          </w:tcPr>
          <w:p w14:paraId="0EDE45AE" w14:textId="58A6E03F" w:rsidR="00A71BD3" w:rsidRPr="00680FF6" w:rsidRDefault="00680FF6" w:rsidP="000D1B8B">
            <w:pPr>
              <w:rPr>
                <w:color w:val="00B050"/>
                <w:sz w:val="20"/>
                <w:szCs w:val="20"/>
              </w:rPr>
            </w:pPr>
            <w:r w:rsidRPr="00680FF6">
              <w:rPr>
                <w:color w:val="00B050"/>
                <w:sz w:val="20"/>
                <w:szCs w:val="20"/>
              </w:rPr>
              <w:t>Student Records Request Letter To Financial Aid Personnel – Additional Students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0023CD0D" w14:textId="77777777" w:rsidR="00A71BD3" w:rsidRPr="00680FF6" w:rsidRDefault="00A71BD3" w:rsidP="000D1B8B">
            <w:pPr>
              <w:rPr>
                <w:color w:val="00B050"/>
                <w:sz w:val="20"/>
                <w:szCs w:val="20"/>
              </w:rPr>
            </w:pPr>
            <w:r w:rsidRPr="00680FF6">
              <w:rPr>
                <w:color w:val="00B050"/>
                <w:sz w:val="20"/>
                <w:szCs w:val="20"/>
              </w:rPr>
              <w:t>Included in subsequent student records request packet for Financial Aid Director or designee.</w:t>
            </w:r>
          </w:p>
        </w:tc>
        <w:tc>
          <w:tcPr>
            <w:tcW w:w="596" w:type="pct"/>
            <w:tcBorders>
              <w:top w:val="single" w:sz="4" w:space="0" w:color="auto"/>
              <w:left w:val="nil"/>
              <w:bottom w:val="single" w:sz="4" w:space="0" w:color="auto"/>
              <w:right w:val="single" w:sz="4" w:space="0" w:color="auto"/>
            </w:tcBorders>
            <w:shd w:val="clear" w:color="auto" w:fill="auto"/>
          </w:tcPr>
          <w:p w14:paraId="787E1EF8" w14:textId="77777777" w:rsidR="00A71BD3" w:rsidRPr="00680FF6" w:rsidRDefault="00A71BD3" w:rsidP="000D1B8B">
            <w:pPr>
              <w:rPr>
                <w:color w:val="7030A0"/>
                <w:sz w:val="20"/>
                <w:szCs w:val="20"/>
              </w:rPr>
            </w:pPr>
            <w:r w:rsidRPr="00680FF6">
              <w:rPr>
                <w:color w:val="00B050"/>
                <w:sz w:val="20"/>
                <w:szCs w:val="20"/>
              </w:rPr>
              <w:t>A</w:t>
            </w:r>
          </w:p>
        </w:tc>
        <w:tc>
          <w:tcPr>
            <w:tcW w:w="909" w:type="pct"/>
            <w:tcBorders>
              <w:top w:val="single" w:sz="4" w:space="0" w:color="auto"/>
              <w:left w:val="nil"/>
              <w:bottom w:val="single" w:sz="4" w:space="0" w:color="auto"/>
              <w:right w:val="single" w:sz="4" w:space="0" w:color="auto"/>
            </w:tcBorders>
          </w:tcPr>
          <w:p w14:paraId="19771997" w14:textId="77777777" w:rsidR="00A71BD3" w:rsidRPr="00680FF6" w:rsidRDefault="00A71BD3" w:rsidP="000D1B8B">
            <w:pPr>
              <w:rPr>
                <w:color w:val="7030A0"/>
                <w:sz w:val="20"/>
                <w:szCs w:val="20"/>
              </w:rPr>
            </w:pPr>
          </w:p>
        </w:tc>
      </w:tr>
      <w:tr w:rsidR="001263B1" w:rsidRPr="00341C64" w14:paraId="26F897EB"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4C528607" w14:textId="77777777" w:rsidR="00A71BD3" w:rsidRPr="00680FF6" w:rsidRDefault="00A71BD3" w:rsidP="000D1B8B">
            <w:pPr>
              <w:rPr>
                <w:color w:val="00B050"/>
                <w:sz w:val="20"/>
                <w:szCs w:val="20"/>
              </w:rPr>
            </w:pPr>
            <w:r w:rsidRPr="00680FF6">
              <w:rPr>
                <w:color w:val="00B050"/>
                <w:sz w:val="20"/>
                <w:szCs w:val="20"/>
              </w:rPr>
              <w:t>G-9 ADDED</w:t>
            </w:r>
          </w:p>
        </w:tc>
        <w:tc>
          <w:tcPr>
            <w:tcW w:w="1530" w:type="pct"/>
            <w:tcBorders>
              <w:top w:val="single" w:sz="4" w:space="0" w:color="auto"/>
              <w:left w:val="nil"/>
              <w:bottom w:val="single" w:sz="4" w:space="0" w:color="auto"/>
              <w:right w:val="single" w:sz="4" w:space="0" w:color="auto"/>
            </w:tcBorders>
            <w:shd w:val="clear" w:color="auto" w:fill="auto"/>
            <w:noWrap/>
          </w:tcPr>
          <w:p w14:paraId="14EC9B21" w14:textId="4BB5EBCC" w:rsidR="00A71BD3" w:rsidRPr="00680FF6" w:rsidRDefault="00680FF6" w:rsidP="000D1B8B">
            <w:pPr>
              <w:rPr>
                <w:color w:val="00B050"/>
                <w:sz w:val="20"/>
                <w:szCs w:val="20"/>
              </w:rPr>
            </w:pPr>
            <w:r w:rsidRPr="00680FF6">
              <w:rPr>
                <w:color w:val="00B050"/>
                <w:sz w:val="20"/>
                <w:szCs w:val="20"/>
              </w:rPr>
              <w:t>Student Records Sample Reminder Email 1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5407F9A2" w14:textId="77777777" w:rsidR="00A71BD3" w:rsidRPr="00680FF6" w:rsidRDefault="00A71BD3" w:rsidP="000D1B8B">
            <w:pPr>
              <w:rPr>
                <w:color w:val="00B050"/>
                <w:sz w:val="20"/>
                <w:szCs w:val="20"/>
              </w:rPr>
            </w:pPr>
            <w:r w:rsidRPr="00680FF6">
              <w:rPr>
                <w:color w:val="00B050"/>
                <w:sz w:val="20"/>
                <w:szCs w:val="20"/>
              </w:rPr>
              <w:t>Sent to Primary Coordinator or designee to prompt for data.</w:t>
            </w:r>
          </w:p>
        </w:tc>
        <w:tc>
          <w:tcPr>
            <w:tcW w:w="596" w:type="pct"/>
            <w:tcBorders>
              <w:top w:val="single" w:sz="4" w:space="0" w:color="auto"/>
              <w:left w:val="nil"/>
              <w:bottom w:val="single" w:sz="4" w:space="0" w:color="auto"/>
              <w:right w:val="single" w:sz="4" w:space="0" w:color="auto"/>
            </w:tcBorders>
            <w:shd w:val="clear" w:color="auto" w:fill="auto"/>
          </w:tcPr>
          <w:p w14:paraId="5100A1FA" w14:textId="77777777" w:rsidR="00A71BD3" w:rsidRPr="00680FF6" w:rsidRDefault="00A71BD3" w:rsidP="000D1B8B">
            <w:pPr>
              <w:rPr>
                <w:color w:val="7030A0"/>
                <w:sz w:val="20"/>
                <w:szCs w:val="20"/>
              </w:rPr>
            </w:pPr>
            <w:r w:rsidRPr="00680FF6">
              <w:rPr>
                <w:color w:val="00B050"/>
                <w:sz w:val="20"/>
                <w:szCs w:val="20"/>
              </w:rPr>
              <w:t>A</w:t>
            </w:r>
          </w:p>
        </w:tc>
        <w:tc>
          <w:tcPr>
            <w:tcW w:w="909" w:type="pct"/>
            <w:tcBorders>
              <w:top w:val="single" w:sz="4" w:space="0" w:color="auto"/>
              <w:left w:val="nil"/>
              <w:bottom w:val="single" w:sz="4" w:space="0" w:color="auto"/>
              <w:right w:val="single" w:sz="4" w:space="0" w:color="auto"/>
            </w:tcBorders>
          </w:tcPr>
          <w:p w14:paraId="2052E3C4" w14:textId="77777777" w:rsidR="00A71BD3" w:rsidRPr="00680FF6" w:rsidRDefault="00A71BD3" w:rsidP="000D1B8B">
            <w:pPr>
              <w:rPr>
                <w:color w:val="7030A0"/>
                <w:sz w:val="20"/>
                <w:szCs w:val="20"/>
              </w:rPr>
            </w:pPr>
          </w:p>
        </w:tc>
      </w:tr>
      <w:tr w:rsidR="001263B1" w:rsidRPr="00341C64" w14:paraId="72C27795"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9E8D150" w14:textId="77777777" w:rsidR="00A71BD3" w:rsidRPr="00680FF6" w:rsidRDefault="00A71BD3" w:rsidP="000D1B8B">
            <w:pPr>
              <w:rPr>
                <w:color w:val="00B050"/>
                <w:sz w:val="20"/>
                <w:szCs w:val="20"/>
              </w:rPr>
            </w:pPr>
            <w:r w:rsidRPr="00680FF6">
              <w:rPr>
                <w:color w:val="00B050"/>
                <w:sz w:val="20"/>
                <w:szCs w:val="20"/>
              </w:rPr>
              <w:t>G-10 ADDED</w:t>
            </w:r>
          </w:p>
        </w:tc>
        <w:tc>
          <w:tcPr>
            <w:tcW w:w="1530" w:type="pct"/>
            <w:tcBorders>
              <w:top w:val="single" w:sz="4" w:space="0" w:color="auto"/>
              <w:left w:val="nil"/>
              <w:bottom w:val="single" w:sz="4" w:space="0" w:color="auto"/>
              <w:right w:val="single" w:sz="4" w:space="0" w:color="auto"/>
            </w:tcBorders>
            <w:shd w:val="clear" w:color="auto" w:fill="auto"/>
            <w:noWrap/>
          </w:tcPr>
          <w:p w14:paraId="63B2B3B7" w14:textId="7EEBD7F1" w:rsidR="00A71BD3" w:rsidRPr="00680FF6" w:rsidRDefault="00680FF6" w:rsidP="000D1B8B">
            <w:pPr>
              <w:rPr>
                <w:color w:val="00B050"/>
                <w:sz w:val="20"/>
                <w:szCs w:val="20"/>
              </w:rPr>
            </w:pPr>
            <w:r w:rsidRPr="00680FF6">
              <w:rPr>
                <w:color w:val="00B050"/>
                <w:sz w:val="20"/>
                <w:szCs w:val="20"/>
              </w:rPr>
              <w:t>Student Records Sample Reminder Email 2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59A56286" w14:textId="77777777" w:rsidR="00A71BD3" w:rsidRPr="00680FF6" w:rsidRDefault="00A71BD3" w:rsidP="000D1B8B">
            <w:pPr>
              <w:rPr>
                <w:color w:val="00B050"/>
                <w:sz w:val="20"/>
                <w:szCs w:val="20"/>
              </w:rPr>
            </w:pPr>
            <w:r w:rsidRPr="00680FF6">
              <w:rPr>
                <w:color w:val="00B050"/>
                <w:sz w:val="20"/>
                <w:szCs w:val="20"/>
              </w:rPr>
              <w:t>Sent to Primary Coordinator or designee to prompt for data.</w:t>
            </w:r>
          </w:p>
        </w:tc>
        <w:tc>
          <w:tcPr>
            <w:tcW w:w="596" w:type="pct"/>
            <w:tcBorders>
              <w:top w:val="single" w:sz="4" w:space="0" w:color="auto"/>
              <w:left w:val="nil"/>
              <w:bottom w:val="single" w:sz="4" w:space="0" w:color="auto"/>
              <w:right w:val="single" w:sz="4" w:space="0" w:color="auto"/>
            </w:tcBorders>
            <w:shd w:val="clear" w:color="auto" w:fill="auto"/>
          </w:tcPr>
          <w:p w14:paraId="38C18FDD" w14:textId="77777777" w:rsidR="00A71BD3" w:rsidRPr="00680FF6" w:rsidRDefault="00A71BD3" w:rsidP="000D1B8B">
            <w:pPr>
              <w:rPr>
                <w:color w:val="00B050"/>
                <w:sz w:val="20"/>
                <w:szCs w:val="20"/>
              </w:rPr>
            </w:pPr>
            <w:r w:rsidRPr="00680FF6">
              <w:rPr>
                <w:color w:val="00B050"/>
                <w:sz w:val="20"/>
                <w:szCs w:val="20"/>
              </w:rPr>
              <w:t>A</w:t>
            </w:r>
          </w:p>
        </w:tc>
        <w:tc>
          <w:tcPr>
            <w:tcW w:w="909" w:type="pct"/>
            <w:tcBorders>
              <w:top w:val="single" w:sz="4" w:space="0" w:color="auto"/>
              <w:left w:val="nil"/>
              <w:bottom w:val="single" w:sz="4" w:space="0" w:color="auto"/>
              <w:right w:val="single" w:sz="4" w:space="0" w:color="auto"/>
            </w:tcBorders>
          </w:tcPr>
          <w:p w14:paraId="74B8DB50" w14:textId="77777777" w:rsidR="00A71BD3" w:rsidRPr="00680FF6" w:rsidRDefault="00A71BD3" w:rsidP="000D1B8B">
            <w:pPr>
              <w:rPr>
                <w:color w:val="7030A0"/>
                <w:sz w:val="20"/>
                <w:szCs w:val="20"/>
              </w:rPr>
            </w:pPr>
          </w:p>
        </w:tc>
      </w:tr>
      <w:tr w:rsidR="001263B1" w:rsidRPr="00341C64" w14:paraId="1EC5EA89"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tcPr>
          <w:p w14:paraId="29728225" w14:textId="77777777" w:rsidR="00A71BD3" w:rsidRPr="00680FF6" w:rsidRDefault="00A71BD3" w:rsidP="000D1B8B">
            <w:pPr>
              <w:rPr>
                <w:color w:val="7030A0"/>
                <w:sz w:val="20"/>
                <w:szCs w:val="20"/>
              </w:rPr>
            </w:pPr>
            <w:r w:rsidRPr="00680FF6">
              <w:rPr>
                <w:color w:val="7030A0"/>
                <w:sz w:val="20"/>
                <w:szCs w:val="20"/>
              </w:rPr>
              <w:t>G-11</w:t>
            </w:r>
          </w:p>
        </w:tc>
        <w:tc>
          <w:tcPr>
            <w:tcW w:w="1530" w:type="pct"/>
            <w:tcBorders>
              <w:top w:val="single" w:sz="4" w:space="0" w:color="auto"/>
              <w:left w:val="nil"/>
              <w:bottom w:val="single" w:sz="4" w:space="0" w:color="auto"/>
              <w:right w:val="single" w:sz="4" w:space="0" w:color="auto"/>
            </w:tcBorders>
            <w:shd w:val="clear" w:color="auto" w:fill="auto"/>
            <w:noWrap/>
          </w:tcPr>
          <w:p w14:paraId="28F79864" w14:textId="0B3629C6" w:rsidR="00A71BD3" w:rsidRPr="00680FF6" w:rsidRDefault="00680FF6" w:rsidP="000D1B8B">
            <w:pPr>
              <w:rPr>
                <w:color w:val="7030A0"/>
                <w:sz w:val="20"/>
                <w:szCs w:val="20"/>
              </w:rPr>
            </w:pPr>
            <w:r w:rsidRPr="00680FF6">
              <w:rPr>
                <w:color w:val="7030A0"/>
                <w:sz w:val="20"/>
                <w:szCs w:val="20"/>
              </w:rPr>
              <w:t>Example Text For Quick Guide To Providing Record Data – Joint Study Collection</w:t>
            </w:r>
          </w:p>
        </w:tc>
        <w:tc>
          <w:tcPr>
            <w:tcW w:w="1531" w:type="pct"/>
            <w:tcBorders>
              <w:top w:val="single" w:sz="4" w:space="0" w:color="auto"/>
              <w:left w:val="nil"/>
              <w:bottom w:val="single" w:sz="4" w:space="0" w:color="auto"/>
              <w:right w:val="single" w:sz="4" w:space="0" w:color="auto"/>
            </w:tcBorders>
            <w:shd w:val="clear" w:color="auto" w:fill="auto"/>
          </w:tcPr>
          <w:p w14:paraId="3D9DEABA" w14:textId="77777777" w:rsidR="00A71BD3" w:rsidRPr="00680FF6" w:rsidRDefault="00A71BD3" w:rsidP="000D1B8B">
            <w:pPr>
              <w:rPr>
                <w:color w:val="7030A0"/>
                <w:sz w:val="20"/>
                <w:szCs w:val="20"/>
              </w:rPr>
            </w:pPr>
            <w:r w:rsidRPr="00680FF6">
              <w:rPr>
                <w:color w:val="7030A0"/>
                <w:sz w:val="20"/>
                <w:szCs w:val="20"/>
              </w:rPr>
              <w:t>Included in student records request packet for Financial Aid Director or designee.</w:t>
            </w:r>
          </w:p>
        </w:tc>
        <w:tc>
          <w:tcPr>
            <w:tcW w:w="596" w:type="pct"/>
            <w:tcBorders>
              <w:top w:val="single" w:sz="4" w:space="0" w:color="auto"/>
              <w:left w:val="nil"/>
              <w:bottom w:val="single" w:sz="4" w:space="0" w:color="auto"/>
              <w:right w:val="single" w:sz="4" w:space="0" w:color="auto"/>
            </w:tcBorders>
            <w:shd w:val="clear" w:color="auto" w:fill="auto"/>
          </w:tcPr>
          <w:p w14:paraId="6E42B676"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105EC55B" w14:textId="77777777" w:rsidR="00A71BD3" w:rsidRPr="00680FF6" w:rsidRDefault="00A71BD3" w:rsidP="000D1B8B">
            <w:pPr>
              <w:rPr>
                <w:color w:val="7030A0"/>
                <w:sz w:val="20"/>
                <w:szCs w:val="20"/>
              </w:rPr>
            </w:pPr>
            <w:r w:rsidRPr="00680FF6">
              <w:rPr>
                <w:color w:val="7030A0"/>
                <w:sz w:val="20"/>
                <w:szCs w:val="20"/>
              </w:rPr>
              <w:t>Revised to clarify example instructions.</w:t>
            </w:r>
          </w:p>
        </w:tc>
      </w:tr>
      <w:tr w:rsidR="001263B1" w:rsidRPr="00341C64" w14:paraId="2AB0FAF4"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9C33F45" w14:textId="77777777" w:rsidR="00A71BD3" w:rsidRPr="00680FF6" w:rsidRDefault="00A71BD3" w:rsidP="000D1B8B">
            <w:pPr>
              <w:rPr>
                <w:color w:val="7030A0"/>
                <w:sz w:val="20"/>
                <w:szCs w:val="20"/>
              </w:rPr>
            </w:pPr>
            <w:r w:rsidRPr="00680FF6">
              <w:rPr>
                <w:color w:val="7030A0"/>
                <w:sz w:val="20"/>
                <w:szCs w:val="20"/>
              </w:rPr>
              <w:t>G-14</w:t>
            </w:r>
          </w:p>
        </w:tc>
        <w:tc>
          <w:tcPr>
            <w:tcW w:w="1530" w:type="pct"/>
            <w:tcBorders>
              <w:top w:val="single" w:sz="4" w:space="0" w:color="auto"/>
              <w:left w:val="nil"/>
              <w:bottom w:val="single" w:sz="4" w:space="0" w:color="auto"/>
              <w:right w:val="single" w:sz="4" w:space="0" w:color="auto"/>
            </w:tcBorders>
            <w:shd w:val="clear" w:color="auto" w:fill="auto"/>
            <w:noWrap/>
          </w:tcPr>
          <w:p w14:paraId="425F0811" w14:textId="54671B73" w:rsidR="00A71BD3" w:rsidRPr="00680FF6" w:rsidRDefault="00680FF6" w:rsidP="003E65C9">
            <w:pPr>
              <w:rPr>
                <w:color w:val="7030A0"/>
                <w:sz w:val="20"/>
                <w:szCs w:val="20"/>
              </w:rPr>
            </w:pPr>
            <w:r w:rsidRPr="00680FF6">
              <w:rPr>
                <w:color w:val="7030A0"/>
                <w:sz w:val="20"/>
                <w:szCs w:val="20"/>
              </w:rPr>
              <w:t xml:space="preserve">Text For </w:t>
            </w:r>
            <w:r w:rsidR="003E65C9">
              <w:rPr>
                <w:color w:val="7030A0"/>
                <w:sz w:val="20"/>
                <w:szCs w:val="20"/>
              </w:rPr>
              <w:t>Student</w:t>
            </w:r>
            <w:r w:rsidRPr="00680FF6">
              <w:rPr>
                <w:color w:val="7030A0"/>
                <w:sz w:val="20"/>
                <w:szCs w:val="20"/>
              </w:rPr>
              <w:t xml:space="preserve"> Record</w:t>
            </w:r>
            <w:r w:rsidR="003E65C9">
              <w:rPr>
                <w:color w:val="7030A0"/>
                <w:sz w:val="20"/>
                <w:szCs w:val="20"/>
              </w:rPr>
              <w:t>s</w:t>
            </w:r>
            <w:r w:rsidRPr="00680FF6">
              <w:rPr>
                <w:color w:val="7030A0"/>
                <w:sz w:val="20"/>
                <w:szCs w:val="20"/>
              </w:rPr>
              <w:t xml:space="preserve"> Collection Brochure</w:t>
            </w:r>
          </w:p>
        </w:tc>
        <w:tc>
          <w:tcPr>
            <w:tcW w:w="1531" w:type="pct"/>
            <w:tcBorders>
              <w:top w:val="single" w:sz="4" w:space="0" w:color="auto"/>
              <w:left w:val="nil"/>
              <w:bottom w:val="single" w:sz="4" w:space="0" w:color="auto"/>
              <w:right w:val="single" w:sz="4" w:space="0" w:color="auto"/>
            </w:tcBorders>
            <w:shd w:val="clear" w:color="auto" w:fill="auto"/>
          </w:tcPr>
          <w:p w14:paraId="52C55163" w14:textId="77777777" w:rsidR="00A71BD3" w:rsidRPr="00680FF6" w:rsidRDefault="00A71BD3" w:rsidP="000D1B8B">
            <w:pPr>
              <w:rPr>
                <w:color w:val="7030A0"/>
                <w:sz w:val="20"/>
                <w:szCs w:val="20"/>
              </w:rPr>
            </w:pPr>
            <w:r w:rsidRPr="00680FF6">
              <w:rPr>
                <w:color w:val="7030A0"/>
                <w:sz w:val="20"/>
                <w:szCs w:val="20"/>
              </w:rPr>
              <w:t>Included in student records request packet for Financial Aid Director or designee.</w:t>
            </w:r>
          </w:p>
        </w:tc>
        <w:tc>
          <w:tcPr>
            <w:tcW w:w="596" w:type="pct"/>
            <w:tcBorders>
              <w:top w:val="single" w:sz="4" w:space="0" w:color="auto"/>
              <w:left w:val="nil"/>
              <w:bottom w:val="single" w:sz="4" w:space="0" w:color="auto"/>
              <w:right w:val="single" w:sz="4" w:space="0" w:color="auto"/>
            </w:tcBorders>
            <w:shd w:val="clear" w:color="auto" w:fill="auto"/>
          </w:tcPr>
          <w:p w14:paraId="76D01B4D" w14:textId="77777777" w:rsidR="00A71BD3" w:rsidRPr="00680FF6" w:rsidRDefault="00A71BD3" w:rsidP="000D1B8B">
            <w:pPr>
              <w:rPr>
                <w:color w:val="7030A0"/>
                <w:sz w:val="20"/>
                <w:szCs w:val="20"/>
              </w:rPr>
            </w:pPr>
            <w:r w:rsidRPr="00680FF6">
              <w:rPr>
                <w:color w:val="7030A0"/>
                <w:sz w:val="20"/>
                <w:szCs w:val="20"/>
              </w:rPr>
              <w:t>R</w:t>
            </w:r>
          </w:p>
        </w:tc>
        <w:tc>
          <w:tcPr>
            <w:tcW w:w="909" w:type="pct"/>
            <w:tcBorders>
              <w:top w:val="single" w:sz="4" w:space="0" w:color="auto"/>
              <w:left w:val="nil"/>
              <w:bottom w:val="single" w:sz="4" w:space="0" w:color="auto"/>
              <w:right w:val="single" w:sz="4" w:space="0" w:color="auto"/>
            </w:tcBorders>
          </w:tcPr>
          <w:p w14:paraId="28B45F19" w14:textId="77777777" w:rsidR="00A71BD3" w:rsidRPr="00680FF6" w:rsidRDefault="00A71BD3" w:rsidP="000D1B8B">
            <w:pPr>
              <w:rPr>
                <w:color w:val="7030A0"/>
                <w:sz w:val="20"/>
                <w:szCs w:val="20"/>
              </w:rPr>
            </w:pPr>
            <w:r w:rsidRPr="00680FF6">
              <w:rPr>
                <w:color w:val="7030A0"/>
                <w:sz w:val="20"/>
                <w:szCs w:val="20"/>
              </w:rPr>
              <w:t>Revised into brochure, added content.</w:t>
            </w:r>
          </w:p>
        </w:tc>
      </w:tr>
      <w:tr w:rsidR="001263B1" w:rsidRPr="007208E1" w14:paraId="43C31E47"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6298374F" w14:textId="77777777" w:rsidR="00A71BD3" w:rsidRPr="00680FF6" w:rsidRDefault="00A71BD3" w:rsidP="000D1B8B">
            <w:pPr>
              <w:rPr>
                <w:color w:val="000000" w:themeColor="text1"/>
                <w:sz w:val="20"/>
                <w:szCs w:val="20"/>
              </w:rPr>
            </w:pPr>
            <w:r w:rsidRPr="00680FF6">
              <w:rPr>
                <w:color w:val="000000" w:themeColor="text1"/>
                <w:sz w:val="20"/>
                <w:szCs w:val="20"/>
              </w:rPr>
              <w:t>G-16</w:t>
            </w:r>
          </w:p>
        </w:tc>
        <w:tc>
          <w:tcPr>
            <w:tcW w:w="1530" w:type="pct"/>
            <w:tcBorders>
              <w:top w:val="single" w:sz="4" w:space="0" w:color="auto"/>
              <w:left w:val="nil"/>
              <w:bottom w:val="single" w:sz="4" w:space="0" w:color="auto"/>
              <w:right w:val="single" w:sz="4" w:space="0" w:color="auto"/>
            </w:tcBorders>
            <w:shd w:val="clear" w:color="auto" w:fill="auto"/>
            <w:noWrap/>
          </w:tcPr>
          <w:p w14:paraId="048EB548" w14:textId="6B323F08" w:rsidR="00A71BD3" w:rsidRPr="00680FF6" w:rsidRDefault="00680FF6" w:rsidP="000D1B8B">
            <w:pPr>
              <w:rPr>
                <w:color w:val="000000" w:themeColor="text1"/>
                <w:sz w:val="20"/>
                <w:szCs w:val="20"/>
              </w:rPr>
            </w:pPr>
            <w:r w:rsidRPr="00680FF6">
              <w:rPr>
                <w:color w:val="000000" w:themeColor="text1"/>
                <w:sz w:val="20"/>
                <w:szCs w:val="20"/>
              </w:rPr>
              <w:t>Postsecondary Data Portal Flyer Text</w:t>
            </w:r>
          </w:p>
        </w:tc>
        <w:tc>
          <w:tcPr>
            <w:tcW w:w="1531" w:type="pct"/>
            <w:tcBorders>
              <w:top w:val="single" w:sz="4" w:space="0" w:color="auto"/>
              <w:left w:val="nil"/>
              <w:bottom w:val="single" w:sz="4" w:space="0" w:color="auto"/>
              <w:right w:val="single" w:sz="4" w:space="0" w:color="auto"/>
            </w:tcBorders>
            <w:shd w:val="clear" w:color="auto" w:fill="auto"/>
          </w:tcPr>
          <w:p w14:paraId="71CD4DFD" w14:textId="77777777" w:rsidR="00A71BD3" w:rsidRPr="00680FF6" w:rsidRDefault="00A71BD3" w:rsidP="000D1B8B">
            <w:pPr>
              <w:rPr>
                <w:color w:val="000000" w:themeColor="text1"/>
                <w:sz w:val="20"/>
                <w:szCs w:val="20"/>
              </w:rPr>
            </w:pPr>
            <w:r w:rsidRPr="00680FF6">
              <w:rPr>
                <w:color w:val="000000" w:themeColor="text1"/>
                <w:sz w:val="20"/>
                <w:szCs w:val="20"/>
              </w:rPr>
              <w:t>Given to institution staff at conferences.</w:t>
            </w:r>
          </w:p>
        </w:tc>
        <w:tc>
          <w:tcPr>
            <w:tcW w:w="596" w:type="pct"/>
            <w:tcBorders>
              <w:top w:val="single" w:sz="4" w:space="0" w:color="auto"/>
              <w:left w:val="nil"/>
              <w:bottom w:val="single" w:sz="4" w:space="0" w:color="auto"/>
              <w:right w:val="single" w:sz="4" w:space="0" w:color="auto"/>
            </w:tcBorders>
            <w:shd w:val="clear" w:color="auto" w:fill="auto"/>
          </w:tcPr>
          <w:p w14:paraId="6C35E402"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6A791FBA"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r w:rsidR="001263B1" w:rsidRPr="00341C64" w14:paraId="56234450" w14:textId="77777777" w:rsidTr="001263B1">
        <w:trPr>
          <w:cantSplit/>
          <w:trHeight w:val="144"/>
        </w:trPr>
        <w:tc>
          <w:tcPr>
            <w:tcW w:w="434" w:type="pct"/>
            <w:tcBorders>
              <w:top w:val="single" w:sz="4" w:space="0" w:color="auto"/>
              <w:left w:val="single" w:sz="4" w:space="0" w:color="auto"/>
              <w:bottom w:val="single" w:sz="4" w:space="0" w:color="auto"/>
              <w:right w:val="single" w:sz="4" w:space="0" w:color="auto"/>
            </w:tcBorders>
            <w:shd w:val="clear" w:color="auto" w:fill="auto"/>
            <w:hideMark/>
          </w:tcPr>
          <w:p w14:paraId="2F6D5F5D" w14:textId="77777777" w:rsidR="00A71BD3" w:rsidRPr="00680FF6" w:rsidRDefault="00A71BD3" w:rsidP="000D1B8B">
            <w:pPr>
              <w:rPr>
                <w:color w:val="000000" w:themeColor="text1"/>
                <w:sz w:val="20"/>
                <w:szCs w:val="20"/>
              </w:rPr>
            </w:pPr>
            <w:r w:rsidRPr="00680FF6">
              <w:rPr>
                <w:color w:val="000000" w:themeColor="text1"/>
                <w:sz w:val="20"/>
                <w:szCs w:val="20"/>
              </w:rPr>
              <w:t>G-17</w:t>
            </w:r>
          </w:p>
        </w:tc>
        <w:tc>
          <w:tcPr>
            <w:tcW w:w="1530" w:type="pct"/>
            <w:tcBorders>
              <w:top w:val="single" w:sz="4" w:space="0" w:color="auto"/>
              <w:left w:val="nil"/>
              <w:bottom w:val="single" w:sz="4" w:space="0" w:color="auto"/>
              <w:right w:val="single" w:sz="4" w:space="0" w:color="auto"/>
            </w:tcBorders>
            <w:shd w:val="clear" w:color="auto" w:fill="auto"/>
            <w:noWrap/>
          </w:tcPr>
          <w:p w14:paraId="11F036E6" w14:textId="4ADF6EAA" w:rsidR="00A71BD3" w:rsidRPr="00680FF6" w:rsidRDefault="00680FF6" w:rsidP="000D1B8B">
            <w:pPr>
              <w:rPr>
                <w:color w:val="000000" w:themeColor="text1"/>
                <w:sz w:val="20"/>
                <w:szCs w:val="20"/>
              </w:rPr>
            </w:pPr>
            <w:r w:rsidRPr="00680FF6">
              <w:rPr>
                <w:color w:val="000000" w:themeColor="text1"/>
                <w:sz w:val="20"/>
                <w:szCs w:val="20"/>
              </w:rPr>
              <w:t>Website Text</w:t>
            </w:r>
          </w:p>
        </w:tc>
        <w:tc>
          <w:tcPr>
            <w:tcW w:w="1531" w:type="pct"/>
            <w:tcBorders>
              <w:top w:val="single" w:sz="4" w:space="0" w:color="auto"/>
              <w:left w:val="nil"/>
              <w:bottom w:val="single" w:sz="4" w:space="0" w:color="auto"/>
              <w:right w:val="single" w:sz="4" w:space="0" w:color="auto"/>
            </w:tcBorders>
            <w:shd w:val="clear" w:color="auto" w:fill="auto"/>
          </w:tcPr>
          <w:p w14:paraId="4776CD4D" w14:textId="77777777" w:rsidR="00A71BD3" w:rsidRPr="00680FF6" w:rsidRDefault="00A71BD3" w:rsidP="000D1B8B">
            <w:pPr>
              <w:rPr>
                <w:color w:val="000000" w:themeColor="text1"/>
                <w:sz w:val="20"/>
                <w:szCs w:val="20"/>
              </w:rPr>
            </w:pPr>
            <w:r w:rsidRPr="00680FF6">
              <w:rPr>
                <w:color w:val="000000" w:themeColor="text1"/>
                <w:sz w:val="20"/>
                <w:szCs w:val="20"/>
              </w:rPr>
              <w:t>Available on PDP.</w:t>
            </w:r>
          </w:p>
        </w:tc>
        <w:tc>
          <w:tcPr>
            <w:tcW w:w="596" w:type="pct"/>
            <w:tcBorders>
              <w:top w:val="single" w:sz="4" w:space="0" w:color="auto"/>
              <w:left w:val="nil"/>
              <w:bottom w:val="single" w:sz="4" w:space="0" w:color="auto"/>
              <w:right w:val="single" w:sz="4" w:space="0" w:color="auto"/>
            </w:tcBorders>
            <w:shd w:val="clear" w:color="auto" w:fill="auto"/>
          </w:tcPr>
          <w:p w14:paraId="33AEE235" w14:textId="77777777" w:rsidR="00A71BD3" w:rsidRPr="00680FF6" w:rsidRDefault="00A71BD3" w:rsidP="000D1B8B">
            <w:pPr>
              <w:rPr>
                <w:color w:val="000000" w:themeColor="text1"/>
                <w:sz w:val="20"/>
                <w:szCs w:val="20"/>
              </w:rPr>
            </w:pPr>
          </w:p>
        </w:tc>
        <w:tc>
          <w:tcPr>
            <w:tcW w:w="909" w:type="pct"/>
            <w:tcBorders>
              <w:top w:val="single" w:sz="4" w:space="0" w:color="auto"/>
              <w:left w:val="nil"/>
              <w:bottom w:val="single" w:sz="4" w:space="0" w:color="auto"/>
              <w:right w:val="single" w:sz="4" w:space="0" w:color="auto"/>
            </w:tcBorders>
          </w:tcPr>
          <w:p w14:paraId="5728DFEC" w14:textId="77777777" w:rsidR="00A71BD3" w:rsidRPr="00680FF6" w:rsidRDefault="00A71BD3" w:rsidP="000D1B8B">
            <w:pPr>
              <w:rPr>
                <w:color w:val="000000" w:themeColor="text1"/>
                <w:sz w:val="20"/>
                <w:szCs w:val="20"/>
              </w:rPr>
            </w:pPr>
            <w:r w:rsidRPr="00680FF6">
              <w:rPr>
                <w:color w:val="000000" w:themeColor="text1"/>
                <w:sz w:val="20"/>
                <w:szCs w:val="20"/>
              </w:rPr>
              <w:t>No change</w:t>
            </w:r>
          </w:p>
        </w:tc>
      </w:tr>
    </w:tbl>
    <w:p w14:paraId="22009A44" w14:textId="77777777" w:rsidR="00A71BD3" w:rsidRDefault="00A71BD3" w:rsidP="00A71BD3"/>
    <w:p w14:paraId="0C2AD715" w14:textId="77777777" w:rsidR="00A71BD3" w:rsidRDefault="00A71BD3" w:rsidP="00A71BD3"/>
    <w:p w14:paraId="6289F2D4" w14:textId="77777777" w:rsidR="00A71BD3" w:rsidRDefault="00A71BD3" w:rsidP="00A71BD3"/>
    <w:p w14:paraId="00655061" w14:textId="788627DE" w:rsidR="00D3014C" w:rsidRPr="0010135B" w:rsidRDefault="00D3014C" w:rsidP="0010135B">
      <w:pPr>
        <w:pStyle w:val="R-Pubs-Pres"/>
        <w:spacing w:after="240" w:line="23" w:lineRule="atLeast"/>
        <w:rPr>
          <w:szCs w:val="22"/>
        </w:rPr>
      </w:pPr>
    </w:p>
    <w:sectPr w:rsidR="00D3014C" w:rsidRPr="0010135B" w:rsidSect="00FD080F">
      <w:headerReference w:type="even" r:id="rId10"/>
      <w:footerReference w:type="default" r:id="rId11"/>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BF946" w14:textId="77777777" w:rsidR="0047722D" w:rsidRDefault="0047722D">
      <w:r>
        <w:separator/>
      </w:r>
    </w:p>
  </w:endnote>
  <w:endnote w:type="continuationSeparator" w:id="0">
    <w:p w14:paraId="394C5230" w14:textId="77777777" w:rsidR="0047722D" w:rsidRDefault="0047722D">
      <w:r>
        <w:continuationSeparator/>
      </w:r>
    </w:p>
  </w:endnote>
  <w:endnote w:type="continuationNotice" w:id="1">
    <w:p w14:paraId="6F638BDC" w14:textId="77777777" w:rsidR="0047722D" w:rsidRDefault="00477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D27686" w:rsidRDefault="00D27686">
        <w:pPr>
          <w:pStyle w:val="Footer"/>
          <w:jc w:val="center"/>
        </w:pPr>
        <w:r>
          <w:fldChar w:fldCharType="begin"/>
        </w:r>
        <w:r>
          <w:instrText xml:space="preserve"> PAGE   \* MERGEFORMAT </w:instrText>
        </w:r>
        <w:r>
          <w:fldChar w:fldCharType="separate"/>
        </w:r>
        <w:r w:rsidR="005A6B32">
          <w:rPr>
            <w:noProof/>
          </w:rPr>
          <w:t>14</w:t>
        </w:r>
        <w:r>
          <w:rPr>
            <w:noProof/>
          </w:rPr>
          <w:fldChar w:fldCharType="end"/>
        </w:r>
      </w:p>
    </w:sdtContent>
  </w:sdt>
  <w:p w14:paraId="4E522FBF" w14:textId="5858BCA6" w:rsidR="00D27686" w:rsidRDefault="00D2768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ACFE0" w14:textId="77777777" w:rsidR="0047722D" w:rsidRDefault="0047722D">
      <w:r>
        <w:separator/>
      </w:r>
    </w:p>
  </w:footnote>
  <w:footnote w:type="continuationSeparator" w:id="0">
    <w:p w14:paraId="19C1ADD3" w14:textId="77777777" w:rsidR="0047722D" w:rsidRDefault="0047722D">
      <w:r>
        <w:continuationSeparator/>
      </w:r>
    </w:p>
  </w:footnote>
  <w:footnote w:type="continuationNotice" w:id="1">
    <w:p w14:paraId="59ADE54D" w14:textId="77777777" w:rsidR="0047722D" w:rsidRDefault="0047722D"/>
  </w:footnote>
  <w:footnote w:id="2">
    <w:p w14:paraId="32044633" w14:textId="4FB9B53E" w:rsidR="00D27686" w:rsidRDefault="00D27686">
      <w:pPr>
        <w:pStyle w:val="FootnoteText"/>
      </w:pPr>
      <w:r>
        <w:rPr>
          <w:rStyle w:val="FootnoteReference"/>
        </w:rPr>
        <w:footnoteRef/>
      </w:r>
      <w:r>
        <w:t xml:space="preserve"> Note that in Attachment 1, the subgroups are labeled as 1, 2, and 3 rather than A, B, and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D27686" w:rsidRDefault="00D2768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0">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58685584"/>
    <w:multiLevelType w:val="hybridMultilevel"/>
    <w:tmpl w:val="006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4"/>
  </w:num>
  <w:num w:numId="4">
    <w:abstractNumId w:val="18"/>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7"/>
  </w:num>
  <w:num w:numId="10">
    <w:abstractNumId w:val="0"/>
  </w:num>
  <w:num w:numId="11">
    <w:abstractNumId w:val="1"/>
  </w:num>
  <w:num w:numId="12">
    <w:abstractNumId w:val="2"/>
  </w:num>
  <w:num w:numId="13">
    <w:abstractNumId w:val="14"/>
  </w:num>
  <w:num w:numId="14">
    <w:abstractNumId w:val="9"/>
  </w:num>
  <w:num w:numId="15">
    <w:abstractNumId w:val="11"/>
  </w:num>
  <w:num w:numId="16">
    <w:abstractNumId w:val="10"/>
  </w:num>
  <w:num w:numId="17">
    <w:abstractNumId w:val="5"/>
  </w:num>
  <w:num w:numId="18">
    <w:abstractNumId w:val="20"/>
  </w:num>
  <w:num w:numId="19">
    <w:abstractNumId w:val="8"/>
  </w:num>
  <w:num w:numId="20">
    <w:abstractNumId w:val="16"/>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157E"/>
    <w:rsid w:val="00034BCE"/>
    <w:rsid w:val="00041DBD"/>
    <w:rsid w:val="00043BAF"/>
    <w:rsid w:val="000520EB"/>
    <w:rsid w:val="0005249A"/>
    <w:rsid w:val="00054505"/>
    <w:rsid w:val="0005595A"/>
    <w:rsid w:val="0006440F"/>
    <w:rsid w:val="000650B2"/>
    <w:rsid w:val="00071633"/>
    <w:rsid w:val="00075654"/>
    <w:rsid w:val="0007600F"/>
    <w:rsid w:val="00081A1A"/>
    <w:rsid w:val="0008530A"/>
    <w:rsid w:val="00085D18"/>
    <w:rsid w:val="00086510"/>
    <w:rsid w:val="00087219"/>
    <w:rsid w:val="000A2EB9"/>
    <w:rsid w:val="000A625B"/>
    <w:rsid w:val="000A64CB"/>
    <w:rsid w:val="000A65A0"/>
    <w:rsid w:val="000B0168"/>
    <w:rsid w:val="000B3F93"/>
    <w:rsid w:val="000D00E3"/>
    <w:rsid w:val="000D1B8B"/>
    <w:rsid w:val="000D2D03"/>
    <w:rsid w:val="000D740B"/>
    <w:rsid w:val="000E3482"/>
    <w:rsid w:val="000E3EE7"/>
    <w:rsid w:val="000E6B74"/>
    <w:rsid w:val="000E7626"/>
    <w:rsid w:val="000F1D53"/>
    <w:rsid w:val="0010095E"/>
    <w:rsid w:val="0010117D"/>
    <w:rsid w:val="0010135B"/>
    <w:rsid w:val="001022E0"/>
    <w:rsid w:val="00104FEC"/>
    <w:rsid w:val="00107263"/>
    <w:rsid w:val="0011040D"/>
    <w:rsid w:val="001107AC"/>
    <w:rsid w:val="0011603C"/>
    <w:rsid w:val="00120E05"/>
    <w:rsid w:val="00122462"/>
    <w:rsid w:val="0012347F"/>
    <w:rsid w:val="001263B1"/>
    <w:rsid w:val="00134806"/>
    <w:rsid w:val="00146B69"/>
    <w:rsid w:val="001502A3"/>
    <w:rsid w:val="00150A36"/>
    <w:rsid w:val="00153D6A"/>
    <w:rsid w:val="00156F2C"/>
    <w:rsid w:val="001618B3"/>
    <w:rsid w:val="00164B62"/>
    <w:rsid w:val="00174A49"/>
    <w:rsid w:val="0019187E"/>
    <w:rsid w:val="00193553"/>
    <w:rsid w:val="001A0238"/>
    <w:rsid w:val="001A269D"/>
    <w:rsid w:val="001A471E"/>
    <w:rsid w:val="001A60C7"/>
    <w:rsid w:val="001A7C89"/>
    <w:rsid w:val="001B15CB"/>
    <w:rsid w:val="001B6BD2"/>
    <w:rsid w:val="001B7ECC"/>
    <w:rsid w:val="001C2531"/>
    <w:rsid w:val="001C443B"/>
    <w:rsid w:val="001C4603"/>
    <w:rsid w:val="001C4FA2"/>
    <w:rsid w:val="001D0A3D"/>
    <w:rsid w:val="001D0B88"/>
    <w:rsid w:val="001D48CF"/>
    <w:rsid w:val="001D5696"/>
    <w:rsid w:val="001E3C6D"/>
    <w:rsid w:val="001F4030"/>
    <w:rsid w:val="001F7E7E"/>
    <w:rsid w:val="002007C9"/>
    <w:rsid w:val="002008EF"/>
    <w:rsid w:val="00201B4E"/>
    <w:rsid w:val="00204DC8"/>
    <w:rsid w:val="00204EC3"/>
    <w:rsid w:val="0020523C"/>
    <w:rsid w:val="00215302"/>
    <w:rsid w:val="0021582D"/>
    <w:rsid w:val="002265C8"/>
    <w:rsid w:val="0022784E"/>
    <w:rsid w:val="002305F8"/>
    <w:rsid w:val="0023083F"/>
    <w:rsid w:val="002312D7"/>
    <w:rsid w:val="00235CA6"/>
    <w:rsid w:val="00241713"/>
    <w:rsid w:val="0025009B"/>
    <w:rsid w:val="002526C7"/>
    <w:rsid w:val="00263498"/>
    <w:rsid w:val="00267F0C"/>
    <w:rsid w:val="002717E7"/>
    <w:rsid w:val="00276F00"/>
    <w:rsid w:val="002968A9"/>
    <w:rsid w:val="00296BF9"/>
    <w:rsid w:val="002A1203"/>
    <w:rsid w:val="002A32B5"/>
    <w:rsid w:val="002A3CB7"/>
    <w:rsid w:val="002A3FA1"/>
    <w:rsid w:val="002B3840"/>
    <w:rsid w:val="002B665B"/>
    <w:rsid w:val="002C18AE"/>
    <w:rsid w:val="002C3312"/>
    <w:rsid w:val="002D2609"/>
    <w:rsid w:val="002D30E6"/>
    <w:rsid w:val="002D627D"/>
    <w:rsid w:val="002D7224"/>
    <w:rsid w:val="002D7F37"/>
    <w:rsid w:val="002E1919"/>
    <w:rsid w:val="002E5E18"/>
    <w:rsid w:val="002E6593"/>
    <w:rsid w:val="002F059C"/>
    <w:rsid w:val="002F4659"/>
    <w:rsid w:val="003029B7"/>
    <w:rsid w:val="003051F0"/>
    <w:rsid w:val="00307255"/>
    <w:rsid w:val="00307F6F"/>
    <w:rsid w:val="00310D00"/>
    <w:rsid w:val="003200C7"/>
    <w:rsid w:val="00323B85"/>
    <w:rsid w:val="00324044"/>
    <w:rsid w:val="003308B7"/>
    <w:rsid w:val="00332A11"/>
    <w:rsid w:val="00335504"/>
    <w:rsid w:val="003440C3"/>
    <w:rsid w:val="00344A28"/>
    <w:rsid w:val="003479C8"/>
    <w:rsid w:val="00353DD7"/>
    <w:rsid w:val="00355F38"/>
    <w:rsid w:val="00357F44"/>
    <w:rsid w:val="00363842"/>
    <w:rsid w:val="003805C1"/>
    <w:rsid w:val="00383320"/>
    <w:rsid w:val="00384346"/>
    <w:rsid w:val="00386497"/>
    <w:rsid w:val="00392434"/>
    <w:rsid w:val="003A2D62"/>
    <w:rsid w:val="003A797A"/>
    <w:rsid w:val="003B1A71"/>
    <w:rsid w:val="003B36CE"/>
    <w:rsid w:val="003C6FF3"/>
    <w:rsid w:val="003D0EE1"/>
    <w:rsid w:val="003D4730"/>
    <w:rsid w:val="003D5E60"/>
    <w:rsid w:val="003D737C"/>
    <w:rsid w:val="003E65C9"/>
    <w:rsid w:val="003E7348"/>
    <w:rsid w:val="003F14B1"/>
    <w:rsid w:val="003F4077"/>
    <w:rsid w:val="003F4DB8"/>
    <w:rsid w:val="003F6EF4"/>
    <w:rsid w:val="00404267"/>
    <w:rsid w:val="00410846"/>
    <w:rsid w:val="00416CCB"/>
    <w:rsid w:val="00421D9B"/>
    <w:rsid w:val="00423961"/>
    <w:rsid w:val="00426EBB"/>
    <w:rsid w:val="00433F7B"/>
    <w:rsid w:val="004451B5"/>
    <w:rsid w:val="00450CC6"/>
    <w:rsid w:val="00457590"/>
    <w:rsid w:val="00463F87"/>
    <w:rsid w:val="00464456"/>
    <w:rsid w:val="00473DB3"/>
    <w:rsid w:val="0047422C"/>
    <w:rsid w:val="004770ED"/>
    <w:rsid w:val="0047722D"/>
    <w:rsid w:val="004772D8"/>
    <w:rsid w:val="00482476"/>
    <w:rsid w:val="004862BB"/>
    <w:rsid w:val="0048745F"/>
    <w:rsid w:val="0048758A"/>
    <w:rsid w:val="004961A0"/>
    <w:rsid w:val="004974C5"/>
    <w:rsid w:val="004A25B4"/>
    <w:rsid w:val="004C1457"/>
    <w:rsid w:val="004C4CBD"/>
    <w:rsid w:val="004C730D"/>
    <w:rsid w:val="004D2FA4"/>
    <w:rsid w:val="004E0012"/>
    <w:rsid w:val="004E366D"/>
    <w:rsid w:val="004F3308"/>
    <w:rsid w:val="004F373B"/>
    <w:rsid w:val="004F4D11"/>
    <w:rsid w:val="004F6A0B"/>
    <w:rsid w:val="00501AD8"/>
    <w:rsid w:val="00510018"/>
    <w:rsid w:val="00510645"/>
    <w:rsid w:val="005113A0"/>
    <w:rsid w:val="00524287"/>
    <w:rsid w:val="00524385"/>
    <w:rsid w:val="00525932"/>
    <w:rsid w:val="00531C04"/>
    <w:rsid w:val="00532594"/>
    <w:rsid w:val="00532758"/>
    <w:rsid w:val="00534700"/>
    <w:rsid w:val="00536DEA"/>
    <w:rsid w:val="00540294"/>
    <w:rsid w:val="00543E99"/>
    <w:rsid w:val="005472FC"/>
    <w:rsid w:val="00562224"/>
    <w:rsid w:val="005703D8"/>
    <w:rsid w:val="005742B4"/>
    <w:rsid w:val="0057478E"/>
    <w:rsid w:val="005767ED"/>
    <w:rsid w:val="005779C8"/>
    <w:rsid w:val="00582611"/>
    <w:rsid w:val="005842FA"/>
    <w:rsid w:val="00584B04"/>
    <w:rsid w:val="00591368"/>
    <w:rsid w:val="005966E0"/>
    <w:rsid w:val="005A04EC"/>
    <w:rsid w:val="005A13AF"/>
    <w:rsid w:val="005A6173"/>
    <w:rsid w:val="005A6B32"/>
    <w:rsid w:val="005B0D6F"/>
    <w:rsid w:val="005B3D5C"/>
    <w:rsid w:val="005C2E26"/>
    <w:rsid w:val="005D4E22"/>
    <w:rsid w:val="005F499A"/>
    <w:rsid w:val="005F7402"/>
    <w:rsid w:val="00602EA4"/>
    <w:rsid w:val="006056BC"/>
    <w:rsid w:val="00606621"/>
    <w:rsid w:val="00606EDA"/>
    <w:rsid w:val="00611991"/>
    <w:rsid w:val="006219D2"/>
    <w:rsid w:val="0062790F"/>
    <w:rsid w:val="00627E50"/>
    <w:rsid w:val="00633C76"/>
    <w:rsid w:val="00642580"/>
    <w:rsid w:val="0064599C"/>
    <w:rsid w:val="00650E68"/>
    <w:rsid w:val="00656B8E"/>
    <w:rsid w:val="00680FF6"/>
    <w:rsid w:val="006852AD"/>
    <w:rsid w:val="00687548"/>
    <w:rsid w:val="00696340"/>
    <w:rsid w:val="006A1613"/>
    <w:rsid w:val="006A167F"/>
    <w:rsid w:val="006A3425"/>
    <w:rsid w:val="006B1269"/>
    <w:rsid w:val="006B433D"/>
    <w:rsid w:val="006B787D"/>
    <w:rsid w:val="006C2929"/>
    <w:rsid w:val="006C4B87"/>
    <w:rsid w:val="006C6733"/>
    <w:rsid w:val="006E02B4"/>
    <w:rsid w:val="006E0A9E"/>
    <w:rsid w:val="006E292A"/>
    <w:rsid w:val="006F1827"/>
    <w:rsid w:val="006F605E"/>
    <w:rsid w:val="0070407A"/>
    <w:rsid w:val="007054CC"/>
    <w:rsid w:val="00706349"/>
    <w:rsid w:val="00711D1A"/>
    <w:rsid w:val="00713704"/>
    <w:rsid w:val="00715D8F"/>
    <w:rsid w:val="00717268"/>
    <w:rsid w:val="00724ADF"/>
    <w:rsid w:val="00726185"/>
    <w:rsid w:val="00735F3E"/>
    <w:rsid w:val="00736CA1"/>
    <w:rsid w:val="00737D4C"/>
    <w:rsid w:val="00737E25"/>
    <w:rsid w:val="007451A6"/>
    <w:rsid w:val="007517A3"/>
    <w:rsid w:val="00755A6A"/>
    <w:rsid w:val="00760990"/>
    <w:rsid w:val="00760CD9"/>
    <w:rsid w:val="00761660"/>
    <w:rsid w:val="0076259A"/>
    <w:rsid w:val="00763E2A"/>
    <w:rsid w:val="007664E6"/>
    <w:rsid w:val="00770A91"/>
    <w:rsid w:val="0077427A"/>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131D"/>
    <w:rsid w:val="007E68D0"/>
    <w:rsid w:val="007E69AE"/>
    <w:rsid w:val="007F05A3"/>
    <w:rsid w:val="008027A9"/>
    <w:rsid w:val="00805799"/>
    <w:rsid w:val="00810D0E"/>
    <w:rsid w:val="008111EC"/>
    <w:rsid w:val="00812345"/>
    <w:rsid w:val="00812778"/>
    <w:rsid w:val="0081647D"/>
    <w:rsid w:val="008210EE"/>
    <w:rsid w:val="008251CC"/>
    <w:rsid w:val="00825402"/>
    <w:rsid w:val="00833193"/>
    <w:rsid w:val="00834859"/>
    <w:rsid w:val="008412D6"/>
    <w:rsid w:val="00841D7F"/>
    <w:rsid w:val="0084372C"/>
    <w:rsid w:val="0084454C"/>
    <w:rsid w:val="0084562A"/>
    <w:rsid w:val="00845B02"/>
    <w:rsid w:val="00850AAE"/>
    <w:rsid w:val="008559CA"/>
    <w:rsid w:val="008562D9"/>
    <w:rsid w:val="00856A8B"/>
    <w:rsid w:val="00860449"/>
    <w:rsid w:val="00867CAE"/>
    <w:rsid w:val="0087130D"/>
    <w:rsid w:val="00876579"/>
    <w:rsid w:val="00881396"/>
    <w:rsid w:val="00883F68"/>
    <w:rsid w:val="00884ED6"/>
    <w:rsid w:val="0089162D"/>
    <w:rsid w:val="0089658D"/>
    <w:rsid w:val="00897DF7"/>
    <w:rsid w:val="008A023A"/>
    <w:rsid w:val="008A290B"/>
    <w:rsid w:val="008A7CE5"/>
    <w:rsid w:val="008C5D94"/>
    <w:rsid w:val="008D268A"/>
    <w:rsid w:val="008E34D2"/>
    <w:rsid w:val="008F3E6E"/>
    <w:rsid w:val="008F77D6"/>
    <w:rsid w:val="00900196"/>
    <w:rsid w:val="00900919"/>
    <w:rsid w:val="009051BA"/>
    <w:rsid w:val="00905A84"/>
    <w:rsid w:val="00905C1F"/>
    <w:rsid w:val="009104AD"/>
    <w:rsid w:val="0091161A"/>
    <w:rsid w:val="00920369"/>
    <w:rsid w:val="0092090F"/>
    <w:rsid w:val="00921113"/>
    <w:rsid w:val="009271E1"/>
    <w:rsid w:val="009329EC"/>
    <w:rsid w:val="00936D1D"/>
    <w:rsid w:val="0094072D"/>
    <w:rsid w:val="00950A26"/>
    <w:rsid w:val="00954A86"/>
    <w:rsid w:val="00955759"/>
    <w:rsid w:val="00961E2D"/>
    <w:rsid w:val="00970A9E"/>
    <w:rsid w:val="00971BA6"/>
    <w:rsid w:val="00973AEC"/>
    <w:rsid w:val="0097484C"/>
    <w:rsid w:val="009757ED"/>
    <w:rsid w:val="00977F6A"/>
    <w:rsid w:val="0098436B"/>
    <w:rsid w:val="009A16A9"/>
    <w:rsid w:val="009A1FEF"/>
    <w:rsid w:val="009A5A10"/>
    <w:rsid w:val="009A6863"/>
    <w:rsid w:val="009A6F75"/>
    <w:rsid w:val="009B0AEC"/>
    <w:rsid w:val="009B4A44"/>
    <w:rsid w:val="009C4893"/>
    <w:rsid w:val="009D23A9"/>
    <w:rsid w:val="009D5B14"/>
    <w:rsid w:val="009E06C0"/>
    <w:rsid w:val="009E7F49"/>
    <w:rsid w:val="009F35D0"/>
    <w:rsid w:val="009F504E"/>
    <w:rsid w:val="00A01190"/>
    <w:rsid w:val="00A014B3"/>
    <w:rsid w:val="00A104D5"/>
    <w:rsid w:val="00A14445"/>
    <w:rsid w:val="00A20C61"/>
    <w:rsid w:val="00A20F68"/>
    <w:rsid w:val="00A24A66"/>
    <w:rsid w:val="00A27030"/>
    <w:rsid w:val="00A47692"/>
    <w:rsid w:val="00A47FD7"/>
    <w:rsid w:val="00A54EBE"/>
    <w:rsid w:val="00A55535"/>
    <w:rsid w:val="00A5639F"/>
    <w:rsid w:val="00A71BD3"/>
    <w:rsid w:val="00A7338B"/>
    <w:rsid w:val="00A74B90"/>
    <w:rsid w:val="00A75303"/>
    <w:rsid w:val="00A7716F"/>
    <w:rsid w:val="00A77AFB"/>
    <w:rsid w:val="00A803EA"/>
    <w:rsid w:val="00A857B6"/>
    <w:rsid w:val="00A86020"/>
    <w:rsid w:val="00A91F2B"/>
    <w:rsid w:val="00A95C35"/>
    <w:rsid w:val="00A963BC"/>
    <w:rsid w:val="00AB165B"/>
    <w:rsid w:val="00AB72F9"/>
    <w:rsid w:val="00AC1706"/>
    <w:rsid w:val="00AC42BD"/>
    <w:rsid w:val="00AD6427"/>
    <w:rsid w:val="00AE04C7"/>
    <w:rsid w:val="00AE20C8"/>
    <w:rsid w:val="00AE4148"/>
    <w:rsid w:val="00AE47B5"/>
    <w:rsid w:val="00AE6CF1"/>
    <w:rsid w:val="00AE7E1E"/>
    <w:rsid w:val="00AF45BB"/>
    <w:rsid w:val="00B034B6"/>
    <w:rsid w:val="00B2664A"/>
    <w:rsid w:val="00B26977"/>
    <w:rsid w:val="00B30CEF"/>
    <w:rsid w:val="00B33C7F"/>
    <w:rsid w:val="00B42518"/>
    <w:rsid w:val="00B43076"/>
    <w:rsid w:val="00B452EF"/>
    <w:rsid w:val="00B525C4"/>
    <w:rsid w:val="00B52FB6"/>
    <w:rsid w:val="00B613DB"/>
    <w:rsid w:val="00B6159B"/>
    <w:rsid w:val="00B70610"/>
    <w:rsid w:val="00B8553D"/>
    <w:rsid w:val="00B909A2"/>
    <w:rsid w:val="00B93AB5"/>
    <w:rsid w:val="00B95A8E"/>
    <w:rsid w:val="00B9753D"/>
    <w:rsid w:val="00BA1CB4"/>
    <w:rsid w:val="00BA21ED"/>
    <w:rsid w:val="00BA4CD1"/>
    <w:rsid w:val="00BB2467"/>
    <w:rsid w:val="00BD1078"/>
    <w:rsid w:val="00BD2503"/>
    <w:rsid w:val="00BD2A45"/>
    <w:rsid w:val="00BD7A89"/>
    <w:rsid w:val="00BE11F5"/>
    <w:rsid w:val="00BE14C6"/>
    <w:rsid w:val="00BE400B"/>
    <w:rsid w:val="00BE526A"/>
    <w:rsid w:val="00BE77A9"/>
    <w:rsid w:val="00C037FF"/>
    <w:rsid w:val="00C1044C"/>
    <w:rsid w:val="00C2153D"/>
    <w:rsid w:val="00C24AAB"/>
    <w:rsid w:val="00C2639F"/>
    <w:rsid w:val="00C311CF"/>
    <w:rsid w:val="00C32AF0"/>
    <w:rsid w:val="00C36A1E"/>
    <w:rsid w:val="00C40078"/>
    <w:rsid w:val="00C40B43"/>
    <w:rsid w:val="00C436F5"/>
    <w:rsid w:val="00C46BC0"/>
    <w:rsid w:val="00C46C9D"/>
    <w:rsid w:val="00C46DD6"/>
    <w:rsid w:val="00C55CAB"/>
    <w:rsid w:val="00C5614D"/>
    <w:rsid w:val="00C56A4A"/>
    <w:rsid w:val="00C64734"/>
    <w:rsid w:val="00C707D1"/>
    <w:rsid w:val="00C719D7"/>
    <w:rsid w:val="00C729FA"/>
    <w:rsid w:val="00C749F7"/>
    <w:rsid w:val="00C8430A"/>
    <w:rsid w:val="00C90410"/>
    <w:rsid w:val="00CA190D"/>
    <w:rsid w:val="00CA712C"/>
    <w:rsid w:val="00CA754B"/>
    <w:rsid w:val="00CA7D9A"/>
    <w:rsid w:val="00CB3F15"/>
    <w:rsid w:val="00CC5C68"/>
    <w:rsid w:val="00CC7499"/>
    <w:rsid w:val="00CD4E94"/>
    <w:rsid w:val="00CD513B"/>
    <w:rsid w:val="00CD5B1F"/>
    <w:rsid w:val="00CE19E9"/>
    <w:rsid w:val="00CE3026"/>
    <w:rsid w:val="00CE7988"/>
    <w:rsid w:val="00CF140A"/>
    <w:rsid w:val="00CF418E"/>
    <w:rsid w:val="00CF7CCF"/>
    <w:rsid w:val="00D011E4"/>
    <w:rsid w:val="00D018C6"/>
    <w:rsid w:val="00D07FA6"/>
    <w:rsid w:val="00D10131"/>
    <w:rsid w:val="00D1192E"/>
    <w:rsid w:val="00D24D0D"/>
    <w:rsid w:val="00D2509B"/>
    <w:rsid w:val="00D27686"/>
    <w:rsid w:val="00D3014C"/>
    <w:rsid w:val="00D323D0"/>
    <w:rsid w:val="00D3527D"/>
    <w:rsid w:val="00D41CAA"/>
    <w:rsid w:val="00D46398"/>
    <w:rsid w:val="00D51340"/>
    <w:rsid w:val="00D55096"/>
    <w:rsid w:val="00D5570C"/>
    <w:rsid w:val="00D574CE"/>
    <w:rsid w:val="00D615B8"/>
    <w:rsid w:val="00D7644A"/>
    <w:rsid w:val="00D81FC1"/>
    <w:rsid w:val="00D84196"/>
    <w:rsid w:val="00D8492D"/>
    <w:rsid w:val="00D90962"/>
    <w:rsid w:val="00D964E4"/>
    <w:rsid w:val="00D96B2D"/>
    <w:rsid w:val="00DA1673"/>
    <w:rsid w:val="00DB0B39"/>
    <w:rsid w:val="00DB3D44"/>
    <w:rsid w:val="00DB6394"/>
    <w:rsid w:val="00DB6824"/>
    <w:rsid w:val="00DB7C18"/>
    <w:rsid w:val="00DC738C"/>
    <w:rsid w:val="00DC77AA"/>
    <w:rsid w:val="00DD1B66"/>
    <w:rsid w:val="00DD2458"/>
    <w:rsid w:val="00DD2710"/>
    <w:rsid w:val="00DD3FFC"/>
    <w:rsid w:val="00DE39F0"/>
    <w:rsid w:val="00DE55BC"/>
    <w:rsid w:val="00DF1D08"/>
    <w:rsid w:val="00DF4952"/>
    <w:rsid w:val="00DF6873"/>
    <w:rsid w:val="00E047BE"/>
    <w:rsid w:val="00E06602"/>
    <w:rsid w:val="00E07688"/>
    <w:rsid w:val="00E0786F"/>
    <w:rsid w:val="00E12822"/>
    <w:rsid w:val="00E1424D"/>
    <w:rsid w:val="00E1456F"/>
    <w:rsid w:val="00E2062A"/>
    <w:rsid w:val="00E20802"/>
    <w:rsid w:val="00E237BA"/>
    <w:rsid w:val="00E2391B"/>
    <w:rsid w:val="00E317C4"/>
    <w:rsid w:val="00E32781"/>
    <w:rsid w:val="00E32E16"/>
    <w:rsid w:val="00E537AF"/>
    <w:rsid w:val="00E54656"/>
    <w:rsid w:val="00E56FFB"/>
    <w:rsid w:val="00E60B9E"/>
    <w:rsid w:val="00E77498"/>
    <w:rsid w:val="00E82959"/>
    <w:rsid w:val="00E83A8D"/>
    <w:rsid w:val="00E852AF"/>
    <w:rsid w:val="00E92D07"/>
    <w:rsid w:val="00E95109"/>
    <w:rsid w:val="00EA4F96"/>
    <w:rsid w:val="00EA52D5"/>
    <w:rsid w:val="00EB0F89"/>
    <w:rsid w:val="00EB1D0F"/>
    <w:rsid w:val="00EB7058"/>
    <w:rsid w:val="00EC0068"/>
    <w:rsid w:val="00EC2A2D"/>
    <w:rsid w:val="00EC312D"/>
    <w:rsid w:val="00EC4172"/>
    <w:rsid w:val="00EC7658"/>
    <w:rsid w:val="00ED0120"/>
    <w:rsid w:val="00ED040A"/>
    <w:rsid w:val="00ED4F7B"/>
    <w:rsid w:val="00EE0269"/>
    <w:rsid w:val="00EE4434"/>
    <w:rsid w:val="00EF0525"/>
    <w:rsid w:val="00EF0887"/>
    <w:rsid w:val="00EF1C3E"/>
    <w:rsid w:val="00EF1D7D"/>
    <w:rsid w:val="00EF2EC7"/>
    <w:rsid w:val="00F07F99"/>
    <w:rsid w:val="00F11A5F"/>
    <w:rsid w:val="00F1251E"/>
    <w:rsid w:val="00F23426"/>
    <w:rsid w:val="00F2558D"/>
    <w:rsid w:val="00F33B51"/>
    <w:rsid w:val="00F354F7"/>
    <w:rsid w:val="00F40625"/>
    <w:rsid w:val="00F407FB"/>
    <w:rsid w:val="00F43220"/>
    <w:rsid w:val="00F516BD"/>
    <w:rsid w:val="00F62981"/>
    <w:rsid w:val="00F6376D"/>
    <w:rsid w:val="00F63E5C"/>
    <w:rsid w:val="00F65EBC"/>
    <w:rsid w:val="00F7318B"/>
    <w:rsid w:val="00F754E4"/>
    <w:rsid w:val="00F83547"/>
    <w:rsid w:val="00F83D55"/>
    <w:rsid w:val="00F83DE3"/>
    <w:rsid w:val="00F91716"/>
    <w:rsid w:val="00F91D72"/>
    <w:rsid w:val="00FA4ED2"/>
    <w:rsid w:val="00FB296D"/>
    <w:rsid w:val="00FC0F0E"/>
    <w:rsid w:val="00FD080F"/>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16911189">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9583475978547"/>
          <c:y val="3.6258760370861974E-2"/>
          <c:w val="0.8052788999201187"/>
          <c:h val="0.82665149515270142"/>
        </c:manualLayout>
      </c:layout>
      <c:barChart>
        <c:barDir val="bar"/>
        <c:grouping val="stacked"/>
        <c:varyColors val="0"/>
        <c:ser>
          <c:idx val="0"/>
          <c:order val="0"/>
          <c:spPr>
            <a:noFill/>
            <a:ln>
              <a:noFill/>
            </a:ln>
            <a:effectLst/>
          </c:spPr>
          <c:invertIfNegative val="0"/>
          <c:cat>
            <c:strRef>
              <c:f>Sheet1!$B$1:$C$1</c:f>
              <c:strCache>
                <c:ptCount val="2"/>
                <c:pt idx="0">
                  <c:v>Main sample</c:v>
                </c:pt>
                <c:pt idx="1">
                  <c:v>Calibration sample</c:v>
                </c:pt>
              </c:strCache>
            </c:strRef>
          </c:cat>
          <c:val>
            <c:numRef>
              <c:f>Sheet1!$B$2:$C$2</c:f>
              <c:numCache>
                <c:formatCode>General</c:formatCode>
                <c:ptCount val="2"/>
                <c:pt idx="0">
                  <c:v>49</c:v>
                </c:pt>
                <c:pt idx="1">
                  <c:v>0</c:v>
                </c:pt>
              </c:numCache>
            </c:numRef>
          </c:val>
        </c:ser>
        <c:ser>
          <c:idx val="1"/>
          <c:order val="1"/>
          <c:tx>
            <c:strRef>
              <c:f>Sheet1!$A$3</c:f>
              <c:strCache>
                <c:ptCount val="1"/>
                <c:pt idx="0">
                  <c:v>Web</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Sheet1!$B$3:$C$3</c:f>
              <c:numCache>
                <c:formatCode>General</c:formatCode>
                <c:ptCount val="2"/>
                <c:pt idx="0">
                  <c:v>21</c:v>
                </c:pt>
                <c:pt idx="1">
                  <c:v>21</c:v>
                </c:pt>
              </c:numCache>
            </c:numRef>
          </c:val>
        </c:ser>
        <c:ser>
          <c:idx val="2"/>
          <c:order val="2"/>
          <c:tx>
            <c:strRef>
              <c:f>Sheet1!$A$4</c:f>
              <c:strCache>
                <c:ptCount val="1"/>
                <c:pt idx="0">
                  <c:v>CATI</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Sheet1!$B$4:$C$4</c:f>
              <c:numCache>
                <c:formatCode>General</c:formatCode>
                <c:ptCount val="2"/>
                <c:pt idx="0">
                  <c:v>21</c:v>
                </c:pt>
                <c:pt idx="1">
                  <c:v>21</c:v>
                </c:pt>
              </c:numCache>
            </c:numRef>
          </c:val>
        </c:ser>
        <c:ser>
          <c:idx val="3"/>
          <c:order val="3"/>
          <c:tx>
            <c:strRef>
              <c:f>Sheet1!$A$5</c:f>
              <c:strCache>
                <c:ptCount val="1"/>
                <c:pt idx="0">
                  <c:v>Boost 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Sheet1!$B$5:$C$5</c:f>
              <c:numCache>
                <c:formatCode>General</c:formatCode>
                <c:ptCount val="2"/>
                <c:pt idx="0">
                  <c:v>49</c:v>
                </c:pt>
                <c:pt idx="1">
                  <c:v>49</c:v>
                </c:pt>
              </c:numCache>
            </c:numRef>
          </c:val>
        </c:ser>
        <c:ser>
          <c:idx val="4"/>
          <c:order val="4"/>
          <c:tx>
            <c:strRef>
              <c:f>Sheet1!$A$6</c:f>
              <c:strCache>
                <c:ptCount val="1"/>
                <c:pt idx="0">
                  <c:v>Boost 2</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Sheet1!$B$6:$C$6</c:f>
              <c:numCache>
                <c:formatCode>General</c:formatCode>
                <c:ptCount val="2"/>
                <c:pt idx="0">
                  <c:v>49</c:v>
                </c:pt>
                <c:pt idx="1">
                  <c:v>98</c:v>
                </c:pt>
              </c:numCache>
            </c:numRef>
          </c:val>
        </c:ser>
        <c:ser>
          <c:idx val="5"/>
          <c:order val="5"/>
          <c:tx>
            <c:strRef>
              <c:f>Sheet1!$A$7</c:f>
              <c:strCache>
                <c:ptCount val="1"/>
                <c:pt idx="0">
                  <c:v>CAPI</c:v>
                </c:pt>
              </c:strCache>
            </c:strRef>
          </c:tx>
          <c:spPr>
            <a:solidFill>
              <a:schemeClr val="accent5">
                <a:lumMod val="20000"/>
                <a:lumOff val="80000"/>
              </a:schemeClr>
            </a:solidFill>
            <a:ln>
              <a:noFill/>
            </a:ln>
            <a:effectLst/>
          </c:spPr>
          <c:invertIfNegative val="0"/>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Sheet1!$B$7:$C$7</c:f>
              <c:numCache>
                <c:formatCode>General</c:formatCode>
                <c:ptCount val="2"/>
                <c:pt idx="0">
                  <c:v>58</c:v>
                </c:pt>
                <c:pt idx="1">
                  <c:v>58</c:v>
                </c:pt>
              </c:numCache>
            </c:numRef>
          </c:val>
        </c:ser>
        <c:ser>
          <c:idx val="6"/>
          <c:order val="6"/>
          <c:tx>
            <c:strRef>
              <c:f>Sheet1!$A$8</c:f>
              <c:strCache>
                <c:ptCount val="1"/>
                <c:pt idx="0">
                  <c:v>Extend DC</c:v>
                </c:pt>
              </c:strCache>
            </c:strRef>
          </c:tx>
          <c:spPr>
            <a:solidFill>
              <a:schemeClr val="accent1">
                <a:lumMod val="60000"/>
              </a:schemeClr>
            </a:solidFill>
            <a:ln>
              <a:noFill/>
            </a:ln>
            <a:effectLst/>
          </c:spPr>
          <c:invertIfNegative val="0"/>
          <c:dLbls>
            <c:dLbl>
              <c:idx val="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dLbl>
              <c:idx val="1"/>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Sheet1!$B$1:$C$1</c:f>
              <c:strCache>
                <c:ptCount val="2"/>
                <c:pt idx="0">
                  <c:v>Main sample</c:v>
                </c:pt>
                <c:pt idx="1">
                  <c:v>Calibration sample</c:v>
                </c:pt>
              </c:strCache>
            </c:strRef>
          </c:cat>
          <c:val>
            <c:numRef>
              <c:f>Sheet1!$B$8:$C$8</c:f>
              <c:numCache>
                <c:formatCode>General</c:formatCode>
                <c:ptCount val="2"/>
                <c:pt idx="0">
                  <c:v>31</c:v>
                </c:pt>
                <c:pt idx="1">
                  <c:v>31</c:v>
                </c:pt>
              </c:numCache>
            </c:numRef>
          </c:val>
        </c:ser>
        <c:dLbls>
          <c:showLegendKey val="0"/>
          <c:showVal val="0"/>
          <c:showCatName val="0"/>
          <c:showSerName val="0"/>
          <c:showPercent val="0"/>
          <c:showBubbleSize val="0"/>
        </c:dLbls>
        <c:gapWidth val="75"/>
        <c:overlap val="100"/>
        <c:axId val="148357888"/>
        <c:axId val="148359424"/>
      </c:barChart>
      <c:catAx>
        <c:axId val="148357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148359424"/>
        <c:crosses val="autoZero"/>
        <c:auto val="1"/>
        <c:lblAlgn val="ctr"/>
        <c:lblOffset val="100"/>
        <c:noMultiLvlLbl val="0"/>
      </c:catAx>
      <c:valAx>
        <c:axId val="148359424"/>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57888"/>
        <c:crosses val="autoZero"/>
        <c:crossBetween val="between"/>
        <c:majorUnit val="31"/>
        <c:minorUnit val="7"/>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0.17391</cdr:x>
      <cdr:y>0.86954</cdr:y>
    </cdr:from>
    <cdr:to>
      <cdr:x>0.9467</cdr:x>
      <cdr:y>0.98573</cdr:y>
    </cdr:to>
    <cdr:sp macro="" textlink="">
      <cdr:nvSpPr>
        <cdr:cNvPr id="2" name="TextBox 1"/>
        <cdr:cNvSpPr txBox="1"/>
      </cdr:nvSpPr>
      <cdr:spPr>
        <a:xfrm xmlns:a="http://schemas.openxmlformats.org/drawingml/2006/main">
          <a:off x="1524000" y="3288115"/>
          <a:ext cx="6771959" cy="439364"/>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l"/>
          <a:r>
            <a:rPr lang="en-US" sz="1000" baseline="0" dirty="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Apr</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May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June</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July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Aug</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Sep</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Oct</a:t>
          </a:r>
          <a:r>
            <a:rPr lang="en-US" sz="1000" baseline="0" dirty="0" smtClean="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Nov</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Dec</a:t>
          </a:r>
          <a:endParaRPr lang="en-US" sz="1000" dirty="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9B1E-B5B4-41B3-8F3D-C4E6A627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5861</Words>
  <Characters>33411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Ingalls, Katrina</cp:lastModifiedBy>
  <cp:revision>2</cp:revision>
  <cp:lastPrinted>2016-06-03T21:13:00Z</cp:lastPrinted>
  <dcterms:created xsi:type="dcterms:W3CDTF">2016-07-22T11:30:00Z</dcterms:created>
  <dcterms:modified xsi:type="dcterms:W3CDTF">2016-07-22T11:30:00Z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