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8" w:type="dxa"/>
        <w:tblInd w:w="720" w:type="dxa"/>
        <w:tblCellMar>
          <w:left w:w="187" w:type="dxa"/>
          <w:right w:w="187" w:type="dxa"/>
        </w:tblCellMar>
        <w:tblLook w:val="0000" w:firstRow="0" w:lastRow="0" w:firstColumn="0" w:lastColumn="0" w:noHBand="0" w:noVBand="0"/>
      </w:tblPr>
      <w:tblGrid>
        <w:gridCol w:w="5040"/>
        <w:gridCol w:w="5268"/>
      </w:tblGrid>
      <w:tr w:rsidR="00E442BF" w14:paraId="6CD3905C" w14:textId="77777777" w:rsidTr="00822CA5">
        <w:trPr>
          <w:trHeight w:val="817"/>
        </w:trPr>
        <w:tc>
          <w:tcPr>
            <w:tcW w:w="5040" w:type="dxa"/>
            <w:tcMar>
              <w:left w:w="0" w:type="dxa"/>
              <w:right w:w="0" w:type="dxa"/>
            </w:tcMar>
          </w:tcPr>
          <w:p w14:paraId="6A46CC34" w14:textId="77777777" w:rsidR="00E442BF" w:rsidRDefault="00E442BF" w:rsidP="004A6DCE"/>
        </w:tc>
        <w:tc>
          <w:tcPr>
            <w:tcW w:w="5268" w:type="dxa"/>
            <w:shd w:val="clear" w:color="auto" w:fill="595959" w:themeFill="text1" w:themeFillTint="A6"/>
            <w:vAlign w:val="center"/>
          </w:tcPr>
          <w:p w14:paraId="3914C4ED" w14:textId="77777777" w:rsidR="00E442BF" w:rsidRDefault="007E6A33" w:rsidP="007E6A33">
            <w:pPr>
              <w:pStyle w:val="CompanyName"/>
            </w:pPr>
            <w:r>
              <w:t>National Center for Science and Engineering Statistics</w:t>
            </w:r>
          </w:p>
        </w:tc>
      </w:tr>
    </w:tbl>
    <w:p w14:paraId="0B561894" w14:textId="77777777" w:rsidR="00E442BF" w:rsidRDefault="004F2030" w:rsidP="004A6DCE">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4"/>
        <w:gridCol w:w="7601"/>
      </w:tblGrid>
      <w:tr w:rsidR="004A6DCE" w14:paraId="31DAC2C8" w14:textId="77777777" w:rsidTr="009E67CD">
        <w:trPr>
          <w:cantSplit/>
          <w:trHeight w:val="432"/>
        </w:trPr>
        <w:tc>
          <w:tcPr>
            <w:tcW w:w="1154" w:type="dxa"/>
            <w:vAlign w:val="bottom"/>
          </w:tcPr>
          <w:p w14:paraId="00F9A2B0" w14:textId="77777777" w:rsidR="004A6DCE" w:rsidRPr="004A6DCE" w:rsidRDefault="004A6DCE" w:rsidP="00E0003B">
            <w:pPr>
              <w:pStyle w:val="Heading1"/>
            </w:pPr>
            <w:r w:rsidRPr="004A6DCE">
              <w:t>Date:</w:t>
            </w:r>
          </w:p>
        </w:tc>
        <w:tc>
          <w:tcPr>
            <w:tcW w:w="7601" w:type="dxa"/>
            <w:vAlign w:val="bottom"/>
          </w:tcPr>
          <w:p w14:paraId="03E2E0E7" w14:textId="60693ED0" w:rsidR="004A6DCE" w:rsidRPr="00E0003B" w:rsidRDefault="00F8691E" w:rsidP="00E40EC8">
            <w:r>
              <w:t xml:space="preserve">May </w:t>
            </w:r>
            <w:r w:rsidR="00E40EC8">
              <w:t>25</w:t>
            </w:r>
            <w:r w:rsidR="00772C14">
              <w:t>, 2016</w:t>
            </w:r>
          </w:p>
        </w:tc>
      </w:tr>
      <w:tr w:rsidR="004A6DCE" w14:paraId="67821104" w14:textId="77777777" w:rsidTr="009E67CD">
        <w:trPr>
          <w:cantSplit/>
          <w:trHeight w:val="432"/>
        </w:trPr>
        <w:tc>
          <w:tcPr>
            <w:tcW w:w="1154" w:type="dxa"/>
            <w:vAlign w:val="bottom"/>
          </w:tcPr>
          <w:p w14:paraId="306F2EDC" w14:textId="77777777" w:rsidR="004A6DCE" w:rsidRPr="004A6DCE" w:rsidRDefault="004A6DCE" w:rsidP="00E0003B">
            <w:pPr>
              <w:pStyle w:val="Heading1"/>
            </w:pPr>
            <w:r w:rsidRPr="004A6DCE">
              <w:t>Re:</w:t>
            </w:r>
          </w:p>
        </w:tc>
        <w:tc>
          <w:tcPr>
            <w:tcW w:w="7601" w:type="dxa"/>
            <w:vAlign w:val="bottom"/>
          </w:tcPr>
          <w:p w14:paraId="34656AF4" w14:textId="77777777" w:rsidR="007E6A33" w:rsidRDefault="007E6A33" w:rsidP="007E6A33">
            <w:pPr>
              <w:rPr>
                <w:b/>
              </w:rPr>
            </w:pPr>
          </w:p>
          <w:p w14:paraId="31C4D73D" w14:textId="015BE221" w:rsidR="009E67CD" w:rsidRPr="007E6A33" w:rsidRDefault="00772C14" w:rsidP="00772C14">
            <w:r>
              <w:t>Current status of differences</w:t>
            </w:r>
            <w:r w:rsidR="00582FB3">
              <w:t xml:space="preserve"> between Federal agency-reported R&amp;D obligations and FFRDC-reported R&amp;D expenditures: FY 201</w:t>
            </w:r>
            <w:r>
              <w:t>4</w:t>
            </w:r>
          </w:p>
        </w:tc>
      </w:tr>
      <w:tr w:rsidR="00E0003B" w14:paraId="7AFEEB11" w14:textId="77777777" w:rsidTr="004E7797">
        <w:trPr>
          <w:cantSplit/>
          <w:trHeight w:val="73"/>
        </w:trPr>
        <w:tc>
          <w:tcPr>
            <w:tcW w:w="1154" w:type="dxa"/>
            <w:vAlign w:val="bottom"/>
          </w:tcPr>
          <w:p w14:paraId="3B11A966" w14:textId="22D130F8" w:rsidR="00E0003B" w:rsidRDefault="00E0003B" w:rsidP="00E0003B"/>
          <w:p w14:paraId="03D3C473" w14:textId="7CFE4634" w:rsidR="009E67CD" w:rsidRPr="004A6DCE" w:rsidRDefault="009E67CD" w:rsidP="00E0003B">
            <w:r w:rsidRPr="009E67CD">
              <w:rPr>
                <w:rFonts w:asciiTheme="majorHAnsi" w:hAnsiTheme="majorHAnsi"/>
              </w:rPr>
              <w:t xml:space="preserve">From: </w:t>
            </w:r>
          </w:p>
        </w:tc>
        <w:tc>
          <w:tcPr>
            <w:tcW w:w="7601" w:type="dxa"/>
            <w:vAlign w:val="bottom"/>
          </w:tcPr>
          <w:p w14:paraId="6E24207A" w14:textId="551F327F" w:rsidR="009E67CD" w:rsidRDefault="009E67CD" w:rsidP="00E0003B">
            <w:r>
              <w:t>Ronda Britt and Mike Yamaner</w:t>
            </w:r>
          </w:p>
        </w:tc>
      </w:tr>
      <w:tr w:rsidR="004E7797" w14:paraId="7B2CFB95" w14:textId="77777777" w:rsidTr="009E67CD">
        <w:trPr>
          <w:cantSplit/>
          <w:trHeight w:val="73"/>
        </w:trPr>
        <w:tc>
          <w:tcPr>
            <w:tcW w:w="1154" w:type="dxa"/>
            <w:tcBorders>
              <w:bottom w:val="single" w:sz="4" w:space="0" w:color="auto"/>
            </w:tcBorders>
            <w:vAlign w:val="bottom"/>
          </w:tcPr>
          <w:p w14:paraId="6903165D" w14:textId="77777777" w:rsidR="004E7797" w:rsidRDefault="004E7797" w:rsidP="00E0003B"/>
          <w:p w14:paraId="75CACC36" w14:textId="07BC855C" w:rsidR="004E7797" w:rsidRPr="004E7797" w:rsidRDefault="004E7797" w:rsidP="00E0003B">
            <w:pPr>
              <w:rPr>
                <w:rFonts w:asciiTheme="majorHAnsi" w:hAnsiTheme="majorHAnsi"/>
              </w:rPr>
            </w:pPr>
            <w:r w:rsidRPr="004E7797">
              <w:rPr>
                <w:rFonts w:asciiTheme="majorHAnsi" w:hAnsiTheme="majorHAnsi"/>
              </w:rPr>
              <w:t xml:space="preserve">To: </w:t>
            </w:r>
          </w:p>
        </w:tc>
        <w:tc>
          <w:tcPr>
            <w:tcW w:w="7601" w:type="dxa"/>
            <w:tcBorders>
              <w:bottom w:val="single" w:sz="4" w:space="0" w:color="auto"/>
            </w:tcBorders>
            <w:vAlign w:val="bottom"/>
          </w:tcPr>
          <w:p w14:paraId="00092DC1" w14:textId="1A2DC59F" w:rsidR="004E7797" w:rsidRDefault="004E7797" w:rsidP="00E0003B">
            <w:r>
              <w:t>John Jankowski</w:t>
            </w:r>
          </w:p>
        </w:tc>
      </w:tr>
    </w:tbl>
    <w:p w14:paraId="1675F3BD" w14:textId="77777777" w:rsidR="00772C14" w:rsidRDefault="00772C14" w:rsidP="009D3059">
      <w:pPr>
        <w:keepLines/>
        <w:widowControl w:val="0"/>
        <w:autoSpaceDE w:val="0"/>
        <w:autoSpaceDN w:val="0"/>
        <w:adjustRightInd w:val="0"/>
        <w:rPr>
          <w:rFonts w:cstheme="minorHAnsi"/>
          <w:color w:val="262626"/>
          <w:spacing w:val="0"/>
          <w:szCs w:val="22"/>
        </w:rPr>
      </w:pPr>
    </w:p>
    <w:p w14:paraId="7870D29F" w14:textId="77777777" w:rsidR="00294F7B" w:rsidRDefault="00294F7B" w:rsidP="009D3059">
      <w:pPr>
        <w:keepLines/>
        <w:widowControl w:val="0"/>
        <w:autoSpaceDE w:val="0"/>
        <w:autoSpaceDN w:val="0"/>
        <w:adjustRightInd w:val="0"/>
        <w:rPr>
          <w:rFonts w:cstheme="minorHAnsi"/>
          <w:color w:val="262626"/>
          <w:spacing w:val="0"/>
          <w:szCs w:val="22"/>
        </w:rPr>
      </w:pPr>
    </w:p>
    <w:p w14:paraId="6F950153" w14:textId="7CC0DE15" w:rsidR="0046389A" w:rsidRDefault="00492AE4" w:rsidP="009D3059">
      <w:pPr>
        <w:keepLines/>
        <w:widowControl w:val="0"/>
        <w:autoSpaceDE w:val="0"/>
        <w:autoSpaceDN w:val="0"/>
        <w:adjustRightInd w:val="0"/>
        <w:rPr>
          <w:rFonts w:cstheme="minorHAnsi"/>
          <w:color w:val="262626"/>
          <w:spacing w:val="0"/>
          <w:szCs w:val="22"/>
        </w:rPr>
      </w:pPr>
      <w:r>
        <w:rPr>
          <w:rFonts w:cstheme="minorHAnsi"/>
          <w:color w:val="262626"/>
          <w:spacing w:val="0"/>
          <w:szCs w:val="22"/>
        </w:rPr>
        <w:t>As detailed in our</w:t>
      </w:r>
      <w:r w:rsidR="00772C14">
        <w:rPr>
          <w:rFonts w:cstheme="minorHAnsi"/>
          <w:color w:val="262626"/>
          <w:spacing w:val="0"/>
          <w:szCs w:val="22"/>
        </w:rPr>
        <w:t xml:space="preserve"> August 27, 2014 memo</w:t>
      </w:r>
      <w:r w:rsidR="00E15B10">
        <w:rPr>
          <w:rFonts w:cstheme="minorHAnsi"/>
          <w:color w:val="262626"/>
          <w:spacing w:val="0"/>
          <w:szCs w:val="22"/>
        </w:rPr>
        <w:t xml:space="preserve"> (Attachment 1)</w:t>
      </w:r>
      <w:r w:rsidR="00772C14">
        <w:rPr>
          <w:rFonts w:cstheme="minorHAnsi"/>
          <w:color w:val="262626"/>
          <w:spacing w:val="0"/>
          <w:szCs w:val="22"/>
        </w:rPr>
        <w:t xml:space="preserve">, the </w:t>
      </w:r>
      <w:r w:rsidR="007F1F7B">
        <w:rPr>
          <w:rFonts w:cstheme="minorHAnsi"/>
          <w:color w:val="262626"/>
          <w:spacing w:val="0"/>
          <w:szCs w:val="22"/>
        </w:rPr>
        <w:t xml:space="preserve">FY 2014 FFRDC R&amp;D survey instructions </w:t>
      </w:r>
      <w:r w:rsidR="00772C14">
        <w:rPr>
          <w:rFonts w:cstheme="minorHAnsi"/>
          <w:color w:val="262626"/>
          <w:spacing w:val="0"/>
          <w:szCs w:val="22"/>
        </w:rPr>
        <w:t>were revised t</w:t>
      </w:r>
      <w:r w:rsidR="007F1F7B">
        <w:rPr>
          <w:rFonts w:cstheme="minorHAnsi"/>
          <w:color w:val="262626"/>
          <w:spacing w:val="0"/>
          <w:szCs w:val="22"/>
        </w:rPr>
        <w:t xml:space="preserve">o </w:t>
      </w:r>
      <w:r w:rsidR="00E15B10">
        <w:rPr>
          <w:rFonts w:cstheme="minorHAnsi"/>
          <w:color w:val="262626"/>
          <w:spacing w:val="0"/>
          <w:szCs w:val="22"/>
        </w:rPr>
        <w:t>better specify</w:t>
      </w:r>
      <w:r w:rsidR="007F1F7B">
        <w:rPr>
          <w:rFonts w:cstheme="minorHAnsi"/>
          <w:color w:val="262626"/>
          <w:spacing w:val="0"/>
          <w:szCs w:val="22"/>
        </w:rPr>
        <w:t xml:space="preserve"> what should be excluded from the total reported for R&amp;D. </w:t>
      </w:r>
      <w:r w:rsidR="00CD6BF3">
        <w:rPr>
          <w:rFonts w:cstheme="minorHAnsi"/>
          <w:color w:val="262626"/>
          <w:spacing w:val="0"/>
          <w:szCs w:val="22"/>
        </w:rPr>
        <w:t>The</w:t>
      </w:r>
      <w:r>
        <w:rPr>
          <w:rFonts w:cstheme="minorHAnsi"/>
          <w:color w:val="262626"/>
          <w:spacing w:val="0"/>
          <w:szCs w:val="22"/>
        </w:rPr>
        <w:t xml:space="preserve"> items added </w:t>
      </w:r>
      <w:r w:rsidR="007F1F7B">
        <w:rPr>
          <w:rFonts w:cstheme="minorHAnsi"/>
          <w:color w:val="262626"/>
          <w:spacing w:val="0"/>
          <w:szCs w:val="22"/>
        </w:rPr>
        <w:t xml:space="preserve">under the “R&amp;D does not include” box </w:t>
      </w:r>
      <w:r>
        <w:rPr>
          <w:rFonts w:cstheme="minorHAnsi"/>
          <w:color w:val="262626"/>
          <w:spacing w:val="0"/>
          <w:szCs w:val="22"/>
        </w:rPr>
        <w:t>were</w:t>
      </w:r>
      <w:r w:rsidR="00E15B10">
        <w:rPr>
          <w:rFonts w:cstheme="minorHAnsi"/>
          <w:color w:val="262626"/>
          <w:spacing w:val="0"/>
          <w:szCs w:val="22"/>
        </w:rPr>
        <w:t>:</w:t>
      </w:r>
    </w:p>
    <w:p w14:paraId="1BA441E0" w14:textId="77777777" w:rsidR="00F8691E" w:rsidRDefault="00F8691E" w:rsidP="009D3059">
      <w:pPr>
        <w:keepLines/>
        <w:widowControl w:val="0"/>
        <w:autoSpaceDE w:val="0"/>
        <w:autoSpaceDN w:val="0"/>
        <w:adjustRightInd w:val="0"/>
        <w:rPr>
          <w:rFonts w:cstheme="minorHAnsi"/>
          <w:color w:val="262626"/>
          <w:spacing w:val="0"/>
          <w:szCs w:val="22"/>
        </w:rPr>
      </w:pPr>
    </w:p>
    <w:p w14:paraId="0431C1B0" w14:textId="4ADEE1B6" w:rsidR="007F1F7B" w:rsidRDefault="007F1F7B" w:rsidP="007F1F7B">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Routine testing</w:t>
      </w:r>
    </w:p>
    <w:p w14:paraId="64A93839" w14:textId="7C6295BD" w:rsidR="007F1F7B" w:rsidRDefault="007F1F7B" w:rsidP="007F1F7B">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Non-R&amp;D program implementation or management</w:t>
      </w:r>
    </w:p>
    <w:p w14:paraId="319D4281" w14:textId="6DD1380F" w:rsidR="009E28B6" w:rsidRDefault="00055591" w:rsidP="00FC047B">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Policy developme</w:t>
      </w:r>
      <w:r w:rsidR="00A0405A">
        <w:rPr>
          <w:rFonts w:cstheme="minorHAnsi"/>
          <w:color w:val="262626"/>
          <w:spacing w:val="0"/>
          <w:szCs w:val="22"/>
        </w:rPr>
        <w:t>nt</w:t>
      </w:r>
    </w:p>
    <w:p w14:paraId="6C503112" w14:textId="77777777" w:rsidR="009639A7" w:rsidRDefault="009639A7" w:rsidP="00492AE4">
      <w:pPr>
        <w:keepLines/>
        <w:widowControl w:val="0"/>
        <w:autoSpaceDE w:val="0"/>
        <w:autoSpaceDN w:val="0"/>
        <w:adjustRightInd w:val="0"/>
        <w:rPr>
          <w:rFonts w:cstheme="minorHAnsi"/>
          <w:color w:val="262626"/>
          <w:spacing w:val="0"/>
          <w:szCs w:val="22"/>
        </w:rPr>
      </w:pPr>
    </w:p>
    <w:p w14:paraId="008D6728" w14:textId="2C945ADD" w:rsidR="00F8691E" w:rsidRDefault="00492AE4" w:rsidP="00492AE4">
      <w:pPr>
        <w:keepLines/>
        <w:widowControl w:val="0"/>
        <w:autoSpaceDE w:val="0"/>
        <w:autoSpaceDN w:val="0"/>
        <w:adjustRightInd w:val="0"/>
        <w:rPr>
          <w:rFonts w:cstheme="minorHAnsi"/>
          <w:color w:val="262626"/>
          <w:spacing w:val="0"/>
          <w:szCs w:val="22"/>
        </w:rPr>
      </w:pPr>
      <w:r>
        <w:rPr>
          <w:rFonts w:cstheme="minorHAnsi"/>
          <w:color w:val="262626"/>
          <w:spacing w:val="0"/>
          <w:szCs w:val="22"/>
        </w:rPr>
        <w:t>The results of the FY 2014 survey showed a slight reduction in the difference between the two surveys’ totals</w:t>
      </w:r>
      <w:r w:rsidR="00294F7B">
        <w:rPr>
          <w:rFonts w:cstheme="minorHAnsi"/>
          <w:color w:val="262626"/>
          <w:spacing w:val="0"/>
          <w:szCs w:val="22"/>
        </w:rPr>
        <w:t xml:space="preserve"> (down $182 million to $6.8 billion)</w:t>
      </w:r>
      <w:r w:rsidR="00E15B10">
        <w:rPr>
          <w:rFonts w:cstheme="minorHAnsi"/>
          <w:color w:val="262626"/>
          <w:spacing w:val="0"/>
          <w:szCs w:val="22"/>
        </w:rPr>
        <w:t>;</w:t>
      </w:r>
      <w:r w:rsidR="00CD6BF3">
        <w:rPr>
          <w:rFonts w:cstheme="minorHAnsi"/>
          <w:color w:val="262626"/>
          <w:spacing w:val="0"/>
          <w:szCs w:val="22"/>
        </w:rPr>
        <w:t xml:space="preserve"> </w:t>
      </w:r>
      <w:r w:rsidR="00294F7B">
        <w:rPr>
          <w:rFonts w:cstheme="minorHAnsi"/>
          <w:color w:val="262626"/>
          <w:spacing w:val="0"/>
          <w:szCs w:val="22"/>
        </w:rPr>
        <w:t xml:space="preserve">clearly </w:t>
      </w:r>
      <w:r w:rsidR="00CD6BF3">
        <w:rPr>
          <w:rFonts w:cstheme="minorHAnsi"/>
          <w:color w:val="262626"/>
          <w:spacing w:val="0"/>
          <w:szCs w:val="22"/>
        </w:rPr>
        <w:t>large differences remain</w:t>
      </w:r>
      <w:r w:rsidR="002C6D47">
        <w:rPr>
          <w:rFonts w:cstheme="minorHAnsi"/>
          <w:color w:val="262626"/>
          <w:spacing w:val="0"/>
          <w:szCs w:val="22"/>
        </w:rPr>
        <w:t xml:space="preserve"> (see table </w:t>
      </w:r>
      <w:r w:rsidR="00E15B10">
        <w:rPr>
          <w:rFonts w:cstheme="minorHAnsi"/>
          <w:color w:val="262626"/>
          <w:spacing w:val="0"/>
          <w:szCs w:val="22"/>
        </w:rPr>
        <w:t>1</w:t>
      </w:r>
      <w:r w:rsidR="002C6D47">
        <w:rPr>
          <w:rFonts w:cstheme="minorHAnsi"/>
          <w:color w:val="262626"/>
          <w:spacing w:val="0"/>
          <w:szCs w:val="22"/>
        </w:rPr>
        <w:t>)</w:t>
      </w:r>
      <w:r w:rsidR="00CD6BF3">
        <w:rPr>
          <w:rFonts w:cstheme="minorHAnsi"/>
          <w:color w:val="262626"/>
          <w:spacing w:val="0"/>
          <w:szCs w:val="22"/>
        </w:rPr>
        <w:t xml:space="preserve">. </w:t>
      </w:r>
      <w:r w:rsidR="00B673E8">
        <w:rPr>
          <w:rFonts w:cstheme="minorHAnsi"/>
          <w:color w:val="262626"/>
          <w:spacing w:val="0"/>
          <w:szCs w:val="22"/>
        </w:rPr>
        <w:t xml:space="preserve">We do not have final data for FY 2015 yet, but based on the preliminary data </w:t>
      </w:r>
      <w:r w:rsidR="00F8691E">
        <w:rPr>
          <w:rFonts w:cstheme="minorHAnsi"/>
          <w:color w:val="262626"/>
          <w:spacing w:val="0"/>
          <w:szCs w:val="22"/>
        </w:rPr>
        <w:t>we do not expect</w:t>
      </w:r>
      <w:r w:rsidR="00B673E8">
        <w:rPr>
          <w:rFonts w:cstheme="minorHAnsi"/>
          <w:color w:val="262626"/>
          <w:spacing w:val="0"/>
          <w:szCs w:val="22"/>
        </w:rPr>
        <w:t xml:space="preserve"> large changes in the totals for either survey. </w:t>
      </w:r>
    </w:p>
    <w:p w14:paraId="65461C89" w14:textId="77777777" w:rsidR="00F8691E" w:rsidRDefault="00F8691E" w:rsidP="00492AE4">
      <w:pPr>
        <w:keepLines/>
        <w:widowControl w:val="0"/>
        <w:autoSpaceDE w:val="0"/>
        <w:autoSpaceDN w:val="0"/>
        <w:adjustRightInd w:val="0"/>
        <w:rPr>
          <w:rFonts w:cstheme="minorHAnsi"/>
          <w:color w:val="262626"/>
          <w:spacing w:val="0"/>
          <w:szCs w:val="22"/>
        </w:rPr>
      </w:pPr>
    </w:p>
    <w:p w14:paraId="634B7D33" w14:textId="15398E67" w:rsidR="00492AE4" w:rsidRPr="00492AE4" w:rsidRDefault="002C6D47" w:rsidP="00492AE4">
      <w:pPr>
        <w:keepLines/>
        <w:widowControl w:val="0"/>
        <w:autoSpaceDE w:val="0"/>
        <w:autoSpaceDN w:val="0"/>
        <w:adjustRightInd w:val="0"/>
        <w:rPr>
          <w:rFonts w:cstheme="minorHAnsi"/>
          <w:color w:val="262626"/>
          <w:spacing w:val="0"/>
          <w:szCs w:val="22"/>
        </w:rPr>
      </w:pPr>
      <w:r>
        <w:rPr>
          <w:rFonts w:cstheme="minorHAnsi"/>
          <w:color w:val="262626"/>
          <w:spacing w:val="0"/>
          <w:szCs w:val="22"/>
        </w:rPr>
        <w:t>Therefore</w:t>
      </w:r>
      <w:r w:rsidR="00F8691E">
        <w:rPr>
          <w:rFonts w:cstheme="minorHAnsi"/>
          <w:color w:val="262626"/>
          <w:spacing w:val="0"/>
          <w:szCs w:val="22"/>
        </w:rPr>
        <w:t>,</w:t>
      </w:r>
      <w:r>
        <w:rPr>
          <w:rFonts w:cstheme="minorHAnsi"/>
          <w:color w:val="262626"/>
          <w:spacing w:val="0"/>
          <w:szCs w:val="22"/>
        </w:rPr>
        <w:t xml:space="preserve"> we recommend adding a question </w:t>
      </w:r>
      <w:r w:rsidR="00F8691E">
        <w:rPr>
          <w:rFonts w:cstheme="minorHAnsi"/>
          <w:color w:val="262626"/>
          <w:spacing w:val="0"/>
          <w:szCs w:val="22"/>
        </w:rPr>
        <w:t xml:space="preserve">beginning with </w:t>
      </w:r>
      <w:r>
        <w:rPr>
          <w:rFonts w:cstheme="minorHAnsi"/>
          <w:color w:val="262626"/>
          <w:spacing w:val="0"/>
          <w:szCs w:val="22"/>
        </w:rPr>
        <w:t>the FY 2016 FFRDC R&amp;D Survey requesting specific agency sources and sub-totals for the FFRDC’s federally financed R&amp;D expenditures. These sub-totals by agency will allow us to determine if funding is</w:t>
      </w:r>
      <w:r w:rsidR="00B4008B">
        <w:rPr>
          <w:rFonts w:cstheme="minorHAnsi"/>
          <w:color w:val="262626"/>
          <w:spacing w:val="0"/>
          <w:szCs w:val="22"/>
        </w:rPr>
        <w:t xml:space="preserve"> being</w:t>
      </w:r>
      <w:r>
        <w:rPr>
          <w:rFonts w:cstheme="minorHAnsi"/>
          <w:color w:val="262626"/>
          <w:spacing w:val="0"/>
          <w:szCs w:val="22"/>
        </w:rPr>
        <w:t xml:space="preserve"> received from non-sponsoring </w:t>
      </w:r>
      <w:r w:rsidR="00B673E8">
        <w:rPr>
          <w:rFonts w:cstheme="minorHAnsi"/>
          <w:color w:val="262626"/>
          <w:spacing w:val="0"/>
          <w:szCs w:val="22"/>
        </w:rPr>
        <w:t>agencies, which</w:t>
      </w:r>
      <w:r>
        <w:rPr>
          <w:rFonts w:cstheme="minorHAnsi"/>
          <w:color w:val="262626"/>
          <w:spacing w:val="0"/>
          <w:szCs w:val="22"/>
        </w:rPr>
        <w:t xml:space="preserve"> may not be </w:t>
      </w:r>
      <w:r w:rsidR="00B4008B">
        <w:rPr>
          <w:rFonts w:cstheme="minorHAnsi"/>
          <w:color w:val="262626"/>
          <w:spacing w:val="0"/>
          <w:szCs w:val="22"/>
        </w:rPr>
        <w:t>captured</w:t>
      </w:r>
      <w:r>
        <w:rPr>
          <w:rFonts w:cstheme="minorHAnsi"/>
          <w:color w:val="262626"/>
          <w:spacing w:val="0"/>
          <w:szCs w:val="22"/>
        </w:rPr>
        <w:t xml:space="preserve"> in the Federal Funds for R&amp;D Survey</w:t>
      </w:r>
      <w:r w:rsidR="00B4008B">
        <w:rPr>
          <w:rFonts w:cstheme="minorHAnsi"/>
          <w:color w:val="262626"/>
          <w:spacing w:val="0"/>
          <w:szCs w:val="22"/>
        </w:rPr>
        <w:t xml:space="preserve">. Also, if the funds </w:t>
      </w:r>
      <w:r w:rsidR="00F8691E">
        <w:rPr>
          <w:rFonts w:cstheme="minorHAnsi"/>
          <w:color w:val="262626"/>
          <w:spacing w:val="0"/>
          <w:szCs w:val="22"/>
        </w:rPr>
        <w:t xml:space="preserve">reported as </w:t>
      </w:r>
      <w:r w:rsidR="00B4008B">
        <w:rPr>
          <w:rFonts w:cstheme="minorHAnsi"/>
          <w:color w:val="262626"/>
          <w:spacing w:val="0"/>
          <w:szCs w:val="22"/>
        </w:rPr>
        <w:t xml:space="preserve">obligated </w:t>
      </w:r>
      <w:r w:rsidR="00F8691E">
        <w:rPr>
          <w:rFonts w:cstheme="minorHAnsi"/>
          <w:color w:val="262626"/>
          <w:spacing w:val="0"/>
          <w:szCs w:val="22"/>
        </w:rPr>
        <w:t xml:space="preserve">by </w:t>
      </w:r>
      <w:r w:rsidR="00B4008B">
        <w:rPr>
          <w:rFonts w:cstheme="minorHAnsi"/>
          <w:color w:val="262626"/>
          <w:spacing w:val="0"/>
          <w:szCs w:val="22"/>
        </w:rPr>
        <w:t xml:space="preserve">and received from the sponsoring agency are significantly different, we can follow up with the FFRDC and </w:t>
      </w:r>
      <w:r w:rsidR="00303619">
        <w:rPr>
          <w:rFonts w:cstheme="minorHAnsi"/>
          <w:color w:val="262626"/>
          <w:spacing w:val="0"/>
          <w:szCs w:val="22"/>
        </w:rPr>
        <w:t xml:space="preserve">specific </w:t>
      </w:r>
      <w:r w:rsidR="00B4008B">
        <w:rPr>
          <w:rFonts w:cstheme="minorHAnsi"/>
          <w:color w:val="262626"/>
          <w:spacing w:val="0"/>
          <w:szCs w:val="22"/>
        </w:rPr>
        <w:t>agency to attempt to resolve the discrepancy</w:t>
      </w:r>
      <w:r>
        <w:rPr>
          <w:rFonts w:cstheme="minorHAnsi"/>
          <w:color w:val="262626"/>
          <w:spacing w:val="0"/>
          <w:szCs w:val="22"/>
        </w:rPr>
        <w:t>.</w:t>
      </w:r>
      <w:r w:rsidR="00B4008B">
        <w:rPr>
          <w:rFonts w:cstheme="minorHAnsi"/>
          <w:color w:val="262626"/>
          <w:spacing w:val="0"/>
          <w:szCs w:val="22"/>
        </w:rPr>
        <w:t xml:space="preserve"> </w:t>
      </w:r>
    </w:p>
    <w:p w14:paraId="22282D85"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45D4A709" w14:textId="77777777" w:rsidR="009639A7" w:rsidRDefault="009639A7" w:rsidP="00F8691E">
      <w:pPr>
        <w:keepLines/>
        <w:widowControl w:val="0"/>
        <w:autoSpaceDE w:val="0"/>
        <w:autoSpaceDN w:val="0"/>
        <w:adjustRightInd w:val="0"/>
        <w:rPr>
          <w:rFonts w:cstheme="minorHAnsi"/>
          <w:color w:val="262626"/>
          <w:spacing w:val="0"/>
          <w:szCs w:val="22"/>
        </w:rPr>
      </w:pPr>
    </w:p>
    <w:p w14:paraId="1F2A9AAE" w14:textId="77777777" w:rsidR="00F8691E" w:rsidRDefault="00F8691E" w:rsidP="00F8691E">
      <w:pPr>
        <w:keepLines/>
        <w:widowControl w:val="0"/>
        <w:autoSpaceDE w:val="0"/>
        <w:autoSpaceDN w:val="0"/>
        <w:adjustRightInd w:val="0"/>
        <w:rPr>
          <w:rFonts w:cstheme="minorHAnsi"/>
          <w:color w:val="262626"/>
          <w:spacing w:val="0"/>
          <w:szCs w:val="22"/>
        </w:rPr>
      </w:pPr>
    </w:p>
    <w:p w14:paraId="0E470CC6" w14:textId="77777777" w:rsidR="00F8691E" w:rsidRDefault="00F8691E" w:rsidP="00F8691E">
      <w:pPr>
        <w:keepLines/>
        <w:widowControl w:val="0"/>
        <w:autoSpaceDE w:val="0"/>
        <w:autoSpaceDN w:val="0"/>
        <w:adjustRightInd w:val="0"/>
        <w:rPr>
          <w:rFonts w:cstheme="minorHAnsi"/>
          <w:color w:val="262626"/>
          <w:spacing w:val="0"/>
          <w:szCs w:val="22"/>
        </w:rPr>
      </w:pPr>
    </w:p>
    <w:p w14:paraId="56C1BCAE" w14:textId="77777777" w:rsidR="00F8691E" w:rsidRDefault="00F8691E" w:rsidP="00F8691E">
      <w:pPr>
        <w:keepLines/>
        <w:widowControl w:val="0"/>
        <w:autoSpaceDE w:val="0"/>
        <w:autoSpaceDN w:val="0"/>
        <w:adjustRightInd w:val="0"/>
        <w:rPr>
          <w:rFonts w:cstheme="minorHAnsi"/>
          <w:color w:val="262626"/>
          <w:spacing w:val="0"/>
          <w:szCs w:val="22"/>
        </w:rPr>
      </w:pPr>
    </w:p>
    <w:p w14:paraId="61703441" w14:textId="77777777" w:rsidR="00F8691E" w:rsidRDefault="00F8691E" w:rsidP="00F8691E">
      <w:pPr>
        <w:keepLines/>
        <w:widowControl w:val="0"/>
        <w:autoSpaceDE w:val="0"/>
        <w:autoSpaceDN w:val="0"/>
        <w:adjustRightInd w:val="0"/>
        <w:rPr>
          <w:rFonts w:cstheme="minorHAnsi"/>
          <w:color w:val="262626"/>
          <w:spacing w:val="0"/>
          <w:szCs w:val="22"/>
        </w:rPr>
      </w:pPr>
    </w:p>
    <w:p w14:paraId="289181AC" w14:textId="77777777" w:rsidR="00F8691E" w:rsidRDefault="00F8691E" w:rsidP="00F8691E">
      <w:pPr>
        <w:keepLines/>
        <w:widowControl w:val="0"/>
        <w:autoSpaceDE w:val="0"/>
        <w:autoSpaceDN w:val="0"/>
        <w:adjustRightInd w:val="0"/>
        <w:rPr>
          <w:rFonts w:cstheme="minorHAnsi"/>
          <w:color w:val="262626"/>
          <w:spacing w:val="0"/>
          <w:szCs w:val="22"/>
        </w:rPr>
      </w:pPr>
    </w:p>
    <w:p w14:paraId="71287813" w14:textId="77777777" w:rsidR="00F8691E" w:rsidRDefault="00F8691E" w:rsidP="00F8691E">
      <w:pPr>
        <w:keepLines/>
        <w:widowControl w:val="0"/>
        <w:autoSpaceDE w:val="0"/>
        <w:autoSpaceDN w:val="0"/>
        <w:adjustRightInd w:val="0"/>
        <w:rPr>
          <w:rFonts w:cstheme="minorHAnsi"/>
          <w:color w:val="262626"/>
          <w:spacing w:val="0"/>
          <w:szCs w:val="22"/>
        </w:rPr>
      </w:pPr>
    </w:p>
    <w:p w14:paraId="389373E1" w14:textId="77777777" w:rsidR="00F8691E" w:rsidRPr="00F8691E" w:rsidRDefault="00F8691E" w:rsidP="00F8691E">
      <w:pPr>
        <w:keepLines/>
        <w:widowControl w:val="0"/>
        <w:autoSpaceDE w:val="0"/>
        <w:autoSpaceDN w:val="0"/>
        <w:adjustRightInd w:val="0"/>
        <w:rPr>
          <w:rFonts w:cstheme="minorHAnsi"/>
          <w:color w:val="262626"/>
          <w:spacing w:val="0"/>
          <w:szCs w:val="22"/>
        </w:rPr>
      </w:pPr>
    </w:p>
    <w:p w14:paraId="0A18DCD7"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76DCCC0A"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0F8C94B8"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1F321EB4"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60D09A48"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3DBBB384" w14:textId="77777777" w:rsidR="009639A7" w:rsidRDefault="009639A7" w:rsidP="009639A7">
      <w:pPr>
        <w:pStyle w:val="ListParagraph"/>
        <w:keepLines/>
        <w:widowControl w:val="0"/>
        <w:autoSpaceDE w:val="0"/>
        <w:autoSpaceDN w:val="0"/>
        <w:adjustRightInd w:val="0"/>
        <w:rPr>
          <w:rFonts w:cstheme="minorHAnsi"/>
          <w:color w:val="262626"/>
          <w:spacing w:val="0"/>
          <w:szCs w:val="22"/>
        </w:rPr>
      </w:pPr>
    </w:p>
    <w:p w14:paraId="40A6D179" w14:textId="77777777" w:rsidR="009639A7" w:rsidRPr="00294F7B" w:rsidRDefault="009639A7" w:rsidP="00294F7B">
      <w:pPr>
        <w:keepLines/>
        <w:widowControl w:val="0"/>
        <w:autoSpaceDE w:val="0"/>
        <w:autoSpaceDN w:val="0"/>
        <w:adjustRightInd w:val="0"/>
        <w:rPr>
          <w:rFonts w:cstheme="minorHAnsi"/>
          <w:color w:val="262626"/>
          <w:spacing w:val="0"/>
          <w:szCs w:val="22"/>
        </w:rPr>
      </w:pPr>
    </w:p>
    <w:tbl>
      <w:tblPr>
        <w:tblW w:w="11646" w:type="dxa"/>
        <w:tblInd w:w="-432" w:type="dxa"/>
        <w:tblLook w:val="04A0" w:firstRow="1" w:lastRow="0" w:firstColumn="1" w:lastColumn="0" w:noHBand="0" w:noVBand="1"/>
      </w:tblPr>
      <w:tblGrid>
        <w:gridCol w:w="3289"/>
        <w:gridCol w:w="968"/>
        <w:gridCol w:w="968"/>
        <w:gridCol w:w="873"/>
        <w:gridCol w:w="968"/>
        <w:gridCol w:w="873"/>
        <w:gridCol w:w="968"/>
        <w:gridCol w:w="880"/>
        <w:gridCol w:w="858"/>
        <w:gridCol w:w="1001"/>
      </w:tblGrid>
      <w:tr w:rsidR="00C13F36" w:rsidRPr="00C13F36" w14:paraId="32D64C1C" w14:textId="77777777" w:rsidTr="00C13F36">
        <w:trPr>
          <w:trHeight w:val="240"/>
        </w:trPr>
        <w:tc>
          <w:tcPr>
            <w:tcW w:w="11646" w:type="dxa"/>
            <w:gridSpan w:val="10"/>
            <w:tcBorders>
              <w:top w:val="single" w:sz="4" w:space="0" w:color="auto"/>
              <w:left w:val="single" w:sz="4" w:space="0" w:color="auto"/>
              <w:bottom w:val="nil"/>
              <w:right w:val="single" w:sz="4" w:space="0" w:color="000000"/>
            </w:tcBorders>
            <w:shd w:val="clear" w:color="auto" w:fill="auto"/>
            <w:vAlign w:val="bottom"/>
            <w:hideMark/>
          </w:tcPr>
          <w:p w14:paraId="3B57D013" w14:textId="77777777" w:rsidR="00C13F36" w:rsidRPr="00C13F36" w:rsidRDefault="00C13F36" w:rsidP="00C13F36">
            <w:pPr>
              <w:rPr>
                <w:rFonts w:ascii="Arial Narrow" w:hAnsi="Arial Narrow"/>
                <w:color w:val="000000"/>
                <w:spacing w:val="0"/>
                <w:sz w:val="18"/>
                <w:szCs w:val="18"/>
              </w:rPr>
            </w:pPr>
            <w:bookmarkStart w:id="0" w:name="RANGE!A1"/>
            <w:r w:rsidRPr="00C13F36">
              <w:rPr>
                <w:rFonts w:ascii="Arial Narrow" w:hAnsi="Arial Narrow"/>
                <w:color w:val="000000"/>
                <w:spacing w:val="0"/>
                <w:sz w:val="18"/>
                <w:szCs w:val="18"/>
              </w:rPr>
              <w:lastRenderedPageBreak/>
              <w:t>R&amp;D expenditures, operating budgets, and obligations at federally funded research and development centers, by FFRDC: FY 2014</w:t>
            </w:r>
            <w:bookmarkEnd w:id="0"/>
          </w:p>
        </w:tc>
      </w:tr>
      <w:tr w:rsidR="00C13F36" w:rsidRPr="00C13F36" w14:paraId="4F86A79F" w14:textId="77777777" w:rsidTr="00C13F36">
        <w:trPr>
          <w:trHeight w:val="200"/>
        </w:trPr>
        <w:tc>
          <w:tcPr>
            <w:tcW w:w="3289" w:type="dxa"/>
            <w:tcBorders>
              <w:top w:val="nil"/>
              <w:left w:val="single" w:sz="4" w:space="0" w:color="auto"/>
              <w:bottom w:val="nil"/>
              <w:right w:val="nil"/>
            </w:tcBorders>
            <w:shd w:val="clear" w:color="auto" w:fill="auto"/>
            <w:noWrap/>
            <w:vAlign w:val="bottom"/>
            <w:hideMark/>
          </w:tcPr>
          <w:p w14:paraId="62329487"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(Dollars in thousands)</w:t>
            </w:r>
          </w:p>
        </w:tc>
        <w:tc>
          <w:tcPr>
            <w:tcW w:w="968" w:type="dxa"/>
            <w:tcBorders>
              <w:top w:val="nil"/>
              <w:left w:val="nil"/>
              <w:bottom w:val="nil"/>
              <w:right w:val="nil"/>
            </w:tcBorders>
            <w:shd w:val="clear" w:color="auto" w:fill="auto"/>
            <w:noWrap/>
            <w:vAlign w:val="bottom"/>
            <w:hideMark/>
          </w:tcPr>
          <w:p w14:paraId="4978EE63" w14:textId="77777777" w:rsidR="00C13F36" w:rsidRPr="00C13F36" w:rsidRDefault="00C13F36" w:rsidP="00C13F36">
            <w:pPr>
              <w:jc w:val="right"/>
              <w:rPr>
                <w:rFonts w:ascii="Arial Narrow" w:hAnsi="Arial Narrow"/>
                <w:color w:val="000000"/>
                <w:spacing w:val="0"/>
                <w:sz w:val="18"/>
                <w:szCs w:val="18"/>
              </w:rPr>
            </w:pPr>
          </w:p>
        </w:tc>
        <w:tc>
          <w:tcPr>
            <w:tcW w:w="968" w:type="dxa"/>
            <w:tcBorders>
              <w:top w:val="nil"/>
              <w:left w:val="nil"/>
              <w:bottom w:val="nil"/>
              <w:right w:val="nil"/>
            </w:tcBorders>
            <w:shd w:val="clear" w:color="auto" w:fill="auto"/>
            <w:noWrap/>
            <w:vAlign w:val="bottom"/>
            <w:hideMark/>
          </w:tcPr>
          <w:p w14:paraId="3F5E22A8" w14:textId="77777777" w:rsidR="00C13F36" w:rsidRPr="00C13F36" w:rsidRDefault="00C13F36" w:rsidP="00C13F36">
            <w:pPr>
              <w:jc w:val="right"/>
              <w:rPr>
                <w:rFonts w:ascii="Arial Narrow" w:hAnsi="Arial Narrow"/>
                <w:color w:val="000000"/>
                <w:spacing w:val="0"/>
                <w:sz w:val="18"/>
                <w:szCs w:val="18"/>
              </w:rPr>
            </w:pPr>
          </w:p>
        </w:tc>
        <w:tc>
          <w:tcPr>
            <w:tcW w:w="873" w:type="dxa"/>
            <w:tcBorders>
              <w:top w:val="nil"/>
              <w:left w:val="nil"/>
              <w:bottom w:val="nil"/>
              <w:right w:val="nil"/>
            </w:tcBorders>
            <w:shd w:val="clear" w:color="auto" w:fill="auto"/>
            <w:noWrap/>
            <w:vAlign w:val="bottom"/>
            <w:hideMark/>
          </w:tcPr>
          <w:p w14:paraId="196466F1" w14:textId="77777777" w:rsidR="00C13F36" w:rsidRPr="00C13F36" w:rsidRDefault="00C13F36" w:rsidP="00C13F36">
            <w:pPr>
              <w:jc w:val="right"/>
              <w:rPr>
                <w:rFonts w:ascii="Arial Narrow" w:hAnsi="Arial Narrow"/>
                <w:color w:val="000000"/>
                <w:spacing w:val="0"/>
                <w:sz w:val="18"/>
                <w:szCs w:val="18"/>
              </w:rPr>
            </w:pPr>
          </w:p>
        </w:tc>
        <w:tc>
          <w:tcPr>
            <w:tcW w:w="968" w:type="dxa"/>
            <w:tcBorders>
              <w:top w:val="nil"/>
              <w:left w:val="nil"/>
              <w:bottom w:val="nil"/>
              <w:right w:val="nil"/>
            </w:tcBorders>
            <w:shd w:val="clear" w:color="auto" w:fill="auto"/>
            <w:noWrap/>
            <w:vAlign w:val="bottom"/>
            <w:hideMark/>
          </w:tcPr>
          <w:p w14:paraId="3BCDF235" w14:textId="77777777" w:rsidR="00C13F36" w:rsidRPr="00C13F36" w:rsidRDefault="00C13F36" w:rsidP="00C13F36">
            <w:pPr>
              <w:rPr>
                <w:rFonts w:ascii="Arial Narrow" w:hAnsi="Arial Narrow"/>
                <w:color w:val="000000"/>
                <w:spacing w:val="0"/>
                <w:sz w:val="18"/>
                <w:szCs w:val="18"/>
              </w:rPr>
            </w:pPr>
          </w:p>
        </w:tc>
        <w:tc>
          <w:tcPr>
            <w:tcW w:w="873" w:type="dxa"/>
            <w:tcBorders>
              <w:top w:val="nil"/>
              <w:left w:val="nil"/>
              <w:bottom w:val="nil"/>
              <w:right w:val="nil"/>
            </w:tcBorders>
            <w:shd w:val="clear" w:color="auto" w:fill="auto"/>
            <w:noWrap/>
            <w:vAlign w:val="bottom"/>
            <w:hideMark/>
          </w:tcPr>
          <w:p w14:paraId="66D1C01B" w14:textId="77777777" w:rsidR="00C13F36" w:rsidRPr="00C13F36" w:rsidRDefault="00C13F36" w:rsidP="00C13F36">
            <w:pPr>
              <w:rPr>
                <w:rFonts w:ascii="Arial Narrow" w:hAnsi="Arial Narrow"/>
                <w:color w:val="000000"/>
                <w:spacing w:val="0"/>
                <w:sz w:val="18"/>
                <w:szCs w:val="18"/>
              </w:rPr>
            </w:pPr>
          </w:p>
        </w:tc>
        <w:tc>
          <w:tcPr>
            <w:tcW w:w="968" w:type="dxa"/>
            <w:tcBorders>
              <w:top w:val="nil"/>
              <w:left w:val="nil"/>
              <w:bottom w:val="nil"/>
              <w:right w:val="nil"/>
            </w:tcBorders>
            <w:shd w:val="clear" w:color="auto" w:fill="auto"/>
            <w:noWrap/>
            <w:vAlign w:val="bottom"/>
            <w:hideMark/>
          </w:tcPr>
          <w:p w14:paraId="17C3B862" w14:textId="77777777" w:rsidR="00C13F36" w:rsidRPr="00C13F36" w:rsidRDefault="00C13F36" w:rsidP="00C13F36">
            <w:pPr>
              <w:rPr>
                <w:rFonts w:ascii="Arial Narrow" w:hAnsi="Arial Narrow"/>
                <w:color w:val="000000"/>
                <w:spacing w:val="0"/>
                <w:sz w:val="18"/>
                <w:szCs w:val="18"/>
              </w:rPr>
            </w:pPr>
          </w:p>
        </w:tc>
        <w:tc>
          <w:tcPr>
            <w:tcW w:w="880" w:type="dxa"/>
            <w:tcBorders>
              <w:top w:val="nil"/>
              <w:left w:val="nil"/>
              <w:bottom w:val="nil"/>
              <w:right w:val="nil"/>
            </w:tcBorders>
            <w:shd w:val="clear" w:color="auto" w:fill="auto"/>
            <w:noWrap/>
            <w:vAlign w:val="bottom"/>
            <w:hideMark/>
          </w:tcPr>
          <w:p w14:paraId="4A8542A5" w14:textId="77777777" w:rsidR="00C13F36" w:rsidRPr="00C13F36" w:rsidRDefault="00C13F36" w:rsidP="00C13F36">
            <w:pPr>
              <w:rPr>
                <w:rFonts w:ascii="Arial Narrow" w:hAnsi="Arial Narrow"/>
                <w:color w:val="000000"/>
                <w:spacing w:val="0"/>
                <w:sz w:val="18"/>
                <w:szCs w:val="18"/>
              </w:rPr>
            </w:pPr>
          </w:p>
        </w:tc>
        <w:tc>
          <w:tcPr>
            <w:tcW w:w="858" w:type="dxa"/>
            <w:tcBorders>
              <w:top w:val="nil"/>
              <w:left w:val="nil"/>
              <w:bottom w:val="nil"/>
              <w:right w:val="nil"/>
            </w:tcBorders>
            <w:shd w:val="clear" w:color="auto" w:fill="auto"/>
            <w:noWrap/>
            <w:vAlign w:val="bottom"/>
            <w:hideMark/>
          </w:tcPr>
          <w:p w14:paraId="755A92DF" w14:textId="77777777" w:rsidR="00C13F36" w:rsidRPr="00C13F36" w:rsidRDefault="00C13F36" w:rsidP="00C13F36">
            <w:pPr>
              <w:rPr>
                <w:rFonts w:ascii="Arial Narrow" w:hAnsi="Arial Narrow"/>
                <w:color w:val="000000"/>
                <w:spacing w:val="0"/>
                <w:sz w:val="18"/>
                <w:szCs w:val="18"/>
              </w:rPr>
            </w:pPr>
          </w:p>
        </w:tc>
        <w:tc>
          <w:tcPr>
            <w:tcW w:w="1001" w:type="dxa"/>
            <w:tcBorders>
              <w:top w:val="nil"/>
              <w:left w:val="nil"/>
              <w:bottom w:val="nil"/>
              <w:right w:val="single" w:sz="4" w:space="0" w:color="auto"/>
            </w:tcBorders>
            <w:shd w:val="clear" w:color="auto" w:fill="auto"/>
            <w:noWrap/>
            <w:vAlign w:val="bottom"/>
            <w:hideMark/>
          </w:tcPr>
          <w:p w14:paraId="2EC17A89" w14:textId="77777777" w:rsidR="00C13F36" w:rsidRPr="00C13F36" w:rsidRDefault="00C13F36" w:rsidP="00C13F36">
            <w:pPr>
              <w:rPr>
                <w:rFonts w:ascii="Arial Narrow" w:hAnsi="Arial Narrow"/>
                <w:color w:val="000000"/>
                <w:spacing w:val="0"/>
                <w:sz w:val="18"/>
                <w:szCs w:val="18"/>
              </w:rPr>
            </w:pPr>
            <w:r w:rsidRPr="00C13F36">
              <w:rPr>
                <w:rFonts w:ascii="Arial Narrow" w:hAnsi="Arial Narrow"/>
                <w:color w:val="000000"/>
                <w:spacing w:val="0"/>
                <w:sz w:val="18"/>
                <w:szCs w:val="18"/>
              </w:rPr>
              <w:t> </w:t>
            </w:r>
          </w:p>
        </w:tc>
      </w:tr>
      <w:tr w:rsidR="00C13F36" w:rsidRPr="00C13F36" w14:paraId="72CDF2D6" w14:textId="77777777" w:rsidTr="00C13F36">
        <w:trPr>
          <w:trHeight w:val="960"/>
        </w:trPr>
        <w:tc>
          <w:tcPr>
            <w:tcW w:w="3289" w:type="dxa"/>
            <w:tcBorders>
              <w:top w:val="single" w:sz="4" w:space="0" w:color="auto"/>
              <w:left w:val="single" w:sz="4" w:space="0" w:color="auto"/>
              <w:bottom w:val="single" w:sz="4" w:space="0" w:color="auto"/>
              <w:right w:val="nil"/>
            </w:tcBorders>
            <w:shd w:val="clear" w:color="auto" w:fill="auto"/>
            <w:vAlign w:val="bottom"/>
            <w:hideMark/>
          </w:tcPr>
          <w:p w14:paraId="7BD94E08"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FFRDC</w:t>
            </w:r>
          </w:p>
        </w:tc>
        <w:tc>
          <w:tcPr>
            <w:tcW w:w="968" w:type="dxa"/>
            <w:tcBorders>
              <w:top w:val="single" w:sz="4" w:space="0" w:color="auto"/>
              <w:left w:val="nil"/>
              <w:bottom w:val="single" w:sz="4" w:space="0" w:color="auto"/>
              <w:right w:val="nil"/>
            </w:tcBorders>
            <w:shd w:val="clear" w:color="auto" w:fill="auto"/>
            <w:vAlign w:val="bottom"/>
            <w:hideMark/>
          </w:tcPr>
          <w:p w14:paraId="5A938FD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All R&amp;D expenditures</w:t>
            </w:r>
          </w:p>
        </w:tc>
        <w:tc>
          <w:tcPr>
            <w:tcW w:w="968" w:type="dxa"/>
            <w:tcBorders>
              <w:top w:val="single" w:sz="4" w:space="0" w:color="auto"/>
              <w:left w:val="nil"/>
              <w:bottom w:val="single" w:sz="4" w:space="0" w:color="auto"/>
              <w:right w:val="nil"/>
            </w:tcBorders>
            <w:shd w:val="clear" w:color="auto" w:fill="auto"/>
            <w:vAlign w:val="bottom"/>
            <w:hideMark/>
          </w:tcPr>
          <w:p w14:paraId="6A027D4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Federally financed R&amp;D expenditures</w:t>
            </w:r>
          </w:p>
        </w:tc>
        <w:tc>
          <w:tcPr>
            <w:tcW w:w="873" w:type="dxa"/>
            <w:tcBorders>
              <w:top w:val="single" w:sz="4" w:space="0" w:color="auto"/>
              <w:left w:val="nil"/>
              <w:bottom w:val="single" w:sz="4" w:space="0" w:color="auto"/>
              <w:right w:val="nil"/>
            </w:tcBorders>
            <w:shd w:val="clear" w:color="auto" w:fill="auto"/>
            <w:vAlign w:val="bottom"/>
            <w:hideMark/>
          </w:tcPr>
          <w:p w14:paraId="7C8CF9E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Operating budget</w:t>
            </w:r>
          </w:p>
        </w:tc>
        <w:tc>
          <w:tcPr>
            <w:tcW w:w="968" w:type="dxa"/>
            <w:tcBorders>
              <w:top w:val="single" w:sz="4" w:space="0" w:color="auto"/>
              <w:left w:val="nil"/>
              <w:bottom w:val="single" w:sz="4" w:space="0" w:color="auto"/>
              <w:right w:val="nil"/>
            </w:tcBorders>
            <w:shd w:val="clear" w:color="auto" w:fill="auto"/>
            <w:vAlign w:val="bottom"/>
            <w:hideMark/>
          </w:tcPr>
          <w:p w14:paraId="475B654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Federal R&amp;D expenditures as % of operating budget</w:t>
            </w:r>
          </w:p>
        </w:tc>
        <w:tc>
          <w:tcPr>
            <w:tcW w:w="873" w:type="dxa"/>
            <w:tcBorders>
              <w:top w:val="single" w:sz="4" w:space="0" w:color="auto"/>
              <w:left w:val="nil"/>
              <w:bottom w:val="single" w:sz="4" w:space="0" w:color="auto"/>
              <w:right w:val="nil"/>
            </w:tcBorders>
            <w:shd w:val="clear" w:color="auto" w:fill="auto"/>
            <w:vAlign w:val="bottom"/>
            <w:hideMark/>
          </w:tcPr>
          <w:p w14:paraId="18498A0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Federal Funds R&amp;D obligations</w:t>
            </w:r>
          </w:p>
        </w:tc>
        <w:tc>
          <w:tcPr>
            <w:tcW w:w="968" w:type="dxa"/>
            <w:tcBorders>
              <w:top w:val="single" w:sz="4" w:space="0" w:color="auto"/>
              <w:left w:val="nil"/>
              <w:bottom w:val="single" w:sz="4" w:space="0" w:color="auto"/>
              <w:right w:val="nil"/>
            </w:tcBorders>
            <w:shd w:val="clear" w:color="auto" w:fill="auto"/>
            <w:vAlign w:val="bottom"/>
            <w:hideMark/>
          </w:tcPr>
          <w:p w14:paraId="5841B0B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Federal R&amp;D expenditures as % of obligations</w:t>
            </w:r>
          </w:p>
        </w:tc>
        <w:tc>
          <w:tcPr>
            <w:tcW w:w="880" w:type="dxa"/>
            <w:tcBorders>
              <w:top w:val="single" w:sz="4" w:space="0" w:color="auto"/>
              <w:left w:val="nil"/>
              <w:bottom w:val="single" w:sz="4" w:space="0" w:color="auto"/>
              <w:right w:val="nil"/>
            </w:tcBorders>
            <w:shd w:val="clear" w:color="auto" w:fill="auto"/>
            <w:vAlign w:val="bottom"/>
            <w:hideMark/>
          </w:tcPr>
          <w:p w14:paraId="6B2666A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Sponsoring agency obligations</w:t>
            </w:r>
          </w:p>
        </w:tc>
        <w:tc>
          <w:tcPr>
            <w:tcW w:w="858" w:type="dxa"/>
            <w:tcBorders>
              <w:top w:val="single" w:sz="4" w:space="0" w:color="auto"/>
              <w:left w:val="nil"/>
              <w:bottom w:val="single" w:sz="4" w:space="0" w:color="auto"/>
              <w:right w:val="nil"/>
            </w:tcBorders>
            <w:shd w:val="clear" w:color="auto" w:fill="auto"/>
            <w:vAlign w:val="bottom"/>
            <w:hideMark/>
          </w:tcPr>
          <w:p w14:paraId="3B3DEC2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 </w:t>
            </w:r>
            <w:proofErr w:type="gramStart"/>
            <w:r w:rsidRPr="00C13F36">
              <w:rPr>
                <w:rFonts w:ascii="Arial Narrow" w:hAnsi="Arial Narrow"/>
                <w:color w:val="000000"/>
                <w:spacing w:val="0"/>
                <w:sz w:val="16"/>
                <w:szCs w:val="16"/>
              </w:rPr>
              <w:t>from</w:t>
            </w:r>
            <w:proofErr w:type="gramEnd"/>
            <w:r w:rsidRPr="00C13F36">
              <w:rPr>
                <w:rFonts w:ascii="Arial Narrow" w:hAnsi="Arial Narrow"/>
                <w:color w:val="000000"/>
                <w:spacing w:val="0"/>
                <w:sz w:val="16"/>
                <w:szCs w:val="16"/>
              </w:rPr>
              <w:t xml:space="preserve"> sponsoring agency</w:t>
            </w:r>
          </w:p>
        </w:tc>
        <w:tc>
          <w:tcPr>
            <w:tcW w:w="1001" w:type="dxa"/>
            <w:tcBorders>
              <w:top w:val="single" w:sz="4" w:space="0" w:color="auto"/>
              <w:left w:val="nil"/>
              <w:bottom w:val="single" w:sz="4" w:space="0" w:color="auto"/>
              <w:right w:val="single" w:sz="4" w:space="0" w:color="auto"/>
            </w:tcBorders>
            <w:shd w:val="clear" w:color="auto" w:fill="auto"/>
            <w:vAlign w:val="bottom"/>
            <w:hideMark/>
          </w:tcPr>
          <w:p w14:paraId="5198ED2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Federal R&amp;D expenditures - obligations</w:t>
            </w:r>
          </w:p>
        </w:tc>
      </w:tr>
      <w:tr w:rsidR="00C13F36" w:rsidRPr="00C13F36" w14:paraId="0E0854CD"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1E9F280"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All FFRDCs</w:t>
            </w:r>
          </w:p>
        </w:tc>
        <w:tc>
          <w:tcPr>
            <w:tcW w:w="968" w:type="dxa"/>
            <w:tcBorders>
              <w:top w:val="nil"/>
              <w:left w:val="nil"/>
              <w:bottom w:val="nil"/>
              <w:right w:val="nil"/>
            </w:tcBorders>
            <w:shd w:val="clear" w:color="auto" w:fill="auto"/>
            <w:noWrap/>
            <w:vAlign w:val="bottom"/>
            <w:hideMark/>
          </w:tcPr>
          <w:p w14:paraId="670914F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17,718,556</w:t>
            </w:r>
          </w:p>
        </w:tc>
        <w:tc>
          <w:tcPr>
            <w:tcW w:w="968" w:type="dxa"/>
            <w:tcBorders>
              <w:top w:val="nil"/>
              <w:left w:val="nil"/>
              <w:bottom w:val="nil"/>
              <w:right w:val="nil"/>
            </w:tcBorders>
            <w:shd w:val="clear" w:color="auto" w:fill="auto"/>
            <w:vAlign w:val="bottom"/>
            <w:hideMark/>
          </w:tcPr>
          <w:p w14:paraId="6275C98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17,331,396</w:t>
            </w:r>
          </w:p>
        </w:tc>
        <w:tc>
          <w:tcPr>
            <w:tcW w:w="873" w:type="dxa"/>
            <w:tcBorders>
              <w:top w:val="nil"/>
              <w:left w:val="nil"/>
              <w:bottom w:val="nil"/>
              <w:right w:val="nil"/>
            </w:tcBorders>
            <w:shd w:val="clear" w:color="auto" w:fill="auto"/>
            <w:noWrap/>
            <w:vAlign w:val="bottom"/>
            <w:hideMark/>
          </w:tcPr>
          <w:p w14:paraId="5BC127A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18,245,841</w:t>
            </w:r>
          </w:p>
        </w:tc>
        <w:tc>
          <w:tcPr>
            <w:tcW w:w="968" w:type="dxa"/>
            <w:tcBorders>
              <w:top w:val="nil"/>
              <w:left w:val="nil"/>
              <w:bottom w:val="nil"/>
              <w:right w:val="nil"/>
            </w:tcBorders>
            <w:shd w:val="clear" w:color="auto" w:fill="auto"/>
            <w:noWrap/>
            <w:vAlign w:val="bottom"/>
            <w:hideMark/>
          </w:tcPr>
          <w:p w14:paraId="1C1BACF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95.0</w:t>
            </w:r>
          </w:p>
        </w:tc>
        <w:tc>
          <w:tcPr>
            <w:tcW w:w="873" w:type="dxa"/>
            <w:tcBorders>
              <w:top w:val="nil"/>
              <w:left w:val="nil"/>
              <w:bottom w:val="nil"/>
              <w:right w:val="nil"/>
            </w:tcBorders>
            <w:shd w:val="clear" w:color="auto" w:fill="auto"/>
            <w:vAlign w:val="bottom"/>
            <w:hideMark/>
          </w:tcPr>
          <w:p w14:paraId="6CC7D53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10,565,430</w:t>
            </w:r>
          </w:p>
        </w:tc>
        <w:tc>
          <w:tcPr>
            <w:tcW w:w="968" w:type="dxa"/>
            <w:tcBorders>
              <w:top w:val="nil"/>
              <w:left w:val="nil"/>
              <w:bottom w:val="nil"/>
              <w:right w:val="nil"/>
            </w:tcBorders>
            <w:shd w:val="clear" w:color="auto" w:fill="auto"/>
            <w:vAlign w:val="bottom"/>
            <w:hideMark/>
          </w:tcPr>
          <w:p w14:paraId="494AF25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164.0</w:t>
            </w:r>
          </w:p>
        </w:tc>
        <w:tc>
          <w:tcPr>
            <w:tcW w:w="880" w:type="dxa"/>
            <w:tcBorders>
              <w:top w:val="nil"/>
              <w:left w:val="nil"/>
              <w:bottom w:val="nil"/>
              <w:right w:val="nil"/>
            </w:tcBorders>
            <w:shd w:val="clear" w:color="auto" w:fill="auto"/>
            <w:noWrap/>
            <w:vAlign w:val="bottom"/>
            <w:hideMark/>
          </w:tcPr>
          <w:p w14:paraId="5B3F2A19" w14:textId="77777777" w:rsidR="00C13F36" w:rsidRPr="00C13F36" w:rsidRDefault="00C13F36" w:rsidP="00C13F36">
            <w:pPr>
              <w:jc w:val="right"/>
              <w:rPr>
                <w:rFonts w:ascii="Arial Narrow" w:hAnsi="Arial Narrow"/>
                <w:spacing w:val="0"/>
                <w:sz w:val="16"/>
                <w:szCs w:val="16"/>
              </w:rPr>
            </w:pPr>
            <w:proofErr w:type="spellStart"/>
            <w:proofErr w:type="gramStart"/>
            <w:r w:rsidRPr="00C13F36">
              <w:rPr>
                <w:rFonts w:ascii="Arial Narrow" w:hAnsi="Arial Narrow"/>
                <w:spacing w:val="0"/>
                <w:sz w:val="16"/>
                <w:szCs w:val="16"/>
              </w:rPr>
              <w:t>na</w:t>
            </w:r>
            <w:proofErr w:type="spellEnd"/>
            <w:proofErr w:type="gramEnd"/>
          </w:p>
        </w:tc>
        <w:tc>
          <w:tcPr>
            <w:tcW w:w="858" w:type="dxa"/>
            <w:tcBorders>
              <w:top w:val="nil"/>
              <w:left w:val="nil"/>
              <w:bottom w:val="nil"/>
              <w:right w:val="nil"/>
            </w:tcBorders>
            <w:shd w:val="clear" w:color="auto" w:fill="auto"/>
            <w:noWrap/>
            <w:vAlign w:val="bottom"/>
            <w:hideMark/>
          </w:tcPr>
          <w:p w14:paraId="213EFA05" w14:textId="77777777" w:rsidR="00C13F36" w:rsidRPr="00C13F36" w:rsidRDefault="00C13F36" w:rsidP="00C13F36">
            <w:pPr>
              <w:jc w:val="right"/>
              <w:rPr>
                <w:rFonts w:ascii="Arial Narrow" w:hAnsi="Arial Narrow"/>
                <w:spacing w:val="0"/>
                <w:sz w:val="16"/>
                <w:szCs w:val="16"/>
              </w:rPr>
            </w:pPr>
            <w:proofErr w:type="spellStart"/>
            <w:proofErr w:type="gramStart"/>
            <w:r w:rsidRPr="00C13F36">
              <w:rPr>
                <w:rFonts w:ascii="Arial Narrow" w:hAnsi="Arial Narrow"/>
                <w:spacing w:val="0"/>
                <w:sz w:val="16"/>
                <w:szCs w:val="16"/>
              </w:rPr>
              <w:t>na</w:t>
            </w:r>
            <w:proofErr w:type="spellEnd"/>
            <w:proofErr w:type="gramEnd"/>
          </w:p>
        </w:tc>
        <w:tc>
          <w:tcPr>
            <w:tcW w:w="1001" w:type="dxa"/>
            <w:tcBorders>
              <w:top w:val="nil"/>
              <w:left w:val="nil"/>
              <w:bottom w:val="nil"/>
              <w:right w:val="single" w:sz="4" w:space="0" w:color="auto"/>
            </w:tcBorders>
            <w:shd w:val="clear" w:color="auto" w:fill="auto"/>
            <w:noWrap/>
            <w:vAlign w:val="bottom"/>
            <w:hideMark/>
          </w:tcPr>
          <w:p w14:paraId="080A4BB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6,765,966</w:t>
            </w:r>
          </w:p>
        </w:tc>
      </w:tr>
      <w:tr w:rsidR="00C13F36" w:rsidRPr="00C13F36" w14:paraId="2572893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0A9E65B"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DOD sponsored</w:t>
            </w:r>
          </w:p>
        </w:tc>
        <w:tc>
          <w:tcPr>
            <w:tcW w:w="968" w:type="dxa"/>
            <w:tcBorders>
              <w:top w:val="nil"/>
              <w:left w:val="nil"/>
              <w:bottom w:val="nil"/>
              <w:right w:val="nil"/>
            </w:tcBorders>
            <w:shd w:val="clear" w:color="auto" w:fill="auto"/>
            <w:noWrap/>
            <w:vAlign w:val="bottom"/>
            <w:hideMark/>
          </w:tcPr>
          <w:p w14:paraId="40F71F81"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638067CF"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01B6922"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469D1DA2"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1486B95B"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0F8181F2"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7662E8FE"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4B914E6F"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207AE36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1B112AB3"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3605B4B4"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Aerospace FFRDC</w:t>
            </w:r>
          </w:p>
        </w:tc>
        <w:tc>
          <w:tcPr>
            <w:tcW w:w="968" w:type="dxa"/>
            <w:tcBorders>
              <w:top w:val="nil"/>
              <w:left w:val="nil"/>
              <w:bottom w:val="nil"/>
              <w:right w:val="nil"/>
            </w:tcBorders>
            <w:shd w:val="clear" w:color="auto" w:fill="auto"/>
            <w:noWrap/>
            <w:vAlign w:val="bottom"/>
            <w:hideMark/>
          </w:tcPr>
          <w:p w14:paraId="13F2350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838,708</w:t>
            </w:r>
          </w:p>
        </w:tc>
        <w:tc>
          <w:tcPr>
            <w:tcW w:w="968" w:type="dxa"/>
            <w:tcBorders>
              <w:top w:val="nil"/>
              <w:left w:val="nil"/>
              <w:bottom w:val="nil"/>
              <w:right w:val="nil"/>
            </w:tcBorders>
            <w:shd w:val="clear" w:color="auto" w:fill="auto"/>
            <w:noWrap/>
            <w:vAlign w:val="bottom"/>
            <w:hideMark/>
          </w:tcPr>
          <w:p w14:paraId="4DEA47D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835,600</w:t>
            </w:r>
          </w:p>
        </w:tc>
        <w:tc>
          <w:tcPr>
            <w:tcW w:w="873" w:type="dxa"/>
            <w:tcBorders>
              <w:top w:val="nil"/>
              <w:left w:val="nil"/>
              <w:bottom w:val="nil"/>
              <w:right w:val="nil"/>
            </w:tcBorders>
            <w:shd w:val="clear" w:color="auto" w:fill="auto"/>
            <w:noWrap/>
            <w:vAlign w:val="bottom"/>
            <w:hideMark/>
          </w:tcPr>
          <w:p w14:paraId="2FD37A5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881,001</w:t>
            </w:r>
          </w:p>
        </w:tc>
        <w:tc>
          <w:tcPr>
            <w:tcW w:w="968" w:type="dxa"/>
            <w:tcBorders>
              <w:top w:val="nil"/>
              <w:left w:val="nil"/>
              <w:bottom w:val="nil"/>
              <w:right w:val="nil"/>
            </w:tcBorders>
            <w:shd w:val="clear" w:color="auto" w:fill="auto"/>
            <w:noWrap/>
            <w:vAlign w:val="bottom"/>
            <w:hideMark/>
          </w:tcPr>
          <w:p w14:paraId="5F0A51D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94.8</w:t>
            </w:r>
          </w:p>
        </w:tc>
        <w:tc>
          <w:tcPr>
            <w:tcW w:w="873" w:type="dxa"/>
            <w:tcBorders>
              <w:top w:val="nil"/>
              <w:left w:val="nil"/>
              <w:bottom w:val="nil"/>
              <w:right w:val="nil"/>
            </w:tcBorders>
            <w:shd w:val="clear" w:color="auto" w:fill="auto"/>
            <w:vAlign w:val="bottom"/>
            <w:hideMark/>
          </w:tcPr>
          <w:p w14:paraId="29F3BD2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136,385</w:t>
            </w:r>
          </w:p>
        </w:tc>
        <w:tc>
          <w:tcPr>
            <w:tcW w:w="968" w:type="dxa"/>
            <w:tcBorders>
              <w:top w:val="nil"/>
              <w:left w:val="nil"/>
              <w:bottom w:val="nil"/>
              <w:right w:val="nil"/>
            </w:tcBorders>
            <w:shd w:val="clear" w:color="auto" w:fill="auto"/>
            <w:vAlign w:val="bottom"/>
            <w:hideMark/>
          </w:tcPr>
          <w:p w14:paraId="06ACD65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612.7</w:t>
            </w:r>
          </w:p>
        </w:tc>
        <w:tc>
          <w:tcPr>
            <w:tcW w:w="880" w:type="dxa"/>
            <w:tcBorders>
              <w:top w:val="nil"/>
              <w:left w:val="nil"/>
              <w:bottom w:val="nil"/>
              <w:right w:val="nil"/>
            </w:tcBorders>
            <w:shd w:val="clear" w:color="auto" w:fill="auto"/>
            <w:vAlign w:val="bottom"/>
            <w:hideMark/>
          </w:tcPr>
          <w:p w14:paraId="2FA7988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 116,146 </w:t>
            </w:r>
          </w:p>
        </w:tc>
        <w:tc>
          <w:tcPr>
            <w:tcW w:w="858" w:type="dxa"/>
            <w:tcBorders>
              <w:top w:val="nil"/>
              <w:left w:val="nil"/>
              <w:bottom w:val="nil"/>
              <w:right w:val="nil"/>
            </w:tcBorders>
            <w:shd w:val="clear" w:color="auto" w:fill="auto"/>
            <w:noWrap/>
            <w:vAlign w:val="bottom"/>
            <w:hideMark/>
          </w:tcPr>
          <w:p w14:paraId="4B93537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85.2</w:t>
            </w:r>
          </w:p>
        </w:tc>
        <w:tc>
          <w:tcPr>
            <w:tcW w:w="1001" w:type="dxa"/>
            <w:tcBorders>
              <w:top w:val="nil"/>
              <w:left w:val="nil"/>
              <w:bottom w:val="nil"/>
              <w:right w:val="single" w:sz="4" w:space="0" w:color="auto"/>
            </w:tcBorders>
            <w:shd w:val="clear" w:color="auto" w:fill="auto"/>
            <w:noWrap/>
            <w:vAlign w:val="bottom"/>
            <w:hideMark/>
          </w:tcPr>
          <w:p w14:paraId="6DF6406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699,215</w:t>
            </w:r>
          </w:p>
        </w:tc>
      </w:tr>
      <w:tr w:rsidR="00C13F36" w:rsidRPr="00C13F36" w14:paraId="297253A5"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C9FDDEE"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Project Air Force</w:t>
            </w:r>
          </w:p>
        </w:tc>
        <w:tc>
          <w:tcPr>
            <w:tcW w:w="968" w:type="dxa"/>
            <w:tcBorders>
              <w:top w:val="nil"/>
              <w:left w:val="nil"/>
              <w:bottom w:val="nil"/>
              <w:right w:val="nil"/>
            </w:tcBorders>
            <w:shd w:val="clear" w:color="auto" w:fill="auto"/>
            <w:noWrap/>
            <w:vAlign w:val="bottom"/>
            <w:hideMark/>
          </w:tcPr>
          <w:p w14:paraId="1C11E98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39,351</w:t>
            </w:r>
          </w:p>
        </w:tc>
        <w:tc>
          <w:tcPr>
            <w:tcW w:w="968" w:type="dxa"/>
            <w:tcBorders>
              <w:top w:val="nil"/>
              <w:left w:val="nil"/>
              <w:bottom w:val="nil"/>
              <w:right w:val="nil"/>
            </w:tcBorders>
            <w:shd w:val="clear" w:color="auto" w:fill="auto"/>
            <w:noWrap/>
            <w:vAlign w:val="bottom"/>
            <w:hideMark/>
          </w:tcPr>
          <w:p w14:paraId="763983E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39,351</w:t>
            </w:r>
          </w:p>
        </w:tc>
        <w:tc>
          <w:tcPr>
            <w:tcW w:w="873" w:type="dxa"/>
            <w:tcBorders>
              <w:top w:val="nil"/>
              <w:left w:val="nil"/>
              <w:bottom w:val="nil"/>
              <w:right w:val="nil"/>
            </w:tcBorders>
            <w:shd w:val="clear" w:color="auto" w:fill="auto"/>
            <w:noWrap/>
            <w:vAlign w:val="bottom"/>
            <w:hideMark/>
          </w:tcPr>
          <w:p w14:paraId="1785881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39,351</w:t>
            </w:r>
          </w:p>
        </w:tc>
        <w:tc>
          <w:tcPr>
            <w:tcW w:w="968" w:type="dxa"/>
            <w:tcBorders>
              <w:top w:val="nil"/>
              <w:left w:val="nil"/>
              <w:bottom w:val="nil"/>
              <w:right w:val="nil"/>
            </w:tcBorders>
            <w:shd w:val="clear" w:color="auto" w:fill="auto"/>
            <w:noWrap/>
            <w:vAlign w:val="bottom"/>
            <w:hideMark/>
          </w:tcPr>
          <w:p w14:paraId="78C382B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7F79CF6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31,806</w:t>
            </w:r>
          </w:p>
        </w:tc>
        <w:tc>
          <w:tcPr>
            <w:tcW w:w="968" w:type="dxa"/>
            <w:tcBorders>
              <w:top w:val="nil"/>
              <w:left w:val="nil"/>
              <w:bottom w:val="nil"/>
              <w:right w:val="nil"/>
            </w:tcBorders>
            <w:shd w:val="clear" w:color="auto" w:fill="auto"/>
            <w:vAlign w:val="bottom"/>
            <w:hideMark/>
          </w:tcPr>
          <w:p w14:paraId="7F16ECF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123.7</w:t>
            </w:r>
          </w:p>
        </w:tc>
        <w:tc>
          <w:tcPr>
            <w:tcW w:w="880" w:type="dxa"/>
            <w:tcBorders>
              <w:top w:val="nil"/>
              <w:left w:val="nil"/>
              <w:bottom w:val="nil"/>
              <w:right w:val="nil"/>
            </w:tcBorders>
            <w:shd w:val="clear" w:color="auto" w:fill="auto"/>
            <w:vAlign w:val="bottom"/>
            <w:hideMark/>
          </w:tcPr>
          <w:p w14:paraId="2D8CFF3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 31,806 </w:t>
            </w:r>
          </w:p>
        </w:tc>
        <w:tc>
          <w:tcPr>
            <w:tcW w:w="858" w:type="dxa"/>
            <w:tcBorders>
              <w:top w:val="nil"/>
              <w:left w:val="nil"/>
              <w:bottom w:val="nil"/>
              <w:right w:val="nil"/>
            </w:tcBorders>
            <w:shd w:val="clear" w:color="auto" w:fill="auto"/>
            <w:noWrap/>
            <w:vAlign w:val="bottom"/>
            <w:hideMark/>
          </w:tcPr>
          <w:p w14:paraId="1527D23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33B7B39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7,545</w:t>
            </w:r>
          </w:p>
        </w:tc>
      </w:tr>
      <w:tr w:rsidR="00C13F36" w:rsidRPr="00C13F36" w14:paraId="5C4C331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1FFB0F8"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Arroyo Ctr.</w:t>
            </w:r>
          </w:p>
        </w:tc>
        <w:tc>
          <w:tcPr>
            <w:tcW w:w="968" w:type="dxa"/>
            <w:tcBorders>
              <w:top w:val="nil"/>
              <w:left w:val="nil"/>
              <w:bottom w:val="nil"/>
              <w:right w:val="nil"/>
            </w:tcBorders>
            <w:shd w:val="clear" w:color="auto" w:fill="auto"/>
            <w:noWrap/>
            <w:vAlign w:val="bottom"/>
            <w:hideMark/>
          </w:tcPr>
          <w:p w14:paraId="6934CD4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33,391</w:t>
            </w:r>
          </w:p>
        </w:tc>
        <w:tc>
          <w:tcPr>
            <w:tcW w:w="968" w:type="dxa"/>
            <w:tcBorders>
              <w:top w:val="nil"/>
              <w:left w:val="nil"/>
              <w:bottom w:val="nil"/>
              <w:right w:val="nil"/>
            </w:tcBorders>
            <w:shd w:val="clear" w:color="auto" w:fill="auto"/>
            <w:noWrap/>
            <w:vAlign w:val="bottom"/>
            <w:hideMark/>
          </w:tcPr>
          <w:p w14:paraId="29B3AC3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33,391</w:t>
            </w:r>
          </w:p>
        </w:tc>
        <w:tc>
          <w:tcPr>
            <w:tcW w:w="873" w:type="dxa"/>
            <w:tcBorders>
              <w:top w:val="nil"/>
              <w:left w:val="nil"/>
              <w:bottom w:val="nil"/>
              <w:right w:val="nil"/>
            </w:tcBorders>
            <w:shd w:val="clear" w:color="auto" w:fill="auto"/>
            <w:noWrap/>
            <w:vAlign w:val="bottom"/>
            <w:hideMark/>
          </w:tcPr>
          <w:p w14:paraId="6CE316F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33,391</w:t>
            </w:r>
          </w:p>
        </w:tc>
        <w:tc>
          <w:tcPr>
            <w:tcW w:w="968" w:type="dxa"/>
            <w:tcBorders>
              <w:top w:val="nil"/>
              <w:left w:val="nil"/>
              <w:bottom w:val="nil"/>
              <w:right w:val="nil"/>
            </w:tcBorders>
            <w:shd w:val="clear" w:color="auto" w:fill="auto"/>
            <w:noWrap/>
            <w:vAlign w:val="bottom"/>
            <w:hideMark/>
          </w:tcPr>
          <w:p w14:paraId="5EF40EA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53E2836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1,973</w:t>
            </w:r>
          </w:p>
        </w:tc>
        <w:tc>
          <w:tcPr>
            <w:tcW w:w="968" w:type="dxa"/>
            <w:tcBorders>
              <w:top w:val="nil"/>
              <w:left w:val="nil"/>
              <w:bottom w:val="nil"/>
              <w:right w:val="nil"/>
            </w:tcBorders>
            <w:shd w:val="clear" w:color="auto" w:fill="auto"/>
            <w:vAlign w:val="bottom"/>
            <w:hideMark/>
          </w:tcPr>
          <w:p w14:paraId="33D8718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1,692.4</w:t>
            </w:r>
          </w:p>
        </w:tc>
        <w:tc>
          <w:tcPr>
            <w:tcW w:w="880" w:type="dxa"/>
            <w:tcBorders>
              <w:top w:val="nil"/>
              <w:left w:val="nil"/>
              <w:bottom w:val="nil"/>
              <w:right w:val="nil"/>
            </w:tcBorders>
            <w:shd w:val="clear" w:color="auto" w:fill="auto"/>
            <w:vAlign w:val="bottom"/>
            <w:hideMark/>
          </w:tcPr>
          <w:p w14:paraId="1188BAE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 1,973 </w:t>
            </w:r>
          </w:p>
        </w:tc>
        <w:tc>
          <w:tcPr>
            <w:tcW w:w="858" w:type="dxa"/>
            <w:tcBorders>
              <w:top w:val="nil"/>
              <w:left w:val="nil"/>
              <w:bottom w:val="nil"/>
              <w:right w:val="nil"/>
            </w:tcBorders>
            <w:shd w:val="clear" w:color="auto" w:fill="auto"/>
            <w:noWrap/>
            <w:vAlign w:val="bottom"/>
            <w:hideMark/>
          </w:tcPr>
          <w:p w14:paraId="457664B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6A01A60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31,418</w:t>
            </w:r>
          </w:p>
        </w:tc>
      </w:tr>
      <w:tr w:rsidR="00C13F36" w:rsidRPr="00C13F36" w14:paraId="781365F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24FCDB1"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Ctr. for Naval Analyses</w:t>
            </w:r>
          </w:p>
        </w:tc>
        <w:tc>
          <w:tcPr>
            <w:tcW w:w="968" w:type="dxa"/>
            <w:tcBorders>
              <w:top w:val="nil"/>
              <w:left w:val="nil"/>
              <w:bottom w:val="nil"/>
              <w:right w:val="nil"/>
            </w:tcBorders>
            <w:shd w:val="clear" w:color="auto" w:fill="auto"/>
            <w:noWrap/>
            <w:vAlign w:val="bottom"/>
            <w:hideMark/>
          </w:tcPr>
          <w:p w14:paraId="7A92FA2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80,283</w:t>
            </w:r>
          </w:p>
        </w:tc>
        <w:tc>
          <w:tcPr>
            <w:tcW w:w="968" w:type="dxa"/>
            <w:tcBorders>
              <w:top w:val="nil"/>
              <w:left w:val="nil"/>
              <w:bottom w:val="nil"/>
              <w:right w:val="nil"/>
            </w:tcBorders>
            <w:shd w:val="clear" w:color="auto" w:fill="auto"/>
            <w:noWrap/>
            <w:vAlign w:val="bottom"/>
            <w:hideMark/>
          </w:tcPr>
          <w:p w14:paraId="7394B2B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80,283</w:t>
            </w:r>
          </w:p>
        </w:tc>
        <w:tc>
          <w:tcPr>
            <w:tcW w:w="873" w:type="dxa"/>
            <w:tcBorders>
              <w:top w:val="nil"/>
              <w:left w:val="nil"/>
              <w:bottom w:val="nil"/>
              <w:right w:val="nil"/>
            </w:tcBorders>
            <w:shd w:val="clear" w:color="auto" w:fill="auto"/>
            <w:noWrap/>
            <w:vAlign w:val="bottom"/>
            <w:hideMark/>
          </w:tcPr>
          <w:p w14:paraId="2A99080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109,582</w:t>
            </w:r>
          </w:p>
        </w:tc>
        <w:tc>
          <w:tcPr>
            <w:tcW w:w="968" w:type="dxa"/>
            <w:tcBorders>
              <w:top w:val="nil"/>
              <w:left w:val="nil"/>
              <w:bottom w:val="nil"/>
              <w:right w:val="nil"/>
            </w:tcBorders>
            <w:shd w:val="clear" w:color="auto" w:fill="auto"/>
            <w:noWrap/>
            <w:vAlign w:val="bottom"/>
            <w:hideMark/>
          </w:tcPr>
          <w:p w14:paraId="4BD4A2A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73.3</w:t>
            </w:r>
          </w:p>
        </w:tc>
        <w:tc>
          <w:tcPr>
            <w:tcW w:w="873" w:type="dxa"/>
            <w:tcBorders>
              <w:top w:val="nil"/>
              <w:left w:val="nil"/>
              <w:bottom w:val="nil"/>
              <w:right w:val="nil"/>
            </w:tcBorders>
            <w:shd w:val="clear" w:color="auto" w:fill="auto"/>
            <w:vAlign w:val="bottom"/>
            <w:hideMark/>
          </w:tcPr>
          <w:p w14:paraId="37715C9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49,938</w:t>
            </w:r>
          </w:p>
        </w:tc>
        <w:tc>
          <w:tcPr>
            <w:tcW w:w="968" w:type="dxa"/>
            <w:tcBorders>
              <w:top w:val="nil"/>
              <w:left w:val="nil"/>
              <w:bottom w:val="nil"/>
              <w:right w:val="nil"/>
            </w:tcBorders>
            <w:shd w:val="clear" w:color="auto" w:fill="auto"/>
            <w:vAlign w:val="bottom"/>
            <w:hideMark/>
          </w:tcPr>
          <w:p w14:paraId="12F9672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160.8</w:t>
            </w:r>
          </w:p>
        </w:tc>
        <w:tc>
          <w:tcPr>
            <w:tcW w:w="880" w:type="dxa"/>
            <w:tcBorders>
              <w:top w:val="nil"/>
              <w:left w:val="nil"/>
              <w:bottom w:val="nil"/>
              <w:right w:val="nil"/>
            </w:tcBorders>
            <w:shd w:val="clear" w:color="auto" w:fill="auto"/>
            <w:noWrap/>
            <w:vAlign w:val="bottom"/>
            <w:hideMark/>
          </w:tcPr>
          <w:p w14:paraId="04F7A87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49,938 </w:t>
            </w:r>
          </w:p>
        </w:tc>
        <w:tc>
          <w:tcPr>
            <w:tcW w:w="858" w:type="dxa"/>
            <w:tcBorders>
              <w:top w:val="nil"/>
              <w:left w:val="nil"/>
              <w:bottom w:val="nil"/>
              <w:right w:val="nil"/>
            </w:tcBorders>
            <w:shd w:val="clear" w:color="auto" w:fill="auto"/>
            <w:noWrap/>
            <w:vAlign w:val="bottom"/>
            <w:hideMark/>
          </w:tcPr>
          <w:p w14:paraId="2C0616B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00A293F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30,345</w:t>
            </w:r>
          </w:p>
        </w:tc>
      </w:tr>
      <w:tr w:rsidR="00C13F36" w:rsidRPr="00C13F36" w14:paraId="53BEC6BD"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B3C6D09"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Ctr. for Communications and Computing</w:t>
            </w:r>
          </w:p>
        </w:tc>
        <w:tc>
          <w:tcPr>
            <w:tcW w:w="968" w:type="dxa"/>
            <w:tcBorders>
              <w:top w:val="nil"/>
              <w:left w:val="nil"/>
              <w:bottom w:val="nil"/>
              <w:right w:val="nil"/>
            </w:tcBorders>
            <w:shd w:val="clear" w:color="auto" w:fill="auto"/>
            <w:noWrap/>
            <w:vAlign w:val="bottom"/>
            <w:hideMark/>
          </w:tcPr>
          <w:p w14:paraId="782FB44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63,199</w:t>
            </w:r>
          </w:p>
        </w:tc>
        <w:tc>
          <w:tcPr>
            <w:tcW w:w="968" w:type="dxa"/>
            <w:tcBorders>
              <w:top w:val="nil"/>
              <w:left w:val="nil"/>
              <w:bottom w:val="nil"/>
              <w:right w:val="nil"/>
            </w:tcBorders>
            <w:shd w:val="clear" w:color="auto" w:fill="auto"/>
            <w:noWrap/>
            <w:vAlign w:val="bottom"/>
            <w:hideMark/>
          </w:tcPr>
          <w:p w14:paraId="592408F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63,199</w:t>
            </w:r>
          </w:p>
        </w:tc>
        <w:tc>
          <w:tcPr>
            <w:tcW w:w="873" w:type="dxa"/>
            <w:tcBorders>
              <w:top w:val="nil"/>
              <w:left w:val="nil"/>
              <w:bottom w:val="nil"/>
              <w:right w:val="nil"/>
            </w:tcBorders>
            <w:shd w:val="clear" w:color="auto" w:fill="auto"/>
            <w:noWrap/>
            <w:vAlign w:val="bottom"/>
            <w:hideMark/>
          </w:tcPr>
          <w:p w14:paraId="5678F1A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63,199</w:t>
            </w:r>
          </w:p>
        </w:tc>
        <w:tc>
          <w:tcPr>
            <w:tcW w:w="968" w:type="dxa"/>
            <w:tcBorders>
              <w:top w:val="nil"/>
              <w:left w:val="nil"/>
              <w:bottom w:val="nil"/>
              <w:right w:val="nil"/>
            </w:tcBorders>
            <w:shd w:val="clear" w:color="auto" w:fill="auto"/>
            <w:noWrap/>
            <w:vAlign w:val="bottom"/>
            <w:hideMark/>
          </w:tcPr>
          <w:p w14:paraId="78DA77A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702DAE3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2,060</w:t>
            </w:r>
          </w:p>
        </w:tc>
        <w:tc>
          <w:tcPr>
            <w:tcW w:w="968" w:type="dxa"/>
            <w:tcBorders>
              <w:top w:val="nil"/>
              <w:left w:val="nil"/>
              <w:bottom w:val="nil"/>
              <w:right w:val="nil"/>
            </w:tcBorders>
            <w:shd w:val="clear" w:color="auto" w:fill="auto"/>
            <w:vAlign w:val="bottom"/>
            <w:hideMark/>
          </w:tcPr>
          <w:p w14:paraId="23815EC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3,067.9</w:t>
            </w:r>
          </w:p>
        </w:tc>
        <w:tc>
          <w:tcPr>
            <w:tcW w:w="880" w:type="dxa"/>
            <w:tcBorders>
              <w:top w:val="nil"/>
              <w:left w:val="nil"/>
              <w:bottom w:val="nil"/>
              <w:right w:val="nil"/>
            </w:tcBorders>
            <w:shd w:val="clear" w:color="auto" w:fill="auto"/>
            <w:noWrap/>
            <w:vAlign w:val="bottom"/>
            <w:hideMark/>
          </w:tcPr>
          <w:p w14:paraId="351CE5C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2,060 </w:t>
            </w:r>
          </w:p>
        </w:tc>
        <w:tc>
          <w:tcPr>
            <w:tcW w:w="858" w:type="dxa"/>
            <w:tcBorders>
              <w:top w:val="nil"/>
              <w:left w:val="nil"/>
              <w:bottom w:val="nil"/>
              <w:right w:val="nil"/>
            </w:tcBorders>
            <w:shd w:val="clear" w:color="auto" w:fill="auto"/>
            <w:noWrap/>
            <w:vAlign w:val="bottom"/>
            <w:hideMark/>
          </w:tcPr>
          <w:p w14:paraId="30A90BE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603B086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61,139</w:t>
            </w:r>
          </w:p>
        </w:tc>
      </w:tr>
      <w:tr w:rsidR="00C13F36" w:rsidRPr="00C13F36" w14:paraId="6C0F4449"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8DB20A4"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Lincoln Lab.</w:t>
            </w:r>
          </w:p>
        </w:tc>
        <w:tc>
          <w:tcPr>
            <w:tcW w:w="968" w:type="dxa"/>
            <w:tcBorders>
              <w:top w:val="nil"/>
              <w:left w:val="nil"/>
              <w:bottom w:val="nil"/>
              <w:right w:val="nil"/>
            </w:tcBorders>
            <w:shd w:val="clear" w:color="auto" w:fill="auto"/>
            <w:noWrap/>
            <w:vAlign w:val="bottom"/>
            <w:hideMark/>
          </w:tcPr>
          <w:p w14:paraId="6980279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830,076</w:t>
            </w:r>
          </w:p>
        </w:tc>
        <w:tc>
          <w:tcPr>
            <w:tcW w:w="968" w:type="dxa"/>
            <w:tcBorders>
              <w:top w:val="nil"/>
              <w:left w:val="nil"/>
              <w:bottom w:val="nil"/>
              <w:right w:val="nil"/>
            </w:tcBorders>
            <w:shd w:val="clear" w:color="auto" w:fill="auto"/>
            <w:noWrap/>
            <w:vAlign w:val="bottom"/>
            <w:hideMark/>
          </w:tcPr>
          <w:p w14:paraId="747AC66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827,461</w:t>
            </w:r>
          </w:p>
        </w:tc>
        <w:tc>
          <w:tcPr>
            <w:tcW w:w="873" w:type="dxa"/>
            <w:tcBorders>
              <w:top w:val="nil"/>
              <w:left w:val="nil"/>
              <w:bottom w:val="nil"/>
              <w:right w:val="nil"/>
            </w:tcBorders>
            <w:shd w:val="clear" w:color="auto" w:fill="auto"/>
            <w:vAlign w:val="bottom"/>
            <w:hideMark/>
          </w:tcPr>
          <w:p w14:paraId="251A70B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968" w:type="dxa"/>
            <w:tcBorders>
              <w:top w:val="nil"/>
              <w:left w:val="nil"/>
              <w:bottom w:val="nil"/>
              <w:right w:val="nil"/>
            </w:tcBorders>
            <w:shd w:val="clear" w:color="auto" w:fill="auto"/>
            <w:noWrap/>
            <w:vAlign w:val="bottom"/>
            <w:hideMark/>
          </w:tcPr>
          <w:p w14:paraId="02636D9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873" w:type="dxa"/>
            <w:tcBorders>
              <w:top w:val="nil"/>
              <w:left w:val="nil"/>
              <w:bottom w:val="nil"/>
              <w:right w:val="nil"/>
            </w:tcBorders>
            <w:shd w:val="clear" w:color="auto" w:fill="auto"/>
            <w:vAlign w:val="bottom"/>
            <w:hideMark/>
          </w:tcPr>
          <w:p w14:paraId="3B70AB9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303,508</w:t>
            </w:r>
          </w:p>
        </w:tc>
        <w:tc>
          <w:tcPr>
            <w:tcW w:w="968" w:type="dxa"/>
            <w:tcBorders>
              <w:top w:val="nil"/>
              <w:left w:val="nil"/>
              <w:bottom w:val="nil"/>
              <w:right w:val="nil"/>
            </w:tcBorders>
            <w:shd w:val="clear" w:color="auto" w:fill="auto"/>
            <w:vAlign w:val="bottom"/>
            <w:hideMark/>
          </w:tcPr>
          <w:p w14:paraId="6C72FF3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272.6</w:t>
            </w:r>
          </w:p>
        </w:tc>
        <w:tc>
          <w:tcPr>
            <w:tcW w:w="880" w:type="dxa"/>
            <w:tcBorders>
              <w:top w:val="nil"/>
              <w:left w:val="nil"/>
              <w:bottom w:val="nil"/>
              <w:right w:val="nil"/>
            </w:tcBorders>
            <w:shd w:val="clear" w:color="auto" w:fill="auto"/>
            <w:noWrap/>
            <w:vAlign w:val="bottom"/>
            <w:hideMark/>
          </w:tcPr>
          <w:p w14:paraId="12B4F50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303,508 </w:t>
            </w:r>
          </w:p>
        </w:tc>
        <w:tc>
          <w:tcPr>
            <w:tcW w:w="858" w:type="dxa"/>
            <w:tcBorders>
              <w:top w:val="nil"/>
              <w:left w:val="nil"/>
              <w:bottom w:val="nil"/>
              <w:right w:val="nil"/>
            </w:tcBorders>
            <w:shd w:val="clear" w:color="auto" w:fill="auto"/>
            <w:noWrap/>
            <w:vAlign w:val="bottom"/>
            <w:hideMark/>
          </w:tcPr>
          <w:p w14:paraId="4328317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77FE264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523,953</w:t>
            </w:r>
          </w:p>
        </w:tc>
      </w:tr>
      <w:tr w:rsidR="00C13F36" w:rsidRPr="00C13F36" w14:paraId="34CB9B0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0BBA446"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Security Engineering Ctr.</w:t>
            </w:r>
          </w:p>
        </w:tc>
        <w:tc>
          <w:tcPr>
            <w:tcW w:w="968" w:type="dxa"/>
            <w:tcBorders>
              <w:top w:val="nil"/>
              <w:left w:val="nil"/>
              <w:bottom w:val="nil"/>
              <w:right w:val="nil"/>
            </w:tcBorders>
            <w:shd w:val="clear" w:color="auto" w:fill="auto"/>
            <w:noWrap/>
            <w:vAlign w:val="bottom"/>
            <w:hideMark/>
          </w:tcPr>
          <w:p w14:paraId="5999DFB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885,382</w:t>
            </w:r>
          </w:p>
        </w:tc>
        <w:tc>
          <w:tcPr>
            <w:tcW w:w="968" w:type="dxa"/>
            <w:tcBorders>
              <w:top w:val="nil"/>
              <w:left w:val="nil"/>
              <w:bottom w:val="nil"/>
              <w:right w:val="nil"/>
            </w:tcBorders>
            <w:shd w:val="clear" w:color="auto" w:fill="auto"/>
            <w:noWrap/>
            <w:vAlign w:val="bottom"/>
            <w:hideMark/>
          </w:tcPr>
          <w:p w14:paraId="7F28DBA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885,382</w:t>
            </w:r>
          </w:p>
        </w:tc>
        <w:tc>
          <w:tcPr>
            <w:tcW w:w="873" w:type="dxa"/>
            <w:tcBorders>
              <w:top w:val="nil"/>
              <w:left w:val="nil"/>
              <w:bottom w:val="nil"/>
              <w:right w:val="nil"/>
            </w:tcBorders>
            <w:shd w:val="clear" w:color="auto" w:fill="auto"/>
            <w:noWrap/>
            <w:vAlign w:val="bottom"/>
            <w:hideMark/>
          </w:tcPr>
          <w:p w14:paraId="5D7F83E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885,382</w:t>
            </w:r>
          </w:p>
        </w:tc>
        <w:tc>
          <w:tcPr>
            <w:tcW w:w="968" w:type="dxa"/>
            <w:tcBorders>
              <w:top w:val="nil"/>
              <w:left w:val="nil"/>
              <w:bottom w:val="nil"/>
              <w:right w:val="nil"/>
            </w:tcBorders>
            <w:shd w:val="clear" w:color="auto" w:fill="auto"/>
            <w:noWrap/>
            <w:vAlign w:val="bottom"/>
            <w:hideMark/>
          </w:tcPr>
          <w:p w14:paraId="7FF37CC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3B07761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184,627</w:t>
            </w:r>
          </w:p>
        </w:tc>
        <w:tc>
          <w:tcPr>
            <w:tcW w:w="968" w:type="dxa"/>
            <w:tcBorders>
              <w:top w:val="nil"/>
              <w:left w:val="nil"/>
              <w:bottom w:val="nil"/>
              <w:right w:val="nil"/>
            </w:tcBorders>
            <w:shd w:val="clear" w:color="auto" w:fill="auto"/>
            <w:vAlign w:val="bottom"/>
            <w:hideMark/>
          </w:tcPr>
          <w:p w14:paraId="28499A5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479.6</w:t>
            </w:r>
          </w:p>
        </w:tc>
        <w:tc>
          <w:tcPr>
            <w:tcW w:w="880" w:type="dxa"/>
            <w:tcBorders>
              <w:top w:val="nil"/>
              <w:left w:val="nil"/>
              <w:bottom w:val="nil"/>
              <w:right w:val="nil"/>
            </w:tcBorders>
            <w:shd w:val="clear" w:color="auto" w:fill="auto"/>
            <w:noWrap/>
            <w:vAlign w:val="bottom"/>
            <w:hideMark/>
          </w:tcPr>
          <w:p w14:paraId="2AB28A2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184,627 </w:t>
            </w:r>
          </w:p>
        </w:tc>
        <w:tc>
          <w:tcPr>
            <w:tcW w:w="858" w:type="dxa"/>
            <w:tcBorders>
              <w:top w:val="nil"/>
              <w:left w:val="nil"/>
              <w:bottom w:val="nil"/>
              <w:right w:val="nil"/>
            </w:tcBorders>
            <w:shd w:val="clear" w:color="auto" w:fill="auto"/>
            <w:noWrap/>
            <w:vAlign w:val="bottom"/>
            <w:hideMark/>
          </w:tcPr>
          <w:p w14:paraId="1E6A6A1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7373994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700,755</w:t>
            </w:r>
          </w:p>
        </w:tc>
      </w:tr>
      <w:tr w:rsidR="00C13F36" w:rsidRPr="00C13F36" w14:paraId="35B5D088"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0207F102"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Software Engineering Institute</w:t>
            </w:r>
          </w:p>
        </w:tc>
        <w:tc>
          <w:tcPr>
            <w:tcW w:w="968" w:type="dxa"/>
            <w:tcBorders>
              <w:top w:val="nil"/>
              <w:left w:val="nil"/>
              <w:bottom w:val="nil"/>
              <w:right w:val="nil"/>
            </w:tcBorders>
            <w:shd w:val="clear" w:color="auto" w:fill="auto"/>
            <w:noWrap/>
            <w:vAlign w:val="bottom"/>
            <w:hideMark/>
          </w:tcPr>
          <w:p w14:paraId="05B57E7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123,217</w:t>
            </w:r>
          </w:p>
        </w:tc>
        <w:tc>
          <w:tcPr>
            <w:tcW w:w="968" w:type="dxa"/>
            <w:tcBorders>
              <w:top w:val="nil"/>
              <w:left w:val="nil"/>
              <w:bottom w:val="nil"/>
              <w:right w:val="nil"/>
            </w:tcBorders>
            <w:shd w:val="clear" w:color="auto" w:fill="auto"/>
            <w:noWrap/>
            <w:vAlign w:val="bottom"/>
            <w:hideMark/>
          </w:tcPr>
          <w:p w14:paraId="1EC08F0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123,217</w:t>
            </w:r>
          </w:p>
        </w:tc>
        <w:tc>
          <w:tcPr>
            <w:tcW w:w="873" w:type="dxa"/>
            <w:tcBorders>
              <w:top w:val="nil"/>
              <w:left w:val="nil"/>
              <w:bottom w:val="nil"/>
              <w:right w:val="nil"/>
            </w:tcBorders>
            <w:shd w:val="clear" w:color="auto" w:fill="auto"/>
            <w:noWrap/>
            <w:vAlign w:val="bottom"/>
            <w:hideMark/>
          </w:tcPr>
          <w:p w14:paraId="5C3C693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123,217</w:t>
            </w:r>
          </w:p>
        </w:tc>
        <w:tc>
          <w:tcPr>
            <w:tcW w:w="968" w:type="dxa"/>
            <w:tcBorders>
              <w:top w:val="nil"/>
              <w:left w:val="nil"/>
              <w:bottom w:val="nil"/>
              <w:right w:val="nil"/>
            </w:tcBorders>
            <w:shd w:val="clear" w:color="auto" w:fill="auto"/>
            <w:noWrap/>
            <w:vAlign w:val="bottom"/>
            <w:hideMark/>
          </w:tcPr>
          <w:p w14:paraId="149E01F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0CBF51A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27,926</w:t>
            </w:r>
          </w:p>
        </w:tc>
        <w:tc>
          <w:tcPr>
            <w:tcW w:w="968" w:type="dxa"/>
            <w:tcBorders>
              <w:top w:val="nil"/>
              <w:left w:val="nil"/>
              <w:bottom w:val="nil"/>
              <w:right w:val="nil"/>
            </w:tcBorders>
            <w:shd w:val="clear" w:color="auto" w:fill="auto"/>
            <w:vAlign w:val="bottom"/>
            <w:hideMark/>
          </w:tcPr>
          <w:p w14:paraId="22AD42F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441.2</w:t>
            </w:r>
          </w:p>
        </w:tc>
        <w:tc>
          <w:tcPr>
            <w:tcW w:w="880" w:type="dxa"/>
            <w:tcBorders>
              <w:top w:val="nil"/>
              <w:left w:val="nil"/>
              <w:bottom w:val="nil"/>
              <w:right w:val="nil"/>
            </w:tcBorders>
            <w:shd w:val="clear" w:color="auto" w:fill="auto"/>
            <w:noWrap/>
            <w:vAlign w:val="bottom"/>
            <w:hideMark/>
          </w:tcPr>
          <w:p w14:paraId="6BEF1E3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27,399 </w:t>
            </w:r>
          </w:p>
        </w:tc>
        <w:tc>
          <w:tcPr>
            <w:tcW w:w="858" w:type="dxa"/>
            <w:tcBorders>
              <w:top w:val="nil"/>
              <w:left w:val="nil"/>
              <w:bottom w:val="nil"/>
              <w:right w:val="nil"/>
            </w:tcBorders>
            <w:shd w:val="clear" w:color="auto" w:fill="auto"/>
            <w:noWrap/>
            <w:vAlign w:val="bottom"/>
            <w:hideMark/>
          </w:tcPr>
          <w:p w14:paraId="4F6773C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98.1</w:t>
            </w:r>
          </w:p>
        </w:tc>
        <w:tc>
          <w:tcPr>
            <w:tcW w:w="1001" w:type="dxa"/>
            <w:tcBorders>
              <w:top w:val="nil"/>
              <w:left w:val="nil"/>
              <w:bottom w:val="nil"/>
              <w:right w:val="single" w:sz="4" w:space="0" w:color="auto"/>
            </w:tcBorders>
            <w:shd w:val="clear" w:color="auto" w:fill="auto"/>
            <w:noWrap/>
            <w:vAlign w:val="bottom"/>
            <w:hideMark/>
          </w:tcPr>
          <w:p w14:paraId="4ED0A77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95,291</w:t>
            </w:r>
          </w:p>
        </w:tc>
      </w:tr>
      <w:tr w:rsidR="00C13F36" w:rsidRPr="00C13F36" w14:paraId="0545CDE3"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B0DC9C0"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Defense Research Institute</w:t>
            </w:r>
          </w:p>
        </w:tc>
        <w:tc>
          <w:tcPr>
            <w:tcW w:w="968" w:type="dxa"/>
            <w:tcBorders>
              <w:top w:val="nil"/>
              <w:left w:val="nil"/>
              <w:bottom w:val="nil"/>
              <w:right w:val="nil"/>
            </w:tcBorders>
            <w:shd w:val="clear" w:color="auto" w:fill="auto"/>
            <w:noWrap/>
            <w:vAlign w:val="bottom"/>
            <w:hideMark/>
          </w:tcPr>
          <w:p w14:paraId="7B01842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62,073</w:t>
            </w:r>
          </w:p>
        </w:tc>
        <w:tc>
          <w:tcPr>
            <w:tcW w:w="968" w:type="dxa"/>
            <w:tcBorders>
              <w:top w:val="nil"/>
              <w:left w:val="nil"/>
              <w:bottom w:val="nil"/>
              <w:right w:val="nil"/>
            </w:tcBorders>
            <w:shd w:val="clear" w:color="auto" w:fill="auto"/>
            <w:noWrap/>
            <w:vAlign w:val="bottom"/>
            <w:hideMark/>
          </w:tcPr>
          <w:p w14:paraId="04375E8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62,073</w:t>
            </w:r>
          </w:p>
        </w:tc>
        <w:tc>
          <w:tcPr>
            <w:tcW w:w="873" w:type="dxa"/>
            <w:tcBorders>
              <w:top w:val="nil"/>
              <w:left w:val="nil"/>
              <w:bottom w:val="nil"/>
              <w:right w:val="nil"/>
            </w:tcBorders>
            <w:shd w:val="clear" w:color="auto" w:fill="auto"/>
            <w:noWrap/>
            <w:vAlign w:val="bottom"/>
            <w:hideMark/>
          </w:tcPr>
          <w:p w14:paraId="5B3227D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62,073</w:t>
            </w:r>
          </w:p>
        </w:tc>
        <w:tc>
          <w:tcPr>
            <w:tcW w:w="968" w:type="dxa"/>
            <w:tcBorders>
              <w:top w:val="nil"/>
              <w:left w:val="nil"/>
              <w:bottom w:val="nil"/>
              <w:right w:val="nil"/>
            </w:tcBorders>
            <w:shd w:val="clear" w:color="auto" w:fill="auto"/>
            <w:noWrap/>
            <w:vAlign w:val="bottom"/>
            <w:hideMark/>
          </w:tcPr>
          <w:p w14:paraId="2E2FA2A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747E921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12,296</w:t>
            </w:r>
          </w:p>
        </w:tc>
        <w:tc>
          <w:tcPr>
            <w:tcW w:w="968" w:type="dxa"/>
            <w:tcBorders>
              <w:top w:val="nil"/>
              <w:left w:val="nil"/>
              <w:bottom w:val="nil"/>
              <w:right w:val="nil"/>
            </w:tcBorders>
            <w:shd w:val="clear" w:color="auto" w:fill="auto"/>
            <w:vAlign w:val="bottom"/>
            <w:hideMark/>
          </w:tcPr>
          <w:p w14:paraId="36B75E8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504.8</w:t>
            </w:r>
          </w:p>
        </w:tc>
        <w:tc>
          <w:tcPr>
            <w:tcW w:w="880" w:type="dxa"/>
            <w:tcBorders>
              <w:top w:val="nil"/>
              <w:left w:val="nil"/>
              <w:bottom w:val="nil"/>
              <w:right w:val="nil"/>
            </w:tcBorders>
            <w:shd w:val="clear" w:color="auto" w:fill="auto"/>
            <w:noWrap/>
            <w:vAlign w:val="bottom"/>
            <w:hideMark/>
          </w:tcPr>
          <w:p w14:paraId="33B19FA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12,296 </w:t>
            </w:r>
          </w:p>
        </w:tc>
        <w:tc>
          <w:tcPr>
            <w:tcW w:w="858" w:type="dxa"/>
            <w:tcBorders>
              <w:top w:val="nil"/>
              <w:left w:val="nil"/>
              <w:bottom w:val="nil"/>
              <w:right w:val="nil"/>
            </w:tcBorders>
            <w:shd w:val="clear" w:color="auto" w:fill="auto"/>
            <w:noWrap/>
            <w:vAlign w:val="bottom"/>
            <w:hideMark/>
          </w:tcPr>
          <w:p w14:paraId="4045CDB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50F294D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49,777</w:t>
            </w:r>
          </w:p>
        </w:tc>
      </w:tr>
      <w:tr w:rsidR="00C13F36" w:rsidRPr="00C13F36" w14:paraId="04F44E9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1F82AA5"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Systems and Analyses Ctr.</w:t>
            </w:r>
          </w:p>
        </w:tc>
        <w:tc>
          <w:tcPr>
            <w:tcW w:w="968" w:type="dxa"/>
            <w:tcBorders>
              <w:top w:val="nil"/>
              <w:left w:val="nil"/>
              <w:bottom w:val="nil"/>
              <w:right w:val="nil"/>
            </w:tcBorders>
            <w:shd w:val="clear" w:color="auto" w:fill="auto"/>
            <w:noWrap/>
            <w:vAlign w:val="bottom"/>
            <w:hideMark/>
          </w:tcPr>
          <w:p w14:paraId="0888EA1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145,211</w:t>
            </w:r>
          </w:p>
        </w:tc>
        <w:tc>
          <w:tcPr>
            <w:tcW w:w="968" w:type="dxa"/>
            <w:tcBorders>
              <w:top w:val="nil"/>
              <w:left w:val="nil"/>
              <w:bottom w:val="nil"/>
              <w:right w:val="nil"/>
            </w:tcBorders>
            <w:shd w:val="clear" w:color="auto" w:fill="auto"/>
            <w:noWrap/>
            <w:vAlign w:val="bottom"/>
            <w:hideMark/>
          </w:tcPr>
          <w:p w14:paraId="0789284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145,211</w:t>
            </w:r>
          </w:p>
        </w:tc>
        <w:tc>
          <w:tcPr>
            <w:tcW w:w="873" w:type="dxa"/>
            <w:tcBorders>
              <w:top w:val="nil"/>
              <w:left w:val="nil"/>
              <w:bottom w:val="nil"/>
              <w:right w:val="nil"/>
            </w:tcBorders>
            <w:shd w:val="clear" w:color="auto" w:fill="auto"/>
            <w:noWrap/>
            <w:vAlign w:val="bottom"/>
            <w:hideMark/>
          </w:tcPr>
          <w:p w14:paraId="33DB274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145,211</w:t>
            </w:r>
          </w:p>
        </w:tc>
        <w:tc>
          <w:tcPr>
            <w:tcW w:w="968" w:type="dxa"/>
            <w:tcBorders>
              <w:top w:val="nil"/>
              <w:left w:val="nil"/>
              <w:bottom w:val="nil"/>
              <w:right w:val="nil"/>
            </w:tcBorders>
            <w:shd w:val="clear" w:color="auto" w:fill="auto"/>
            <w:noWrap/>
            <w:vAlign w:val="bottom"/>
            <w:hideMark/>
          </w:tcPr>
          <w:p w14:paraId="797E8F7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07524BF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71,542</w:t>
            </w:r>
          </w:p>
        </w:tc>
        <w:tc>
          <w:tcPr>
            <w:tcW w:w="968" w:type="dxa"/>
            <w:tcBorders>
              <w:top w:val="nil"/>
              <w:left w:val="nil"/>
              <w:bottom w:val="nil"/>
              <w:right w:val="nil"/>
            </w:tcBorders>
            <w:shd w:val="clear" w:color="auto" w:fill="auto"/>
            <w:vAlign w:val="bottom"/>
            <w:hideMark/>
          </w:tcPr>
          <w:p w14:paraId="7B3992F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203.0</w:t>
            </w:r>
          </w:p>
        </w:tc>
        <w:tc>
          <w:tcPr>
            <w:tcW w:w="880" w:type="dxa"/>
            <w:tcBorders>
              <w:top w:val="nil"/>
              <w:left w:val="nil"/>
              <w:bottom w:val="nil"/>
              <w:right w:val="nil"/>
            </w:tcBorders>
            <w:shd w:val="clear" w:color="auto" w:fill="auto"/>
            <w:noWrap/>
            <w:vAlign w:val="bottom"/>
            <w:hideMark/>
          </w:tcPr>
          <w:p w14:paraId="6AC7926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71,542 </w:t>
            </w:r>
          </w:p>
        </w:tc>
        <w:tc>
          <w:tcPr>
            <w:tcW w:w="858" w:type="dxa"/>
            <w:tcBorders>
              <w:top w:val="nil"/>
              <w:left w:val="nil"/>
              <w:bottom w:val="nil"/>
              <w:right w:val="nil"/>
            </w:tcBorders>
            <w:shd w:val="clear" w:color="auto" w:fill="auto"/>
            <w:noWrap/>
            <w:vAlign w:val="bottom"/>
            <w:hideMark/>
          </w:tcPr>
          <w:p w14:paraId="054750E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1BF79AA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73,669</w:t>
            </w:r>
          </w:p>
        </w:tc>
      </w:tr>
      <w:tr w:rsidR="00C13F36" w:rsidRPr="00C13F36" w14:paraId="7054C28A"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B769AA5"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DOE sponsored</w:t>
            </w:r>
          </w:p>
        </w:tc>
        <w:tc>
          <w:tcPr>
            <w:tcW w:w="968" w:type="dxa"/>
            <w:tcBorders>
              <w:top w:val="nil"/>
              <w:left w:val="nil"/>
              <w:bottom w:val="nil"/>
              <w:right w:val="nil"/>
            </w:tcBorders>
            <w:shd w:val="clear" w:color="auto" w:fill="auto"/>
            <w:noWrap/>
            <w:vAlign w:val="bottom"/>
            <w:hideMark/>
          </w:tcPr>
          <w:p w14:paraId="0017657E"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1C9D3312"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5BCF808"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4D841EC0"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609C8F67"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71365295"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4C0B1B1C"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611BDA1C"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048B555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03E70AAB"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EB81839"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Ames Lab.</w:t>
            </w:r>
          </w:p>
        </w:tc>
        <w:tc>
          <w:tcPr>
            <w:tcW w:w="968" w:type="dxa"/>
            <w:tcBorders>
              <w:top w:val="nil"/>
              <w:left w:val="nil"/>
              <w:bottom w:val="nil"/>
              <w:right w:val="nil"/>
            </w:tcBorders>
            <w:shd w:val="clear" w:color="auto" w:fill="auto"/>
            <w:noWrap/>
            <w:vAlign w:val="bottom"/>
            <w:hideMark/>
          </w:tcPr>
          <w:p w14:paraId="778638B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41,824</w:t>
            </w:r>
          </w:p>
        </w:tc>
        <w:tc>
          <w:tcPr>
            <w:tcW w:w="968" w:type="dxa"/>
            <w:tcBorders>
              <w:top w:val="nil"/>
              <w:left w:val="nil"/>
              <w:bottom w:val="nil"/>
              <w:right w:val="nil"/>
            </w:tcBorders>
            <w:shd w:val="clear" w:color="auto" w:fill="auto"/>
            <w:noWrap/>
            <w:vAlign w:val="bottom"/>
            <w:hideMark/>
          </w:tcPr>
          <w:p w14:paraId="733AC7FA"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40,834</w:t>
            </w:r>
          </w:p>
        </w:tc>
        <w:tc>
          <w:tcPr>
            <w:tcW w:w="873" w:type="dxa"/>
            <w:tcBorders>
              <w:top w:val="nil"/>
              <w:left w:val="nil"/>
              <w:bottom w:val="nil"/>
              <w:right w:val="nil"/>
            </w:tcBorders>
            <w:shd w:val="clear" w:color="auto" w:fill="auto"/>
            <w:noWrap/>
            <w:vAlign w:val="bottom"/>
            <w:hideMark/>
          </w:tcPr>
          <w:p w14:paraId="3116B9A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46,366</w:t>
            </w:r>
          </w:p>
        </w:tc>
        <w:tc>
          <w:tcPr>
            <w:tcW w:w="968" w:type="dxa"/>
            <w:tcBorders>
              <w:top w:val="nil"/>
              <w:left w:val="nil"/>
              <w:bottom w:val="nil"/>
              <w:right w:val="nil"/>
            </w:tcBorders>
            <w:shd w:val="clear" w:color="auto" w:fill="auto"/>
            <w:noWrap/>
            <w:vAlign w:val="bottom"/>
            <w:hideMark/>
          </w:tcPr>
          <w:p w14:paraId="4FDC406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88.1</w:t>
            </w:r>
          </w:p>
        </w:tc>
        <w:tc>
          <w:tcPr>
            <w:tcW w:w="873" w:type="dxa"/>
            <w:tcBorders>
              <w:top w:val="nil"/>
              <w:left w:val="nil"/>
              <w:bottom w:val="nil"/>
              <w:right w:val="nil"/>
            </w:tcBorders>
            <w:shd w:val="clear" w:color="auto" w:fill="auto"/>
            <w:vAlign w:val="bottom"/>
            <w:hideMark/>
          </w:tcPr>
          <w:p w14:paraId="4F9FDDB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22,185</w:t>
            </w:r>
          </w:p>
        </w:tc>
        <w:tc>
          <w:tcPr>
            <w:tcW w:w="968" w:type="dxa"/>
            <w:tcBorders>
              <w:top w:val="nil"/>
              <w:left w:val="nil"/>
              <w:bottom w:val="nil"/>
              <w:right w:val="nil"/>
            </w:tcBorders>
            <w:shd w:val="clear" w:color="auto" w:fill="auto"/>
            <w:vAlign w:val="bottom"/>
            <w:hideMark/>
          </w:tcPr>
          <w:p w14:paraId="430908E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184.1</w:t>
            </w:r>
          </w:p>
        </w:tc>
        <w:tc>
          <w:tcPr>
            <w:tcW w:w="880" w:type="dxa"/>
            <w:tcBorders>
              <w:top w:val="nil"/>
              <w:left w:val="nil"/>
              <w:bottom w:val="nil"/>
              <w:right w:val="nil"/>
            </w:tcBorders>
            <w:shd w:val="clear" w:color="auto" w:fill="auto"/>
            <w:noWrap/>
            <w:vAlign w:val="bottom"/>
            <w:hideMark/>
          </w:tcPr>
          <w:p w14:paraId="4CA7367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22,128 </w:t>
            </w:r>
          </w:p>
        </w:tc>
        <w:tc>
          <w:tcPr>
            <w:tcW w:w="858" w:type="dxa"/>
            <w:tcBorders>
              <w:top w:val="nil"/>
              <w:left w:val="nil"/>
              <w:bottom w:val="nil"/>
              <w:right w:val="nil"/>
            </w:tcBorders>
            <w:shd w:val="clear" w:color="auto" w:fill="auto"/>
            <w:noWrap/>
            <w:vAlign w:val="bottom"/>
            <w:hideMark/>
          </w:tcPr>
          <w:p w14:paraId="45E18E6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99.7</w:t>
            </w:r>
          </w:p>
        </w:tc>
        <w:tc>
          <w:tcPr>
            <w:tcW w:w="1001" w:type="dxa"/>
            <w:tcBorders>
              <w:top w:val="nil"/>
              <w:left w:val="nil"/>
              <w:bottom w:val="nil"/>
              <w:right w:val="single" w:sz="4" w:space="0" w:color="auto"/>
            </w:tcBorders>
            <w:shd w:val="clear" w:color="auto" w:fill="auto"/>
            <w:noWrap/>
            <w:vAlign w:val="bottom"/>
            <w:hideMark/>
          </w:tcPr>
          <w:p w14:paraId="79210C7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18,649</w:t>
            </w:r>
          </w:p>
        </w:tc>
      </w:tr>
      <w:tr w:rsidR="00C13F36" w:rsidRPr="00C13F36" w14:paraId="46C2BC8B"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190FDD7"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Argonne National Lab.</w:t>
            </w:r>
          </w:p>
        </w:tc>
        <w:tc>
          <w:tcPr>
            <w:tcW w:w="968" w:type="dxa"/>
            <w:tcBorders>
              <w:top w:val="nil"/>
              <w:left w:val="nil"/>
              <w:bottom w:val="nil"/>
              <w:right w:val="nil"/>
            </w:tcBorders>
            <w:shd w:val="clear" w:color="auto" w:fill="auto"/>
            <w:noWrap/>
            <w:vAlign w:val="bottom"/>
            <w:hideMark/>
          </w:tcPr>
          <w:p w14:paraId="4266F20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719,459</w:t>
            </w:r>
          </w:p>
        </w:tc>
        <w:tc>
          <w:tcPr>
            <w:tcW w:w="968" w:type="dxa"/>
            <w:tcBorders>
              <w:top w:val="nil"/>
              <w:left w:val="nil"/>
              <w:bottom w:val="nil"/>
              <w:right w:val="nil"/>
            </w:tcBorders>
            <w:shd w:val="clear" w:color="auto" w:fill="auto"/>
            <w:noWrap/>
            <w:vAlign w:val="bottom"/>
            <w:hideMark/>
          </w:tcPr>
          <w:p w14:paraId="025FD6F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684,987</w:t>
            </w:r>
          </w:p>
        </w:tc>
        <w:tc>
          <w:tcPr>
            <w:tcW w:w="873" w:type="dxa"/>
            <w:tcBorders>
              <w:top w:val="nil"/>
              <w:left w:val="nil"/>
              <w:bottom w:val="nil"/>
              <w:right w:val="nil"/>
            </w:tcBorders>
            <w:shd w:val="clear" w:color="auto" w:fill="auto"/>
            <w:noWrap/>
            <w:vAlign w:val="bottom"/>
            <w:hideMark/>
          </w:tcPr>
          <w:p w14:paraId="31C705E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719,459</w:t>
            </w:r>
          </w:p>
        </w:tc>
        <w:tc>
          <w:tcPr>
            <w:tcW w:w="968" w:type="dxa"/>
            <w:tcBorders>
              <w:top w:val="nil"/>
              <w:left w:val="nil"/>
              <w:bottom w:val="nil"/>
              <w:right w:val="nil"/>
            </w:tcBorders>
            <w:shd w:val="clear" w:color="auto" w:fill="auto"/>
            <w:noWrap/>
            <w:vAlign w:val="bottom"/>
            <w:hideMark/>
          </w:tcPr>
          <w:p w14:paraId="3B39EA3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95.2</w:t>
            </w:r>
          </w:p>
        </w:tc>
        <w:tc>
          <w:tcPr>
            <w:tcW w:w="873" w:type="dxa"/>
            <w:tcBorders>
              <w:top w:val="nil"/>
              <w:left w:val="nil"/>
              <w:bottom w:val="nil"/>
              <w:right w:val="nil"/>
            </w:tcBorders>
            <w:shd w:val="clear" w:color="auto" w:fill="auto"/>
            <w:vAlign w:val="bottom"/>
            <w:hideMark/>
          </w:tcPr>
          <w:p w14:paraId="37DA865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498,393</w:t>
            </w:r>
          </w:p>
        </w:tc>
        <w:tc>
          <w:tcPr>
            <w:tcW w:w="968" w:type="dxa"/>
            <w:tcBorders>
              <w:top w:val="nil"/>
              <w:left w:val="nil"/>
              <w:bottom w:val="nil"/>
              <w:right w:val="nil"/>
            </w:tcBorders>
            <w:shd w:val="clear" w:color="auto" w:fill="auto"/>
            <w:vAlign w:val="bottom"/>
            <w:hideMark/>
          </w:tcPr>
          <w:p w14:paraId="55615D7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137.4</w:t>
            </w:r>
          </w:p>
        </w:tc>
        <w:tc>
          <w:tcPr>
            <w:tcW w:w="880" w:type="dxa"/>
            <w:tcBorders>
              <w:top w:val="nil"/>
              <w:left w:val="nil"/>
              <w:bottom w:val="nil"/>
              <w:right w:val="nil"/>
            </w:tcBorders>
            <w:shd w:val="clear" w:color="auto" w:fill="auto"/>
            <w:noWrap/>
            <w:vAlign w:val="bottom"/>
            <w:hideMark/>
          </w:tcPr>
          <w:p w14:paraId="134BD3E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481,351 </w:t>
            </w:r>
          </w:p>
        </w:tc>
        <w:tc>
          <w:tcPr>
            <w:tcW w:w="858" w:type="dxa"/>
            <w:tcBorders>
              <w:top w:val="nil"/>
              <w:left w:val="nil"/>
              <w:bottom w:val="nil"/>
              <w:right w:val="nil"/>
            </w:tcBorders>
            <w:shd w:val="clear" w:color="auto" w:fill="auto"/>
            <w:noWrap/>
            <w:vAlign w:val="bottom"/>
            <w:hideMark/>
          </w:tcPr>
          <w:p w14:paraId="5F0E3DA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96.6</w:t>
            </w:r>
          </w:p>
        </w:tc>
        <w:tc>
          <w:tcPr>
            <w:tcW w:w="1001" w:type="dxa"/>
            <w:tcBorders>
              <w:top w:val="nil"/>
              <w:left w:val="nil"/>
              <w:bottom w:val="nil"/>
              <w:right w:val="single" w:sz="4" w:space="0" w:color="auto"/>
            </w:tcBorders>
            <w:shd w:val="clear" w:color="auto" w:fill="auto"/>
            <w:noWrap/>
            <w:vAlign w:val="bottom"/>
            <w:hideMark/>
          </w:tcPr>
          <w:p w14:paraId="40603AF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186,594</w:t>
            </w:r>
          </w:p>
        </w:tc>
      </w:tr>
      <w:tr w:rsidR="00C13F36" w:rsidRPr="00C13F36" w14:paraId="38929865"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37C7FDC8"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Brookhaven National Lab.</w:t>
            </w:r>
          </w:p>
        </w:tc>
        <w:tc>
          <w:tcPr>
            <w:tcW w:w="968" w:type="dxa"/>
            <w:tcBorders>
              <w:top w:val="nil"/>
              <w:left w:val="nil"/>
              <w:bottom w:val="nil"/>
              <w:right w:val="nil"/>
            </w:tcBorders>
            <w:shd w:val="clear" w:color="auto" w:fill="auto"/>
            <w:noWrap/>
            <w:vAlign w:val="bottom"/>
            <w:hideMark/>
          </w:tcPr>
          <w:p w14:paraId="0E5FC0F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573,364</w:t>
            </w:r>
          </w:p>
        </w:tc>
        <w:tc>
          <w:tcPr>
            <w:tcW w:w="968" w:type="dxa"/>
            <w:tcBorders>
              <w:top w:val="nil"/>
              <w:left w:val="nil"/>
              <w:bottom w:val="nil"/>
              <w:right w:val="nil"/>
            </w:tcBorders>
            <w:shd w:val="clear" w:color="auto" w:fill="auto"/>
            <w:noWrap/>
            <w:vAlign w:val="bottom"/>
            <w:hideMark/>
          </w:tcPr>
          <w:p w14:paraId="0A7A9F5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556,024</w:t>
            </w:r>
          </w:p>
        </w:tc>
        <w:tc>
          <w:tcPr>
            <w:tcW w:w="873" w:type="dxa"/>
            <w:tcBorders>
              <w:top w:val="nil"/>
              <w:left w:val="nil"/>
              <w:bottom w:val="nil"/>
              <w:right w:val="nil"/>
            </w:tcBorders>
            <w:shd w:val="clear" w:color="auto" w:fill="auto"/>
            <w:noWrap/>
            <w:vAlign w:val="bottom"/>
            <w:hideMark/>
          </w:tcPr>
          <w:p w14:paraId="1D40B89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573,364</w:t>
            </w:r>
          </w:p>
        </w:tc>
        <w:tc>
          <w:tcPr>
            <w:tcW w:w="968" w:type="dxa"/>
            <w:tcBorders>
              <w:top w:val="nil"/>
              <w:left w:val="nil"/>
              <w:bottom w:val="nil"/>
              <w:right w:val="nil"/>
            </w:tcBorders>
            <w:shd w:val="clear" w:color="auto" w:fill="auto"/>
            <w:noWrap/>
            <w:vAlign w:val="bottom"/>
            <w:hideMark/>
          </w:tcPr>
          <w:p w14:paraId="56F6FBE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97.0</w:t>
            </w:r>
          </w:p>
        </w:tc>
        <w:tc>
          <w:tcPr>
            <w:tcW w:w="873" w:type="dxa"/>
            <w:tcBorders>
              <w:top w:val="nil"/>
              <w:left w:val="nil"/>
              <w:bottom w:val="nil"/>
              <w:right w:val="nil"/>
            </w:tcBorders>
            <w:shd w:val="clear" w:color="auto" w:fill="auto"/>
            <w:vAlign w:val="bottom"/>
            <w:hideMark/>
          </w:tcPr>
          <w:p w14:paraId="5C29E45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456,835</w:t>
            </w:r>
          </w:p>
        </w:tc>
        <w:tc>
          <w:tcPr>
            <w:tcW w:w="968" w:type="dxa"/>
            <w:tcBorders>
              <w:top w:val="nil"/>
              <w:left w:val="nil"/>
              <w:bottom w:val="nil"/>
              <w:right w:val="nil"/>
            </w:tcBorders>
            <w:shd w:val="clear" w:color="auto" w:fill="auto"/>
            <w:vAlign w:val="bottom"/>
            <w:hideMark/>
          </w:tcPr>
          <w:p w14:paraId="4E28E1C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121.7</w:t>
            </w:r>
          </w:p>
        </w:tc>
        <w:tc>
          <w:tcPr>
            <w:tcW w:w="880" w:type="dxa"/>
            <w:tcBorders>
              <w:top w:val="nil"/>
              <w:left w:val="nil"/>
              <w:bottom w:val="nil"/>
              <w:right w:val="nil"/>
            </w:tcBorders>
            <w:shd w:val="clear" w:color="auto" w:fill="auto"/>
            <w:noWrap/>
            <w:vAlign w:val="bottom"/>
            <w:hideMark/>
          </w:tcPr>
          <w:p w14:paraId="116952E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439,249 </w:t>
            </w:r>
          </w:p>
        </w:tc>
        <w:tc>
          <w:tcPr>
            <w:tcW w:w="858" w:type="dxa"/>
            <w:tcBorders>
              <w:top w:val="nil"/>
              <w:left w:val="nil"/>
              <w:bottom w:val="nil"/>
              <w:right w:val="nil"/>
            </w:tcBorders>
            <w:shd w:val="clear" w:color="auto" w:fill="auto"/>
            <w:noWrap/>
            <w:vAlign w:val="bottom"/>
            <w:hideMark/>
          </w:tcPr>
          <w:p w14:paraId="109F0F3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96.2</w:t>
            </w:r>
          </w:p>
        </w:tc>
        <w:tc>
          <w:tcPr>
            <w:tcW w:w="1001" w:type="dxa"/>
            <w:tcBorders>
              <w:top w:val="nil"/>
              <w:left w:val="nil"/>
              <w:bottom w:val="nil"/>
              <w:right w:val="single" w:sz="4" w:space="0" w:color="auto"/>
            </w:tcBorders>
            <w:shd w:val="clear" w:color="auto" w:fill="auto"/>
            <w:noWrap/>
            <w:vAlign w:val="bottom"/>
            <w:hideMark/>
          </w:tcPr>
          <w:p w14:paraId="41175E8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99,189</w:t>
            </w:r>
          </w:p>
        </w:tc>
      </w:tr>
      <w:tr w:rsidR="00C13F36" w:rsidRPr="00C13F36" w14:paraId="795990BE"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AED205F"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Fermi National Accelerator Lab.</w:t>
            </w:r>
          </w:p>
        </w:tc>
        <w:tc>
          <w:tcPr>
            <w:tcW w:w="968" w:type="dxa"/>
            <w:tcBorders>
              <w:top w:val="nil"/>
              <w:left w:val="nil"/>
              <w:bottom w:val="nil"/>
              <w:right w:val="nil"/>
            </w:tcBorders>
            <w:shd w:val="clear" w:color="auto" w:fill="auto"/>
            <w:noWrap/>
            <w:vAlign w:val="bottom"/>
            <w:hideMark/>
          </w:tcPr>
          <w:p w14:paraId="25FFD9D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334,522</w:t>
            </w:r>
          </w:p>
        </w:tc>
        <w:tc>
          <w:tcPr>
            <w:tcW w:w="968" w:type="dxa"/>
            <w:tcBorders>
              <w:top w:val="nil"/>
              <w:left w:val="nil"/>
              <w:bottom w:val="nil"/>
              <w:right w:val="nil"/>
            </w:tcBorders>
            <w:shd w:val="clear" w:color="auto" w:fill="auto"/>
            <w:noWrap/>
            <w:vAlign w:val="bottom"/>
            <w:hideMark/>
          </w:tcPr>
          <w:p w14:paraId="6355EF2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333,870</w:t>
            </w:r>
          </w:p>
        </w:tc>
        <w:tc>
          <w:tcPr>
            <w:tcW w:w="873" w:type="dxa"/>
            <w:tcBorders>
              <w:top w:val="nil"/>
              <w:left w:val="nil"/>
              <w:bottom w:val="nil"/>
              <w:right w:val="nil"/>
            </w:tcBorders>
            <w:shd w:val="clear" w:color="auto" w:fill="auto"/>
            <w:noWrap/>
            <w:vAlign w:val="bottom"/>
            <w:hideMark/>
          </w:tcPr>
          <w:p w14:paraId="72C41B9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324,057</w:t>
            </w:r>
          </w:p>
        </w:tc>
        <w:tc>
          <w:tcPr>
            <w:tcW w:w="968" w:type="dxa"/>
            <w:tcBorders>
              <w:top w:val="nil"/>
              <w:left w:val="nil"/>
              <w:bottom w:val="nil"/>
              <w:right w:val="nil"/>
            </w:tcBorders>
            <w:shd w:val="clear" w:color="auto" w:fill="auto"/>
            <w:noWrap/>
            <w:vAlign w:val="bottom"/>
            <w:hideMark/>
          </w:tcPr>
          <w:p w14:paraId="6863055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103.0</w:t>
            </w:r>
          </w:p>
        </w:tc>
        <w:tc>
          <w:tcPr>
            <w:tcW w:w="873" w:type="dxa"/>
            <w:tcBorders>
              <w:top w:val="nil"/>
              <w:left w:val="nil"/>
              <w:bottom w:val="nil"/>
              <w:right w:val="nil"/>
            </w:tcBorders>
            <w:shd w:val="clear" w:color="auto" w:fill="auto"/>
            <w:vAlign w:val="bottom"/>
            <w:hideMark/>
          </w:tcPr>
          <w:p w14:paraId="39D1795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312,443</w:t>
            </w:r>
          </w:p>
        </w:tc>
        <w:tc>
          <w:tcPr>
            <w:tcW w:w="968" w:type="dxa"/>
            <w:tcBorders>
              <w:top w:val="nil"/>
              <w:left w:val="nil"/>
              <w:bottom w:val="nil"/>
              <w:right w:val="nil"/>
            </w:tcBorders>
            <w:shd w:val="clear" w:color="auto" w:fill="auto"/>
            <w:vAlign w:val="bottom"/>
            <w:hideMark/>
          </w:tcPr>
          <w:p w14:paraId="3429773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106.9</w:t>
            </w:r>
          </w:p>
        </w:tc>
        <w:tc>
          <w:tcPr>
            <w:tcW w:w="880" w:type="dxa"/>
            <w:tcBorders>
              <w:top w:val="nil"/>
              <w:left w:val="nil"/>
              <w:bottom w:val="nil"/>
              <w:right w:val="nil"/>
            </w:tcBorders>
            <w:shd w:val="clear" w:color="auto" w:fill="auto"/>
            <w:noWrap/>
            <w:vAlign w:val="bottom"/>
            <w:hideMark/>
          </w:tcPr>
          <w:p w14:paraId="35CF6D0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312,443 </w:t>
            </w:r>
          </w:p>
        </w:tc>
        <w:tc>
          <w:tcPr>
            <w:tcW w:w="858" w:type="dxa"/>
            <w:tcBorders>
              <w:top w:val="nil"/>
              <w:left w:val="nil"/>
              <w:bottom w:val="nil"/>
              <w:right w:val="nil"/>
            </w:tcBorders>
            <w:shd w:val="clear" w:color="auto" w:fill="auto"/>
            <w:noWrap/>
            <w:vAlign w:val="bottom"/>
            <w:hideMark/>
          </w:tcPr>
          <w:p w14:paraId="719726B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4EB4637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21,427</w:t>
            </w:r>
          </w:p>
        </w:tc>
      </w:tr>
      <w:tr w:rsidR="00C13F36" w:rsidRPr="00C13F36" w14:paraId="1702B32E"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C12BD29"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ID National Lab.</w:t>
            </w:r>
          </w:p>
        </w:tc>
        <w:tc>
          <w:tcPr>
            <w:tcW w:w="968" w:type="dxa"/>
            <w:tcBorders>
              <w:top w:val="nil"/>
              <w:left w:val="nil"/>
              <w:bottom w:val="nil"/>
              <w:right w:val="nil"/>
            </w:tcBorders>
            <w:shd w:val="clear" w:color="auto" w:fill="auto"/>
            <w:noWrap/>
            <w:vAlign w:val="bottom"/>
            <w:hideMark/>
          </w:tcPr>
          <w:p w14:paraId="75EFBCB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479,801</w:t>
            </w:r>
          </w:p>
        </w:tc>
        <w:tc>
          <w:tcPr>
            <w:tcW w:w="968" w:type="dxa"/>
            <w:tcBorders>
              <w:top w:val="nil"/>
              <w:left w:val="nil"/>
              <w:bottom w:val="nil"/>
              <w:right w:val="nil"/>
            </w:tcBorders>
            <w:shd w:val="clear" w:color="auto" w:fill="auto"/>
            <w:noWrap/>
            <w:vAlign w:val="bottom"/>
            <w:hideMark/>
          </w:tcPr>
          <w:p w14:paraId="092784D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460,192</w:t>
            </w:r>
          </w:p>
        </w:tc>
        <w:tc>
          <w:tcPr>
            <w:tcW w:w="873" w:type="dxa"/>
            <w:tcBorders>
              <w:top w:val="nil"/>
              <w:left w:val="nil"/>
              <w:bottom w:val="nil"/>
              <w:right w:val="nil"/>
            </w:tcBorders>
            <w:shd w:val="clear" w:color="auto" w:fill="auto"/>
            <w:noWrap/>
            <w:vAlign w:val="bottom"/>
            <w:hideMark/>
          </w:tcPr>
          <w:p w14:paraId="4C1FBCD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828,725</w:t>
            </w:r>
          </w:p>
        </w:tc>
        <w:tc>
          <w:tcPr>
            <w:tcW w:w="968" w:type="dxa"/>
            <w:tcBorders>
              <w:top w:val="nil"/>
              <w:left w:val="nil"/>
              <w:bottom w:val="nil"/>
              <w:right w:val="nil"/>
            </w:tcBorders>
            <w:shd w:val="clear" w:color="auto" w:fill="auto"/>
            <w:noWrap/>
            <w:vAlign w:val="bottom"/>
            <w:hideMark/>
          </w:tcPr>
          <w:p w14:paraId="789B64C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55.5</w:t>
            </w:r>
          </w:p>
        </w:tc>
        <w:tc>
          <w:tcPr>
            <w:tcW w:w="873" w:type="dxa"/>
            <w:tcBorders>
              <w:top w:val="nil"/>
              <w:left w:val="nil"/>
              <w:bottom w:val="nil"/>
              <w:right w:val="nil"/>
            </w:tcBorders>
            <w:shd w:val="clear" w:color="auto" w:fill="auto"/>
            <w:vAlign w:val="bottom"/>
            <w:hideMark/>
          </w:tcPr>
          <w:p w14:paraId="7C772C9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232,920</w:t>
            </w:r>
          </w:p>
        </w:tc>
        <w:tc>
          <w:tcPr>
            <w:tcW w:w="968" w:type="dxa"/>
            <w:tcBorders>
              <w:top w:val="nil"/>
              <w:left w:val="nil"/>
              <w:bottom w:val="nil"/>
              <w:right w:val="nil"/>
            </w:tcBorders>
            <w:shd w:val="clear" w:color="auto" w:fill="auto"/>
            <w:vAlign w:val="bottom"/>
            <w:hideMark/>
          </w:tcPr>
          <w:p w14:paraId="02F6A38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197.6</w:t>
            </w:r>
          </w:p>
        </w:tc>
        <w:tc>
          <w:tcPr>
            <w:tcW w:w="880" w:type="dxa"/>
            <w:tcBorders>
              <w:top w:val="nil"/>
              <w:left w:val="nil"/>
              <w:bottom w:val="nil"/>
              <w:right w:val="nil"/>
            </w:tcBorders>
            <w:shd w:val="clear" w:color="auto" w:fill="auto"/>
            <w:noWrap/>
            <w:vAlign w:val="bottom"/>
            <w:hideMark/>
          </w:tcPr>
          <w:p w14:paraId="4AEB4F1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221,489 </w:t>
            </w:r>
          </w:p>
        </w:tc>
        <w:tc>
          <w:tcPr>
            <w:tcW w:w="858" w:type="dxa"/>
            <w:tcBorders>
              <w:top w:val="nil"/>
              <w:left w:val="nil"/>
              <w:bottom w:val="nil"/>
              <w:right w:val="nil"/>
            </w:tcBorders>
            <w:shd w:val="clear" w:color="auto" w:fill="auto"/>
            <w:noWrap/>
            <w:vAlign w:val="bottom"/>
            <w:hideMark/>
          </w:tcPr>
          <w:p w14:paraId="4045631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95.1</w:t>
            </w:r>
          </w:p>
        </w:tc>
        <w:tc>
          <w:tcPr>
            <w:tcW w:w="1001" w:type="dxa"/>
            <w:tcBorders>
              <w:top w:val="nil"/>
              <w:left w:val="nil"/>
              <w:bottom w:val="nil"/>
              <w:right w:val="single" w:sz="4" w:space="0" w:color="auto"/>
            </w:tcBorders>
            <w:shd w:val="clear" w:color="auto" w:fill="auto"/>
            <w:noWrap/>
            <w:vAlign w:val="bottom"/>
            <w:hideMark/>
          </w:tcPr>
          <w:p w14:paraId="40F8773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227,272</w:t>
            </w:r>
          </w:p>
        </w:tc>
      </w:tr>
      <w:tr w:rsidR="00C13F36" w:rsidRPr="00C13F36" w14:paraId="32F499A2"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DA0ADA5"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Lawrence Berkeley National Lab.</w:t>
            </w:r>
          </w:p>
        </w:tc>
        <w:tc>
          <w:tcPr>
            <w:tcW w:w="968" w:type="dxa"/>
            <w:tcBorders>
              <w:top w:val="nil"/>
              <w:left w:val="nil"/>
              <w:bottom w:val="nil"/>
              <w:right w:val="nil"/>
            </w:tcBorders>
            <w:shd w:val="clear" w:color="auto" w:fill="auto"/>
            <w:noWrap/>
            <w:vAlign w:val="bottom"/>
            <w:hideMark/>
          </w:tcPr>
          <w:p w14:paraId="78328D2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762,601</w:t>
            </w:r>
          </w:p>
        </w:tc>
        <w:tc>
          <w:tcPr>
            <w:tcW w:w="968" w:type="dxa"/>
            <w:tcBorders>
              <w:top w:val="nil"/>
              <w:left w:val="nil"/>
              <w:bottom w:val="nil"/>
              <w:right w:val="nil"/>
            </w:tcBorders>
            <w:shd w:val="clear" w:color="auto" w:fill="auto"/>
            <w:noWrap/>
            <w:vAlign w:val="bottom"/>
            <w:hideMark/>
          </w:tcPr>
          <w:p w14:paraId="465DCE7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707,540</w:t>
            </w:r>
          </w:p>
        </w:tc>
        <w:tc>
          <w:tcPr>
            <w:tcW w:w="873" w:type="dxa"/>
            <w:tcBorders>
              <w:top w:val="nil"/>
              <w:left w:val="nil"/>
              <w:bottom w:val="nil"/>
              <w:right w:val="nil"/>
            </w:tcBorders>
            <w:shd w:val="clear" w:color="auto" w:fill="auto"/>
            <w:noWrap/>
            <w:vAlign w:val="bottom"/>
            <w:hideMark/>
          </w:tcPr>
          <w:p w14:paraId="17C64ED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773,423</w:t>
            </w:r>
          </w:p>
        </w:tc>
        <w:tc>
          <w:tcPr>
            <w:tcW w:w="968" w:type="dxa"/>
            <w:tcBorders>
              <w:top w:val="nil"/>
              <w:left w:val="nil"/>
              <w:bottom w:val="nil"/>
              <w:right w:val="nil"/>
            </w:tcBorders>
            <w:shd w:val="clear" w:color="auto" w:fill="auto"/>
            <w:noWrap/>
            <w:vAlign w:val="bottom"/>
            <w:hideMark/>
          </w:tcPr>
          <w:p w14:paraId="2DCAB2D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91.5</w:t>
            </w:r>
          </w:p>
        </w:tc>
        <w:tc>
          <w:tcPr>
            <w:tcW w:w="873" w:type="dxa"/>
            <w:tcBorders>
              <w:top w:val="nil"/>
              <w:left w:val="nil"/>
              <w:bottom w:val="nil"/>
              <w:right w:val="nil"/>
            </w:tcBorders>
            <w:shd w:val="clear" w:color="auto" w:fill="auto"/>
            <w:vAlign w:val="bottom"/>
            <w:hideMark/>
          </w:tcPr>
          <w:p w14:paraId="543BD92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656,740</w:t>
            </w:r>
          </w:p>
        </w:tc>
        <w:tc>
          <w:tcPr>
            <w:tcW w:w="968" w:type="dxa"/>
            <w:tcBorders>
              <w:top w:val="nil"/>
              <w:left w:val="nil"/>
              <w:bottom w:val="nil"/>
              <w:right w:val="nil"/>
            </w:tcBorders>
            <w:shd w:val="clear" w:color="auto" w:fill="auto"/>
            <w:vAlign w:val="bottom"/>
            <w:hideMark/>
          </w:tcPr>
          <w:p w14:paraId="1707122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107.7</w:t>
            </w:r>
          </w:p>
        </w:tc>
        <w:tc>
          <w:tcPr>
            <w:tcW w:w="880" w:type="dxa"/>
            <w:tcBorders>
              <w:top w:val="nil"/>
              <w:left w:val="nil"/>
              <w:bottom w:val="nil"/>
              <w:right w:val="nil"/>
            </w:tcBorders>
            <w:shd w:val="clear" w:color="auto" w:fill="auto"/>
            <w:noWrap/>
            <w:vAlign w:val="bottom"/>
            <w:hideMark/>
          </w:tcPr>
          <w:p w14:paraId="0550193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620,288 </w:t>
            </w:r>
          </w:p>
        </w:tc>
        <w:tc>
          <w:tcPr>
            <w:tcW w:w="858" w:type="dxa"/>
            <w:tcBorders>
              <w:top w:val="nil"/>
              <w:left w:val="nil"/>
              <w:bottom w:val="nil"/>
              <w:right w:val="nil"/>
            </w:tcBorders>
            <w:shd w:val="clear" w:color="auto" w:fill="auto"/>
            <w:noWrap/>
            <w:vAlign w:val="bottom"/>
            <w:hideMark/>
          </w:tcPr>
          <w:p w14:paraId="6CE5266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94.4</w:t>
            </w:r>
          </w:p>
        </w:tc>
        <w:tc>
          <w:tcPr>
            <w:tcW w:w="1001" w:type="dxa"/>
            <w:tcBorders>
              <w:top w:val="nil"/>
              <w:left w:val="nil"/>
              <w:bottom w:val="nil"/>
              <w:right w:val="single" w:sz="4" w:space="0" w:color="auto"/>
            </w:tcBorders>
            <w:shd w:val="clear" w:color="auto" w:fill="auto"/>
            <w:noWrap/>
            <w:vAlign w:val="bottom"/>
            <w:hideMark/>
          </w:tcPr>
          <w:p w14:paraId="2DFF372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50,800</w:t>
            </w:r>
          </w:p>
        </w:tc>
      </w:tr>
      <w:tr w:rsidR="00C13F36" w:rsidRPr="00C13F36" w14:paraId="0005B094"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CB69EFC"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Lawrence Livermore National Lab.</w:t>
            </w:r>
          </w:p>
        </w:tc>
        <w:tc>
          <w:tcPr>
            <w:tcW w:w="968" w:type="dxa"/>
            <w:tcBorders>
              <w:top w:val="nil"/>
              <w:left w:val="nil"/>
              <w:bottom w:val="nil"/>
              <w:right w:val="nil"/>
            </w:tcBorders>
            <w:shd w:val="clear" w:color="auto" w:fill="auto"/>
            <w:noWrap/>
            <w:vAlign w:val="bottom"/>
            <w:hideMark/>
          </w:tcPr>
          <w:p w14:paraId="34FE202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1,170,571</w:t>
            </w:r>
          </w:p>
        </w:tc>
        <w:tc>
          <w:tcPr>
            <w:tcW w:w="968" w:type="dxa"/>
            <w:tcBorders>
              <w:top w:val="nil"/>
              <w:left w:val="nil"/>
              <w:bottom w:val="nil"/>
              <w:right w:val="nil"/>
            </w:tcBorders>
            <w:shd w:val="clear" w:color="auto" w:fill="auto"/>
            <w:noWrap/>
            <w:vAlign w:val="bottom"/>
            <w:hideMark/>
          </w:tcPr>
          <w:p w14:paraId="14248D0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1,113,664</w:t>
            </w:r>
          </w:p>
        </w:tc>
        <w:tc>
          <w:tcPr>
            <w:tcW w:w="873" w:type="dxa"/>
            <w:tcBorders>
              <w:top w:val="nil"/>
              <w:left w:val="nil"/>
              <w:bottom w:val="nil"/>
              <w:right w:val="nil"/>
            </w:tcBorders>
            <w:shd w:val="clear" w:color="auto" w:fill="auto"/>
            <w:noWrap/>
            <w:vAlign w:val="bottom"/>
            <w:hideMark/>
          </w:tcPr>
          <w:p w14:paraId="5944027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1,418,496</w:t>
            </w:r>
          </w:p>
        </w:tc>
        <w:tc>
          <w:tcPr>
            <w:tcW w:w="968" w:type="dxa"/>
            <w:tcBorders>
              <w:top w:val="nil"/>
              <w:left w:val="nil"/>
              <w:bottom w:val="nil"/>
              <w:right w:val="nil"/>
            </w:tcBorders>
            <w:shd w:val="clear" w:color="auto" w:fill="auto"/>
            <w:noWrap/>
            <w:vAlign w:val="bottom"/>
            <w:hideMark/>
          </w:tcPr>
          <w:p w14:paraId="21205C4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78.5</w:t>
            </w:r>
          </w:p>
        </w:tc>
        <w:tc>
          <w:tcPr>
            <w:tcW w:w="873" w:type="dxa"/>
            <w:tcBorders>
              <w:top w:val="nil"/>
              <w:left w:val="nil"/>
              <w:bottom w:val="nil"/>
              <w:right w:val="nil"/>
            </w:tcBorders>
            <w:shd w:val="clear" w:color="auto" w:fill="auto"/>
            <w:vAlign w:val="bottom"/>
            <w:hideMark/>
          </w:tcPr>
          <w:p w14:paraId="7181456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970,973</w:t>
            </w:r>
          </w:p>
        </w:tc>
        <w:tc>
          <w:tcPr>
            <w:tcW w:w="968" w:type="dxa"/>
            <w:tcBorders>
              <w:top w:val="nil"/>
              <w:left w:val="nil"/>
              <w:bottom w:val="nil"/>
              <w:right w:val="nil"/>
            </w:tcBorders>
            <w:shd w:val="clear" w:color="auto" w:fill="auto"/>
            <w:vAlign w:val="bottom"/>
            <w:hideMark/>
          </w:tcPr>
          <w:p w14:paraId="0750FF1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114.7</w:t>
            </w:r>
          </w:p>
        </w:tc>
        <w:tc>
          <w:tcPr>
            <w:tcW w:w="880" w:type="dxa"/>
            <w:tcBorders>
              <w:top w:val="nil"/>
              <w:left w:val="nil"/>
              <w:bottom w:val="nil"/>
              <w:right w:val="nil"/>
            </w:tcBorders>
            <w:shd w:val="clear" w:color="auto" w:fill="auto"/>
            <w:noWrap/>
            <w:vAlign w:val="bottom"/>
            <w:hideMark/>
          </w:tcPr>
          <w:p w14:paraId="49574B3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866,749 </w:t>
            </w:r>
          </w:p>
        </w:tc>
        <w:tc>
          <w:tcPr>
            <w:tcW w:w="858" w:type="dxa"/>
            <w:tcBorders>
              <w:top w:val="nil"/>
              <w:left w:val="nil"/>
              <w:bottom w:val="nil"/>
              <w:right w:val="nil"/>
            </w:tcBorders>
            <w:shd w:val="clear" w:color="auto" w:fill="auto"/>
            <w:noWrap/>
            <w:vAlign w:val="bottom"/>
            <w:hideMark/>
          </w:tcPr>
          <w:p w14:paraId="34ED040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89.3</w:t>
            </w:r>
          </w:p>
        </w:tc>
        <w:tc>
          <w:tcPr>
            <w:tcW w:w="1001" w:type="dxa"/>
            <w:tcBorders>
              <w:top w:val="nil"/>
              <w:left w:val="nil"/>
              <w:bottom w:val="nil"/>
              <w:right w:val="single" w:sz="4" w:space="0" w:color="auto"/>
            </w:tcBorders>
            <w:shd w:val="clear" w:color="auto" w:fill="auto"/>
            <w:noWrap/>
            <w:vAlign w:val="bottom"/>
            <w:hideMark/>
          </w:tcPr>
          <w:p w14:paraId="03C036D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142,691</w:t>
            </w:r>
          </w:p>
        </w:tc>
      </w:tr>
      <w:tr w:rsidR="00C13F36" w:rsidRPr="00C13F36" w14:paraId="6A7C9D8B"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553CDA4"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Los Alamos National Lab.</w:t>
            </w:r>
          </w:p>
        </w:tc>
        <w:tc>
          <w:tcPr>
            <w:tcW w:w="968" w:type="dxa"/>
            <w:tcBorders>
              <w:top w:val="nil"/>
              <w:left w:val="nil"/>
              <w:bottom w:val="nil"/>
              <w:right w:val="nil"/>
            </w:tcBorders>
            <w:shd w:val="clear" w:color="auto" w:fill="auto"/>
            <w:noWrap/>
            <w:vAlign w:val="bottom"/>
            <w:hideMark/>
          </w:tcPr>
          <w:p w14:paraId="2B050F6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1,767,000</w:t>
            </w:r>
          </w:p>
        </w:tc>
        <w:tc>
          <w:tcPr>
            <w:tcW w:w="968" w:type="dxa"/>
            <w:tcBorders>
              <w:top w:val="nil"/>
              <w:left w:val="nil"/>
              <w:bottom w:val="nil"/>
              <w:right w:val="nil"/>
            </w:tcBorders>
            <w:shd w:val="clear" w:color="auto" w:fill="auto"/>
            <w:noWrap/>
            <w:vAlign w:val="bottom"/>
            <w:hideMark/>
          </w:tcPr>
          <w:p w14:paraId="7C2CCFB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1,728,000</w:t>
            </w:r>
          </w:p>
        </w:tc>
        <w:tc>
          <w:tcPr>
            <w:tcW w:w="873" w:type="dxa"/>
            <w:tcBorders>
              <w:top w:val="nil"/>
              <w:left w:val="nil"/>
              <w:bottom w:val="nil"/>
              <w:right w:val="nil"/>
            </w:tcBorders>
            <w:shd w:val="clear" w:color="auto" w:fill="auto"/>
            <w:noWrap/>
            <w:vAlign w:val="bottom"/>
            <w:hideMark/>
          </w:tcPr>
          <w:p w14:paraId="5E2A600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2,084,000</w:t>
            </w:r>
          </w:p>
        </w:tc>
        <w:tc>
          <w:tcPr>
            <w:tcW w:w="968" w:type="dxa"/>
            <w:tcBorders>
              <w:top w:val="nil"/>
              <w:left w:val="nil"/>
              <w:bottom w:val="nil"/>
              <w:right w:val="nil"/>
            </w:tcBorders>
            <w:shd w:val="clear" w:color="auto" w:fill="auto"/>
            <w:noWrap/>
            <w:vAlign w:val="bottom"/>
            <w:hideMark/>
          </w:tcPr>
          <w:p w14:paraId="1AB2A26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82.9</w:t>
            </w:r>
          </w:p>
        </w:tc>
        <w:tc>
          <w:tcPr>
            <w:tcW w:w="873" w:type="dxa"/>
            <w:tcBorders>
              <w:top w:val="nil"/>
              <w:left w:val="nil"/>
              <w:bottom w:val="nil"/>
              <w:right w:val="nil"/>
            </w:tcBorders>
            <w:shd w:val="clear" w:color="auto" w:fill="auto"/>
            <w:vAlign w:val="bottom"/>
            <w:hideMark/>
          </w:tcPr>
          <w:p w14:paraId="520DAD5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1,035,033</w:t>
            </w:r>
          </w:p>
        </w:tc>
        <w:tc>
          <w:tcPr>
            <w:tcW w:w="968" w:type="dxa"/>
            <w:tcBorders>
              <w:top w:val="nil"/>
              <w:left w:val="nil"/>
              <w:bottom w:val="nil"/>
              <w:right w:val="nil"/>
            </w:tcBorders>
            <w:shd w:val="clear" w:color="auto" w:fill="auto"/>
            <w:vAlign w:val="bottom"/>
            <w:hideMark/>
          </w:tcPr>
          <w:p w14:paraId="71C01E4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167.0</w:t>
            </w:r>
          </w:p>
        </w:tc>
        <w:tc>
          <w:tcPr>
            <w:tcW w:w="880" w:type="dxa"/>
            <w:tcBorders>
              <w:top w:val="nil"/>
              <w:left w:val="nil"/>
              <w:bottom w:val="nil"/>
              <w:right w:val="nil"/>
            </w:tcBorders>
            <w:shd w:val="clear" w:color="auto" w:fill="auto"/>
            <w:noWrap/>
            <w:vAlign w:val="bottom"/>
            <w:hideMark/>
          </w:tcPr>
          <w:p w14:paraId="72574A2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974,354 </w:t>
            </w:r>
          </w:p>
        </w:tc>
        <w:tc>
          <w:tcPr>
            <w:tcW w:w="858" w:type="dxa"/>
            <w:tcBorders>
              <w:top w:val="nil"/>
              <w:left w:val="nil"/>
              <w:bottom w:val="nil"/>
              <w:right w:val="nil"/>
            </w:tcBorders>
            <w:shd w:val="clear" w:color="auto" w:fill="auto"/>
            <w:noWrap/>
            <w:vAlign w:val="bottom"/>
            <w:hideMark/>
          </w:tcPr>
          <w:p w14:paraId="19C5E19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94.1</w:t>
            </w:r>
          </w:p>
        </w:tc>
        <w:tc>
          <w:tcPr>
            <w:tcW w:w="1001" w:type="dxa"/>
            <w:tcBorders>
              <w:top w:val="nil"/>
              <w:left w:val="nil"/>
              <w:bottom w:val="nil"/>
              <w:right w:val="single" w:sz="4" w:space="0" w:color="auto"/>
            </w:tcBorders>
            <w:shd w:val="clear" w:color="auto" w:fill="auto"/>
            <w:noWrap/>
            <w:vAlign w:val="bottom"/>
            <w:hideMark/>
          </w:tcPr>
          <w:p w14:paraId="576C22B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692,967</w:t>
            </w:r>
          </w:p>
        </w:tc>
      </w:tr>
      <w:tr w:rsidR="00C13F36" w:rsidRPr="00C13F36" w14:paraId="6EE9C83E"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49B4E03F"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Renewable Energy Lab.</w:t>
            </w:r>
          </w:p>
        </w:tc>
        <w:tc>
          <w:tcPr>
            <w:tcW w:w="968" w:type="dxa"/>
            <w:tcBorders>
              <w:top w:val="nil"/>
              <w:left w:val="nil"/>
              <w:bottom w:val="nil"/>
              <w:right w:val="nil"/>
            </w:tcBorders>
            <w:shd w:val="clear" w:color="auto" w:fill="auto"/>
            <w:noWrap/>
            <w:vAlign w:val="bottom"/>
            <w:hideMark/>
          </w:tcPr>
          <w:p w14:paraId="3B0BA94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359,998</w:t>
            </w:r>
          </w:p>
        </w:tc>
        <w:tc>
          <w:tcPr>
            <w:tcW w:w="968" w:type="dxa"/>
            <w:tcBorders>
              <w:top w:val="nil"/>
              <w:left w:val="nil"/>
              <w:bottom w:val="nil"/>
              <w:right w:val="nil"/>
            </w:tcBorders>
            <w:shd w:val="clear" w:color="auto" w:fill="auto"/>
            <w:noWrap/>
            <w:vAlign w:val="bottom"/>
            <w:hideMark/>
          </w:tcPr>
          <w:p w14:paraId="496AD5B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341,042</w:t>
            </w:r>
          </w:p>
        </w:tc>
        <w:tc>
          <w:tcPr>
            <w:tcW w:w="873" w:type="dxa"/>
            <w:tcBorders>
              <w:top w:val="nil"/>
              <w:left w:val="nil"/>
              <w:bottom w:val="nil"/>
              <w:right w:val="nil"/>
            </w:tcBorders>
            <w:shd w:val="clear" w:color="auto" w:fill="auto"/>
            <w:noWrap/>
            <w:vAlign w:val="bottom"/>
            <w:hideMark/>
          </w:tcPr>
          <w:p w14:paraId="22950EF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390,106</w:t>
            </w:r>
          </w:p>
        </w:tc>
        <w:tc>
          <w:tcPr>
            <w:tcW w:w="968" w:type="dxa"/>
            <w:tcBorders>
              <w:top w:val="nil"/>
              <w:left w:val="nil"/>
              <w:bottom w:val="nil"/>
              <w:right w:val="nil"/>
            </w:tcBorders>
            <w:shd w:val="clear" w:color="auto" w:fill="auto"/>
            <w:noWrap/>
            <w:vAlign w:val="bottom"/>
            <w:hideMark/>
          </w:tcPr>
          <w:p w14:paraId="4B6CED6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87.4</w:t>
            </w:r>
          </w:p>
        </w:tc>
        <w:tc>
          <w:tcPr>
            <w:tcW w:w="873" w:type="dxa"/>
            <w:tcBorders>
              <w:top w:val="nil"/>
              <w:left w:val="nil"/>
              <w:bottom w:val="nil"/>
              <w:right w:val="nil"/>
            </w:tcBorders>
            <w:shd w:val="clear" w:color="auto" w:fill="auto"/>
            <w:vAlign w:val="bottom"/>
            <w:hideMark/>
          </w:tcPr>
          <w:p w14:paraId="2CDB8A8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278,676</w:t>
            </w:r>
          </w:p>
        </w:tc>
        <w:tc>
          <w:tcPr>
            <w:tcW w:w="968" w:type="dxa"/>
            <w:tcBorders>
              <w:top w:val="nil"/>
              <w:left w:val="nil"/>
              <w:bottom w:val="nil"/>
              <w:right w:val="nil"/>
            </w:tcBorders>
            <w:shd w:val="clear" w:color="auto" w:fill="auto"/>
            <w:vAlign w:val="bottom"/>
            <w:hideMark/>
          </w:tcPr>
          <w:p w14:paraId="7D5EA3F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122.4</w:t>
            </w:r>
          </w:p>
        </w:tc>
        <w:tc>
          <w:tcPr>
            <w:tcW w:w="880" w:type="dxa"/>
            <w:tcBorders>
              <w:top w:val="nil"/>
              <w:left w:val="nil"/>
              <w:bottom w:val="nil"/>
              <w:right w:val="nil"/>
            </w:tcBorders>
            <w:shd w:val="clear" w:color="auto" w:fill="auto"/>
            <w:noWrap/>
            <w:vAlign w:val="bottom"/>
            <w:hideMark/>
          </w:tcPr>
          <w:p w14:paraId="32C5917A"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277,438 </w:t>
            </w:r>
          </w:p>
        </w:tc>
        <w:tc>
          <w:tcPr>
            <w:tcW w:w="858" w:type="dxa"/>
            <w:tcBorders>
              <w:top w:val="nil"/>
              <w:left w:val="nil"/>
              <w:bottom w:val="nil"/>
              <w:right w:val="nil"/>
            </w:tcBorders>
            <w:shd w:val="clear" w:color="auto" w:fill="auto"/>
            <w:noWrap/>
            <w:vAlign w:val="bottom"/>
            <w:hideMark/>
          </w:tcPr>
          <w:p w14:paraId="606ABF4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99.6</w:t>
            </w:r>
          </w:p>
        </w:tc>
        <w:tc>
          <w:tcPr>
            <w:tcW w:w="1001" w:type="dxa"/>
            <w:tcBorders>
              <w:top w:val="nil"/>
              <w:left w:val="nil"/>
              <w:bottom w:val="nil"/>
              <w:right w:val="single" w:sz="4" w:space="0" w:color="auto"/>
            </w:tcBorders>
            <w:shd w:val="clear" w:color="auto" w:fill="auto"/>
            <w:noWrap/>
            <w:vAlign w:val="bottom"/>
            <w:hideMark/>
          </w:tcPr>
          <w:p w14:paraId="7A38C4F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62,366</w:t>
            </w:r>
          </w:p>
        </w:tc>
      </w:tr>
      <w:tr w:rsidR="00C13F36" w:rsidRPr="00C13F36" w14:paraId="5708246F"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9B3E47E"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Oak Ridge National Lab.</w:t>
            </w:r>
          </w:p>
        </w:tc>
        <w:tc>
          <w:tcPr>
            <w:tcW w:w="968" w:type="dxa"/>
            <w:tcBorders>
              <w:top w:val="nil"/>
              <w:left w:val="nil"/>
              <w:bottom w:val="nil"/>
              <w:right w:val="nil"/>
            </w:tcBorders>
            <w:shd w:val="clear" w:color="auto" w:fill="auto"/>
            <w:noWrap/>
            <w:vAlign w:val="bottom"/>
            <w:hideMark/>
          </w:tcPr>
          <w:p w14:paraId="255173E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1,293,722</w:t>
            </w:r>
          </w:p>
        </w:tc>
        <w:tc>
          <w:tcPr>
            <w:tcW w:w="968" w:type="dxa"/>
            <w:tcBorders>
              <w:top w:val="nil"/>
              <w:left w:val="nil"/>
              <w:bottom w:val="nil"/>
              <w:right w:val="nil"/>
            </w:tcBorders>
            <w:shd w:val="clear" w:color="auto" w:fill="auto"/>
            <w:noWrap/>
            <w:vAlign w:val="bottom"/>
            <w:hideMark/>
          </w:tcPr>
          <w:p w14:paraId="40D7BB8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1,258,911</w:t>
            </w:r>
          </w:p>
        </w:tc>
        <w:tc>
          <w:tcPr>
            <w:tcW w:w="873" w:type="dxa"/>
            <w:tcBorders>
              <w:top w:val="nil"/>
              <w:left w:val="nil"/>
              <w:bottom w:val="nil"/>
              <w:right w:val="nil"/>
            </w:tcBorders>
            <w:shd w:val="clear" w:color="auto" w:fill="auto"/>
            <w:noWrap/>
            <w:vAlign w:val="bottom"/>
            <w:hideMark/>
          </w:tcPr>
          <w:p w14:paraId="2F432C9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1,293,722</w:t>
            </w:r>
          </w:p>
        </w:tc>
        <w:tc>
          <w:tcPr>
            <w:tcW w:w="968" w:type="dxa"/>
            <w:tcBorders>
              <w:top w:val="nil"/>
              <w:left w:val="nil"/>
              <w:bottom w:val="nil"/>
              <w:right w:val="nil"/>
            </w:tcBorders>
            <w:shd w:val="clear" w:color="auto" w:fill="auto"/>
            <w:noWrap/>
            <w:vAlign w:val="bottom"/>
            <w:hideMark/>
          </w:tcPr>
          <w:p w14:paraId="3F12C6A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97.3</w:t>
            </w:r>
          </w:p>
        </w:tc>
        <w:tc>
          <w:tcPr>
            <w:tcW w:w="873" w:type="dxa"/>
            <w:tcBorders>
              <w:top w:val="nil"/>
              <w:left w:val="nil"/>
              <w:bottom w:val="nil"/>
              <w:right w:val="nil"/>
            </w:tcBorders>
            <w:shd w:val="clear" w:color="auto" w:fill="auto"/>
            <w:vAlign w:val="bottom"/>
            <w:hideMark/>
          </w:tcPr>
          <w:p w14:paraId="4E5B725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775,324</w:t>
            </w:r>
          </w:p>
        </w:tc>
        <w:tc>
          <w:tcPr>
            <w:tcW w:w="968" w:type="dxa"/>
            <w:tcBorders>
              <w:top w:val="nil"/>
              <w:left w:val="nil"/>
              <w:bottom w:val="nil"/>
              <w:right w:val="nil"/>
            </w:tcBorders>
            <w:shd w:val="clear" w:color="auto" w:fill="auto"/>
            <w:vAlign w:val="bottom"/>
            <w:hideMark/>
          </w:tcPr>
          <w:p w14:paraId="253E81F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162.4</w:t>
            </w:r>
          </w:p>
        </w:tc>
        <w:tc>
          <w:tcPr>
            <w:tcW w:w="880" w:type="dxa"/>
            <w:tcBorders>
              <w:top w:val="nil"/>
              <w:left w:val="nil"/>
              <w:bottom w:val="nil"/>
              <w:right w:val="nil"/>
            </w:tcBorders>
            <w:shd w:val="clear" w:color="auto" w:fill="auto"/>
            <w:noWrap/>
            <w:vAlign w:val="bottom"/>
            <w:hideMark/>
          </w:tcPr>
          <w:p w14:paraId="6A0CE56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735,972 </w:t>
            </w:r>
          </w:p>
        </w:tc>
        <w:tc>
          <w:tcPr>
            <w:tcW w:w="858" w:type="dxa"/>
            <w:tcBorders>
              <w:top w:val="nil"/>
              <w:left w:val="nil"/>
              <w:bottom w:val="nil"/>
              <w:right w:val="nil"/>
            </w:tcBorders>
            <w:shd w:val="clear" w:color="auto" w:fill="auto"/>
            <w:noWrap/>
            <w:vAlign w:val="bottom"/>
            <w:hideMark/>
          </w:tcPr>
          <w:p w14:paraId="0BCA7AB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94.9</w:t>
            </w:r>
          </w:p>
        </w:tc>
        <w:tc>
          <w:tcPr>
            <w:tcW w:w="1001" w:type="dxa"/>
            <w:tcBorders>
              <w:top w:val="nil"/>
              <w:left w:val="nil"/>
              <w:bottom w:val="nil"/>
              <w:right w:val="single" w:sz="4" w:space="0" w:color="auto"/>
            </w:tcBorders>
            <w:shd w:val="clear" w:color="auto" w:fill="auto"/>
            <w:noWrap/>
            <w:vAlign w:val="bottom"/>
            <w:hideMark/>
          </w:tcPr>
          <w:p w14:paraId="71D36CF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483,587</w:t>
            </w:r>
          </w:p>
        </w:tc>
      </w:tr>
      <w:tr w:rsidR="00C13F36" w:rsidRPr="00C13F36" w14:paraId="69B335E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E6A94F5"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Pacific Northwest National Lab.</w:t>
            </w:r>
          </w:p>
        </w:tc>
        <w:tc>
          <w:tcPr>
            <w:tcW w:w="968" w:type="dxa"/>
            <w:tcBorders>
              <w:top w:val="nil"/>
              <w:left w:val="nil"/>
              <w:bottom w:val="nil"/>
              <w:right w:val="nil"/>
            </w:tcBorders>
            <w:shd w:val="clear" w:color="auto" w:fill="auto"/>
            <w:noWrap/>
            <w:vAlign w:val="bottom"/>
            <w:hideMark/>
          </w:tcPr>
          <w:p w14:paraId="09E164A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1,021,912</w:t>
            </w:r>
          </w:p>
        </w:tc>
        <w:tc>
          <w:tcPr>
            <w:tcW w:w="968" w:type="dxa"/>
            <w:tcBorders>
              <w:top w:val="nil"/>
              <w:left w:val="nil"/>
              <w:bottom w:val="nil"/>
              <w:right w:val="nil"/>
            </w:tcBorders>
            <w:shd w:val="clear" w:color="auto" w:fill="auto"/>
            <w:noWrap/>
            <w:vAlign w:val="bottom"/>
            <w:hideMark/>
          </w:tcPr>
          <w:p w14:paraId="26DF390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1,010,064</w:t>
            </w:r>
          </w:p>
        </w:tc>
        <w:tc>
          <w:tcPr>
            <w:tcW w:w="873" w:type="dxa"/>
            <w:tcBorders>
              <w:top w:val="nil"/>
              <w:left w:val="nil"/>
              <w:bottom w:val="nil"/>
              <w:right w:val="nil"/>
            </w:tcBorders>
            <w:shd w:val="clear" w:color="auto" w:fill="auto"/>
            <w:noWrap/>
            <w:vAlign w:val="bottom"/>
            <w:hideMark/>
          </w:tcPr>
          <w:p w14:paraId="5C9AA92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1,021,912</w:t>
            </w:r>
          </w:p>
        </w:tc>
        <w:tc>
          <w:tcPr>
            <w:tcW w:w="968" w:type="dxa"/>
            <w:tcBorders>
              <w:top w:val="nil"/>
              <w:left w:val="nil"/>
              <w:bottom w:val="nil"/>
              <w:right w:val="nil"/>
            </w:tcBorders>
            <w:shd w:val="clear" w:color="auto" w:fill="auto"/>
            <w:noWrap/>
            <w:vAlign w:val="bottom"/>
            <w:hideMark/>
          </w:tcPr>
          <w:p w14:paraId="3457926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98.8</w:t>
            </w:r>
          </w:p>
        </w:tc>
        <w:tc>
          <w:tcPr>
            <w:tcW w:w="873" w:type="dxa"/>
            <w:tcBorders>
              <w:top w:val="nil"/>
              <w:left w:val="nil"/>
              <w:bottom w:val="nil"/>
              <w:right w:val="nil"/>
            </w:tcBorders>
            <w:shd w:val="clear" w:color="auto" w:fill="auto"/>
            <w:vAlign w:val="bottom"/>
            <w:hideMark/>
          </w:tcPr>
          <w:p w14:paraId="1E979E4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356,998</w:t>
            </w:r>
          </w:p>
        </w:tc>
        <w:tc>
          <w:tcPr>
            <w:tcW w:w="968" w:type="dxa"/>
            <w:tcBorders>
              <w:top w:val="nil"/>
              <w:left w:val="nil"/>
              <w:bottom w:val="nil"/>
              <w:right w:val="nil"/>
            </w:tcBorders>
            <w:shd w:val="clear" w:color="auto" w:fill="auto"/>
            <w:vAlign w:val="bottom"/>
            <w:hideMark/>
          </w:tcPr>
          <w:p w14:paraId="39A0F4F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282.9</w:t>
            </w:r>
          </w:p>
        </w:tc>
        <w:tc>
          <w:tcPr>
            <w:tcW w:w="880" w:type="dxa"/>
            <w:tcBorders>
              <w:top w:val="nil"/>
              <w:left w:val="nil"/>
              <w:bottom w:val="nil"/>
              <w:right w:val="nil"/>
            </w:tcBorders>
            <w:shd w:val="clear" w:color="auto" w:fill="auto"/>
            <w:noWrap/>
            <w:vAlign w:val="bottom"/>
            <w:hideMark/>
          </w:tcPr>
          <w:p w14:paraId="6EE2B7B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312,264 </w:t>
            </w:r>
          </w:p>
        </w:tc>
        <w:tc>
          <w:tcPr>
            <w:tcW w:w="858" w:type="dxa"/>
            <w:tcBorders>
              <w:top w:val="nil"/>
              <w:left w:val="nil"/>
              <w:bottom w:val="nil"/>
              <w:right w:val="nil"/>
            </w:tcBorders>
            <w:shd w:val="clear" w:color="auto" w:fill="auto"/>
            <w:noWrap/>
            <w:vAlign w:val="bottom"/>
            <w:hideMark/>
          </w:tcPr>
          <w:p w14:paraId="0AAFD23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87.5</w:t>
            </w:r>
          </w:p>
        </w:tc>
        <w:tc>
          <w:tcPr>
            <w:tcW w:w="1001" w:type="dxa"/>
            <w:tcBorders>
              <w:top w:val="nil"/>
              <w:left w:val="nil"/>
              <w:bottom w:val="nil"/>
              <w:right w:val="single" w:sz="4" w:space="0" w:color="auto"/>
            </w:tcBorders>
            <w:shd w:val="clear" w:color="auto" w:fill="auto"/>
            <w:noWrap/>
            <w:vAlign w:val="bottom"/>
            <w:hideMark/>
          </w:tcPr>
          <w:p w14:paraId="1620218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653,066</w:t>
            </w:r>
          </w:p>
        </w:tc>
      </w:tr>
      <w:tr w:rsidR="00C13F36" w:rsidRPr="00C13F36" w14:paraId="105A2F7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B287E92"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Princeton Plasma Physics Lab.</w:t>
            </w:r>
          </w:p>
        </w:tc>
        <w:tc>
          <w:tcPr>
            <w:tcW w:w="968" w:type="dxa"/>
            <w:tcBorders>
              <w:top w:val="nil"/>
              <w:left w:val="nil"/>
              <w:bottom w:val="nil"/>
              <w:right w:val="nil"/>
            </w:tcBorders>
            <w:shd w:val="clear" w:color="auto" w:fill="auto"/>
            <w:noWrap/>
            <w:vAlign w:val="bottom"/>
            <w:hideMark/>
          </w:tcPr>
          <w:p w14:paraId="7B8C66BA"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97,768</w:t>
            </w:r>
          </w:p>
        </w:tc>
        <w:tc>
          <w:tcPr>
            <w:tcW w:w="968" w:type="dxa"/>
            <w:tcBorders>
              <w:top w:val="nil"/>
              <w:left w:val="nil"/>
              <w:bottom w:val="nil"/>
              <w:right w:val="nil"/>
            </w:tcBorders>
            <w:shd w:val="clear" w:color="auto" w:fill="auto"/>
            <w:noWrap/>
            <w:vAlign w:val="bottom"/>
            <w:hideMark/>
          </w:tcPr>
          <w:p w14:paraId="544DD68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96,727</w:t>
            </w:r>
          </w:p>
        </w:tc>
        <w:tc>
          <w:tcPr>
            <w:tcW w:w="873" w:type="dxa"/>
            <w:tcBorders>
              <w:top w:val="nil"/>
              <w:left w:val="nil"/>
              <w:bottom w:val="nil"/>
              <w:right w:val="nil"/>
            </w:tcBorders>
            <w:shd w:val="clear" w:color="auto" w:fill="auto"/>
            <w:noWrap/>
            <w:vAlign w:val="bottom"/>
            <w:hideMark/>
          </w:tcPr>
          <w:p w14:paraId="492C7EC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101,906</w:t>
            </w:r>
          </w:p>
        </w:tc>
        <w:tc>
          <w:tcPr>
            <w:tcW w:w="968" w:type="dxa"/>
            <w:tcBorders>
              <w:top w:val="nil"/>
              <w:left w:val="nil"/>
              <w:bottom w:val="nil"/>
              <w:right w:val="nil"/>
            </w:tcBorders>
            <w:shd w:val="clear" w:color="auto" w:fill="auto"/>
            <w:noWrap/>
            <w:vAlign w:val="bottom"/>
            <w:hideMark/>
          </w:tcPr>
          <w:p w14:paraId="4B08111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94.9</w:t>
            </w:r>
          </w:p>
        </w:tc>
        <w:tc>
          <w:tcPr>
            <w:tcW w:w="873" w:type="dxa"/>
            <w:tcBorders>
              <w:top w:val="nil"/>
              <w:left w:val="nil"/>
              <w:bottom w:val="nil"/>
              <w:right w:val="nil"/>
            </w:tcBorders>
            <w:shd w:val="clear" w:color="auto" w:fill="auto"/>
            <w:vAlign w:val="bottom"/>
            <w:hideMark/>
          </w:tcPr>
          <w:p w14:paraId="0F84DB8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61,618</w:t>
            </w:r>
          </w:p>
        </w:tc>
        <w:tc>
          <w:tcPr>
            <w:tcW w:w="968" w:type="dxa"/>
            <w:tcBorders>
              <w:top w:val="nil"/>
              <w:left w:val="nil"/>
              <w:bottom w:val="nil"/>
              <w:right w:val="nil"/>
            </w:tcBorders>
            <w:shd w:val="clear" w:color="auto" w:fill="auto"/>
            <w:vAlign w:val="bottom"/>
            <w:hideMark/>
          </w:tcPr>
          <w:p w14:paraId="76E59B2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157.0</w:t>
            </w:r>
          </w:p>
        </w:tc>
        <w:tc>
          <w:tcPr>
            <w:tcW w:w="880" w:type="dxa"/>
            <w:tcBorders>
              <w:top w:val="nil"/>
              <w:left w:val="nil"/>
              <w:bottom w:val="nil"/>
              <w:right w:val="nil"/>
            </w:tcBorders>
            <w:shd w:val="clear" w:color="auto" w:fill="auto"/>
            <w:noWrap/>
            <w:vAlign w:val="bottom"/>
            <w:hideMark/>
          </w:tcPr>
          <w:p w14:paraId="617E4FA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57,318 </w:t>
            </w:r>
          </w:p>
        </w:tc>
        <w:tc>
          <w:tcPr>
            <w:tcW w:w="858" w:type="dxa"/>
            <w:tcBorders>
              <w:top w:val="nil"/>
              <w:left w:val="nil"/>
              <w:bottom w:val="nil"/>
              <w:right w:val="nil"/>
            </w:tcBorders>
            <w:shd w:val="clear" w:color="auto" w:fill="auto"/>
            <w:noWrap/>
            <w:vAlign w:val="bottom"/>
            <w:hideMark/>
          </w:tcPr>
          <w:p w14:paraId="45C3B3A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93.0</w:t>
            </w:r>
          </w:p>
        </w:tc>
        <w:tc>
          <w:tcPr>
            <w:tcW w:w="1001" w:type="dxa"/>
            <w:tcBorders>
              <w:top w:val="nil"/>
              <w:left w:val="nil"/>
              <w:bottom w:val="nil"/>
              <w:right w:val="single" w:sz="4" w:space="0" w:color="auto"/>
            </w:tcBorders>
            <w:shd w:val="clear" w:color="auto" w:fill="auto"/>
            <w:noWrap/>
            <w:vAlign w:val="bottom"/>
            <w:hideMark/>
          </w:tcPr>
          <w:p w14:paraId="7FD1028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35,109</w:t>
            </w:r>
          </w:p>
        </w:tc>
      </w:tr>
      <w:tr w:rsidR="00C13F36" w:rsidRPr="00C13F36" w14:paraId="6EFD3E6A"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EDA990D"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SLAC National Accelerator Lab.</w:t>
            </w:r>
          </w:p>
        </w:tc>
        <w:tc>
          <w:tcPr>
            <w:tcW w:w="968" w:type="dxa"/>
            <w:tcBorders>
              <w:top w:val="nil"/>
              <w:left w:val="nil"/>
              <w:bottom w:val="nil"/>
              <w:right w:val="nil"/>
            </w:tcBorders>
            <w:shd w:val="clear" w:color="auto" w:fill="auto"/>
            <w:noWrap/>
            <w:vAlign w:val="bottom"/>
            <w:hideMark/>
          </w:tcPr>
          <w:p w14:paraId="532E7ED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316,646</w:t>
            </w:r>
          </w:p>
        </w:tc>
        <w:tc>
          <w:tcPr>
            <w:tcW w:w="968" w:type="dxa"/>
            <w:tcBorders>
              <w:top w:val="nil"/>
              <w:left w:val="nil"/>
              <w:bottom w:val="nil"/>
              <w:right w:val="nil"/>
            </w:tcBorders>
            <w:shd w:val="clear" w:color="auto" w:fill="auto"/>
            <w:noWrap/>
            <w:vAlign w:val="bottom"/>
            <w:hideMark/>
          </w:tcPr>
          <w:p w14:paraId="39C5909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306,409</w:t>
            </w:r>
          </w:p>
        </w:tc>
        <w:tc>
          <w:tcPr>
            <w:tcW w:w="873" w:type="dxa"/>
            <w:tcBorders>
              <w:top w:val="nil"/>
              <w:left w:val="nil"/>
              <w:bottom w:val="nil"/>
              <w:right w:val="nil"/>
            </w:tcBorders>
            <w:shd w:val="clear" w:color="auto" w:fill="auto"/>
            <w:noWrap/>
            <w:vAlign w:val="bottom"/>
            <w:hideMark/>
          </w:tcPr>
          <w:p w14:paraId="6B47F1E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386,676</w:t>
            </w:r>
          </w:p>
        </w:tc>
        <w:tc>
          <w:tcPr>
            <w:tcW w:w="968" w:type="dxa"/>
            <w:tcBorders>
              <w:top w:val="nil"/>
              <w:left w:val="nil"/>
              <w:bottom w:val="nil"/>
              <w:right w:val="nil"/>
            </w:tcBorders>
            <w:shd w:val="clear" w:color="auto" w:fill="auto"/>
            <w:noWrap/>
            <w:vAlign w:val="bottom"/>
            <w:hideMark/>
          </w:tcPr>
          <w:p w14:paraId="4218F67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79.2</w:t>
            </w:r>
          </w:p>
        </w:tc>
        <w:tc>
          <w:tcPr>
            <w:tcW w:w="873" w:type="dxa"/>
            <w:tcBorders>
              <w:top w:val="nil"/>
              <w:left w:val="nil"/>
              <w:bottom w:val="nil"/>
              <w:right w:val="nil"/>
            </w:tcBorders>
            <w:shd w:val="clear" w:color="auto" w:fill="auto"/>
            <w:vAlign w:val="bottom"/>
            <w:hideMark/>
          </w:tcPr>
          <w:p w14:paraId="52B4770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275,564</w:t>
            </w:r>
          </w:p>
        </w:tc>
        <w:tc>
          <w:tcPr>
            <w:tcW w:w="968" w:type="dxa"/>
            <w:tcBorders>
              <w:top w:val="nil"/>
              <w:left w:val="nil"/>
              <w:bottom w:val="nil"/>
              <w:right w:val="nil"/>
            </w:tcBorders>
            <w:shd w:val="clear" w:color="auto" w:fill="auto"/>
            <w:vAlign w:val="bottom"/>
            <w:hideMark/>
          </w:tcPr>
          <w:p w14:paraId="7046C65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111.2</w:t>
            </w:r>
          </w:p>
        </w:tc>
        <w:tc>
          <w:tcPr>
            <w:tcW w:w="880" w:type="dxa"/>
            <w:tcBorders>
              <w:top w:val="nil"/>
              <w:left w:val="nil"/>
              <w:bottom w:val="nil"/>
              <w:right w:val="nil"/>
            </w:tcBorders>
            <w:shd w:val="clear" w:color="auto" w:fill="auto"/>
            <w:noWrap/>
            <w:vAlign w:val="bottom"/>
            <w:hideMark/>
          </w:tcPr>
          <w:p w14:paraId="6633FB6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275,564 </w:t>
            </w:r>
          </w:p>
        </w:tc>
        <w:tc>
          <w:tcPr>
            <w:tcW w:w="858" w:type="dxa"/>
            <w:tcBorders>
              <w:top w:val="nil"/>
              <w:left w:val="nil"/>
              <w:bottom w:val="nil"/>
              <w:right w:val="nil"/>
            </w:tcBorders>
            <w:shd w:val="clear" w:color="auto" w:fill="auto"/>
            <w:noWrap/>
            <w:vAlign w:val="bottom"/>
            <w:hideMark/>
          </w:tcPr>
          <w:p w14:paraId="73408BB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0E3DAC0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30,845</w:t>
            </w:r>
          </w:p>
        </w:tc>
      </w:tr>
      <w:tr w:rsidR="00C13F36" w:rsidRPr="00C13F36" w14:paraId="19C11255"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0450595B"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Sandia National Labs.</w:t>
            </w:r>
          </w:p>
        </w:tc>
        <w:tc>
          <w:tcPr>
            <w:tcW w:w="968" w:type="dxa"/>
            <w:tcBorders>
              <w:top w:val="nil"/>
              <w:left w:val="nil"/>
              <w:bottom w:val="nil"/>
              <w:right w:val="nil"/>
            </w:tcBorders>
            <w:shd w:val="clear" w:color="auto" w:fill="auto"/>
            <w:noWrap/>
            <w:vAlign w:val="bottom"/>
            <w:hideMark/>
          </w:tcPr>
          <w:p w14:paraId="19809A7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2,507,099</w:t>
            </w:r>
          </w:p>
        </w:tc>
        <w:tc>
          <w:tcPr>
            <w:tcW w:w="968" w:type="dxa"/>
            <w:tcBorders>
              <w:top w:val="nil"/>
              <w:left w:val="nil"/>
              <w:bottom w:val="nil"/>
              <w:right w:val="nil"/>
            </w:tcBorders>
            <w:shd w:val="clear" w:color="auto" w:fill="auto"/>
            <w:noWrap/>
            <w:vAlign w:val="bottom"/>
            <w:hideMark/>
          </w:tcPr>
          <w:p w14:paraId="75B215E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2,474,159</w:t>
            </w:r>
          </w:p>
        </w:tc>
        <w:tc>
          <w:tcPr>
            <w:tcW w:w="873" w:type="dxa"/>
            <w:tcBorders>
              <w:top w:val="nil"/>
              <w:left w:val="nil"/>
              <w:bottom w:val="nil"/>
              <w:right w:val="nil"/>
            </w:tcBorders>
            <w:shd w:val="clear" w:color="auto" w:fill="auto"/>
            <w:noWrap/>
            <w:vAlign w:val="bottom"/>
            <w:hideMark/>
          </w:tcPr>
          <w:p w14:paraId="4C00115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2,636,331</w:t>
            </w:r>
          </w:p>
        </w:tc>
        <w:tc>
          <w:tcPr>
            <w:tcW w:w="968" w:type="dxa"/>
            <w:tcBorders>
              <w:top w:val="nil"/>
              <w:left w:val="nil"/>
              <w:bottom w:val="nil"/>
              <w:right w:val="nil"/>
            </w:tcBorders>
            <w:shd w:val="clear" w:color="auto" w:fill="auto"/>
            <w:noWrap/>
            <w:vAlign w:val="bottom"/>
            <w:hideMark/>
          </w:tcPr>
          <w:p w14:paraId="39A72F1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93.8</w:t>
            </w:r>
          </w:p>
        </w:tc>
        <w:tc>
          <w:tcPr>
            <w:tcW w:w="873" w:type="dxa"/>
            <w:tcBorders>
              <w:top w:val="nil"/>
              <w:left w:val="nil"/>
              <w:bottom w:val="nil"/>
              <w:right w:val="nil"/>
            </w:tcBorders>
            <w:shd w:val="clear" w:color="auto" w:fill="auto"/>
            <w:vAlign w:val="bottom"/>
            <w:hideMark/>
          </w:tcPr>
          <w:p w14:paraId="5DC7884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1,594,225</w:t>
            </w:r>
          </w:p>
        </w:tc>
        <w:tc>
          <w:tcPr>
            <w:tcW w:w="968" w:type="dxa"/>
            <w:tcBorders>
              <w:top w:val="nil"/>
              <w:left w:val="nil"/>
              <w:bottom w:val="nil"/>
              <w:right w:val="nil"/>
            </w:tcBorders>
            <w:shd w:val="clear" w:color="auto" w:fill="auto"/>
            <w:vAlign w:val="bottom"/>
            <w:hideMark/>
          </w:tcPr>
          <w:p w14:paraId="4AC4320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155.2</w:t>
            </w:r>
          </w:p>
        </w:tc>
        <w:tc>
          <w:tcPr>
            <w:tcW w:w="880" w:type="dxa"/>
            <w:tcBorders>
              <w:top w:val="nil"/>
              <w:left w:val="nil"/>
              <w:bottom w:val="nil"/>
              <w:right w:val="nil"/>
            </w:tcBorders>
            <w:shd w:val="clear" w:color="auto" w:fill="auto"/>
            <w:noWrap/>
            <w:vAlign w:val="bottom"/>
            <w:hideMark/>
          </w:tcPr>
          <w:p w14:paraId="63C1459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1,245,100 </w:t>
            </w:r>
          </w:p>
        </w:tc>
        <w:tc>
          <w:tcPr>
            <w:tcW w:w="858" w:type="dxa"/>
            <w:tcBorders>
              <w:top w:val="nil"/>
              <w:left w:val="nil"/>
              <w:bottom w:val="nil"/>
              <w:right w:val="nil"/>
            </w:tcBorders>
            <w:shd w:val="clear" w:color="auto" w:fill="auto"/>
            <w:noWrap/>
            <w:vAlign w:val="bottom"/>
            <w:hideMark/>
          </w:tcPr>
          <w:p w14:paraId="08985B8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78.1</w:t>
            </w:r>
          </w:p>
        </w:tc>
        <w:tc>
          <w:tcPr>
            <w:tcW w:w="1001" w:type="dxa"/>
            <w:tcBorders>
              <w:top w:val="nil"/>
              <w:left w:val="nil"/>
              <w:bottom w:val="nil"/>
              <w:right w:val="single" w:sz="4" w:space="0" w:color="auto"/>
            </w:tcBorders>
            <w:shd w:val="clear" w:color="auto" w:fill="auto"/>
            <w:noWrap/>
            <w:vAlign w:val="bottom"/>
            <w:hideMark/>
          </w:tcPr>
          <w:p w14:paraId="57FCD69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879,934</w:t>
            </w:r>
          </w:p>
        </w:tc>
      </w:tr>
      <w:tr w:rsidR="00C13F36" w:rsidRPr="00C13F36" w14:paraId="18B378A3"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EE9188E"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Savannah River National Lab.</w:t>
            </w:r>
          </w:p>
        </w:tc>
        <w:tc>
          <w:tcPr>
            <w:tcW w:w="968" w:type="dxa"/>
            <w:tcBorders>
              <w:top w:val="nil"/>
              <w:left w:val="nil"/>
              <w:bottom w:val="nil"/>
              <w:right w:val="nil"/>
            </w:tcBorders>
            <w:shd w:val="clear" w:color="auto" w:fill="auto"/>
            <w:noWrap/>
            <w:vAlign w:val="bottom"/>
            <w:hideMark/>
          </w:tcPr>
          <w:p w14:paraId="6F5FB29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121,013</w:t>
            </w:r>
          </w:p>
        </w:tc>
        <w:tc>
          <w:tcPr>
            <w:tcW w:w="968" w:type="dxa"/>
            <w:tcBorders>
              <w:top w:val="nil"/>
              <w:left w:val="nil"/>
              <w:bottom w:val="nil"/>
              <w:right w:val="nil"/>
            </w:tcBorders>
            <w:shd w:val="clear" w:color="auto" w:fill="auto"/>
            <w:noWrap/>
            <w:vAlign w:val="bottom"/>
            <w:hideMark/>
          </w:tcPr>
          <w:p w14:paraId="4553FF4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121,013</w:t>
            </w:r>
          </w:p>
        </w:tc>
        <w:tc>
          <w:tcPr>
            <w:tcW w:w="873" w:type="dxa"/>
            <w:tcBorders>
              <w:top w:val="nil"/>
              <w:left w:val="nil"/>
              <w:bottom w:val="nil"/>
              <w:right w:val="nil"/>
            </w:tcBorders>
            <w:shd w:val="clear" w:color="auto" w:fill="auto"/>
            <w:noWrap/>
            <w:vAlign w:val="bottom"/>
            <w:hideMark/>
          </w:tcPr>
          <w:p w14:paraId="4274791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220,990</w:t>
            </w:r>
          </w:p>
        </w:tc>
        <w:tc>
          <w:tcPr>
            <w:tcW w:w="968" w:type="dxa"/>
            <w:tcBorders>
              <w:top w:val="nil"/>
              <w:left w:val="nil"/>
              <w:bottom w:val="nil"/>
              <w:right w:val="nil"/>
            </w:tcBorders>
            <w:shd w:val="clear" w:color="auto" w:fill="auto"/>
            <w:noWrap/>
            <w:vAlign w:val="bottom"/>
            <w:hideMark/>
          </w:tcPr>
          <w:p w14:paraId="095659B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54.8</w:t>
            </w:r>
          </w:p>
        </w:tc>
        <w:tc>
          <w:tcPr>
            <w:tcW w:w="873" w:type="dxa"/>
            <w:tcBorders>
              <w:top w:val="nil"/>
              <w:left w:val="nil"/>
              <w:bottom w:val="nil"/>
              <w:right w:val="nil"/>
            </w:tcBorders>
            <w:shd w:val="clear" w:color="auto" w:fill="auto"/>
            <w:vAlign w:val="bottom"/>
            <w:hideMark/>
          </w:tcPr>
          <w:p w14:paraId="50BBE28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25,009</w:t>
            </w:r>
          </w:p>
        </w:tc>
        <w:tc>
          <w:tcPr>
            <w:tcW w:w="968" w:type="dxa"/>
            <w:tcBorders>
              <w:top w:val="nil"/>
              <w:left w:val="nil"/>
              <w:bottom w:val="nil"/>
              <w:right w:val="nil"/>
            </w:tcBorders>
            <w:shd w:val="clear" w:color="auto" w:fill="auto"/>
            <w:vAlign w:val="bottom"/>
            <w:hideMark/>
          </w:tcPr>
          <w:p w14:paraId="52EEE96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483.9</w:t>
            </w:r>
          </w:p>
        </w:tc>
        <w:tc>
          <w:tcPr>
            <w:tcW w:w="880" w:type="dxa"/>
            <w:tcBorders>
              <w:top w:val="nil"/>
              <w:left w:val="nil"/>
              <w:bottom w:val="nil"/>
              <w:right w:val="nil"/>
            </w:tcBorders>
            <w:shd w:val="clear" w:color="auto" w:fill="auto"/>
            <w:noWrap/>
            <w:vAlign w:val="bottom"/>
            <w:hideMark/>
          </w:tcPr>
          <w:p w14:paraId="327C03E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24,031 </w:t>
            </w:r>
          </w:p>
        </w:tc>
        <w:tc>
          <w:tcPr>
            <w:tcW w:w="858" w:type="dxa"/>
            <w:tcBorders>
              <w:top w:val="nil"/>
              <w:left w:val="nil"/>
              <w:bottom w:val="nil"/>
              <w:right w:val="nil"/>
            </w:tcBorders>
            <w:shd w:val="clear" w:color="auto" w:fill="auto"/>
            <w:noWrap/>
            <w:vAlign w:val="bottom"/>
            <w:hideMark/>
          </w:tcPr>
          <w:p w14:paraId="5AADC02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96.1</w:t>
            </w:r>
          </w:p>
        </w:tc>
        <w:tc>
          <w:tcPr>
            <w:tcW w:w="1001" w:type="dxa"/>
            <w:tcBorders>
              <w:top w:val="nil"/>
              <w:left w:val="nil"/>
              <w:bottom w:val="nil"/>
              <w:right w:val="single" w:sz="4" w:space="0" w:color="auto"/>
            </w:tcBorders>
            <w:shd w:val="clear" w:color="auto" w:fill="auto"/>
            <w:noWrap/>
            <w:vAlign w:val="bottom"/>
            <w:hideMark/>
          </w:tcPr>
          <w:p w14:paraId="56B27EB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96,004</w:t>
            </w:r>
          </w:p>
        </w:tc>
      </w:tr>
      <w:tr w:rsidR="00C13F36" w:rsidRPr="00C13F36" w14:paraId="3E6C0A32"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3827D65D"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Thomas Jefferson National Accelerator Fac.</w:t>
            </w:r>
          </w:p>
        </w:tc>
        <w:tc>
          <w:tcPr>
            <w:tcW w:w="968" w:type="dxa"/>
            <w:tcBorders>
              <w:top w:val="nil"/>
              <w:left w:val="nil"/>
              <w:bottom w:val="nil"/>
              <w:right w:val="nil"/>
            </w:tcBorders>
            <w:shd w:val="clear" w:color="auto" w:fill="auto"/>
            <w:noWrap/>
            <w:vAlign w:val="bottom"/>
            <w:hideMark/>
          </w:tcPr>
          <w:p w14:paraId="6B577CC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105,868</w:t>
            </w:r>
          </w:p>
        </w:tc>
        <w:tc>
          <w:tcPr>
            <w:tcW w:w="968" w:type="dxa"/>
            <w:tcBorders>
              <w:top w:val="nil"/>
              <w:left w:val="nil"/>
              <w:bottom w:val="nil"/>
              <w:right w:val="nil"/>
            </w:tcBorders>
            <w:shd w:val="clear" w:color="auto" w:fill="auto"/>
            <w:noWrap/>
            <w:vAlign w:val="bottom"/>
            <w:hideMark/>
          </w:tcPr>
          <w:p w14:paraId="165A098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101,316</w:t>
            </w:r>
          </w:p>
        </w:tc>
        <w:tc>
          <w:tcPr>
            <w:tcW w:w="873" w:type="dxa"/>
            <w:tcBorders>
              <w:top w:val="nil"/>
              <w:left w:val="nil"/>
              <w:bottom w:val="nil"/>
              <w:right w:val="nil"/>
            </w:tcBorders>
            <w:shd w:val="clear" w:color="auto" w:fill="auto"/>
            <w:noWrap/>
            <w:vAlign w:val="bottom"/>
            <w:hideMark/>
          </w:tcPr>
          <w:p w14:paraId="172D2F6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142,808</w:t>
            </w:r>
          </w:p>
        </w:tc>
        <w:tc>
          <w:tcPr>
            <w:tcW w:w="968" w:type="dxa"/>
            <w:tcBorders>
              <w:top w:val="nil"/>
              <w:left w:val="nil"/>
              <w:bottom w:val="nil"/>
              <w:right w:val="nil"/>
            </w:tcBorders>
            <w:shd w:val="clear" w:color="auto" w:fill="auto"/>
            <w:noWrap/>
            <w:vAlign w:val="bottom"/>
            <w:hideMark/>
          </w:tcPr>
          <w:p w14:paraId="3B81543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70.9</w:t>
            </w:r>
          </w:p>
        </w:tc>
        <w:tc>
          <w:tcPr>
            <w:tcW w:w="873" w:type="dxa"/>
            <w:tcBorders>
              <w:top w:val="nil"/>
              <w:left w:val="nil"/>
              <w:bottom w:val="nil"/>
              <w:right w:val="nil"/>
            </w:tcBorders>
            <w:shd w:val="clear" w:color="auto" w:fill="auto"/>
            <w:vAlign w:val="bottom"/>
            <w:hideMark/>
          </w:tcPr>
          <w:p w14:paraId="6B87D5B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100,643</w:t>
            </w:r>
          </w:p>
        </w:tc>
        <w:tc>
          <w:tcPr>
            <w:tcW w:w="968" w:type="dxa"/>
            <w:tcBorders>
              <w:top w:val="nil"/>
              <w:left w:val="nil"/>
              <w:bottom w:val="nil"/>
              <w:right w:val="nil"/>
            </w:tcBorders>
            <w:shd w:val="clear" w:color="auto" w:fill="auto"/>
            <w:vAlign w:val="bottom"/>
            <w:hideMark/>
          </w:tcPr>
          <w:p w14:paraId="551E6EE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100.7</w:t>
            </w:r>
          </w:p>
        </w:tc>
        <w:tc>
          <w:tcPr>
            <w:tcW w:w="880" w:type="dxa"/>
            <w:tcBorders>
              <w:top w:val="nil"/>
              <w:left w:val="nil"/>
              <w:bottom w:val="nil"/>
              <w:right w:val="nil"/>
            </w:tcBorders>
            <w:shd w:val="clear" w:color="auto" w:fill="auto"/>
            <w:noWrap/>
            <w:vAlign w:val="bottom"/>
            <w:hideMark/>
          </w:tcPr>
          <w:p w14:paraId="0B9147F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97,546 </w:t>
            </w:r>
          </w:p>
        </w:tc>
        <w:tc>
          <w:tcPr>
            <w:tcW w:w="858" w:type="dxa"/>
            <w:tcBorders>
              <w:top w:val="nil"/>
              <w:left w:val="nil"/>
              <w:bottom w:val="nil"/>
              <w:right w:val="nil"/>
            </w:tcBorders>
            <w:shd w:val="clear" w:color="auto" w:fill="auto"/>
            <w:noWrap/>
            <w:vAlign w:val="bottom"/>
            <w:hideMark/>
          </w:tcPr>
          <w:p w14:paraId="5F83BE5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96.9</w:t>
            </w:r>
          </w:p>
        </w:tc>
        <w:tc>
          <w:tcPr>
            <w:tcW w:w="1001" w:type="dxa"/>
            <w:tcBorders>
              <w:top w:val="nil"/>
              <w:left w:val="nil"/>
              <w:bottom w:val="nil"/>
              <w:right w:val="single" w:sz="4" w:space="0" w:color="auto"/>
            </w:tcBorders>
            <w:shd w:val="clear" w:color="auto" w:fill="auto"/>
            <w:noWrap/>
            <w:vAlign w:val="bottom"/>
            <w:hideMark/>
          </w:tcPr>
          <w:p w14:paraId="5C297B4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673</w:t>
            </w:r>
          </w:p>
        </w:tc>
      </w:tr>
      <w:tr w:rsidR="00C13F36" w:rsidRPr="00C13F36" w14:paraId="0669B415"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1CFF61B"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HHS sponsored</w:t>
            </w:r>
          </w:p>
        </w:tc>
        <w:tc>
          <w:tcPr>
            <w:tcW w:w="968" w:type="dxa"/>
            <w:tcBorders>
              <w:top w:val="nil"/>
              <w:left w:val="nil"/>
              <w:bottom w:val="nil"/>
              <w:right w:val="nil"/>
            </w:tcBorders>
            <w:shd w:val="clear" w:color="auto" w:fill="auto"/>
            <w:noWrap/>
            <w:vAlign w:val="bottom"/>
            <w:hideMark/>
          </w:tcPr>
          <w:p w14:paraId="322150C3"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43241258"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9E09B13"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18AA1154"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4F678CCB"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52913A50"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2876DE7D"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73422990"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4C41767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3732C26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02E33BE"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CMS Alliance to Modernize Healthcare</w:t>
            </w:r>
          </w:p>
        </w:tc>
        <w:tc>
          <w:tcPr>
            <w:tcW w:w="968" w:type="dxa"/>
            <w:tcBorders>
              <w:top w:val="nil"/>
              <w:left w:val="nil"/>
              <w:bottom w:val="nil"/>
              <w:right w:val="nil"/>
            </w:tcBorders>
            <w:shd w:val="clear" w:color="auto" w:fill="auto"/>
            <w:noWrap/>
            <w:vAlign w:val="bottom"/>
            <w:hideMark/>
          </w:tcPr>
          <w:p w14:paraId="2783B6A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70,458</w:t>
            </w:r>
          </w:p>
        </w:tc>
        <w:tc>
          <w:tcPr>
            <w:tcW w:w="968" w:type="dxa"/>
            <w:tcBorders>
              <w:top w:val="nil"/>
              <w:left w:val="nil"/>
              <w:bottom w:val="nil"/>
              <w:right w:val="nil"/>
            </w:tcBorders>
            <w:shd w:val="clear" w:color="auto" w:fill="auto"/>
            <w:noWrap/>
            <w:vAlign w:val="bottom"/>
            <w:hideMark/>
          </w:tcPr>
          <w:p w14:paraId="0302C1B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70,458</w:t>
            </w:r>
          </w:p>
        </w:tc>
        <w:tc>
          <w:tcPr>
            <w:tcW w:w="873" w:type="dxa"/>
            <w:tcBorders>
              <w:top w:val="nil"/>
              <w:left w:val="nil"/>
              <w:bottom w:val="nil"/>
              <w:right w:val="nil"/>
            </w:tcBorders>
            <w:shd w:val="clear" w:color="auto" w:fill="auto"/>
            <w:noWrap/>
            <w:vAlign w:val="bottom"/>
            <w:hideMark/>
          </w:tcPr>
          <w:p w14:paraId="1BCF5BC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70,458</w:t>
            </w:r>
          </w:p>
        </w:tc>
        <w:tc>
          <w:tcPr>
            <w:tcW w:w="968" w:type="dxa"/>
            <w:tcBorders>
              <w:top w:val="nil"/>
              <w:left w:val="nil"/>
              <w:bottom w:val="nil"/>
              <w:right w:val="nil"/>
            </w:tcBorders>
            <w:shd w:val="clear" w:color="auto" w:fill="auto"/>
            <w:noWrap/>
            <w:vAlign w:val="bottom"/>
            <w:hideMark/>
          </w:tcPr>
          <w:p w14:paraId="7D00E59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noWrap/>
            <w:vAlign w:val="bottom"/>
            <w:hideMark/>
          </w:tcPr>
          <w:p w14:paraId="2675C6B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15,437</w:t>
            </w:r>
          </w:p>
        </w:tc>
        <w:tc>
          <w:tcPr>
            <w:tcW w:w="968" w:type="dxa"/>
            <w:tcBorders>
              <w:top w:val="nil"/>
              <w:left w:val="nil"/>
              <w:bottom w:val="nil"/>
              <w:right w:val="nil"/>
            </w:tcBorders>
            <w:shd w:val="clear" w:color="auto" w:fill="auto"/>
            <w:vAlign w:val="bottom"/>
            <w:hideMark/>
          </w:tcPr>
          <w:p w14:paraId="0F5494E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456.4</w:t>
            </w:r>
          </w:p>
        </w:tc>
        <w:tc>
          <w:tcPr>
            <w:tcW w:w="880" w:type="dxa"/>
            <w:tcBorders>
              <w:top w:val="nil"/>
              <w:left w:val="nil"/>
              <w:bottom w:val="nil"/>
              <w:right w:val="nil"/>
            </w:tcBorders>
            <w:shd w:val="clear" w:color="auto" w:fill="auto"/>
            <w:noWrap/>
            <w:vAlign w:val="bottom"/>
            <w:hideMark/>
          </w:tcPr>
          <w:p w14:paraId="3AE012A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 15,399 </w:t>
            </w:r>
          </w:p>
        </w:tc>
        <w:tc>
          <w:tcPr>
            <w:tcW w:w="858" w:type="dxa"/>
            <w:tcBorders>
              <w:top w:val="nil"/>
              <w:left w:val="nil"/>
              <w:bottom w:val="nil"/>
              <w:right w:val="nil"/>
            </w:tcBorders>
            <w:shd w:val="clear" w:color="auto" w:fill="auto"/>
            <w:noWrap/>
            <w:vAlign w:val="bottom"/>
            <w:hideMark/>
          </w:tcPr>
          <w:p w14:paraId="4138F3E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99.8</w:t>
            </w:r>
          </w:p>
        </w:tc>
        <w:tc>
          <w:tcPr>
            <w:tcW w:w="1001" w:type="dxa"/>
            <w:tcBorders>
              <w:top w:val="nil"/>
              <w:left w:val="nil"/>
              <w:bottom w:val="nil"/>
              <w:right w:val="single" w:sz="4" w:space="0" w:color="auto"/>
            </w:tcBorders>
            <w:shd w:val="clear" w:color="auto" w:fill="auto"/>
            <w:noWrap/>
            <w:vAlign w:val="bottom"/>
            <w:hideMark/>
          </w:tcPr>
          <w:p w14:paraId="40F2A1B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55,021</w:t>
            </w:r>
          </w:p>
        </w:tc>
      </w:tr>
      <w:tr w:rsidR="00C13F36" w:rsidRPr="00C13F36" w14:paraId="395D0BC4"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31597404"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Frederick National Lab. for Cancer Research</w:t>
            </w:r>
          </w:p>
        </w:tc>
        <w:tc>
          <w:tcPr>
            <w:tcW w:w="968" w:type="dxa"/>
            <w:tcBorders>
              <w:top w:val="nil"/>
              <w:left w:val="nil"/>
              <w:bottom w:val="nil"/>
              <w:right w:val="nil"/>
            </w:tcBorders>
            <w:shd w:val="clear" w:color="auto" w:fill="auto"/>
            <w:noWrap/>
            <w:vAlign w:val="bottom"/>
            <w:hideMark/>
          </w:tcPr>
          <w:p w14:paraId="4FC47B9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448,500</w:t>
            </w:r>
          </w:p>
        </w:tc>
        <w:tc>
          <w:tcPr>
            <w:tcW w:w="968" w:type="dxa"/>
            <w:tcBorders>
              <w:top w:val="nil"/>
              <w:left w:val="nil"/>
              <w:bottom w:val="nil"/>
              <w:right w:val="nil"/>
            </w:tcBorders>
            <w:shd w:val="clear" w:color="auto" w:fill="auto"/>
            <w:noWrap/>
            <w:vAlign w:val="bottom"/>
            <w:hideMark/>
          </w:tcPr>
          <w:p w14:paraId="3FC559C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448,500</w:t>
            </w:r>
          </w:p>
        </w:tc>
        <w:tc>
          <w:tcPr>
            <w:tcW w:w="873" w:type="dxa"/>
            <w:tcBorders>
              <w:top w:val="nil"/>
              <w:left w:val="nil"/>
              <w:bottom w:val="nil"/>
              <w:right w:val="nil"/>
            </w:tcBorders>
            <w:shd w:val="clear" w:color="auto" w:fill="auto"/>
            <w:noWrap/>
            <w:vAlign w:val="bottom"/>
            <w:hideMark/>
          </w:tcPr>
          <w:p w14:paraId="1111AA3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500,000</w:t>
            </w:r>
          </w:p>
        </w:tc>
        <w:tc>
          <w:tcPr>
            <w:tcW w:w="968" w:type="dxa"/>
            <w:tcBorders>
              <w:top w:val="nil"/>
              <w:left w:val="nil"/>
              <w:bottom w:val="nil"/>
              <w:right w:val="nil"/>
            </w:tcBorders>
            <w:shd w:val="clear" w:color="auto" w:fill="auto"/>
            <w:noWrap/>
            <w:vAlign w:val="bottom"/>
            <w:hideMark/>
          </w:tcPr>
          <w:p w14:paraId="6DBBDD0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89.7</w:t>
            </w:r>
          </w:p>
        </w:tc>
        <w:tc>
          <w:tcPr>
            <w:tcW w:w="873" w:type="dxa"/>
            <w:tcBorders>
              <w:top w:val="nil"/>
              <w:left w:val="nil"/>
              <w:bottom w:val="nil"/>
              <w:right w:val="nil"/>
            </w:tcBorders>
            <w:shd w:val="clear" w:color="auto" w:fill="auto"/>
            <w:vAlign w:val="bottom"/>
            <w:hideMark/>
          </w:tcPr>
          <w:p w14:paraId="5B1BB96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349,343</w:t>
            </w:r>
          </w:p>
        </w:tc>
        <w:tc>
          <w:tcPr>
            <w:tcW w:w="968" w:type="dxa"/>
            <w:tcBorders>
              <w:top w:val="nil"/>
              <w:left w:val="nil"/>
              <w:bottom w:val="nil"/>
              <w:right w:val="nil"/>
            </w:tcBorders>
            <w:shd w:val="clear" w:color="auto" w:fill="auto"/>
            <w:vAlign w:val="bottom"/>
            <w:hideMark/>
          </w:tcPr>
          <w:p w14:paraId="51A4662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128.4</w:t>
            </w:r>
          </w:p>
        </w:tc>
        <w:tc>
          <w:tcPr>
            <w:tcW w:w="880" w:type="dxa"/>
            <w:tcBorders>
              <w:top w:val="nil"/>
              <w:left w:val="nil"/>
              <w:bottom w:val="nil"/>
              <w:right w:val="nil"/>
            </w:tcBorders>
            <w:shd w:val="clear" w:color="auto" w:fill="auto"/>
            <w:noWrap/>
            <w:vAlign w:val="bottom"/>
            <w:hideMark/>
          </w:tcPr>
          <w:p w14:paraId="2AEEE54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348,858 </w:t>
            </w:r>
          </w:p>
        </w:tc>
        <w:tc>
          <w:tcPr>
            <w:tcW w:w="858" w:type="dxa"/>
            <w:tcBorders>
              <w:top w:val="nil"/>
              <w:left w:val="nil"/>
              <w:bottom w:val="nil"/>
              <w:right w:val="nil"/>
            </w:tcBorders>
            <w:shd w:val="clear" w:color="auto" w:fill="auto"/>
            <w:noWrap/>
            <w:vAlign w:val="bottom"/>
            <w:hideMark/>
          </w:tcPr>
          <w:p w14:paraId="29DF37E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99.9</w:t>
            </w:r>
          </w:p>
        </w:tc>
        <w:tc>
          <w:tcPr>
            <w:tcW w:w="1001" w:type="dxa"/>
            <w:tcBorders>
              <w:top w:val="nil"/>
              <w:left w:val="nil"/>
              <w:bottom w:val="nil"/>
              <w:right w:val="single" w:sz="4" w:space="0" w:color="auto"/>
            </w:tcBorders>
            <w:shd w:val="clear" w:color="auto" w:fill="auto"/>
            <w:noWrap/>
            <w:vAlign w:val="bottom"/>
            <w:hideMark/>
          </w:tcPr>
          <w:p w14:paraId="7370619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99,157</w:t>
            </w:r>
          </w:p>
        </w:tc>
      </w:tr>
      <w:tr w:rsidR="00C13F36" w:rsidRPr="00C13F36" w14:paraId="0CA388D8"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4199284F"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DHS sponsored</w:t>
            </w:r>
          </w:p>
        </w:tc>
        <w:tc>
          <w:tcPr>
            <w:tcW w:w="968" w:type="dxa"/>
            <w:tcBorders>
              <w:top w:val="nil"/>
              <w:left w:val="nil"/>
              <w:bottom w:val="nil"/>
              <w:right w:val="nil"/>
            </w:tcBorders>
            <w:shd w:val="clear" w:color="auto" w:fill="auto"/>
            <w:noWrap/>
            <w:vAlign w:val="bottom"/>
            <w:hideMark/>
          </w:tcPr>
          <w:p w14:paraId="2BAC2AD4"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06F3CF7A"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26B213C"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72E6D130"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1BF408D7"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7C03D0E1"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39715175"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4B4EC9F3"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28A63DF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60D5DFDF" w14:textId="77777777" w:rsidTr="00C13F36">
        <w:trPr>
          <w:trHeight w:val="340"/>
        </w:trPr>
        <w:tc>
          <w:tcPr>
            <w:tcW w:w="3289" w:type="dxa"/>
            <w:tcBorders>
              <w:top w:val="nil"/>
              <w:left w:val="single" w:sz="4" w:space="0" w:color="auto"/>
              <w:bottom w:val="nil"/>
              <w:right w:val="nil"/>
            </w:tcBorders>
            <w:shd w:val="clear" w:color="auto" w:fill="auto"/>
            <w:vAlign w:val="center"/>
            <w:hideMark/>
          </w:tcPr>
          <w:p w14:paraId="78C579B7"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Homeland Security Studies and Analysis Institute</w:t>
            </w:r>
          </w:p>
        </w:tc>
        <w:tc>
          <w:tcPr>
            <w:tcW w:w="968" w:type="dxa"/>
            <w:tcBorders>
              <w:top w:val="nil"/>
              <w:left w:val="nil"/>
              <w:bottom w:val="nil"/>
              <w:right w:val="nil"/>
            </w:tcBorders>
            <w:shd w:val="clear" w:color="auto" w:fill="auto"/>
            <w:noWrap/>
            <w:vAlign w:val="bottom"/>
            <w:hideMark/>
          </w:tcPr>
          <w:p w14:paraId="4ADB6AF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20,866</w:t>
            </w:r>
          </w:p>
        </w:tc>
        <w:tc>
          <w:tcPr>
            <w:tcW w:w="968" w:type="dxa"/>
            <w:tcBorders>
              <w:top w:val="nil"/>
              <w:left w:val="nil"/>
              <w:bottom w:val="nil"/>
              <w:right w:val="nil"/>
            </w:tcBorders>
            <w:shd w:val="clear" w:color="auto" w:fill="auto"/>
            <w:noWrap/>
            <w:vAlign w:val="bottom"/>
            <w:hideMark/>
          </w:tcPr>
          <w:p w14:paraId="5EA3B84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20,866</w:t>
            </w:r>
          </w:p>
        </w:tc>
        <w:tc>
          <w:tcPr>
            <w:tcW w:w="873" w:type="dxa"/>
            <w:tcBorders>
              <w:top w:val="nil"/>
              <w:left w:val="nil"/>
              <w:bottom w:val="nil"/>
              <w:right w:val="nil"/>
            </w:tcBorders>
            <w:shd w:val="clear" w:color="auto" w:fill="auto"/>
            <w:noWrap/>
            <w:vAlign w:val="bottom"/>
            <w:hideMark/>
          </w:tcPr>
          <w:p w14:paraId="49E19C9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24,000</w:t>
            </w:r>
          </w:p>
        </w:tc>
        <w:tc>
          <w:tcPr>
            <w:tcW w:w="968" w:type="dxa"/>
            <w:tcBorders>
              <w:top w:val="nil"/>
              <w:left w:val="nil"/>
              <w:bottom w:val="nil"/>
              <w:right w:val="nil"/>
            </w:tcBorders>
            <w:shd w:val="clear" w:color="auto" w:fill="auto"/>
            <w:noWrap/>
            <w:vAlign w:val="bottom"/>
            <w:hideMark/>
          </w:tcPr>
          <w:p w14:paraId="6F411F0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86.9</w:t>
            </w:r>
          </w:p>
        </w:tc>
        <w:tc>
          <w:tcPr>
            <w:tcW w:w="873" w:type="dxa"/>
            <w:tcBorders>
              <w:top w:val="nil"/>
              <w:left w:val="nil"/>
              <w:bottom w:val="nil"/>
              <w:right w:val="nil"/>
            </w:tcBorders>
            <w:shd w:val="clear" w:color="auto" w:fill="auto"/>
            <w:vAlign w:val="bottom"/>
            <w:hideMark/>
          </w:tcPr>
          <w:p w14:paraId="3051198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9,935</w:t>
            </w:r>
          </w:p>
        </w:tc>
        <w:tc>
          <w:tcPr>
            <w:tcW w:w="968" w:type="dxa"/>
            <w:tcBorders>
              <w:top w:val="nil"/>
              <w:left w:val="nil"/>
              <w:bottom w:val="nil"/>
              <w:right w:val="nil"/>
            </w:tcBorders>
            <w:shd w:val="clear" w:color="auto" w:fill="auto"/>
            <w:vAlign w:val="bottom"/>
            <w:hideMark/>
          </w:tcPr>
          <w:p w14:paraId="324D27C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210.0</w:t>
            </w:r>
          </w:p>
        </w:tc>
        <w:tc>
          <w:tcPr>
            <w:tcW w:w="880" w:type="dxa"/>
            <w:tcBorders>
              <w:top w:val="nil"/>
              <w:left w:val="nil"/>
              <w:bottom w:val="nil"/>
              <w:right w:val="nil"/>
            </w:tcBorders>
            <w:shd w:val="clear" w:color="auto" w:fill="auto"/>
            <w:noWrap/>
            <w:vAlign w:val="bottom"/>
            <w:hideMark/>
          </w:tcPr>
          <w:p w14:paraId="54FC186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5,985 </w:t>
            </w:r>
          </w:p>
        </w:tc>
        <w:tc>
          <w:tcPr>
            <w:tcW w:w="858" w:type="dxa"/>
            <w:tcBorders>
              <w:top w:val="nil"/>
              <w:left w:val="nil"/>
              <w:bottom w:val="nil"/>
              <w:right w:val="nil"/>
            </w:tcBorders>
            <w:shd w:val="clear" w:color="auto" w:fill="auto"/>
            <w:noWrap/>
            <w:vAlign w:val="bottom"/>
            <w:hideMark/>
          </w:tcPr>
          <w:p w14:paraId="6640B46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60.2</w:t>
            </w:r>
          </w:p>
        </w:tc>
        <w:tc>
          <w:tcPr>
            <w:tcW w:w="1001" w:type="dxa"/>
            <w:tcBorders>
              <w:top w:val="nil"/>
              <w:left w:val="nil"/>
              <w:bottom w:val="nil"/>
              <w:right w:val="single" w:sz="4" w:space="0" w:color="auto"/>
            </w:tcBorders>
            <w:shd w:val="clear" w:color="auto" w:fill="auto"/>
            <w:noWrap/>
            <w:vAlign w:val="bottom"/>
            <w:hideMark/>
          </w:tcPr>
          <w:p w14:paraId="5B54D756"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10,931</w:t>
            </w:r>
          </w:p>
        </w:tc>
      </w:tr>
      <w:tr w:rsidR="00C13F36" w:rsidRPr="00C13F36" w14:paraId="6754DC31" w14:textId="77777777" w:rsidTr="00C13F36">
        <w:trPr>
          <w:trHeight w:val="400"/>
        </w:trPr>
        <w:tc>
          <w:tcPr>
            <w:tcW w:w="3289" w:type="dxa"/>
            <w:tcBorders>
              <w:top w:val="nil"/>
              <w:left w:val="single" w:sz="4" w:space="0" w:color="auto"/>
              <w:bottom w:val="nil"/>
              <w:right w:val="nil"/>
            </w:tcBorders>
            <w:shd w:val="clear" w:color="auto" w:fill="auto"/>
            <w:vAlign w:val="center"/>
            <w:hideMark/>
          </w:tcPr>
          <w:p w14:paraId="07FA61DB"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Homeland Security Systems Engineering and Development Institute</w:t>
            </w:r>
          </w:p>
        </w:tc>
        <w:tc>
          <w:tcPr>
            <w:tcW w:w="968" w:type="dxa"/>
            <w:tcBorders>
              <w:top w:val="nil"/>
              <w:left w:val="nil"/>
              <w:bottom w:val="nil"/>
              <w:right w:val="nil"/>
            </w:tcBorders>
            <w:shd w:val="clear" w:color="auto" w:fill="auto"/>
            <w:noWrap/>
            <w:vAlign w:val="bottom"/>
            <w:hideMark/>
          </w:tcPr>
          <w:p w14:paraId="2B88BAF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94,353</w:t>
            </w:r>
          </w:p>
        </w:tc>
        <w:tc>
          <w:tcPr>
            <w:tcW w:w="968" w:type="dxa"/>
            <w:tcBorders>
              <w:top w:val="nil"/>
              <w:left w:val="nil"/>
              <w:bottom w:val="nil"/>
              <w:right w:val="nil"/>
            </w:tcBorders>
            <w:shd w:val="clear" w:color="auto" w:fill="auto"/>
            <w:noWrap/>
            <w:vAlign w:val="bottom"/>
            <w:hideMark/>
          </w:tcPr>
          <w:p w14:paraId="377A711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94,353</w:t>
            </w:r>
          </w:p>
        </w:tc>
        <w:tc>
          <w:tcPr>
            <w:tcW w:w="873" w:type="dxa"/>
            <w:tcBorders>
              <w:top w:val="nil"/>
              <w:left w:val="nil"/>
              <w:bottom w:val="nil"/>
              <w:right w:val="nil"/>
            </w:tcBorders>
            <w:shd w:val="clear" w:color="auto" w:fill="auto"/>
            <w:noWrap/>
            <w:vAlign w:val="bottom"/>
            <w:hideMark/>
          </w:tcPr>
          <w:p w14:paraId="6F51A937"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94,353</w:t>
            </w:r>
          </w:p>
        </w:tc>
        <w:tc>
          <w:tcPr>
            <w:tcW w:w="968" w:type="dxa"/>
            <w:tcBorders>
              <w:top w:val="nil"/>
              <w:left w:val="nil"/>
              <w:bottom w:val="nil"/>
              <w:right w:val="nil"/>
            </w:tcBorders>
            <w:shd w:val="clear" w:color="auto" w:fill="auto"/>
            <w:noWrap/>
            <w:vAlign w:val="bottom"/>
            <w:hideMark/>
          </w:tcPr>
          <w:p w14:paraId="2AD59AB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5F9D428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30,720</w:t>
            </w:r>
          </w:p>
        </w:tc>
        <w:tc>
          <w:tcPr>
            <w:tcW w:w="968" w:type="dxa"/>
            <w:tcBorders>
              <w:top w:val="nil"/>
              <w:left w:val="nil"/>
              <w:bottom w:val="nil"/>
              <w:right w:val="nil"/>
            </w:tcBorders>
            <w:shd w:val="clear" w:color="auto" w:fill="auto"/>
            <w:vAlign w:val="bottom"/>
            <w:hideMark/>
          </w:tcPr>
          <w:p w14:paraId="2F0D61E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307.1</w:t>
            </w:r>
          </w:p>
        </w:tc>
        <w:tc>
          <w:tcPr>
            <w:tcW w:w="880" w:type="dxa"/>
            <w:tcBorders>
              <w:top w:val="nil"/>
              <w:left w:val="nil"/>
              <w:bottom w:val="nil"/>
              <w:right w:val="nil"/>
            </w:tcBorders>
            <w:shd w:val="clear" w:color="auto" w:fill="auto"/>
            <w:noWrap/>
            <w:vAlign w:val="bottom"/>
            <w:hideMark/>
          </w:tcPr>
          <w:p w14:paraId="2F70906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13,885 </w:t>
            </w:r>
          </w:p>
        </w:tc>
        <w:tc>
          <w:tcPr>
            <w:tcW w:w="858" w:type="dxa"/>
            <w:tcBorders>
              <w:top w:val="nil"/>
              <w:left w:val="nil"/>
              <w:bottom w:val="nil"/>
              <w:right w:val="nil"/>
            </w:tcBorders>
            <w:shd w:val="clear" w:color="auto" w:fill="auto"/>
            <w:noWrap/>
            <w:vAlign w:val="bottom"/>
            <w:hideMark/>
          </w:tcPr>
          <w:p w14:paraId="0C6000C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45.2</w:t>
            </w:r>
          </w:p>
        </w:tc>
        <w:tc>
          <w:tcPr>
            <w:tcW w:w="1001" w:type="dxa"/>
            <w:tcBorders>
              <w:top w:val="nil"/>
              <w:left w:val="nil"/>
              <w:bottom w:val="nil"/>
              <w:right w:val="single" w:sz="4" w:space="0" w:color="auto"/>
            </w:tcBorders>
            <w:shd w:val="clear" w:color="auto" w:fill="auto"/>
            <w:noWrap/>
            <w:vAlign w:val="bottom"/>
            <w:hideMark/>
          </w:tcPr>
          <w:p w14:paraId="5A0AB1D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63,633</w:t>
            </w:r>
          </w:p>
        </w:tc>
      </w:tr>
      <w:tr w:rsidR="00C13F36" w:rsidRPr="00C13F36" w14:paraId="5CE6D7B1" w14:textId="77777777" w:rsidTr="00C13F36">
        <w:trPr>
          <w:trHeight w:val="420"/>
        </w:trPr>
        <w:tc>
          <w:tcPr>
            <w:tcW w:w="3289" w:type="dxa"/>
            <w:tcBorders>
              <w:top w:val="nil"/>
              <w:left w:val="single" w:sz="4" w:space="0" w:color="auto"/>
              <w:bottom w:val="nil"/>
              <w:right w:val="nil"/>
            </w:tcBorders>
            <w:shd w:val="clear" w:color="auto" w:fill="auto"/>
            <w:vAlign w:val="center"/>
            <w:hideMark/>
          </w:tcPr>
          <w:p w14:paraId="3D903D43"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Biodefense Analysis and Countermeasures Ctr.</w:t>
            </w:r>
          </w:p>
        </w:tc>
        <w:tc>
          <w:tcPr>
            <w:tcW w:w="968" w:type="dxa"/>
            <w:tcBorders>
              <w:top w:val="nil"/>
              <w:left w:val="nil"/>
              <w:bottom w:val="nil"/>
              <w:right w:val="nil"/>
            </w:tcBorders>
            <w:shd w:val="clear" w:color="auto" w:fill="auto"/>
            <w:noWrap/>
            <w:vAlign w:val="bottom"/>
            <w:hideMark/>
          </w:tcPr>
          <w:p w14:paraId="618AF7A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30,310</w:t>
            </w:r>
          </w:p>
        </w:tc>
        <w:tc>
          <w:tcPr>
            <w:tcW w:w="968" w:type="dxa"/>
            <w:tcBorders>
              <w:top w:val="nil"/>
              <w:left w:val="nil"/>
              <w:bottom w:val="nil"/>
              <w:right w:val="nil"/>
            </w:tcBorders>
            <w:shd w:val="clear" w:color="auto" w:fill="auto"/>
            <w:noWrap/>
            <w:vAlign w:val="bottom"/>
            <w:hideMark/>
          </w:tcPr>
          <w:p w14:paraId="2B4C748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30,310</w:t>
            </w:r>
          </w:p>
        </w:tc>
        <w:tc>
          <w:tcPr>
            <w:tcW w:w="873" w:type="dxa"/>
            <w:tcBorders>
              <w:top w:val="nil"/>
              <w:left w:val="nil"/>
              <w:bottom w:val="nil"/>
              <w:right w:val="nil"/>
            </w:tcBorders>
            <w:shd w:val="clear" w:color="auto" w:fill="auto"/>
            <w:noWrap/>
            <w:vAlign w:val="bottom"/>
            <w:hideMark/>
          </w:tcPr>
          <w:p w14:paraId="2F1E255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45,389</w:t>
            </w:r>
          </w:p>
        </w:tc>
        <w:tc>
          <w:tcPr>
            <w:tcW w:w="968" w:type="dxa"/>
            <w:tcBorders>
              <w:top w:val="nil"/>
              <w:left w:val="nil"/>
              <w:bottom w:val="nil"/>
              <w:right w:val="nil"/>
            </w:tcBorders>
            <w:shd w:val="clear" w:color="auto" w:fill="auto"/>
            <w:noWrap/>
            <w:vAlign w:val="bottom"/>
            <w:hideMark/>
          </w:tcPr>
          <w:p w14:paraId="328C834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66.8</w:t>
            </w:r>
          </w:p>
        </w:tc>
        <w:tc>
          <w:tcPr>
            <w:tcW w:w="873" w:type="dxa"/>
            <w:tcBorders>
              <w:top w:val="nil"/>
              <w:left w:val="nil"/>
              <w:bottom w:val="nil"/>
              <w:right w:val="nil"/>
            </w:tcBorders>
            <w:shd w:val="clear" w:color="auto" w:fill="auto"/>
            <w:vAlign w:val="bottom"/>
            <w:hideMark/>
          </w:tcPr>
          <w:p w14:paraId="5396205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18,008</w:t>
            </w:r>
          </w:p>
        </w:tc>
        <w:tc>
          <w:tcPr>
            <w:tcW w:w="968" w:type="dxa"/>
            <w:tcBorders>
              <w:top w:val="nil"/>
              <w:left w:val="nil"/>
              <w:bottom w:val="nil"/>
              <w:right w:val="nil"/>
            </w:tcBorders>
            <w:shd w:val="clear" w:color="auto" w:fill="auto"/>
            <w:vAlign w:val="bottom"/>
            <w:hideMark/>
          </w:tcPr>
          <w:p w14:paraId="4163EE7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168.3</w:t>
            </w:r>
          </w:p>
        </w:tc>
        <w:tc>
          <w:tcPr>
            <w:tcW w:w="880" w:type="dxa"/>
            <w:tcBorders>
              <w:top w:val="nil"/>
              <w:left w:val="nil"/>
              <w:bottom w:val="nil"/>
              <w:right w:val="nil"/>
            </w:tcBorders>
            <w:shd w:val="clear" w:color="auto" w:fill="auto"/>
            <w:noWrap/>
            <w:vAlign w:val="bottom"/>
            <w:hideMark/>
          </w:tcPr>
          <w:p w14:paraId="31BF4569"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18,008 </w:t>
            </w:r>
          </w:p>
        </w:tc>
        <w:tc>
          <w:tcPr>
            <w:tcW w:w="858" w:type="dxa"/>
            <w:tcBorders>
              <w:top w:val="nil"/>
              <w:left w:val="nil"/>
              <w:bottom w:val="nil"/>
              <w:right w:val="nil"/>
            </w:tcBorders>
            <w:shd w:val="clear" w:color="auto" w:fill="auto"/>
            <w:noWrap/>
            <w:vAlign w:val="bottom"/>
            <w:hideMark/>
          </w:tcPr>
          <w:p w14:paraId="11D6974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70753E6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12,302</w:t>
            </w:r>
          </w:p>
        </w:tc>
      </w:tr>
      <w:tr w:rsidR="00C13F36" w:rsidRPr="00C13F36" w14:paraId="5E92137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EED9405"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IRS/VA sponsored</w:t>
            </w:r>
          </w:p>
        </w:tc>
        <w:tc>
          <w:tcPr>
            <w:tcW w:w="968" w:type="dxa"/>
            <w:tcBorders>
              <w:top w:val="nil"/>
              <w:left w:val="nil"/>
              <w:bottom w:val="nil"/>
              <w:right w:val="nil"/>
            </w:tcBorders>
            <w:shd w:val="clear" w:color="auto" w:fill="auto"/>
            <w:noWrap/>
            <w:vAlign w:val="bottom"/>
            <w:hideMark/>
          </w:tcPr>
          <w:p w14:paraId="1B543AD1"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096123D8"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6EA8C69F"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5BD8A198"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20BC2A59"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6DB161E9"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49060FB8"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0895EB3A"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7A6DBA5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6AD143C0"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5009152"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Ctr. for Enterprise Modernization</w:t>
            </w:r>
          </w:p>
        </w:tc>
        <w:tc>
          <w:tcPr>
            <w:tcW w:w="968" w:type="dxa"/>
            <w:tcBorders>
              <w:top w:val="nil"/>
              <w:left w:val="nil"/>
              <w:bottom w:val="nil"/>
              <w:right w:val="nil"/>
            </w:tcBorders>
            <w:shd w:val="clear" w:color="auto" w:fill="auto"/>
            <w:noWrap/>
            <w:vAlign w:val="bottom"/>
            <w:hideMark/>
          </w:tcPr>
          <w:p w14:paraId="21D3C44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158,069</w:t>
            </w:r>
          </w:p>
        </w:tc>
        <w:tc>
          <w:tcPr>
            <w:tcW w:w="968" w:type="dxa"/>
            <w:tcBorders>
              <w:top w:val="nil"/>
              <w:left w:val="nil"/>
              <w:bottom w:val="nil"/>
              <w:right w:val="nil"/>
            </w:tcBorders>
            <w:shd w:val="clear" w:color="auto" w:fill="auto"/>
            <w:noWrap/>
            <w:vAlign w:val="bottom"/>
            <w:hideMark/>
          </w:tcPr>
          <w:p w14:paraId="541D377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158,069</w:t>
            </w:r>
          </w:p>
        </w:tc>
        <w:tc>
          <w:tcPr>
            <w:tcW w:w="873" w:type="dxa"/>
            <w:tcBorders>
              <w:top w:val="nil"/>
              <w:left w:val="nil"/>
              <w:bottom w:val="nil"/>
              <w:right w:val="nil"/>
            </w:tcBorders>
            <w:shd w:val="clear" w:color="auto" w:fill="auto"/>
            <w:noWrap/>
            <w:vAlign w:val="bottom"/>
            <w:hideMark/>
          </w:tcPr>
          <w:p w14:paraId="7FE6F85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158,069</w:t>
            </w:r>
          </w:p>
        </w:tc>
        <w:tc>
          <w:tcPr>
            <w:tcW w:w="968" w:type="dxa"/>
            <w:tcBorders>
              <w:top w:val="nil"/>
              <w:left w:val="nil"/>
              <w:bottom w:val="nil"/>
              <w:right w:val="nil"/>
            </w:tcBorders>
            <w:shd w:val="clear" w:color="auto" w:fill="auto"/>
            <w:noWrap/>
            <w:vAlign w:val="bottom"/>
            <w:hideMark/>
          </w:tcPr>
          <w:p w14:paraId="5AD1654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2E27995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35,621</w:t>
            </w:r>
          </w:p>
        </w:tc>
        <w:tc>
          <w:tcPr>
            <w:tcW w:w="968" w:type="dxa"/>
            <w:tcBorders>
              <w:top w:val="nil"/>
              <w:left w:val="nil"/>
              <w:bottom w:val="nil"/>
              <w:right w:val="nil"/>
            </w:tcBorders>
            <w:shd w:val="clear" w:color="auto" w:fill="auto"/>
            <w:vAlign w:val="bottom"/>
            <w:hideMark/>
          </w:tcPr>
          <w:p w14:paraId="4032165D"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443.8</w:t>
            </w:r>
          </w:p>
        </w:tc>
        <w:tc>
          <w:tcPr>
            <w:tcW w:w="880" w:type="dxa"/>
            <w:tcBorders>
              <w:top w:val="nil"/>
              <w:left w:val="nil"/>
              <w:bottom w:val="nil"/>
              <w:right w:val="nil"/>
            </w:tcBorders>
            <w:shd w:val="clear" w:color="auto" w:fill="auto"/>
            <w:vAlign w:val="bottom"/>
            <w:hideMark/>
          </w:tcPr>
          <w:p w14:paraId="5C90C85F" w14:textId="2411733F" w:rsidR="00C13F36" w:rsidRPr="00C13F36" w:rsidRDefault="00AF5512" w:rsidP="00C13F36">
            <w:pPr>
              <w:jc w:val="right"/>
              <w:rPr>
                <w:rFonts w:ascii="Arial Narrow" w:hAnsi="Arial Narrow"/>
                <w:color w:val="000000"/>
                <w:spacing w:val="0"/>
                <w:sz w:val="16"/>
                <w:szCs w:val="16"/>
              </w:rPr>
            </w:pPr>
            <w:r>
              <w:rPr>
                <w:rFonts w:ascii="Arial Narrow" w:hAnsi="Arial Narrow"/>
                <w:color w:val="000000"/>
                <w:spacing w:val="0"/>
                <w:sz w:val="16"/>
                <w:szCs w:val="16"/>
              </w:rPr>
              <w:t>0</w:t>
            </w:r>
          </w:p>
        </w:tc>
        <w:tc>
          <w:tcPr>
            <w:tcW w:w="858" w:type="dxa"/>
            <w:tcBorders>
              <w:top w:val="nil"/>
              <w:left w:val="nil"/>
              <w:bottom w:val="nil"/>
              <w:right w:val="nil"/>
            </w:tcBorders>
            <w:shd w:val="clear" w:color="auto" w:fill="auto"/>
            <w:noWrap/>
            <w:vAlign w:val="bottom"/>
            <w:hideMark/>
          </w:tcPr>
          <w:p w14:paraId="3963D581" w14:textId="3F9A680B" w:rsidR="00C13F36" w:rsidRPr="00C13F36" w:rsidRDefault="00AF5512" w:rsidP="00C13F36">
            <w:pPr>
              <w:jc w:val="right"/>
              <w:rPr>
                <w:rFonts w:ascii="Arial Narrow" w:hAnsi="Arial Narrow"/>
                <w:color w:val="000000"/>
                <w:spacing w:val="0"/>
                <w:sz w:val="16"/>
                <w:szCs w:val="16"/>
              </w:rPr>
            </w:pPr>
            <w:r>
              <w:rPr>
                <w:rFonts w:ascii="Arial Narrow" w:hAnsi="Arial Narrow"/>
                <w:color w:val="000000"/>
                <w:spacing w:val="0"/>
                <w:sz w:val="16"/>
                <w:szCs w:val="16"/>
              </w:rPr>
              <w:t>0</w:t>
            </w:r>
          </w:p>
        </w:tc>
        <w:tc>
          <w:tcPr>
            <w:tcW w:w="1001" w:type="dxa"/>
            <w:tcBorders>
              <w:top w:val="nil"/>
              <w:left w:val="nil"/>
              <w:bottom w:val="nil"/>
              <w:right w:val="single" w:sz="4" w:space="0" w:color="auto"/>
            </w:tcBorders>
            <w:shd w:val="clear" w:color="auto" w:fill="auto"/>
            <w:noWrap/>
            <w:vAlign w:val="bottom"/>
            <w:hideMark/>
          </w:tcPr>
          <w:p w14:paraId="46028C6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122,448</w:t>
            </w:r>
          </w:p>
        </w:tc>
      </w:tr>
      <w:tr w:rsidR="00C13F36" w:rsidRPr="00C13F36" w14:paraId="231A844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9211202"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DOT sponsored</w:t>
            </w:r>
          </w:p>
        </w:tc>
        <w:tc>
          <w:tcPr>
            <w:tcW w:w="968" w:type="dxa"/>
            <w:tcBorders>
              <w:top w:val="nil"/>
              <w:left w:val="nil"/>
              <w:bottom w:val="nil"/>
              <w:right w:val="nil"/>
            </w:tcBorders>
            <w:shd w:val="clear" w:color="auto" w:fill="auto"/>
            <w:noWrap/>
            <w:vAlign w:val="bottom"/>
            <w:hideMark/>
          </w:tcPr>
          <w:p w14:paraId="04BCE146"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5D1AE85C"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6C50F885"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795B041E"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33B9F234"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7F8D7FBE"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726A8778"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7BDBF2B6"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3FFB348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77FE9A3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4B521101"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Ctr. for Advanced Aviation System Dev.</w:t>
            </w:r>
          </w:p>
        </w:tc>
        <w:tc>
          <w:tcPr>
            <w:tcW w:w="968" w:type="dxa"/>
            <w:tcBorders>
              <w:top w:val="nil"/>
              <w:left w:val="nil"/>
              <w:bottom w:val="nil"/>
              <w:right w:val="nil"/>
            </w:tcBorders>
            <w:shd w:val="clear" w:color="auto" w:fill="auto"/>
            <w:noWrap/>
            <w:vAlign w:val="bottom"/>
            <w:hideMark/>
          </w:tcPr>
          <w:p w14:paraId="2663327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149,054</w:t>
            </w:r>
          </w:p>
        </w:tc>
        <w:tc>
          <w:tcPr>
            <w:tcW w:w="968" w:type="dxa"/>
            <w:tcBorders>
              <w:top w:val="nil"/>
              <w:left w:val="nil"/>
              <w:bottom w:val="nil"/>
              <w:right w:val="nil"/>
            </w:tcBorders>
            <w:shd w:val="clear" w:color="auto" w:fill="auto"/>
            <w:noWrap/>
            <w:vAlign w:val="bottom"/>
            <w:hideMark/>
          </w:tcPr>
          <w:p w14:paraId="46932C8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133,416</w:t>
            </w:r>
          </w:p>
        </w:tc>
        <w:tc>
          <w:tcPr>
            <w:tcW w:w="873" w:type="dxa"/>
            <w:tcBorders>
              <w:top w:val="nil"/>
              <w:left w:val="nil"/>
              <w:bottom w:val="nil"/>
              <w:right w:val="nil"/>
            </w:tcBorders>
            <w:shd w:val="clear" w:color="auto" w:fill="auto"/>
            <w:noWrap/>
            <w:vAlign w:val="bottom"/>
            <w:hideMark/>
          </w:tcPr>
          <w:p w14:paraId="171F630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149,054</w:t>
            </w:r>
          </w:p>
        </w:tc>
        <w:tc>
          <w:tcPr>
            <w:tcW w:w="968" w:type="dxa"/>
            <w:tcBorders>
              <w:top w:val="nil"/>
              <w:left w:val="nil"/>
              <w:bottom w:val="nil"/>
              <w:right w:val="nil"/>
            </w:tcBorders>
            <w:shd w:val="clear" w:color="auto" w:fill="auto"/>
            <w:noWrap/>
            <w:vAlign w:val="bottom"/>
            <w:hideMark/>
          </w:tcPr>
          <w:p w14:paraId="2A27ABD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89.5</w:t>
            </w:r>
          </w:p>
        </w:tc>
        <w:tc>
          <w:tcPr>
            <w:tcW w:w="873" w:type="dxa"/>
            <w:tcBorders>
              <w:top w:val="nil"/>
              <w:left w:val="nil"/>
              <w:bottom w:val="nil"/>
              <w:right w:val="nil"/>
            </w:tcBorders>
            <w:shd w:val="clear" w:color="auto" w:fill="auto"/>
            <w:vAlign w:val="bottom"/>
            <w:hideMark/>
          </w:tcPr>
          <w:p w14:paraId="4EF705F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73,749</w:t>
            </w:r>
          </w:p>
        </w:tc>
        <w:tc>
          <w:tcPr>
            <w:tcW w:w="968" w:type="dxa"/>
            <w:tcBorders>
              <w:top w:val="nil"/>
              <w:left w:val="nil"/>
              <w:bottom w:val="nil"/>
              <w:right w:val="nil"/>
            </w:tcBorders>
            <w:shd w:val="clear" w:color="auto" w:fill="auto"/>
            <w:vAlign w:val="bottom"/>
            <w:hideMark/>
          </w:tcPr>
          <w:p w14:paraId="75AD499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180.9</w:t>
            </w:r>
          </w:p>
        </w:tc>
        <w:tc>
          <w:tcPr>
            <w:tcW w:w="880" w:type="dxa"/>
            <w:tcBorders>
              <w:top w:val="nil"/>
              <w:left w:val="nil"/>
              <w:bottom w:val="nil"/>
              <w:right w:val="nil"/>
            </w:tcBorders>
            <w:shd w:val="clear" w:color="auto" w:fill="auto"/>
            <w:vAlign w:val="bottom"/>
            <w:hideMark/>
          </w:tcPr>
          <w:p w14:paraId="13ED3D24" w14:textId="1CD8D3B8" w:rsidR="00C13F36" w:rsidRPr="00C13F36" w:rsidRDefault="00AF5512" w:rsidP="00C13F36">
            <w:pPr>
              <w:jc w:val="right"/>
              <w:rPr>
                <w:rFonts w:ascii="Arial Narrow" w:hAnsi="Arial Narrow"/>
                <w:color w:val="000000"/>
                <w:spacing w:val="0"/>
                <w:sz w:val="16"/>
                <w:szCs w:val="16"/>
              </w:rPr>
            </w:pPr>
            <w:r>
              <w:rPr>
                <w:rFonts w:ascii="Arial Narrow" w:hAnsi="Arial Narrow"/>
                <w:color w:val="000000"/>
                <w:spacing w:val="0"/>
                <w:sz w:val="16"/>
                <w:szCs w:val="16"/>
              </w:rPr>
              <w:t>23,907</w:t>
            </w:r>
          </w:p>
        </w:tc>
        <w:tc>
          <w:tcPr>
            <w:tcW w:w="858" w:type="dxa"/>
            <w:tcBorders>
              <w:top w:val="nil"/>
              <w:left w:val="nil"/>
              <w:bottom w:val="nil"/>
              <w:right w:val="nil"/>
            </w:tcBorders>
            <w:shd w:val="clear" w:color="auto" w:fill="auto"/>
            <w:noWrap/>
            <w:vAlign w:val="bottom"/>
            <w:hideMark/>
          </w:tcPr>
          <w:p w14:paraId="0F4F375E" w14:textId="1C64FA78" w:rsidR="00C13F36" w:rsidRPr="00C13F36" w:rsidRDefault="00AF5512" w:rsidP="00C13F36">
            <w:pPr>
              <w:jc w:val="right"/>
              <w:rPr>
                <w:rFonts w:ascii="Arial Narrow" w:hAnsi="Arial Narrow"/>
                <w:color w:val="000000"/>
                <w:spacing w:val="0"/>
                <w:sz w:val="16"/>
                <w:szCs w:val="16"/>
              </w:rPr>
            </w:pPr>
            <w:r>
              <w:rPr>
                <w:rFonts w:ascii="Arial Narrow" w:hAnsi="Arial Narrow"/>
                <w:color w:val="000000"/>
                <w:spacing w:val="0"/>
                <w:sz w:val="16"/>
                <w:szCs w:val="16"/>
              </w:rPr>
              <w:t>32.4</w:t>
            </w:r>
          </w:p>
        </w:tc>
        <w:tc>
          <w:tcPr>
            <w:tcW w:w="1001" w:type="dxa"/>
            <w:tcBorders>
              <w:top w:val="nil"/>
              <w:left w:val="nil"/>
              <w:bottom w:val="nil"/>
              <w:right w:val="single" w:sz="4" w:space="0" w:color="auto"/>
            </w:tcBorders>
            <w:shd w:val="clear" w:color="auto" w:fill="auto"/>
            <w:noWrap/>
            <w:vAlign w:val="bottom"/>
            <w:hideMark/>
          </w:tcPr>
          <w:p w14:paraId="6D0BC7D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59,667</w:t>
            </w:r>
          </w:p>
        </w:tc>
      </w:tr>
      <w:tr w:rsidR="00C13F36" w:rsidRPr="00C13F36" w14:paraId="7DFF7921"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7D6FD7DE"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NASA sponsored</w:t>
            </w:r>
          </w:p>
        </w:tc>
        <w:tc>
          <w:tcPr>
            <w:tcW w:w="968" w:type="dxa"/>
            <w:tcBorders>
              <w:top w:val="nil"/>
              <w:left w:val="nil"/>
              <w:bottom w:val="nil"/>
              <w:right w:val="nil"/>
            </w:tcBorders>
            <w:shd w:val="clear" w:color="auto" w:fill="auto"/>
            <w:noWrap/>
            <w:vAlign w:val="bottom"/>
            <w:hideMark/>
          </w:tcPr>
          <w:p w14:paraId="46B96B64"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5259AC06"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5295412"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2D8B13FA"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4B8A24B4"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0DAEE0CA"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08F25F3B"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553C169A"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7D3BE65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22EF86F5"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4CD6E0BF"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Jet Propulsion Lab.</w:t>
            </w:r>
          </w:p>
        </w:tc>
        <w:tc>
          <w:tcPr>
            <w:tcW w:w="968" w:type="dxa"/>
            <w:tcBorders>
              <w:top w:val="nil"/>
              <w:left w:val="nil"/>
              <w:bottom w:val="nil"/>
              <w:right w:val="nil"/>
            </w:tcBorders>
            <w:shd w:val="clear" w:color="auto" w:fill="auto"/>
            <w:noWrap/>
            <w:vAlign w:val="bottom"/>
            <w:hideMark/>
          </w:tcPr>
          <w:p w14:paraId="6A78DFAB"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1,664,539</w:t>
            </w:r>
          </w:p>
        </w:tc>
        <w:tc>
          <w:tcPr>
            <w:tcW w:w="968" w:type="dxa"/>
            <w:tcBorders>
              <w:top w:val="nil"/>
              <w:left w:val="nil"/>
              <w:bottom w:val="nil"/>
              <w:right w:val="nil"/>
            </w:tcBorders>
            <w:shd w:val="clear" w:color="auto" w:fill="auto"/>
            <w:noWrap/>
            <w:vAlign w:val="bottom"/>
            <w:hideMark/>
          </w:tcPr>
          <w:p w14:paraId="3A298C9F"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1,664,539</w:t>
            </w:r>
          </w:p>
        </w:tc>
        <w:tc>
          <w:tcPr>
            <w:tcW w:w="873" w:type="dxa"/>
            <w:tcBorders>
              <w:top w:val="nil"/>
              <w:left w:val="nil"/>
              <w:bottom w:val="nil"/>
              <w:right w:val="nil"/>
            </w:tcBorders>
            <w:shd w:val="clear" w:color="auto" w:fill="auto"/>
            <w:noWrap/>
            <w:vAlign w:val="bottom"/>
            <w:hideMark/>
          </w:tcPr>
          <w:p w14:paraId="6704800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1,586,000</w:t>
            </w:r>
          </w:p>
        </w:tc>
        <w:tc>
          <w:tcPr>
            <w:tcW w:w="968" w:type="dxa"/>
            <w:tcBorders>
              <w:top w:val="nil"/>
              <w:left w:val="nil"/>
              <w:bottom w:val="nil"/>
              <w:right w:val="nil"/>
            </w:tcBorders>
            <w:shd w:val="clear" w:color="auto" w:fill="auto"/>
            <w:noWrap/>
            <w:vAlign w:val="bottom"/>
            <w:hideMark/>
          </w:tcPr>
          <w:p w14:paraId="32AFBB2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105.0</w:t>
            </w:r>
          </w:p>
        </w:tc>
        <w:tc>
          <w:tcPr>
            <w:tcW w:w="873" w:type="dxa"/>
            <w:tcBorders>
              <w:top w:val="nil"/>
              <w:left w:val="nil"/>
              <w:bottom w:val="nil"/>
              <w:right w:val="nil"/>
            </w:tcBorders>
            <w:shd w:val="clear" w:color="auto" w:fill="auto"/>
            <w:vAlign w:val="bottom"/>
            <w:hideMark/>
          </w:tcPr>
          <w:p w14:paraId="1AAC56C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1,328,139</w:t>
            </w:r>
          </w:p>
        </w:tc>
        <w:tc>
          <w:tcPr>
            <w:tcW w:w="968" w:type="dxa"/>
            <w:tcBorders>
              <w:top w:val="nil"/>
              <w:left w:val="nil"/>
              <w:bottom w:val="nil"/>
              <w:right w:val="nil"/>
            </w:tcBorders>
            <w:shd w:val="clear" w:color="auto" w:fill="auto"/>
            <w:vAlign w:val="bottom"/>
            <w:hideMark/>
          </w:tcPr>
          <w:p w14:paraId="608A21A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125.3</w:t>
            </w:r>
          </w:p>
        </w:tc>
        <w:tc>
          <w:tcPr>
            <w:tcW w:w="880" w:type="dxa"/>
            <w:tcBorders>
              <w:top w:val="nil"/>
              <w:left w:val="nil"/>
              <w:bottom w:val="nil"/>
              <w:right w:val="nil"/>
            </w:tcBorders>
            <w:shd w:val="clear" w:color="auto" w:fill="auto"/>
            <w:noWrap/>
            <w:vAlign w:val="bottom"/>
            <w:hideMark/>
          </w:tcPr>
          <w:p w14:paraId="2E39EC3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1,306,699 </w:t>
            </w:r>
          </w:p>
        </w:tc>
        <w:tc>
          <w:tcPr>
            <w:tcW w:w="858" w:type="dxa"/>
            <w:tcBorders>
              <w:top w:val="nil"/>
              <w:left w:val="nil"/>
              <w:bottom w:val="nil"/>
              <w:right w:val="nil"/>
            </w:tcBorders>
            <w:shd w:val="clear" w:color="auto" w:fill="auto"/>
            <w:noWrap/>
            <w:vAlign w:val="bottom"/>
            <w:hideMark/>
          </w:tcPr>
          <w:p w14:paraId="7F26FC8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98.4</w:t>
            </w:r>
          </w:p>
        </w:tc>
        <w:tc>
          <w:tcPr>
            <w:tcW w:w="1001" w:type="dxa"/>
            <w:tcBorders>
              <w:top w:val="nil"/>
              <w:left w:val="nil"/>
              <w:bottom w:val="nil"/>
              <w:right w:val="single" w:sz="4" w:space="0" w:color="auto"/>
            </w:tcBorders>
            <w:shd w:val="clear" w:color="auto" w:fill="auto"/>
            <w:noWrap/>
            <w:vAlign w:val="bottom"/>
            <w:hideMark/>
          </w:tcPr>
          <w:p w14:paraId="15B3848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336,400</w:t>
            </w:r>
          </w:p>
        </w:tc>
      </w:tr>
      <w:tr w:rsidR="00C13F36" w:rsidRPr="00C13F36" w14:paraId="06E07056"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A193806"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NSF sponsored</w:t>
            </w:r>
          </w:p>
        </w:tc>
        <w:tc>
          <w:tcPr>
            <w:tcW w:w="968" w:type="dxa"/>
            <w:tcBorders>
              <w:top w:val="nil"/>
              <w:left w:val="nil"/>
              <w:bottom w:val="nil"/>
              <w:right w:val="nil"/>
            </w:tcBorders>
            <w:shd w:val="clear" w:color="auto" w:fill="auto"/>
            <w:noWrap/>
            <w:vAlign w:val="bottom"/>
            <w:hideMark/>
          </w:tcPr>
          <w:p w14:paraId="148721EA"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1F2CB86B"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11ABB35F"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030CF678"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2357FA7D"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01315D4A"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5DD49C20"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407652F7"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16599CC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6931FCAA"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6B425840"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Ctr. for Atmospheric Research</w:t>
            </w:r>
          </w:p>
        </w:tc>
        <w:tc>
          <w:tcPr>
            <w:tcW w:w="968" w:type="dxa"/>
            <w:tcBorders>
              <w:top w:val="nil"/>
              <w:left w:val="nil"/>
              <w:bottom w:val="nil"/>
              <w:right w:val="nil"/>
            </w:tcBorders>
            <w:shd w:val="clear" w:color="auto" w:fill="auto"/>
            <w:noWrap/>
            <w:vAlign w:val="bottom"/>
            <w:hideMark/>
          </w:tcPr>
          <w:p w14:paraId="6B407440"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162,259</w:t>
            </w:r>
          </w:p>
        </w:tc>
        <w:tc>
          <w:tcPr>
            <w:tcW w:w="968" w:type="dxa"/>
            <w:tcBorders>
              <w:top w:val="nil"/>
              <w:left w:val="nil"/>
              <w:bottom w:val="nil"/>
              <w:right w:val="nil"/>
            </w:tcBorders>
            <w:shd w:val="clear" w:color="auto" w:fill="auto"/>
            <w:noWrap/>
            <w:vAlign w:val="bottom"/>
            <w:hideMark/>
          </w:tcPr>
          <w:p w14:paraId="22B8B5C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148,933</w:t>
            </w:r>
          </w:p>
        </w:tc>
        <w:tc>
          <w:tcPr>
            <w:tcW w:w="873" w:type="dxa"/>
            <w:tcBorders>
              <w:top w:val="nil"/>
              <w:left w:val="nil"/>
              <w:bottom w:val="nil"/>
              <w:right w:val="nil"/>
            </w:tcBorders>
            <w:shd w:val="clear" w:color="auto" w:fill="auto"/>
            <w:noWrap/>
            <w:vAlign w:val="bottom"/>
            <w:hideMark/>
          </w:tcPr>
          <w:p w14:paraId="2321ACB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162,259</w:t>
            </w:r>
          </w:p>
        </w:tc>
        <w:tc>
          <w:tcPr>
            <w:tcW w:w="968" w:type="dxa"/>
            <w:tcBorders>
              <w:top w:val="nil"/>
              <w:left w:val="nil"/>
              <w:bottom w:val="nil"/>
              <w:right w:val="nil"/>
            </w:tcBorders>
            <w:shd w:val="clear" w:color="auto" w:fill="auto"/>
            <w:noWrap/>
            <w:vAlign w:val="bottom"/>
            <w:hideMark/>
          </w:tcPr>
          <w:p w14:paraId="5DEBCF2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91.8</w:t>
            </w:r>
          </w:p>
        </w:tc>
        <w:tc>
          <w:tcPr>
            <w:tcW w:w="873" w:type="dxa"/>
            <w:tcBorders>
              <w:top w:val="nil"/>
              <w:left w:val="nil"/>
              <w:bottom w:val="nil"/>
              <w:right w:val="nil"/>
            </w:tcBorders>
            <w:shd w:val="clear" w:color="auto" w:fill="auto"/>
            <w:vAlign w:val="bottom"/>
            <w:hideMark/>
          </w:tcPr>
          <w:p w14:paraId="3A761F59"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110,734.0</w:t>
            </w:r>
          </w:p>
        </w:tc>
        <w:tc>
          <w:tcPr>
            <w:tcW w:w="968" w:type="dxa"/>
            <w:tcBorders>
              <w:top w:val="nil"/>
              <w:left w:val="nil"/>
              <w:bottom w:val="nil"/>
              <w:right w:val="nil"/>
            </w:tcBorders>
            <w:shd w:val="clear" w:color="auto" w:fill="auto"/>
            <w:vAlign w:val="bottom"/>
            <w:hideMark/>
          </w:tcPr>
          <w:p w14:paraId="609D648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134.5</w:t>
            </w:r>
          </w:p>
        </w:tc>
        <w:tc>
          <w:tcPr>
            <w:tcW w:w="880" w:type="dxa"/>
            <w:tcBorders>
              <w:top w:val="nil"/>
              <w:left w:val="nil"/>
              <w:bottom w:val="nil"/>
              <w:right w:val="nil"/>
            </w:tcBorders>
            <w:shd w:val="clear" w:color="auto" w:fill="auto"/>
            <w:noWrap/>
            <w:vAlign w:val="bottom"/>
            <w:hideMark/>
          </w:tcPr>
          <w:p w14:paraId="1127A9E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90,440 </w:t>
            </w:r>
          </w:p>
        </w:tc>
        <w:tc>
          <w:tcPr>
            <w:tcW w:w="858" w:type="dxa"/>
            <w:tcBorders>
              <w:top w:val="nil"/>
              <w:left w:val="nil"/>
              <w:bottom w:val="nil"/>
              <w:right w:val="nil"/>
            </w:tcBorders>
            <w:shd w:val="clear" w:color="auto" w:fill="auto"/>
            <w:noWrap/>
            <w:vAlign w:val="bottom"/>
            <w:hideMark/>
          </w:tcPr>
          <w:p w14:paraId="39ACCDB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81.7</w:t>
            </w:r>
          </w:p>
        </w:tc>
        <w:tc>
          <w:tcPr>
            <w:tcW w:w="1001" w:type="dxa"/>
            <w:tcBorders>
              <w:top w:val="nil"/>
              <w:left w:val="nil"/>
              <w:bottom w:val="nil"/>
              <w:right w:val="single" w:sz="4" w:space="0" w:color="auto"/>
            </w:tcBorders>
            <w:shd w:val="clear" w:color="auto" w:fill="auto"/>
            <w:noWrap/>
            <w:vAlign w:val="bottom"/>
            <w:hideMark/>
          </w:tcPr>
          <w:p w14:paraId="355DC3E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38,199</w:t>
            </w:r>
          </w:p>
        </w:tc>
      </w:tr>
      <w:tr w:rsidR="00C13F36" w:rsidRPr="00C13F36" w14:paraId="4E8A4CF9"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3DB6EDFC"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Optical Astronomy Observatory</w:t>
            </w:r>
          </w:p>
        </w:tc>
        <w:tc>
          <w:tcPr>
            <w:tcW w:w="968" w:type="dxa"/>
            <w:tcBorders>
              <w:top w:val="nil"/>
              <w:left w:val="nil"/>
              <w:bottom w:val="nil"/>
              <w:right w:val="nil"/>
            </w:tcBorders>
            <w:shd w:val="clear" w:color="auto" w:fill="auto"/>
            <w:noWrap/>
            <w:vAlign w:val="bottom"/>
            <w:hideMark/>
          </w:tcPr>
          <w:p w14:paraId="2DD4A96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25,161</w:t>
            </w:r>
          </w:p>
        </w:tc>
        <w:tc>
          <w:tcPr>
            <w:tcW w:w="968" w:type="dxa"/>
            <w:tcBorders>
              <w:top w:val="nil"/>
              <w:left w:val="nil"/>
              <w:bottom w:val="nil"/>
              <w:right w:val="nil"/>
            </w:tcBorders>
            <w:shd w:val="clear" w:color="auto" w:fill="auto"/>
            <w:noWrap/>
            <w:vAlign w:val="bottom"/>
            <w:hideMark/>
          </w:tcPr>
          <w:p w14:paraId="52747C0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21,487</w:t>
            </w:r>
          </w:p>
        </w:tc>
        <w:tc>
          <w:tcPr>
            <w:tcW w:w="873" w:type="dxa"/>
            <w:tcBorders>
              <w:top w:val="nil"/>
              <w:left w:val="nil"/>
              <w:bottom w:val="nil"/>
              <w:right w:val="nil"/>
            </w:tcBorders>
            <w:shd w:val="clear" w:color="auto" w:fill="auto"/>
            <w:noWrap/>
            <w:vAlign w:val="bottom"/>
            <w:hideMark/>
          </w:tcPr>
          <w:p w14:paraId="59C6488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27,828</w:t>
            </w:r>
          </w:p>
        </w:tc>
        <w:tc>
          <w:tcPr>
            <w:tcW w:w="968" w:type="dxa"/>
            <w:tcBorders>
              <w:top w:val="nil"/>
              <w:left w:val="nil"/>
              <w:bottom w:val="nil"/>
              <w:right w:val="nil"/>
            </w:tcBorders>
            <w:shd w:val="clear" w:color="auto" w:fill="auto"/>
            <w:noWrap/>
            <w:vAlign w:val="bottom"/>
            <w:hideMark/>
          </w:tcPr>
          <w:p w14:paraId="26D8F075"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77.2</w:t>
            </w:r>
          </w:p>
        </w:tc>
        <w:tc>
          <w:tcPr>
            <w:tcW w:w="873" w:type="dxa"/>
            <w:tcBorders>
              <w:top w:val="nil"/>
              <w:left w:val="nil"/>
              <w:bottom w:val="nil"/>
              <w:right w:val="nil"/>
            </w:tcBorders>
            <w:shd w:val="clear" w:color="auto" w:fill="auto"/>
            <w:vAlign w:val="bottom"/>
            <w:hideMark/>
          </w:tcPr>
          <w:p w14:paraId="6B8D7FAF"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25,500.0</w:t>
            </w:r>
          </w:p>
        </w:tc>
        <w:tc>
          <w:tcPr>
            <w:tcW w:w="968" w:type="dxa"/>
            <w:tcBorders>
              <w:top w:val="nil"/>
              <w:left w:val="nil"/>
              <w:bottom w:val="nil"/>
              <w:right w:val="nil"/>
            </w:tcBorders>
            <w:shd w:val="clear" w:color="auto" w:fill="auto"/>
            <w:vAlign w:val="bottom"/>
            <w:hideMark/>
          </w:tcPr>
          <w:p w14:paraId="2E684BD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84.3</w:t>
            </w:r>
          </w:p>
        </w:tc>
        <w:tc>
          <w:tcPr>
            <w:tcW w:w="880" w:type="dxa"/>
            <w:tcBorders>
              <w:top w:val="nil"/>
              <w:left w:val="nil"/>
              <w:bottom w:val="nil"/>
              <w:right w:val="nil"/>
            </w:tcBorders>
            <w:shd w:val="clear" w:color="auto" w:fill="auto"/>
            <w:noWrap/>
            <w:vAlign w:val="bottom"/>
            <w:hideMark/>
          </w:tcPr>
          <w:p w14:paraId="72326D44"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25,500 </w:t>
            </w:r>
          </w:p>
        </w:tc>
        <w:tc>
          <w:tcPr>
            <w:tcW w:w="858" w:type="dxa"/>
            <w:tcBorders>
              <w:top w:val="nil"/>
              <w:left w:val="nil"/>
              <w:bottom w:val="nil"/>
              <w:right w:val="nil"/>
            </w:tcBorders>
            <w:shd w:val="clear" w:color="auto" w:fill="auto"/>
            <w:noWrap/>
            <w:vAlign w:val="bottom"/>
            <w:hideMark/>
          </w:tcPr>
          <w:p w14:paraId="1396B4B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179F1F8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-4,013</w:t>
            </w:r>
          </w:p>
        </w:tc>
      </w:tr>
      <w:tr w:rsidR="00C13F36" w:rsidRPr="00C13F36" w14:paraId="2F8ED1AC"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AB7C3C0"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Radio Astronomy Observatory</w:t>
            </w:r>
          </w:p>
        </w:tc>
        <w:tc>
          <w:tcPr>
            <w:tcW w:w="968" w:type="dxa"/>
            <w:tcBorders>
              <w:top w:val="nil"/>
              <w:left w:val="nil"/>
              <w:bottom w:val="nil"/>
              <w:right w:val="nil"/>
            </w:tcBorders>
            <w:shd w:val="clear" w:color="auto" w:fill="auto"/>
            <w:noWrap/>
            <w:vAlign w:val="bottom"/>
            <w:hideMark/>
          </w:tcPr>
          <w:p w14:paraId="66DD67A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85,327</w:t>
            </w:r>
          </w:p>
        </w:tc>
        <w:tc>
          <w:tcPr>
            <w:tcW w:w="968" w:type="dxa"/>
            <w:tcBorders>
              <w:top w:val="nil"/>
              <w:left w:val="nil"/>
              <w:bottom w:val="nil"/>
              <w:right w:val="nil"/>
            </w:tcBorders>
            <w:shd w:val="clear" w:color="auto" w:fill="auto"/>
            <w:noWrap/>
            <w:vAlign w:val="bottom"/>
            <w:hideMark/>
          </w:tcPr>
          <w:p w14:paraId="56DF4A4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76,668</w:t>
            </w:r>
          </w:p>
        </w:tc>
        <w:tc>
          <w:tcPr>
            <w:tcW w:w="873" w:type="dxa"/>
            <w:tcBorders>
              <w:top w:val="nil"/>
              <w:left w:val="nil"/>
              <w:bottom w:val="nil"/>
              <w:right w:val="nil"/>
            </w:tcBorders>
            <w:shd w:val="clear" w:color="auto" w:fill="auto"/>
            <w:noWrap/>
            <w:vAlign w:val="bottom"/>
            <w:hideMark/>
          </w:tcPr>
          <w:p w14:paraId="4F30D43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86,084</w:t>
            </w:r>
          </w:p>
        </w:tc>
        <w:tc>
          <w:tcPr>
            <w:tcW w:w="968" w:type="dxa"/>
            <w:tcBorders>
              <w:top w:val="nil"/>
              <w:left w:val="nil"/>
              <w:bottom w:val="nil"/>
              <w:right w:val="nil"/>
            </w:tcBorders>
            <w:shd w:val="clear" w:color="auto" w:fill="auto"/>
            <w:noWrap/>
            <w:vAlign w:val="bottom"/>
            <w:hideMark/>
          </w:tcPr>
          <w:p w14:paraId="1F492C3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89.1</w:t>
            </w:r>
          </w:p>
        </w:tc>
        <w:tc>
          <w:tcPr>
            <w:tcW w:w="873" w:type="dxa"/>
            <w:tcBorders>
              <w:top w:val="nil"/>
              <w:left w:val="nil"/>
              <w:bottom w:val="nil"/>
              <w:right w:val="nil"/>
            </w:tcBorders>
            <w:shd w:val="clear" w:color="auto" w:fill="auto"/>
            <w:vAlign w:val="bottom"/>
            <w:hideMark/>
          </w:tcPr>
          <w:p w14:paraId="5531768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77,410.0</w:t>
            </w:r>
          </w:p>
        </w:tc>
        <w:tc>
          <w:tcPr>
            <w:tcW w:w="968" w:type="dxa"/>
            <w:tcBorders>
              <w:top w:val="nil"/>
              <w:left w:val="nil"/>
              <w:bottom w:val="nil"/>
              <w:right w:val="nil"/>
            </w:tcBorders>
            <w:shd w:val="clear" w:color="auto" w:fill="auto"/>
            <w:vAlign w:val="bottom"/>
            <w:hideMark/>
          </w:tcPr>
          <w:p w14:paraId="659DA06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99.0</w:t>
            </w:r>
          </w:p>
        </w:tc>
        <w:tc>
          <w:tcPr>
            <w:tcW w:w="880" w:type="dxa"/>
            <w:tcBorders>
              <w:top w:val="nil"/>
              <w:left w:val="nil"/>
              <w:bottom w:val="nil"/>
              <w:right w:val="nil"/>
            </w:tcBorders>
            <w:shd w:val="clear" w:color="auto" w:fill="auto"/>
            <w:noWrap/>
            <w:vAlign w:val="bottom"/>
            <w:hideMark/>
          </w:tcPr>
          <w:p w14:paraId="6B1FEE41"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77,410 </w:t>
            </w:r>
          </w:p>
        </w:tc>
        <w:tc>
          <w:tcPr>
            <w:tcW w:w="858" w:type="dxa"/>
            <w:tcBorders>
              <w:top w:val="nil"/>
              <w:left w:val="nil"/>
              <w:bottom w:val="nil"/>
              <w:right w:val="nil"/>
            </w:tcBorders>
            <w:shd w:val="clear" w:color="auto" w:fill="auto"/>
            <w:noWrap/>
            <w:vAlign w:val="bottom"/>
            <w:hideMark/>
          </w:tcPr>
          <w:p w14:paraId="4304151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1001" w:type="dxa"/>
            <w:tcBorders>
              <w:top w:val="nil"/>
              <w:left w:val="nil"/>
              <w:bottom w:val="nil"/>
              <w:right w:val="single" w:sz="4" w:space="0" w:color="auto"/>
            </w:tcBorders>
            <w:shd w:val="clear" w:color="auto" w:fill="auto"/>
            <w:noWrap/>
            <w:vAlign w:val="bottom"/>
            <w:hideMark/>
          </w:tcPr>
          <w:p w14:paraId="0EAA1FB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-742</w:t>
            </w:r>
          </w:p>
        </w:tc>
      </w:tr>
      <w:tr w:rsidR="00C13F36" w:rsidRPr="00C13F36" w14:paraId="178355BB"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150E7D71"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National Solar Observatory</w:t>
            </w:r>
          </w:p>
        </w:tc>
        <w:tc>
          <w:tcPr>
            <w:tcW w:w="968" w:type="dxa"/>
            <w:tcBorders>
              <w:top w:val="nil"/>
              <w:left w:val="nil"/>
              <w:bottom w:val="nil"/>
              <w:right w:val="nil"/>
            </w:tcBorders>
            <w:shd w:val="clear" w:color="auto" w:fill="auto"/>
            <w:noWrap/>
            <w:vAlign w:val="bottom"/>
            <w:hideMark/>
          </w:tcPr>
          <w:p w14:paraId="67EF163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10,039</w:t>
            </w:r>
          </w:p>
        </w:tc>
        <w:tc>
          <w:tcPr>
            <w:tcW w:w="968" w:type="dxa"/>
            <w:tcBorders>
              <w:top w:val="nil"/>
              <w:left w:val="nil"/>
              <w:bottom w:val="nil"/>
              <w:right w:val="nil"/>
            </w:tcBorders>
            <w:shd w:val="clear" w:color="auto" w:fill="auto"/>
            <w:noWrap/>
            <w:vAlign w:val="bottom"/>
            <w:hideMark/>
          </w:tcPr>
          <w:p w14:paraId="5A351938"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10,039</w:t>
            </w:r>
          </w:p>
        </w:tc>
        <w:tc>
          <w:tcPr>
            <w:tcW w:w="873" w:type="dxa"/>
            <w:tcBorders>
              <w:top w:val="nil"/>
              <w:left w:val="nil"/>
              <w:bottom w:val="nil"/>
              <w:right w:val="nil"/>
            </w:tcBorders>
            <w:shd w:val="clear" w:color="auto" w:fill="auto"/>
            <w:noWrap/>
            <w:vAlign w:val="bottom"/>
            <w:hideMark/>
          </w:tcPr>
          <w:p w14:paraId="42156B3C"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12,037</w:t>
            </w:r>
          </w:p>
        </w:tc>
        <w:tc>
          <w:tcPr>
            <w:tcW w:w="968" w:type="dxa"/>
            <w:tcBorders>
              <w:top w:val="nil"/>
              <w:left w:val="nil"/>
              <w:bottom w:val="nil"/>
              <w:right w:val="nil"/>
            </w:tcBorders>
            <w:shd w:val="clear" w:color="auto" w:fill="auto"/>
            <w:noWrap/>
            <w:vAlign w:val="bottom"/>
            <w:hideMark/>
          </w:tcPr>
          <w:p w14:paraId="4ABFBA3B"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vAlign w:val="bottom"/>
            <w:hideMark/>
          </w:tcPr>
          <w:p w14:paraId="385856AE"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968" w:type="dxa"/>
            <w:tcBorders>
              <w:top w:val="nil"/>
              <w:left w:val="nil"/>
              <w:bottom w:val="nil"/>
              <w:right w:val="nil"/>
            </w:tcBorders>
            <w:shd w:val="clear" w:color="auto" w:fill="auto"/>
            <w:vAlign w:val="bottom"/>
            <w:hideMark/>
          </w:tcPr>
          <w:p w14:paraId="3002249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880" w:type="dxa"/>
            <w:tcBorders>
              <w:top w:val="nil"/>
              <w:left w:val="nil"/>
              <w:bottom w:val="nil"/>
              <w:right w:val="nil"/>
            </w:tcBorders>
            <w:shd w:val="clear" w:color="auto" w:fill="auto"/>
            <w:vAlign w:val="bottom"/>
            <w:hideMark/>
          </w:tcPr>
          <w:p w14:paraId="5D432E8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858" w:type="dxa"/>
            <w:tcBorders>
              <w:top w:val="nil"/>
              <w:left w:val="nil"/>
              <w:bottom w:val="nil"/>
              <w:right w:val="nil"/>
            </w:tcBorders>
            <w:shd w:val="clear" w:color="auto" w:fill="auto"/>
            <w:noWrap/>
            <w:vAlign w:val="bottom"/>
            <w:hideMark/>
          </w:tcPr>
          <w:p w14:paraId="755C607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1001" w:type="dxa"/>
            <w:tcBorders>
              <w:top w:val="nil"/>
              <w:left w:val="nil"/>
              <w:bottom w:val="nil"/>
              <w:right w:val="single" w:sz="4" w:space="0" w:color="auto"/>
            </w:tcBorders>
            <w:shd w:val="clear" w:color="auto" w:fill="auto"/>
            <w:noWrap/>
            <w:vAlign w:val="bottom"/>
            <w:hideMark/>
          </w:tcPr>
          <w:p w14:paraId="73EE496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r>
      <w:tr w:rsidR="00C13F36" w:rsidRPr="00C13F36" w14:paraId="1185920A"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247CA1E7"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Science and Technology Policy Institute</w:t>
            </w:r>
          </w:p>
        </w:tc>
        <w:tc>
          <w:tcPr>
            <w:tcW w:w="968" w:type="dxa"/>
            <w:tcBorders>
              <w:top w:val="nil"/>
              <w:left w:val="nil"/>
              <w:bottom w:val="nil"/>
              <w:right w:val="nil"/>
            </w:tcBorders>
            <w:shd w:val="clear" w:color="auto" w:fill="auto"/>
            <w:noWrap/>
            <w:vAlign w:val="bottom"/>
            <w:hideMark/>
          </w:tcPr>
          <w:p w14:paraId="5C5BF2E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10,949</w:t>
            </w:r>
          </w:p>
        </w:tc>
        <w:tc>
          <w:tcPr>
            <w:tcW w:w="968" w:type="dxa"/>
            <w:tcBorders>
              <w:top w:val="nil"/>
              <w:left w:val="nil"/>
              <w:bottom w:val="nil"/>
              <w:right w:val="nil"/>
            </w:tcBorders>
            <w:shd w:val="clear" w:color="auto" w:fill="auto"/>
            <w:noWrap/>
            <w:vAlign w:val="bottom"/>
            <w:hideMark/>
          </w:tcPr>
          <w:p w14:paraId="4E81AB6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10,949</w:t>
            </w:r>
          </w:p>
        </w:tc>
        <w:tc>
          <w:tcPr>
            <w:tcW w:w="873" w:type="dxa"/>
            <w:tcBorders>
              <w:top w:val="nil"/>
              <w:left w:val="nil"/>
              <w:bottom w:val="nil"/>
              <w:right w:val="nil"/>
            </w:tcBorders>
            <w:shd w:val="clear" w:color="auto" w:fill="auto"/>
            <w:noWrap/>
            <w:vAlign w:val="bottom"/>
            <w:hideMark/>
          </w:tcPr>
          <w:p w14:paraId="5F989BED"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10,949</w:t>
            </w:r>
          </w:p>
        </w:tc>
        <w:tc>
          <w:tcPr>
            <w:tcW w:w="968" w:type="dxa"/>
            <w:tcBorders>
              <w:top w:val="nil"/>
              <w:left w:val="nil"/>
              <w:bottom w:val="nil"/>
              <w:right w:val="nil"/>
            </w:tcBorders>
            <w:shd w:val="clear" w:color="auto" w:fill="auto"/>
            <w:noWrap/>
            <w:vAlign w:val="bottom"/>
            <w:hideMark/>
          </w:tcPr>
          <w:p w14:paraId="7CA2BE5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nil"/>
              <w:right w:val="nil"/>
            </w:tcBorders>
            <w:shd w:val="clear" w:color="auto" w:fill="auto"/>
            <w:vAlign w:val="bottom"/>
            <w:hideMark/>
          </w:tcPr>
          <w:p w14:paraId="0A6C26D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5,240.0</w:t>
            </w:r>
          </w:p>
        </w:tc>
        <w:tc>
          <w:tcPr>
            <w:tcW w:w="968" w:type="dxa"/>
            <w:tcBorders>
              <w:top w:val="nil"/>
              <w:left w:val="nil"/>
              <w:bottom w:val="nil"/>
              <w:right w:val="nil"/>
            </w:tcBorders>
            <w:shd w:val="clear" w:color="auto" w:fill="auto"/>
            <w:vAlign w:val="bottom"/>
            <w:hideMark/>
          </w:tcPr>
          <w:p w14:paraId="721B7C1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209.0</w:t>
            </w:r>
          </w:p>
        </w:tc>
        <w:tc>
          <w:tcPr>
            <w:tcW w:w="880" w:type="dxa"/>
            <w:tcBorders>
              <w:top w:val="nil"/>
              <w:left w:val="nil"/>
              <w:bottom w:val="nil"/>
              <w:right w:val="nil"/>
            </w:tcBorders>
            <w:shd w:val="clear" w:color="auto" w:fill="auto"/>
            <w:noWrap/>
            <w:vAlign w:val="bottom"/>
            <w:hideMark/>
          </w:tcPr>
          <w:p w14:paraId="23748B1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 xml:space="preserve"> 4,890 </w:t>
            </w:r>
          </w:p>
        </w:tc>
        <w:tc>
          <w:tcPr>
            <w:tcW w:w="858" w:type="dxa"/>
            <w:tcBorders>
              <w:top w:val="nil"/>
              <w:left w:val="nil"/>
              <w:bottom w:val="nil"/>
              <w:right w:val="nil"/>
            </w:tcBorders>
            <w:shd w:val="clear" w:color="auto" w:fill="auto"/>
            <w:noWrap/>
            <w:vAlign w:val="bottom"/>
            <w:hideMark/>
          </w:tcPr>
          <w:p w14:paraId="4908102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93.3</w:t>
            </w:r>
          </w:p>
        </w:tc>
        <w:tc>
          <w:tcPr>
            <w:tcW w:w="1001" w:type="dxa"/>
            <w:tcBorders>
              <w:top w:val="nil"/>
              <w:left w:val="nil"/>
              <w:bottom w:val="nil"/>
              <w:right w:val="single" w:sz="4" w:space="0" w:color="auto"/>
            </w:tcBorders>
            <w:shd w:val="clear" w:color="auto" w:fill="auto"/>
            <w:noWrap/>
            <w:vAlign w:val="bottom"/>
            <w:hideMark/>
          </w:tcPr>
          <w:p w14:paraId="556151A2"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5,709</w:t>
            </w:r>
          </w:p>
        </w:tc>
      </w:tr>
      <w:tr w:rsidR="00C13F36" w:rsidRPr="00C13F36" w14:paraId="344EEDD1"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4C404979"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NRC sponsored</w:t>
            </w:r>
          </w:p>
        </w:tc>
        <w:tc>
          <w:tcPr>
            <w:tcW w:w="968" w:type="dxa"/>
            <w:tcBorders>
              <w:top w:val="nil"/>
              <w:left w:val="nil"/>
              <w:bottom w:val="nil"/>
              <w:right w:val="nil"/>
            </w:tcBorders>
            <w:shd w:val="clear" w:color="auto" w:fill="auto"/>
            <w:noWrap/>
            <w:vAlign w:val="bottom"/>
            <w:hideMark/>
          </w:tcPr>
          <w:p w14:paraId="594F7781"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58A873D1"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16FFE9A"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50874671"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70A6377D"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33AB9977"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592B492A"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6CA2AF6A"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3830699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1C8FFAD2" w14:textId="77777777" w:rsidTr="00C13F36">
        <w:trPr>
          <w:trHeight w:val="220"/>
        </w:trPr>
        <w:tc>
          <w:tcPr>
            <w:tcW w:w="3289" w:type="dxa"/>
            <w:tcBorders>
              <w:top w:val="nil"/>
              <w:left w:val="single" w:sz="4" w:space="0" w:color="auto"/>
              <w:bottom w:val="nil"/>
              <w:right w:val="nil"/>
            </w:tcBorders>
            <w:shd w:val="clear" w:color="auto" w:fill="auto"/>
            <w:vAlign w:val="center"/>
            <w:hideMark/>
          </w:tcPr>
          <w:p w14:paraId="5306345B"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Ctr. for Nuclear Waste Regulatory Analyses</w:t>
            </w:r>
          </w:p>
        </w:tc>
        <w:tc>
          <w:tcPr>
            <w:tcW w:w="968" w:type="dxa"/>
            <w:tcBorders>
              <w:top w:val="nil"/>
              <w:left w:val="nil"/>
              <w:bottom w:val="nil"/>
              <w:right w:val="nil"/>
            </w:tcBorders>
            <w:shd w:val="clear" w:color="auto" w:fill="auto"/>
            <w:noWrap/>
            <w:vAlign w:val="bottom"/>
            <w:hideMark/>
          </w:tcPr>
          <w:p w14:paraId="30136133"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12,314</w:t>
            </w:r>
          </w:p>
        </w:tc>
        <w:tc>
          <w:tcPr>
            <w:tcW w:w="968" w:type="dxa"/>
            <w:tcBorders>
              <w:top w:val="nil"/>
              <w:left w:val="nil"/>
              <w:bottom w:val="nil"/>
              <w:right w:val="nil"/>
            </w:tcBorders>
            <w:shd w:val="clear" w:color="auto" w:fill="auto"/>
            <w:noWrap/>
            <w:vAlign w:val="bottom"/>
            <w:hideMark/>
          </w:tcPr>
          <w:p w14:paraId="7284A8B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10,926</w:t>
            </w:r>
          </w:p>
        </w:tc>
        <w:tc>
          <w:tcPr>
            <w:tcW w:w="873" w:type="dxa"/>
            <w:tcBorders>
              <w:top w:val="nil"/>
              <w:left w:val="nil"/>
              <w:bottom w:val="nil"/>
              <w:right w:val="nil"/>
            </w:tcBorders>
            <w:shd w:val="clear" w:color="auto" w:fill="auto"/>
            <w:noWrap/>
            <w:vAlign w:val="bottom"/>
            <w:hideMark/>
          </w:tcPr>
          <w:p w14:paraId="66491705"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12,314</w:t>
            </w:r>
          </w:p>
        </w:tc>
        <w:tc>
          <w:tcPr>
            <w:tcW w:w="968" w:type="dxa"/>
            <w:tcBorders>
              <w:top w:val="nil"/>
              <w:left w:val="nil"/>
              <w:bottom w:val="nil"/>
              <w:right w:val="nil"/>
            </w:tcBorders>
            <w:shd w:val="clear" w:color="auto" w:fill="auto"/>
            <w:noWrap/>
            <w:vAlign w:val="bottom"/>
            <w:hideMark/>
          </w:tcPr>
          <w:p w14:paraId="1D0510FB"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88.7</w:t>
            </w:r>
          </w:p>
        </w:tc>
        <w:tc>
          <w:tcPr>
            <w:tcW w:w="873" w:type="dxa"/>
            <w:tcBorders>
              <w:top w:val="nil"/>
              <w:left w:val="nil"/>
              <w:bottom w:val="nil"/>
              <w:right w:val="nil"/>
            </w:tcBorders>
            <w:shd w:val="clear" w:color="auto" w:fill="auto"/>
            <w:vAlign w:val="bottom"/>
            <w:hideMark/>
          </w:tcPr>
          <w:p w14:paraId="666931D1"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6,757.0</w:t>
            </w:r>
          </w:p>
        </w:tc>
        <w:tc>
          <w:tcPr>
            <w:tcW w:w="968" w:type="dxa"/>
            <w:tcBorders>
              <w:top w:val="nil"/>
              <w:left w:val="nil"/>
              <w:bottom w:val="nil"/>
              <w:right w:val="nil"/>
            </w:tcBorders>
            <w:shd w:val="clear" w:color="auto" w:fill="auto"/>
            <w:vAlign w:val="bottom"/>
            <w:hideMark/>
          </w:tcPr>
          <w:p w14:paraId="6CA9077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161.7</w:t>
            </w:r>
          </w:p>
        </w:tc>
        <w:tc>
          <w:tcPr>
            <w:tcW w:w="880" w:type="dxa"/>
            <w:tcBorders>
              <w:top w:val="nil"/>
              <w:left w:val="nil"/>
              <w:bottom w:val="nil"/>
              <w:right w:val="nil"/>
            </w:tcBorders>
            <w:shd w:val="clear" w:color="auto" w:fill="auto"/>
            <w:vAlign w:val="bottom"/>
            <w:hideMark/>
          </w:tcPr>
          <w:p w14:paraId="2B8FAF87"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858" w:type="dxa"/>
            <w:tcBorders>
              <w:top w:val="nil"/>
              <w:left w:val="nil"/>
              <w:bottom w:val="nil"/>
              <w:right w:val="nil"/>
            </w:tcBorders>
            <w:shd w:val="clear" w:color="auto" w:fill="auto"/>
            <w:noWrap/>
            <w:vAlign w:val="bottom"/>
            <w:hideMark/>
          </w:tcPr>
          <w:p w14:paraId="424DA57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1001" w:type="dxa"/>
            <w:tcBorders>
              <w:top w:val="nil"/>
              <w:left w:val="nil"/>
              <w:bottom w:val="nil"/>
              <w:right w:val="single" w:sz="4" w:space="0" w:color="auto"/>
            </w:tcBorders>
            <w:shd w:val="clear" w:color="auto" w:fill="auto"/>
            <w:noWrap/>
            <w:vAlign w:val="bottom"/>
            <w:hideMark/>
          </w:tcPr>
          <w:p w14:paraId="37D25EEA"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4,169</w:t>
            </w:r>
          </w:p>
        </w:tc>
      </w:tr>
      <w:tr w:rsidR="00C13F36" w:rsidRPr="00C13F36" w14:paraId="4B7118B0" w14:textId="77777777" w:rsidTr="00C13F36">
        <w:trPr>
          <w:trHeight w:val="220"/>
        </w:trPr>
        <w:tc>
          <w:tcPr>
            <w:tcW w:w="3289" w:type="dxa"/>
            <w:tcBorders>
              <w:top w:val="nil"/>
              <w:left w:val="single" w:sz="4" w:space="0" w:color="auto"/>
              <w:bottom w:val="nil"/>
              <w:right w:val="nil"/>
            </w:tcBorders>
            <w:shd w:val="clear" w:color="auto" w:fill="auto"/>
            <w:noWrap/>
            <w:vAlign w:val="bottom"/>
            <w:hideMark/>
          </w:tcPr>
          <w:p w14:paraId="5A960C86"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AOUSC sponsored</w:t>
            </w:r>
          </w:p>
        </w:tc>
        <w:tc>
          <w:tcPr>
            <w:tcW w:w="968" w:type="dxa"/>
            <w:tcBorders>
              <w:top w:val="nil"/>
              <w:left w:val="nil"/>
              <w:bottom w:val="nil"/>
              <w:right w:val="nil"/>
            </w:tcBorders>
            <w:shd w:val="clear" w:color="auto" w:fill="auto"/>
            <w:noWrap/>
            <w:vAlign w:val="bottom"/>
            <w:hideMark/>
          </w:tcPr>
          <w:p w14:paraId="496B6066"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375DFC3A"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2BA20860"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noWrap/>
            <w:vAlign w:val="bottom"/>
            <w:hideMark/>
          </w:tcPr>
          <w:p w14:paraId="02281369" w14:textId="77777777" w:rsidR="00C13F36" w:rsidRPr="00C13F36" w:rsidRDefault="00C13F36" w:rsidP="00C13F36">
            <w:pPr>
              <w:jc w:val="right"/>
              <w:rPr>
                <w:rFonts w:ascii="Arial Narrow" w:hAnsi="Arial Narrow"/>
                <w:color w:val="000000"/>
                <w:spacing w:val="0"/>
                <w:sz w:val="16"/>
                <w:szCs w:val="16"/>
              </w:rPr>
            </w:pPr>
          </w:p>
        </w:tc>
        <w:tc>
          <w:tcPr>
            <w:tcW w:w="873" w:type="dxa"/>
            <w:tcBorders>
              <w:top w:val="nil"/>
              <w:left w:val="nil"/>
              <w:bottom w:val="nil"/>
              <w:right w:val="nil"/>
            </w:tcBorders>
            <w:shd w:val="clear" w:color="auto" w:fill="auto"/>
            <w:noWrap/>
            <w:vAlign w:val="bottom"/>
            <w:hideMark/>
          </w:tcPr>
          <w:p w14:paraId="567D5007" w14:textId="77777777" w:rsidR="00C13F36" w:rsidRPr="00C13F36" w:rsidRDefault="00C13F36" w:rsidP="00C13F36">
            <w:pPr>
              <w:jc w:val="right"/>
              <w:rPr>
                <w:rFonts w:ascii="Arial Narrow" w:hAnsi="Arial Narrow"/>
                <w:color w:val="000000"/>
                <w:spacing w:val="0"/>
                <w:sz w:val="16"/>
                <w:szCs w:val="16"/>
              </w:rPr>
            </w:pPr>
          </w:p>
        </w:tc>
        <w:tc>
          <w:tcPr>
            <w:tcW w:w="968" w:type="dxa"/>
            <w:tcBorders>
              <w:top w:val="nil"/>
              <w:left w:val="nil"/>
              <w:bottom w:val="nil"/>
              <w:right w:val="nil"/>
            </w:tcBorders>
            <w:shd w:val="clear" w:color="auto" w:fill="auto"/>
            <w:vAlign w:val="bottom"/>
            <w:hideMark/>
          </w:tcPr>
          <w:p w14:paraId="2073EED2" w14:textId="77777777" w:rsidR="00C13F36" w:rsidRPr="00C13F36" w:rsidRDefault="00C13F36" w:rsidP="00C13F36">
            <w:pPr>
              <w:jc w:val="right"/>
              <w:rPr>
                <w:rFonts w:ascii="Arial Narrow" w:hAnsi="Arial Narrow"/>
                <w:color w:val="000000"/>
                <w:spacing w:val="0"/>
                <w:sz w:val="16"/>
                <w:szCs w:val="16"/>
              </w:rPr>
            </w:pPr>
          </w:p>
        </w:tc>
        <w:tc>
          <w:tcPr>
            <w:tcW w:w="880" w:type="dxa"/>
            <w:tcBorders>
              <w:top w:val="nil"/>
              <w:left w:val="nil"/>
              <w:bottom w:val="nil"/>
              <w:right w:val="nil"/>
            </w:tcBorders>
            <w:shd w:val="clear" w:color="auto" w:fill="auto"/>
            <w:noWrap/>
            <w:vAlign w:val="bottom"/>
            <w:hideMark/>
          </w:tcPr>
          <w:p w14:paraId="1A9DA357" w14:textId="77777777" w:rsidR="00C13F36" w:rsidRPr="00C13F36" w:rsidRDefault="00C13F36" w:rsidP="00C13F36">
            <w:pPr>
              <w:jc w:val="right"/>
              <w:rPr>
                <w:rFonts w:ascii="Arial Narrow" w:hAnsi="Arial Narrow"/>
                <w:color w:val="000000"/>
                <w:spacing w:val="0"/>
                <w:sz w:val="16"/>
                <w:szCs w:val="16"/>
              </w:rPr>
            </w:pPr>
          </w:p>
        </w:tc>
        <w:tc>
          <w:tcPr>
            <w:tcW w:w="858" w:type="dxa"/>
            <w:tcBorders>
              <w:top w:val="nil"/>
              <w:left w:val="nil"/>
              <w:bottom w:val="nil"/>
              <w:right w:val="nil"/>
            </w:tcBorders>
            <w:shd w:val="clear" w:color="auto" w:fill="auto"/>
            <w:noWrap/>
            <w:vAlign w:val="bottom"/>
            <w:hideMark/>
          </w:tcPr>
          <w:p w14:paraId="2C900B29" w14:textId="77777777" w:rsidR="00C13F36" w:rsidRPr="00C13F36" w:rsidRDefault="00C13F36" w:rsidP="00C13F36">
            <w:pPr>
              <w:jc w:val="right"/>
              <w:rPr>
                <w:rFonts w:ascii="Arial Narrow" w:hAnsi="Arial Narrow"/>
                <w:color w:val="000000"/>
                <w:spacing w:val="0"/>
                <w:sz w:val="16"/>
                <w:szCs w:val="16"/>
              </w:rPr>
            </w:pPr>
          </w:p>
        </w:tc>
        <w:tc>
          <w:tcPr>
            <w:tcW w:w="1001" w:type="dxa"/>
            <w:tcBorders>
              <w:top w:val="nil"/>
              <w:left w:val="nil"/>
              <w:bottom w:val="nil"/>
              <w:right w:val="single" w:sz="4" w:space="0" w:color="auto"/>
            </w:tcBorders>
            <w:shd w:val="clear" w:color="auto" w:fill="auto"/>
            <w:noWrap/>
            <w:vAlign w:val="bottom"/>
            <w:hideMark/>
          </w:tcPr>
          <w:p w14:paraId="2D08F378"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2C35F41F" w14:textId="77777777" w:rsidTr="00C13F36">
        <w:trPr>
          <w:trHeight w:val="220"/>
        </w:trPr>
        <w:tc>
          <w:tcPr>
            <w:tcW w:w="3289" w:type="dxa"/>
            <w:tcBorders>
              <w:top w:val="nil"/>
              <w:left w:val="single" w:sz="4" w:space="0" w:color="auto"/>
              <w:bottom w:val="single" w:sz="4" w:space="0" w:color="auto"/>
              <w:right w:val="nil"/>
            </w:tcBorders>
            <w:shd w:val="clear" w:color="auto" w:fill="auto"/>
            <w:vAlign w:val="center"/>
            <w:hideMark/>
          </w:tcPr>
          <w:p w14:paraId="4CCCE676" w14:textId="77777777" w:rsidR="00C13F36" w:rsidRPr="00C13F36" w:rsidRDefault="00C13F36" w:rsidP="00C13F36">
            <w:pPr>
              <w:ind w:firstLineChars="100" w:firstLine="160"/>
              <w:rPr>
                <w:rFonts w:ascii="Arial Narrow" w:hAnsi="Arial Narrow"/>
                <w:color w:val="000000"/>
                <w:spacing w:val="0"/>
                <w:sz w:val="16"/>
                <w:szCs w:val="16"/>
              </w:rPr>
            </w:pPr>
            <w:r w:rsidRPr="00C13F36">
              <w:rPr>
                <w:rFonts w:ascii="Arial Narrow" w:hAnsi="Arial Narrow"/>
                <w:color w:val="000000"/>
                <w:spacing w:val="0"/>
                <w:sz w:val="16"/>
                <w:szCs w:val="16"/>
              </w:rPr>
              <w:t>Judiciary Engineering and Modernization Ctr.</w:t>
            </w:r>
          </w:p>
        </w:tc>
        <w:tc>
          <w:tcPr>
            <w:tcW w:w="968" w:type="dxa"/>
            <w:tcBorders>
              <w:top w:val="nil"/>
              <w:left w:val="nil"/>
              <w:bottom w:val="single" w:sz="4" w:space="0" w:color="auto"/>
              <w:right w:val="nil"/>
            </w:tcBorders>
            <w:shd w:val="clear" w:color="auto" w:fill="auto"/>
            <w:noWrap/>
            <w:vAlign w:val="bottom"/>
            <w:hideMark/>
          </w:tcPr>
          <w:p w14:paraId="6BB2247E"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2,299</w:t>
            </w:r>
          </w:p>
        </w:tc>
        <w:tc>
          <w:tcPr>
            <w:tcW w:w="968" w:type="dxa"/>
            <w:tcBorders>
              <w:top w:val="nil"/>
              <w:left w:val="nil"/>
              <w:bottom w:val="single" w:sz="4" w:space="0" w:color="auto"/>
              <w:right w:val="nil"/>
            </w:tcBorders>
            <w:shd w:val="clear" w:color="auto" w:fill="auto"/>
            <w:noWrap/>
            <w:vAlign w:val="bottom"/>
            <w:hideMark/>
          </w:tcPr>
          <w:p w14:paraId="2C2ED7A2"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2,299</w:t>
            </w:r>
          </w:p>
        </w:tc>
        <w:tc>
          <w:tcPr>
            <w:tcW w:w="873" w:type="dxa"/>
            <w:tcBorders>
              <w:top w:val="nil"/>
              <w:left w:val="nil"/>
              <w:bottom w:val="single" w:sz="4" w:space="0" w:color="auto"/>
              <w:right w:val="nil"/>
            </w:tcBorders>
            <w:shd w:val="clear" w:color="auto" w:fill="auto"/>
            <w:noWrap/>
            <w:vAlign w:val="bottom"/>
            <w:hideMark/>
          </w:tcPr>
          <w:p w14:paraId="1C131E06" w14:textId="77777777" w:rsidR="00C13F36" w:rsidRPr="00C13F36" w:rsidRDefault="00C13F36" w:rsidP="00C13F36">
            <w:pPr>
              <w:jc w:val="right"/>
              <w:rPr>
                <w:rFonts w:ascii="Arial Narrow" w:hAnsi="Arial Narrow"/>
                <w:spacing w:val="0"/>
                <w:sz w:val="16"/>
                <w:szCs w:val="16"/>
              </w:rPr>
            </w:pPr>
            <w:r w:rsidRPr="00C13F36">
              <w:rPr>
                <w:rFonts w:ascii="Arial Narrow" w:hAnsi="Arial Narrow"/>
                <w:spacing w:val="0"/>
                <w:sz w:val="16"/>
                <w:szCs w:val="16"/>
              </w:rPr>
              <w:t>2,299</w:t>
            </w:r>
          </w:p>
        </w:tc>
        <w:tc>
          <w:tcPr>
            <w:tcW w:w="968" w:type="dxa"/>
            <w:tcBorders>
              <w:top w:val="nil"/>
              <w:left w:val="nil"/>
              <w:bottom w:val="single" w:sz="4" w:space="0" w:color="auto"/>
              <w:right w:val="nil"/>
            </w:tcBorders>
            <w:shd w:val="clear" w:color="auto" w:fill="auto"/>
            <w:noWrap/>
            <w:vAlign w:val="bottom"/>
            <w:hideMark/>
          </w:tcPr>
          <w:p w14:paraId="24737A30"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100.0</w:t>
            </w:r>
          </w:p>
        </w:tc>
        <w:tc>
          <w:tcPr>
            <w:tcW w:w="873" w:type="dxa"/>
            <w:tcBorders>
              <w:top w:val="nil"/>
              <w:left w:val="nil"/>
              <w:bottom w:val="single" w:sz="4" w:space="0" w:color="auto"/>
              <w:right w:val="nil"/>
            </w:tcBorders>
            <w:shd w:val="clear" w:color="auto" w:fill="auto"/>
            <w:vAlign w:val="bottom"/>
            <w:hideMark/>
          </w:tcPr>
          <w:p w14:paraId="7D234B2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3,200.0</w:t>
            </w:r>
          </w:p>
        </w:tc>
        <w:tc>
          <w:tcPr>
            <w:tcW w:w="968" w:type="dxa"/>
            <w:tcBorders>
              <w:top w:val="nil"/>
              <w:left w:val="nil"/>
              <w:bottom w:val="single" w:sz="4" w:space="0" w:color="auto"/>
              <w:right w:val="nil"/>
            </w:tcBorders>
            <w:shd w:val="clear" w:color="auto" w:fill="auto"/>
            <w:vAlign w:val="bottom"/>
            <w:hideMark/>
          </w:tcPr>
          <w:p w14:paraId="4E069DC3"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71.8</w:t>
            </w:r>
          </w:p>
        </w:tc>
        <w:tc>
          <w:tcPr>
            <w:tcW w:w="880" w:type="dxa"/>
            <w:tcBorders>
              <w:top w:val="nil"/>
              <w:left w:val="nil"/>
              <w:bottom w:val="single" w:sz="4" w:space="0" w:color="auto"/>
              <w:right w:val="nil"/>
            </w:tcBorders>
            <w:shd w:val="clear" w:color="auto" w:fill="auto"/>
            <w:noWrap/>
            <w:vAlign w:val="bottom"/>
            <w:hideMark/>
          </w:tcPr>
          <w:p w14:paraId="6EDF1B1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NA</w:t>
            </w:r>
          </w:p>
        </w:tc>
        <w:tc>
          <w:tcPr>
            <w:tcW w:w="858" w:type="dxa"/>
            <w:tcBorders>
              <w:top w:val="nil"/>
              <w:left w:val="nil"/>
              <w:bottom w:val="single" w:sz="4" w:space="0" w:color="auto"/>
              <w:right w:val="nil"/>
            </w:tcBorders>
            <w:shd w:val="clear" w:color="auto" w:fill="auto"/>
            <w:noWrap/>
            <w:vAlign w:val="bottom"/>
            <w:hideMark/>
          </w:tcPr>
          <w:p w14:paraId="001EB4EC"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 xml:space="preserve">NA </w:t>
            </w:r>
          </w:p>
        </w:tc>
        <w:tc>
          <w:tcPr>
            <w:tcW w:w="1001" w:type="dxa"/>
            <w:tcBorders>
              <w:top w:val="nil"/>
              <w:left w:val="nil"/>
              <w:bottom w:val="single" w:sz="4" w:space="0" w:color="auto"/>
              <w:right w:val="single" w:sz="4" w:space="0" w:color="auto"/>
            </w:tcBorders>
            <w:shd w:val="clear" w:color="auto" w:fill="auto"/>
            <w:noWrap/>
            <w:vAlign w:val="bottom"/>
            <w:hideMark/>
          </w:tcPr>
          <w:p w14:paraId="350F6F84" w14:textId="77777777" w:rsidR="00C13F36" w:rsidRPr="00C13F36" w:rsidRDefault="00C13F36" w:rsidP="00C13F36">
            <w:pPr>
              <w:jc w:val="right"/>
              <w:rPr>
                <w:rFonts w:ascii="Arial Narrow" w:hAnsi="Arial Narrow"/>
                <w:color w:val="000000"/>
                <w:spacing w:val="0"/>
                <w:sz w:val="16"/>
                <w:szCs w:val="16"/>
              </w:rPr>
            </w:pPr>
            <w:r w:rsidRPr="00C13F36">
              <w:rPr>
                <w:rFonts w:ascii="Arial Narrow" w:hAnsi="Arial Narrow"/>
                <w:color w:val="000000"/>
                <w:spacing w:val="0"/>
                <w:sz w:val="16"/>
                <w:szCs w:val="16"/>
              </w:rPr>
              <w:t>-901</w:t>
            </w:r>
          </w:p>
        </w:tc>
      </w:tr>
      <w:tr w:rsidR="00C13F36" w:rsidRPr="00C13F36" w14:paraId="356AF068" w14:textId="77777777" w:rsidTr="00C13F36">
        <w:trPr>
          <w:trHeight w:val="240"/>
        </w:trPr>
        <w:tc>
          <w:tcPr>
            <w:tcW w:w="7066" w:type="dxa"/>
            <w:gridSpan w:val="5"/>
            <w:tcBorders>
              <w:top w:val="nil"/>
              <w:left w:val="nil"/>
              <w:bottom w:val="nil"/>
              <w:right w:val="nil"/>
            </w:tcBorders>
            <w:shd w:val="clear" w:color="000000" w:fill="FFFFFF"/>
            <w:noWrap/>
            <w:vAlign w:val="center"/>
            <w:hideMark/>
          </w:tcPr>
          <w:p w14:paraId="2CE310F8"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xml:space="preserve">FFRDC = federally funded research and development center. </w:t>
            </w:r>
            <w:proofErr w:type="spellStart"/>
            <w:proofErr w:type="gramStart"/>
            <w:r w:rsidRPr="00C13F36">
              <w:rPr>
                <w:rFonts w:ascii="Arial Narrow" w:hAnsi="Arial Narrow"/>
                <w:color w:val="000000"/>
                <w:spacing w:val="0"/>
                <w:sz w:val="16"/>
                <w:szCs w:val="16"/>
              </w:rPr>
              <w:t>na</w:t>
            </w:r>
            <w:proofErr w:type="spellEnd"/>
            <w:proofErr w:type="gramEnd"/>
            <w:r w:rsidRPr="00C13F36">
              <w:rPr>
                <w:rFonts w:ascii="Arial Narrow" w:hAnsi="Arial Narrow"/>
                <w:color w:val="000000"/>
                <w:spacing w:val="0"/>
                <w:sz w:val="16"/>
                <w:szCs w:val="16"/>
              </w:rPr>
              <w:t xml:space="preserve"> = not applicable. NA = not available.</w:t>
            </w:r>
          </w:p>
        </w:tc>
        <w:tc>
          <w:tcPr>
            <w:tcW w:w="873" w:type="dxa"/>
            <w:tcBorders>
              <w:top w:val="nil"/>
              <w:left w:val="nil"/>
              <w:bottom w:val="nil"/>
              <w:right w:val="nil"/>
            </w:tcBorders>
            <w:shd w:val="clear" w:color="000000" w:fill="FFFFFF"/>
            <w:noWrap/>
            <w:vAlign w:val="bottom"/>
            <w:hideMark/>
          </w:tcPr>
          <w:p w14:paraId="1E0ECD6B"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w:t>
            </w:r>
          </w:p>
        </w:tc>
        <w:tc>
          <w:tcPr>
            <w:tcW w:w="968" w:type="dxa"/>
            <w:tcBorders>
              <w:top w:val="nil"/>
              <w:left w:val="nil"/>
              <w:bottom w:val="nil"/>
              <w:right w:val="nil"/>
            </w:tcBorders>
            <w:shd w:val="clear" w:color="000000" w:fill="FFFFFF"/>
            <w:noWrap/>
            <w:vAlign w:val="bottom"/>
            <w:hideMark/>
          </w:tcPr>
          <w:p w14:paraId="38EB34C0"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w:t>
            </w:r>
          </w:p>
        </w:tc>
        <w:tc>
          <w:tcPr>
            <w:tcW w:w="880" w:type="dxa"/>
            <w:tcBorders>
              <w:top w:val="nil"/>
              <w:left w:val="nil"/>
              <w:bottom w:val="nil"/>
              <w:right w:val="nil"/>
            </w:tcBorders>
            <w:shd w:val="clear" w:color="000000" w:fill="FFFFFF"/>
            <w:noWrap/>
            <w:vAlign w:val="bottom"/>
            <w:hideMark/>
          </w:tcPr>
          <w:p w14:paraId="32536A0A"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w:t>
            </w:r>
          </w:p>
        </w:tc>
        <w:tc>
          <w:tcPr>
            <w:tcW w:w="858" w:type="dxa"/>
            <w:tcBorders>
              <w:top w:val="nil"/>
              <w:left w:val="nil"/>
              <w:bottom w:val="nil"/>
              <w:right w:val="nil"/>
            </w:tcBorders>
            <w:shd w:val="clear" w:color="000000" w:fill="FFFFFF"/>
            <w:noWrap/>
            <w:vAlign w:val="bottom"/>
            <w:hideMark/>
          </w:tcPr>
          <w:p w14:paraId="4517D5A1"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w:t>
            </w:r>
          </w:p>
        </w:tc>
        <w:tc>
          <w:tcPr>
            <w:tcW w:w="1001" w:type="dxa"/>
            <w:tcBorders>
              <w:top w:val="nil"/>
              <w:left w:val="nil"/>
              <w:bottom w:val="nil"/>
              <w:right w:val="nil"/>
            </w:tcBorders>
            <w:shd w:val="clear" w:color="000000" w:fill="FFFFFF"/>
            <w:noWrap/>
            <w:vAlign w:val="bottom"/>
            <w:hideMark/>
          </w:tcPr>
          <w:p w14:paraId="3E6B4CB7"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 </w:t>
            </w:r>
          </w:p>
        </w:tc>
      </w:tr>
      <w:tr w:rsidR="00C13F36" w:rsidRPr="00C13F36" w14:paraId="20BA8CB4" w14:textId="77777777" w:rsidTr="00C13F36">
        <w:trPr>
          <w:trHeight w:val="184"/>
        </w:trPr>
        <w:tc>
          <w:tcPr>
            <w:tcW w:w="11646" w:type="dxa"/>
            <w:gridSpan w:val="10"/>
            <w:vMerge w:val="restart"/>
            <w:tcBorders>
              <w:top w:val="nil"/>
              <w:left w:val="nil"/>
              <w:bottom w:val="nil"/>
              <w:right w:val="nil"/>
            </w:tcBorders>
            <w:shd w:val="clear" w:color="000000" w:fill="FFFFFF"/>
            <w:vAlign w:val="center"/>
            <w:hideMark/>
          </w:tcPr>
          <w:p w14:paraId="62959D25" w14:textId="77777777" w:rsidR="00C13F36" w:rsidRPr="00C13F36" w:rsidRDefault="00C13F36" w:rsidP="00C13F36">
            <w:pPr>
              <w:rPr>
                <w:rFonts w:ascii="Arial Narrow" w:hAnsi="Arial Narrow"/>
                <w:color w:val="000000"/>
                <w:spacing w:val="0"/>
                <w:sz w:val="16"/>
                <w:szCs w:val="16"/>
              </w:rPr>
            </w:pPr>
            <w:r w:rsidRPr="00C13F36">
              <w:rPr>
                <w:rFonts w:ascii="Arial Narrow" w:hAnsi="Arial Narrow"/>
                <w:color w:val="000000"/>
                <w:spacing w:val="0"/>
                <w:sz w:val="16"/>
                <w:szCs w:val="16"/>
              </w:rPr>
              <w:t>SOURCE:  National Science Foundation/National Center for Science and Engineering Statistics.</w:t>
            </w:r>
          </w:p>
        </w:tc>
      </w:tr>
      <w:tr w:rsidR="00C13F36" w:rsidRPr="00C13F36" w14:paraId="3F043B04" w14:textId="77777777" w:rsidTr="00C13F36">
        <w:trPr>
          <w:trHeight w:val="200"/>
        </w:trPr>
        <w:tc>
          <w:tcPr>
            <w:tcW w:w="11646" w:type="dxa"/>
            <w:gridSpan w:val="10"/>
            <w:vMerge/>
            <w:tcBorders>
              <w:top w:val="nil"/>
              <w:left w:val="nil"/>
              <w:bottom w:val="nil"/>
              <w:right w:val="nil"/>
            </w:tcBorders>
            <w:vAlign w:val="center"/>
            <w:hideMark/>
          </w:tcPr>
          <w:p w14:paraId="2FB49D53" w14:textId="77777777" w:rsidR="00C13F36" w:rsidRPr="00C13F36" w:rsidRDefault="00C13F36" w:rsidP="00C13F36">
            <w:pPr>
              <w:rPr>
                <w:rFonts w:ascii="Arial Narrow" w:hAnsi="Arial Narrow"/>
                <w:color w:val="000000"/>
                <w:spacing w:val="0"/>
                <w:sz w:val="16"/>
                <w:szCs w:val="16"/>
              </w:rPr>
            </w:pPr>
          </w:p>
        </w:tc>
      </w:tr>
    </w:tbl>
    <w:p w14:paraId="1ECCD82E" w14:textId="77777777" w:rsidR="00F56B8C" w:rsidRDefault="009D5FDD" w:rsidP="00F56B8C">
      <w:r>
        <w:rPr>
          <w:rFonts w:cstheme="minorHAnsi"/>
          <w:color w:val="262626"/>
          <w:spacing w:val="0"/>
          <w:szCs w:val="22"/>
        </w:rPr>
        <w:t xml:space="preserve"> </w:t>
      </w:r>
    </w:p>
    <w:p w14:paraId="338E2D8F" w14:textId="77777777" w:rsidR="00F56B8C" w:rsidRDefault="00F56B8C" w:rsidP="00F56B8C"/>
    <w:p w14:paraId="7076A069" w14:textId="77777777" w:rsidR="00F56B8C" w:rsidRDefault="00F56B8C" w:rsidP="00F56B8C"/>
    <w:p w14:paraId="11F4D7B4" w14:textId="77777777" w:rsidR="00F56B8C" w:rsidRDefault="00F56B8C" w:rsidP="00F56B8C"/>
    <w:p w14:paraId="7903DC18" w14:textId="77777777" w:rsidR="00F56B8C" w:rsidRDefault="00F56B8C" w:rsidP="00F56B8C"/>
    <w:p w14:paraId="241F7E68" w14:textId="77777777" w:rsidR="00F56B8C" w:rsidRDefault="00F56B8C" w:rsidP="00F56B8C"/>
    <w:p w14:paraId="67410EA8" w14:textId="77777777" w:rsidR="00F56B8C" w:rsidRDefault="00F56B8C" w:rsidP="00F56B8C"/>
    <w:p w14:paraId="45DC29AF" w14:textId="77777777" w:rsidR="00F56B8C" w:rsidRDefault="00F56B8C" w:rsidP="00F56B8C"/>
    <w:p w14:paraId="2A37F292" w14:textId="77777777" w:rsidR="00F56B8C" w:rsidRDefault="00F56B8C" w:rsidP="00F56B8C"/>
    <w:p w14:paraId="3F619644" w14:textId="77777777" w:rsidR="00F56B8C" w:rsidRDefault="00F56B8C" w:rsidP="00F56B8C"/>
    <w:p w14:paraId="1DCE96A2" w14:textId="77777777" w:rsidR="00F56B8C" w:rsidRDefault="00F56B8C" w:rsidP="00F56B8C"/>
    <w:p w14:paraId="197575DB" w14:textId="77777777" w:rsidR="00F56B8C" w:rsidRDefault="00F56B8C" w:rsidP="00F56B8C"/>
    <w:p w14:paraId="6BC2299F" w14:textId="77777777" w:rsidR="00F56B8C" w:rsidRDefault="00F56B8C" w:rsidP="00F56B8C">
      <w:pPr>
        <w:sectPr w:rsidR="00F56B8C" w:rsidSect="00B35154">
          <w:footerReference w:type="even" r:id="rId10"/>
          <w:footerReference w:type="default" r:id="rId11"/>
          <w:pgSz w:w="12240" w:h="15840" w:code="1"/>
          <w:pgMar w:top="576" w:right="864" w:bottom="576" w:left="864" w:header="720" w:footer="965" w:gutter="0"/>
          <w:cols w:space="720"/>
          <w:titlePg/>
        </w:sectPr>
      </w:pPr>
    </w:p>
    <w:p w14:paraId="4A372474" w14:textId="2A71D341" w:rsidR="00F56B8C" w:rsidRDefault="00F56B8C" w:rsidP="00F56B8C"/>
    <w:p w14:paraId="407E646F" w14:textId="77777777" w:rsidR="00F56B8C" w:rsidRDefault="00F56B8C" w:rsidP="00F56B8C"/>
    <w:p w14:paraId="4BDFDE8D" w14:textId="77777777" w:rsidR="00F56B8C" w:rsidRDefault="00F56B8C" w:rsidP="00F56B8C"/>
    <w:p w14:paraId="66699419" w14:textId="77777777" w:rsidR="00F56B8C" w:rsidRDefault="00F56B8C" w:rsidP="00F56B8C"/>
    <w:p w14:paraId="7B636ADB" w14:textId="77777777" w:rsidR="00F56B8C" w:rsidRDefault="00F56B8C" w:rsidP="00F56B8C"/>
    <w:p w14:paraId="3007435A" w14:textId="77777777" w:rsidR="00F56B8C" w:rsidRDefault="00F56B8C" w:rsidP="00F56B8C"/>
    <w:p w14:paraId="21AFADD6" w14:textId="77777777" w:rsidR="00F56B8C" w:rsidRDefault="00F56B8C" w:rsidP="00F56B8C"/>
    <w:p w14:paraId="6BACB1EC" w14:textId="77777777" w:rsidR="00F56B8C" w:rsidRDefault="00F56B8C" w:rsidP="00F56B8C"/>
    <w:p w14:paraId="5B329A00" w14:textId="77777777" w:rsidR="00F56B8C" w:rsidRDefault="00F56B8C" w:rsidP="00F56B8C"/>
    <w:p w14:paraId="3F4AE82A" w14:textId="77777777" w:rsidR="00F56B8C" w:rsidRDefault="00F56B8C" w:rsidP="00F56B8C"/>
    <w:p w14:paraId="37B957E5" w14:textId="77777777" w:rsidR="00F56B8C" w:rsidRPr="002B2662" w:rsidRDefault="00F56B8C" w:rsidP="00F56B8C">
      <w:pPr>
        <w:jc w:val="center"/>
        <w:rPr>
          <w:sz w:val="24"/>
          <w:szCs w:val="24"/>
        </w:rPr>
      </w:pPr>
      <w:r w:rsidRPr="002B2662">
        <w:rPr>
          <w:sz w:val="24"/>
          <w:szCs w:val="24"/>
        </w:rPr>
        <w:t>Attachment 1:</w:t>
      </w:r>
    </w:p>
    <w:p w14:paraId="5C6DAE5A" w14:textId="77777777" w:rsidR="00F56B8C" w:rsidRPr="002B2662" w:rsidRDefault="00F56B8C" w:rsidP="00F56B8C">
      <w:pPr>
        <w:jc w:val="center"/>
        <w:rPr>
          <w:sz w:val="24"/>
          <w:szCs w:val="24"/>
        </w:rPr>
      </w:pPr>
      <w:r w:rsidRPr="002B2662">
        <w:rPr>
          <w:sz w:val="24"/>
          <w:szCs w:val="24"/>
        </w:rPr>
        <w:t>August 2014 Memo</w:t>
      </w:r>
    </w:p>
    <w:p w14:paraId="76C69B71" w14:textId="77777777" w:rsidR="00F56B8C" w:rsidRDefault="00F56B8C" w:rsidP="00F56B8C"/>
    <w:p w14:paraId="3C463BB5" w14:textId="77777777" w:rsidR="00F56B8C" w:rsidRDefault="00F56B8C" w:rsidP="00F56B8C"/>
    <w:p w14:paraId="6D6D59C1" w14:textId="77777777" w:rsidR="00F56B8C" w:rsidRDefault="00F56B8C" w:rsidP="00F56B8C"/>
    <w:p w14:paraId="17193A80" w14:textId="77777777" w:rsidR="00F56B8C" w:rsidRDefault="00F56B8C" w:rsidP="00F56B8C"/>
    <w:p w14:paraId="3DE5FDDE" w14:textId="77777777" w:rsidR="00F56B8C" w:rsidRDefault="00F56B8C" w:rsidP="00F56B8C"/>
    <w:p w14:paraId="3B48FE6C" w14:textId="77777777" w:rsidR="00F56B8C" w:rsidRDefault="00F56B8C" w:rsidP="00F56B8C"/>
    <w:p w14:paraId="7A5547BA" w14:textId="77777777" w:rsidR="00F56B8C" w:rsidRDefault="00F56B8C" w:rsidP="00F56B8C"/>
    <w:p w14:paraId="34ADAA40" w14:textId="77777777" w:rsidR="00F56B8C" w:rsidRDefault="00F56B8C" w:rsidP="00F56B8C"/>
    <w:p w14:paraId="05692083" w14:textId="77777777" w:rsidR="00F56B8C" w:rsidRDefault="00F56B8C" w:rsidP="00F56B8C"/>
    <w:p w14:paraId="2D10EB1A" w14:textId="77777777" w:rsidR="00F56B8C" w:rsidRDefault="00F56B8C" w:rsidP="00F56B8C"/>
    <w:p w14:paraId="7D18100B" w14:textId="77777777" w:rsidR="00F56B8C" w:rsidRDefault="00F56B8C" w:rsidP="00F56B8C"/>
    <w:p w14:paraId="1F2C80C4" w14:textId="77777777" w:rsidR="00F56B8C" w:rsidRDefault="00F56B8C" w:rsidP="00F56B8C"/>
    <w:p w14:paraId="0954A1F8" w14:textId="77777777" w:rsidR="00F56B8C" w:rsidRDefault="00F56B8C" w:rsidP="00F56B8C"/>
    <w:p w14:paraId="0ED65481" w14:textId="77777777" w:rsidR="00F56B8C" w:rsidRDefault="00F56B8C" w:rsidP="00F56B8C"/>
    <w:p w14:paraId="4F748F30" w14:textId="77777777" w:rsidR="00F56B8C" w:rsidRDefault="00F56B8C" w:rsidP="00F56B8C"/>
    <w:p w14:paraId="45A5F25D" w14:textId="77777777" w:rsidR="00F56B8C" w:rsidRDefault="00F56B8C" w:rsidP="00F56B8C"/>
    <w:p w14:paraId="0A4FB008" w14:textId="77777777" w:rsidR="00F56B8C" w:rsidRDefault="00F56B8C" w:rsidP="00F56B8C"/>
    <w:p w14:paraId="2E20D902" w14:textId="77777777" w:rsidR="00F56B8C" w:rsidRDefault="00F56B8C" w:rsidP="00F56B8C"/>
    <w:p w14:paraId="3D31DABF" w14:textId="77777777" w:rsidR="00F56B8C" w:rsidRDefault="00F56B8C" w:rsidP="00F56B8C"/>
    <w:p w14:paraId="3CA1B3FE" w14:textId="77777777" w:rsidR="00F56B8C" w:rsidRDefault="00F56B8C" w:rsidP="00F56B8C"/>
    <w:p w14:paraId="2282F29D" w14:textId="77777777" w:rsidR="00F56B8C" w:rsidRDefault="00F56B8C" w:rsidP="00F56B8C"/>
    <w:p w14:paraId="14A234A0" w14:textId="77777777" w:rsidR="00F56B8C" w:rsidRDefault="00F56B8C" w:rsidP="00F56B8C"/>
    <w:p w14:paraId="2DC98B75" w14:textId="77777777" w:rsidR="00F56B8C" w:rsidRDefault="00F56B8C" w:rsidP="00F56B8C"/>
    <w:p w14:paraId="27F7DD39" w14:textId="77777777" w:rsidR="00F56B8C" w:rsidRDefault="00F56B8C" w:rsidP="00F56B8C"/>
    <w:p w14:paraId="6AEEA5C0" w14:textId="77777777" w:rsidR="00F56B8C" w:rsidRDefault="00F56B8C" w:rsidP="00F56B8C"/>
    <w:p w14:paraId="6059B2FB" w14:textId="77777777" w:rsidR="00F56B8C" w:rsidRDefault="00F56B8C" w:rsidP="00F56B8C"/>
    <w:p w14:paraId="6C342750" w14:textId="77777777" w:rsidR="00F56B8C" w:rsidRDefault="00F56B8C" w:rsidP="00F56B8C"/>
    <w:p w14:paraId="27D529FD" w14:textId="77777777" w:rsidR="00F56B8C" w:rsidRDefault="00F56B8C" w:rsidP="00F56B8C"/>
    <w:p w14:paraId="37B8A78D" w14:textId="77777777" w:rsidR="00F56B8C" w:rsidRDefault="00F56B8C" w:rsidP="00F56B8C"/>
    <w:p w14:paraId="4200A17E" w14:textId="77777777" w:rsidR="00F56B8C" w:rsidRDefault="00F56B8C" w:rsidP="00F56B8C"/>
    <w:tbl>
      <w:tblPr>
        <w:tblW w:w="10308" w:type="dxa"/>
        <w:tblInd w:w="720" w:type="dxa"/>
        <w:tblCellMar>
          <w:left w:w="187" w:type="dxa"/>
          <w:right w:w="187" w:type="dxa"/>
        </w:tblCellMar>
        <w:tblLook w:val="0000" w:firstRow="0" w:lastRow="0" w:firstColumn="0" w:lastColumn="0" w:noHBand="0" w:noVBand="0"/>
      </w:tblPr>
      <w:tblGrid>
        <w:gridCol w:w="5040"/>
        <w:gridCol w:w="5268"/>
      </w:tblGrid>
      <w:tr w:rsidR="00F56B8C" w14:paraId="77EDDD8A" w14:textId="77777777" w:rsidTr="00786973">
        <w:trPr>
          <w:trHeight w:val="817"/>
        </w:trPr>
        <w:tc>
          <w:tcPr>
            <w:tcW w:w="5040" w:type="dxa"/>
            <w:tcMar>
              <w:left w:w="0" w:type="dxa"/>
              <w:right w:w="0" w:type="dxa"/>
            </w:tcMar>
          </w:tcPr>
          <w:p w14:paraId="2D402D60" w14:textId="77777777" w:rsidR="00F56B8C" w:rsidRDefault="00F56B8C" w:rsidP="00786973"/>
        </w:tc>
        <w:tc>
          <w:tcPr>
            <w:tcW w:w="5268" w:type="dxa"/>
            <w:shd w:val="clear" w:color="auto" w:fill="595959" w:themeFill="text1" w:themeFillTint="A6"/>
            <w:vAlign w:val="center"/>
          </w:tcPr>
          <w:p w14:paraId="1219841C" w14:textId="77777777" w:rsidR="00F56B8C" w:rsidRDefault="00F56B8C" w:rsidP="00786973">
            <w:pPr>
              <w:pStyle w:val="CompanyName"/>
            </w:pPr>
            <w:r>
              <w:t>National Center for Science and Engineering Statistics</w:t>
            </w:r>
          </w:p>
        </w:tc>
      </w:tr>
    </w:tbl>
    <w:p w14:paraId="7B590040" w14:textId="77777777" w:rsidR="00F56B8C" w:rsidRDefault="00F56B8C" w:rsidP="00F56B8C">
      <w:pPr>
        <w:pStyle w:val="Title"/>
      </w:pPr>
      <w:r w:rsidRPr="004A6DCE">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54"/>
        <w:gridCol w:w="7601"/>
      </w:tblGrid>
      <w:tr w:rsidR="00F56B8C" w14:paraId="09103C11" w14:textId="77777777" w:rsidTr="00786973">
        <w:trPr>
          <w:cantSplit/>
          <w:trHeight w:val="432"/>
        </w:trPr>
        <w:tc>
          <w:tcPr>
            <w:tcW w:w="1154" w:type="dxa"/>
            <w:vAlign w:val="bottom"/>
          </w:tcPr>
          <w:p w14:paraId="206B80AD" w14:textId="77777777" w:rsidR="00F56B8C" w:rsidRPr="004A6DCE" w:rsidRDefault="00F56B8C" w:rsidP="00786973">
            <w:pPr>
              <w:pStyle w:val="Heading1"/>
            </w:pPr>
            <w:r w:rsidRPr="004A6DCE">
              <w:t>Date:</w:t>
            </w:r>
          </w:p>
        </w:tc>
        <w:tc>
          <w:tcPr>
            <w:tcW w:w="7601" w:type="dxa"/>
            <w:vAlign w:val="bottom"/>
          </w:tcPr>
          <w:p w14:paraId="57343634" w14:textId="77777777" w:rsidR="00F56B8C" w:rsidRPr="00E0003B" w:rsidRDefault="00F56B8C" w:rsidP="00786973">
            <w:r>
              <w:t>August 27, 2014</w:t>
            </w:r>
          </w:p>
        </w:tc>
      </w:tr>
      <w:tr w:rsidR="00F56B8C" w14:paraId="00692688" w14:textId="77777777" w:rsidTr="00786973">
        <w:trPr>
          <w:cantSplit/>
          <w:trHeight w:val="432"/>
        </w:trPr>
        <w:tc>
          <w:tcPr>
            <w:tcW w:w="1154" w:type="dxa"/>
            <w:vAlign w:val="bottom"/>
          </w:tcPr>
          <w:p w14:paraId="4EDCFD1D" w14:textId="77777777" w:rsidR="00F56B8C" w:rsidRPr="004A6DCE" w:rsidRDefault="00F56B8C" w:rsidP="00786973">
            <w:pPr>
              <w:pStyle w:val="Heading1"/>
            </w:pPr>
            <w:r w:rsidRPr="004A6DCE">
              <w:t>Re:</w:t>
            </w:r>
          </w:p>
        </w:tc>
        <w:tc>
          <w:tcPr>
            <w:tcW w:w="7601" w:type="dxa"/>
            <w:vAlign w:val="bottom"/>
          </w:tcPr>
          <w:p w14:paraId="0EE7306F" w14:textId="77777777" w:rsidR="00F56B8C" w:rsidRDefault="00F56B8C" w:rsidP="00786973">
            <w:pPr>
              <w:rPr>
                <w:b/>
              </w:rPr>
            </w:pPr>
          </w:p>
          <w:p w14:paraId="5639BF35" w14:textId="77777777" w:rsidR="00F56B8C" w:rsidRPr="007E6A33" w:rsidRDefault="00F56B8C" w:rsidP="00786973">
            <w:r>
              <w:t>Update: Investigation of differences between Federal agency-reported R&amp;D obligations and FFRDC-reported R&amp;D expenditures: FY 2012</w:t>
            </w:r>
          </w:p>
        </w:tc>
      </w:tr>
      <w:tr w:rsidR="00F56B8C" w14:paraId="3B718731" w14:textId="77777777" w:rsidTr="00786973">
        <w:trPr>
          <w:cantSplit/>
          <w:trHeight w:val="73"/>
        </w:trPr>
        <w:tc>
          <w:tcPr>
            <w:tcW w:w="1154" w:type="dxa"/>
            <w:vAlign w:val="bottom"/>
          </w:tcPr>
          <w:p w14:paraId="5CF7CD73" w14:textId="77777777" w:rsidR="00F56B8C" w:rsidRDefault="00F56B8C" w:rsidP="00786973"/>
          <w:p w14:paraId="2991AEC4" w14:textId="77777777" w:rsidR="00F56B8C" w:rsidRPr="004A6DCE" w:rsidRDefault="00F56B8C" w:rsidP="00786973">
            <w:r w:rsidRPr="009E67CD">
              <w:rPr>
                <w:rFonts w:asciiTheme="majorHAnsi" w:hAnsiTheme="majorHAnsi"/>
              </w:rPr>
              <w:t xml:space="preserve">From: </w:t>
            </w:r>
          </w:p>
        </w:tc>
        <w:tc>
          <w:tcPr>
            <w:tcW w:w="7601" w:type="dxa"/>
            <w:vAlign w:val="bottom"/>
          </w:tcPr>
          <w:p w14:paraId="54EA4BFA" w14:textId="77777777" w:rsidR="00F56B8C" w:rsidRDefault="00F56B8C" w:rsidP="00786973">
            <w:r>
              <w:t xml:space="preserve">Ronda Britt and Mike </w:t>
            </w:r>
            <w:proofErr w:type="spellStart"/>
            <w:r>
              <w:t>Yamaner</w:t>
            </w:r>
            <w:proofErr w:type="spellEnd"/>
          </w:p>
        </w:tc>
      </w:tr>
      <w:tr w:rsidR="00F56B8C" w14:paraId="0D7885FA" w14:textId="77777777" w:rsidTr="00786973">
        <w:trPr>
          <w:cantSplit/>
          <w:trHeight w:val="73"/>
        </w:trPr>
        <w:tc>
          <w:tcPr>
            <w:tcW w:w="1154" w:type="dxa"/>
            <w:tcBorders>
              <w:bottom w:val="single" w:sz="4" w:space="0" w:color="auto"/>
            </w:tcBorders>
            <w:vAlign w:val="bottom"/>
          </w:tcPr>
          <w:p w14:paraId="0D5C46AF" w14:textId="77777777" w:rsidR="00F56B8C" w:rsidRDefault="00F56B8C" w:rsidP="00786973"/>
          <w:p w14:paraId="28105FEC" w14:textId="77777777" w:rsidR="00F56B8C" w:rsidRPr="004E7797" w:rsidRDefault="00F56B8C" w:rsidP="00786973">
            <w:pPr>
              <w:rPr>
                <w:rFonts w:asciiTheme="majorHAnsi" w:hAnsiTheme="majorHAnsi"/>
              </w:rPr>
            </w:pPr>
            <w:r w:rsidRPr="004E7797">
              <w:rPr>
                <w:rFonts w:asciiTheme="majorHAnsi" w:hAnsiTheme="majorHAnsi"/>
              </w:rPr>
              <w:t xml:space="preserve">To: </w:t>
            </w:r>
          </w:p>
        </w:tc>
        <w:tc>
          <w:tcPr>
            <w:tcW w:w="7601" w:type="dxa"/>
            <w:tcBorders>
              <w:bottom w:val="single" w:sz="4" w:space="0" w:color="auto"/>
            </w:tcBorders>
            <w:vAlign w:val="bottom"/>
          </w:tcPr>
          <w:p w14:paraId="173CAAFE" w14:textId="77777777" w:rsidR="00F56B8C" w:rsidRDefault="00F56B8C" w:rsidP="00786973">
            <w:r>
              <w:t>John Jankowski</w:t>
            </w:r>
          </w:p>
        </w:tc>
      </w:tr>
    </w:tbl>
    <w:p w14:paraId="63B88808" w14:textId="77777777" w:rsidR="00F56B8C" w:rsidRDefault="00F56B8C" w:rsidP="00F56B8C">
      <w:pPr>
        <w:pStyle w:val="NormalWeb"/>
        <w:rPr>
          <w:rFonts w:ascii="Arial" w:hAnsi="Arial" w:cs="Arial"/>
          <w:sz w:val="22"/>
          <w:szCs w:val="22"/>
        </w:rPr>
      </w:pPr>
      <w:r w:rsidRPr="00AD7693">
        <w:rPr>
          <w:rFonts w:ascii="Arial" w:hAnsi="Arial" w:cs="Arial"/>
          <w:sz w:val="22"/>
          <w:szCs w:val="22"/>
        </w:rPr>
        <w:t xml:space="preserve">NSF's Survey of Federal Funds for Research and Development collects data from </w:t>
      </w:r>
      <w:r>
        <w:rPr>
          <w:rFonts w:ascii="Arial" w:hAnsi="Arial" w:cs="Arial"/>
          <w:sz w:val="22"/>
          <w:szCs w:val="22"/>
        </w:rPr>
        <w:t>f</w:t>
      </w:r>
      <w:r w:rsidRPr="00AD7693">
        <w:rPr>
          <w:rFonts w:ascii="Arial" w:hAnsi="Arial" w:cs="Arial"/>
          <w:sz w:val="22"/>
          <w:szCs w:val="22"/>
        </w:rPr>
        <w:t xml:space="preserve">ederal agencies on </w:t>
      </w:r>
      <w:r>
        <w:rPr>
          <w:rFonts w:ascii="Arial" w:hAnsi="Arial" w:cs="Arial"/>
          <w:sz w:val="22"/>
          <w:szCs w:val="22"/>
        </w:rPr>
        <w:t xml:space="preserve">obligations for </w:t>
      </w:r>
      <w:r w:rsidRPr="00AD7693">
        <w:rPr>
          <w:rFonts w:ascii="Arial" w:hAnsi="Arial" w:cs="Arial"/>
          <w:sz w:val="22"/>
          <w:szCs w:val="22"/>
        </w:rPr>
        <w:t xml:space="preserve">R&amp;D for each fiscal year, including a breakout for obligations to federally funded research and development centers (FFRDCs). </w:t>
      </w:r>
      <w:r w:rsidRPr="00EB110A">
        <w:rPr>
          <w:rFonts w:ascii="Arial" w:hAnsi="Arial" w:cs="Arial"/>
          <w:sz w:val="22"/>
          <w:szCs w:val="22"/>
        </w:rPr>
        <w:t>Respondents are budget and accounting staff at the various federal agencies conducting R&amp;D. Since the respondent</w:t>
      </w:r>
      <w:r>
        <w:rPr>
          <w:rFonts w:ascii="Arial" w:hAnsi="Arial" w:cs="Arial"/>
          <w:sz w:val="22"/>
          <w:szCs w:val="22"/>
        </w:rPr>
        <w:t>s</w:t>
      </w:r>
      <w:r w:rsidRPr="00EB110A">
        <w:rPr>
          <w:rFonts w:ascii="Arial" w:hAnsi="Arial" w:cs="Arial"/>
          <w:sz w:val="22"/>
          <w:szCs w:val="22"/>
        </w:rPr>
        <w:t xml:space="preserve"> on the survey </w:t>
      </w:r>
      <w:r>
        <w:rPr>
          <w:rFonts w:ascii="Arial" w:hAnsi="Arial" w:cs="Arial"/>
          <w:sz w:val="22"/>
          <w:szCs w:val="22"/>
        </w:rPr>
        <w:t>do not actually conduct</w:t>
      </w:r>
      <w:r w:rsidRPr="00EB110A">
        <w:rPr>
          <w:rFonts w:ascii="Arial" w:hAnsi="Arial" w:cs="Arial"/>
          <w:sz w:val="22"/>
          <w:szCs w:val="22"/>
        </w:rPr>
        <w:t xml:space="preserve"> the R&amp;D</w:t>
      </w:r>
      <w:r>
        <w:rPr>
          <w:rFonts w:ascii="Arial" w:hAnsi="Arial" w:cs="Arial"/>
          <w:sz w:val="22"/>
          <w:szCs w:val="22"/>
        </w:rPr>
        <w:t>,</w:t>
      </w:r>
      <w:r w:rsidRPr="00EB110A">
        <w:rPr>
          <w:rFonts w:ascii="Arial" w:hAnsi="Arial" w:cs="Arial"/>
          <w:sz w:val="22"/>
          <w:szCs w:val="22"/>
        </w:rPr>
        <w:t xml:space="preserve"> they are limited to the</w:t>
      </w:r>
      <w:r>
        <w:rPr>
          <w:rFonts w:ascii="Arial" w:hAnsi="Arial" w:cs="Arial"/>
          <w:sz w:val="22"/>
          <w:szCs w:val="22"/>
        </w:rPr>
        <w:t xml:space="preserve"> information contained in their</w:t>
      </w:r>
      <w:r w:rsidRPr="00EB110A">
        <w:rPr>
          <w:rFonts w:ascii="Arial" w:hAnsi="Arial" w:cs="Arial"/>
          <w:sz w:val="22"/>
          <w:szCs w:val="22"/>
        </w:rPr>
        <w:t xml:space="preserve"> agency’s accounting system when they </w:t>
      </w:r>
      <w:r>
        <w:rPr>
          <w:rFonts w:ascii="Arial" w:hAnsi="Arial" w:cs="Arial"/>
          <w:sz w:val="22"/>
          <w:szCs w:val="22"/>
        </w:rPr>
        <w:t>complete the survey</w:t>
      </w:r>
      <w:r w:rsidRPr="00EB110A">
        <w:rPr>
          <w:rFonts w:ascii="Arial" w:hAnsi="Arial" w:cs="Arial"/>
          <w:sz w:val="22"/>
          <w:szCs w:val="22"/>
        </w:rPr>
        <w:t>.</w:t>
      </w:r>
      <w:r>
        <w:rPr>
          <w:rFonts w:ascii="Arial" w:hAnsi="Arial" w:cs="Arial"/>
          <w:sz w:val="22"/>
          <w:szCs w:val="22"/>
        </w:rPr>
        <w:t xml:space="preserve"> </w:t>
      </w:r>
    </w:p>
    <w:p w14:paraId="39478E4C" w14:textId="77777777" w:rsidR="00F56B8C" w:rsidRDefault="00F56B8C" w:rsidP="00F56B8C">
      <w:pPr>
        <w:pStyle w:val="NormalWeb"/>
        <w:rPr>
          <w:rFonts w:ascii="Arial" w:hAnsi="Arial" w:cs="Arial"/>
          <w:sz w:val="22"/>
          <w:szCs w:val="22"/>
        </w:rPr>
      </w:pPr>
      <w:r w:rsidRPr="00AD7693">
        <w:rPr>
          <w:rFonts w:ascii="Arial" w:hAnsi="Arial" w:cs="Arial"/>
          <w:sz w:val="22"/>
          <w:szCs w:val="22"/>
        </w:rPr>
        <w:t xml:space="preserve">NSF’s annual FFRDC R&amp;D Survey collects data from each FFRDC on their R&amp;D expenditures </w:t>
      </w:r>
      <w:r>
        <w:rPr>
          <w:rFonts w:ascii="Arial" w:hAnsi="Arial" w:cs="Arial"/>
          <w:sz w:val="22"/>
          <w:szCs w:val="22"/>
        </w:rPr>
        <w:t xml:space="preserve">for each fiscal year. The respondents for this survey are budget and accounting staff at the FFRDC itself, or in some cases at the corporate administrative level (e.g. one individual at the MITRE Corporation reports for all five of their FFRDCs). These respondents also rely on the coding in the FFRDC’s accounting system and do not usually have firsthand experience with the R&amp;D projects being conducted.  </w:t>
      </w:r>
    </w:p>
    <w:p w14:paraId="092AC8F6" w14:textId="77777777" w:rsidR="00F56B8C" w:rsidRDefault="00F56B8C" w:rsidP="00F56B8C">
      <w:pPr>
        <w:pStyle w:val="NormalWeb"/>
        <w:rPr>
          <w:rFonts w:asciiTheme="minorHAnsi" w:hAnsiTheme="minorHAnsi" w:cstheme="minorHAnsi"/>
          <w:color w:val="262626"/>
          <w:sz w:val="22"/>
          <w:szCs w:val="22"/>
        </w:rPr>
      </w:pPr>
      <w:r w:rsidRPr="00EB110A">
        <w:rPr>
          <w:rFonts w:asciiTheme="minorHAnsi" w:hAnsiTheme="minorHAnsi" w:cstheme="minorHAnsi"/>
          <w:sz w:val="22"/>
          <w:szCs w:val="22"/>
        </w:rPr>
        <w:t>At issue is the fact that the federal obligations data do not correlate well with the FFRDC-reported expenditures data in any given year, and the difference is much greater than would be expected due to the inherent differences between obligations and expenditures.</w:t>
      </w:r>
      <w:r>
        <w:rPr>
          <w:rStyle w:val="FootnoteReference"/>
          <w:rFonts w:asciiTheme="minorHAnsi" w:hAnsiTheme="minorHAnsi" w:cstheme="minorHAnsi"/>
          <w:sz w:val="22"/>
          <w:szCs w:val="22"/>
        </w:rPr>
        <w:footnoteReference w:id="1"/>
      </w:r>
      <w:r w:rsidRPr="00EB110A">
        <w:rPr>
          <w:rFonts w:asciiTheme="minorHAnsi" w:hAnsiTheme="minorHAnsi" w:cstheme="minorHAnsi"/>
          <w:color w:val="262626"/>
          <w:sz w:val="22"/>
          <w:szCs w:val="22"/>
        </w:rPr>
        <w:t xml:space="preserve"> Specifically, the total obligations for R&amp;D are significantly below the expenditures reported each year. In FY 201</w:t>
      </w:r>
      <w:r>
        <w:rPr>
          <w:rFonts w:asciiTheme="minorHAnsi" w:hAnsiTheme="minorHAnsi" w:cstheme="minorHAnsi"/>
          <w:color w:val="262626"/>
          <w:sz w:val="22"/>
          <w:szCs w:val="22"/>
        </w:rPr>
        <w:t>2</w:t>
      </w:r>
      <w:r w:rsidRPr="00EB110A">
        <w:rPr>
          <w:rFonts w:asciiTheme="minorHAnsi" w:hAnsiTheme="minorHAnsi" w:cstheme="minorHAnsi"/>
          <w:color w:val="262626"/>
          <w:sz w:val="22"/>
          <w:szCs w:val="22"/>
        </w:rPr>
        <w:t xml:space="preserve"> $10.</w:t>
      </w:r>
      <w:r>
        <w:rPr>
          <w:rFonts w:asciiTheme="minorHAnsi" w:hAnsiTheme="minorHAnsi" w:cstheme="minorHAnsi"/>
          <w:color w:val="262626"/>
          <w:sz w:val="22"/>
          <w:szCs w:val="22"/>
        </w:rPr>
        <w:t>1</w:t>
      </w:r>
      <w:r w:rsidRPr="00EB110A">
        <w:rPr>
          <w:rFonts w:asciiTheme="minorHAnsi" w:hAnsiTheme="minorHAnsi" w:cstheme="minorHAnsi"/>
          <w:color w:val="262626"/>
          <w:sz w:val="22"/>
          <w:szCs w:val="22"/>
        </w:rPr>
        <w:t xml:space="preserve"> billion was reported by the federal agencies in R&amp;D obligations versus $17.4 billion in R&amp;D expenditures reported by the FFRDCs, r</w:t>
      </w:r>
      <w:r>
        <w:rPr>
          <w:rFonts w:asciiTheme="minorHAnsi" w:hAnsiTheme="minorHAnsi" w:cstheme="minorHAnsi"/>
          <w:color w:val="262626"/>
          <w:sz w:val="22"/>
          <w:szCs w:val="22"/>
        </w:rPr>
        <w:t>esulting in a difference of $6.9</w:t>
      </w:r>
      <w:r w:rsidRPr="00EB110A">
        <w:rPr>
          <w:rFonts w:asciiTheme="minorHAnsi" w:hAnsiTheme="minorHAnsi" w:cstheme="minorHAnsi"/>
          <w:color w:val="262626"/>
          <w:sz w:val="22"/>
          <w:szCs w:val="22"/>
        </w:rPr>
        <w:t xml:space="preserve"> billion.</w:t>
      </w:r>
      <w:r>
        <w:rPr>
          <w:rFonts w:asciiTheme="minorHAnsi" w:hAnsiTheme="minorHAnsi" w:cstheme="minorHAnsi"/>
          <w:color w:val="262626"/>
          <w:sz w:val="22"/>
          <w:szCs w:val="22"/>
        </w:rPr>
        <w:t xml:space="preserve"> </w:t>
      </w:r>
    </w:p>
    <w:p w14:paraId="496C468E" w14:textId="77777777" w:rsidR="00F56B8C" w:rsidRPr="00E31D88" w:rsidRDefault="00F56B8C" w:rsidP="00F56B8C">
      <w:pPr>
        <w:pStyle w:val="NormalWeb"/>
        <w:rPr>
          <w:rFonts w:asciiTheme="minorHAnsi" w:hAnsiTheme="minorHAnsi" w:cstheme="minorHAnsi"/>
          <w:color w:val="262626"/>
          <w:sz w:val="22"/>
          <w:szCs w:val="22"/>
        </w:rPr>
      </w:pPr>
      <w:r w:rsidRPr="00E31D88">
        <w:rPr>
          <w:rFonts w:asciiTheme="minorHAnsi" w:hAnsiTheme="minorHAnsi" w:cstheme="minorHAnsi"/>
          <w:color w:val="262626"/>
          <w:sz w:val="22"/>
          <w:szCs w:val="22"/>
        </w:rPr>
        <w:t xml:space="preserve">Six FFRDCs contributed 73% </w:t>
      </w:r>
      <w:r>
        <w:rPr>
          <w:rFonts w:asciiTheme="minorHAnsi" w:hAnsiTheme="minorHAnsi" w:cstheme="minorHAnsi"/>
          <w:color w:val="262626"/>
          <w:sz w:val="22"/>
          <w:szCs w:val="22"/>
        </w:rPr>
        <w:t>to</w:t>
      </w:r>
      <w:r w:rsidRPr="00E31D88">
        <w:rPr>
          <w:rFonts w:asciiTheme="minorHAnsi" w:hAnsiTheme="minorHAnsi" w:cstheme="minorHAnsi"/>
          <w:color w:val="262626"/>
          <w:sz w:val="22"/>
          <w:szCs w:val="22"/>
        </w:rPr>
        <w:t xml:space="preserve"> the $6.9 billion difference in FY 2012. The Department of Energy (DOE) sponsors four of the six FFRDCs with the largest differences in absolute dollars: Los Alamos National Laboratory, Sandia National Laboratories, Oak Ridge National Laboratory, and the Pacific Northwest National Laboratory.  </w:t>
      </w:r>
    </w:p>
    <w:p w14:paraId="59DB9079" w14:textId="77777777" w:rsidR="00F56B8C"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lastRenderedPageBreak/>
        <w:t>For these four FFRDCs, t</w:t>
      </w:r>
      <w:r w:rsidRPr="00AD7693">
        <w:rPr>
          <w:rFonts w:cstheme="minorHAnsi"/>
          <w:color w:val="262626"/>
          <w:spacing w:val="0"/>
          <w:szCs w:val="22"/>
        </w:rPr>
        <w:t xml:space="preserve">he </w:t>
      </w:r>
      <w:r>
        <w:rPr>
          <w:rFonts w:cstheme="minorHAnsi"/>
          <w:color w:val="262626"/>
          <w:spacing w:val="0"/>
          <w:szCs w:val="22"/>
        </w:rPr>
        <w:t>primary factor</w:t>
      </w:r>
      <w:r w:rsidRPr="00AD7693">
        <w:rPr>
          <w:rFonts w:cstheme="minorHAnsi"/>
          <w:color w:val="262626"/>
          <w:spacing w:val="0"/>
          <w:szCs w:val="22"/>
        </w:rPr>
        <w:t xml:space="preserve"> causing the large data differences between the Federal Funds </w:t>
      </w:r>
      <w:r>
        <w:rPr>
          <w:rFonts w:cstheme="minorHAnsi"/>
          <w:color w:val="262626"/>
          <w:spacing w:val="0"/>
          <w:szCs w:val="22"/>
        </w:rPr>
        <w:t xml:space="preserve">survey </w:t>
      </w:r>
      <w:r w:rsidRPr="00AD7693">
        <w:rPr>
          <w:rFonts w:cstheme="minorHAnsi"/>
          <w:color w:val="262626"/>
          <w:spacing w:val="0"/>
          <w:szCs w:val="22"/>
        </w:rPr>
        <w:t xml:space="preserve">and the FFRDC </w:t>
      </w:r>
      <w:r>
        <w:rPr>
          <w:rFonts w:cstheme="minorHAnsi"/>
          <w:color w:val="262626"/>
          <w:spacing w:val="0"/>
          <w:szCs w:val="22"/>
        </w:rPr>
        <w:t>survey</w:t>
      </w:r>
      <w:r w:rsidRPr="00AD7693">
        <w:rPr>
          <w:rFonts w:cstheme="minorHAnsi"/>
          <w:color w:val="262626"/>
          <w:spacing w:val="0"/>
          <w:szCs w:val="22"/>
        </w:rPr>
        <w:t xml:space="preserve"> </w:t>
      </w:r>
      <w:r>
        <w:rPr>
          <w:rFonts w:cstheme="minorHAnsi"/>
          <w:color w:val="262626"/>
          <w:spacing w:val="0"/>
          <w:szCs w:val="22"/>
        </w:rPr>
        <w:t>is</w:t>
      </w:r>
      <w:r w:rsidRPr="00AD7693">
        <w:rPr>
          <w:rFonts w:cstheme="minorHAnsi"/>
          <w:color w:val="262626"/>
          <w:spacing w:val="0"/>
          <w:szCs w:val="22"/>
        </w:rPr>
        <w:t xml:space="preserve"> how the respondents interpret </w:t>
      </w:r>
      <w:r>
        <w:rPr>
          <w:rFonts w:cstheme="minorHAnsi"/>
          <w:color w:val="262626"/>
          <w:spacing w:val="0"/>
          <w:szCs w:val="22"/>
        </w:rPr>
        <w:t>what to include as</w:t>
      </w:r>
      <w:r w:rsidRPr="00AD7693">
        <w:rPr>
          <w:rFonts w:cstheme="minorHAnsi"/>
          <w:color w:val="262626"/>
          <w:spacing w:val="0"/>
          <w:szCs w:val="22"/>
        </w:rPr>
        <w:t xml:space="preserve"> </w:t>
      </w:r>
      <w:r>
        <w:rPr>
          <w:rFonts w:cstheme="minorHAnsi"/>
          <w:color w:val="262626"/>
          <w:spacing w:val="0"/>
          <w:szCs w:val="22"/>
        </w:rPr>
        <w:t>R&amp;D funding</w:t>
      </w:r>
      <w:r w:rsidRPr="00AD7693">
        <w:rPr>
          <w:rFonts w:cstheme="minorHAnsi"/>
          <w:color w:val="262626"/>
          <w:spacing w:val="0"/>
          <w:szCs w:val="22"/>
        </w:rPr>
        <w:t xml:space="preserve">. </w:t>
      </w:r>
      <w:r>
        <w:rPr>
          <w:rFonts w:cstheme="minorHAnsi"/>
          <w:color w:val="262626"/>
          <w:spacing w:val="0"/>
          <w:szCs w:val="22"/>
        </w:rPr>
        <w:t>As can be seen by comparing their total operating budget with their reported R&amp;D expenditures, each of the FFRDCs</w:t>
      </w:r>
      <w:r w:rsidRPr="00AD7693">
        <w:rPr>
          <w:rFonts w:cstheme="minorHAnsi"/>
          <w:color w:val="262626"/>
          <w:spacing w:val="0"/>
          <w:szCs w:val="22"/>
        </w:rPr>
        <w:t xml:space="preserve"> </w:t>
      </w:r>
      <w:r>
        <w:rPr>
          <w:rFonts w:cstheme="minorHAnsi"/>
          <w:color w:val="262626"/>
          <w:spacing w:val="0"/>
          <w:szCs w:val="22"/>
        </w:rPr>
        <w:t xml:space="preserve">classify most of their expenditures as R&amp;D, including all funding to support the operation of the FFRDC as part of the cost of conducting R&amp;D. </w:t>
      </w:r>
      <w:r w:rsidRPr="00AD7693">
        <w:rPr>
          <w:rFonts w:cstheme="minorHAnsi"/>
          <w:color w:val="262626"/>
          <w:spacing w:val="0"/>
          <w:szCs w:val="22"/>
        </w:rPr>
        <w:t xml:space="preserve">The federal agencies </w:t>
      </w:r>
      <w:r>
        <w:rPr>
          <w:rFonts w:cstheme="minorHAnsi"/>
          <w:color w:val="262626"/>
          <w:spacing w:val="0"/>
          <w:szCs w:val="22"/>
        </w:rPr>
        <w:t>responding</w:t>
      </w:r>
      <w:r w:rsidRPr="00AD7693">
        <w:rPr>
          <w:rFonts w:cstheme="minorHAnsi"/>
          <w:color w:val="262626"/>
          <w:spacing w:val="0"/>
          <w:szCs w:val="22"/>
        </w:rPr>
        <w:t xml:space="preserve"> to the Fed</w:t>
      </w:r>
      <w:r>
        <w:rPr>
          <w:rFonts w:cstheme="minorHAnsi"/>
          <w:color w:val="262626"/>
          <w:spacing w:val="0"/>
          <w:szCs w:val="22"/>
        </w:rPr>
        <w:t>eral</w:t>
      </w:r>
      <w:r w:rsidRPr="00AD7693">
        <w:rPr>
          <w:rFonts w:cstheme="minorHAnsi"/>
          <w:color w:val="262626"/>
          <w:spacing w:val="0"/>
          <w:szCs w:val="22"/>
        </w:rPr>
        <w:t xml:space="preserve"> Funds survey interpret R&amp;D more narrowly and do not </w:t>
      </w:r>
      <w:r>
        <w:rPr>
          <w:rFonts w:cstheme="minorHAnsi"/>
          <w:color w:val="262626"/>
          <w:spacing w:val="0"/>
          <w:szCs w:val="22"/>
        </w:rPr>
        <w:t>classify</w:t>
      </w:r>
      <w:r w:rsidRPr="00AD7693">
        <w:rPr>
          <w:rFonts w:cstheme="minorHAnsi"/>
          <w:color w:val="262626"/>
          <w:spacing w:val="0"/>
          <w:szCs w:val="22"/>
        </w:rPr>
        <w:t xml:space="preserve"> all of the funds </w:t>
      </w:r>
      <w:r>
        <w:rPr>
          <w:rFonts w:cstheme="minorHAnsi"/>
          <w:color w:val="262626"/>
          <w:spacing w:val="0"/>
          <w:szCs w:val="22"/>
        </w:rPr>
        <w:t>obligated to FFRDCs as R&amp;D, instead using other classifications to delineate direct funding for R&amp;D projects from other types of funding for the FFRDC</w:t>
      </w:r>
      <w:r w:rsidRPr="00AD7693">
        <w:rPr>
          <w:rFonts w:cstheme="minorHAnsi"/>
          <w:color w:val="262626"/>
          <w:spacing w:val="0"/>
          <w:szCs w:val="22"/>
        </w:rPr>
        <w:t xml:space="preserve">. </w:t>
      </w:r>
    </w:p>
    <w:p w14:paraId="57425875" w14:textId="77777777" w:rsidR="00F56B8C" w:rsidRDefault="00F56B8C" w:rsidP="00F56B8C">
      <w:pPr>
        <w:keepLines/>
        <w:widowControl w:val="0"/>
        <w:autoSpaceDE w:val="0"/>
        <w:autoSpaceDN w:val="0"/>
        <w:adjustRightInd w:val="0"/>
        <w:rPr>
          <w:rFonts w:cstheme="minorHAnsi"/>
          <w:color w:val="262626"/>
          <w:spacing w:val="0"/>
          <w:szCs w:val="22"/>
        </w:rPr>
      </w:pPr>
    </w:p>
    <w:p w14:paraId="27486CED" w14:textId="77777777" w:rsidR="00F56B8C" w:rsidRPr="00AD7693"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If one compares total obligations reported by DOE to the R&amp;D obligations reported on the Federal Funds Survey for two of DOE’s FFRDCs, the difference in interpretation in what constitutes R&amp;D funding is stark. For FY 2012 DOE reported $1.9 billion in total obligations to the Los Alamos National Lab (not shown in table 1) but classified only $1.0 billion of that total as R&amp;D obligations on the Federal Funds Survey. For Sandia Laboratories DOE reported $1.6 billion in total obligations (not shown in table 1), of which only $1.1 billion were R&amp;D obligations.</w:t>
      </w:r>
    </w:p>
    <w:p w14:paraId="20879392" w14:textId="77777777" w:rsidR="00F56B8C" w:rsidRDefault="00F56B8C" w:rsidP="00F56B8C">
      <w:pPr>
        <w:keepLines/>
        <w:widowControl w:val="0"/>
        <w:autoSpaceDE w:val="0"/>
        <w:autoSpaceDN w:val="0"/>
        <w:adjustRightInd w:val="0"/>
        <w:rPr>
          <w:rFonts w:cstheme="minorHAnsi"/>
          <w:color w:val="262626"/>
          <w:spacing w:val="0"/>
          <w:szCs w:val="22"/>
        </w:rPr>
      </w:pPr>
    </w:p>
    <w:p w14:paraId="0C3508DB" w14:textId="77777777" w:rsidR="00F56B8C" w:rsidRDefault="00F56B8C" w:rsidP="00F56B8C">
      <w:pPr>
        <w:keepLines/>
        <w:widowControl w:val="0"/>
        <w:autoSpaceDE w:val="0"/>
        <w:autoSpaceDN w:val="0"/>
        <w:adjustRightInd w:val="0"/>
        <w:rPr>
          <w:rFonts w:cstheme="minorHAnsi"/>
          <w:color w:val="262626"/>
          <w:spacing w:val="0"/>
          <w:szCs w:val="22"/>
        </w:rPr>
      </w:pPr>
      <w:r w:rsidRPr="00AD7693">
        <w:rPr>
          <w:rFonts w:cstheme="minorHAnsi"/>
          <w:color w:val="262626"/>
          <w:spacing w:val="0"/>
          <w:szCs w:val="22"/>
        </w:rPr>
        <w:t xml:space="preserve">Some examples of the work that FFRDCs </w:t>
      </w:r>
      <w:r>
        <w:rPr>
          <w:rFonts w:cstheme="minorHAnsi"/>
          <w:color w:val="262626"/>
          <w:spacing w:val="0"/>
          <w:szCs w:val="22"/>
        </w:rPr>
        <w:t xml:space="preserve">perform </w:t>
      </w:r>
      <w:r w:rsidRPr="00AD7693">
        <w:rPr>
          <w:rFonts w:cstheme="minorHAnsi"/>
          <w:color w:val="262626"/>
          <w:spacing w:val="0"/>
          <w:szCs w:val="22"/>
        </w:rPr>
        <w:t xml:space="preserve">that the </w:t>
      </w:r>
      <w:r>
        <w:rPr>
          <w:rFonts w:cstheme="minorHAnsi"/>
          <w:color w:val="262626"/>
          <w:spacing w:val="0"/>
          <w:szCs w:val="22"/>
        </w:rPr>
        <w:t>DOE</w:t>
      </w:r>
      <w:r w:rsidRPr="00AD7693">
        <w:rPr>
          <w:rFonts w:cstheme="minorHAnsi"/>
          <w:color w:val="262626"/>
          <w:spacing w:val="0"/>
          <w:szCs w:val="22"/>
        </w:rPr>
        <w:t xml:space="preserve"> does not </w:t>
      </w:r>
      <w:r>
        <w:rPr>
          <w:rFonts w:cstheme="minorHAnsi"/>
          <w:color w:val="262626"/>
          <w:spacing w:val="0"/>
          <w:szCs w:val="22"/>
        </w:rPr>
        <w:t xml:space="preserve">classify </w:t>
      </w:r>
      <w:r w:rsidRPr="00AD7693">
        <w:rPr>
          <w:rFonts w:cstheme="minorHAnsi"/>
          <w:color w:val="262626"/>
          <w:spacing w:val="0"/>
          <w:szCs w:val="22"/>
        </w:rPr>
        <w:t>as R&amp;D on the Fed</w:t>
      </w:r>
      <w:r>
        <w:rPr>
          <w:rFonts w:cstheme="minorHAnsi"/>
          <w:color w:val="262626"/>
          <w:spacing w:val="0"/>
          <w:szCs w:val="22"/>
        </w:rPr>
        <w:t xml:space="preserve">eral </w:t>
      </w:r>
      <w:r w:rsidRPr="00AD7693">
        <w:rPr>
          <w:rFonts w:cstheme="minorHAnsi"/>
          <w:color w:val="262626"/>
          <w:spacing w:val="0"/>
          <w:szCs w:val="22"/>
        </w:rPr>
        <w:t xml:space="preserve">Funds </w:t>
      </w:r>
      <w:r>
        <w:rPr>
          <w:rFonts w:cstheme="minorHAnsi"/>
          <w:color w:val="262626"/>
          <w:spacing w:val="0"/>
          <w:szCs w:val="22"/>
        </w:rPr>
        <w:t xml:space="preserve">survey </w:t>
      </w:r>
      <w:r w:rsidRPr="00AD7693">
        <w:rPr>
          <w:rFonts w:cstheme="minorHAnsi"/>
          <w:color w:val="262626"/>
          <w:spacing w:val="0"/>
          <w:szCs w:val="22"/>
        </w:rPr>
        <w:t xml:space="preserve">include environmental cleanup work done for </w:t>
      </w:r>
      <w:r>
        <w:rPr>
          <w:rFonts w:cstheme="minorHAnsi"/>
          <w:color w:val="262626"/>
          <w:spacing w:val="0"/>
          <w:szCs w:val="22"/>
        </w:rPr>
        <w:t>DOE defense programs (e.g. Savannah River at $1.2 billion and Idaho National Laboratory at $0.4 billion in FY 2012)</w:t>
      </w:r>
      <w:r w:rsidRPr="00AD7693">
        <w:rPr>
          <w:rFonts w:cstheme="minorHAnsi"/>
          <w:color w:val="262626"/>
          <w:spacing w:val="0"/>
          <w:szCs w:val="22"/>
        </w:rPr>
        <w:t>, nuclear nonproliferation, readiness in technical base</w:t>
      </w:r>
      <w:r>
        <w:rPr>
          <w:rFonts w:cstheme="minorHAnsi"/>
          <w:color w:val="262626"/>
          <w:spacing w:val="0"/>
          <w:szCs w:val="22"/>
        </w:rPr>
        <w:t>s</w:t>
      </w:r>
      <w:r w:rsidRPr="00AD7693">
        <w:rPr>
          <w:rFonts w:cstheme="minorHAnsi"/>
          <w:color w:val="262626"/>
          <w:spacing w:val="0"/>
          <w:szCs w:val="22"/>
        </w:rPr>
        <w:t xml:space="preserve"> and facilities, international nuclear energy cooperation, and </w:t>
      </w:r>
      <w:r>
        <w:rPr>
          <w:rFonts w:cstheme="minorHAnsi"/>
          <w:color w:val="262626"/>
          <w:spacing w:val="0"/>
          <w:szCs w:val="22"/>
        </w:rPr>
        <w:t>FFRDC</w:t>
      </w:r>
      <w:r w:rsidRPr="00AD7693">
        <w:rPr>
          <w:rFonts w:cstheme="minorHAnsi"/>
          <w:color w:val="262626"/>
          <w:spacing w:val="0"/>
          <w:szCs w:val="22"/>
        </w:rPr>
        <w:t xml:space="preserve"> management and security.  These programs have large appropriations in each of the FFRDC’s budgets. Other programs such as Electricity Delivery and Energy Reliability, Energy Efficiency and Renewable Energy, and Nuclear Energy have parts that the </w:t>
      </w:r>
      <w:r>
        <w:rPr>
          <w:rFonts w:cstheme="minorHAnsi"/>
          <w:color w:val="262626"/>
          <w:spacing w:val="0"/>
          <w:szCs w:val="22"/>
        </w:rPr>
        <w:t>DOE</w:t>
      </w:r>
      <w:r w:rsidRPr="00AD7693">
        <w:rPr>
          <w:rFonts w:cstheme="minorHAnsi"/>
          <w:color w:val="262626"/>
          <w:spacing w:val="0"/>
          <w:szCs w:val="22"/>
        </w:rPr>
        <w:t xml:space="preserve"> interprets as R&amp;D and others that it does not.</w:t>
      </w:r>
      <w:r>
        <w:rPr>
          <w:rFonts w:cstheme="minorHAnsi"/>
          <w:color w:val="262626"/>
          <w:spacing w:val="0"/>
          <w:szCs w:val="22"/>
        </w:rPr>
        <w:t xml:space="preserve">  </w:t>
      </w:r>
    </w:p>
    <w:p w14:paraId="69A1719A" w14:textId="77777777" w:rsidR="00F56B8C" w:rsidRDefault="00F56B8C" w:rsidP="00F56B8C">
      <w:pPr>
        <w:keepLines/>
        <w:widowControl w:val="0"/>
        <w:autoSpaceDE w:val="0"/>
        <w:autoSpaceDN w:val="0"/>
        <w:adjustRightInd w:val="0"/>
        <w:rPr>
          <w:rFonts w:cstheme="minorHAnsi"/>
          <w:color w:val="262626"/>
          <w:spacing w:val="0"/>
          <w:szCs w:val="22"/>
        </w:rPr>
      </w:pPr>
    </w:p>
    <w:p w14:paraId="71901C0D" w14:textId="77777777" w:rsidR="00F56B8C" w:rsidRPr="00AD7693"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 xml:space="preserve">There is also an issue with funding received from other agencies via pass-through arrangements that may not be recorded as R&amp;D obligations to the FFRDC on the Federal Funds survey. The extent of this pass-through funding is unknown since we do not request federally funded expenditures by agency on the FFRDC survey. </w:t>
      </w:r>
    </w:p>
    <w:p w14:paraId="40910945" w14:textId="77777777" w:rsidR="00F56B8C" w:rsidRPr="00AD7693" w:rsidRDefault="00F56B8C" w:rsidP="00F56B8C">
      <w:pPr>
        <w:keepLines/>
        <w:widowControl w:val="0"/>
        <w:autoSpaceDE w:val="0"/>
        <w:autoSpaceDN w:val="0"/>
        <w:adjustRightInd w:val="0"/>
        <w:rPr>
          <w:rFonts w:cstheme="minorHAnsi"/>
          <w:color w:val="262626"/>
          <w:spacing w:val="0"/>
          <w:szCs w:val="22"/>
        </w:rPr>
      </w:pPr>
    </w:p>
    <w:p w14:paraId="171D814C" w14:textId="77777777" w:rsidR="00F56B8C"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 xml:space="preserve">In terms of reported R&amp;D differences, the remaining two FFRDCs of the top six are both sponsored by DOD: the National Security Engineering Center (NSEC) and Lincoln Laboratory. In these cases, the DOD respondent believes the missing funding may be the “black box” R&amp;D that DOD does not report to NSF’s Federal Funds Survey by performer but rather combines for an aggregate R&amp;D obligation total. </w:t>
      </w:r>
    </w:p>
    <w:p w14:paraId="61F6034B" w14:textId="77777777" w:rsidR="00F56B8C" w:rsidRDefault="00F56B8C" w:rsidP="00F56B8C">
      <w:pPr>
        <w:keepLines/>
        <w:widowControl w:val="0"/>
        <w:autoSpaceDE w:val="0"/>
        <w:autoSpaceDN w:val="0"/>
        <w:adjustRightInd w:val="0"/>
        <w:rPr>
          <w:rFonts w:cstheme="minorHAnsi"/>
          <w:color w:val="262626"/>
          <w:spacing w:val="0"/>
          <w:szCs w:val="22"/>
        </w:rPr>
      </w:pPr>
    </w:p>
    <w:p w14:paraId="35E94769" w14:textId="77777777" w:rsidR="00F56B8C"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 xml:space="preserve">The survey manager for the Federal Funds survey contacted each of the remaining agency sponsors of FFRDCs to inquire about the differences in reporting between the surveys. In many of these cases, there were omissions in coding on the agency side that are now being corrected for FY 2013 and beyond, so there should be an improvement in the correlation between obligations and expenditures for many of the remaining FFRDCs. </w:t>
      </w:r>
    </w:p>
    <w:p w14:paraId="516567F3" w14:textId="77777777" w:rsidR="00F56B8C" w:rsidRDefault="00F56B8C" w:rsidP="00F56B8C">
      <w:pPr>
        <w:keepLines/>
        <w:widowControl w:val="0"/>
        <w:autoSpaceDE w:val="0"/>
        <w:autoSpaceDN w:val="0"/>
        <w:adjustRightInd w:val="0"/>
        <w:rPr>
          <w:rFonts w:cstheme="minorHAnsi"/>
          <w:color w:val="262626"/>
          <w:spacing w:val="0"/>
          <w:szCs w:val="22"/>
        </w:rPr>
      </w:pPr>
    </w:p>
    <w:p w14:paraId="3A51C931" w14:textId="77777777" w:rsidR="00F56B8C"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In order to attempt to encourage greater consistency in what is considered R&amp;D on both surveys, we recommend amending the FY 2014 FFRDC R&amp;D survey instructions to add more specificity on what should be excluded from the total reported for R&amp;D. Currently the instructions state that only the following should not be included:</w:t>
      </w:r>
    </w:p>
    <w:p w14:paraId="6EA03690" w14:textId="77777777" w:rsidR="00F56B8C" w:rsidRDefault="00F56B8C" w:rsidP="00F56B8C">
      <w:pPr>
        <w:pStyle w:val="ListParagraph"/>
        <w:keepLines/>
        <w:widowControl w:val="0"/>
        <w:numPr>
          <w:ilvl w:val="0"/>
          <w:numId w:val="16"/>
        </w:numPr>
        <w:autoSpaceDE w:val="0"/>
        <w:autoSpaceDN w:val="0"/>
        <w:adjustRightInd w:val="0"/>
        <w:rPr>
          <w:rFonts w:cstheme="minorHAnsi"/>
          <w:color w:val="262626"/>
          <w:spacing w:val="0"/>
          <w:szCs w:val="22"/>
        </w:rPr>
      </w:pPr>
      <w:r>
        <w:rPr>
          <w:rFonts w:cstheme="minorHAnsi"/>
          <w:color w:val="262626"/>
          <w:spacing w:val="0"/>
          <w:szCs w:val="22"/>
        </w:rPr>
        <w:t>Outreach or training programs</w:t>
      </w:r>
    </w:p>
    <w:p w14:paraId="135A2362" w14:textId="77777777" w:rsidR="00F56B8C" w:rsidRDefault="00F56B8C" w:rsidP="00F56B8C">
      <w:pPr>
        <w:pStyle w:val="ListParagraph"/>
        <w:keepLines/>
        <w:widowControl w:val="0"/>
        <w:numPr>
          <w:ilvl w:val="0"/>
          <w:numId w:val="16"/>
        </w:numPr>
        <w:autoSpaceDE w:val="0"/>
        <w:autoSpaceDN w:val="0"/>
        <w:adjustRightInd w:val="0"/>
        <w:rPr>
          <w:rFonts w:cstheme="minorHAnsi"/>
          <w:color w:val="262626"/>
          <w:spacing w:val="0"/>
          <w:szCs w:val="22"/>
        </w:rPr>
      </w:pPr>
      <w:r>
        <w:rPr>
          <w:rFonts w:cstheme="minorHAnsi"/>
          <w:color w:val="262626"/>
          <w:spacing w:val="0"/>
          <w:szCs w:val="22"/>
        </w:rPr>
        <w:t>R&amp;D conducted by staff at outside institutions that is not accounted for in your financial records</w:t>
      </w:r>
    </w:p>
    <w:p w14:paraId="040C1DD4" w14:textId="77777777" w:rsidR="00F56B8C" w:rsidRPr="007F1F7B" w:rsidRDefault="00F56B8C" w:rsidP="00F56B8C">
      <w:pPr>
        <w:pStyle w:val="ListParagraph"/>
        <w:keepLines/>
        <w:widowControl w:val="0"/>
        <w:numPr>
          <w:ilvl w:val="0"/>
          <w:numId w:val="16"/>
        </w:numPr>
        <w:autoSpaceDE w:val="0"/>
        <w:autoSpaceDN w:val="0"/>
        <w:adjustRightInd w:val="0"/>
        <w:rPr>
          <w:rFonts w:cstheme="minorHAnsi"/>
          <w:color w:val="262626"/>
          <w:spacing w:val="0"/>
          <w:szCs w:val="22"/>
        </w:rPr>
      </w:pPr>
      <w:r>
        <w:rPr>
          <w:rFonts w:cstheme="minorHAnsi"/>
          <w:color w:val="262626"/>
          <w:spacing w:val="0"/>
          <w:szCs w:val="22"/>
        </w:rPr>
        <w:t>Capital projects (i.e., construction or renovation of research facilities)</w:t>
      </w:r>
    </w:p>
    <w:p w14:paraId="5FE0FC78" w14:textId="77777777" w:rsidR="00F56B8C" w:rsidRDefault="00F56B8C" w:rsidP="00F56B8C">
      <w:pPr>
        <w:keepLines/>
        <w:widowControl w:val="0"/>
        <w:autoSpaceDE w:val="0"/>
        <w:autoSpaceDN w:val="0"/>
        <w:adjustRightInd w:val="0"/>
        <w:rPr>
          <w:rFonts w:cstheme="minorHAnsi"/>
          <w:color w:val="262626"/>
          <w:spacing w:val="0"/>
          <w:szCs w:val="22"/>
        </w:rPr>
      </w:pPr>
    </w:p>
    <w:p w14:paraId="5542791C" w14:textId="77777777" w:rsidR="00F56B8C" w:rsidRDefault="00F56B8C" w:rsidP="00F56B8C">
      <w:pPr>
        <w:keepLines/>
        <w:widowControl w:val="0"/>
        <w:autoSpaceDE w:val="0"/>
        <w:autoSpaceDN w:val="0"/>
        <w:adjustRightInd w:val="0"/>
        <w:rPr>
          <w:rFonts w:cstheme="minorHAnsi"/>
          <w:color w:val="262626"/>
          <w:spacing w:val="0"/>
          <w:szCs w:val="22"/>
        </w:rPr>
      </w:pPr>
      <w:r>
        <w:rPr>
          <w:rFonts w:cstheme="minorHAnsi"/>
          <w:color w:val="262626"/>
          <w:spacing w:val="0"/>
          <w:szCs w:val="22"/>
        </w:rPr>
        <w:t>Our suggestions for additional items to list under the “R&amp;D does not include” box are:</w:t>
      </w:r>
    </w:p>
    <w:p w14:paraId="722D0820" w14:textId="77777777" w:rsidR="00F56B8C" w:rsidRDefault="00F56B8C" w:rsidP="00F56B8C">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Routine testing</w:t>
      </w:r>
    </w:p>
    <w:p w14:paraId="449DB57A" w14:textId="77777777" w:rsidR="00F56B8C" w:rsidRDefault="00F56B8C" w:rsidP="00F56B8C">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Non-R&amp;D program implementation or management</w:t>
      </w:r>
    </w:p>
    <w:p w14:paraId="7147DAEA" w14:textId="77777777" w:rsidR="00F56B8C" w:rsidRDefault="00F56B8C" w:rsidP="00F56B8C">
      <w:pPr>
        <w:pStyle w:val="ListParagraph"/>
        <w:keepLines/>
        <w:widowControl w:val="0"/>
        <w:numPr>
          <w:ilvl w:val="0"/>
          <w:numId w:val="15"/>
        </w:numPr>
        <w:autoSpaceDE w:val="0"/>
        <w:autoSpaceDN w:val="0"/>
        <w:adjustRightInd w:val="0"/>
        <w:rPr>
          <w:rFonts w:cstheme="minorHAnsi"/>
          <w:color w:val="262626"/>
          <w:spacing w:val="0"/>
          <w:szCs w:val="22"/>
        </w:rPr>
      </w:pPr>
      <w:r>
        <w:rPr>
          <w:rFonts w:cstheme="minorHAnsi"/>
          <w:color w:val="262626"/>
          <w:spacing w:val="0"/>
          <w:szCs w:val="22"/>
        </w:rPr>
        <w:t>Policy development</w:t>
      </w:r>
    </w:p>
    <w:p w14:paraId="6CA63BCA" w14:textId="77777777" w:rsidR="00F56B8C" w:rsidRDefault="00F56B8C" w:rsidP="00F56B8C">
      <w:pPr>
        <w:keepLines/>
        <w:widowControl w:val="0"/>
        <w:autoSpaceDE w:val="0"/>
        <w:autoSpaceDN w:val="0"/>
        <w:adjustRightInd w:val="0"/>
        <w:rPr>
          <w:rFonts w:cstheme="minorHAnsi"/>
          <w:color w:val="262626"/>
          <w:spacing w:val="0"/>
          <w:szCs w:val="22"/>
        </w:rPr>
      </w:pPr>
    </w:p>
    <w:p w14:paraId="40BB32FC" w14:textId="446D26AF" w:rsidR="00F56B8C" w:rsidRPr="00F56B8C" w:rsidRDefault="00F56B8C" w:rsidP="00F56B8C">
      <w:pPr>
        <w:keepLines/>
        <w:widowControl w:val="0"/>
        <w:autoSpaceDE w:val="0"/>
        <w:autoSpaceDN w:val="0"/>
        <w:adjustRightInd w:val="0"/>
        <w:rPr>
          <w:rFonts w:cstheme="minorHAnsi"/>
          <w:color w:val="262626"/>
          <w:spacing w:val="0"/>
          <w:szCs w:val="22"/>
        </w:rPr>
      </w:pPr>
      <w:r w:rsidRPr="009639A7">
        <w:rPr>
          <w:rFonts w:cstheme="minorHAnsi"/>
          <w:color w:val="262626"/>
          <w:spacing w:val="0"/>
          <w:szCs w:val="22"/>
        </w:rPr>
        <w:t>Prior to the launch of the FY 2014</w:t>
      </w:r>
      <w:r>
        <w:rPr>
          <w:rFonts w:cstheme="minorHAnsi"/>
          <w:color w:val="262626"/>
          <w:spacing w:val="0"/>
          <w:szCs w:val="22"/>
        </w:rPr>
        <w:t xml:space="preserve"> FFRDC R&amp;D</w:t>
      </w:r>
      <w:r w:rsidRPr="009639A7">
        <w:rPr>
          <w:rFonts w:cstheme="minorHAnsi"/>
          <w:color w:val="262626"/>
          <w:spacing w:val="0"/>
          <w:szCs w:val="22"/>
        </w:rPr>
        <w:t xml:space="preserve"> </w:t>
      </w:r>
      <w:r>
        <w:rPr>
          <w:rFonts w:cstheme="minorHAnsi"/>
          <w:color w:val="262626"/>
          <w:spacing w:val="0"/>
          <w:szCs w:val="22"/>
        </w:rPr>
        <w:t>S</w:t>
      </w:r>
      <w:r w:rsidRPr="009639A7">
        <w:rPr>
          <w:rFonts w:cstheme="minorHAnsi"/>
          <w:color w:val="262626"/>
          <w:spacing w:val="0"/>
          <w:szCs w:val="22"/>
        </w:rPr>
        <w:t>urvey, these additional items will be tested with the six FFRDCs with the largest differences and revised as needed. In addition, NSF plans to request clearance to add a question on the agency sources of funding for the FY 2015</w:t>
      </w:r>
      <w:r>
        <w:rPr>
          <w:rFonts w:cstheme="minorHAnsi"/>
          <w:color w:val="262626"/>
          <w:spacing w:val="0"/>
          <w:szCs w:val="22"/>
        </w:rPr>
        <w:t xml:space="preserve"> FFRDC R&amp;D</w:t>
      </w:r>
      <w:r w:rsidRPr="009639A7">
        <w:rPr>
          <w:rFonts w:cstheme="minorHAnsi"/>
          <w:color w:val="262626"/>
          <w:spacing w:val="0"/>
          <w:szCs w:val="22"/>
        </w:rPr>
        <w:t xml:space="preserve"> </w:t>
      </w:r>
      <w:r>
        <w:rPr>
          <w:rFonts w:cstheme="minorHAnsi"/>
          <w:color w:val="262626"/>
          <w:spacing w:val="0"/>
          <w:szCs w:val="22"/>
        </w:rPr>
        <w:t>Su</w:t>
      </w:r>
    </w:p>
    <w:tbl>
      <w:tblPr>
        <w:tblpPr w:leftFromText="180" w:rightFromText="180" w:vertAnchor="text" w:horzAnchor="page" w:tblpX="763" w:tblpY="195"/>
        <w:tblW w:w="10553" w:type="dxa"/>
        <w:tblCellMar>
          <w:left w:w="29" w:type="dxa"/>
          <w:right w:w="29" w:type="dxa"/>
        </w:tblCellMar>
        <w:tblLook w:val="04A0" w:firstRow="1" w:lastRow="0" w:firstColumn="1" w:lastColumn="0" w:noHBand="0" w:noVBand="1"/>
      </w:tblPr>
      <w:tblGrid>
        <w:gridCol w:w="3113"/>
        <w:gridCol w:w="810"/>
        <w:gridCol w:w="793"/>
        <w:gridCol w:w="735"/>
        <w:gridCol w:w="966"/>
        <w:gridCol w:w="715"/>
        <w:gridCol w:w="824"/>
        <w:gridCol w:w="833"/>
        <w:gridCol w:w="851"/>
        <w:gridCol w:w="913"/>
      </w:tblGrid>
      <w:tr w:rsidR="00F56B8C" w:rsidRPr="00AA0ED8" w14:paraId="54A29348" w14:textId="77777777" w:rsidTr="00786973">
        <w:trPr>
          <w:trHeight w:val="225"/>
        </w:trPr>
        <w:tc>
          <w:tcPr>
            <w:tcW w:w="10553" w:type="dxa"/>
            <w:gridSpan w:val="10"/>
            <w:tcBorders>
              <w:top w:val="nil"/>
              <w:left w:val="nil"/>
              <w:bottom w:val="nil"/>
              <w:right w:val="nil"/>
            </w:tcBorders>
            <w:shd w:val="clear" w:color="000000" w:fill="FFFFFF"/>
            <w:vAlign w:val="bottom"/>
            <w:hideMark/>
          </w:tcPr>
          <w:p w14:paraId="689FC702"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lastRenderedPageBreak/>
              <w:t>R&amp;D expenditures, operating budgets, and obligations at federally funded research and development centers, by FFRDC: FY 2012</w:t>
            </w:r>
          </w:p>
        </w:tc>
      </w:tr>
      <w:tr w:rsidR="00F56B8C" w:rsidRPr="00AA0ED8" w14:paraId="34F246E1" w14:textId="77777777" w:rsidTr="00786973">
        <w:trPr>
          <w:trHeight w:val="209"/>
        </w:trPr>
        <w:tc>
          <w:tcPr>
            <w:tcW w:w="3113" w:type="dxa"/>
            <w:tcBorders>
              <w:top w:val="nil"/>
              <w:left w:val="nil"/>
              <w:bottom w:val="nil"/>
              <w:right w:val="nil"/>
            </w:tcBorders>
            <w:shd w:val="clear" w:color="000000" w:fill="FFFFFF"/>
            <w:noWrap/>
            <w:vAlign w:val="bottom"/>
            <w:hideMark/>
          </w:tcPr>
          <w:p w14:paraId="7BF91F26"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(Dollars in thousands)</w:t>
            </w:r>
          </w:p>
        </w:tc>
        <w:tc>
          <w:tcPr>
            <w:tcW w:w="810" w:type="dxa"/>
            <w:tcBorders>
              <w:top w:val="nil"/>
              <w:left w:val="nil"/>
              <w:bottom w:val="nil"/>
              <w:right w:val="nil"/>
            </w:tcBorders>
            <w:shd w:val="clear" w:color="000000" w:fill="FFFFFF"/>
            <w:noWrap/>
            <w:vAlign w:val="bottom"/>
            <w:hideMark/>
          </w:tcPr>
          <w:p w14:paraId="1F2CE786" w14:textId="77777777" w:rsidR="00F56B8C" w:rsidRPr="00AA0ED8" w:rsidRDefault="00F56B8C" w:rsidP="00786973">
            <w:pPr>
              <w:jc w:val="right"/>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793" w:type="dxa"/>
            <w:tcBorders>
              <w:top w:val="nil"/>
              <w:left w:val="nil"/>
              <w:bottom w:val="nil"/>
              <w:right w:val="nil"/>
            </w:tcBorders>
            <w:shd w:val="clear" w:color="000000" w:fill="FFFFFF"/>
            <w:noWrap/>
            <w:vAlign w:val="bottom"/>
            <w:hideMark/>
          </w:tcPr>
          <w:p w14:paraId="18BAB6C1" w14:textId="77777777" w:rsidR="00F56B8C" w:rsidRPr="00AA0ED8" w:rsidRDefault="00F56B8C" w:rsidP="00786973">
            <w:pPr>
              <w:jc w:val="right"/>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735" w:type="dxa"/>
            <w:tcBorders>
              <w:top w:val="nil"/>
              <w:left w:val="nil"/>
              <w:bottom w:val="nil"/>
              <w:right w:val="nil"/>
            </w:tcBorders>
            <w:shd w:val="clear" w:color="000000" w:fill="FFFFFF"/>
            <w:noWrap/>
            <w:vAlign w:val="bottom"/>
            <w:hideMark/>
          </w:tcPr>
          <w:p w14:paraId="4E01D0FF" w14:textId="77777777" w:rsidR="00F56B8C" w:rsidRPr="00AA0ED8" w:rsidRDefault="00F56B8C" w:rsidP="00786973">
            <w:pPr>
              <w:jc w:val="right"/>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966" w:type="dxa"/>
            <w:tcBorders>
              <w:top w:val="nil"/>
              <w:left w:val="nil"/>
              <w:bottom w:val="nil"/>
              <w:right w:val="nil"/>
            </w:tcBorders>
            <w:shd w:val="clear" w:color="000000" w:fill="FFFFFF"/>
            <w:noWrap/>
            <w:vAlign w:val="bottom"/>
            <w:hideMark/>
          </w:tcPr>
          <w:p w14:paraId="36BB9A08"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715" w:type="dxa"/>
            <w:tcBorders>
              <w:top w:val="nil"/>
              <w:left w:val="nil"/>
              <w:bottom w:val="nil"/>
              <w:right w:val="nil"/>
            </w:tcBorders>
            <w:shd w:val="clear" w:color="000000" w:fill="FFFFFF"/>
            <w:noWrap/>
            <w:vAlign w:val="bottom"/>
            <w:hideMark/>
          </w:tcPr>
          <w:p w14:paraId="5611051D"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824" w:type="dxa"/>
            <w:tcBorders>
              <w:top w:val="nil"/>
              <w:left w:val="nil"/>
              <w:bottom w:val="nil"/>
              <w:right w:val="nil"/>
            </w:tcBorders>
            <w:shd w:val="clear" w:color="000000" w:fill="FFFFFF"/>
            <w:noWrap/>
            <w:vAlign w:val="bottom"/>
            <w:hideMark/>
          </w:tcPr>
          <w:p w14:paraId="65FE0C10"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833" w:type="dxa"/>
            <w:tcBorders>
              <w:top w:val="nil"/>
              <w:left w:val="nil"/>
              <w:bottom w:val="nil"/>
              <w:right w:val="nil"/>
            </w:tcBorders>
            <w:shd w:val="clear" w:color="000000" w:fill="FFFFFF"/>
            <w:noWrap/>
            <w:vAlign w:val="bottom"/>
            <w:hideMark/>
          </w:tcPr>
          <w:p w14:paraId="5E21BC8B"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851" w:type="dxa"/>
            <w:tcBorders>
              <w:top w:val="nil"/>
              <w:left w:val="nil"/>
              <w:bottom w:val="nil"/>
              <w:right w:val="nil"/>
            </w:tcBorders>
            <w:shd w:val="clear" w:color="000000" w:fill="FFFFFF"/>
            <w:noWrap/>
            <w:vAlign w:val="bottom"/>
            <w:hideMark/>
          </w:tcPr>
          <w:p w14:paraId="4F4B0E91"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c>
          <w:tcPr>
            <w:tcW w:w="913" w:type="dxa"/>
            <w:tcBorders>
              <w:top w:val="nil"/>
              <w:left w:val="nil"/>
              <w:bottom w:val="nil"/>
              <w:right w:val="nil"/>
            </w:tcBorders>
            <w:shd w:val="clear" w:color="000000" w:fill="FFFFFF"/>
            <w:noWrap/>
            <w:vAlign w:val="bottom"/>
            <w:hideMark/>
          </w:tcPr>
          <w:p w14:paraId="0D7AA400" w14:textId="77777777" w:rsidR="00F56B8C" w:rsidRPr="00AA0ED8" w:rsidRDefault="00F56B8C" w:rsidP="00786973">
            <w:pPr>
              <w:rPr>
                <w:rFonts w:ascii="Arial Narrow" w:hAnsi="Arial Narrow"/>
                <w:color w:val="000000"/>
                <w:spacing w:val="0"/>
                <w:sz w:val="18"/>
                <w:szCs w:val="18"/>
              </w:rPr>
            </w:pPr>
            <w:r w:rsidRPr="00AA0ED8">
              <w:rPr>
                <w:rFonts w:ascii="Arial Narrow" w:hAnsi="Arial Narrow"/>
                <w:color w:val="000000"/>
                <w:spacing w:val="0"/>
                <w:sz w:val="18"/>
                <w:szCs w:val="18"/>
              </w:rPr>
              <w:t> </w:t>
            </w:r>
          </w:p>
        </w:tc>
      </w:tr>
      <w:tr w:rsidR="00F56B8C" w:rsidRPr="00AA0ED8" w14:paraId="653D2272" w14:textId="77777777" w:rsidTr="00786973">
        <w:trPr>
          <w:trHeight w:val="584"/>
        </w:trPr>
        <w:tc>
          <w:tcPr>
            <w:tcW w:w="3113" w:type="dxa"/>
            <w:tcBorders>
              <w:top w:val="single" w:sz="4" w:space="0" w:color="auto"/>
              <w:left w:val="nil"/>
              <w:bottom w:val="single" w:sz="4" w:space="0" w:color="auto"/>
              <w:right w:val="nil"/>
            </w:tcBorders>
            <w:shd w:val="clear" w:color="000000" w:fill="FFFFFF"/>
            <w:vAlign w:val="bottom"/>
            <w:hideMark/>
          </w:tcPr>
          <w:p w14:paraId="4D95E607"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FFRDC</w:t>
            </w:r>
          </w:p>
        </w:tc>
        <w:tc>
          <w:tcPr>
            <w:tcW w:w="810" w:type="dxa"/>
            <w:tcBorders>
              <w:top w:val="single" w:sz="4" w:space="0" w:color="auto"/>
              <w:left w:val="nil"/>
              <w:bottom w:val="single" w:sz="4" w:space="0" w:color="auto"/>
              <w:right w:val="nil"/>
            </w:tcBorders>
            <w:shd w:val="clear" w:color="000000" w:fill="FFFFFF"/>
            <w:vAlign w:val="bottom"/>
            <w:hideMark/>
          </w:tcPr>
          <w:p w14:paraId="0AA66E8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All R&amp;D expenditures</w:t>
            </w:r>
          </w:p>
        </w:tc>
        <w:tc>
          <w:tcPr>
            <w:tcW w:w="793" w:type="dxa"/>
            <w:tcBorders>
              <w:top w:val="single" w:sz="4" w:space="0" w:color="auto"/>
              <w:left w:val="nil"/>
              <w:bottom w:val="single" w:sz="4" w:space="0" w:color="auto"/>
              <w:right w:val="nil"/>
            </w:tcBorders>
            <w:shd w:val="clear" w:color="000000" w:fill="FFFFFF"/>
            <w:vAlign w:val="bottom"/>
            <w:hideMark/>
          </w:tcPr>
          <w:p w14:paraId="2DEB6F5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Federally financed</w:t>
            </w:r>
            <w:r>
              <w:rPr>
                <w:rFonts w:ascii="Arial Narrow" w:hAnsi="Arial Narrow"/>
                <w:color w:val="000000"/>
                <w:spacing w:val="0"/>
                <w:sz w:val="16"/>
                <w:szCs w:val="16"/>
              </w:rPr>
              <w:t xml:space="preserve"> R&amp;D</w:t>
            </w:r>
            <w:r w:rsidRPr="00AA0ED8">
              <w:rPr>
                <w:rFonts w:ascii="Arial Narrow" w:hAnsi="Arial Narrow"/>
                <w:color w:val="000000"/>
                <w:spacing w:val="0"/>
                <w:sz w:val="16"/>
                <w:szCs w:val="16"/>
              </w:rPr>
              <w:t xml:space="preserve"> </w:t>
            </w:r>
          </w:p>
        </w:tc>
        <w:tc>
          <w:tcPr>
            <w:tcW w:w="735" w:type="dxa"/>
            <w:tcBorders>
              <w:top w:val="single" w:sz="4" w:space="0" w:color="auto"/>
              <w:left w:val="nil"/>
              <w:bottom w:val="single" w:sz="4" w:space="0" w:color="auto"/>
              <w:right w:val="nil"/>
            </w:tcBorders>
            <w:shd w:val="clear" w:color="000000" w:fill="FFFFFF"/>
            <w:vAlign w:val="bottom"/>
            <w:hideMark/>
          </w:tcPr>
          <w:p w14:paraId="3C1C0459" w14:textId="77777777" w:rsidR="00F56B8C" w:rsidRPr="00AA0ED8" w:rsidRDefault="00F56B8C" w:rsidP="00786973">
            <w:pPr>
              <w:jc w:val="right"/>
              <w:rPr>
                <w:rFonts w:ascii="Arial Narrow" w:hAnsi="Arial Narrow"/>
                <w:color w:val="000000"/>
                <w:spacing w:val="0"/>
                <w:sz w:val="16"/>
                <w:szCs w:val="16"/>
              </w:rPr>
            </w:pPr>
            <w:r>
              <w:rPr>
                <w:rFonts w:ascii="Arial Narrow" w:hAnsi="Arial Narrow"/>
                <w:color w:val="000000"/>
                <w:spacing w:val="0"/>
                <w:sz w:val="16"/>
                <w:szCs w:val="16"/>
              </w:rPr>
              <w:t>Total o</w:t>
            </w:r>
            <w:r w:rsidRPr="00AA0ED8">
              <w:rPr>
                <w:rFonts w:ascii="Arial Narrow" w:hAnsi="Arial Narrow"/>
                <w:color w:val="000000"/>
                <w:spacing w:val="0"/>
                <w:sz w:val="16"/>
                <w:szCs w:val="16"/>
              </w:rPr>
              <w:t>perating budget</w:t>
            </w:r>
          </w:p>
        </w:tc>
        <w:tc>
          <w:tcPr>
            <w:tcW w:w="966" w:type="dxa"/>
            <w:tcBorders>
              <w:top w:val="single" w:sz="4" w:space="0" w:color="auto"/>
              <w:left w:val="nil"/>
              <w:bottom w:val="single" w:sz="4" w:space="0" w:color="auto"/>
              <w:right w:val="nil"/>
            </w:tcBorders>
            <w:shd w:val="clear" w:color="000000" w:fill="FFFFFF"/>
            <w:vAlign w:val="center"/>
            <w:hideMark/>
          </w:tcPr>
          <w:p w14:paraId="19DFA1B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Expenditures as % of operating budget</w:t>
            </w:r>
          </w:p>
        </w:tc>
        <w:tc>
          <w:tcPr>
            <w:tcW w:w="715" w:type="dxa"/>
            <w:tcBorders>
              <w:top w:val="single" w:sz="4" w:space="0" w:color="auto"/>
              <w:left w:val="nil"/>
              <w:bottom w:val="single" w:sz="4" w:space="0" w:color="auto"/>
              <w:right w:val="nil"/>
            </w:tcBorders>
            <w:shd w:val="clear" w:color="000000" w:fill="FFFFFF"/>
            <w:vAlign w:val="bottom"/>
            <w:hideMark/>
          </w:tcPr>
          <w:p w14:paraId="334B21E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Federal Funds obligations</w:t>
            </w:r>
          </w:p>
        </w:tc>
        <w:tc>
          <w:tcPr>
            <w:tcW w:w="824" w:type="dxa"/>
            <w:tcBorders>
              <w:top w:val="single" w:sz="4" w:space="0" w:color="auto"/>
              <w:left w:val="nil"/>
              <w:bottom w:val="single" w:sz="4" w:space="0" w:color="auto"/>
              <w:right w:val="nil"/>
            </w:tcBorders>
            <w:shd w:val="clear" w:color="000000" w:fill="FFFFFF"/>
            <w:vAlign w:val="bottom"/>
            <w:hideMark/>
          </w:tcPr>
          <w:p w14:paraId="6461490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Expenditures as % of obligations</w:t>
            </w:r>
          </w:p>
        </w:tc>
        <w:tc>
          <w:tcPr>
            <w:tcW w:w="833" w:type="dxa"/>
            <w:tcBorders>
              <w:top w:val="single" w:sz="4" w:space="0" w:color="auto"/>
              <w:left w:val="nil"/>
              <w:bottom w:val="single" w:sz="4" w:space="0" w:color="auto"/>
              <w:right w:val="nil"/>
            </w:tcBorders>
            <w:shd w:val="clear" w:color="000000" w:fill="FFFFFF"/>
            <w:vAlign w:val="bottom"/>
            <w:hideMark/>
          </w:tcPr>
          <w:p w14:paraId="033B79C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Sponsoring agency obligations</w:t>
            </w:r>
          </w:p>
        </w:tc>
        <w:tc>
          <w:tcPr>
            <w:tcW w:w="851" w:type="dxa"/>
            <w:tcBorders>
              <w:top w:val="single" w:sz="4" w:space="0" w:color="auto"/>
              <w:left w:val="nil"/>
              <w:bottom w:val="single" w:sz="4" w:space="0" w:color="auto"/>
              <w:right w:val="nil"/>
            </w:tcBorders>
            <w:shd w:val="clear" w:color="000000" w:fill="FFFFFF"/>
            <w:vAlign w:val="bottom"/>
            <w:hideMark/>
          </w:tcPr>
          <w:p w14:paraId="1BBB477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xml:space="preserve">% </w:t>
            </w:r>
            <w:proofErr w:type="gramStart"/>
            <w:r w:rsidRPr="00AA0ED8">
              <w:rPr>
                <w:rFonts w:ascii="Arial Narrow" w:hAnsi="Arial Narrow"/>
                <w:color w:val="000000"/>
                <w:spacing w:val="0"/>
                <w:sz w:val="16"/>
                <w:szCs w:val="16"/>
              </w:rPr>
              <w:t>from</w:t>
            </w:r>
            <w:proofErr w:type="gramEnd"/>
            <w:r w:rsidRPr="00AA0ED8">
              <w:rPr>
                <w:rFonts w:ascii="Arial Narrow" w:hAnsi="Arial Narrow"/>
                <w:color w:val="000000"/>
                <w:spacing w:val="0"/>
                <w:sz w:val="16"/>
                <w:szCs w:val="16"/>
              </w:rPr>
              <w:t xml:space="preserve"> sponsoring agency</w:t>
            </w:r>
          </w:p>
        </w:tc>
        <w:tc>
          <w:tcPr>
            <w:tcW w:w="913" w:type="dxa"/>
            <w:tcBorders>
              <w:top w:val="single" w:sz="4" w:space="0" w:color="auto"/>
              <w:left w:val="nil"/>
              <w:bottom w:val="single" w:sz="4" w:space="0" w:color="auto"/>
              <w:right w:val="nil"/>
            </w:tcBorders>
            <w:shd w:val="clear" w:color="000000" w:fill="FFFFFF"/>
            <w:vAlign w:val="bottom"/>
            <w:hideMark/>
          </w:tcPr>
          <w:p w14:paraId="7AB0A1D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Expenditures</w:t>
            </w:r>
            <w:r>
              <w:rPr>
                <w:rFonts w:ascii="Arial Narrow" w:hAnsi="Arial Narrow"/>
                <w:color w:val="000000"/>
                <w:spacing w:val="0"/>
                <w:sz w:val="16"/>
                <w:szCs w:val="16"/>
              </w:rPr>
              <w:t xml:space="preserve"> minus o</w:t>
            </w:r>
            <w:r w:rsidRPr="00AA0ED8">
              <w:rPr>
                <w:rFonts w:ascii="Arial Narrow" w:hAnsi="Arial Narrow"/>
                <w:color w:val="000000"/>
                <w:spacing w:val="0"/>
                <w:sz w:val="16"/>
                <w:szCs w:val="16"/>
              </w:rPr>
              <w:t>bligations</w:t>
            </w:r>
          </w:p>
        </w:tc>
      </w:tr>
      <w:tr w:rsidR="00F56B8C" w:rsidRPr="00AA0ED8" w14:paraId="3D008386" w14:textId="77777777" w:rsidTr="00786973">
        <w:trPr>
          <w:trHeight w:val="225"/>
        </w:trPr>
        <w:tc>
          <w:tcPr>
            <w:tcW w:w="3113" w:type="dxa"/>
            <w:tcBorders>
              <w:top w:val="nil"/>
              <w:left w:val="nil"/>
              <w:bottom w:val="nil"/>
              <w:right w:val="nil"/>
            </w:tcBorders>
            <w:shd w:val="clear" w:color="000000" w:fill="FFFFFF"/>
            <w:vAlign w:val="center"/>
            <w:hideMark/>
          </w:tcPr>
          <w:p w14:paraId="755F66EC"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All FFRDCs</w:t>
            </w:r>
          </w:p>
        </w:tc>
        <w:tc>
          <w:tcPr>
            <w:tcW w:w="810" w:type="dxa"/>
            <w:tcBorders>
              <w:top w:val="nil"/>
              <w:left w:val="nil"/>
              <w:bottom w:val="nil"/>
              <w:right w:val="nil"/>
            </w:tcBorders>
            <w:shd w:val="clear" w:color="000000" w:fill="FFFFFF"/>
            <w:noWrap/>
            <w:vAlign w:val="bottom"/>
            <w:hideMark/>
          </w:tcPr>
          <w:p w14:paraId="67FC611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17,446,036</w:t>
            </w:r>
          </w:p>
        </w:tc>
        <w:tc>
          <w:tcPr>
            <w:tcW w:w="793" w:type="dxa"/>
            <w:tcBorders>
              <w:top w:val="nil"/>
              <w:left w:val="nil"/>
              <w:bottom w:val="nil"/>
              <w:right w:val="nil"/>
            </w:tcBorders>
            <w:shd w:val="clear" w:color="000000" w:fill="FFFFFF"/>
            <w:vAlign w:val="bottom"/>
            <w:hideMark/>
          </w:tcPr>
          <w:p w14:paraId="5824DAC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17,006,331</w:t>
            </w:r>
          </w:p>
        </w:tc>
        <w:tc>
          <w:tcPr>
            <w:tcW w:w="735" w:type="dxa"/>
            <w:tcBorders>
              <w:top w:val="nil"/>
              <w:left w:val="nil"/>
              <w:bottom w:val="nil"/>
              <w:right w:val="nil"/>
            </w:tcBorders>
            <w:shd w:val="clear" w:color="000000" w:fill="FFFFFF"/>
            <w:noWrap/>
            <w:vAlign w:val="bottom"/>
            <w:hideMark/>
          </w:tcPr>
          <w:p w14:paraId="18E941E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19,019,629</w:t>
            </w:r>
          </w:p>
        </w:tc>
        <w:tc>
          <w:tcPr>
            <w:tcW w:w="966" w:type="dxa"/>
            <w:tcBorders>
              <w:top w:val="nil"/>
              <w:left w:val="nil"/>
              <w:bottom w:val="nil"/>
              <w:right w:val="nil"/>
            </w:tcBorders>
            <w:shd w:val="clear" w:color="000000" w:fill="FFFFFF"/>
            <w:noWrap/>
            <w:vAlign w:val="bottom"/>
            <w:hideMark/>
          </w:tcPr>
          <w:p w14:paraId="47923DA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89.4</w:t>
            </w:r>
          </w:p>
        </w:tc>
        <w:tc>
          <w:tcPr>
            <w:tcW w:w="715" w:type="dxa"/>
            <w:tcBorders>
              <w:top w:val="nil"/>
              <w:left w:val="nil"/>
              <w:bottom w:val="nil"/>
              <w:right w:val="nil"/>
            </w:tcBorders>
            <w:shd w:val="clear" w:color="000000" w:fill="FFFFFF"/>
            <w:vAlign w:val="bottom"/>
            <w:hideMark/>
          </w:tcPr>
          <w:p w14:paraId="5054A18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10,058,078</w:t>
            </w:r>
          </w:p>
        </w:tc>
        <w:tc>
          <w:tcPr>
            <w:tcW w:w="824" w:type="dxa"/>
            <w:tcBorders>
              <w:top w:val="nil"/>
              <w:left w:val="nil"/>
              <w:bottom w:val="nil"/>
              <w:right w:val="nil"/>
            </w:tcBorders>
            <w:shd w:val="clear" w:color="000000" w:fill="FFFFFF"/>
            <w:vAlign w:val="bottom"/>
            <w:hideMark/>
          </w:tcPr>
          <w:p w14:paraId="59C5EB7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169.1</w:t>
            </w:r>
          </w:p>
        </w:tc>
        <w:tc>
          <w:tcPr>
            <w:tcW w:w="833" w:type="dxa"/>
            <w:tcBorders>
              <w:top w:val="nil"/>
              <w:left w:val="nil"/>
              <w:bottom w:val="nil"/>
              <w:right w:val="nil"/>
            </w:tcBorders>
            <w:shd w:val="clear" w:color="000000" w:fill="FFFFFF"/>
            <w:noWrap/>
            <w:vAlign w:val="bottom"/>
            <w:hideMark/>
          </w:tcPr>
          <w:p w14:paraId="18E8421A" w14:textId="77777777" w:rsidR="00F56B8C" w:rsidRPr="00AA0ED8" w:rsidRDefault="00F56B8C" w:rsidP="00786973">
            <w:pPr>
              <w:jc w:val="right"/>
              <w:rPr>
                <w:rFonts w:ascii="Arial Narrow" w:hAnsi="Arial Narrow"/>
                <w:spacing w:val="0"/>
                <w:sz w:val="16"/>
                <w:szCs w:val="16"/>
              </w:rPr>
            </w:pPr>
            <w:proofErr w:type="spellStart"/>
            <w:proofErr w:type="gramStart"/>
            <w:r w:rsidRPr="00AA0ED8">
              <w:rPr>
                <w:rFonts w:ascii="Arial Narrow" w:hAnsi="Arial Narrow"/>
                <w:spacing w:val="0"/>
                <w:sz w:val="16"/>
                <w:szCs w:val="16"/>
              </w:rPr>
              <w:t>na</w:t>
            </w:r>
            <w:proofErr w:type="spellEnd"/>
            <w:proofErr w:type="gramEnd"/>
          </w:p>
        </w:tc>
        <w:tc>
          <w:tcPr>
            <w:tcW w:w="851" w:type="dxa"/>
            <w:tcBorders>
              <w:top w:val="nil"/>
              <w:left w:val="nil"/>
              <w:bottom w:val="nil"/>
              <w:right w:val="nil"/>
            </w:tcBorders>
            <w:shd w:val="clear" w:color="000000" w:fill="FFFFFF"/>
            <w:noWrap/>
            <w:vAlign w:val="bottom"/>
            <w:hideMark/>
          </w:tcPr>
          <w:p w14:paraId="213CA68E" w14:textId="77777777" w:rsidR="00F56B8C" w:rsidRPr="00AA0ED8" w:rsidRDefault="00F56B8C" w:rsidP="00786973">
            <w:pPr>
              <w:jc w:val="right"/>
              <w:rPr>
                <w:rFonts w:ascii="Arial Narrow" w:hAnsi="Arial Narrow"/>
                <w:spacing w:val="0"/>
                <w:sz w:val="16"/>
                <w:szCs w:val="16"/>
              </w:rPr>
            </w:pPr>
            <w:proofErr w:type="spellStart"/>
            <w:proofErr w:type="gramStart"/>
            <w:r w:rsidRPr="00AA0ED8">
              <w:rPr>
                <w:rFonts w:ascii="Arial Narrow" w:hAnsi="Arial Narrow"/>
                <w:spacing w:val="0"/>
                <w:sz w:val="16"/>
                <w:szCs w:val="16"/>
              </w:rPr>
              <w:t>na</w:t>
            </w:r>
            <w:proofErr w:type="spellEnd"/>
            <w:proofErr w:type="gramEnd"/>
          </w:p>
        </w:tc>
        <w:tc>
          <w:tcPr>
            <w:tcW w:w="913" w:type="dxa"/>
            <w:tcBorders>
              <w:top w:val="nil"/>
              <w:left w:val="nil"/>
              <w:bottom w:val="nil"/>
              <w:right w:val="nil"/>
            </w:tcBorders>
            <w:shd w:val="clear" w:color="000000" w:fill="FFFFFF"/>
            <w:noWrap/>
            <w:vAlign w:val="bottom"/>
            <w:hideMark/>
          </w:tcPr>
          <w:p w14:paraId="2ECE578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6,948,253</w:t>
            </w:r>
          </w:p>
        </w:tc>
      </w:tr>
      <w:tr w:rsidR="00F56B8C" w:rsidRPr="00AA0ED8" w14:paraId="2CE2DC41" w14:textId="77777777" w:rsidTr="00786973">
        <w:trPr>
          <w:trHeight w:val="190"/>
        </w:trPr>
        <w:tc>
          <w:tcPr>
            <w:tcW w:w="3113" w:type="dxa"/>
            <w:tcBorders>
              <w:top w:val="nil"/>
              <w:left w:val="nil"/>
              <w:bottom w:val="nil"/>
              <w:right w:val="nil"/>
            </w:tcBorders>
            <w:shd w:val="clear" w:color="000000" w:fill="FFFFFF"/>
            <w:vAlign w:val="center"/>
            <w:hideMark/>
          </w:tcPr>
          <w:p w14:paraId="57C28F55"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DOD sponsored</w:t>
            </w:r>
          </w:p>
        </w:tc>
        <w:tc>
          <w:tcPr>
            <w:tcW w:w="810" w:type="dxa"/>
            <w:tcBorders>
              <w:top w:val="nil"/>
              <w:left w:val="nil"/>
              <w:bottom w:val="nil"/>
              <w:right w:val="nil"/>
            </w:tcBorders>
            <w:shd w:val="clear" w:color="000000" w:fill="FFFFFF"/>
            <w:noWrap/>
            <w:vAlign w:val="bottom"/>
            <w:hideMark/>
          </w:tcPr>
          <w:p w14:paraId="5E01A00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7F65C2F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7DF5C9C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594A08B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083C59D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0E4EC03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7E31635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47BCB42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2D583B2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274326EE" w14:textId="77777777" w:rsidTr="00786973">
        <w:trPr>
          <w:trHeight w:val="225"/>
        </w:trPr>
        <w:tc>
          <w:tcPr>
            <w:tcW w:w="3113" w:type="dxa"/>
            <w:tcBorders>
              <w:top w:val="nil"/>
              <w:left w:val="nil"/>
              <w:bottom w:val="nil"/>
              <w:right w:val="nil"/>
            </w:tcBorders>
            <w:shd w:val="clear" w:color="000000" w:fill="FFFFFF"/>
            <w:vAlign w:val="center"/>
            <w:hideMark/>
          </w:tcPr>
          <w:p w14:paraId="16287837"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Aerospace FFRDC</w:t>
            </w:r>
            <w:bookmarkStart w:id="1" w:name="_GoBack"/>
            <w:bookmarkEnd w:id="1"/>
          </w:p>
        </w:tc>
        <w:tc>
          <w:tcPr>
            <w:tcW w:w="810" w:type="dxa"/>
            <w:tcBorders>
              <w:top w:val="nil"/>
              <w:left w:val="nil"/>
              <w:bottom w:val="nil"/>
              <w:right w:val="nil"/>
            </w:tcBorders>
            <w:shd w:val="clear" w:color="000000" w:fill="FFFFFF"/>
            <w:noWrap/>
            <w:vAlign w:val="bottom"/>
            <w:hideMark/>
          </w:tcPr>
          <w:p w14:paraId="29989E3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39,746</w:t>
            </w:r>
          </w:p>
        </w:tc>
        <w:tc>
          <w:tcPr>
            <w:tcW w:w="793" w:type="dxa"/>
            <w:tcBorders>
              <w:top w:val="nil"/>
              <w:left w:val="nil"/>
              <w:bottom w:val="nil"/>
              <w:right w:val="nil"/>
            </w:tcBorders>
            <w:shd w:val="clear" w:color="000000" w:fill="FFFFFF"/>
            <w:vAlign w:val="bottom"/>
            <w:hideMark/>
          </w:tcPr>
          <w:p w14:paraId="5EFA5B5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1,351</w:t>
            </w:r>
          </w:p>
        </w:tc>
        <w:tc>
          <w:tcPr>
            <w:tcW w:w="735" w:type="dxa"/>
            <w:tcBorders>
              <w:top w:val="nil"/>
              <w:left w:val="nil"/>
              <w:bottom w:val="nil"/>
              <w:right w:val="nil"/>
            </w:tcBorders>
            <w:shd w:val="clear" w:color="000000" w:fill="FFFFFF"/>
            <w:noWrap/>
            <w:vAlign w:val="bottom"/>
            <w:hideMark/>
          </w:tcPr>
          <w:p w14:paraId="458F6E7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902,600</w:t>
            </w:r>
          </w:p>
        </w:tc>
        <w:tc>
          <w:tcPr>
            <w:tcW w:w="966" w:type="dxa"/>
            <w:tcBorders>
              <w:top w:val="nil"/>
              <w:left w:val="nil"/>
              <w:bottom w:val="nil"/>
              <w:right w:val="nil"/>
            </w:tcBorders>
            <w:shd w:val="clear" w:color="000000" w:fill="FFFFFF"/>
            <w:noWrap/>
            <w:vAlign w:val="bottom"/>
            <w:hideMark/>
          </w:tcPr>
          <w:p w14:paraId="2A8D1B0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0.1</w:t>
            </w:r>
          </w:p>
        </w:tc>
        <w:tc>
          <w:tcPr>
            <w:tcW w:w="715" w:type="dxa"/>
            <w:tcBorders>
              <w:top w:val="nil"/>
              <w:left w:val="nil"/>
              <w:bottom w:val="nil"/>
              <w:right w:val="nil"/>
            </w:tcBorders>
            <w:shd w:val="clear" w:color="000000" w:fill="FFFFFF"/>
            <w:vAlign w:val="bottom"/>
            <w:hideMark/>
          </w:tcPr>
          <w:p w14:paraId="0253A36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173,259</w:t>
            </w:r>
          </w:p>
        </w:tc>
        <w:tc>
          <w:tcPr>
            <w:tcW w:w="824" w:type="dxa"/>
            <w:tcBorders>
              <w:top w:val="nil"/>
              <w:left w:val="nil"/>
              <w:bottom w:val="nil"/>
              <w:right w:val="nil"/>
            </w:tcBorders>
            <w:shd w:val="clear" w:color="000000" w:fill="FFFFFF"/>
            <w:vAlign w:val="bottom"/>
            <w:hideMark/>
          </w:tcPr>
          <w:p w14:paraId="5DB1876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0.8</w:t>
            </w:r>
          </w:p>
        </w:tc>
        <w:tc>
          <w:tcPr>
            <w:tcW w:w="833" w:type="dxa"/>
            <w:tcBorders>
              <w:top w:val="nil"/>
              <w:left w:val="nil"/>
              <w:bottom w:val="nil"/>
              <w:right w:val="nil"/>
            </w:tcBorders>
            <w:shd w:val="clear" w:color="000000" w:fill="FFFFFF"/>
            <w:vAlign w:val="bottom"/>
            <w:hideMark/>
          </w:tcPr>
          <w:p w14:paraId="7EA46F7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159,970</w:t>
            </w:r>
          </w:p>
        </w:tc>
        <w:tc>
          <w:tcPr>
            <w:tcW w:w="851" w:type="dxa"/>
            <w:tcBorders>
              <w:top w:val="nil"/>
              <w:left w:val="nil"/>
              <w:bottom w:val="nil"/>
              <w:right w:val="nil"/>
            </w:tcBorders>
            <w:shd w:val="clear" w:color="000000" w:fill="FFFFFF"/>
            <w:noWrap/>
            <w:vAlign w:val="bottom"/>
            <w:hideMark/>
          </w:tcPr>
          <w:p w14:paraId="0554C1B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92.3</w:t>
            </w:r>
          </w:p>
        </w:tc>
        <w:tc>
          <w:tcPr>
            <w:tcW w:w="913" w:type="dxa"/>
            <w:tcBorders>
              <w:top w:val="nil"/>
              <w:left w:val="nil"/>
              <w:bottom w:val="nil"/>
              <w:right w:val="nil"/>
            </w:tcBorders>
            <w:shd w:val="clear" w:color="000000" w:fill="FFFFFF"/>
            <w:noWrap/>
            <w:vAlign w:val="bottom"/>
            <w:hideMark/>
          </w:tcPr>
          <w:p w14:paraId="1F980D4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-171,908</w:t>
            </w:r>
          </w:p>
        </w:tc>
      </w:tr>
      <w:tr w:rsidR="00F56B8C" w:rsidRPr="00AA0ED8" w14:paraId="220BBC2B" w14:textId="77777777" w:rsidTr="00786973">
        <w:trPr>
          <w:trHeight w:val="225"/>
        </w:trPr>
        <w:tc>
          <w:tcPr>
            <w:tcW w:w="3113" w:type="dxa"/>
            <w:tcBorders>
              <w:top w:val="nil"/>
              <w:left w:val="nil"/>
              <w:bottom w:val="nil"/>
              <w:right w:val="nil"/>
            </w:tcBorders>
            <w:shd w:val="clear" w:color="000000" w:fill="FFFFFF"/>
            <w:vAlign w:val="center"/>
            <w:hideMark/>
          </w:tcPr>
          <w:p w14:paraId="563937C6"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Project Air Force</w:t>
            </w:r>
          </w:p>
        </w:tc>
        <w:tc>
          <w:tcPr>
            <w:tcW w:w="810" w:type="dxa"/>
            <w:tcBorders>
              <w:top w:val="nil"/>
              <w:left w:val="nil"/>
              <w:bottom w:val="nil"/>
              <w:right w:val="nil"/>
            </w:tcBorders>
            <w:shd w:val="clear" w:color="000000" w:fill="FFFFFF"/>
            <w:noWrap/>
            <w:vAlign w:val="bottom"/>
            <w:hideMark/>
          </w:tcPr>
          <w:p w14:paraId="6C1D93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41,031</w:t>
            </w:r>
          </w:p>
        </w:tc>
        <w:tc>
          <w:tcPr>
            <w:tcW w:w="793" w:type="dxa"/>
            <w:tcBorders>
              <w:top w:val="nil"/>
              <w:left w:val="nil"/>
              <w:bottom w:val="nil"/>
              <w:right w:val="nil"/>
            </w:tcBorders>
            <w:shd w:val="clear" w:color="000000" w:fill="FFFFFF"/>
            <w:vAlign w:val="bottom"/>
            <w:hideMark/>
          </w:tcPr>
          <w:p w14:paraId="45AD970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41,031</w:t>
            </w:r>
          </w:p>
        </w:tc>
        <w:tc>
          <w:tcPr>
            <w:tcW w:w="735" w:type="dxa"/>
            <w:tcBorders>
              <w:top w:val="nil"/>
              <w:left w:val="nil"/>
              <w:bottom w:val="nil"/>
              <w:right w:val="nil"/>
            </w:tcBorders>
            <w:shd w:val="clear" w:color="000000" w:fill="FFFFFF"/>
            <w:noWrap/>
            <w:vAlign w:val="bottom"/>
            <w:hideMark/>
          </w:tcPr>
          <w:p w14:paraId="2F88176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41,031</w:t>
            </w:r>
          </w:p>
        </w:tc>
        <w:tc>
          <w:tcPr>
            <w:tcW w:w="966" w:type="dxa"/>
            <w:tcBorders>
              <w:top w:val="nil"/>
              <w:left w:val="nil"/>
              <w:bottom w:val="nil"/>
              <w:right w:val="nil"/>
            </w:tcBorders>
            <w:shd w:val="clear" w:color="000000" w:fill="FFFFFF"/>
            <w:noWrap/>
            <w:vAlign w:val="bottom"/>
            <w:hideMark/>
          </w:tcPr>
          <w:p w14:paraId="12F689C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1711974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1,049</w:t>
            </w:r>
          </w:p>
        </w:tc>
        <w:tc>
          <w:tcPr>
            <w:tcW w:w="824" w:type="dxa"/>
            <w:tcBorders>
              <w:top w:val="nil"/>
              <w:left w:val="nil"/>
              <w:bottom w:val="nil"/>
              <w:right w:val="nil"/>
            </w:tcBorders>
            <w:shd w:val="clear" w:color="000000" w:fill="FFFFFF"/>
            <w:vAlign w:val="bottom"/>
            <w:hideMark/>
          </w:tcPr>
          <w:p w14:paraId="18E63B4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3,911.4</w:t>
            </w:r>
          </w:p>
        </w:tc>
        <w:tc>
          <w:tcPr>
            <w:tcW w:w="833" w:type="dxa"/>
            <w:tcBorders>
              <w:top w:val="nil"/>
              <w:left w:val="nil"/>
              <w:bottom w:val="nil"/>
              <w:right w:val="nil"/>
            </w:tcBorders>
            <w:shd w:val="clear" w:color="000000" w:fill="FFFFFF"/>
            <w:vAlign w:val="bottom"/>
            <w:hideMark/>
          </w:tcPr>
          <w:p w14:paraId="537D695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1,049</w:t>
            </w:r>
          </w:p>
        </w:tc>
        <w:tc>
          <w:tcPr>
            <w:tcW w:w="851" w:type="dxa"/>
            <w:tcBorders>
              <w:top w:val="nil"/>
              <w:left w:val="nil"/>
              <w:bottom w:val="nil"/>
              <w:right w:val="nil"/>
            </w:tcBorders>
            <w:shd w:val="clear" w:color="000000" w:fill="FFFFFF"/>
            <w:noWrap/>
            <w:vAlign w:val="bottom"/>
            <w:hideMark/>
          </w:tcPr>
          <w:p w14:paraId="0D3DFD5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1E2C3C2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39,982</w:t>
            </w:r>
          </w:p>
        </w:tc>
      </w:tr>
      <w:tr w:rsidR="00F56B8C" w:rsidRPr="00AA0ED8" w14:paraId="522B3CCA" w14:textId="77777777" w:rsidTr="00786973">
        <w:trPr>
          <w:trHeight w:val="225"/>
        </w:trPr>
        <w:tc>
          <w:tcPr>
            <w:tcW w:w="3113" w:type="dxa"/>
            <w:tcBorders>
              <w:top w:val="nil"/>
              <w:left w:val="nil"/>
              <w:bottom w:val="nil"/>
              <w:right w:val="nil"/>
            </w:tcBorders>
            <w:shd w:val="clear" w:color="000000" w:fill="FFFFFF"/>
            <w:vAlign w:val="center"/>
            <w:hideMark/>
          </w:tcPr>
          <w:p w14:paraId="373E92F7"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Arroyo Ctr.</w:t>
            </w:r>
          </w:p>
        </w:tc>
        <w:tc>
          <w:tcPr>
            <w:tcW w:w="810" w:type="dxa"/>
            <w:tcBorders>
              <w:top w:val="nil"/>
              <w:left w:val="nil"/>
              <w:bottom w:val="nil"/>
              <w:right w:val="nil"/>
            </w:tcBorders>
            <w:shd w:val="clear" w:color="000000" w:fill="FFFFFF"/>
            <w:noWrap/>
            <w:vAlign w:val="bottom"/>
            <w:hideMark/>
          </w:tcPr>
          <w:p w14:paraId="7698E34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31,278</w:t>
            </w:r>
          </w:p>
        </w:tc>
        <w:tc>
          <w:tcPr>
            <w:tcW w:w="793" w:type="dxa"/>
            <w:tcBorders>
              <w:top w:val="nil"/>
              <w:left w:val="nil"/>
              <w:bottom w:val="nil"/>
              <w:right w:val="nil"/>
            </w:tcBorders>
            <w:shd w:val="clear" w:color="000000" w:fill="FFFFFF"/>
            <w:vAlign w:val="bottom"/>
            <w:hideMark/>
          </w:tcPr>
          <w:p w14:paraId="6254C51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31,278</w:t>
            </w:r>
          </w:p>
        </w:tc>
        <w:tc>
          <w:tcPr>
            <w:tcW w:w="735" w:type="dxa"/>
            <w:tcBorders>
              <w:top w:val="nil"/>
              <w:left w:val="nil"/>
              <w:bottom w:val="nil"/>
              <w:right w:val="nil"/>
            </w:tcBorders>
            <w:shd w:val="clear" w:color="000000" w:fill="FFFFFF"/>
            <w:noWrap/>
            <w:vAlign w:val="bottom"/>
            <w:hideMark/>
          </w:tcPr>
          <w:p w14:paraId="691994D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31,278</w:t>
            </w:r>
          </w:p>
        </w:tc>
        <w:tc>
          <w:tcPr>
            <w:tcW w:w="966" w:type="dxa"/>
            <w:tcBorders>
              <w:top w:val="nil"/>
              <w:left w:val="nil"/>
              <w:bottom w:val="nil"/>
              <w:right w:val="nil"/>
            </w:tcBorders>
            <w:shd w:val="clear" w:color="000000" w:fill="FFFFFF"/>
            <w:noWrap/>
            <w:vAlign w:val="bottom"/>
            <w:hideMark/>
          </w:tcPr>
          <w:p w14:paraId="156ED5C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580B90C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22,142</w:t>
            </w:r>
          </w:p>
        </w:tc>
        <w:tc>
          <w:tcPr>
            <w:tcW w:w="824" w:type="dxa"/>
            <w:tcBorders>
              <w:top w:val="nil"/>
              <w:left w:val="nil"/>
              <w:bottom w:val="nil"/>
              <w:right w:val="nil"/>
            </w:tcBorders>
            <w:shd w:val="clear" w:color="000000" w:fill="FFFFFF"/>
            <w:vAlign w:val="bottom"/>
            <w:hideMark/>
          </w:tcPr>
          <w:p w14:paraId="4EBCF9B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141.3</w:t>
            </w:r>
          </w:p>
        </w:tc>
        <w:tc>
          <w:tcPr>
            <w:tcW w:w="833" w:type="dxa"/>
            <w:tcBorders>
              <w:top w:val="nil"/>
              <w:left w:val="nil"/>
              <w:bottom w:val="nil"/>
              <w:right w:val="nil"/>
            </w:tcBorders>
            <w:shd w:val="clear" w:color="000000" w:fill="FFFFFF"/>
            <w:vAlign w:val="bottom"/>
            <w:hideMark/>
          </w:tcPr>
          <w:p w14:paraId="42C4541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22,142</w:t>
            </w:r>
          </w:p>
        </w:tc>
        <w:tc>
          <w:tcPr>
            <w:tcW w:w="851" w:type="dxa"/>
            <w:tcBorders>
              <w:top w:val="nil"/>
              <w:left w:val="nil"/>
              <w:bottom w:val="nil"/>
              <w:right w:val="nil"/>
            </w:tcBorders>
            <w:shd w:val="clear" w:color="000000" w:fill="FFFFFF"/>
            <w:noWrap/>
            <w:vAlign w:val="bottom"/>
            <w:hideMark/>
          </w:tcPr>
          <w:p w14:paraId="00D9FCA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45BF2CE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9,136</w:t>
            </w:r>
          </w:p>
        </w:tc>
      </w:tr>
      <w:tr w:rsidR="00F56B8C" w:rsidRPr="00AA0ED8" w14:paraId="5BAF048F" w14:textId="77777777" w:rsidTr="00786973">
        <w:trPr>
          <w:trHeight w:val="225"/>
        </w:trPr>
        <w:tc>
          <w:tcPr>
            <w:tcW w:w="3113" w:type="dxa"/>
            <w:tcBorders>
              <w:top w:val="nil"/>
              <w:left w:val="nil"/>
              <w:bottom w:val="nil"/>
              <w:right w:val="nil"/>
            </w:tcBorders>
            <w:shd w:val="clear" w:color="000000" w:fill="FFFFFF"/>
            <w:vAlign w:val="center"/>
            <w:hideMark/>
          </w:tcPr>
          <w:p w14:paraId="5FC7FBA1"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Ctr. for Naval Analyses</w:t>
            </w:r>
          </w:p>
        </w:tc>
        <w:tc>
          <w:tcPr>
            <w:tcW w:w="810" w:type="dxa"/>
            <w:tcBorders>
              <w:top w:val="nil"/>
              <w:left w:val="nil"/>
              <w:bottom w:val="nil"/>
              <w:right w:val="nil"/>
            </w:tcBorders>
            <w:shd w:val="clear" w:color="000000" w:fill="FFFFFF"/>
            <w:noWrap/>
            <w:vAlign w:val="bottom"/>
            <w:hideMark/>
          </w:tcPr>
          <w:p w14:paraId="160D3F0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91,628</w:t>
            </w:r>
          </w:p>
        </w:tc>
        <w:tc>
          <w:tcPr>
            <w:tcW w:w="793" w:type="dxa"/>
            <w:tcBorders>
              <w:top w:val="nil"/>
              <w:left w:val="nil"/>
              <w:bottom w:val="nil"/>
              <w:right w:val="nil"/>
            </w:tcBorders>
            <w:shd w:val="clear" w:color="000000" w:fill="FFFFFF"/>
            <w:vAlign w:val="bottom"/>
            <w:hideMark/>
          </w:tcPr>
          <w:p w14:paraId="1538E7B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91,628</w:t>
            </w:r>
          </w:p>
        </w:tc>
        <w:tc>
          <w:tcPr>
            <w:tcW w:w="735" w:type="dxa"/>
            <w:tcBorders>
              <w:top w:val="nil"/>
              <w:left w:val="nil"/>
              <w:bottom w:val="nil"/>
              <w:right w:val="nil"/>
            </w:tcBorders>
            <w:shd w:val="clear" w:color="000000" w:fill="FFFFFF"/>
            <w:noWrap/>
            <w:vAlign w:val="bottom"/>
            <w:hideMark/>
          </w:tcPr>
          <w:p w14:paraId="431CF81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92,300</w:t>
            </w:r>
          </w:p>
        </w:tc>
        <w:tc>
          <w:tcPr>
            <w:tcW w:w="966" w:type="dxa"/>
            <w:tcBorders>
              <w:top w:val="nil"/>
              <w:left w:val="nil"/>
              <w:bottom w:val="nil"/>
              <w:right w:val="nil"/>
            </w:tcBorders>
            <w:shd w:val="clear" w:color="000000" w:fill="FFFFFF"/>
            <w:noWrap/>
            <w:vAlign w:val="bottom"/>
            <w:hideMark/>
          </w:tcPr>
          <w:p w14:paraId="4967850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99.3</w:t>
            </w:r>
          </w:p>
        </w:tc>
        <w:tc>
          <w:tcPr>
            <w:tcW w:w="715" w:type="dxa"/>
            <w:tcBorders>
              <w:top w:val="nil"/>
              <w:left w:val="nil"/>
              <w:bottom w:val="nil"/>
              <w:right w:val="nil"/>
            </w:tcBorders>
            <w:shd w:val="clear" w:color="000000" w:fill="FFFFFF"/>
            <w:vAlign w:val="bottom"/>
            <w:hideMark/>
          </w:tcPr>
          <w:p w14:paraId="2367D14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59,999</w:t>
            </w:r>
          </w:p>
        </w:tc>
        <w:tc>
          <w:tcPr>
            <w:tcW w:w="824" w:type="dxa"/>
            <w:tcBorders>
              <w:top w:val="nil"/>
              <w:left w:val="nil"/>
              <w:bottom w:val="nil"/>
              <w:right w:val="nil"/>
            </w:tcBorders>
            <w:shd w:val="clear" w:color="000000" w:fill="FFFFFF"/>
            <w:vAlign w:val="bottom"/>
            <w:hideMark/>
          </w:tcPr>
          <w:p w14:paraId="60D4B2A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152.7</w:t>
            </w:r>
          </w:p>
        </w:tc>
        <w:tc>
          <w:tcPr>
            <w:tcW w:w="833" w:type="dxa"/>
            <w:tcBorders>
              <w:top w:val="nil"/>
              <w:left w:val="nil"/>
              <w:bottom w:val="nil"/>
              <w:right w:val="nil"/>
            </w:tcBorders>
            <w:shd w:val="clear" w:color="000000" w:fill="FFFFFF"/>
            <w:vAlign w:val="bottom"/>
            <w:hideMark/>
          </w:tcPr>
          <w:p w14:paraId="5AD5FE3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59,999</w:t>
            </w:r>
          </w:p>
        </w:tc>
        <w:tc>
          <w:tcPr>
            <w:tcW w:w="851" w:type="dxa"/>
            <w:tcBorders>
              <w:top w:val="nil"/>
              <w:left w:val="nil"/>
              <w:bottom w:val="nil"/>
              <w:right w:val="nil"/>
            </w:tcBorders>
            <w:shd w:val="clear" w:color="000000" w:fill="FFFFFF"/>
            <w:noWrap/>
            <w:vAlign w:val="bottom"/>
            <w:hideMark/>
          </w:tcPr>
          <w:p w14:paraId="5E8760F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0AA0F3A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31,629</w:t>
            </w:r>
          </w:p>
        </w:tc>
      </w:tr>
      <w:tr w:rsidR="00F56B8C" w:rsidRPr="00AA0ED8" w14:paraId="035C3465" w14:textId="77777777" w:rsidTr="00786973">
        <w:trPr>
          <w:trHeight w:val="225"/>
        </w:trPr>
        <w:tc>
          <w:tcPr>
            <w:tcW w:w="3113" w:type="dxa"/>
            <w:tcBorders>
              <w:top w:val="nil"/>
              <w:left w:val="nil"/>
              <w:bottom w:val="nil"/>
              <w:right w:val="nil"/>
            </w:tcBorders>
            <w:shd w:val="clear" w:color="000000" w:fill="FFFFFF"/>
            <w:vAlign w:val="center"/>
            <w:hideMark/>
          </w:tcPr>
          <w:p w14:paraId="644ECE12"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Ctr. for Communications and Computing</w:t>
            </w:r>
          </w:p>
        </w:tc>
        <w:tc>
          <w:tcPr>
            <w:tcW w:w="810" w:type="dxa"/>
            <w:tcBorders>
              <w:top w:val="nil"/>
              <w:left w:val="nil"/>
              <w:bottom w:val="nil"/>
              <w:right w:val="nil"/>
            </w:tcBorders>
            <w:shd w:val="clear" w:color="000000" w:fill="FFFFFF"/>
            <w:noWrap/>
            <w:vAlign w:val="bottom"/>
            <w:hideMark/>
          </w:tcPr>
          <w:p w14:paraId="3E44668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62,600</w:t>
            </w:r>
          </w:p>
        </w:tc>
        <w:tc>
          <w:tcPr>
            <w:tcW w:w="793" w:type="dxa"/>
            <w:tcBorders>
              <w:top w:val="nil"/>
              <w:left w:val="nil"/>
              <w:bottom w:val="nil"/>
              <w:right w:val="nil"/>
            </w:tcBorders>
            <w:shd w:val="clear" w:color="000000" w:fill="FFFFFF"/>
            <w:vAlign w:val="bottom"/>
            <w:hideMark/>
          </w:tcPr>
          <w:p w14:paraId="611D0DC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62,600</w:t>
            </w:r>
          </w:p>
        </w:tc>
        <w:tc>
          <w:tcPr>
            <w:tcW w:w="735" w:type="dxa"/>
            <w:tcBorders>
              <w:top w:val="nil"/>
              <w:left w:val="nil"/>
              <w:bottom w:val="nil"/>
              <w:right w:val="nil"/>
            </w:tcBorders>
            <w:shd w:val="clear" w:color="000000" w:fill="FFFFFF"/>
            <w:noWrap/>
            <w:vAlign w:val="bottom"/>
            <w:hideMark/>
          </w:tcPr>
          <w:p w14:paraId="32A7280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62,600</w:t>
            </w:r>
          </w:p>
        </w:tc>
        <w:tc>
          <w:tcPr>
            <w:tcW w:w="966" w:type="dxa"/>
            <w:tcBorders>
              <w:top w:val="nil"/>
              <w:left w:val="nil"/>
              <w:bottom w:val="nil"/>
              <w:right w:val="nil"/>
            </w:tcBorders>
            <w:shd w:val="clear" w:color="000000" w:fill="FFFFFF"/>
            <w:noWrap/>
            <w:vAlign w:val="bottom"/>
            <w:hideMark/>
          </w:tcPr>
          <w:p w14:paraId="51B72AA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7AEBEC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4,994</w:t>
            </w:r>
          </w:p>
        </w:tc>
        <w:tc>
          <w:tcPr>
            <w:tcW w:w="824" w:type="dxa"/>
            <w:tcBorders>
              <w:top w:val="nil"/>
              <w:left w:val="nil"/>
              <w:bottom w:val="nil"/>
              <w:right w:val="nil"/>
            </w:tcBorders>
            <w:shd w:val="clear" w:color="000000" w:fill="FFFFFF"/>
            <w:vAlign w:val="bottom"/>
            <w:hideMark/>
          </w:tcPr>
          <w:p w14:paraId="47D0A4A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1,253.5</w:t>
            </w:r>
          </w:p>
        </w:tc>
        <w:tc>
          <w:tcPr>
            <w:tcW w:w="833" w:type="dxa"/>
            <w:tcBorders>
              <w:top w:val="nil"/>
              <w:left w:val="nil"/>
              <w:bottom w:val="nil"/>
              <w:right w:val="nil"/>
            </w:tcBorders>
            <w:shd w:val="clear" w:color="000000" w:fill="FFFFFF"/>
            <w:vAlign w:val="bottom"/>
            <w:hideMark/>
          </w:tcPr>
          <w:p w14:paraId="2A49BC4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4,994</w:t>
            </w:r>
          </w:p>
        </w:tc>
        <w:tc>
          <w:tcPr>
            <w:tcW w:w="851" w:type="dxa"/>
            <w:tcBorders>
              <w:top w:val="nil"/>
              <w:left w:val="nil"/>
              <w:bottom w:val="nil"/>
              <w:right w:val="nil"/>
            </w:tcBorders>
            <w:shd w:val="clear" w:color="000000" w:fill="FFFFFF"/>
            <w:noWrap/>
            <w:vAlign w:val="bottom"/>
            <w:hideMark/>
          </w:tcPr>
          <w:p w14:paraId="69C9350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6703443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57,606</w:t>
            </w:r>
          </w:p>
        </w:tc>
      </w:tr>
      <w:tr w:rsidR="00F56B8C" w:rsidRPr="00AA0ED8" w14:paraId="5F8CBF43" w14:textId="77777777" w:rsidTr="00786973">
        <w:trPr>
          <w:trHeight w:val="225"/>
        </w:trPr>
        <w:tc>
          <w:tcPr>
            <w:tcW w:w="3113" w:type="dxa"/>
            <w:tcBorders>
              <w:top w:val="nil"/>
              <w:left w:val="nil"/>
              <w:bottom w:val="nil"/>
              <w:right w:val="nil"/>
            </w:tcBorders>
            <w:shd w:val="clear" w:color="000000" w:fill="FFFFFF"/>
            <w:vAlign w:val="center"/>
            <w:hideMark/>
          </w:tcPr>
          <w:p w14:paraId="0352AE55"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Lincoln Lab.</w:t>
            </w:r>
          </w:p>
        </w:tc>
        <w:tc>
          <w:tcPr>
            <w:tcW w:w="810" w:type="dxa"/>
            <w:tcBorders>
              <w:top w:val="nil"/>
              <w:left w:val="nil"/>
              <w:bottom w:val="nil"/>
              <w:right w:val="nil"/>
            </w:tcBorders>
            <w:shd w:val="clear" w:color="000000" w:fill="FFFFFF"/>
            <w:noWrap/>
            <w:vAlign w:val="bottom"/>
            <w:hideMark/>
          </w:tcPr>
          <w:p w14:paraId="15F6A9B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873,104</w:t>
            </w:r>
          </w:p>
        </w:tc>
        <w:tc>
          <w:tcPr>
            <w:tcW w:w="793" w:type="dxa"/>
            <w:tcBorders>
              <w:top w:val="nil"/>
              <w:left w:val="nil"/>
              <w:bottom w:val="nil"/>
              <w:right w:val="nil"/>
            </w:tcBorders>
            <w:shd w:val="clear" w:color="000000" w:fill="FFFFFF"/>
            <w:vAlign w:val="bottom"/>
            <w:hideMark/>
          </w:tcPr>
          <w:p w14:paraId="32DA1CE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871,380</w:t>
            </w:r>
          </w:p>
        </w:tc>
        <w:tc>
          <w:tcPr>
            <w:tcW w:w="735" w:type="dxa"/>
            <w:tcBorders>
              <w:top w:val="nil"/>
              <w:left w:val="nil"/>
              <w:bottom w:val="nil"/>
              <w:right w:val="nil"/>
            </w:tcBorders>
            <w:shd w:val="clear" w:color="000000" w:fill="FFFFFF"/>
            <w:vAlign w:val="bottom"/>
            <w:hideMark/>
          </w:tcPr>
          <w:p w14:paraId="74940D6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NA</w:t>
            </w:r>
          </w:p>
        </w:tc>
        <w:tc>
          <w:tcPr>
            <w:tcW w:w="966" w:type="dxa"/>
            <w:tcBorders>
              <w:top w:val="nil"/>
              <w:left w:val="nil"/>
              <w:bottom w:val="nil"/>
              <w:right w:val="nil"/>
            </w:tcBorders>
            <w:shd w:val="clear" w:color="000000" w:fill="FFFFFF"/>
            <w:noWrap/>
            <w:vAlign w:val="bottom"/>
            <w:hideMark/>
          </w:tcPr>
          <w:p w14:paraId="6ED324C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NA</w:t>
            </w:r>
          </w:p>
        </w:tc>
        <w:tc>
          <w:tcPr>
            <w:tcW w:w="715" w:type="dxa"/>
            <w:tcBorders>
              <w:top w:val="nil"/>
              <w:left w:val="nil"/>
              <w:bottom w:val="nil"/>
              <w:right w:val="nil"/>
            </w:tcBorders>
            <w:shd w:val="clear" w:color="000000" w:fill="FFFFFF"/>
            <w:vAlign w:val="bottom"/>
            <w:hideMark/>
          </w:tcPr>
          <w:p w14:paraId="3537940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287,484</w:t>
            </w:r>
          </w:p>
        </w:tc>
        <w:tc>
          <w:tcPr>
            <w:tcW w:w="824" w:type="dxa"/>
            <w:tcBorders>
              <w:top w:val="nil"/>
              <w:left w:val="nil"/>
              <w:bottom w:val="nil"/>
              <w:right w:val="nil"/>
            </w:tcBorders>
            <w:shd w:val="clear" w:color="000000" w:fill="FFFFFF"/>
            <w:vAlign w:val="bottom"/>
            <w:hideMark/>
          </w:tcPr>
          <w:p w14:paraId="3036BC5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303.1</w:t>
            </w:r>
          </w:p>
        </w:tc>
        <w:tc>
          <w:tcPr>
            <w:tcW w:w="833" w:type="dxa"/>
            <w:tcBorders>
              <w:top w:val="nil"/>
              <w:left w:val="nil"/>
              <w:bottom w:val="nil"/>
              <w:right w:val="nil"/>
            </w:tcBorders>
            <w:shd w:val="clear" w:color="000000" w:fill="FFFFFF"/>
            <w:vAlign w:val="bottom"/>
            <w:hideMark/>
          </w:tcPr>
          <w:p w14:paraId="3EE5243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287,484</w:t>
            </w:r>
          </w:p>
        </w:tc>
        <w:tc>
          <w:tcPr>
            <w:tcW w:w="851" w:type="dxa"/>
            <w:tcBorders>
              <w:top w:val="nil"/>
              <w:left w:val="nil"/>
              <w:bottom w:val="nil"/>
              <w:right w:val="nil"/>
            </w:tcBorders>
            <w:shd w:val="clear" w:color="000000" w:fill="FFFFFF"/>
            <w:noWrap/>
            <w:vAlign w:val="bottom"/>
            <w:hideMark/>
          </w:tcPr>
          <w:p w14:paraId="77ABF39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1AAC50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583,896</w:t>
            </w:r>
          </w:p>
        </w:tc>
      </w:tr>
      <w:tr w:rsidR="00F56B8C" w:rsidRPr="00AA0ED8" w14:paraId="3F1B985D" w14:textId="77777777" w:rsidTr="00786973">
        <w:trPr>
          <w:trHeight w:val="225"/>
        </w:trPr>
        <w:tc>
          <w:tcPr>
            <w:tcW w:w="3113" w:type="dxa"/>
            <w:tcBorders>
              <w:top w:val="nil"/>
              <w:left w:val="nil"/>
              <w:bottom w:val="nil"/>
              <w:right w:val="nil"/>
            </w:tcBorders>
            <w:shd w:val="clear" w:color="000000" w:fill="FFFFFF"/>
            <w:vAlign w:val="center"/>
            <w:hideMark/>
          </w:tcPr>
          <w:p w14:paraId="35926347"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Security Engineering Ctr.</w:t>
            </w:r>
          </w:p>
        </w:tc>
        <w:tc>
          <w:tcPr>
            <w:tcW w:w="810" w:type="dxa"/>
            <w:tcBorders>
              <w:top w:val="nil"/>
              <w:left w:val="nil"/>
              <w:bottom w:val="nil"/>
              <w:right w:val="nil"/>
            </w:tcBorders>
            <w:shd w:val="clear" w:color="000000" w:fill="FFFFFF"/>
            <w:noWrap/>
            <w:vAlign w:val="bottom"/>
            <w:hideMark/>
          </w:tcPr>
          <w:p w14:paraId="4BF770E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946,737</w:t>
            </w:r>
          </w:p>
        </w:tc>
        <w:tc>
          <w:tcPr>
            <w:tcW w:w="793" w:type="dxa"/>
            <w:tcBorders>
              <w:top w:val="nil"/>
              <w:left w:val="nil"/>
              <w:bottom w:val="nil"/>
              <w:right w:val="nil"/>
            </w:tcBorders>
            <w:shd w:val="clear" w:color="000000" w:fill="FFFFFF"/>
            <w:vAlign w:val="bottom"/>
            <w:hideMark/>
          </w:tcPr>
          <w:p w14:paraId="6EB282F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946,737</w:t>
            </w:r>
          </w:p>
        </w:tc>
        <w:tc>
          <w:tcPr>
            <w:tcW w:w="735" w:type="dxa"/>
            <w:tcBorders>
              <w:top w:val="nil"/>
              <w:left w:val="nil"/>
              <w:bottom w:val="nil"/>
              <w:right w:val="nil"/>
            </w:tcBorders>
            <w:shd w:val="clear" w:color="000000" w:fill="FFFFFF"/>
            <w:noWrap/>
            <w:vAlign w:val="bottom"/>
            <w:hideMark/>
          </w:tcPr>
          <w:p w14:paraId="51580B8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946,737</w:t>
            </w:r>
          </w:p>
        </w:tc>
        <w:tc>
          <w:tcPr>
            <w:tcW w:w="966" w:type="dxa"/>
            <w:tcBorders>
              <w:top w:val="nil"/>
              <w:left w:val="nil"/>
              <w:bottom w:val="nil"/>
              <w:right w:val="nil"/>
            </w:tcBorders>
            <w:shd w:val="clear" w:color="000000" w:fill="FFFFFF"/>
            <w:noWrap/>
            <w:vAlign w:val="bottom"/>
            <w:hideMark/>
          </w:tcPr>
          <w:p w14:paraId="39BF68B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7F20845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182,114</w:t>
            </w:r>
          </w:p>
        </w:tc>
        <w:tc>
          <w:tcPr>
            <w:tcW w:w="824" w:type="dxa"/>
            <w:tcBorders>
              <w:top w:val="nil"/>
              <w:left w:val="nil"/>
              <w:bottom w:val="nil"/>
              <w:right w:val="nil"/>
            </w:tcBorders>
            <w:shd w:val="clear" w:color="000000" w:fill="FFFFFF"/>
            <w:vAlign w:val="bottom"/>
            <w:hideMark/>
          </w:tcPr>
          <w:p w14:paraId="1D833F8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519.9</w:t>
            </w:r>
          </w:p>
        </w:tc>
        <w:tc>
          <w:tcPr>
            <w:tcW w:w="833" w:type="dxa"/>
            <w:tcBorders>
              <w:top w:val="nil"/>
              <w:left w:val="nil"/>
              <w:bottom w:val="nil"/>
              <w:right w:val="nil"/>
            </w:tcBorders>
            <w:shd w:val="clear" w:color="000000" w:fill="FFFFFF"/>
            <w:vAlign w:val="bottom"/>
            <w:hideMark/>
          </w:tcPr>
          <w:p w14:paraId="4F29D49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182,114</w:t>
            </w:r>
          </w:p>
        </w:tc>
        <w:tc>
          <w:tcPr>
            <w:tcW w:w="851" w:type="dxa"/>
            <w:tcBorders>
              <w:top w:val="nil"/>
              <w:left w:val="nil"/>
              <w:bottom w:val="nil"/>
              <w:right w:val="nil"/>
            </w:tcBorders>
            <w:shd w:val="clear" w:color="000000" w:fill="FFFFFF"/>
            <w:noWrap/>
            <w:vAlign w:val="bottom"/>
            <w:hideMark/>
          </w:tcPr>
          <w:p w14:paraId="12CEADC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1DED993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764,623</w:t>
            </w:r>
          </w:p>
        </w:tc>
      </w:tr>
      <w:tr w:rsidR="00F56B8C" w:rsidRPr="00AA0ED8" w14:paraId="3566CC66" w14:textId="77777777" w:rsidTr="00786973">
        <w:trPr>
          <w:trHeight w:val="225"/>
        </w:trPr>
        <w:tc>
          <w:tcPr>
            <w:tcW w:w="3113" w:type="dxa"/>
            <w:tcBorders>
              <w:top w:val="nil"/>
              <w:left w:val="nil"/>
              <w:bottom w:val="nil"/>
              <w:right w:val="nil"/>
            </w:tcBorders>
            <w:shd w:val="clear" w:color="000000" w:fill="FFFFFF"/>
            <w:vAlign w:val="center"/>
            <w:hideMark/>
          </w:tcPr>
          <w:p w14:paraId="20B10945"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Software Engineering Institute</w:t>
            </w:r>
          </w:p>
        </w:tc>
        <w:tc>
          <w:tcPr>
            <w:tcW w:w="810" w:type="dxa"/>
            <w:tcBorders>
              <w:top w:val="nil"/>
              <w:left w:val="nil"/>
              <w:bottom w:val="nil"/>
              <w:right w:val="nil"/>
            </w:tcBorders>
            <w:shd w:val="clear" w:color="000000" w:fill="FFFFFF"/>
            <w:noWrap/>
            <w:vAlign w:val="bottom"/>
            <w:hideMark/>
          </w:tcPr>
          <w:p w14:paraId="42BD5B9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113,371</w:t>
            </w:r>
          </w:p>
        </w:tc>
        <w:tc>
          <w:tcPr>
            <w:tcW w:w="793" w:type="dxa"/>
            <w:tcBorders>
              <w:top w:val="nil"/>
              <w:left w:val="nil"/>
              <w:bottom w:val="nil"/>
              <w:right w:val="nil"/>
            </w:tcBorders>
            <w:shd w:val="clear" w:color="000000" w:fill="FFFFFF"/>
            <w:vAlign w:val="bottom"/>
            <w:hideMark/>
          </w:tcPr>
          <w:p w14:paraId="7570245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112,583</w:t>
            </w:r>
          </w:p>
        </w:tc>
        <w:tc>
          <w:tcPr>
            <w:tcW w:w="735" w:type="dxa"/>
            <w:tcBorders>
              <w:top w:val="nil"/>
              <w:left w:val="nil"/>
              <w:bottom w:val="nil"/>
              <w:right w:val="nil"/>
            </w:tcBorders>
            <w:shd w:val="clear" w:color="000000" w:fill="FFFFFF"/>
            <w:noWrap/>
            <w:vAlign w:val="bottom"/>
            <w:hideMark/>
          </w:tcPr>
          <w:p w14:paraId="6A2F386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113,371</w:t>
            </w:r>
          </w:p>
        </w:tc>
        <w:tc>
          <w:tcPr>
            <w:tcW w:w="966" w:type="dxa"/>
            <w:tcBorders>
              <w:top w:val="nil"/>
              <w:left w:val="nil"/>
              <w:bottom w:val="nil"/>
              <w:right w:val="nil"/>
            </w:tcBorders>
            <w:shd w:val="clear" w:color="000000" w:fill="FFFFFF"/>
            <w:noWrap/>
            <w:vAlign w:val="bottom"/>
            <w:hideMark/>
          </w:tcPr>
          <w:p w14:paraId="3093D21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99.3</w:t>
            </w:r>
          </w:p>
        </w:tc>
        <w:tc>
          <w:tcPr>
            <w:tcW w:w="715" w:type="dxa"/>
            <w:tcBorders>
              <w:top w:val="nil"/>
              <w:left w:val="nil"/>
              <w:bottom w:val="nil"/>
              <w:right w:val="nil"/>
            </w:tcBorders>
            <w:shd w:val="clear" w:color="000000" w:fill="FFFFFF"/>
            <w:vAlign w:val="bottom"/>
            <w:hideMark/>
          </w:tcPr>
          <w:p w14:paraId="31F05E5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28,852</w:t>
            </w:r>
          </w:p>
        </w:tc>
        <w:tc>
          <w:tcPr>
            <w:tcW w:w="824" w:type="dxa"/>
            <w:tcBorders>
              <w:top w:val="nil"/>
              <w:left w:val="nil"/>
              <w:bottom w:val="nil"/>
              <w:right w:val="nil"/>
            </w:tcBorders>
            <w:shd w:val="clear" w:color="000000" w:fill="FFFFFF"/>
            <w:vAlign w:val="bottom"/>
            <w:hideMark/>
          </w:tcPr>
          <w:p w14:paraId="6D5F946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390.2</w:t>
            </w:r>
          </w:p>
        </w:tc>
        <w:tc>
          <w:tcPr>
            <w:tcW w:w="833" w:type="dxa"/>
            <w:tcBorders>
              <w:top w:val="nil"/>
              <w:left w:val="nil"/>
              <w:bottom w:val="nil"/>
              <w:right w:val="nil"/>
            </w:tcBorders>
            <w:shd w:val="clear" w:color="000000" w:fill="FFFFFF"/>
            <w:vAlign w:val="bottom"/>
            <w:hideMark/>
          </w:tcPr>
          <w:p w14:paraId="06CD361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27,966</w:t>
            </w:r>
          </w:p>
        </w:tc>
        <w:tc>
          <w:tcPr>
            <w:tcW w:w="851" w:type="dxa"/>
            <w:tcBorders>
              <w:top w:val="nil"/>
              <w:left w:val="nil"/>
              <w:bottom w:val="nil"/>
              <w:right w:val="nil"/>
            </w:tcBorders>
            <w:shd w:val="clear" w:color="000000" w:fill="FFFFFF"/>
            <w:noWrap/>
            <w:vAlign w:val="bottom"/>
            <w:hideMark/>
          </w:tcPr>
          <w:p w14:paraId="09A1082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96.9</w:t>
            </w:r>
          </w:p>
        </w:tc>
        <w:tc>
          <w:tcPr>
            <w:tcW w:w="913" w:type="dxa"/>
            <w:tcBorders>
              <w:top w:val="nil"/>
              <w:left w:val="nil"/>
              <w:bottom w:val="nil"/>
              <w:right w:val="nil"/>
            </w:tcBorders>
            <w:shd w:val="clear" w:color="000000" w:fill="FFFFFF"/>
            <w:noWrap/>
            <w:vAlign w:val="bottom"/>
            <w:hideMark/>
          </w:tcPr>
          <w:p w14:paraId="01C31E1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83,731</w:t>
            </w:r>
          </w:p>
        </w:tc>
      </w:tr>
      <w:tr w:rsidR="00F56B8C" w:rsidRPr="00AA0ED8" w14:paraId="12C95A60" w14:textId="77777777" w:rsidTr="00786973">
        <w:trPr>
          <w:trHeight w:val="225"/>
        </w:trPr>
        <w:tc>
          <w:tcPr>
            <w:tcW w:w="3113" w:type="dxa"/>
            <w:tcBorders>
              <w:top w:val="nil"/>
              <w:left w:val="nil"/>
              <w:bottom w:val="nil"/>
              <w:right w:val="nil"/>
            </w:tcBorders>
            <w:shd w:val="clear" w:color="000000" w:fill="FFFFFF"/>
            <w:vAlign w:val="center"/>
            <w:hideMark/>
          </w:tcPr>
          <w:p w14:paraId="43BC2FB0"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Defense Research Institute</w:t>
            </w:r>
          </w:p>
        </w:tc>
        <w:tc>
          <w:tcPr>
            <w:tcW w:w="810" w:type="dxa"/>
            <w:tcBorders>
              <w:top w:val="nil"/>
              <w:left w:val="nil"/>
              <w:bottom w:val="nil"/>
              <w:right w:val="nil"/>
            </w:tcBorders>
            <w:shd w:val="clear" w:color="000000" w:fill="FFFFFF"/>
            <w:noWrap/>
            <w:vAlign w:val="bottom"/>
            <w:hideMark/>
          </w:tcPr>
          <w:p w14:paraId="257E3A1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53,832</w:t>
            </w:r>
          </w:p>
        </w:tc>
        <w:tc>
          <w:tcPr>
            <w:tcW w:w="793" w:type="dxa"/>
            <w:tcBorders>
              <w:top w:val="nil"/>
              <w:left w:val="nil"/>
              <w:bottom w:val="nil"/>
              <w:right w:val="nil"/>
            </w:tcBorders>
            <w:shd w:val="clear" w:color="000000" w:fill="FFFFFF"/>
            <w:vAlign w:val="bottom"/>
            <w:hideMark/>
          </w:tcPr>
          <w:p w14:paraId="7688802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53,832</w:t>
            </w:r>
          </w:p>
        </w:tc>
        <w:tc>
          <w:tcPr>
            <w:tcW w:w="735" w:type="dxa"/>
            <w:tcBorders>
              <w:top w:val="nil"/>
              <w:left w:val="nil"/>
              <w:bottom w:val="nil"/>
              <w:right w:val="nil"/>
            </w:tcBorders>
            <w:shd w:val="clear" w:color="000000" w:fill="FFFFFF"/>
            <w:noWrap/>
            <w:vAlign w:val="bottom"/>
            <w:hideMark/>
          </w:tcPr>
          <w:p w14:paraId="6DA9C15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53,832</w:t>
            </w:r>
          </w:p>
        </w:tc>
        <w:tc>
          <w:tcPr>
            <w:tcW w:w="966" w:type="dxa"/>
            <w:tcBorders>
              <w:top w:val="nil"/>
              <w:left w:val="nil"/>
              <w:bottom w:val="nil"/>
              <w:right w:val="nil"/>
            </w:tcBorders>
            <w:shd w:val="clear" w:color="000000" w:fill="FFFFFF"/>
            <w:noWrap/>
            <w:vAlign w:val="bottom"/>
            <w:hideMark/>
          </w:tcPr>
          <w:p w14:paraId="246B310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3F4393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10,075</w:t>
            </w:r>
          </w:p>
        </w:tc>
        <w:tc>
          <w:tcPr>
            <w:tcW w:w="824" w:type="dxa"/>
            <w:tcBorders>
              <w:top w:val="nil"/>
              <w:left w:val="nil"/>
              <w:bottom w:val="nil"/>
              <w:right w:val="nil"/>
            </w:tcBorders>
            <w:shd w:val="clear" w:color="000000" w:fill="FFFFFF"/>
            <w:vAlign w:val="bottom"/>
            <w:hideMark/>
          </w:tcPr>
          <w:p w14:paraId="1E78F96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534.3</w:t>
            </w:r>
          </w:p>
        </w:tc>
        <w:tc>
          <w:tcPr>
            <w:tcW w:w="833" w:type="dxa"/>
            <w:tcBorders>
              <w:top w:val="nil"/>
              <w:left w:val="nil"/>
              <w:bottom w:val="nil"/>
              <w:right w:val="nil"/>
            </w:tcBorders>
            <w:shd w:val="clear" w:color="000000" w:fill="FFFFFF"/>
            <w:vAlign w:val="bottom"/>
            <w:hideMark/>
          </w:tcPr>
          <w:p w14:paraId="2204BB1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10,075</w:t>
            </w:r>
          </w:p>
        </w:tc>
        <w:tc>
          <w:tcPr>
            <w:tcW w:w="851" w:type="dxa"/>
            <w:tcBorders>
              <w:top w:val="nil"/>
              <w:left w:val="nil"/>
              <w:bottom w:val="nil"/>
              <w:right w:val="nil"/>
            </w:tcBorders>
            <w:shd w:val="clear" w:color="000000" w:fill="FFFFFF"/>
            <w:noWrap/>
            <w:vAlign w:val="bottom"/>
            <w:hideMark/>
          </w:tcPr>
          <w:p w14:paraId="2A8B011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31B5494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43,757</w:t>
            </w:r>
          </w:p>
        </w:tc>
      </w:tr>
      <w:tr w:rsidR="00F56B8C" w:rsidRPr="00AA0ED8" w14:paraId="0ABAEB91" w14:textId="77777777" w:rsidTr="00786973">
        <w:trPr>
          <w:trHeight w:val="225"/>
        </w:trPr>
        <w:tc>
          <w:tcPr>
            <w:tcW w:w="3113" w:type="dxa"/>
            <w:tcBorders>
              <w:top w:val="nil"/>
              <w:left w:val="nil"/>
              <w:bottom w:val="nil"/>
              <w:right w:val="nil"/>
            </w:tcBorders>
            <w:shd w:val="clear" w:color="000000" w:fill="FFFFFF"/>
            <w:vAlign w:val="center"/>
            <w:hideMark/>
          </w:tcPr>
          <w:p w14:paraId="519CDB15"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Systems and Analyses Ctr.</w:t>
            </w:r>
          </w:p>
        </w:tc>
        <w:tc>
          <w:tcPr>
            <w:tcW w:w="810" w:type="dxa"/>
            <w:tcBorders>
              <w:top w:val="nil"/>
              <w:left w:val="nil"/>
              <w:bottom w:val="nil"/>
              <w:right w:val="nil"/>
            </w:tcBorders>
            <w:shd w:val="clear" w:color="000000" w:fill="FFFFFF"/>
            <w:noWrap/>
            <w:vAlign w:val="bottom"/>
            <w:hideMark/>
          </w:tcPr>
          <w:p w14:paraId="098D960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149,150</w:t>
            </w:r>
          </w:p>
        </w:tc>
        <w:tc>
          <w:tcPr>
            <w:tcW w:w="793" w:type="dxa"/>
            <w:tcBorders>
              <w:top w:val="nil"/>
              <w:left w:val="nil"/>
              <w:bottom w:val="nil"/>
              <w:right w:val="nil"/>
            </w:tcBorders>
            <w:shd w:val="clear" w:color="000000" w:fill="FFFFFF"/>
            <w:vAlign w:val="bottom"/>
            <w:hideMark/>
          </w:tcPr>
          <w:p w14:paraId="17C1B63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149,150</w:t>
            </w:r>
          </w:p>
        </w:tc>
        <w:tc>
          <w:tcPr>
            <w:tcW w:w="735" w:type="dxa"/>
            <w:tcBorders>
              <w:top w:val="nil"/>
              <w:left w:val="nil"/>
              <w:bottom w:val="nil"/>
              <w:right w:val="nil"/>
            </w:tcBorders>
            <w:shd w:val="clear" w:color="000000" w:fill="FFFFFF"/>
            <w:noWrap/>
            <w:vAlign w:val="bottom"/>
            <w:hideMark/>
          </w:tcPr>
          <w:p w14:paraId="7D77C80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149,150</w:t>
            </w:r>
          </w:p>
        </w:tc>
        <w:tc>
          <w:tcPr>
            <w:tcW w:w="966" w:type="dxa"/>
            <w:tcBorders>
              <w:top w:val="nil"/>
              <w:left w:val="nil"/>
              <w:bottom w:val="nil"/>
              <w:right w:val="nil"/>
            </w:tcBorders>
            <w:shd w:val="clear" w:color="000000" w:fill="FFFFFF"/>
            <w:noWrap/>
            <w:vAlign w:val="bottom"/>
            <w:hideMark/>
          </w:tcPr>
          <w:p w14:paraId="774268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49ACDF0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156,986</w:t>
            </w:r>
          </w:p>
        </w:tc>
        <w:tc>
          <w:tcPr>
            <w:tcW w:w="824" w:type="dxa"/>
            <w:tcBorders>
              <w:top w:val="nil"/>
              <w:left w:val="nil"/>
              <w:bottom w:val="nil"/>
              <w:right w:val="nil"/>
            </w:tcBorders>
            <w:shd w:val="clear" w:color="000000" w:fill="FFFFFF"/>
            <w:vAlign w:val="bottom"/>
            <w:hideMark/>
          </w:tcPr>
          <w:p w14:paraId="07F43F9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95.0</w:t>
            </w:r>
          </w:p>
        </w:tc>
        <w:tc>
          <w:tcPr>
            <w:tcW w:w="833" w:type="dxa"/>
            <w:tcBorders>
              <w:top w:val="nil"/>
              <w:left w:val="nil"/>
              <w:bottom w:val="nil"/>
              <w:right w:val="nil"/>
            </w:tcBorders>
            <w:shd w:val="clear" w:color="000000" w:fill="FFFFFF"/>
            <w:vAlign w:val="bottom"/>
            <w:hideMark/>
          </w:tcPr>
          <w:p w14:paraId="40388B5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75,905</w:t>
            </w:r>
          </w:p>
        </w:tc>
        <w:tc>
          <w:tcPr>
            <w:tcW w:w="851" w:type="dxa"/>
            <w:tcBorders>
              <w:top w:val="nil"/>
              <w:left w:val="nil"/>
              <w:bottom w:val="nil"/>
              <w:right w:val="nil"/>
            </w:tcBorders>
            <w:shd w:val="clear" w:color="000000" w:fill="FFFFFF"/>
            <w:noWrap/>
            <w:vAlign w:val="bottom"/>
            <w:hideMark/>
          </w:tcPr>
          <w:p w14:paraId="5445D89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48.4</w:t>
            </w:r>
          </w:p>
        </w:tc>
        <w:tc>
          <w:tcPr>
            <w:tcW w:w="913" w:type="dxa"/>
            <w:tcBorders>
              <w:top w:val="nil"/>
              <w:left w:val="nil"/>
              <w:bottom w:val="nil"/>
              <w:right w:val="nil"/>
            </w:tcBorders>
            <w:shd w:val="clear" w:color="000000" w:fill="FFFFFF"/>
            <w:noWrap/>
            <w:vAlign w:val="bottom"/>
            <w:hideMark/>
          </w:tcPr>
          <w:p w14:paraId="16926F0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-7,836</w:t>
            </w:r>
          </w:p>
        </w:tc>
      </w:tr>
      <w:tr w:rsidR="00F56B8C" w:rsidRPr="00AA0ED8" w14:paraId="5600D838" w14:textId="77777777" w:rsidTr="00786973">
        <w:trPr>
          <w:trHeight w:val="170"/>
        </w:trPr>
        <w:tc>
          <w:tcPr>
            <w:tcW w:w="3113" w:type="dxa"/>
            <w:tcBorders>
              <w:top w:val="nil"/>
              <w:left w:val="nil"/>
              <w:bottom w:val="nil"/>
              <w:right w:val="nil"/>
            </w:tcBorders>
            <w:shd w:val="clear" w:color="000000" w:fill="FFFFFF"/>
            <w:vAlign w:val="center"/>
            <w:hideMark/>
          </w:tcPr>
          <w:p w14:paraId="3FEBC2BD"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DOE sponsored</w:t>
            </w:r>
          </w:p>
        </w:tc>
        <w:tc>
          <w:tcPr>
            <w:tcW w:w="810" w:type="dxa"/>
            <w:tcBorders>
              <w:top w:val="nil"/>
              <w:left w:val="nil"/>
              <w:bottom w:val="nil"/>
              <w:right w:val="nil"/>
            </w:tcBorders>
            <w:shd w:val="clear" w:color="000000" w:fill="FFFFFF"/>
            <w:noWrap/>
            <w:vAlign w:val="bottom"/>
            <w:hideMark/>
          </w:tcPr>
          <w:p w14:paraId="529A94D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0F4BECB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6EC4292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766C8C3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3D4D321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55886BA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6D97062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55D455F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4DF1F2E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68A67896" w14:textId="77777777" w:rsidTr="00786973">
        <w:trPr>
          <w:trHeight w:val="225"/>
        </w:trPr>
        <w:tc>
          <w:tcPr>
            <w:tcW w:w="3113" w:type="dxa"/>
            <w:tcBorders>
              <w:top w:val="nil"/>
              <w:left w:val="nil"/>
              <w:bottom w:val="nil"/>
              <w:right w:val="nil"/>
            </w:tcBorders>
            <w:shd w:val="clear" w:color="000000" w:fill="FFFFFF"/>
            <w:vAlign w:val="center"/>
            <w:hideMark/>
          </w:tcPr>
          <w:p w14:paraId="7973B4AE"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Ames Lab.</w:t>
            </w:r>
          </w:p>
        </w:tc>
        <w:tc>
          <w:tcPr>
            <w:tcW w:w="810" w:type="dxa"/>
            <w:tcBorders>
              <w:top w:val="nil"/>
              <w:left w:val="nil"/>
              <w:bottom w:val="nil"/>
              <w:right w:val="nil"/>
            </w:tcBorders>
            <w:shd w:val="clear" w:color="000000" w:fill="FFFFFF"/>
            <w:noWrap/>
            <w:vAlign w:val="bottom"/>
            <w:hideMark/>
          </w:tcPr>
          <w:p w14:paraId="66E77D5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33,853</w:t>
            </w:r>
          </w:p>
        </w:tc>
        <w:tc>
          <w:tcPr>
            <w:tcW w:w="793" w:type="dxa"/>
            <w:tcBorders>
              <w:top w:val="nil"/>
              <w:left w:val="nil"/>
              <w:bottom w:val="nil"/>
              <w:right w:val="nil"/>
            </w:tcBorders>
            <w:shd w:val="clear" w:color="000000" w:fill="FFFFFF"/>
            <w:vAlign w:val="bottom"/>
            <w:hideMark/>
          </w:tcPr>
          <w:p w14:paraId="59C0051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32,884</w:t>
            </w:r>
          </w:p>
        </w:tc>
        <w:tc>
          <w:tcPr>
            <w:tcW w:w="735" w:type="dxa"/>
            <w:tcBorders>
              <w:top w:val="nil"/>
              <w:left w:val="nil"/>
              <w:bottom w:val="nil"/>
              <w:right w:val="nil"/>
            </w:tcBorders>
            <w:shd w:val="clear" w:color="000000" w:fill="FFFFFF"/>
            <w:noWrap/>
            <w:vAlign w:val="bottom"/>
            <w:hideMark/>
          </w:tcPr>
          <w:p w14:paraId="3690FE3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36,900</w:t>
            </w:r>
          </w:p>
        </w:tc>
        <w:tc>
          <w:tcPr>
            <w:tcW w:w="966" w:type="dxa"/>
            <w:tcBorders>
              <w:top w:val="nil"/>
              <w:left w:val="nil"/>
              <w:bottom w:val="nil"/>
              <w:right w:val="nil"/>
            </w:tcBorders>
            <w:shd w:val="clear" w:color="000000" w:fill="FFFFFF"/>
            <w:noWrap/>
            <w:vAlign w:val="bottom"/>
            <w:hideMark/>
          </w:tcPr>
          <w:p w14:paraId="7374F47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89.1</w:t>
            </w:r>
          </w:p>
        </w:tc>
        <w:tc>
          <w:tcPr>
            <w:tcW w:w="715" w:type="dxa"/>
            <w:tcBorders>
              <w:top w:val="nil"/>
              <w:left w:val="nil"/>
              <w:bottom w:val="nil"/>
              <w:right w:val="nil"/>
            </w:tcBorders>
            <w:shd w:val="clear" w:color="000000" w:fill="FFFFFF"/>
            <w:vAlign w:val="bottom"/>
            <w:hideMark/>
          </w:tcPr>
          <w:p w14:paraId="68D388C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25,173</w:t>
            </w:r>
          </w:p>
        </w:tc>
        <w:tc>
          <w:tcPr>
            <w:tcW w:w="824" w:type="dxa"/>
            <w:tcBorders>
              <w:top w:val="nil"/>
              <w:left w:val="nil"/>
              <w:bottom w:val="nil"/>
              <w:right w:val="nil"/>
            </w:tcBorders>
            <w:shd w:val="clear" w:color="000000" w:fill="FFFFFF"/>
            <w:vAlign w:val="bottom"/>
            <w:hideMark/>
          </w:tcPr>
          <w:p w14:paraId="1633AE7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130.6</w:t>
            </w:r>
          </w:p>
        </w:tc>
        <w:tc>
          <w:tcPr>
            <w:tcW w:w="833" w:type="dxa"/>
            <w:tcBorders>
              <w:top w:val="nil"/>
              <w:left w:val="nil"/>
              <w:bottom w:val="nil"/>
              <w:right w:val="nil"/>
            </w:tcBorders>
            <w:shd w:val="clear" w:color="000000" w:fill="FFFFFF"/>
            <w:vAlign w:val="bottom"/>
            <w:hideMark/>
          </w:tcPr>
          <w:p w14:paraId="57B9A39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24,674</w:t>
            </w:r>
          </w:p>
        </w:tc>
        <w:tc>
          <w:tcPr>
            <w:tcW w:w="851" w:type="dxa"/>
            <w:tcBorders>
              <w:top w:val="nil"/>
              <w:left w:val="nil"/>
              <w:bottom w:val="nil"/>
              <w:right w:val="nil"/>
            </w:tcBorders>
            <w:shd w:val="clear" w:color="000000" w:fill="FFFFFF"/>
            <w:noWrap/>
            <w:vAlign w:val="bottom"/>
            <w:hideMark/>
          </w:tcPr>
          <w:p w14:paraId="07C68C5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98.0</w:t>
            </w:r>
          </w:p>
        </w:tc>
        <w:tc>
          <w:tcPr>
            <w:tcW w:w="913" w:type="dxa"/>
            <w:tcBorders>
              <w:top w:val="nil"/>
              <w:left w:val="nil"/>
              <w:bottom w:val="nil"/>
              <w:right w:val="nil"/>
            </w:tcBorders>
            <w:shd w:val="clear" w:color="000000" w:fill="FFFFFF"/>
            <w:noWrap/>
            <w:vAlign w:val="bottom"/>
            <w:hideMark/>
          </w:tcPr>
          <w:p w14:paraId="670291F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7,711</w:t>
            </w:r>
          </w:p>
        </w:tc>
      </w:tr>
      <w:tr w:rsidR="00F56B8C" w:rsidRPr="00AA0ED8" w14:paraId="114EC334" w14:textId="77777777" w:rsidTr="00786973">
        <w:trPr>
          <w:trHeight w:val="225"/>
        </w:trPr>
        <w:tc>
          <w:tcPr>
            <w:tcW w:w="3113" w:type="dxa"/>
            <w:tcBorders>
              <w:top w:val="nil"/>
              <w:left w:val="nil"/>
              <w:bottom w:val="nil"/>
              <w:right w:val="nil"/>
            </w:tcBorders>
            <w:shd w:val="clear" w:color="000000" w:fill="FFFFFF"/>
            <w:vAlign w:val="center"/>
            <w:hideMark/>
          </w:tcPr>
          <w:p w14:paraId="556CF3C0"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Argonne National Lab.</w:t>
            </w:r>
          </w:p>
        </w:tc>
        <w:tc>
          <w:tcPr>
            <w:tcW w:w="810" w:type="dxa"/>
            <w:tcBorders>
              <w:top w:val="nil"/>
              <w:left w:val="nil"/>
              <w:bottom w:val="nil"/>
              <w:right w:val="nil"/>
            </w:tcBorders>
            <w:shd w:val="clear" w:color="000000" w:fill="FFFFFF"/>
            <w:noWrap/>
            <w:vAlign w:val="bottom"/>
            <w:hideMark/>
          </w:tcPr>
          <w:p w14:paraId="4FCFDDB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679,387</w:t>
            </w:r>
          </w:p>
        </w:tc>
        <w:tc>
          <w:tcPr>
            <w:tcW w:w="793" w:type="dxa"/>
            <w:tcBorders>
              <w:top w:val="nil"/>
              <w:left w:val="nil"/>
              <w:bottom w:val="nil"/>
              <w:right w:val="nil"/>
            </w:tcBorders>
            <w:shd w:val="clear" w:color="000000" w:fill="FFFFFF"/>
            <w:vAlign w:val="bottom"/>
            <w:hideMark/>
          </w:tcPr>
          <w:p w14:paraId="747ACFC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625,502</w:t>
            </w:r>
          </w:p>
        </w:tc>
        <w:tc>
          <w:tcPr>
            <w:tcW w:w="735" w:type="dxa"/>
            <w:tcBorders>
              <w:top w:val="nil"/>
              <w:left w:val="nil"/>
              <w:bottom w:val="nil"/>
              <w:right w:val="nil"/>
            </w:tcBorders>
            <w:shd w:val="clear" w:color="000000" w:fill="FFFFFF"/>
            <w:noWrap/>
            <w:vAlign w:val="bottom"/>
            <w:hideMark/>
          </w:tcPr>
          <w:p w14:paraId="2682455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721,900</w:t>
            </w:r>
          </w:p>
        </w:tc>
        <w:tc>
          <w:tcPr>
            <w:tcW w:w="966" w:type="dxa"/>
            <w:tcBorders>
              <w:top w:val="nil"/>
              <w:left w:val="nil"/>
              <w:bottom w:val="nil"/>
              <w:right w:val="nil"/>
            </w:tcBorders>
            <w:shd w:val="clear" w:color="000000" w:fill="FFFFFF"/>
            <w:noWrap/>
            <w:vAlign w:val="bottom"/>
            <w:hideMark/>
          </w:tcPr>
          <w:p w14:paraId="6EAABCB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86.6</w:t>
            </w:r>
          </w:p>
        </w:tc>
        <w:tc>
          <w:tcPr>
            <w:tcW w:w="715" w:type="dxa"/>
            <w:tcBorders>
              <w:top w:val="nil"/>
              <w:left w:val="nil"/>
              <w:bottom w:val="nil"/>
              <w:right w:val="nil"/>
            </w:tcBorders>
            <w:shd w:val="clear" w:color="000000" w:fill="FFFFFF"/>
            <w:vAlign w:val="bottom"/>
            <w:hideMark/>
          </w:tcPr>
          <w:p w14:paraId="2715EB4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456,015</w:t>
            </w:r>
          </w:p>
        </w:tc>
        <w:tc>
          <w:tcPr>
            <w:tcW w:w="824" w:type="dxa"/>
            <w:tcBorders>
              <w:top w:val="nil"/>
              <w:left w:val="nil"/>
              <w:bottom w:val="nil"/>
              <w:right w:val="nil"/>
            </w:tcBorders>
            <w:shd w:val="clear" w:color="000000" w:fill="FFFFFF"/>
            <w:vAlign w:val="bottom"/>
            <w:hideMark/>
          </w:tcPr>
          <w:p w14:paraId="0EF0E5E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137.2</w:t>
            </w:r>
          </w:p>
        </w:tc>
        <w:tc>
          <w:tcPr>
            <w:tcW w:w="833" w:type="dxa"/>
            <w:tcBorders>
              <w:top w:val="nil"/>
              <w:left w:val="nil"/>
              <w:bottom w:val="nil"/>
              <w:right w:val="nil"/>
            </w:tcBorders>
            <w:shd w:val="clear" w:color="000000" w:fill="FFFFFF"/>
            <w:vAlign w:val="bottom"/>
            <w:hideMark/>
          </w:tcPr>
          <w:p w14:paraId="4AAFBAB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439,478</w:t>
            </w:r>
          </w:p>
        </w:tc>
        <w:tc>
          <w:tcPr>
            <w:tcW w:w="851" w:type="dxa"/>
            <w:tcBorders>
              <w:top w:val="nil"/>
              <w:left w:val="nil"/>
              <w:bottom w:val="nil"/>
              <w:right w:val="nil"/>
            </w:tcBorders>
            <w:shd w:val="clear" w:color="000000" w:fill="FFFFFF"/>
            <w:noWrap/>
            <w:vAlign w:val="bottom"/>
            <w:hideMark/>
          </w:tcPr>
          <w:p w14:paraId="529AA70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96.4</w:t>
            </w:r>
          </w:p>
        </w:tc>
        <w:tc>
          <w:tcPr>
            <w:tcW w:w="913" w:type="dxa"/>
            <w:tcBorders>
              <w:top w:val="nil"/>
              <w:left w:val="nil"/>
              <w:bottom w:val="nil"/>
              <w:right w:val="nil"/>
            </w:tcBorders>
            <w:shd w:val="clear" w:color="000000" w:fill="FFFFFF"/>
            <w:noWrap/>
            <w:vAlign w:val="bottom"/>
            <w:hideMark/>
          </w:tcPr>
          <w:p w14:paraId="1206288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169,487</w:t>
            </w:r>
          </w:p>
        </w:tc>
      </w:tr>
      <w:tr w:rsidR="00F56B8C" w:rsidRPr="00AA0ED8" w14:paraId="02276210" w14:textId="77777777" w:rsidTr="00786973">
        <w:trPr>
          <w:trHeight w:val="225"/>
        </w:trPr>
        <w:tc>
          <w:tcPr>
            <w:tcW w:w="3113" w:type="dxa"/>
            <w:tcBorders>
              <w:top w:val="nil"/>
              <w:left w:val="nil"/>
              <w:bottom w:val="nil"/>
              <w:right w:val="nil"/>
            </w:tcBorders>
            <w:shd w:val="clear" w:color="000000" w:fill="FFFFFF"/>
            <w:vAlign w:val="center"/>
            <w:hideMark/>
          </w:tcPr>
          <w:p w14:paraId="15A35FC9"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Brookhaven National Lab.</w:t>
            </w:r>
          </w:p>
        </w:tc>
        <w:tc>
          <w:tcPr>
            <w:tcW w:w="810" w:type="dxa"/>
            <w:tcBorders>
              <w:top w:val="nil"/>
              <w:left w:val="nil"/>
              <w:bottom w:val="nil"/>
              <w:right w:val="nil"/>
            </w:tcBorders>
            <w:shd w:val="clear" w:color="000000" w:fill="FFFFFF"/>
            <w:noWrap/>
            <w:vAlign w:val="bottom"/>
            <w:hideMark/>
          </w:tcPr>
          <w:p w14:paraId="379E56D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516,921</w:t>
            </w:r>
          </w:p>
        </w:tc>
        <w:tc>
          <w:tcPr>
            <w:tcW w:w="793" w:type="dxa"/>
            <w:tcBorders>
              <w:top w:val="nil"/>
              <w:left w:val="nil"/>
              <w:bottom w:val="nil"/>
              <w:right w:val="nil"/>
            </w:tcBorders>
            <w:shd w:val="clear" w:color="000000" w:fill="FFFFFF"/>
            <w:vAlign w:val="bottom"/>
            <w:hideMark/>
          </w:tcPr>
          <w:p w14:paraId="5076787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489,496</w:t>
            </w:r>
          </w:p>
        </w:tc>
        <w:tc>
          <w:tcPr>
            <w:tcW w:w="735" w:type="dxa"/>
            <w:tcBorders>
              <w:top w:val="nil"/>
              <w:left w:val="nil"/>
              <w:bottom w:val="nil"/>
              <w:right w:val="nil"/>
            </w:tcBorders>
            <w:shd w:val="clear" w:color="000000" w:fill="FFFFFF"/>
            <w:noWrap/>
            <w:vAlign w:val="bottom"/>
            <w:hideMark/>
          </w:tcPr>
          <w:p w14:paraId="6BF8E29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516,921</w:t>
            </w:r>
          </w:p>
        </w:tc>
        <w:tc>
          <w:tcPr>
            <w:tcW w:w="966" w:type="dxa"/>
            <w:tcBorders>
              <w:top w:val="nil"/>
              <w:left w:val="nil"/>
              <w:bottom w:val="nil"/>
              <w:right w:val="nil"/>
            </w:tcBorders>
            <w:shd w:val="clear" w:color="000000" w:fill="FFFFFF"/>
            <w:noWrap/>
            <w:vAlign w:val="bottom"/>
            <w:hideMark/>
          </w:tcPr>
          <w:p w14:paraId="461AC2B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94.7</w:t>
            </w:r>
          </w:p>
        </w:tc>
        <w:tc>
          <w:tcPr>
            <w:tcW w:w="715" w:type="dxa"/>
            <w:tcBorders>
              <w:top w:val="nil"/>
              <w:left w:val="nil"/>
              <w:bottom w:val="nil"/>
              <w:right w:val="nil"/>
            </w:tcBorders>
            <w:shd w:val="clear" w:color="000000" w:fill="FFFFFF"/>
            <w:vAlign w:val="bottom"/>
            <w:hideMark/>
          </w:tcPr>
          <w:p w14:paraId="0BAD592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391,708</w:t>
            </w:r>
          </w:p>
        </w:tc>
        <w:tc>
          <w:tcPr>
            <w:tcW w:w="824" w:type="dxa"/>
            <w:tcBorders>
              <w:top w:val="nil"/>
              <w:left w:val="nil"/>
              <w:bottom w:val="nil"/>
              <w:right w:val="nil"/>
            </w:tcBorders>
            <w:shd w:val="clear" w:color="000000" w:fill="FFFFFF"/>
            <w:vAlign w:val="bottom"/>
            <w:hideMark/>
          </w:tcPr>
          <w:p w14:paraId="1442D3A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125.0</w:t>
            </w:r>
          </w:p>
        </w:tc>
        <w:tc>
          <w:tcPr>
            <w:tcW w:w="833" w:type="dxa"/>
            <w:tcBorders>
              <w:top w:val="nil"/>
              <w:left w:val="nil"/>
              <w:bottom w:val="nil"/>
              <w:right w:val="nil"/>
            </w:tcBorders>
            <w:shd w:val="clear" w:color="000000" w:fill="FFFFFF"/>
            <w:vAlign w:val="bottom"/>
            <w:hideMark/>
          </w:tcPr>
          <w:p w14:paraId="62BDE83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366,518</w:t>
            </w:r>
          </w:p>
        </w:tc>
        <w:tc>
          <w:tcPr>
            <w:tcW w:w="851" w:type="dxa"/>
            <w:tcBorders>
              <w:top w:val="nil"/>
              <w:left w:val="nil"/>
              <w:bottom w:val="nil"/>
              <w:right w:val="nil"/>
            </w:tcBorders>
            <w:shd w:val="clear" w:color="000000" w:fill="FFFFFF"/>
            <w:noWrap/>
            <w:vAlign w:val="bottom"/>
            <w:hideMark/>
          </w:tcPr>
          <w:p w14:paraId="2A822AD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93.6</w:t>
            </w:r>
          </w:p>
        </w:tc>
        <w:tc>
          <w:tcPr>
            <w:tcW w:w="913" w:type="dxa"/>
            <w:tcBorders>
              <w:top w:val="nil"/>
              <w:left w:val="nil"/>
              <w:bottom w:val="nil"/>
              <w:right w:val="nil"/>
            </w:tcBorders>
            <w:shd w:val="clear" w:color="000000" w:fill="FFFFFF"/>
            <w:noWrap/>
            <w:vAlign w:val="bottom"/>
            <w:hideMark/>
          </w:tcPr>
          <w:p w14:paraId="5EB2886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97,788</w:t>
            </w:r>
          </w:p>
        </w:tc>
      </w:tr>
      <w:tr w:rsidR="00F56B8C" w:rsidRPr="00AA0ED8" w14:paraId="4C83386C" w14:textId="77777777" w:rsidTr="00786973">
        <w:trPr>
          <w:trHeight w:val="225"/>
        </w:trPr>
        <w:tc>
          <w:tcPr>
            <w:tcW w:w="3113" w:type="dxa"/>
            <w:tcBorders>
              <w:top w:val="nil"/>
              <w:left w:val="nil"/>
              <w:bottom w:val="nil"/>
              <w:right w:val="nil"/>
            </w:tcBorders>
            <w:shd w:val="clear" w:color="000000" w:fill="FFFFFF"/>
            <w:vAlign w:val="center"/>
            <w:hideMark/>
          </w:tcPr>
          <w:p w14:paraId="3BE9AB59"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Fermi National Accelerator Lab.</w:t>
            </w:r>
          </w:p>
        </w:tc>
        <w:tc>
          <w:tcPr>
            <w:tcW w:w="810" w:type="dxa"/>
            <w:tcBorders>
              <w:top w:val="nil"/>
              <w:left w:val="nil"/>
              <w:bottom w:val="nil"/>
              <w:right w:val="nil"/>
            </w:tcBorders>
            <w:shd w:val="clear" w:color="000000" w:fill="FFFFFF"/>
            <w:noWrap/>
            <w:vAlign w:val="bottom"/>
            <w:hideMark/>
          </w:tcPr>
          <w:p w14:paraId="0E5F3D4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412,438</w:t>
            </w:r>
          </w:p>
        </w:tc>
        <w:tc>
          <w:tcPr>
            <w:tcW w:w="793" w:type="dxa"/>
            <w:tcBorders>
              <w:top w:val="nil"/>
              <w:left w:val="nil"/>
              <w:bottom w:val="nil"/>
              <w:right w:val="nil"/>
            </w:tcBorders>
            <w:shd w:val="clear" w:color="000000" w:fill="FFFFFF"/>
            <w:vAlign w:val="bottom"/>
            <w:hideMark/>
          </w:tcPr>
          <w:p w14:paraId="76BE329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411,248</w:t>
            </w:r>
          </w:p>
        </w:tc>
        <w:tc>
          <w:tcPr>
            <w:tcW w:w="735" w:type="dxa"/>
            <w:tcBorders>
              <w:top w:val="nil"/>
              <w:left w:val="nil"/>
              <w:bottom w:val="nil"/>
              <w:right w:val="nil"/>
            </w:tcBorders>
            <w:shd w:val="clear" w:color="000000" w:fill="FFFFFF"/>
            <w:noWrap/>
            <w:vAlign w:val="bottom"/>
            <w:hideMark/>
          </w:tcPr>
          <w:p w14:paraId="79A6CED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374,469</w:t>
            </w:r>
          </w:p>
        </w:tc>
        <w:tc>
          <w:tcPr>
            <w:tcW w:w="966" w:type="dxa"/>
            <w:tcBorders>
              <w:top w:val="nil"/>
              <w:left w:val="nil"/>
              <w:bottom w:val="nil"/>
              <w:right w:val="nil"/>
            </w:tcBorders>
            <w:shd w:val="clear" w:color="000000" w:fill="FFFFFF"/>
            <w:noWrap/>
            <w:vAlign w:val="bottom"/>
            <w:hideMark/>
          </w:tcPr>
          <w:p w14:paraId="0F5A438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109.8</w:t>
            </w:r>
          </w:p>
        </w:tc>
        <w:tc>
          <w:tcPr>
            <w:tcW w:w="715" w:type="dxa"/>
            <w:tcBorders>
              <w:top w:val="nil"/>
              <w:left w:val="nil"/>
              <w:bottom w:val="nil"/>
              <w:right w:val="nil"/>
            </w:tcBorders>
            <w:shd w:val="clear" w:color="000000" w:fill="FFFFFF"/>
            <w:vAlign w:val="bottom"/>
            <w:hideMark/>
          </w:tcPr>
          <w:p w14:paraId="14DCA2A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318,658</w:t>
            </w:r>
          </w:p>
        </w:tc>
        <w:tc>
          <w:tcPr>
            <w:tcW w:w="824" w:type="dxa"/>
            <w:tcBorders>
              <w:top w:val="nil"/>
              <w:left w:val="nil"/>
              <w:bottom w:val="nil"/>
              <w:right w:val="nil"/>
            </w:tcBorders>
            <w:shd w:val="clear" w:color="000000" w:fill="FFFFFF"/>
            <w:vAlign w:val="bottom"/>
            <w:hideMark/>
          </w:tcPr>
          <w:p w14:paraId="6F57AA2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129.1</w:t>
            </w:r>
          </w:p>
        </w:tc>
        <w:tc>
          <w:tcPr>
            <w:tcW w:w="833" w:type="dxa"/>
            <w:tcBorders>
              <w:top w:val="nil"/>
              <w:left w:val="nil"/>
              <w:bottom w:val="nil"/>
              <w:right w:val="nil"/>
            </w:tcBorders>
            <w:shd w:val="clear" w:color="000000" w:fill="FFFFFF"/>
            <w:vAlign w:val="bottom"/>
            <w:hideMark/>
          </w:tcPr>
          <w:p w14:paraId="1127150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318,574</w:t>
            </w:r>
          </w:p>
        </w:tc>
        <w:tc>
          <w:tcPr>
            <w:tcW w:w="851" w:type="dxa"/>
            <w:tcBorders>
              <w:top w:val="nil"/>
              <w:left w:val="nil"/>
              <w:bottom w:val="nil"/>
              <w:right w:val="nil"/>
            </w:tcBorders>
            <w:shd w:val="clear" w:color="000000" w:fill="FFFFFF"/>
            <w:noWrap/>
            <w:vAlign w:val="bottom"/>
            <w:hideMark/>
          </w:tcPr>
          <w:p w14:paraId="235D667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51307EF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92,590</w:t>
            </w:r>
          </w:p>
        </w:tc>
      </w:tr>
      <w:tr w:rsidR="00F56B8C" w:rsidRPr="00AA0ED8" w14:paraId="6A32516A" w14:textId="77777777" w:rsidTr="00786973">
        <w:trPr>
          <w:trHeight w:val="225"/>
        </w:trPr>
        <w:tc>
          <w:tcPr>
            <w:tcW w:w="3113" w:type="dxa"/>
            <w:tcBorders>
              <w:top w:val="nil"/>
              <w:left w:val="nil"/>
              <w:bottom w:val="nil"/>
              <w:right w:val="nil"/>
            </w:tcBorders>
            <w:shd w:val="clear" w:color="000000" w:fill="FFFFFF"/>
            <w:vAlign w:val="center"/>
            <w:hideMark/>
          </w:tcPr>
          <w:p w14:paraId="611862A5"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ID National Lab.</w:t>
            </w:r>
          </w:p>
        </w:tc>
        <w:tc>
          <w:tcPr>
            <w:tcW w:w="810" w:type="dxa"/>
            <w:tcBorders>
              <w:top w:val="nil"/>
              <w:left w:val="nil"/>
              <w:bottom w:val="nil"/>
              <w:right w:val="nil"/>
            </w:tcBorders>
            <w:shd w:val="clear" w:color="000000" w:fill="FFFFFF"/>
            <w:noWrap/>
            <w:vAlign w:val="bottom"/>
            <w:hideMark/>
          </w:tcPr>
          <w:p w14:paraId="7F8D44D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536,399</w:t>
            </w:r>
          </w:p>
        </w:tc>
        <w:tc>
          <w:tcPr>
            <w:tcW w:w="793" w:type="dxa"/>
            <w:tcBorders>
              <w:top w:val="nil"/>
              <w:left w:val="nil"/>
              <w:bottom w:val="nil"/>
              <w:right w:val="nil"/>
            </w:tcBorders>
            <w:shd w:val="clear" w:color="000000" w:fill="FFFFFF"/>
            <w:vAlign w:val="bottom"/>
            <w:hideMark/>
          </w:tcPr>
          <w:p w14:paraId="69977B7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525,734</w:t>
            </w:r>
          </w:p>
        </w:tc>
        <w:tc>
          <w:tcPr>
            <w:tcW w:w="735" w:type="dxa"/>
            <w:tcBorders>
              <w:top w:val="nil"/>
              <w:left w:val="nil"/>
              <w:bottom w:val="nil"/>
              <w:right w:val="nil"/>
            </w:tcBorders>
            <w:shd w:val="clear" w:color="000000" w:fill="FFFFFF"/>
            <w:noWrap/>
            <w:vAlign w:val="bottom"/>
            <w:hideMark/>
          </w:tcPr>
          <w:p w14:paraId="73698D6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901,558</w:t>
            </w:r>
          </w:p>
        </w:tc>
        <w:tc>
          <w:tcPr>
            <w:tcW w:w="966" w:type="dxa"/>
            <w:tcBorders>
              <w:top w:val="nil"/>
              <w:left w:val="nil"/>
              <w:bottom w:val="nil"/>
              <w:right w:val="nil"/>
            </w:tcBorders>
            <w:shd w:val="clear" w:color="000000" w:fill="FFFFFF"/>
            <w:noWrap/>
            <w:vAlign w:val="bottom"/>
            <w:hideMark/>
          </w:tcPr>
          <w:p w14:paraId="33619EB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58.3</w:t>
            </w:r>
          </w:p>
        </w:tc>
        <w:tc>
          <w:tcPr>
            <w:tcW w:w="715" w:type="dxa"/>
            <w:tcBorders>
              <w:top w:val="nil"/>
              <w:left w:val="nil"/>
              <w:bottom w:val="nil"/>
              <w:right w:val="nil"/>
            </w:tcBorders>
            <w:shd w:val="clear" w:color="000000" w:fill="FFFFFF"/>
            <w:vAlign w:val="bottom"/>
            <w:hideMark/>
          </w:tcPr>
          <w:p w14:paraId="4312189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235,716</w:t>
            </w:r>
          </w:p>
        </w:tc>
        <w:tc>
          <w:tcPr>
            <w:tcW w:w="824" w:type="dxa"/>
            <w:tcBorders>
              <w:top w:val="nil"/>
              <w:left w:val="nil"/>
              <w:bottom w:val="nil"/>
              <w:right w:val="nil"/>
            </w:tcBorders>
            <w:shd w:val="clear" w:color="000000" w:fill="FFFFFF"/>
            <w:vAlign w:val="bottom"/>
            <w:hideMark/>
          </w:tcPr>
          <w:p w14:paraId="2845167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223.0</w:t>
            </w:r>
          </w:p>
        </w:tc>
        <w:tc>
          <w:tcPr>
            <w:tcW w:w="833" w:type="dxa"/>
            <w:tcBorders>
              <w:top w:val="nil"/>
              <w:left w:val="nil"/>
              <w:bottom w:val="nil"/>
              <w:right w:val="nil"/>
            </w:tcBorders>
            <w:shd w:val="clear" w:color="000000" w:fill="FFFFFF"/>
            <w:vAlign w:val="bottom"/>
            <w:hideMark/>
          </w:tcPr>
          <w:p w14:paraId="7D7CB2D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225,560</w:t>
            </w:r>
          </w:p>
        </w:tc>
        <w:tc>
          <w:tcPr>
            <w:tcW w:w="851" w:type="dxa"/>
            <w:tcBorders>
              <w:top w:val="nil"/>
              <w:left w:val="nil"/>
              <w:bottom w:val="nil"/>
              <w:right w:val="nil"/>
            </w:tcBorders>
            <w:shd w:val="clear" w:color="000000" w:fill="FFFFFF"/>
            <w:noWrap/>
            <w:vAlign w:val="bottom"/>
            <w:hideMark/>
          </w:tcPr>
          <w:p w14:paraId="33E6D95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95.7</w:t>
            </w:r>
          </w:p>
        </w:tc>
        <w:tc>
          <w:tcPr>
            <w:tcW w:w="913" w:type="dxa"/>
            <w:tcBorders>
              <w:top w:val="nil"/>
              <w:left w:val="nil"/>
              <w:bottom w:val="nil"/>
              <w:right w:val="nil"/>
            </w:tcBorders>
            <w:shd w:val="clear" w:color="000000" w:fill="FFFFFF"/>
            <w:noWrap/>
            <w:vAlign w:val="bottom"/>
            <w:hideMark/>
          </w:tcPr>
          <w:p w14:paraId="3A2CF7F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290,018</w:t>
            </w:r>
          </w:p>
        </w:tc>
      </w:tr>
      <w:tr w:rsidR="00F56B8C" w:rsidRPr="00AA0ED8" w14:paraId="1A22F828" w14:textId="77777777" w:rsidTr="00786973">
        <w:trPr>
          <w:trHeight w:val="225"/>
        </w:trPr>
        <w:tc>
          <w:tcPr>
            <w:tcW w:w="3113" w:type="dxa"/>
            <w:tcBorders>
              <w:top w:val="nil"/>
              <w:left w:val="nil"/>
              <w:bottom w:val="nil"/>
              <w:right w:val="nil"/>
            </w:tcBorders>
            <w:shd w:val="clear" w:color="000000" w:fill="FFFFFF"/>
            <w:vAlign w:val="center"/>
            <w:hideMark/>
          </w:tcPr>
          <w:p w14:paraId="276A4BAA"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Lawrence Berkeley National Lab.</w:t>
            </w:r>
          </w:p>
        </w:tc>
        <w:tc>
          <w:tcPr>
            <w:tcW w:w="810" w:type="dxa"/>
            <w:tcBorders>
              <w:top w:val="nil"/>
              <w:left w:val="nil"/>
              <w:bottom w:val="nil"/>
              <w:right w:val="nil"/>
            </w:tcBorders>
            <w:shd w:val="clear" w:color="000000" w:fill="FFFFFF"/>
            <w:noWrap/>
            <w:vAlign w:val="bottom"/>
            <w:hideMark/>
          </w:tcPr>
          <w:p w14:paraId="33E591C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767,554</w:t>
            </w:r>
          </w:p>
        </w:tc>
        <w:tc>
          <w:tcPr>
            <w:tcW w:w="793" w:type="dxa"/>
            <w:tcBorders>
              <w:top w:val="nil"/>
              <w:left w:val="nil"/>
              <w:bottom w:val="nil"/>
              <w:right w:val="nil"/>
            </w:tcBorders>
            <w:shd w:val="clear" w:color="000000" w:fill="FFFFFF"/>
            <w:vAlign w:val="bottom"/>
            <w:hideMark/>
          </w:tcPr>
          <w:p w14:paraId="09162AA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710,822</w:t>
            </w:r>
          </w:p>
        </w:tc>
        <w:tc>
          <w:tcPr>
            <w:tcW w:w="735" w:type="dxa"/>
            <w:tcBorders>
              <w:top w:val="nil"/>
              <w:left w:val="nil"/>
              <w:bottom w:val="nil"/>
              <w:right w:val="nil"/>
            </w:tcBorders>
            <w:shd w:val="clear" w:color="000000" w:fill="FFFFFF"/>
            <w:noWrap/>
            <w:vAlign w:val="bottom"/>
            <w:hideMark/>
          </w:tcPr>
          <w:p w14:paraId="32700F3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779,287</w:t>
            </w:r>
          </w:p>
        </w:tc>
        <w:tc>
          <w:tcPr>
            <w:tcW w:w="966" w:type="dxa"/>
            <w:tcBorders>
              <w:top w:val="nil"/>
              <w:left w:val="nil"/>
              <w:bottom w:val="nil"/>
              <w:right w:val="nil"/>
            </w:tcBorders>
            <w:shd w:val="clear" w:color="000000" w:fill="FFFFFF"/>
            <w:noWrap/>
            <w:vAlign w:val="bottom"/>
            <w:hideMark/>
          </w:tcPr>
          <w:p w14:paraId="10042E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91.2</w:t>
            </w:r>
          </w:p>
        </w:tc>
        <w:tc>
          <w:tcPr>
            <w:tcW w:w="715" w:type="dxa"/>
            <w:tcBorders>
              <w:top w:val="nil"/>
              <w:left w:val="nil"/>
              <w:bottom w:val="nil"/>
              <w:right w:val="nil"/>
            </w:tcBorders>
            <w:shd w:val="clear" w:color="000000" w:fill="FFFFFF"/>
            <w:vAlign w:val="bottom"/>
            <w:hideMark/>
          </w:tcPr>
          <w:p w14:paraId="0B734B8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607,038</w:t>
            </w:r>
          </w:p>
        </w:tc>
        <w:tc>
          <w:tcPr>
            <w:tcW w:w="824" w:type="dxa"/>
            <w:tcBorders>
              <w:top w:val="nil"/>
              <w:left w:val="nil"/>
              <w:bottom w:val="nil"/>
              <w:right w:val="nil"/>
            </w:tcBorders>
            <w:shd w:val="clear" w:color="000000" w:fill="FFFFFF"/>
            <w:vAlign w:val="bottom"/>
            <w:hideMark/>
          </w:tcPr>
          <w:p w14:paraId="612628A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117.1</w:t>
            </w:r>
          </w:p>
        </w:tc>
        <w:tc>
          <w:tcPr>
            <w:tcW w:w="833" w:type="dxa"/>
            <w:tcBorders>
              <w:top w:val="nil"/>
              <w:left w:val="nil"/>
              <w:bottom w:val="nil"/>
              <w:right w:val="nil"/>
            </w:tcBorders>
            <w:shd w:val="clear" w:color="000000" w:fill="FFFFFF"/>
            <w:vAlign w:val="bottom"/>
            <w:hideMark/>
          </w:tcPr>
          <w:p w14:paraId="0FF3677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567,007</w:t>
            </w:r>
          </w:p>
        </w:tc>
        <w:tc>
          <w:tcPr>
            <w:tcW w:w="851" w:type="dxa"/>
            <w:tcBorders>
              <w:top w:val="nil"/>
              <w:left w:val="nil"/>
              <w:bottom w:val="nil"/>
              <w:right w:val="nil"/>
            </w:tcBorders>
            <w:shd w:val="clear" w:color="000000" w:fill="FFFFFF"/>
            <w:noWrap/>
            <w:vAlign w:val="bottom"/>
            <w:hideMark/>
          </w:tcPr>
          <w:p w14:paraId="07D5FCC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93.4</w:t>
            </w:r>
          </w:p>
        </w:tc>
        <w:tc>
          <w:tcPr>
            <w:tcW w:w="913" w:type="dxa"/>
            <w:tcBorders>
              <w:top w:val="nil"/>
              <w:left w:val="nil"/>
              <w:bottom w:val="nil"/>
              <w:right w:val="nil"/>
            </w:tcBorders>
            <w:shd w:val="clear" w:color="000000" w:fill="FFFFFF"/>
            <w:noWrap/>
            <w:vAlign w:val="bottom"/>
            <w:hideMark/>
          </w:tcPr>
          <w:p w14:paraId="37502ED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103,784</w:t>
            </w:r>
          </w:p>
        </w:tc>
      </w:tr>
      <w:tr w:rsidR="00F56B8C" w:rsidRPr="00AA0ED8" w14:paraId="6E860ACE" w14:textId="77777777" w:rsidTr="00786973">
        <w:trPr>
          <w:trHeight w:val="225"/>
        </w:trPr>
        <w:tc>
          <w:tcPr>
            <w:tcW w:w="3113" w:type="dxa"/>
            <w:tcBorders>
              <w:top w:val="nil"/>
              <w:left w:val="nil"/>
              <w:bottom w:val="nil"/>
              <w:right w:val="nil"/>
            </w:tcBorders>
            <w:shd w:val="clear" w:color="000000" w:fill="FFFFFF"/>
            <w:vAlign w:val="center"/>
            <w:hideMark/>
          </w:tcPr>
          <w:p w14:paraId="4A96D386"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Lawrence Livermore National Lab.</w:t>
            </w:r>
          </w:p>
        </w:tc>
        <w:tc>
          <w:tcPr>
            <w:tcW w:w="810" w:type="dxa"/>
            <w:tcBorders>
              <w:top w:val="nil"/>
              <w:left w:val="nil"/>
              <w:bottom w:val="nil"/>
              <w:right w:val="nil"/>
            </w:tcBorders>
            <w:shd w:val="clear" w:color="000000" w:fill="FFFFFF"/>
            <w:noWrap/>
            <w:vAlign w:val="bottom"/>
            <w:hideMark/>
          </w:tcPr>
          <w:p w14:paraId="173D8FF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1,353,454</w:t>
            </w:r>
          </w:p>
        </w:tc>
        <w:tc>
          <w:tcPr>
            <w:tcW w:w="793" w:type="dxa"/>
            <w:tcBorders>
              <w:top w:val="nil"/>
              <w:left w:val="nil"/>
              <w:bottom w:val="nil"/>
              <w:right w:val="nil"/>
            </w:tcBorders>
            <w:shd w:val="clear" w:color="000000" w:fill="FFFFFF"/>
            <w:vAlign w:val="bottom"/>
            <w:hideMark/>
          </w:tcPr>
          <w:p w14:paraId="2FC92A8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1,301,188</w:t>
            </w:r>
          </w:p>
        </w:tc>
        <w:tc>
          <w:tcPr>
            <w:tcW w:w="735" w:type="dxa"/>
            <w:tcBorders>
              <w:top w:val="nil"/>
              <w:left w:val="nil"/>
              <w:bottom w:val="nil"/>
              <w:right w:val="nil"/>
            </w:tcBorders>
            <w:shd w:val="clear" w:color="000000" w:fill="FFFFFF"/>
            <w:noWrap/>
            <w:vAlign w:val="bottom"/>
            <w:hideMark/>
          </w:tcPr>
          <w:p w14:paraId="5372876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1,658,900</w:t>
            </w:r>
          </w:p>
        </w:tc>
        <w:tc>
          <w:tcPr>
            <w:tcW w:w="966" w:type="dxa"/>
            <w:tcBorders>
              <w:top w:val="nil"/>
              <w:left w:val="nil"/>
              <w:bottom w:val="nil"/>
              <w:right w:val="nil"/>
            </w:tcBorders>
            <w:shd w:val="clear" w:color="000000" w:fill="FFFFFF"/>
            <w:noWrap/>
            <w:vAlign w:val="bottom"/>
            <w:hideMark/>
          </w:tcPr>
          <w:p w14:paraId="6BC0E03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78.4</w:t>
            </w:r>
          </w:p>
        </w:tc>
        <w:tc>
          <w:tcPr>
            <w:tcW w:w="715" w:type="dxa"/>
            <w:tcBorders>
              <w:top w:val="nil"/>
              <w:left w:val="nil"/>
              <w:bottom w:val="nil"/>
              <w:right w:val="nil"/>
            </w:tcBorders>
            <w:shd w:val="clear" w:color="000000" w:fill="FFFFFF"/>
            <w:vAlign w:val="bottom"/>
            <w:hideMark/>
          </w:tcPr>
          <w:p w14:paraId="6165A1F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1,031,589</w:t>
            </w:r>
          </w:p>
        </w:tc>
        <w:tc>
          <w:tcPr>
            <w:tcW w:w="824" w:type="dxa"/>
            <w:tcBorders>
              <w:top w:val="nil"/>
              <w:left w:val="nil"/>
              <w:bottom w:val="nil"/>
              <w:right w:val="nil"/>
            </w:tcBorders>
            <w:shd w:val="clear" w:color="000000" w:fill="FFFFFF"/>
            <w:vAlign w:val="bottom"/>
            <w:hideMark/>
          </w:tcPr>
          <w:p w14:paraId="1303B62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126.1</w:t>
            </w:r>
          </w:p>
        </w:tc>
        <w:tc>
          <w:tcPr>
            <w:tcW w:w="833" w:type="dxa"/>
            <w:tcBorders>
              <w:top w:val="nil"/>
              <w:left w:val="nil"/>
              <w:bottom w:val="nil"/>
              <w:right w:val="nil"/>
            </w:tcBorders>
            <w:shd w:val="clear" w:color="000000" w:fill="FFFFFF"/>
            <w:vAlign w:val="bottom"/>
            <w:hideMark/>
          </w:tcPr>
          <w:p w14:paraId="106F06A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960,797</w:t>
            </w:r>
          </w:p>
        </w:tc>
        <w:tc>
          <w:tcPr>
            <w:tcW w:w="851" w:type="dxa"/>
            <w:tcBorders>
              <w:top w:val="nil"/>
              <w:left w:val="nil"/>
              <w:bottom w:val="nil"/>
              <w:right w:val="nil"/>
            </w:tcBorders>
            <w:shd w:val="clear" w:color="000000" w:fill="FFFFFF"/>
            <w:noWrap/>
            <w:vAlign w:val="bottom"/>
            <w:hideMark/>
          </w:tcPr>
          <w:p w14:paraId="0E5FE9E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93.1</w:t>
            </w:r>
          </w:p>
        </w:tc>
        <w:tc>
          <w:tcPr>
            <w:tcW w:w="913" w:type="dxa"/>
            <w:tcBorders>
              <w:top w:val="nil"/>
              <w:left w:val="nil"/>
              <w:bottom w:val="nil"/>
              <w:right w:val="nil"/>
            </w:tcBorders>
            <w:shd w:val="clear" w:color="000000" w:fill="FFFFFF"/>
            <w:noWrap/>
            <w:vAlign w:val="bottom"/>
            <w:hideMark/>
          </w:tcPr>
          <w:p w14:paraId="109CE83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269,599</w:t>
            </w:r>
          </w:p>
        </w:tc>
      </w:tr>
      <w:tr w:rsidR="00F56B8C" w:rsidRPr="00AA0ED8" w14:paraId="2A975814" w14:textId="77777777" w:rsidTr="00786973">
        <w:trPr>
          <w:trHeight w:val="225"/>
        </w:trPr>
        <w:tc>
          <w:tcPr>
            <w:tcW w:w="3113" w:type="dxa"/>
            <w:tcBorders>
              <w:top w:val="nil"/>
              <w:left w:val="nil"/>
              <w:bottom w:val="nil"/>
              <w:right w:val="nil"/>
            </w:tcBorders>
            <w:shd w:val="clear" w:color="000000" w:fill="FFFFFF"/>
            <w:vAlign w:val="center"/>
            <w:hideMark/>
          </w:tcPr>
          <w:p w14:paraId="275965D7"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Los Alamos National Lab.</w:t>
            </w:r>
          </w:p>
        </w:tc>
        <w:tc>
          <w:tcPr>
            <w:tcW w:w="810" w:type="dxa"/>
            <w:tcBorders>
              <w:top w:val="nil"/>
              <w:left w:val="nil"/>
              <w:bottom w:val="nil"/>
              <w:right w:val="nil"/>
            </w:tcBorders>
            <w:shd w:val="clear" w:color="000000" w:fill="FFFFFF"/>
            <w:noWrap/>
            <w:vAlign w:val="bottom"/>
            <w:hideMark/>
          </w:tcPr>
          <w:p w14:paraId="2BA4BD4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2,056,878</w:t>
            </w:r>
          </w:p>
        </w:tc>
        <w:tc>
          <w:tcPr>
            <w:tcW w:w="793" w:type="dxa"/>
            <w:tcBorders>
              <w:top w:val="nil"/>
              <w:left w:val="nil"/>
              <w:bottom w:val="nil"/>
              <w:right w:val="nil"/>
            </w:tcBorders>
            <w:shd w:val="clear" w:color="000000" w:fill="FFFFFF"/>
            <w:vAlign w:val="bottom"/>
            <w:hideMark/>
          </w:tcPr>
          <w:p w14:paraId="69FD196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2,013,692</w:t>
            </w:r>
          </w:p>
        </w:tc>
        <w:tc>
          <w:tcPr>
            <w:tcW w:w="735" w:type="dxa"/>
            <w:tcBorders>
              <w:top w:val="nil"/>
              <w:left w:val="nil"/>
              <w:bottom w:val="nil"/>
              <w:right w:val="nil"/>
            </w:tcBorders>
            <w:shd w:val="clear" w:color="000000" w:fill="FFFFFF"/>
            <w:noWrap/>
            <w:vAlign w:val="bottom"/>
            <w:hideMark/>
          </w:tcPr>
          <w:p w14:paraId="2DC4D73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2,616,000</w:t>
            </w:r>
          </w:p>
        </w:tc>
        <w:tc>
          <w:tcPr>
            <w:tcW w:w="966" w:type="dxa"/>
            <w:tcBorders>
              <w:top w:val="nil"/>
              <w:left w:val="nil"/>
              <w:bottom w:val="nil"/>
              <w:right w:val="nil"/>
            </w:tcBorders>
            <w:shd w:val="clear" w:color="000000" w:fill="FFFFFF"/>
            <w:noWrap/>
            <w:vAlign w:val="bottom"/>
            <w:hideMark/>
          </w:tcPr>
          <w:p w14:paraId="73804AE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77.0</w:t>
            </w:r>
          </w:p>
        </w:tc>
        <w:tc>
          <w:tcPr>
            <w:tcW w:w="715" w:type="dxa"/>
            <w:tcBorders>
              <w:top w:val="nil"/>
              <w:left w:val="nil"/>
              <w:bottom w:val="nil"/>
              <w:right w:val="nil"/>
            </w:tcBorders>
            <w:shd w:val="clear" w:color="000000" w:fill="FFFFFF"/>
            <w:vAlign w:val="bottom"/>
            <w:hideMark/>
          </w:tcPr>
          <w:p w14:paraId="1BC6E43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987,848</w:t>
            </w:r>
          </w:p>
        </w:tc>
        <w:tc>
          <w:tcPr>
            <w:tcW w:w="824" w:type="dxa"/>
            <w:tcBorders>
              <w:top w:val="nil"/>
              <w:left w:val="nil"/>
              <w:bottom w:val="nil"/>
              <w:right w:val="nil"/>
            </w:tcBorders>
            <w:shd w:val="clear" w:color="000000" w:fill="FFFFFF"/>
            <w:vAlign w:val="bottom"/>
            <w:hideMark/>
          </w:tcPr>
          <w:p w14:paraId="382E4A3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203.8</w:t>
            </w:r>
          </w:p>
        </w:tc>
        <w:tc>
          <w:tcPr>
            <w:tcW w:w="833" w:type="dxa"/>
            <w:tcBorders>
              <w:top w:val="nil"/>
              <w:left w:val="nil"/>
              <w:bottom w:val="nil"/>
              <w:right w:val="nil"/>
            </w:tcBorders>
            <w:shd w:val="clear" w:color="000000" w:fill="FFFFFF"/>
            <w:vAlign w:val="bottom"/>
            <w:hideMark/>
          </w:tcPr>
          <w:p w14:paraId="62E2860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939,317</w:t>
            </w:r>
          </w:p>
        </w:tc>
        <w:tc>
          <w:tcPr>
            <w:tcW w:w="851" w:type="dxa"/>
            <w:tcBorders>
              <w:top w:val="nil"/>
              <w:left w:val="nil"/>
              <w:bottom w:val="nil"/>
              <w:right w:val="nil"/>
            </w:tcBorders>
            <w:shd w:val="clear" w:color="000000" w:fill="FFFFFF"/>
            <w:noWrap/>
            <w:vAlign w:val="bottom"/>
            <w:hideMark/>
          </w:tcPr>
          <w:p w14:paraId="273BECF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95.1</w:t>
            </w:r>
          </w:p>
        </w:tc>
        <w:tc>
          <w:tcPr>
            <w:tcW w:w="913" w:type="dxa"/>
            <w:tcBorders>
              <w:top w:val="nil"/>
              <w:left w:val="nil"/>
              <w:bottom w:val="nil"/>
              <w:right w:val="nil"/>
            </w:tcBorders>
            <w:shd w:val="clear" w:color="000000" w:fill="FFFFFF"/>
            <w:noWrap/>
            <w:vAlign w:val="bottom"/>
            <w:hideMark/>
          </w:tcPr>
          <w:p w14:paraId="40FFA63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1,025,844</w:t>
            </w:r>
          </w:p>
        </w:tc>
      </w:tr>
      <w:tr w:rsidR="00F56B8C" w:rsidRPr="00AA0ED8" w14:paraId="7CEB7A88" w14:textId="77777777" w:rsidTr="00786973">
        <w:trPr>
          <w:trHeight w:val="225"/>
        </w:trPr>
        <w:tc>
          <w:tcPr>
            <w:tcW w:w="3113" w:type="dxa"/>
            <w:tcBorders>
              <w:top w:val="nil"/>
              <w:left w:val="nil"/>
              <w:bottom w:val="nil"/>
              <w:right w:val="nil"/>
            </w:tcBorders>
            <w:shd w:val="clear" w:color="000000" w:fill="FFFFFF"/>
            <w:vAlign w:val="center"/>
            <w:hideMark/>
          </w:tcPr>
          <w:p w14:paraId="0B1ACC8A"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Renewable Energy Lab.</w:t>
            </w:r>
          </w:p>
        </w:tc>
        <w:tc>
          <w:tcPr>
            <w:tcW w:w="810" w:type="dxa"/>
            <w:tcBorders>
              <w:top w:val="nil"/>
              <w:left w:val="nil"/>
              <w:bottom w:val="nil"/>
              <w:right w:val="nil"/>
            </w:tcBorders>
            <w:shd w:val="clear" w:color="000000" w:fill="FFFFFF"/>
            <w:noWrap/>
            <w:vAlign w:val="bottom"/>
            <w:hideMark/>
          </w:tcPr>
          <w:p w14:paraId="1E25725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398,873</w:t>
            </w:r>
          </w:p>
        </w:tc>
        <w:tc>
          <w:tcPr>
            <w:tcW w:w="793" w:type="dxa"/>
            <w:tcBorders>
              <w:top w:val="nil"/>
              <w:left w:val="nil"/>
              <w:bottom w:val="nil"/>
              <w:right w:val="nil"/>
            </w:tcBorders>
            <w:shd w:val="clear" w:color="000000" w:fill="FFFFFF"/>
            <w:vAlign w:val="bottom"/>
            <w:hideMark/>
          </w:tcPr>
          <w:p w14:paraId="1DA16EB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379,950</w:t>
            </w:r>
          </w:p>
        </w:tc>
        <w:tc>
          <w:tcPr>
            <w:tcW w:w="735" w:type="dxa"/>
            <w:tcBorders>
              <w:top w:val="nil"/>
              <w:left w:val="nil"/>
              <w:bottom w:val="nil"/>
              <w:right w:val="nil"/>
            </w:tcBorders>
            <w:shd w:val="clear" w:color="000000" w:fill="FFFFFF"/>
            <w:noWrap/>
            <w:vAlign w:val="bottom"/>
            <w:hideMark/>
          </w:tcPr>
          <w:p w14:paraId="55224CC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398,873</w:t>
            </w:r>
          </w:p>
        </w:tc>
        <w:tc>
          <w:tcPr>
            <w:tcW w:w="966" w:type="dxa"/>
            <w:tcBorders>
              <w:top w:val="nil"/>
              <w:left w:val="nil"/>
              <w:bottom w:val="nil"/>
              <w:right w:val="nil"/>
            </w:tcBorders>
            <w:shd w:val="clear" w:color="000000" w:fill="FFFFFF"/>
            <w:noWrap/>
            <w:vAlign w:val="bottom"/>
            <w:hideMark/>
          </w:tcPr>
          <w:p w14:paraId="1FE7913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95.3</w:t>
            </w:r>
          </w:p>
        </w:tc>
        <w:tc>
          <w:tcPr>
            <w:tcW w:w="715" w:type="dxa"/>
            <w:tcBorders>
              <w:top w:val="nil"/>
              <w:left w:val="nil"/>
              <w:bottom w:val="nil"/>
              <w:right w:val="nil"/>
            </w:tcBorders>
            <w:shd w:val="clear" w:color="000000" w:fill="FFFFFF"/>
            <w:vAlign w:val="bottom"/>
            <w:hideMark/>
          </w:tcPr>
          <w:p w14:paraId="11BB6DB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201,230</w:t>
            </w:r>
          </w:p>
        </w:tc>
        <w:tc>
          <w:tcPr>
            <w:tcW w:w="824" w:type="dxa"/>
            <w:tcBorders>
              <w:top w:val="nil"/>
              <w:left w:val="nil"/>
              <w:bottom w:val="nil"/>
              <w:right w:val="nil"/>
            </w:tcBorders>
            <w:shd w:val="clear" w:color="000000" w:fill="FFFFFF"/>
            <w:vAlign w:val="bottom"/>
            <w:hideMark/>
          </w:tcPr>
          <w:p w14:paraId="5E6C9A7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188.8</w:t>
            </w:r>
          </w:p>
        </w:tc>
        <w:tc>
          <w:tcPr>
            <w:tcW w:w="833" w:type="dxa"/>
            <w:tcBorders>
              <w:top w:val="nil"/>
              <w:left w:val="nil"/>
              <w:bottom w:val="nil"/>
              <w:right w:val="nil"/>
            </w:tcBorders>
            <w:shd w:val="clear" w:color="000000" w:fill="FFFFFF"/>
            <w:vAlign w:val="bottom"/>
            <w:hideMark/>
          </w:tcPr>
          <w:p w14:paraId="076E755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200,332</w:t>
            </w:r>
          </w:p>
        </w:tc>
        <w:tc>
          <w:tcPr>
            <w:tcW w:w="851" w:type="dxa"/>
            <w:tcBorders>
              <w:top w:val="nil"/>
              <w:left w:val="nil"/>
              <w:bottom w:val="nil"/>
              <w:right w:val="nil"/>
            </w:tcBorders>
            <w:shd w:val="clear" w:color="000000" w:fill="FFFFFF"/>
            <w:noWrap/>
            <w:vAlign w:val="bottom"/>
            <w:hideMark/>
          </w:tcPr>
          <w:p w14:paraId="33974CB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99.6</w:t>
            </w:r>
          </w:p>
        </w:tc>
        <w:tc>
          <w:tcPr>
            <w:tcW w:w="913" w:type="dxa"/>
            <w:tcBorders>
              <w:top w:val="nil"/>
              <w:left w:val="nil"/>
              <w:bottom w:val="nil"/>
              <w:right w:val="nil"/>
            </w:tcBorders>
            <w:shd w:val="clear" w:color="000000" w:fill="FFFFFF"/>
            <w:noWrap/>
            <w:vAlign w:val="bottom"/>
            <w:hideMark/>
          </w:tcPr>
          <w:p w14:paraId="4E67BDD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178,720</w:t>
            </w:r>
          </w:p>
        </w:tc>
      </w:tr>
      <w:tr w:rsidR="00F56B8C" w:rsidRPr="00AA0ED8" w14:paraId="067BE8CE" w14:textId="77777777" w:rsidTr="00786973">
        <w:trPr>
          <w:trHeight w:val="225"/>
        </w:trPr>
        <w:tc>
          <w:tcPr>
            <w:tcW w:w="3113" w:type="dxa"/>
            <w:tcBorders>
              <w:top w:val="nil"/>
              <w:left w:val="nil"/>
              <w:bottom w:val="nil"/>
              <w:right w:val="nil"/>
            </w:tcBorders>
            <w:shd w:val="clear" w:color="000000" w:fill="FFFFFF"/>
            <w:vAlign w:val="center"/>
            <w:hideMark/>
          </w:tcPr>
          <w:p w14:paraId="70C8BCE6"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Oak Ridge National Lab.</w:t>
            </w:r>
          </w:p>
        </w:tc>
        <w:tc>
          <w:tcPr>
            <w:tcW w:w="810" w:type="dxa"/>
            <w:tcBorders>
              <w:top w:val="nil"/>
              <w:left w:val="nil"/>
              <w:bottom w:val="nil"/>
              <w:right w:val="nil"/>
            </w:tcBorders>
            <w:shd w:val="clear" w:color="000000" w:fill="FFFFFF"/>
            <w:noWrap/>
            <w:vAlign w:val="bottom"/>
            <w:hideMark/>
          </w:tcPr>
          <w:p w14:paraId="6003A96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1,553,460</w:t>
            </w:r>
          </w:p>
        </w:tc>
        <w:tc>
          <w:tcPr>
            <w:tcW w:w="793" w:type="dxa"/>
            <w:tcBorders>
              <w:top w:val="nil"/>
              <w:left w:val="nil"/>
              <w:bottom w:val="nil"/>
              <w:right w:val="nil"/>
            </w:tcBorders>
            <w:shd w:val="clear" w:color="000000" w:fill="FFFFFF"/>
            <w:vAlign w:val="bottom"/>
            <w:hideMark/>
          </w:tcPr>
          <w:p w14:paraId="0785E8C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1,511,725</w:t>
            </w:r>
          </w:p>
        </w:tc>
        <w:tc>
          <w:tcPr>
            <w:tcW w:w="735" w:type="dxa"/>
            <w:tcBorders>
              <w:top w:val="nil"/>
              <w:left w:val="nil"/>
              <w:bottom w:val="nil"/>
              <w:right w:val="nil"/>
            </w:tcBorders>
            <w:shd w:val="clear" w:color="000000" w:fill="FFFFFF"/>
            <w:noWrap/>
            <w:vAlign w:val="bottom"/>
            <w:hideMark/>
          </w:tcPr>
          <w:p w14:paraId="373EC08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1,553,460</w:t>
            </w:r>
          </w:p>
        </w:tc>
        <w:tc>
          <w:tcPr>
            <w:tcW w:w="966" w:type="dxa"/>
            <w:tcBorders>
              <w:top w:val="nil"/>
              <w:left w:val="nil"/>
              <w:bottom w:val="nil"/>
              <w:right w:val="nil"/>
            </w:tcBorders>
            <w:shd w:val="clear" w:color="000000" w:fill="FFFFFF"/>
            <w:noWrap/>
            <w:vAlign w:val="bottom"/>
            <w:hideMark/>
          </w:tcPr>
          <w:p w14:paraId="7D6DC0E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97.3</w:t>
            </w:r>
          </w:p>
        </w:tc>
        <w:tc>
          <w:tcPr>
            <w:tcW w:w="715" w:type="dxa"/>
            <w:tcBorders>
              <w:top w:val="nil"/>
              <w:left w:val="nil"/>
              <w:bottom w:val="nil"/>
              <w:right w:val="nil"/>
            </w:tcBorders>
            <w:shd w:val="clear" w:color="000000" w:fill="FFFFFF"/>
            <w:vAlign w:val="bottom"/>
            <w:hideMark/>
          </w:tcPr>
          <w:p w14:paraId="768E5C6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775,364</w:t>
            </w:r>
          </w:p>
        </w:tc>
        <w:tc>
          <w:tcPr>
            <w:tcW w:w="824" w:type="dxa"/>
            <w:tcBorders>
              <w:top w:val="nil"/>
              <w:left w:val="nil"/>
              <w:bottom w:val="nil"/>
              <w:right w:val="nil"/>
            </w:tcBorders>
            <w:shd w:val="clear" w:color="000000" w:fill="FFFFFF"/>
            <w:vAlign w:val="bottom"/>
            <w:hideMark/>
          </w:tcPr>
          <w:p w14:paraId="4E7B7FE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195.0</w:t>
            </w:r>
          </w:p>
        </w:tc>
        <w:tc>
          <w:tcPr>
            <w:tcW w:w="833" w:type="dxa"/>
            <w:tcBorders>
              <w:top w:val="nil"/>
              <w:left w:val="nil"/>
              <w:bottom w:val="nil"/>
              <w:right w:val="nil"/>
            </w:tcBorders>
            <w:shd w:val="clear" w:color="000000" w:fill="FFFFFF"/>
            <w:vAlign w:val="bottom"/>
            <w:hideMark/>
          </w:tcPr>
          <w:p w14:paraId="72E6D2C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755,506</w:t>
            </w:r>
          </w:p>
        </w:tc>
        <w:tc>
          <w:tcPr>
            <w:tcW w:w="851" w:type="dxa"/>
            <w:tcBorders>
              <w:top w:val="nil"/>
              <w:left w:val="nil"/>
              <w:bottom w:val="nil"/>
              <w:right w:val="nil"/>
            </w:tcBorders>
            <w:shd w:val="clear" w:color="000000" w:fill="FFFFFF"/>
            <w:noWrap/>
            <w:vAlign w:val="bottom"/>
            <w:hideMark/>
          </w:tcPr>
          <w:p w14:paraId="1C31F56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97.4</w:t>
            </w:r>
          </w:p>
        </w:tc>
        <w:tc>
          <w:tcPr>
            <w:tcW w:w="913" w:type="dxa"/>
            <w:tcBorders>
              <w:top w:val="nil"/>
              <w:left w:val="nil"/>
              <w:bottom w:val="nil"/>
              <w:right w:val="nil"/>
            </w:tcBorders>
            <w:shd w:val="clear" w:color="000000" w:fill="FFFFFF"/>
            <w:noWrap/>
            <w:vAlign w:val="bottom"/>
            <w:hideMark/>
          </w:tcPr>
          <w:p w14:paraId="43A0AF8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736,361</w:t>
            </w:r>
          </w:p>
        </w:tc>
      </w:tr>
      <w:tr w:rsidR="00F56B8C" w:rsidRPr="00AA0ED8" w14:paraId="4EB4C763" w14:textId="77777777" w:rsidTr="00786973">
        <w:trPr>
          <w:trHeight w:val="225"/>
        </w:trPr>
        <w:tc>
          <w:tcPr>
            <w:tcW w:w="3113" w:type="dxa"/>
            <w:tcBorders>
              <w:top w:val="nil"/>
              <w:left w:val="nil"/>
              <w:bottom w:val="nil"/>
              <w:right w:val="nil"/>
            </w:tcBorders>
            <w:shd w:val="clear" w:color="000000" w:fill="FFFFFF"/>
            <w:vAlign w:val="center"/>
            <w:hideMark/>
          </w:tcPr>
          <w:p w14:paraId="5A9ED0DF"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Pacific Northwest National Lab.</w:t>
            </w:r>
          </w:p>
        </w:tc>
        <w:tc>
          <w:tcPr>
            <w:tcW w:w="810" w:type="dxa"/>
            <w:tcBorders>
              <w:top w:val="nil"/>
              <w:left w:val="nil"/>
              <w:bottom w:val="nil"/>
              <w:right w:val="nil"/>
            </w:tcBorders>
            <w:shd w:val="clear" w:color="000000" w:fill="FFFFFF"/>
            <w:noWrap/>
            <w:vAlign w:val="bottom"/>
            <w:hideMark/>
          </w:tcPr>
          <w:p w14:paraId="19BFD10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1,033,768</w:t>
            </w:r>
          </w:p>
        </w:tc>
        <w:tc>
          <w:tcPr>
            <w:tcW w:w="793" w:type="dxa"/>
            <w:tcBorders>
              <w:top w:val="nil"/>
              <w:left w:val="nil"/>
              <w:bottom w:val="nil"/>
              <w:right w:val="nil"/>
            </w:tcBorders>
            <w:shd w:val="clear" w:color="000000" w:fill="FFFFFF"/>
            <w:vAlign w:val="bottom"/>
            <w:hideMark/>
          </w:tcPr>
          <w:p w14:paraId="6EC2E77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1,013,245</w:t>
            </w:r>
          </w:p>
        </w:tc>
        <w:tc>
          <w:tcPr>
            <w:tcW w:w="735" w:type="dxa"/>
            <w:tcBorders>
              <w:top w:val="nil"/>
              <w:left w:val="nil"/>
              <w:bottom w:val="nil"/>
              <w:right w:val="nil"/>
            </w:tcBorders>
            <w:shd w:val="clear" w:color="000000" w:fill="FFFFFF"/>
            <w:noWrap/>
            <w:vAlign w:val="bottom"/>
            <w:hideMark/>
          </w:tcPr>
          <w:p w14:paraId="4636859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1,033,768</w:t>
            </w:r>
          </w:p>
        </w:tc>
        <w:tc>
          <w:tcPr>
            <w:tcW w:w="966" w:type="dxa"/>
            <w:tcBorders>
              <w:top w:val="nil"/>
              <w:left w:val="nil"/>
              <w:bottom w:val="nil"/>
              <w:right w:val="nil"/>
            </w:tcBorders>
            <w:shd w:val="clear" w:color="000000" w:fill="FFFFFF"/>
            <w:noWrap/>
            <w:vAlign w:val="bottom"/>
            <w:hideMark/>
          </w:tcPr>
          <w:p w14:paraId="34B0B9A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98.0</w:t>
            </w:r>
          </w:p>
        </w:tc>
        <w:tc>
          <w:tcPr>
            <w:tcW w:w="715" w:type="dxa"/>
            <w:tcBorders>
              <w:top w:val="nil"/>
              <w:left w:val="nil"/>
              <w:bottom w:val="nil"/>
              <w:right w:val="nil"/>
            </w:tcBorders>
            <w:shd w:val="clear" w:color="000000" w:fill="FFFFFF"/>
            <w:vAlign w:val="bottom"/>
            <w:hideMark/>
          </w:tcPr>
          <w:p w14:paraId="7ACFA29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255,585</w:t>
            </w:r>
          </w:p>
        </w:tc>
        <w:tc>
          <w:tcPr>
            <w:tcW w:w="824" w:type="dxa"/>
            <w:tcBorders>
              <w:top w:val="nil"/>
              <w:left w:val="nil"/>
              <w:bottom w:val="nil"/>
              <w:right w:val="nil"/>
            </w:tcBorders>
            <w:shd w:val="clear" w:color="000000" w:fill="FFFFFF"/>
            <w:vAlign w:val="bottom"/>
            <w:hideMark/>
          </w:tcPr>
          <w:p w14:paraId="0A9D9A6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396.4</w:t>
            </w:r>
          </w:p>
        </w:tc>
        <w:tc>
          <w:tcPr>
            <w:tcW w:w="833" w:type="dxa"/>
            <w:tcBorders>
              <w:top w:val="nil"/>
              <w:left w:val="nil"/>
              <w:bottom w:val="nil"/>
              <w:right w:val="nil"/>
            </w:tcBorders>
            <w:shd w:val="clear" w:color="000000" w:fill="FFFFFF"/>
            <w:vAlign w:val="bottom"/>
            <w:hideMark/>
          </w:tcPr>
          <w:p w14:paraId="5B384A2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225,114</w:t>
            </w:r>
          </w:p>
        </w:tc>
        <w:tc>
          <w:tcPr>
            <w:tcW w:w="851" w:type="dxa"/>
            <w:tcBorders>
              <w:top w:val="nil"/>
              <w:left w:val="nil"/>
              <w:bottom w:val="nil"/>
              <w:right w:val="nil"/>
            </w:tcBorders>
            <w:shd w:val="clear" w:color="000000" w:fill="FFFFFF"/>
            <w:noWrap/>
            <w:vAlign w:val="bottom"/>
            <w:hideMark/>
          </w:tcPr>
          <w:p w14:paraId="198104D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88.1</w:t>
            </w:r>
          </w:p>
        </w:tc>
        <w:tc>
          <w:tcPr>
            <w:tcW w:w="913" w:type="dxa"/>
            <w:tcBorders>
              <w:top w:val="nil"/>
              <w:left w:val="nil"/>
              <w:bottom w:val="nil"/>
              <w:right w:val="nil"/>
            </w:tcBorders>
            <w:shd w:val="clear" w:color="000000" w:fill="FFFFFF"/>
            <w:noWrap/>
            <w:vAlign w:val="bottom"/>
            <w:hideMark/>
          </w:tcPr>
          <w:p w14:paraId="05A2B98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757,660</w:t>
            </w:r>
          </w:p>
        </w:tc>
      </w:tr>
      <w:tr w:rsidR="00F56B8C" w:rsidRPr="00AA0ED8" w14:paraId="054100F2" w14:textId="77777777" w:rsidTr="00786973">
        <w:trPr>
          <w:trHeight w:val="225"/>
        </w:trPr>
        <w:tc>
          <w:tcPr>
            <w:tcW w:w="3113" w:type="dxa"/>
            <w:tcBorders>
              <w:top w:val="nil"/>
              <w:left w:val="nil"/>
              <w:bottom w:val="nil"/>
              <w:right w:val="nil"/>
            </w:tcBorders>
            <w:shd w:val="clear" w:color="000000" w:fill="FFFFFF"/>
            <w:vAlign w:val="center"/>
            <w:hideMark/>
          </w:tcPr>
          <w:p w14:paraId="0851FC28"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Princeton Plasma Physics Lab.</w:t>
            </w:r>
          </w:p>
        </w:tc>
        <w:tc>
          <w:tcPr>
            <w:tcW w:w="810" w:type="dxa"/>
            <w:tcBorders>
              <w:top w:val="nil"/>
              <w:left w:val="nil"/>
              <w:bottom w:val="nil"/>
              <w:right w:val="nil"/>
            </w:tcBorders>
            <w:shd w:val="clear" w:color="000000" w:fill="FFFFFF"/>
            <w:noWrap/>
            <w:vAlign w:val="bottom"/>
            <w:hideMark/>
          </w:tcPr>
          <w:p w14:paraId="4C4340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81,389</w:t>
            </w:r>
          </w:p>
        </w:tc>
        <w:tc>
          <w:tcPr>
            <w:tcW w:w="793" w:type="dxa"/>
            <w:tcBorders>
              <w:top w:val="nil"/>
              <w:left w:val="nil"/>
              <w:bottom w:val="nil"/>
              <w:right w:val="nil"/>
            </w:tcBorders>
            <w:shd w:val="clear" w:color="000000" w:fill="FFFFFF"/>
            <w:vAlign w:val="bottom"/>
            <w:hideMark/>
          </w:tcPr>
          <w:p w14:paraId="4B0200A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79,316</w:t>
            </w:r>
          </w:p>
        </w:tc>
        <w:tc>
          <w:tcPr>
            <w:tcW w:w="735" w:type="dxa"/>
            <w:tcBorders>
              <w:top w:val="nil"/>
              <w:left w:val="nil"/>
              <w:bottom w:val="nil"/>
              <w:right w:val="nil"/>
            </w:tcBorders>
            <w:shd w:val="clear" w:color="000000" w:fill="FFFFFF"/>
            <w:noWrap/>
            <w:vAlign w:val="bottom"/>
            <w:hideMark/>
          </w:tcPr>
          <w:p w14:paraId="26DFB54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88,568</w:t>
            </w:r>
          </w:p>
        </w:tc>
        <w:tc>
          <w:tcPr>
            <w:tcW w:w="966" w:type="dxa"/>
            <w:tcBorders>
              <w:top w:val="nil"/>
              <w:left w:val="nil"/>
              <w:bottom w:val="nil"/>
              <w:right w:val="nil"/>
            </w:tcBorders>
            <w:shd w:val="clear" w:color="000000" w:fill="FFFFFF"/>
            <w:noWrap/>
            <w:vAlign w:val="bottom"/>
            <w:hideMark/>
          </w:tcPr>
          <w:p w14:paraId="6F3A178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89.6</w:t>
            </w:r>
          </w:p>
        </w:tc>
        <w:tc>
          <w:tcPr>
            <w:tcW w:w="715" w:type="dxa"/>
            <w:tcBorders>
              <w:top w:val="nil"/>
              <w:left w:val="nil"/>
              <w:bottom w:val="nil"/>
              <w:right w:val="nil"/>
            </w:tcBorders>
            <w:shd w:val="clear" w:color="000000" w:fill="FFFFFF"/>
            <w:vAlign w:val="bottom"/>
            <w:hideMark/>
          </w:tcPr>
          <w:p w14:paraId="22A5220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58,608</w:t>
            </w:r>
          </w:p>
        </w:tc>
        <w:tc>
          <w:tcPr>
            <w:tcW w:w="824" w:type="dxa"/>
            <w:tcBorders>
              <w:top w:val="nil"/>
              <w:left w:val="nil"/>
              <w:bottom w:val="nil"/>
              <w:right w:val="nil"/>
            </w:tcBorders>
            <w:shd w:val="clear" w:color="000000" w:fill="FFFFFF"/>
            <w:vAlign w:val="bottom"/>
            <w:hideMark/>
          </w:tcPr>
          <w:p w14:paraId="3417692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135.3</w:t>
            </w:r>
          </w:p>
        </w:tc>
        <w:tc>
          <w:tcPr>
            <w:tcW w:w="833" w:type="dxa"/>
            <w:tcBorders>
              <w:top w:val="nil"/>
              <w:left w:val="nil"/>
              <w:bottom w:val="nil"/>
              <w:right w:val="nil"/>
            </w:tcBorders>
            <w:shd w:val="clear" w:color="000000" w:fill="FFFFFF"/>
            <w:vAlign w:val="bottom"/>
            <w:hideMark/>
          </w:tcPr>
          <w:p w14:paraId="01297AE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52,974</w:t>
            </w:r>
          </w:p>
        </w:tc>
        <w:tc>
          <w:tcPr>
            <w:tcW w:w="851" w:type="dxa"/>
            <w:tcBorders>
              <w:top w:val="nil"/>
              <w:left w:val="nil"/>
              <w:bottom w:val="nil"/>
              <w:right w:val="nil"/>
            </w:tcBorders>
            <w:shd w:val="clear" w:color="000000" w:fill="FFFFFF"/>
            <w:noWrap/>
            <w:vAlign w:val="bottom"/>
            <w:hideMark/>
          </w:tcPr>
          <w:p w14:paraId="2F5D785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90.4</w:t>
            </w:r>
          </w:p>
        </w:tc>
        <w:tc>
          <w:tcPr>
            <w:tcW w:w="913" w:type="dxa"/>
            <w:tcBorders>
              <w:top w:val="nil"/>
              <w:left w:val="nil"/>
              <w:bottom w:val="nil"/>
              <w:right w:val="nil"/>
            </w:tcBorders>
            <w:shd w:val="clear" w:color="000000" w:fill="FFFFFF"/>
            <w:noWrap/>
            <w:vAlign w:val="bottom"/>
            <w:hideMark/>
          </w:tcPr>
          <w:p w14:paraId="2FDE7BD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20,708</w:t>
            </w:r>
          </w:p>
        </w:tc>
      </w:tr>
      <w:tr w:rsidR="00F56B8C" w:rsidRPr="00AA0ED8" w14:paraId="57B65875" w14:textId="77777777" w:rsidTr="00786973">
        <w:trPr>
          <w:trHeight w:val="225"/>
        </w:trPr>
        <w:tc>
          <w:tcPr>
            <w:tcW w:w="3113" w:type="dxa"/>
            <w:tcBorders>
              <w:top w:val="nil"/>
              <w:left w:val="nil"/>
              <w:bottom w:val="nil"/>
              <w:right w:val="nil"/>
            </w:tcBorders>
            <w:shd w:val="clear" w:color="000000" w:fill="FFFFFF"/>
            <w:vAlign w:val="center"/>
            <w:hideMark/>
          </w:tcPr>
          <w:p w14:paraId="29CDF0FC"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SLAC National Accelerator Lab.</w:t>
            </w:r>
          </w:p>
        </w:tc>
        <w:tc>
          <w:tcPr>
            <w:tcW w:w="810" w:type="dxa"/>
            <w:tcBorders>
              <w:top w:val="nil"/>
              <w:left w:val="nil"/>
              <w:bottom w:val="nil"/>
              <w:right w:val="nil"/>
            </w:tcBorders>
            <w:shd w:val="clear" w:color="000000" w:fill="FFFFFF"/>
            <w:noWrap/>
            <w:vAlign w:val="bottom"/>
            <w:hideMark/>
          </w:tcPr>
          <w:p w14:paraId="5CA2C40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329,747</w:t>
            </w:r>
          </w:p>
        </w:tc>
        <w:tc>
          <w:tcPr>
            <w:tcW w:w="793" w:type="dxa"/>
            <w:tcBorders>
              <w:top w:val="nil"/>
              <w:left w:val="nil"/>
              <w:bottom w:val="nil"/>
              <w:right w:val="nil"/>
            </w:tcBorders>
            <w:shd w:val="clear" w:color="000000" w:fill="FFFFFF"/>
            <w:vAlign w:val="bottom"/>
            <w:hideMark/>
          </w:tcPr>
          <w:p w14:paraId="6B4840B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324,698</w:t>
            </w:r>
          </w:p>
        </w:tc>
        <w:tc>
          <w:tcPr>
            <w:tcW w:w="735" w:type="dxa"/>
            <w:tcBorders>
              <w:top w:val="nil"/>
              <w:left w:val="nil"/>
              <w:bottom w:val="nil"/>
              <w:right w:val="nil"/>
            </w:tcBorders>
            <w:shd w:val="clear" w:color="000000" w:fill="FFFFFF"/>
            <w:noWrap/>
            <w:vAlign w:val="bottom"/>
            <w:hideMark/>
          </w:tcPr>
          <w:p w14:paraId="4DE867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375,938</w:t>
            </w:r>
          </w:p>
        </w:tc>
        <w:tc>
          <w:tcPr>
            <w:tcW w:w="966" w:type="dxa"/>
            <w:tcBorders>
              <w:top w:val="nil"/>
              <w:left w:val="nil"/>
              <w:bottom w:val="nil"/>
              <w:right w:val="nil"/>
            </w:tcBorders>
            <w:shd w:val="clear" w:color="000000" w:fill="FFFFFF"/>
            <w:noWrap/>
            <w:vAlign w:val="bottom"/>
            <w:hideMark/>
          </w:tcPr>
          <w:p w14:paraId="67CB255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86.4</w:t>
            </w:r>
          </w:p>
        </w:tc>
        <w:tc>
          <w:tcPr>
            <w:tcW w:w="715" w:type="dxa"/>
            <w:tcBorders>
              <w:top w:val="nil"/>
              <w:left w:val="nil"/>
              <w:bottom w:val="nil"/>
              <w:right w:val="nil"/>
            </w:tcBorders>
            <w:shd w:val="clear" w:color="000000" w:fill="FFFFFF"/>
            <w:vAlign w:val="bottom"/>
            <w:hideMark/>
          </w:tcPr>
          <w:p w14:paraId="7764DF2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279,971</w:t>
            </w:r>
          </w:p>
        </w:tc>
        <w:tc>
          <w:tcPr>
            <w:tcW w:w="824" w:type="dxa"/>
            <w:tcBorders>
              <w:top w:val="nil"/>
              <w:left w:val="nil"/>
              <w:bottom w:val="nil"/>
              <w:right w:val="nil"/>
            </w:tcBorders>
            <w:shd w:val="clear" w:color="000000" w:fill="FFFFFF"/>
            <w:vAlign w:val="bottom"/>
            <w:hideMark/>
          </w:tcPr>
          <w:p w14:paraId="73D11BB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116.0</w:t>
            </w:r>
          </w:p>
        </w:tc>
        <w:tc>
          <w:tcPr>
            <w:tcW w:w="833" w:type="dxa"/>
            <w:tcBorders>
              <w:top w:val="nil"/>
              <w:left w:val="nil"/>
              <w:bottom w:val="nil"/>
              <w:right w:val="nil"/>
            </w:tcBorders>
            <w:shd w:val="clear" w:color="000000" w:fill="FFFFFF"/>
            <w:vAlign w:val="bottom"/>
            <w:hideMark/>
          </w:tcPr>
          <w:p w14:paraId="3820A81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278,488</w:t>
            </w:r>
          </w:p>
        </w:tc>
        <w:tc>
          <w:tcPr>
            <w:tcW w:w="851" w:type="dxa"/>
            <w:tcBorders>
              <w:top w:val="nil"/>
              <w:left w:val="nil"/>
              <w:bottom w:val="nil"/>
              <w:right w:val="nil"/>
            </w:tcBorders>
            <w:shd w:val="clear" w:color="000000" w:fill="FFFFFF"/>
            <w:noWrap/>
            <w:vAlign w:val="bottom"/>
            <w:hideMark/>
          </w:tcPr>
          <w:p w14:paraId="57DCB91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99.5</w:t>
            </w:r>
          </w:p>
        </w:tc>
        <w:tc>
          <w:tcPr>
            <w:tcW w:w="913" w:type="dxa"/>
            <w:tcBorders>
              <w:top w:val="nil"/>
              <w:left w:val="nil"/>
              <w:bottom w:val="nil"/>
              <w:right w:val="nil"/>
            </w:tcBorders>
            <w:shd w:val="clear" w:color="000000" w:fill="FFFFFF"/>
            <w:noWrap/>
            <w:vAlign w:val="bottom"/>
            <w:hideMark/>
          </w:tcPr>
          <w:p w14:paraId="49B59F8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44,727</w:t>
            </w:r>
          </w:p>
        </w:tc>
      </w:tr>
      <w:tr w:rsidR="00F56B8C" w:rsidRPr="00AA0ED8" w14:paraId="71B3B126" w14:textId="77777777" w:rsidTr="00786973">
        <w:trPr>
          <w:trHeight w:val="225"/>
        </w:trPr>
        <w:tc>
          <w:tcPr>
            <w:tcW w:w="3113" w:type="dxa"/>
            <w:tcBorders>
              <w:top w:val="nil"/>
              <w:left w:val="nil"/>
              <w:bottom w:val="nil"/>
              <w:right w:val="nil"/>
            </w:tcBorders>
            <w:shd w:val="clear" w:color="000000" w:fill="FFFFFF"/>
            <w:vAlign w:val="center"/>
            <w:hideMark/>
          </w:tcPr>
          <w:p w14:paraId="096C6CDB"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Sandia National Labs.</w:t>
            </w:r>
          </w:p>
        </w:tc>
        <w:tc>
          <w:tcPr>
            <w:tcW w:w="810" w:type="dxa"/>
            <w:tcBorders>
              <w:top w:val="nil"/>
              <w:left w:val="nil"/>
              <w:bottom w:val="nil"/>
              <w:right w:val="nil"/>
            </w:tcBorders>
            <w:shd w:val="clear" w:color="000000" w:fill="FFFFFF"/>
            <w:noWrap/>
            <w:vAlign w:val="bottom"/>
            <w:hideMark/>
          </w:tcPr>
          <w:p w14:paraId="1F98B3B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2,293,307</w:t>
            </w:r>
          </w:p>
        </w:tc>
        <w:tc>
          <w:tcPr>
            <w:tcW w:w="793" w:type="dxa"/>
            <w:tcBorders>
              <w:top w:val="nil"/>
              <w:left w:val="nil"/>
              <w:bottom w:val="nil"/>
              <w:right w:val="nil"/>
            </w:tcBorders>
            <w:shd w:val="clear" w:color="000000" w:fill="FFFFFF"/>
            <w:vAlign w:val="bottom"/>
            <w:hideMark/>
          </w:tcPr>
          <w:p w14:paraId="40329EF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2,262,162</w:t>
            </w:r>
          </w:p>
        </w:tc>
        <w:tc>
          <w:tcPr>
            <w:tcW w:w="735" w:type="dxa"/>
            <w:tcBorders>
              <w:top w:val="nil"/>
              <w:left w:val="nil"/>
              <w:bottom w:val="nil"/>
              <w:right w:val="nil"/>
            </w:tcBorders>
            <w:shd w:val="clear" w:color="000000" w:fill="FFFFFF"/>
            <w:noWrap/>
            <w:vAlign w:val="bottom"/>
            <w:hideMark/>
          </w:tcPr>
          <w:p w14:paraId="7109216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2,425,054</w:t>
            </w:r>
          </w:p>
        </w:tc>
        <w:tc>
          <w:tcPr>
            <w:tcW w:w="966" w:type="dxa"/>
            <w:tcBorders>
              <w:top w:val="nil"/>
              <w:left w:val="nil"/>
              <w:bottom w:val="nil"/>
              <w:right w:val="nil"/>
            </w:tcBorders>
            <w:shd w:val="clear" w:color="000000" w:fill="FFFFFF"/>
            <w:noWrap/>
            <w:vAlign w:val="bottom"/>
            <w:hideMark/>
          </w:tcPr>
          <w:p w14:paraId="065344B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93.3</w:t>
            </w:r>
          </w:p>
        </w:tc>
        <w:tc>
          <w:tcPr>
            <w:tcW w:w="715" w:type="dxa"/>
            <w:tcBorders>
              <w:top w:val="nil"/>
              <w:left w:val="nil"/>
              <w:bottom w:val="nil"/>
              <w:right w:val="nil"/>
            </w:tcBorders>
            <w:shd w:val="clear" w:color="000000" w:fill="FFFFFF"/>
            <w:vAlign w:val="bottom"/>
            <w:hideMark/>
          </w:tcPr>
          <w:p w14:paraId="437EC68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1,059,627</w:t>
            </w:r>
          </w:p>
        </w:tc>
        <w:tc>
          <w:tcPr>
            <w:tcW w:w="824" w:type="dxa"/>
            <w:tcBorders>
              <w:top w:val="nil"/>
              <w:left w:val="nil"/>
              <w:bottom w:val="nil"/>
              <w:right w:val="nil"/>
            </w:tcBorders>
            <w:shd w:val="clear" w:color="000000" w:fill="FFFFFF"/>
            <w:vAlign w:val="bottom"/>
            <w:hideMark/>
          </w:tcPr>
          <w:p w14:paraId="719280B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213.5</w:t>
            </w:r>
          </w:p>
        </w:tc>
        <w:tc>
          <w:tcPr>
            <w:tcW w:w="833" w:type="dxa"/>
            <w:tcBorders>
              <w:top w:val="nil"/>
              <w:left w:val="nil"/>
              <w:bottom w:val="nil"/>
              <w:right w:val="nil"/>
            </w:tcBorders>
            <w:shd w:val="clear" w:color="000000" w:fill="FFFFFF"/>
            <w:vAlign w:val="bottom"/>
            <w:hideMark/>
          </w:tcPr>
          <w:p w14:paraId="1C616A6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817,746</w:t>
            </w:r>
          </w:p>
        </w:tc>
        <w:tc>
          <w:tcPr>
            <w:tcW w:w="851" w:type="dxa"/>
            <w:tcBorders>
              <w:top w:val="nil"/>
              <w:left w:val="nil"/>
              <w:bottom w:val="nil"/>
              <w:right w:val="nil"/>
            </w:tcBorders>
            <w:shd w:val="clear" w:color="000000" w:fill="FFFFFF"/>
            <w:noWrap/>
            <w:vAlign w:val="bottom"/>
            <w:hideMark/>
          </w:tcPr>
          <w:p w14:paraId="603C2E4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77.2</w:t>
            </w:r>
          </w:p>
        </w:tc>
        <w:tc>
          <w:tcPr>
            <w:tcW w:w="913" w:type="dxa"/>
            <w:tcBorders>
              <w:top w:val="nil"/>
              <w:left w:val="nil"/>
              <w:bottom w:val="nil"/>
              <w:right w:val="nil"/>
            </w:tcBorders>
            <w:shd w:val="clear" w:color="000000" w:fill="FFFFFF"/>
            <w:noWrap/>
            <w:vAlign w:val="bottom"/>
            <w:hideMark/>
          </w:tcPr>
          <w:p w14:paraId="7FC989A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1,202,535</w:t>
            </w:r>
          </w:p>
        </w:tc>
      </w:tr>
      <w:tr w:rsidR="00F56B8C" w:rsidRPr="00AA0ED8" w14:paraId="638675CB" w14:textId="77777777" w:rsidTr="00786973">
        <w:trPr>
          <w:trHeight w:val="209"/>
        </w:trPr>
        <w:tc>
          <w:tcPr>
            <w:tcW w:w="3113" w:type="dxa"/>
            <w:tcBorders>
              <w:top w:val="nil"/>
              <w:left w:val="nil"/>
              <w:bottom w:val="nil"/>
              <w:right w:val="nil"/>
            </w:tcBorders>
            <w:shd w:val="clear" w:color="000000" w:fill="FFFFFF"/>
            <w:vAlign w:val="center"/>
            <w:hideMark/>
          </w:tcPr>
          <w:p w14:paraId="159FF006"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Savannah River National Lab.</w:t>
            </w:r>
          </w:p>
        </w:tc>
        <w:tc>
          <w:tcPr>
            <w:tcW w:w="810" w:type="dxa"/>
            <w:tcBorders>
              <w:top w:val="nil"/>
              <w:left w:val="nil"/>
              <w:bottom w:val="nil"/>
              <w:right w:val="nil"/>
            </w:tcBorders>
            <w:shd w:val="clear" w:color="000000" w:fill="FFFFFF"/>
            <w:noWrap/>
            <w:vAlign w:val="bottom"/>
            <w:hideMark/>
          </w:tcPr>
          <w:p w14:paraId="33C7DB5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132,357</w:t>
            </w:r>
          </w:p>
        </w:tc>
        <w:tc>
          <w:tcPr>
            <w:tcW w:w="793" w:type="dxa"/>
            <w:tcBorders>
              <w:top w:val="nil"/>
              <w:left w:val="nil"/>
              <w:bottom w:val="nil"/>
              <w:right w:val="nil"/>
            </w:tcBorders>
            <w:shd w:val="clear" w:color="000000" w:fill="FFFFFF"/>
            <w:vAlign w:val="bottom"/>
            <w:hideMark/>
          </w:tcPr>
          <w:p w14:paraId="1536652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132,357</w:t>
            </w:r>
          </w:p>
        </w:tc>
        <w:tc>
          <w:tcPr>
            <w:tcW w:w="735" w:type="dxa"/>
            <w:tcBorders>
              <w:top w:val="nil"/>
              <w:left w:val="nil"/>
              <w:bottom w:val="nil"/>
              <w:right w:val="nil"/>
            </w:tcBorders>
            <w:shd w:val="clear" w:color="000000" w:fill="FFFFFF"/>
            <w:noWrap/>
            <w:vAlign w:val="bottom"/>
            <w:hideMark/>
          </w:tcPr>
          <w:p w14:paraId="62D487F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182,701</w:t>
            </w:r>
          </w:p>
        </w:tc>
        <w:tc>
          <w:tcPr>
            <w:tcW w:w="966" w:type="dxa"/>
            <w:tcBorders>
              <w:top w:val="nil"/>
              <w:left w:val="nil"/>
              <w:bottom w:val="nil"/>
              <w:right w:val="nil"/>
            </w:tcBorders>
            <w:shd w:val="clear" w:color="000000" w:fill="FFFFFF"/>
            <w:noWrap/>
            <w:vAlign w:val="bottom"/>
            <w:hideMark/>
          </w:tcPr>
          <w:p w14:paraId="0E715BB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72.4</w:t>
            </w:r>
          </w:p>
        </w:tc>
        <w:tc>
          <w:tcPr>
            <w:tcW w:w="715" w:type="dxa"/>
            <w:tcBorders>
              <w:top w:val="nil"/>
              <w:left w:val="nil"/>
              <w:bottom w:val="nil"/>
              <w:right w:val="nil"/>
            </w:tcBorders>
            <w:shd w:val="clear" w:color="000000" w:fill="FFFFFF"/>
            <w:vAlign w:val="bottom"/>
            <w:hideMark/>
          </w:tcPr>
          <w:p w14:paraId="2DD913F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21,650</w:t>
            </w:r>
          </w:p>
        </w:tc>
        <w:tc>
          <w:tcPr>
            <w:tcW w:w="824" w:type="dxa"/>
            <w:tcBorders>
              <w:top w:val="nil"/>
              <w:left w:val="nil"/>
              <w:bottom w:val="nil"/>
              <w:right w:val="nil"/>
            </w:tcBorders>
            <w:shd w:val="clear" w:color="000000" w:fill="FFFFFF"/>
            <w:vAlign w:val="bottom"/>
            <w:hideMark/>
          </w:tcPr>
          <w:p w14:paraId="7BDEB37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611.3</w:t>
            </w:r>
          </w:p>
        </w:tc>
        <w:tc>
          <w:tcPr>
            <w:tcW w:w="833" w:type="dxa"/>
            <w:tcBorders>
              <w:top w:val="nil"/>
              <w:left w:val="nil"/>
              <w:bottom w:val="nil"/>
              <w:right w:val="nil"/>
            </w:tcBorders>
            <w:shd w:val="clear" w:color="000000" w:fill="FFFFFF"/>
            <w:vAlign w:val="bottom"/>
            <w:hideMark/>
          </w:tcPr>
          <w:p w14:paraId="29975E1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21,321</w:t>
            </w:r>
          </w:p>
        </w:tc>
        <w:tc>
          <w:tcPr>
            <w:tcW w:w="851" w:type="dxa"/>
            <w:tcBorders>
              <w:top w:val="nil"/>
              <w:left w:val="nil"/>
              <w:bottom w:val="nil"/>
              <w:right w:val="nil"/>
            </w:tcBorders>
            <w:shd w:val="clear" w:color="000000" w:fill="FFFFFF"/>
            <w:noWrap/>
            <w:vAlign w:val="bottom"/>
            <w:hideMark/>
          </w:tcPr>
          <w:p w14:paraId="2F01FA1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98.5</w:t>
            </w:r>
          </w:p>
        </w:tc>
        <w:tc>
          <w:tcPr>
            <w:tcW w:w="913" w:type="dxa"/>
            <w:tcBorders>
              <w:top w:val="nil"/>
              <w:left w:val="nil"/>
              <w:bottom w:val="nil"/>
              <w:right w:val="nil"/>
            </w:tcBorders>
            <w:shd w:val="clear" w:color="000000" w:fill="FFFFFF"/>
            <w:noWrap/>
            <w:vAlign w:val="bottom"/>
            <w:hideMark/>
          </w:tcPr>
          <w:p w14:paraId="79E50F3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110,707</w:t>
            </w:r>
          </w:p>
        </w:tc>
      </w:tr>
      <w:tr w:rsidR="00F56B8C" w:rsidRPr="00AA0ED8" w14:paraId="65D3D5A9" w14:textId="77777777" w:rsidTr="00786973">
        <w:trPr>
          <w:trHeight w:val="190"/>
        </w:trPr>
        <w:tc>
          <w:tcPr>
            <w:tcW w:w="3113" w:type="dxa"/>
            <w:tcBorders>
              <w:top w:val="nil"/>
              <w:left w:val="nil"/>
              <w:bottom w:val="nil"/>
              <w:right w:val="nil"/>
            </w:tcBorders>
            <w:shd w:val="clear" w:color="000000" w:fill="FFFFFF"/>
            <w:vAlign w:val="center"/>
            <w:hideMark/>
          </w:tcPr>
          <w:p w14:paraId="3861D678"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Thomas Jefferson National Accelerator Fac.</w:t>
            </w:r>
          </w:p>
        </w:tc>
        <w:tc>
          <w:tcPr>
            <w:tcW w:w="810" w:type="dxa"/>
            <w:tcBorders>
              <w:top w:val="nil"/>
              <w:left w:val="nil"/>
              <w:bottom w:val="nil"/>
              <w:right w:val="nil"/>
            </w:tcBorders>
            <w:shd w:val="clear" w:color="000000" w:fill="FFFFFF"/>
            <w:noWrap/>
            <w:vAlign w:val="bottom"/>
            <w:hideMark/>
          </w:tcPr>
          <w:p w14:paraId="1C6D9EC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94,167</w:t>
            </w:r>
          </w:p>
        </w:tc>
        <w:tc>
          <w:tcPr>
            <w:tcW w:w="793" w:type="dxa"/>
            <w:tcBorders>
              <w:top w:val="nil"/>
              <w:left w:val="nil"/>
              <w:bottom w:val="nil"/>
              <w:right w:val="nil"/>
            </w:tcBorders>
            <w:shd w:val="clear" w:color="000000" w:fill="FFFFFF"/>
            <w:vAlign w:val="bottom"/>
            <w:hideMark/>
          </w:tcPr>
          <w:p w14:paraId="346FE77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93,710</w:t>
            </w:r>
          </w:p>
        </w:tc>
        <w:tc>
          <w:tcPr>
            <w:tcW w:w="735" w:type="dxa"/>
            <w:tcBorders>
              <w:top w:val="nil"/>
              <w:left w:val="nil"/>
              <w:bottom w:val="nil"/>
              <w:right w:val="nil"/>
            </w:tcBorders>
            <w:shd w:val="clear" w:color="000000" w:fill="FFFFFF"/>
            <w:noWrap/>
            <w:vAlign w:val="bottom"/>
            <w:hideMark/>
          </w:tcPr>
          <w:p w14:paraId="440FB78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99,154</w:t>
            </w:r>
          </w:p>
        </w:tc>
        <w:tc>
          <w:tcPr>
            <w:tcW w:w="966" w:type="dxa"/>
            <w:tcBorders>
              <w:top w:val="nil"/>
              <w:left w:val="nil"/>
              <w:bottom w:val="nil"/>
              <w:right w:val="nil"/>
            </w:tcBorders>
            <w:shd w:val="clear" w:color="000000" w:fill="FFFFFF"/>
            <w:noWrap/>
            <w:vAlign w:val="bottom"/>
            <w:hideMark/>
          </w:tcPr>
          <w:p w14:paraId="2A00236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94.5</w:t>
            </w:r>
          </w:p>
        </w:tc>
        <w:tc>
          <w:tcPr>
            <w:tcW w:w="715" w:type="dxa"/>
            <w:tcBorders>
              <w:top w:val="nil"/>
              <w:left w:val="nil"/>
              <w:bottom w:val="nil"/>
              <w:right w:val="nil"/>
            </w:tcBorders>
            <w:shd w:val="clear" w:color="000000" w:fill="FFFFFF"/>
            <w:vAlign w:val="bottom"/>
            <w:hideMark/>
          </w:tcPr>
          <w:p w14:paraId="625A5E0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98,184</w:t>
            </w:r>
          </w:p>
        </w:tc>
        <w:tc>
          <w:tcPr>
            <w:tcW w:w="824" w:type="dxa"/>
            <w:tcBorders>
              <w:top w:val="nil"/>
              <w:left w:val="nil"/>
              <w:bottom w:val="nil"/>
              <w:right w:val="nil"/>
            </w:tcBorders>
            <w:shd w:val="clear" w:color="000000" w:fill="FFFFFF"/>
            <w:vAlign w:val="bottom"/>
            <w:hideMark/>
          </w:tcPr>
          <w:p w14:paraId="3FD66DA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95.4</w:t>
            </w:r>
          </w:p>
        </w:tc>
        <w:tc>
          <w:tcPr>
            <w:tcW w:w="833" w:type="dxa"/>
            <w:tcBorders>
              <w:top w:val="nil"/>
              <w:left w:val="nil"/>
              <w:bottom w:val="nil"/>
              <w:right w:val="nil"/>
            </w:tcBorders>
            <w:shd w:val="clear" w:color="000000" w:fill="FFFFFF"/>
            <w:vAlign w:val="bottom"/>
            <w:hideMark/>
          </w:tcPr>
          <w:p w14:paraId="2038F56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91,708</w:t>
            </w:r>
          </w:p>
        </w:tc>
        <w:tc>
          <w:tcPr>
            <w:tcW w:w="851" w:type="dxa"/>
            <w:tcBorders>
              <w:top w:val="nil"/>
              <w:left w:val="nil"/>
              <w:bottom w:val="nil"/>
              <w:right w:val="nil"/>
            </w:tcBorders>
            <w:shd w:val="clear" w:color="000000" w:fill="FFFFFF"/>
            <w:noWrap/>
            <w:vAlign w:val="bottom"/>
            <w:hideMark/>
          </w:tcPr>
          <w:p w14:paraId="442B85E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93.4</w:t>
            </w:r>
          </w:p>
        </w:tc>
        <w:tc>
          <w:tcPr>
            <w:tcW w:w="913" w:type="dxa"/>
            <w:tcBorders>
              <w:top w:val="nil"/>
              <w:left w:val="nil"/>
              <w:bottom w:val="nil"/>
              <w:right w:val="nil"/>
            </w:tcBorders>
            <w:shd w:val="clear" w:color="000000" w:fill="FFFFFF"/>
            <w:noWrap/>
            <w:vAlign w:val="bottom"/>
            <w:hideMark/>
          </w:tcPr>
          <w:p w14:paraId="54BCB0B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-4,474</w:t>
            </w:r>
          </w:p>
        </w:tc>
      </w:tr>
      <w:tr w:rsidR="00F56B8C" w:rsidRPr="00AA0ED8" w14:paraId="304F5FED" w14:textId="77777777" w:rsidTr="00786973">
        <w:trPr>
          <w:trHeight w:val="170"/>
        </w:trPr>
        <w:tc>
          <w:tcPr>
            <w:tcW w:w="3113" w:type="dxa"/>
            <w:tcBorders>
              <w:top w:val="nil"/>
              <w:left w:val="nil"/>
              <w:bottom w:val="nil"/>
              <w:right w:val="nil"/>
            </w:tcBorders>
            <w:shd w:val="clear" w:color="000000" w:fill="FFFFFF"/>
            <w:vAlign w:val="center"/>
            <w:hideMark/>
          </w:tcPr>
          <w:p w14:paraId="0AB8A04B"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HHS sponsored</w:t>
            </w:r>
          </w:p>
        </w:tc>
        <w:tc>
          <w:tcPr>
            <w:tcW w:w="810" w:type="dxa"/>
            <w:tcBorders>
              <w:top w:val="nil"/>
              <w:left w:val="nil"/>
              <w:bottom w:val="nil"/>
              <w:right w:val="nil"/>
            </w:tcBorders>
            <w:shd w:val="clear" w:color="000000" w:fill="FFFFFF"/>
            <w:noWrap/>
            <w:vAlign w:val="bottom"/>
            <w:hideMark/>
          </w:tcPr>
          <w:p w14:paraId="67EA264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1CCC35A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613263A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6525519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63B8AF0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3F1E915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12BA26C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0A6F2D7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662EE68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4C190344" w14:textId="77777777" w:rsidTr="00786973">
        <w:trPr>
          <w:trHeight w:val="209"/>
        </w:trPr>
        <w:tc>
          <w:tcPr>
            <w:tcW w:w="3113" w:type="dxa"/>
            <w:tcBorders>
              <w:top w:val="nil"/>
              <w:left w:val="nil"/>
              <w:bottom w:val="nil"/>
              <w:right w:val="nil"/>
            </w:tcBorders>
            <w:shd w:val="clear" w:color="000000" w:fill="FFFFFF"/>
            <w:vAlign w:val="center"/>
            <w:hideMark/>
          </w:tcPr>
          <w:p w14:paraId="701FE37B"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Frederick National Lab. for Cancer Research</w:t>
            </w:r>
          </w:p>
        </w:tc>
        <w:tc>
          <w:tcPr>
            <w:tcW w:w="810" w:type="dxa"/>
            <w:tcBorders>
              <w:top w:val="nil"/>
              <w:left w:val="nil"/>
              <w:bottom w:val="nil"/>
              <w:right w:val="nil"/>
            </w:tcBorders>
            <w:shd w:val="clear" w:color="000000" w:fill="FFFFFF"/>
            <w:noWrap/>
            <w:vAlign w:val="bottom"/>
            <w:hideMark/>
          </w:tcPr>
          <w:p w14:paraId="1266E47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430,100</w:t>
            </w:r>
          </w:p>
        </w:tc>
        <w:tc>
          <w:tcPr>
            <w:tcW w:w="793" w:type="dxa"/>
            <w:tcBorders>
              <w:top w:val="nil"/>
              <w:left w:val="nil"/>
              <w:bottom w:val="nil"/>
              <w:right w:val="nil"/>
            </w:tcBorders>
            <w:shd w:val="clear" w:color="000000" w:fill="FFFFFF"/>
            <w:vAlign w:val="bottom"/>
            <w:hideMark/>
          </w:tcPr>
          <w:p w14:paraId="1057699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430,100</w:t>
            </w:r>
          </w:p>
        </w:tc>
        <w:tc>
          <w:tcPr>
            <w:tcW w:w="735" w:type="dxa"/>
            <w:tcBorders>
              <w:top w:val="nil"/>
              <w:left w:val="nil"/>
              <w:bottom w:val="nil"/>
              <w:right w:val="nil"/>
            </w:tcBorders>
            <w:shd w:val="clear" w:color="000000" w:fill="FFFFFF"/>
            <w:noWrap/>
            <w:vAlign w:val="bottom"/>
            <w:hideMark/>
          </w:tcPr>
          <w:p w14:paraId="047AC73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500,000</w:t>
            </w:r>
          </w:p>
        </w:tc>
        <w:tc>
          <w:tcPr>
            <w:tcW w:w="966" w:type="dxa"/>
            <w:tcBorders>
              <w:top w:val="nil"/>
              <w:left w:val="nil"/>
              <w:bottom w:val="nil"/>
              <w:right w:val="nil"/>
            </w:tcBorders>
            <w:shd w:val="clear" w:color="000000" w:fill="FFFFFF"/>
            <w:noWrap/>
            <w:vAlign w:val="bottom"/>
            <w:hideMark/>
          </w:tcPr>
          <w:p w14:paraId="75381D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86.0</w:t>
            </w:r>
          </w:p>
        </w:tc>
        <w:tc>
          <w:tcPr>
            <w:tcW w:w="715" w:type="dxa"/>
            <w:tcBorders>
              <w:top w:val="nil"/>
              <w:left w:val="nil"/>
              <w:bottom w:val="nil"/>
              <w:right w:val="nil"/>
            </w:tcBorders>
            <w:shd w:val="clear" w:color="000000" w:fill="FFFFFF"/>
            <w:vAlign w:val="bottom"/>
            <w:hideMark/>
          </w:tcPr>
          <w:p w14:paraId="04C4560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275,301</w:t>
            </w:r>
          </w:p>
        </w:tc>
        <w:tc>
          <w:tcPr>
            <w:tcW w:w="824" w:type="dxa"/>
            <w:tcBorders>
              <w:top w:val="nil"/>
              <w:left w:val="nil"/>
              <w:bottom w:val="nil"/>
              <w:right w:val="nil"/>
            </w:tcBorders>
            <w:shd w:val="clear" w:color="000000" w:fill="FFFFFF"/>
            <w:vAlign w:val="bottom"/>
            <w:hideMark/>
          </w:tcPr>
          <w:p w14:paraId="7B2484E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156.2</w:t>
            </w:r>
          </w:p>
        </w:tc>
        <w:tc>
          <w:tcPr>
            <w:tcW w:w="833" w:type="dxa"/>
            <w:tcBorders>
              <w:top w:val="nil"/>
              <w:left w:val="nil"/>
              <w:bottom w:val="nil"/>
              <w:right w:val="nil"/>
            </w:tcBorders>
            <w:shd w:val="clear" w:color="000000" w:fill="FFFFFF"/>
            <w:vAlign w:val="bottom"/>
            <w:hideMark/>
          </w:tcPr>
          <w:p w14:paraId="430CA87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273,477</w:t>
            </w:r>
          </w:p>
        </w:tc>
        <w:tc>
          <w:tcPr>
            <w:tcW w:w="851" w:type="dxa"/>
            <w:tcBorders>
              <w:top w:val="nil"/>
              <w:left w:val="nil"/>
              <w:bottom w:val="nil"/>
              <w:right w:val="nil"/>
            </w:tcBorders>
            <w:shd w:val="clear" w:color="000000" w:fill="FFFFFF"/>
            <w:noWrap/>
            <w:vAlign w:val="bottom"/>
            <w:hideMark/>
          </w:tcPr>
          <w:p w14:paraId="57A840A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99.3</w:t>
            </w:r>
          </w:p>
        </w:tc>
        <w:tc>
          <w:tcPr>
            <w:tcW w:w="913" w:type="dxa"/>
            <w:tcBorders>
              <w:top w:val="nil"/>
              <w:left w:val="nil"/>
              <w:bottom w:val="nil"/>
              <w:right w:val="nil"/>
            </w:tcBorders>
            <w:shd w:val="clear" w:color="000000" w:fill="FFFFFF"/>
            <w:noWrap/>
            <w:vAlign w:val="bottom"/>
            <w:hideMark/>
          </w:tcPr>
          <w:p w14:paraId="6CC491C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154,799</w:t>
            </w:r>
          </w:p>
        </w:tc>
      </w:tr>
      <w:tr w:rsidR="00F56B8C" w:rsidRPr="00AA0ED8" w14:paraId="402B05AF" w14:textId="77777777" w:rsidTr="00786973">
        <w:trPr>
          <w:trHeight w:val="190"/>
        </w:trPr>
        <w:tc>
          <w:tcPr>
            <w:tcW w:w="3113" w:type="dxa"/>
            <w:tcBorders>
              <w:top w:val="nil"/>
              <w:left w:val="nil"/>
              <w:bottom w:val="nil"/>
              <w:right w:val="nil"/>
            </w:tcBorders>
            <w:shd w:val="clear" w:color="000000" w:fill="FFFFFF"/>
            <w:vAlign w:val="center"/>
            <w:hideMark/>
          </w:tcPr>
          <w:p w14:paraId="769F134E"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DHS sponsored</w:t>
            </w:r>
          </w:p>
        </w:tc>
        <w:tc>
          <w:tcPr>
            <w:tcW w:w="810" w:type="dxa"/>
            <w:tcBorders>
              <w:top w:val="nil"/>
              <w:left w:val="nil"/>
              <w:bottom w:val="nil"/>
              <w:right w:val="nil"/>
            </w:tcBorders>
            <w:shd w:val="clear" w:color="000000" w:fill="FFFFFF"/>
            <w:noWrap/>
            <w:vAlign w:val="bottom"/>
            <w:hideMark/>
          </w:tcPr>
          <w:p w14:paraId="4FB47BB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59FBEAC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306AF4C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123DC61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66E46E7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646EA17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03357B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35CC974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04D37B3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0A2946E5" w14:textId="77777777" w:rsidTr="00786973">
        <w:trPr>
          <w:trHeight w:val="264"/>
        </w:trPr>
        <w:tc>
          <w:tcPr>
            <w:tcW w:w="3113" w:type="dxa"/>
            <w:tcBorders>
              <w:top w:val="nil"/>
              <w:left w:val="nil"/>
              <w:bottom w:val="nil"/>
              <w:right w:val="nil"/>
            </w:tcBorders>
            <w:shd w:val="clear" w:color="000000" w:fill="FFFFFF"/>
            <w:vAlign w:val="center"/>
            <w:hideMark/>
          </w:tcPr>
          <w:p w14:paraId="4D85EB75"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Homeland Security Studies and Analysis Institute</w:t>
            </w:r>
          </w:p>
        </w:tc>
        <w:tc>
          <w:tcPr>
            <w:tcW w:w="810" w:type="dxa"/>
            <w:tcBorders>
              <w:top w:val="nil"/>
              <w:left w:val="nil"/>
              <w:bottom w:val="nil"/>
              <w:right w:val="nil"/>
            </w:tcBorders>
            <w:shd w:val="clear" w:color="000000" w:fill="FFFFFF"/>
            <w:noWrap/>
            <w:vAlign w:val="bottom"/>
            <w:hideMark/>
          </w:tcPr>
          <w:p w14:paraId="25A6BC0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30,213</w:t>
            </w:r>
          </w:p>
        </w:tc>
        <w:tc>
          <w:tcPr>
            <w:tcW w:w="793" w:type="dxa"/>
            <w:tcBorders>
              <w:top w:val="nil"/>
              <w:left w:val="nil"/>
              <w:bottom w:val="nil"/>
              <w:right w:val="nil"/>
            </w:tcBorders>
            <w:shd w:val="clear" w:color="000000" w:fill="FFFFFF"/>
            <w:vAlign w:val="bottom"/>
            <w:hideMark/>
          </w:tcPr>
          <w:p w14:paraId="088807D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30,213</w:t>
            </w:r>
          </w:p>
        </w:tc>
        <w:tc>
          <w:tcPr>
            <w:tcW w:w="735" w:type="dxa"/>
            <w:tcBorders>
              <w:top w:val="nil"/>
              <w:left w:val="nil"/>
              <w:bottom w:val="nil"/>
              <w:right w:val="nil"/>
            </w:tcBorders>
            <w:shd w:val="clear" w:color="000000" w:fill="FFFFFF"/>
            <w:noWrap/>
            <w:vAlign w:val="bottom"/>
            <w:hideMark/>
          </w:tcPr>
          <w:p w14:paraId="65A0F4B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38,800</w:t>
            </w:r>
          </w:p>
        </w:tc>
        <w:tc>
          <w:tcPr>
            <w:tcW w:w="966" w:type="dxa"/>
            <w:tcBorders>
              <w:top w:val="nil"/>
              <w:left w:val="nil"/>
              <w:bottom w:val="nil"/>
              <w:right w:val="nil"/>
            </w:tcBorders>
            <w:shd w:val="clear" w:color="000000" w:fill="FFFFFF"/>
            <w:noWrap/>
            <w:vAlign w:val="bottom"/>
            <w:hideMark/>
          </w:tcPr>
          <w:p w14:paraId="6AD983E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77.9</w:t>
            </w:r>
          </w:p>
        </w:tc>
        <w:tc>
          <w:tcPr>
            <w:tcW w:w="715" w:type="dxa"/>
            <w:tcBorders>
              <w:top w:val="nil"/>
              <w:left w:val="nil"/>
              <w:bottom w:val="nil"/>
              <w:right w:val="nil"/>
            </w:tcBorders>
            <w:shd w:val="clear" w:color="000000" w:fill="FFFFFF"/>
            <w:vAlign w:val="bottom"/>
            <w:hideMark/>
          </w:tcPr>
          <w:p w14:paraId="35A6D45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25,301</w:t>
            </w:r>
          </w:p>
        </w:tc>
        <w:tc>
          <w:tcPr>
            <w:tcW w:w="824" w:type="dxa"/>
            <w:tcBorders>
              <w:top w:val="nil"/>
              <w:left w:val="nil"/>
              <w:bottom w:val="nil"/>
              <w:right w:val="nil"/>
            </w:tcBorders>
            <w:shd w:val="clear" w:color="000000" w:fill="FFFFFF"/>
            <w:vAlign w:val="bottom"/>
            <w:hideMark/>
          </w:tcPr>
          <w:p w14:paraId="5C2D051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119.4</w:t>
            </w:r>
          </w:p>
        </w:tc>
        <w:tc>
          <w:tcPr>
            <w:tcW w:w="833" w:type="dxa"/>
            <w:tcBorders>
              <w:top w:val="nil"/>
              <w:left w:val="nil"/>
              <w:bottom w:val="nil"/>
              <w:right w:val="nil"/>
            </w:tcBorders>
            <w:shd w:val="clear" w:color="000000" w:fill="FFFFFF"/>
            <w:vAlign w:val="bottom"/>
            <w:hideMark/>
          </w:tcPr>
          <w:p w14:paraId="462A1ED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25,301</w:t>
            </w:r>
          </w:p>
        </w:tc>
        <w:tc>
          <w:tcPr>
            <w:tcW w:w="851" w:type="dxa"/>
            <w:tcBorders>
              <w:top w:val="nil"/>
              <w:left w:val="nil"/>
              <w:bottom w:val="nil"/>
              <w:right w:val="nil"/>
            </w:tcBorders>
            <w:shd w:val="clear" w:color="000000" w:fill="FFFFFF"/>
            <w:noWrap/>
            <w:vAlign w:val="bottom"/>
            <w:hideMark/>
          </w:tcPr>
          <w:p w14:paraId="58EF3C1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6CE0E11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4,912</w:t>
            </w:r>
          </w:p>
        </w:tc>
      </w:tr>
      <w:tr w:rsidR="00F56B8C" w:rsidRPr="00AA0ED8" w14:paraId="2DC7B366" w14:textId="77777777" w:rsidTr="00786973">
        <w:trPr>
          <w:trHeight w:val="376"/>
        </w:trPr>
        <w:tc>
          <w:tcPr>
            <w:tcW w:w="3113" w:type="dxa"/>
            <w:tcBorders>
              <w:top w:val="nil"/>
              <w:left w:val="nil"/>
              <w:bottom w:val="nil"/>
              <w:right w:val="nil"/>
            </w:tcBorders>
            <w:shd w:val="clear" w:color="000000" w:fill="FFFFFF"/>
            <w:vAlign w:val="center"/>
            <w:hideMark/>
          </w:tcPr>
          <w:p w14:paraId="6C917091"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Homeland Security Systems Engineering and Development Institute</w:t>
            </w:r>
          </w:p>
        </w:tc>
        <w:tc>
          <w:tcPr>
            <w:tcW w:w="810" w:type="dxa"/>
            <w:tcBorders>
              <w:top w:val="nil"/>
              <w:left w:val="nil"/>
              <w:bottom w:val="nil"/>
              <w:right w:val="nil"/>
            </w:tcBorders>
            <w:shd w:val="clear" w:color="000000" w:fill="FFFFFF"/>
            <w:noWrap/>
            <w:vAlign w:val="bottom"/>
            <w:hideMark/>
          </w:tcPr>
          <w:p w14:paraId="22985F6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77,159</w:t>
            </w:r>
          </w:p>
        </w:tc>
        <w:tc>
          <w:tcPr>
            <w:tcW w:w="793" w:type="dxa"/>
            <w:tcBorders>
              <w:top w:val="nil"/>
              <w:left w:val="nil"/>
              <w:bottom w:val="nil"/>
              <w:right w:val="nil"/>
            </w:tcBorders>
            <w:shd w:val="clear" w:color="000000" w:fill="FFFFFF"/>
            <w:vAlign w:val="bottom"/>
            <w:hideMark/>
          </w:tcPr>
          <w:p w14:paraId="4A913F5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77,159</w:t>
            </w:r>
          </w:p>
        </w:tc>
        <w:tc>
          <w:tcPr>
            <w:tcW w:w="735" w:type="dxa"/>
            <w:tcBorders>
              <w:top w:val="nil"/>
              <w:left w:val="nil"/>
              <w:bottom w:val="nil"/>
              <w:right w:val="nil"/>
            </w:tcBorders>
            <w:shd w:val="clear" w:color="000000" w:fill="FFFFFF"/>
            <w:noWrap/>
            <w:vAlign w:val="bottom"/>
            <w:hideMark/>
          </w:tcPr>
          <w:p w14:paraId="41380B0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77,159</w:t>
            </w:r>
          </w:p>
        </w:tc>
        <w:tc>
          <w:tcPr>
            <w:tcW w:w="966" w:type="dxa"/>
            <w:tcBorders>
              <w:top w:val="nil"/>
              <w:left w:val="nil"/>
              <w:bottom w:val="nil"/>
              <w:right w:val="nil"/>
            </w:tcBorders>
            <w:shd w:val="clear" w:color="000000" w:fill="FFFFFF"/>
            <w:noWrap/>
            <w:vAlign w:val="bottom"/>
            <w:hideMark/>
          </w:tcPr>
          <w:p w14:paraId="1E0AFEC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26DC005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99,608</w:t>
            </w:r>
          </w:p>
        </w:tc>
        <w:tc>
          <w:tcPr>
            <w:tcW w:w="824" w:type="dxa"/>
            <w:tcBorders>
              <w:top w:val="nil"/>
              <w:left w:val="nil"/>
              <w:bottom w:val="nil"/>
              <w:right w:val="nil"/>
            </w:tcBorders>
            <w:shd w:val="clear" w:color="000000" w:fill="FFFFFF"/>
            <w:vAlign w:val="bottom"/>
            <w:hideMark/>
          </w:tcPr>
          <w:p w14:paraId="6105D55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77.5</w:t>
            </w:r>
          </w:p>
        </w:tc>
        <w:tc>
          <w:tcPr>
            <w:tcW w:w="833" w:type="dxa"/>
            <w:tcBorders>
              <w:top w:val="nil"/>
              <w:left w:val="nil"/>
              <w:bottom w:val="nil"/>
              <w:right w:val="nil"/>
            </w:tcBorders>
            <w:shd w:val="clear" w:color="000000" w:fill="FFFFFF"/>
            <w:vAlign w:val="bottom"/>
            <w:hideMark/>
          </w:tcPr>
          <w:p w14:paraId="37D6F66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81,360</w:t>
            </w:r>
          </w:p>
        </w:tc>
        <w:tc>
          <w:tcPr>
            <w:tcW w:w="851" w:type="dxa"/>
            <w:tcBorders>
              <w:top w:val="nil"/>
              <w:left w:val="nil"/>
              <w:bottom w:val="nil"/>
              <w:right w:val="nil"/>
            </w:tcBorders>
            <w:shd w:val="clear" w:color="000000" w:fill="FFFFFF"/>
            <w:noWrap/>
            <w:vAlign w:val="bottom"/>
            <w:hideMark/>
          </w:tcPr>
          <w:p w14:paraId="4CB787F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81.7</w:t>
            </w:r>
          </w:p>
        </w:tc>
        <w:tc>
          <w:tcPr>
            <w:tcW w:w="913" w:type="dxa"/>
            <w:tcBorders>
              <w:top w:val="nil"/>
              <w:left w:val="nil"/>
              <w:bottom w:val="nil"/>
              <w:right w:val="nil"/>
            </w:tcBorders>
            <w:shd w:val="clear" w:color="000000" w:fill="FFFFFF"/>
            <w:noWrap/>
            <w:vAlign w:val="bottom"/>
            <w:hideMark/>
          </w:tcPr>
          <w:p w14:paraId="37E6D6B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-22,449</w:t>
            </w:r>
          </w:p>
        </w:tc>
      </w:tr>
      <w:tr w:rsidR="00F56B8C" w:rsidRPr="00AA0ED8" w14:paraId="675A19A5" w14:textId="77777777" w:rsidTr="00786973">
        <w:trPr>
          <w:trHeight w:val="395"/>
        </w:trPr>
        <w:tc>
          <w:tcPr>
            <w:tcW w:w="3113" w:type="dxa"/>
            <w:tcBorders>
              <w:top w:val="nil"/>
              <w:left w:val="nil"/>
              <w:bottom w:val="nil"/>
              <w:right w:val="nil"/>
            </w:tcBorders>
            <w:shd w:val="clear" w:color="000000" w:fill="FFFFFF"/>
            <w:vAlign w:val="center"/>
            <w:hideMark/>
          </w:tcPr>
          <w:p w14:paraId="613A1B22"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Biodefense Analysis and Countermeasures Ctr.</w:t>
            </w:r>
          </w:p>
        </w:tc>
        <w:tc>
          <w:tcPr>
            <w:tcW w:w="810" w:type="dxa"/>
            <w:tcBorders>
              <w:top w:val="nil"/>
              <w:left w:val="nil"/>
              <w:bottom w:val="nil"/>
              <w:right w:val="nil"/>
            </w:tcBorders>
            <w:shd w:val="clear" w:color="000000" w:fill="FFFFFF"/>
            <w:noWrap/>
            <w:vAlign w:val="bottom"/>
            <w:hideMark/>
          </w:tcPr>
          <w:p w14:paraId="0D2FC15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31,201</w:t>
            </w:r>
          </w:p>
        </w:tc>
        <w:tc>
          <w:tcPr>
            <w:tcW w:w="793" w:type="dxa"/>
            <w:tcBorders>
              <w:top w:val="nil"/>
              <w:left w:val="nil"/>
              <w:bottom w:val="nil"/>
              <w:right w:val="nil"/>
            </w:tcBorders>
            <w:shd w:val="clear" w:color="000000" w:fill="FFFFFF"/>
            <w:vAlign w:val="bottom"/>
            <w:hideMark/>
          </w:tcPr>
          <w:p w14:paraId="7C19063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31,201</w:t>
            </w:r>
          </w:p>
        </w:tc>
        <w:tc>
          <w:tcPr>
            <w:tcW w:w="735" w:type="dxa"/>
            <w:tcBorders>
              <w:top w:val="nil"/>
              <w:left w:val="nil"/>
              <w:bottom w:val="nil"/>
              <w:right w:val="nil"/>
            </w:tcBorders>
            <w:shd w:val="clear" w:color="000000" w:fill="FFFFFF"/>
            <w:noWrap/>
            <w:vAlign w:val="bottom"/>
            <w:hideMark/>
          </w:tcPr>
          <w:p w14:paraId="67103D2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32,621</w:t>
            </w:r>
          </w:p>
        </w:tc>
        <w:tc>
          <w:tcPr>
            <w:tcW w:w="966" w:type="dxa"/>
            <w:tcBorders>
              <w:top w:val="nil"/>
              <w:left w:val="nil"/>
              <w:bottom w:val="nil"/>
              <w:right w:val="nil"/>
            </w:tcBorders>
            <w:shd w:val="clear" w:color="000000" w:fill="FFFFFF"/>
            <w:noWrap/>
            <w:vAlign w:val="bottom"/>
            <w:hideMark/>
          </w:tcPr>
          <w:p w14:paraId="7505EA0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95.6</w:t>
            </w:r>
          </w:p>
        </w:tc>
        <w:tc>
          <w:tcPr>
            <w:tcW w:w="715" w:type="dxa"/>
            <w:tcBorders>
              <w:top w:val="nil"/>
              <w:left w:val="nil"/>
              <w:bottom w:val="nil"/>
              <w:right w:val="nil"/>
            </w:tcBorders>
            <w:shd w:val="clear" w:color="000000" w:fill="FFFFFF"/>
            <w:vAlign w:val="bottom"/>
            <w:hideMark/>
          </w:tcPr>
          <w:p w14:paraId="7EF04D4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600</w:t>
            </w:r>
          </w:p>
        </w:tc>
        <w:tc>
          <w:tcPr>
            <w:tcW w:w="824" w:type="dxa"/>
            <w:tcBorders>
              <w:top w:val="nil"/>
              <w:left w:val="nil"/>
              <w:bottom w:val="nil"/>
              <w:right w:val="nil"/>
            </w:tcBorders>
            <w:shd w:val="clear" w:color="000000" w:fill="FFFFFF"/>
            <w:vAlign w:val="bottom"/>
            <w:hideMark/>
          </w:tcPr>
          <w:p w14:paraId="63D2BB3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5,200.2</w:t>
            </w:r>
          </w:p>
        </w:tc>
        <w:tc>
          <w:tcPr>
            <w:tcW w:w="833" w:type="dxa"/>
            <w:tcBorders>
              <w:top w:val="nil"/>
              <w:left w:val="nil"/>
              <w:bottom w:val="nil"/>
              <w:right w:val="nil"/>
            </w:tcBorders>
            <w:shd w:val="clear" w:color="000000" w:fill="FFFFFF"/>
            <w:vAlign w:val="bottom"/>
            <w:hideMark/>
          </w:tcPr>
          <w:p w14:paraId="266546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600</w:t>
            </w:r>
          </w:p>
        </w:tc>
        <w:tc>
          <w:tcPr>
            <w:tcW w:w="851" w:type="dxa"/>
            <w:tcBorders>
              <w:top w:val="nil"/>
              <w:left w:val="nil"/>
              <w:bottom w:val="nil"/>
              <w:right w:val="nil"/>
            </w:tcBorders>
            <w:shd w:val="clear" w:color="000000" w:fill="FFFFFF"/>
            <w:noWrap/>
            <w:vAlign w:val="bottom"/>
            <w:hideMark/>
          </w:tcPr>
          <w:p w14:paraId="16490A4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0B1CB50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30,601</w:t>
            </w:r>
          </w:p>
        </w:tc>
      </w:tr>
      <w:tr w:rsidR="00F56B8C" w:rsidRPr="00AA0ED8" w14:paraId="1E6CD35A" w14:textId="77777777" w:rsidTr="00786973">
        <w:trPr>
          <w:trHeight w:val="170"/>
        </w:trPr>
        <w:tc>
          <w:tcPr>
            <w:tcW w:w="3113" w:type="dxa"/>
            <w:tcBorders>
              <w:top w:val="nil"/>
              <w:left w:val="nil"/>
              <w:bottom w:val="nil"/>
              <w:right w:val="nil"/>
            </w:tcBorders>
            <w:shd w:val="clear" w:color="000000" w:fill="FFFFFF"/>
            <w:vAlign w:val="center"/>
            <w:hideMark/>
          </w:tcPr>
          <w:p w14:paraId="0696C70E"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IRS/VA sponsored</w:t>
            </w:r>
          </w:p>
        </w:tc>
        <w:tc>
          <w:tcPr>
            <w:tcW w:w="810" w:type="dxa"/>
            <w:tcBorders>
              <w:top w:val="nil"/>
              <w:left w:val="nil"/>
              <w:bottom w:val="nil"/>
              <w:right w:val="nil"/>
            </w:tcBorders>
            <w:shd w:val="clear" w:color="000000" w:fill="FFFFFF"/>
            <w:noWrap/>
            <w:vAlign w:val="bottom"/>
            <w:hideMark/>
          </w:tcPr>
          <w:p w14:paraId="615F1E1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1911D5B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5C4159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5210730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5C1AAC5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065342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431EA2B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0956508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4F5C2E6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1B180458" w14:textId="77777777" w:rsidTr="00786973">
        <w:trPr>
          <w:trHeight w:val="225"/>
        </w:trPr>
        <w:tc>
          <w:tcPr>
            <w:tcW w:w="3113" w:type="dxa"/>
            <w:tcBorders>
              <w:top w:val="nil"/>
              <w:left w:val="nil"/>
              <w:bottom w:val="nil"/>
              <w:right w:val="nil"/>
            </w:tcBorders>
            <w:shd w:val="clear" w:color="000000" w:fill="FFFFFF"/>
            <w:vAlign w:val="center"/>
            <w:hideMark/>
          </w:tcPr>
          <w:p w14:paraId="4FF4E46F"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Ctr. for Enterprise Modernization</w:t>
            </w:r>
          </w:p>
        </w:tc>
        <w:tc>
          <w:tcPr>
            <w:tcW w:w="810" w:type="dxa"/>
            <w:tcBorders>
              <w:top w:val="nil"/>
              <w:left w:val="nil"/>
              <w:bottom w:val="nil"/>
              <w:right w:val="nil"/>
            </w:tcBorders>
            <w:shd w:val="clear" w:color="000000" w:fill="FFFFFF"/>
            <w:noWrap/>
            <w:vAlign w:val="bottom"/>
            <w:hideMark/>
          </w:tcPr>
          <w:p w14:paraId="00EC4DC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226,539</w:t>
            </w:r>
          </w:p>
        </w:tc>
        <w:tc>
          <w:tcPr>
            <w:tcW w:w="793" w:type="dxa"/>
            <w:tcBorders>
              <w:top w:val="nil"/>
              <w:left w:val="nil"/>
              <w:bottom w:val="nil"/>
              <w:right w:val="nil"/>
            </w:tcBorders>
            <w:shd w:val="clear" w:color="000000" w:fill="FFFFFF"/>
            <w:vAlign w:val="bottom"/>
            <w:hideMark/>
          </w:tcPr>
          <w:p w14:paraId="0470311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226,539</w:t>
            </w:r>
          </w:p>
        </w:tc>
        <w:tc>
          <w:tcPr>
            <w:tcW w:w="735" w:type="dxa"/>
            <w:tcBorders>
              <w:top w:val="nil"/>
              <w:left w:val="nil"/>
              <w:bottom w:val="nil"/>
              <w:right w:val="nil"/>
            </w:tcBorders>
            <w:shd w:val="clear" w:color="000000" w:fill="FFFFFF"/>
            <w:noWrap/>
            <w:vAlign w:val="bottom"/>
            <w:hideMark/>
          </w:tcPr>
          <w:p w14:paraId="5F17435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226,539</w:t>
            </w:r>
          </w:p>
        </w:tc>
        <w:tc>
          <w:tcPr>
            <w:tcW w:w="966" w:type="dxa"/>
            <w:tcBorders>
              <w:top w:val="nil"/>
              <w:left w:val="nil"/>
              <w:bottom w:val="nil"/>
              <w:right w:val="nil"/>
            </w:tcBorders>
            <w:shd w:val="clear" w:color="000000" w:fill="FFFFFF"/>
            <w:noWrap/>
            <w:vAlign w:val="bottom"/>
            <w:hideMark/>
          </w:tcPr>
          <w:p w14:paraId="1A7FA16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2D60C9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34,340</w:t>
            </w:r>
          </w:p>
        </w:tc>
        <w:tc>
          <w:tcPr>
            <w:tcW w:w="824" w:type="dxa"/>
            <w:tcBorders>
              <w:top w:val="nil"/>
              <w:left w:val="nil"/>
              <w:bottom w:val="nil"/>
              <w:right w:val="nil"/>
            </w:tcBorders>
            <w:shd w:val="clear" w:color="000000" w:fill="FFFFFF"/>
            <w:vAlign w:val="bottom"/>
            <w:hideMark/>
          </w:tcPr>
          <w:p w14:paraId="7519A47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659.7</w:t>
            </w:r>
          </w:p>
        </w:tc>
        <w:tc>
          <w:tcPr>
            <w:tcW w:w="833" w:type="dxa"/>
            <w:tcBorders>
              <w:top w:val="nil"/>
              <w:left w:val="nil"/>
              <w:bottom w:val="nil"/>
              <w:right w:val="nil"/>
            </w:tcBorders>
            <w:shd w:val="clear" w:color="000000" w:fill="FFFFFF"/>
            <w:vAlign w:val="bottom"/>
            <w:hideMark/>
          </w:tcPr>
          <w:p w14:paraId="73C64A9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34,340</w:t>
            </w:r>
          </w:p>
        </w:tc>
        <w:tc>
          <w:tcPr>
            <w:tcW w:w="851" w:type="dxa"/>
            <w:tcBorders>
              <w:top w:val="nil"/>
              <w:left w:val="nil"/>
              <w:bottom w:val="nil"/>
              <w:right w:val="nil"/>
            </w:tcBorders>
            <w:shd w:val="clear" w:color="000000" w:fill="FFFFFF"/>
            <w:noWrap/>
            <w:vAlign w:val="bottom"/>
            <w:hideMark/>
          </w:tcPr>
          <w:p w14:paraId="1929082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5629C28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192,199</w:t>
            </w:r>
          </w:p>
        </w:tc>
      </w:tr>
      <w:tr w:rsidR="00F56B8C" w:rsidRPr="00AA0ED8" w14:paraId="5C898C62" w14:textId="77777777" w:rsidTr="00786973">
        <w:trPr>
          <w:trHeight w:val="170"/>
        </w:trPr>
        <w:tc>
          <w:tcPr>
            <w:tcW w:w="3113" w:type="dxa"/>
            <w:tcBorders>
              <w:top w:val="nil"/>
              <w:left w:val="nil"/>
              <w:bottom w:val="nil"/>
              <w:right w:val="nil"/>
            </w:tcBorders>
            <w:shd w:val="clear" w:color="000000" w:fill="FFFFFF"/>
            <w:vAlign w:val="center"/>
            <w:hideMark/>
          </w:tcPr>
          <w:p w14:paraId="036B54E7"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DOT sponsored</w:t>
            </w:r>
          </w:p>
        </w:tc>
        <w:tc>
          <w:tcPr>
            <w:tcW w:w="810" w:type="dxa"/>
            <w:tcBorders>
              <w:top w:val="nil"/>
              <w:left w:val="nil"/>
              <w:bottom w:val="nil"/>
              <w:right w:val="nil"/>
            </w:tcBorders>
            <w:shd w:val="clear" w:color="000000" w:fill="FFFFFF"/>
            <w:noWrap/>
            <w:vAlign w:val="bottom"/>
            <w:hideMark/>
          </w:tcPr>
          <w:p w14:paraId="47A4C67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175F4F1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3E6A59E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1108F63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1FDABEB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25D3AD2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44A5905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1EA06DF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0BA88F2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42031C2D" w14:textId="77777777" w:rsidTr="00786973">
        <w:trPr>
          <w:trHeight w:val="209"/>
        </w:trPr>
        <w:tc>
          <w:tcPr>
            <w:tcW w:w="3113" w:type="dxa"/>
            <w:tcBorders>
              <w:top w:val="nil"/>
              <w:left w:val="nil"/>
              <w:bottom w:val="nil"/>
              <w:right w:val="nil"/>
            </w:tcBorders>
            <w:shd w:val="clear" w:color="000000" w:fill="FFFFFF"/>
            <w:vAlign w:val="center"/>
            <w:hideMark/>
          </w:tcPr>
          <w:p w14:paraId="23DB800B"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Ctr. for Advanced Aviation System Dev.</w:t>
            </w:r>
          </w:p>
        </w:tc>
        <w:tc>
          <w:tcPr>
            <w:tcW w:w="810" w:type="dxa"/>
            <w:tcBorders>
              <w:top w:val="nil"/>
              <w:left w:val="nil"/>
              <w:bottom w:val="nil"/>
              <w:right w:val="nil"/>
            </w:tcBorders>
            <w:shd w:val="clear" w:color="000000" w:fill="FFFFFF"/>
            <w:noWrap/>
            <w:vAlign w:val="bottom"/>
            <w:hideMark/>
          </w:tcPr>
          <w:p w14:paraId="36CBE3D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159,311</w:t>
            </w:r>
          </w:p>
        </w:tc>
        <w:tc>
          <w:tcPr>
            <w:tcW w:w="793" w:type="dxa"/>
            <w:tcBorders>
              <w:top w:val="nil"/>
              <w:left w:val="nil"/>
              <w:bottom w:val="nil"/>
              <w:right w:val="nil"/>
            </w:tcBorders>
            <w:shd w:val="clear" w:color="000000" w:fill="FFFFFF"/>
            <w:vAlign w:val="bottom"/>
            <w:hideMark/>
          </w:tcPr>
          <w:p w14:paraId="46EF76C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150,274</w:t>
            </w:r>
          </w:p>
        </w:tc>
        <w:tc>
          <w:tcPr>
            <w:tcW w:w="735" w:type="dxa"/>
            <w:tcBorders>
              <w:top w:val="nil"/>
              <w:left w:val="nil"/>
              <w:bottom w:val="nil"/>
              <w:right w:val="nil"/>
            </w:tcBorders>
            <w:shd w:val="clear" w:color="000000" w:fill="FFFFFF"/>
            <w:noWrap/>
            <w:vAlign w:val="bottom"/>
            <w:hideMark/>
          </w:tcPr>
          <w:p w14:paraId="6BACB6C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159,311</w:t>
            </w:r>
          </w:p>
        </w:tc>
        <w:tc>
          <w:tcPr>
            <w:tcW w:w="966" w:type="dxa"/>
            <w:tcBorders>
              <w:top w:val="nil"/>
              <w:left w:val="nil"/>
              <w:bottom w:val="nil"/>
              <w:right w:val="nil"/>
            </w:tcBorders>
            <w:shd w:val="clear" w:color="000000" w:fill="FFFFFF"/>
            <w:noWrap/>
            <w:vAlign w:val="bottom"/>
            <w:hideMark/>
          </w:tcPr>
          <w:p w14:paraId="5BED3EF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94.3</w:t>
            </w:r>
          </w:p>
        </w:tc>
        <w:tc>
          <w:tcPr>
            <w:tcW w:w="715" w:type="dxa"/>
            <w:tcBorders>
              <w:top w:val="nil"/>
              <w:left w:val="nil"/>
              <w:bottom w:val="nil"/>
              <w:right w:val="nil"/>
            </w:tcBorders>
            <w:shd w:val="clear" w:color="000000" w:fill="FFFFFF"/>
            <w:vAlign w:val="bottom"/>
            <w:hideMark/>
          </w:tcPr>
          <w:p w14:paraId="3794A28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431,583</w:t>
            </w:r>
          </w:p>
        </w:tc>
        <w:tc>
          <w:tcPr>
            <w:tcW w:w="824" w:type="dxa"/>
            <w:tcBorders>
              <w:top w:val="nil"/>
              <w:left w:val="nil"/>
              <w:bottom w:val="nil"/>
              <w:right w:val="nil"/>
            </w:tcBorders>
            <w:shd w:val="clear" w:color="000000" w:fill="FFFFFF"/>
            <w:vAlign w:val="bottom"/>
            <w:hideMark/>
          </w:tcPr>
          <w:p w14:paraId="5C2CF6D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34.8</w:t>
            </w:r>
          </w:p>
        </w:tc>
        <w:tc>
          <w:tcPr>
            <w:tcW w:w="833" w:type="dxa"/>
            <w:tcBorders>
              <w:top w:val="nil"/>
              <w:left w:val="nil"/>
              <w:bottom w:val="nil"/>
              <w:right w:val="nil"/>
            </w:tcBorders>
            <w:shd w:val="clear" w:color="000000" w:fill="FFFFFF"/>
            <w:vAlign w:val="bottom"/>
            <w:hideMark/>
          </w:tcPr>
          <w:p w14:paraId="4406FE2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37,100</w:t>
            </w:r>
          </w:p>
        </w:tc>
        <w:tc>
          <w:tcPr>
            <w:tcW w:w="851" w:type="dxa"/>
            <w:tcBorders>
              <w:top w:val="nil"/>
              <w:left w:val="nil"/>
              <w:bottom w:val="nil"/>
              <w:right w:val="nil"/>
            </w:tcBorders>
            <w:shd w:val="clear" w:color="000000" w:fill="FFFFFF"/>
            <w:noWrap/>
            <w:vAlign w:val="bottom"/>
            <w:hideMark/>
          </w:tcPr>
          <w:p w14:paraId="5B51332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8.6</w:t>
            </w:r>
          </w:p>
        </w:tc>
        <w:tc>
          <w:tcPr>
            <w:tcW w:w="913" w:type="dxa"/>
            <w:tcBorders>
              <w:top w:val="nil"/>
              <w:left w:val="nil"/>
              <w:bottom w:val="nil"/>
              <w:right w:val="nil"/>
            </w:tcBorders>
            <w:shd w:val="clear" w:color="000000" w:fill="FFFFFF"/>
            <w:noWrap/>
            <w:vAlign w:val="bottom"/>
            <w:hideMark/>
          </w:tcPr>
          <w:p w14:paraId="552330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-281,309</w:t>
            </w:r>
          </w:p>
        </w:tc>
      </w:tr>
      <w:tr w:rsidR="00F56B8C" w:rsidRPr="00AA0ED8" w14:paraId="3147C592" w14:textId="77777777" w:rsidTr="00786973">
        <w:trPr>
          <w:trHeight w:val="170"/>
        </w:trPr>
        <w:tc>
          <w:tcPr>
            <w:tcW w:w="3113" w:type="dxa"/>
            <w:tcBorders>
              <w:top w:val="nil"/>
              <w:left w:val="nil"/>
              <w:bottom w:val="nil"/>
              <w:right w:val="nil"/>
            </w:tcBorders>
            <w:shd w:val="clear" w:color="000000" w:fill="FFFFFF"/>
            <w:vAlign w:val="center"/>
            <w:hideMark/>
          </w:tcPr>
          <w:p w14:paraId="0C5CD3A0"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NASA sponsored</w:t>
            </w:r>
          </w:p>
        </w:tc>
        <w:tc>
          <w:tcPr>
            <w:tcW w:w="810" w:type="dxa"/>
            <w:tcBorders>
              <w:top w:val="nil"/>
              <w:left w:val="nil"/>
              <w:bottom w:val="nil"/>
              <w:right w:val="nil"/>
            </w:tcBorders>
            <w:shd w:val="clear" w:color="000000" w:fill="FFFFFF"/>
            <w:noWrap/>
            <w:vAlign w:val="bottom"/>
            <w:hideMark/>
          </w:tcPr>
          <w:p w14:paraId="602F5C7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13FB3C0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283B1A4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7E6D17E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3A3AAC2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77EBD0C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2CB43B8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195B911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68DAE9C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700F4055" w14:textId="77777777" w:rsidTr="00786973">
        <w:trPr>
          <w:trHeight w:val="225"/>
        </w:trPr>
        <w:tc>
          <w:tcPr>
            <w:tcW w:w="3113" w:type="dxa"/>
            <w:tcBorders>
              <w:top w:val="nil"/>
              <w:left w:val="nil"/>
              <w:bottom w:val="nil"/>
              <w:right w:val="nil"/>
            </w:tcBorders>
            <w:shd w:val="clear" w:color="000000" w:fill="FFFFFF"/>
            <w:vAlign w:val="center"/>
            <w:hideMark/>
          </w:tcPr>
          <w:p w14:paraId="29734E0D"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Jet Propulsion Lab.</w:t>
            </w:r>
          </w:p>
        </w:tc>
        <w:tc>
          <w:tcPr>
            <w:tcW w:w="810" w:type="dxa"/>
            <w:tcBorders>
              <w:top w:val="nil"/>
              <w:left w:val="nil"/>
              <w:bottom w:val="nil"/>
              <w:right w:val="nil"/>
            </w:tcBorders>
            <w:shd w:val="clear" w:color="000000" w:fill="FFFFFF"/>
            <w:noWrap/>
            <w:vAlign w:val="bottom"/>
            <w:hideMark/>
          </w:tcPr>
          <w:p w14:paraId="478624A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1,493,613</w:t>
            </w:r>
          </w:p>
        </w:tc>
        <w:tc>
          <w:tcPr>
            <w:tcW w:w="793" w:type="dxa"/>
            <w:tcBorders>
              <w:top w:val="nil"/>
              <w:left w:val="nil"/>
              <w:bottom w:val="nil"/>
              <w:right w:val="nil"/>
            </w:tcBorders>
            <w:shd w:val="clear" w:color="000000" w:fill="FFFFFF"/>
            <w:vAlign w:val="bottom"/>
            <w:hideMark/>
          </w:tcPr>
          <w:p w14:paraId="00393C5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1,493,613</w:t>
            </w:r>
          </w:p>
        </w:tc>
        <w:tc>
          <w:tcPr>
            <w:tcW w:w="735" w:type="dxa"/>
            <w:tcBorders>
              <w:top w:val="nil"/>
              <w:left w:val="nil"/>
              <w:bottom w:val="nil"/>
              <w:right w:val="nil"/>
            </w:tcBorders>
            <w:shd w:val="clear" w:color="000000" w:fill="FFFFFF"/>
            <w:noWrap/>
            <w:vAlign w:val="bottom"/>
            <w:hideMark/>
          </w:tcPr>
          <w:p w14:paraId="2ECD94E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1,500,064</w:t>
            </w:r>
          </w:p>
        </w:tc>
        <w:tc>
          <w:tcPr>
            <w:tcW w:w="966" w:type="dxa"/>
            <w:tcBorders>
              <w:top w:val="nil"/>
              <w:left w:val="nil"/>
              <w:bottom w:val="nil"/>
              <w:right w:val="nil"/>
            </w:tcBorders>
            <w:shd w:val="clear" w:color="000000" w:fill="FFFFFF"/>
            <w:noWrap/>
            <w:vAlign w:val="bottom"/>
            <w:hideMark/>
          </w:tcPr>
          <w:p w14:paraId="1FD52E1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99.6</w:t>
            </w:r>
          </w:p>
        </w:tc>
        <w:tc>
          <w:tcPr>
            <w:tcW w:w="715" w:type="dxa"/>
            <w:tcBorders>
              <w:top w:val="nil"/>
              <w:left w:val="nil"/>
              <w:bottom w:val="nil"/>
              <w:right w:val="nil"/>
            </w:tcBorders>
            <w:shd w:val="clear" w:color="000000" w:fill="FFFFFF"/>
            <w:vAlign w:val="bottom"/>
            <w:hideMark/>
          </w:tcPr>
          <w:p w14:paraId="505612F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1,320,712</w:t>
            </w:r>
          </w:p>
        </w:tc>
        <w:tc>
          <w:tcPr>
            <w:tcW w:w="824" w:type="dxa"/>
            <w:tcBorders>
              <w:top w:val="nil"/>
              <w:left w:val="nil"/>
              <w:bottom w:val="nil"/>
              <w:right w:val="nil"/>
            </w:tcBorders>
            <w:shd w:val="clear" w:color="000000" w:fill="FFFFFF"/>
            <w:vAlign w:val="bottom"/>
            <w:hideMark/>
          </w:tcPr>
          <w:p w14:paraId="1122ECD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113.1</w:t>
            </w:r>
          </w:p>
        </w:tc>
        <w:tc>
          <w:tcPr>
            <w:tcW w:w="833" w:type="dxa"/>
            <w:tcBorders>
              <w:top w:val="nil"/>
              <w:left w:val="nil"/>
              <w:bottom w:val="nil"/>
              <w:right w:val="nil"/>
            </w:tcBorders>
            <w:shd w:val="clear" w:color="000000" w:fill="FFFFFF"/>
            <w:vAlign w:val="bottom"/>
            <w:hideMark/>
          </w:tcPr>
          <w:p w14:paraId="03E5D7A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1,296,191</w:t>
            </w:r>
          </w:p>
        </w:tc>
        <w:tc>
          <w:tcPr>
            <w:tcW w:w="851" w:type="dxa"/>
            <w:tcBorders>
              <w:top w:val="nil"/>
              <w:left w:val="nil"/>
              <w:bottom w:val="nil"/>
              <w:right w:val="nil"/>
            </w:tcBorders>
            <w:shd w:val="clear" w:color="000000" w:fill="FFFFFF"/>
            <w:noWrap/>
            <w:vAlign w:val="bottom"/>
            <w:hideMark/>
          </w:tcPr>
          <w:p w14:paraId="238E840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98.1</w:t>
            </w:r>
          </w:p>
        </w:tc>
        <w:tc>
          <w:tcPr>
            <w:tcW w:w="913" w:type="dxa"/>
            <w:tcBorders>
              <w:top w:val="nil"/>
              <w:left w:val="nil"/>
              <w:bottom w:val="nil"/>
              <w:right w:val="nil"/>
            </w:tcBorders>
            <w:shd w:val="clear" w:color="000000" w:fill="FFFFFF"/>
            <w:noWrap/>
            <w:vAlign w:val="bottom"/>
            <w:hideMark/>
          </w:tcPr>
          <w:p w14:paraId="2D6AAA2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172,901</w:t>
            </w:r>
          </w:p>
        </w:tc>
      </w:tr>
      <w:tr w:rsidR="00F56B8C" w:rsidRPr="00AA0ED8" w14:paraId="3264624F" w14:textId="77777777" w:rsidTr="00786973">
        <w:trPr>
          <w:trHeight w:val="190"/>
        </w:trPr>
        <w:tc>
          <w:tcPr>
            <w:tcW w:w="3113" w:type="dxa"/>
            <w:tcBorders>
              <w:top w:val="nil"/>
              <w:left w:val="nil"/>
              <w:bottom w:val="nil"/>
              <w:right w:val="nil"/>
            </w:tcBorders>
            <w:shd w:val="clear" w:color="000000" w:fill="FFFFFF"/>
            <w:vAlign w:val="center"/>
            <w:hideMark/>
          </w:tcPr>
          <w:p w14:paraId="142401BB"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NSF sponsored</w:t>
            </w:r>
          </w:p>
        </w:tc>
        <w:tc>
          <w:tcPr>
            <w:tcW w:w="810" w:type="dxa"/>
            <w:tcBorders>
              <w:top w:val="nil"/>
              <w:left w:val="nil"/>
              <w:bottom w:val="nil"/>
              <w:right w:val="nil"/>
            </w:tcBorders>
            <w:shd w:val="clear" w:color="000000" w:fill="FFFFFF"/>
            <w:noWrap/>
            <w:vAlign w:val="bottom"/>
            <w:hideMark/>
          </w:tcPr>
          <w:p w14:paraId="446318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28AA487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27AA6B7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4FE9D8E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5933B90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304D9BC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2C5E0C8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2F12FB0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0634CB3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6ABCA57F" w14:textId="77777777" w:rsidTr="00786973">
        <w:trPr>
          <w:trHeight w:val="225"/>
        </w:trPr>
        <w:tc>
          <w:tcPr>
            <w:tcW w:w="3113" w:type="dxa"/>
            <w:tcBorders>
              <w:top w:val="nil"/>
              <w:left w:val="nil"/>
              <w:bottom w:val="nil"/>
              <w:right w:val="nil"/>
            </w:tcBorders>
            <w:shd w:val="clear" w:color="000000" w:fill="FFFFFF"/>
            <w:vAlign w:val="center"/>
            <w:hideMark/>
          </w:tcPr>
          <w:p w14:paraId="501C3110"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Ctr. for Atmospheric Research</w:t>
            </w:r>
          </w:p>
        </w:tc>
        <w:tc>
          <w:tcPr>
            <w:tcW w:w="810" w:type="dxa"/>
            <w:tcBorders>
              <w:top w:val="nil"/>
              <w:left w:val="nil"/>
              <w:bottom w:val="nil"/>
              <w:right w:val="nil"/>
            </w:tcBorders>
            <w:shd w:val="clear" w:color="000000" w:fill="FFFFFF"/>
            <w:noWrap/>
            <w:vAlign w:val="bottom"/>
            <w:hideMark/>
          </w:tcPr>
          <w:p w14:paraId="64930DC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169,743</w:t>
            </w:r>
          </w:p>
        </w:tc>
        <w:tc>
          <w:tcPr>
            <w:tcW w:w="793" w:type="dxa"/>
            <w:tcBorders>
              <w:top w:val="nil"/>
              <w:left w:val="nil"/>
              <w:bottom w:val="nil"/>
              <w:right w:val="nil"/>
            </w:tcBorders>
            <w:shd w:val="clear" w:color="000000" w:fill="FFFFFF"/>
            <w:vAlign w:val="bottom"/>
            <w:hideMark/>
          </w:tcPr>
          <w:p w14:paraId="7884526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151,752</w:t>
            </w:r>
          </w:p>
        </w:tc>
        <w:tc>
          <w:tcPr>
            <w:tcW w:w="735" w:type="dxa"/>
            <w:tcBorders>
              <w:top w:val="nil"/>
              <w:left w:val="nil"/>
              <w:bottom w:val="nil"/>
              <w:right w:val="nil"/>
            </w:tcBorders>
            <w:shd w:val="clear" w:color="000000" w:fill="FFFFFF"/>
            <w:noWrap/>
            <w:vAlign w:val="bottom"/>
            <w:hideMark/>
          </w:tcPr>
          <w:p w14:paraId="0759FB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169,743</w:t>
            </w:r>
          </w:p>
        </w:tc>
        <w:tc>
          <w:tcPr>
            <w:tcW w:w="966" w:type="dxa"/>
            <w:tcBorders>
              <w:top w:val="nil"/>
              <w:left w:val="nil"/>
              <w:bottom w:val="nil"/>
              <w:right w:val="nil"/>
            </w:tcBorders>
            <w:shd w:val="clear" w:color="000000" w:fill="FFFFFF"/>
            <w:noWrap/>
            <w:vAlign w:val="bottom"/>
            <w:hideMark/>
          </w:tcPr>
          <w:p w14:paraId="220CA5E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89.4</w:t>
            </w:r>
          </w:p>
        </w:tc>
        <w:tc>
          <w:tcPr>
            <w:tcW w:w="715" w:type="dxa"/>
            <w:tcBorders>
              <w:top w:val="nil"/>
              <w:left w:val="nil"/>
              <w:bottom w:val="nil"/>
              <w:right w:val="nil"/>
            </w:tcBorders>
            <w:shd w:val="clear" w:color="000000" w:fill="FFFFFF"/>
            <w:vAlign w:val="bottom"/>
            <w:hideMark/>
          </w:tcPr>
          <w:p w14:paraId="5A45729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111,045.0</w:t>
            </w:r>
          </w:p>
        </w:tc>
        <w:tc>
          <w:tcPr>
            <w:tcW w:w="824" w:type="dxa"/>
            <w:tcBorders>
              <w:top w:val="nil"/>
              <w:left w:val="nil"/>
              <w:bottom w:val="nil"/>
              <w:right w:val="nil"/>
            </w:tcBorders>
            <w:shd w:val="clear" w:color="000000" w:fill="FFFFFF"/>
            <w:vAlign w:val="bottom"/>
            <w:hideMark/>
          </w:tcPr>
          <w:p w14:paraId="35493B3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136.7</w:t>
            </w:r>
          </w:p>
        </w:tc>
        <w:tc>
          <w:tcPr>
            <w:tcW w:w="833" w:type="dxa"/>
            <w:tcBorders>
              <w:top w:val="nil"/>
              <w:left w:val="nil"/>
              <w:bottom w:val="nil"/>
              <w:right w:val="nil"/>
            </w:tcBorders>
            <w:shd w:val="clear" w:color="000000" w:fill="FFFFFF"/>
            <w:vAlign w:val="bottom"/>
            <w:hideMark/>
          </w:tcPr>
          <w:p w14:paraId="557136D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93,191.2</w:t>
            </w:r>
          </w:p>
        </w:tc>
        <w:tc>
          <w:tcPr>
            <w:tcW w:w="851" w:type="dxa"/>
            <w:tcBorders>
              <w:top w:val="nil"/>
              <w:left w:val="nil"/>
              <w:bottom w:val="nil"/>
              <w:right w:val="nil"/>
            </w:tcBorders>
            <w:shd w:val="clear" w:color="000000" w:fill="FFFFFF"/>
            <w:noWrap/>
            <w:vAlign w:val="bottom"/>
            <w:hideMark/>
          </w:tcPr>
          <w:p w14:paraId="7352E1F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83.9</w:t>
            </w:r>
          </w:p>
        </w:tc>
        <w:tc>
          <w:tcPr>
            <w:tcW w:w="913" w:type="dxa"/>
            <w:tcBorders>
              <w:top w:val="nil"/>
              <w:left w:val="nil"/>
              <w:bottom w:val="nil"/>
              <w:right w:val="nil"/>
            </w:tcBorders>
            <w:shd w:val="clear" w:color="000000" w:fill="FFFFFF"/>
            <w:noWrap/>
            <w:vAlign w:val="bottom"/>
            <w:hideMark/>
          </w:tcPr>
          <w:p w14:paraId="4DB3186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40,707</w:t>
            </w:r>
          </w:p>
        </w:tc>
      </w:tr>
      <w:tr w:rsidR="00F56B8C" w:rsidRPr="00AA0ED8" w14:paraId="75BB0F57" w14:textId="77777777" w:rsidTr="00786973">
        <w:trPr>
          <w:trHeight w:val="225"/>
        </w:trPr>
        <w:tc>
          <w:tcPr>
            <w:tcW w:w="3113" w:type="dxa"/>
            <w:tcBorders>
              <w:top w:val="nil"/>
              <w:left w:val="nil"/>
              <w:bottom w:val="nil"/>
              <w:right w:val="nil"/>
            </w:tcBorders>
            <w:shd w:val="clear" w:color="000000" w:fill="FFFFFF"/>
            <w:vAlign w:val="center"/>
            <w:hideMark/>
          </w:tcPr>
          <w:p w14:paraId="6225F72A"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Optical Astronomy Observatory</w:t>
            </w:r>
          </w:p>
        </w:tc>
        <w:tc>
          <w:tcPr>
            <w:tcW w:w="810" w:type="dxa"/>
            <w:tcBorders>
              <w:top w:val="nil"/>
              <w:left w:val="nil"/>
              <w:bottom w:val="nil"/>
              <w:right w:val="nil"/>
            </w:tcBorders>
            <w:shd w:val="clear" w:color="000000" w:fill="FFFFFF"/>
            <w:noWrap/>
            <w:vAlign w:val="bottom"/>
            <w:hideMark/>
          </w:tcPr>
          <w:p w14:paraId="6587F40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46,557</w:t>
            </w:r>
          </w:p>
        </w:tc>
        <w:tc>
          <w:tcPr>
            <w:tcW w:w="793" w:type="dxa"/>
            <w:tcBorders>
              <w:top w:val="nil"/>
              <w:left w:val="nil"/>
              <w:bottom w:val="nil"/>
              <w:right w:val="nil"/>
            </w:tcBorders>
            <w:shd w:val="clear" w:color="000000" w:fill="FFFFFF"/>
            <w:vAlign w:val="bottom"/>
            <w:hideMark/>
          </w:tcPr>
          <w:p w14:paraId="2BA98E5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42,298</w:t>
            </w:r>
          </w:p>
        </w:tc>
        <w:tc>
          <w:tcPr>
            <w:tcW w:w="735" w:type="dxa"/>
            <w:tcBorders>
              <w:top w:val="nil"/>
              <w:left w:val="nil"/>
              <w:bottom w:val="nil"/>
              <w:right w:val="nil"/>
            </w:tcBorders>
            <w:shd w:val="clear" w:color="000000" w:fill="FFFFFF"/>
            <w:noWrap/>
            <w:vAlign w:val="bottom"/>
            <w:hideMark/>
          </w:tcPr>
          <w:p w14:paraId="22C6FC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55,767</w:t>
            </w:r>
          </w:p>
        </w:tc>
        <w:tc>
          <w:tcPr>
            <w:tcW w:w="966" w:type="dxa"/>
            <w:tcBorders>
              <w:top w:val="nil"/>
              <w:left w:val="nil"/>
              <w:bottom w:val="nil"/>
              <w:right w:val="nil"/>
            </w:tcBorders>
            <w:shd w:val="clear" w:color="000000" w:fill="FFFFFF"/>
            <w:noWrap/>
            <w:vAlign w:val="bottom"/>
            <w:hideMark/>
          </w:tcPr>
          <w:p w14:paraId="46CE7A0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75.8</w:t>
            </w:r>
          </w:p>
        </w:tc>
        <w:tc>
          <w:tcPr>
            <w:tcW w:w="715" w:type="dxa"/>
            <w:tcBorders>
              <w:top w:val="nil"/>
              <w:left w:val="nil"/>
              <w:bottom w:val="nil"/>
              <w:right w:val="nil"/>
            </w:tcBorders>
            <w:shd w:val="clear" w:color="000000" w:fill="FFFFFF"/>
            <w:vAlign w:val="bottom"/>
            <w:hideMark/>
          </w:tcPr>
          <w:p w14:paraId="7A2C1A4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30,708.7</w:t>
            </w:r>
          </w:p>
        </w:tc>
        <w:tc>
          <w:tcPr>
            <w:tcW w:w="824" w:type="dxa"/>
            <w:tcBorders>
              <w:top w:val="nil"/>
              <w:left w:val="nil"/>
              <w:bottom w:val="nil"/>
              <w:right w:val="nil"/>
            </w:tcBorders>
            <w:shd w:val="clear" w:color="000000" w:fill="FFFFFF"/>
            <w:vAlign w:val="bottom"/>
            <w:hideMark/>
          </w:tcPr>
          <w:p w14:paraId="08F84D4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137.7</w:t>
            </w:r>
          </w:p>
        </w:tc>
        <w:tc>
          <w:tcPr>
            <w:tcW w:w="833" w:type="dxa"/>
            <w:tcBorders>
              <w:top w:val="nil"/>
              <w:left w:val="nil"/>
              <w:bottom w:val="nil"/>
              <w:right w:val="nil"/>
            </w:tcBorders>
            <w:shd w:val="clear" w:color="000000" w:fill="FFFFFF"/>
            <w:vAlign w:val="bottom"/>
            <w:hideMark/>
          </w:tcPr>
          <w:p w14:paraId="38B8E3C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30,708.7</w:t>
            </w:r>
          </w:p>
        </w:tc>
        <w:tc>
          <w:tcPr>
            <w:tcW w:w="851" w:type="dxa"/>
            <w:tcBorders>
              <w:top w:val="nil"/>
              <w:left w:val="nil"/>
              <w:bottom w:val="nil"/>
              <w:right w:val="nil"/>
            </w:tcBorders>
            <w:shd w:val="clear" w:color="000000" w:fill="FFFFFF"/>
            <w:noWrap/>
            <w:vAlign w:val="bottom"/>
            <w:hideMark/>
          </w:tcPr>
          <w:p w14:paraId="2806F40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2DCB925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11,589</w:t>
            </w:r>
          </w:p>
        </w:tc>
      </w:tr>
      <w:tr w:rsidR="00F56B8C" w:rsidRPr="00AA0ED8" w14:paraId="6180572E" w14:textId="77777777" w:rsidTr="00786973">
        <w:trPr>
          <w:trHeight w:val="225"/>
        </w:trPr>
        <w:tc>
          <w:tcPr>
            <w:tcW w:w="3113" w:type="dxa"/>
            <w:tcBorders>
              <w:top w:val="nil"/>
              <w:left w:val="nil"/>
              <w:bottom w:val="nil"/>
              <w:right w:val="nil"/>
            </w:tcBorders>
            <w:shd w:val="clear" w:color="000000" w:fill="FFFFFF"/>
            <w:vAlign w:val="center"/>
            <w:hideMark/>
          </w:tcPr>
          <w:p w14:paraId="24486BBA"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National Radio Astronomy Observatory</w:t>
            </w:r>
          </w:p>
        </w:tc>
        <w:tc>
          <w:tcPr>
            <w:tcW w:w="810" w:type="dxa"/>
            <w:tcBorders>
              <w:top w:val="nil"/>
              <w:left w:val="nil"/>
              <w:bottom w:val="nil"/>
              <w:right w:val="nil"/>
            </w:tcBorders>
            <w:shd w:val="clear" w:color="000000" w:fill="FFFFFF"/>
            <w:noWrap/>
            <w:vAlign w:val="bottom"/>
            <w:hideMark/>
          </w:tcPr>
          <w:p w14:paraId="0959807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79,168</w:t>
            </w:r>
          </w:p>
        </w:tc>
        <w:tc>
          <w:tcPr>
            <w:tcW w:w="793" w:type="dxa"/>
            <w:tcBorders>
              <w:top w:val="nil"/>
              <w:left w:val="nil"/>
              <w:bottom w:val="nil"/>
              <w:right w:val="nil"/>
            </w:tcBorders>
            <w:shd w:val="clear" w:color="000000" w:fill="FFFFFF"/>
            <w:vAlign w:val="bottom"/>
            <w:hideMark/>
          </w:tcPr>
          <w:p w14:paraId="49A0EF3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78,562</w:t>
            </w:r>
          </w:p>
        </w:tc>
        <w:tc>
          <w:tcPr>
            <w:tcW w:w="735" w:type="dxa"/>
            <w:tcBorders>
              <w:top w:val="nil"/>
              <w:left w:val="nil"/>
              <w:bottom w:val="nil"/>
              <w:right w:val="nil"/>
            </w:tcBorders>
            <w:shd w:val="clear" w:color="000000" w:fill="FFFFFF"/>
            <w:noWrap/>
            <w:vAlign w:val="bottom"/>
            <w:hideMark/>
          </w:tcPr>
          <w:p w14:paraId="3E055F4E"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77,272</w:t>
            </w:r>
          </w:p>
        </w:tc>
        <w:tc>
          <w:tcPr>
            <w:tcW w:w="966" w:type="dxa"/>
            <w:tcBorders>
              <w:top w:val="nil"/>
              <w:left w:val="nil"/>
              <w:bottom w:val="nil"/>
              <w:right w:val="nil"/>
            </w:tcBorders>
            <w:shd w:val="clear" w:color="000000" w:fill="FFFFFF"/>
            <w:noWrap/>
            <w:vAlign w:val="bottom"/>
            <w:hideMark/>
          </w:tcPr>
          <w:p w14:paraId="6F25FCC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101.7</w:t>
            </w:r>
          </w:p>
        </w:tc>
        <w:tc>
          <w:tcPr>
            <w:tcW w:w="715" w:type="dxa"/>
            <w:tcBorders>
              <w:top w:val="nil"/>
              <w:left w:val="nil"/>
              <w:bottom w:val="nil"/>
              <w:right w:val="nil"/>
            </w:tcBorders>
            <w:shd w:val="clear" w:color="000000" w:fill="FFFFFF"/>
            <w:vAlign w:val="bottom"/>
            <w:hideMark/>
          </w:tcPr>
          <w:p w14:paraId="1F5EC55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71,724.1</w:t>
            </w:r>
          </w:p>
        </w:tc>
        <w:tc>
          <w:tcPr>
            <w:tcW w:w="824" w:type="dxa"/>
            <w:tcBorders>
              <w:top w:val="nil"/>
              <w:left w:val="nil"/>
              <w:bottom w:val="nil"/>
              <w:right w:val="nil"/>
            </w:tcBorders>
            <w:shd w:val="clear" w:color="000000" w:fill="FFFFFF"/>
            <w:vAlign w:val="bottom"/>
            <w:hideMark/>
          </w:tcPr>
          <w:p w14:paraId="11C5883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109.5</w:t>
            </w:r>
          </w:p>
        </w:tc>
        <w:tc>
          <w:tcPr>
            <w:tcW w:w="833" w:type="dxa"/>
            <w:tcBorders>
              <w:top w:val="nil"/>
              <w:left w:val="nil"/>
              <w:bottom w:val="nil"/>
              <w:right w:val="nil"/>
            </w:tcBorders>
            <w:shd w:val="clear" w:color="000000" w:fill="FFFFFF"/>
            <w:vAlign w:val="bottom"/>
            <w:hideMark/>
          </w:tcPr>
          <w:p w14:paraId="6207E8F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71,724.1</w:t>
            </w:r>
          </w:p>
        </w:tc>
        <w:tc>
          <w:tcPr>
            <w:tcW w:w="851" w:type="dxa"/>
            <w:tcBorders>
              <w:top w:val="nil"/>
              <w:left w:val="nil"/>
              <w:bottom w:val="nil"/>
              <w:right w:val="nil"/>
            </w:tcBorders>
            <w:shd w:val="clear" w:color="000000" w:fill="FFFFFF"/>
            <w:noWrap/>
            <w:vAlign w:val="bottom"/>
            <w:hideMark/>
          </w:tcPr>
          <w:p w14:paraId="6480578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2AAA475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6,838</w:t>
            </w:r>
          </w:p>
        </w:tc>
      </w:tr>
      <w:tr w:rsidR="00F56B8C" w:rsidRPr="00AA0ED8" w14:paraId="3A58B651" w14:textId="77777777" w:rsidTr="00786973">
        <w:trPr>
          <w:trHeight w:val="225"/>
        </w:trPr>
        <w:tc>
          <w:tcPr>
            <w:tcW w:w="3113" w:type="dxa"/>
            <w:tcBorders>
              <w:top w:val="nil"/>
              <w:left w:val="nil"/>
              <w:bottom w:val="nil"/>
              <w:right w:val="nil"/>
            </w:tcBorders>
            <w:shd w:val="clear" w:color="000000" w:fill="FFFFFF"/>
            <w:vAlign w:val="center"/>
            <w:hideMark/>
          </w:tcPr>
          <w:p w14:paraId="139D79D9"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Science and Technology Policy Institute</w:t>
            </w:r>
          </w:p>
        </w:tc>
        <w:tc>
          <w:tcPr>
            <w:tcW w:w="810" w:type="dxa"/>
            <w:tcBorders>
              <w:top w:val="nil"/>
              <w:left w:val="nil"/>
              <w:bottom w:val="nil"/>
              <w:right w:val="nil"/>
            </w:tcBorders>
            <w:shd w:val="clear" w:color="000000" w:fill="FFFFFF"/>
            <w:noWrap/>
            <w:vAlign w:val="bottom"/>
            <w:hideMark/>
          </w:tcPr>
          <w:p w14:paraId="1B58302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7,547</w:t>
            </w:r>
          </w:p>
        </w:tc>
        <w:tc>
          <w:tcPr>
            <w:tcW w:w="793" w:type="dxa"/>
            <w:tcBorders>
              <w:top w:val="nil"/>
              <w:left w:val="nil"/>
              <w:bottom w:val="nil"/>
              <w:right w:val="nil"/>
            </w:tcBorders>
            <w:shd w:val="clear" w:color="000000" w:fill="FFFFFF"/>
            <w:vAlign w:val="bottom"/>
            <w:hideMark/>
          </w:tcPr>
          <w:p w14:paraId="213C3C7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7,547</w:t>
            </w:r>
          </w:p>
        </w:tc>
        <w:tc>
          <w:tcPr>
            <w:tcW w:w="735" w:type="dxa"/>
            <w:tcBorders>
              <w:top w:val="nil"/>
              <w:left w:val="nil"/>
              <w:bottom w:val="nil"/>
              <w:right w:val="nil"/>
            </w:tcBorders>
            <w:shd w:val="clear" w:color="000000" w:fill="FFFFFF"/>
            <w:noWrap/>
            <w:vAlign w:val="bottom"/>
            <w:hideMark/>
          </w:tcPr>
          <w:p w14:paraId="1EE82AC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7,547</w:t>
            </w:r>
          </w:p>
        </w:tc>
        <w:tc>
          <w:tcPr>
            <w:tcW w:w="966" w:type="dxa"/>
            <w:tcBorders>
              <w:top w:val="nil"/>
              <w:left w:val="nil"/>
              <w:bottom w:val="nil"/>
              <w:right w:val="nil"/>
            </w:tcBorders>
            <w:shd w:val="clear" w:color="000000" w:fill="FFFFFF"/>
            <w:noWrap/>
            <w:vAlign w:val="bottom"/>
            <w:hideMark/>
          </w:tcPr>
          <w:p w14:paraId="4BBCBDD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nil"/>
              <w:right w:val="nil"/>
            </w:tcBorders>
            <w:shd w:val="clear" w:color="000000" w:fill="FFFFFF"/>
            <w:vAlign w:val="bottom"/>
            <w:hideMark/>
          </w:tcPr>
          <w:p w14:paraId="22CC0D3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80.2</w:t>
            </w:r>
          </w:p>
        </w:tc>
        <w:tc>
          <w:tcPr>
            <w:tcW w:w="824" w:type="dxa"/>
            <w:tcBorders>
              <w:top w:val="nil"/>
              <w:left w:val="nil"/>
              <w:bottom w:val="nil"/>
              <w:right w:val="nil"/>
            </w:tcBorders>
            <w:shd w:val="clear" w:color="000000" w:fill="FFFFFF"/>
            <w:vAlign w:val="bottom"/>
            <w:hideMark/>
          </w:tcPr>
          <w:p w14:paraId="0923D99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9,410.2</w:t>
            </w:r>
          </w:p>
        </w:tc>
        <w:tc>
          <w:tcPr>
            <w:tcW w:w="833" w:type="dxa"/>
            <w:tcBorders>
              <w:top w:val="nil"/>
              <w:left w:val="nil"/>
              <w:bottom w:val="nil"/>
              <w:right w:val="nil"/>
            </w:tcBorders>
            <w:shd w:val="clear" w:color="000000" w:fill="FFFFFF"/>
            <w:noWrap/>
            <w:vAlign w:val="bottom"/>
            <w:hideMark/>
          </w:tcPr>
          <w:p w14:paraId="3F5F2AD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w:t>
            </w:r>
          </w:p>
        </w:tc>
        <w:tc>
          <w:tcPr>
            <w:tcW w:w="851" w:type="dxa"/>
            <w:tcBorders>
              <w:top w:val="nil"/>
              <w:left w:val="nil"/>
              <w:bottom w:val="nil"/>
              <w:right w:val="nil"/>
            </w:tcBorders>
            <w:shd w:val="clear" w:color="000000" w:fill="FFFFFF"/>
            <w:noWrap/>
            <w:vAlign w:val="bottom"/>
            <w:hideMark/>
          </w:tcPr>
          <w:p w14:paraId="40FAF0F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0.0</w:t>
            </w:r>
          </w:p>
        </w:tc>
        <w:tc>
          <w:tcPr>
            <w:tcW w:w="913" w:type="dxa"/>
            <w:tcBorders>
              <w:top w:val="nil"/>
              <w:left w:val="nil"/>
              <w:bottom w:val="nil"/>
              <w:right w:val="nil"/>
            </w:tcBorders>
            <w:shd w:val="clear" w:color="000000" w:fill="FFFFFF"/>
            <w:noWrap/>
            <w:vAlign w:val="bottom"/>
            <w:hideMark/>
          </w:tcPr>
          <w:p w14:paraId="75FB07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7,467</w:t>
            </w:r>
          </w:p>
        </w:tc>
      </w:tr>
      <w:tr w:rsidR="00F56B8C" w:rsidRPr="00AA0ED8" w14:paraId="1B0FDDF3" w14:textId="77777777" w:rsidTr="00786973">
        <w:trPr>
          <w:trHeight w:val="170"/>
        </w:trPr>
        <w:tc>
          <w:tcPr>
            <w:tcW w:w="3113" w:type="dxa"/>
            <w:tcBorders>
              <w:top w:val="nil"/>
              <w:left w:val="nil"/>
              <w:bottom w:val="nil"/>
              <w:right w:val="nil"/>
            </w:tcBorders>
            <w:shd w:val="clear" w:color="000000" w:fill="FFFFFF"/>
            <w:vAlign w:val="center"/>
            <w:hideMark/>
          </w:tcPr>
          <w:p w14:paraId="78571378"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NRC sponsored</w:t>
            </w:r>
          </w:p>
        </w:tc>
        <w:tc>
          <w:tcPr>
            <w:tcW w:w="810" w:type="dxa"/>
            <w:tcBorders>
              <w:top w:val="nil"/>
              <w:left w:val="nil"/>
              <w:bottom w:val="nil"/>
              <w:right w:val="nil"/>
            </w:tcBorders>
            <w:shd w:val="clear" w:color="000000" w:fill="FFFFFF"/>
            <w:noWrap/>
            <w:vAlign w:val="bottom"/>
            <w:hideMark/>
          </w:tcPr>
          <w:p w14:paraId="3F92DED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vAlign w:val="bottom"/>
            <w:hideMark/>
          </w:tcPr>
          <w:p w14:paraId="007B24CA"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0F3F0E9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011F42A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274BA09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1B5CCCB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5226358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1EDFC2C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0940EEA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5FAB6286" w14:textId="77777777" w:rsidTr="00786973">
        <w:trPr>
          <w:trHeight w:val="225"/>
        </w:trPr>
        <w:tc>
          <w:tcPr>
            <w:tcW w:w="3113" w:type="dxa"/>
            <w:tcBorders>
              <w:top w:val="nil"/>
              <w:left w:val="nil"/>
              <w:bottom w:val="nil"/>
              <w:right w:val="nil"/>
            </w:tcBorders>
            <w:shd w:val="clear" w:color="000000" w:fill="FFFFFF"/>
            <w:vAlign w:val="center"/>
            <w:hideMark/>
          </w:tcPr>
          <w:p w14:paraId="4AC27AFC"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Ctr. for Nuclear Waste Regulatory Analyses</w:t>
            </w:r>
          </w:p>
        </w:tc>
        <w:tc>
          <w:tcPr>
            <w:tcW w:w="810" w:type="dxa"/>
            <w:tcBorders>
              <w:top w:val="nil"/>
              <w:left w:val="nil"/>
              <w:bottom w:val="nil"/>
              <w:right w:val="nil"/>
            </w:tcBorders>
            <w:shd w:val="clear" w:color="000000" w:fill="FFFFFF"/>
            <w:noWrap/>
            <w:vAlign w:val="bottom"/>
            <w:hideMark/>
          </w:tcPr>
          <w:p w14:paraId="21F4E8D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13,147</w:t>
            </w:r>
          </w:p>
        </w:tc>
        <w:tc>
          <w:tcPr>
            <w:tcW w:w="793" w:type="dxa"/>
            <w:tcBorders>
              <w:top w:val="nil"/>
              <w:left w:val="nil"/>
              <w:bottom w:val="nil"/>
              <w:right w:val="nil"/>
            </w:tcBorders>
            <w:shd w:val="clear" w:color="000000" w:fill="FFFFFF"/>
            <w:vAlign w:val="bottom"/>
            <w:hideMark/>
          </w:tcPr>
          <w:p w14:paraId="4B9665E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12,465</w:t>
            </w:r>
          </w:p>
        </w:tc>
        <w:tc>
          <w:tcPr>
            <w:tcW w:w="735" w:type="dxa"/>
            <w:tcBorders>
              <w:top w:val="nil"/>
              <w:left w:val="nil"/>
              <w:bottom w:val="nil"/>
              <w:right w:val="nil"/>
            </w:tcBorders>
            <w:shd w:val="clear" w:color="000000" w:fill="FFFFFF"/>
            <w:noWrap/>
            <w:vAlign w:val="bottom"/>
            <w:hideMark/>
          </w:tcPr>
          <w:p w14:paraId="63CF9C1D"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13,147</w:t>
            </w:r>
          </w:p>
        </w:tc>
        <w:tc>
          <w:tcPr>
            <w:tcW w:w="966" w:type="dxa"/>
            <w:tcBorders>
              <w:top w:val="nil"/>
              <w:left w:val="nil"/>
              <w:bottom w:val="nil"/>
              <w:right w:val="nil"/>
            </w:tcBorders>
            <w:shd w:val="clear" w:color="000000" w:fill="FFFFFF"/>
            <w:noWrap/>
            <w:vAlign w:val="bottom"/>
            <w:hideMark/>
          </w:tcPr>
          <w:p w14:paraId="2EA4FEE5"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94.8</w:t>
            </w:r>
          </w:p>
        </w:tc>
        <w:tc>
          <w:tcPr>
            <w:tcW w:w="715" w:type="dxa"/>
            <w:tcBorders>
              <w:top w:val="nil"/>
              <w:left w:val="nil"/>
              <w:bottom w:val="nil"/>
              <w:right w:val="nil"/>
            </w:tcBorders>
            <w:shd w:val="clear" w:color="000000" w:fill="FFFFFF"/>
            <w:vAlign w:val="bottom"/>
            <w:hideMark/>
          </w:tcPr>
          <w:p w14:paraId="0AD3626C"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1,746.6</w:t>
            </w:r>
          </w:p>
        </w:tc>
        <w:tc>
          <w:tcPr>
            <w:tcW w:w="824" w:type="dxa"/>
            <w:tcBorders>
              <w:top w:val="nil"/>
              <w:left w:val="nil"/>
              <w:bottom w:val="nil"/>
              <w:right w:val="nil"/>
            </w:tcBorders>
            <w:shd w:val="clear" w:color="000000" w:fill="FFFFFF"/>
            <w:vAlign w:val="bottom"/>
            <w:hideMark/>
          </w:tcPr>
          <w:p w14:paraId="6A738AC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713.7</w:t>
            </w:r>
          </w:p>
        </w:tc>
        <w:tc>
          <w:tcPr>
            <w:tcW w:w="833" w:type="dxa"/>
            <w:tcBorders>
              <w:top w:val="nil"/>
              <w:left w:val="nil"/>
              <w:bottom w:val="nil"/>
              <w:right w:val="nil"/>
            </w:tcBorders>
            <w:shd w:val="clear" w:color="000000" w:fill="FFFFFF"/>
            <w:vAlign w:val="bottom"/>
            <w:hideMark/>
          </w:tcPr>
          <w:p w14:paraId="6DA08B7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1,746.6</w:t>
            </w:r>
          </w:p>
        </w:tc>
        <w:tc>
          <w:tcPr>
            <w:tcW w:w="851" w:type="dxa"/>
            <w:tcBorders>
              <w:top w:val="nil"/>
              <w:left w:val="nil"/>
              <w:bottom w:val="nil"/>
              <w:right w:val="nil"/>
            </w:tcBorders>
            <w:shd w:val="clear" w:color="000000" w:fill="FFFFFF"/>
            <w:noWrap/>
            <w:vAlign w:val="bottom"/>
            <w:hideMark/>
          </w:tcPr>
          <w:p w14:paraId="4313993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913" w:type="dxa"/>
            <w:tcBorders>
              <w:top w:val="nil"/>
              <w:left w:val="nil"/>
              <w:bottom w:val="nil"/>
              <w:right w:val="nil"/>
            </w:tcBorders>
            <w:shd w:val="clear" w:color="000000" w:fill="FFFFFF"/>
            <w:noWrap/>
            <w:vAlign w:val="bottom"/>
            <w:hideMark/>
          </w:tcPr>
          <w:p w14:paraId="61E9C159"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10,718</w:t>
            </w:r>
          </w:p>
        </w:tc>
      </w:tr>
      <w:tr w:rsidR="00F56B8C" w:rsidRPr="00AA0ED8" w14:paraId="75A8F4DE" w14:textId="77777777" w:rsidTr="00786973">
        <w:trPr>
          <w:trHeight w:val="170"/>
        </w:trPr>
        <w:tc>
          <w:tcPr>
            <w:tcW w:w="3113" w:type="dxa"/>
            <w:tcBorders>
              <w:top w:val="nil"/>
              <w:left w:val="nil"/>
              <w:bottom w:val="nil"/>
              <w:right w:val="nil"/>
            </w:tcBorders>
            <w:shd w:val="clear" w:color="000000" w:fill="FFFFFF"/>
            <w:noWrap/>
            <w:vAlign w:val="bottom"/>
            <w:hideMark/>
          </w:tcPr>
          <w:p w14:paraId="4CEF9DCC"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AOUSC sponsored</w:t>
            </w:r>
          </w:p>
        </w:tc>
        <w:tc>
          <w:tcPr>
            <w:tcW w:w="810" w:type="dxa"/>
            <w:tcBorders>
              <w:top w:val="nil"/>
              <w:left w:val="nil"/>
              <w:bottom w:val="nil"/>
              <w:right w:val="nil"/>
            </w:tcBorders>
            <w:shd w:val="clear" w:color="000000" w:fill="FFFFFF"/>
            <w:noWrap/>
            <w:vAlign w:val="bottom"/>
            <w:hideMark/>
          </w:tcPr>
          <w:p w14:paraId="1F85834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93" w:type="dxa"/>
            <w:tcBorders>
              <w:top w:val="nil"/>
              <w:left w:val="nil"/>
              <w:bottom w:val="nil"/>
              <w:right w:val="nil"/>
            </w:tcBorders>
            <w:shd w:val="clear" w:color="000000" w:fill="FFFFFF"/>
            <w:noWrap/>
            <w:vAlign w:val="bottom"/>
            <w:hideMark/>
          </w:tcPr>
          <w:p w14:paraId="6009673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63CAC7C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755F331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60373D9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vAlign w:val="bottom"/>
            <w:hideMark/>
          </w:tcPr>
          <w:p w14:paraId="42419940"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69A1013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60B89A6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25096D0B"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36CA4BE7" w14:textId="77777777" w:rsidTr="00786973">
        <w:trPr>
          <w:trHeight w:val="190"/>
        </w:trPr>
        <w:tc>
          <w:tcPr>
            <w:tcW w:w="3113" w:type="dxa"/>
            <w:tcBorders>
              <w:top w:val="nil"/>
              <w:left w:val="nil"/>
              <w:bottom w:val="single" w:sz="4" w:space="0" w:color="auto"/>
              <w:right w:val="nil"/>
            </w:tcBorders>
            <w:shd w:val="clear" w:color="000000" w:fill="FFFFFF"/>
            <w:vAlign w:val="center"/>
            <w:hideMark/>
          </w:tcPr>
          <w:p w14:paraId="6DC6D97D" w14:textId="77777777" w:rsidR="00F56B8C" w:rsidRPr="00AA0ED8" w:rsidRDefault="00F56B8C" w:rsidP="00786973">
            <w:pPr>
              <w:ind w:firstLineChars="100" w:firstLine="160"/>
              <w:rPr>
                <w:rFonts w:ascii="Arial Narrow" w:hAnsi="Arial Narrow"/>
                <w:color w:val="000000"/>
                <w:spacing w:val="0"/>
                <w:sz w:val="16"/>
                <w:szCs w:val="16"/>
              </w:rPr>
            </w:pPr>
            <w:r w:rsidRPr="00AA0ED8">
              <w:rPr>
                <w:rFonts w:ascii="Arial Narrow" w:hAnsi="Arial Narrow"/>
                <w:color w:val="000000"/>
                <w:spacing w:val="0"/>
                <w:sz w:val="16"/>
                <w:szCs w:val="16"/>
              </w:rPr>
              <w:t>Judiciary Engineering and Modernization Ctr.</w:t>
            </w:r>
          </w:p>
        </w:tc>
        <w:tc>
          <w:tcPr>
            <w:tcW w:w="810" w:type="dxa"/>
            <w:tcBorders>
              <w:top w:val="nil"/>
              <w:left w:val="nil"/>
              <w:bottom w:val="single" w:sz="4" w:space="0" w:color="auto"/>
              <w:right w:val="nil"/>
            </w:tcBorders>
            <w:shd w:val="clear" w:color="000000" w:fill="FFFFFF"/>
            <w:noWrap/>
            <w:vAlign w:val="bottom"/>
            <w:hideMark/>
          </w:tcPr>
          <w:p w14:paraId="00927F88"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5,309</w:t>
            </w:r>
          </w:p>
        </w:tc>
        <w:tc>
          <w:tcPr>
            <w:tcW w:w="793" w:type="dxa"/>
            <w:tcBorders>
              <w:top w:val="nil"/>
              <w:left w:val="nil"/>
              <w:bottom w:val="single" w:sz="4" w:space="0" w:color="auto"/>
              <w:right w:val="nil"/>
            </w:tcBorders>
            <w:shd w:val="clear" w:color="000000" w:fill="FFFFFF"/>
            <w:vAlign w:val="bottom"/>
            <w:hideMark/>
          </w:tcPr>
          <w:p w14:paraId="0F33464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5,309</w:t>
            </w:r>
          </w:p>
        </w:tc>
        <w:tc>
          <w:tcPr>
            <w:tcW w:w="735" w:type="dxa"/>
            <w:tcBorders>
              <w:top w:val="nil"/>
              <w:left w:val="nil"/>
              <w:bottom w:val="single" w:sz="4" w:space="0" w:color="auto"/>
              <w:right w:val="nil"/>
            </w:tcBorders>
            <w:shd w:val="clear" w:color="000000" w:fill="FFFFFF"/>
            <w:noWrap/>
            <w:vAlign w:val="bottom"/>
            <w:hideMark/>
          </w:tcPr>
          <w:p w14:paraId="3D1B91F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5,309</w:t>
            </w:r>
          </w:p>
        </w:tc>
        <w:tc>
          <w:tcPr>
            <w:tcW w:w="966" w:type="dxa"/>
            <w:tcBorders>
              <w:top w:val="nil"/>
              <w:left w:val="nil"/>
              <w:bottom w:val="single" w:sz="4" w:space="0" w:color="auto"/>
              <w:right w:val="nil"/>
            </w:tcBorders>
            <w:shd w:val="clear" w:color="000000" w:fill="FFFFFF"/>
            <w:noWrap/>
            <w:vAlign w:val="bottom"/>
            <w:hideMark/>
          </w:tcPr>
          <w:p w14:paraId="65BABDD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100.0</w:t>
            </w:r>
          </w:p>
        </w:tc>
        <w:tc>
          <w:tcPr>
            <w:tcW w:w="715" w:type="dxa"/>
            <w:tcBorders>
              <w:top w:val="nil"/>
              <w:left w:val="nil"/>
              <w:bottom w:val="single" w:sz="4" w:space="0" w:color="auto"/>
              <w:right w:val="nil"/>
            </w:tcBorders>
            <w:shd w:val="clear" w:color="000000" w:fill="FFFFFF"/>
            <w:vAlign w:val="bottom"/>
            <w:hideMark/>
          </w:tcPr>
          <w:p w14:paraId="48114622"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315.8</w:t>
            </w:r>
          </w:p>
        </w:tc>
        <w:tc>
          <w:tcPr>
            <w:tcW w:w="824" w:type="dxa"/>
            <w:tcBorders>
              <w:top w:val="nil"/>
              <w:left w:val="nil"/>
              <w:bottom w:val="single" w:sz="4" w:space="0" w:color="auto"/>
              <w:right w:val="nil"/>
            </w:tcBorders>
            <w:shd w:val="clear" w:color="000000" w:fill="FFFFFF"/>
            <w:vAlign w:val="bottom"/>
            <w:hideMark/>
          </w:tcPr>
          <w:p w14:paraId="59BC5134"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1,681.1</w:t>
            </w:r>
          </w:p>
        </w:tc>
        <w:tc>
          <w:tcPr>
            <w:tcW w:w="833" w:type="dxa"/>
            <w:tcBorders>
              <w:top w:val="nil"/>
              <w:left w:val="nil"/>
              <w:bottom w:val="single" w:sz="4" w:space="0" w:color="auto"/>
              <w:right w:val="nil"/>
            </w:tcBorders>
            <w:shd w:val="clear" w:color="000000" w:fill="FFFFFF"/>
            <w:noWrap/>
            <w:vAlign w:val="bottom"/>
            <w:hideMark/>
          </w:tcPr>
          <w:p w14:paraId="28842357"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w:t>
            </w:r>
          </w:p>
        </w:tc>
        <w:tc>
          <w:tcPr>
            <w:tcW w:w="851" w:type="dxa"/>
            <w:tcBorders>
              <w:top w:val="nil"/>
              <w:left w:val="nil"/>
              <w:bottom w:val="single" w:sz="4" w:space="0" w:color="auto"/>
              <w:right w:val="nil"/>
            </w:tcBorders>
            <w:shd w:val="clear" w:color="000000" w:fill="FFFFFF"/>
            <w:noWrap/>
            <w:vAlign w:val="bottom"/>
            <w:hideMark/>
          </w:tcPr>
          <w:p w14:paraId="704C8636"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0.0</w:t>
            </w:r>
          </w:p>
        </w:tc>
        <w:tc>
          <w:tcPr>
            <w:tcW w:w="913" w:type="dxa"/>
            <w:tcBorders>
              <w:top w:val="nil"/>
              <w:left w:val="nil"/>
              <w:bottom w:val="single" w:sz="4" w:space="0" w:color="auto"/>
              <w:right w:val="nil"/>
            </w:tcBorders>
            <w:shd w:val="clear" w:color="000000" w:fill="FFFFFF"/>
            <w:noWrap/>
            <w:vAlign w:val="bottom"/>
            <w:hideMark/>
          </w:tcPr>
          <w:p w14:paraId="42C5BC01"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4,993</w:t>
            </w:r>
          </w:p>
        </w:tc>
      </w:tr>
      <w:tr w:rsidR="00F56B8C" w:rsidRPr="00AA0ED8" w14:paraId="2A04844B" w14:textId="77777777" w:rsidTr="00786973">
        <w:trPr>
          <w:trHeight w:val="225"/>
        </w:trPr>
        <w:tc>
          <w:tcPr>
            <w:tcW w:w="3923" w:type="dxa"/>
            <w:gridSpan w:val="2"/>
            <w:tcBorders>
              <w:top w:val="nil"/>
              <w:left w:val="nil"/>
              <w:bottom w:val="nil"/>
              <w:right w:val="nil"/>
            </w:tcBorders>
            <w:shd w:val="clear" w:color="000000" w:fill="FFFFFF"/>
            <w:noWrap/>
            <w:vAlign w:val="center"/>
            <w:hideMark/>
          </w:tcPr>
          <w:p w14:paraId="09CEB915"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FFRDC = federally funded research and development center.</w:t>
            </w:r>
          </w:p>
        </w:tc>
        <w:tc>
          <w:tcPr>
            <w:tcW w:w="793" w:type="dxa"/>
            <w:tcBorders>
              <w:top w:val="nil"/>
              <w:left w:val="nil"/>
              <w:bottom w:val="nil"/>
              <w:right w:val="nil"/>
            </w:tcBorders>
            <w:shd w:val="clear" w:color="000000" w:fill="FFFFFF"/>
            <w:noWrap/>
            <w:vAlign w:val="bottom"/>
            <w:hideMark/>
          </w:tcPr>
          <w:p w14:paraId="5A9F1E23"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35" w:type="dxa"/>
            <w:tcBorders>
              <w:top w:val="nil"/>
              <w:left w:val="nil"/>
              <w:bottom w:val="nil"/>
              <w:right w:val="nil"/>
            </w:tcBorders>
            <w:shd w:val="clear" w:color="000000" w:fill="FFFFFF"/>
            <w:noWrap/>
            <w:vAlign w:val="bottom"/>
            <w:hideMark/>
          </w:tcPr>
          <w:p w14:paraId="255417CF" w14:textId="77777777" w:rsidR="00F56B8C" w:rsidRPr="00AA0ED8" w:rsidRDefault="00F56B8C" w:rsidP="00786973">
            <w:pPr>
              <w:jc w:val="right"/>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66" w:type="dxa"/>
            <w:tcBorders>
              <w:top w:val="nil"/>
              <w:left w:val="nil"/>
              <w:bottom w:val="nil"/>
              <w:right w:val="nil"/>
            </w:tcBorders>
            <w:shd w:val="clear" w:color="000000" w:fill="FFFFFF"/>
            <w:noWrap/>
            <w:vAlign w:val="bottom"/>
            <w:hideMark/>
          </w:tcPr>
          <w:p w14:paraId="262213AD"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715" w:type="dxa"/>
            <w:tcBorders>
              <w:top w:val="nil"/>
              <w:left w:val="nil"/>
              <w:bottom w:val="nil"/>
              <w:right w:val="nil"/>
            </w:tcBorders>
            <w:shd w:val="clear" w:color="000000" w:fill="FFFFFF"/>
            <w:noWrap/>
            <w:vAlign w:val="bottom"/>
            <w:hideMark/>
          </w:tcPr>
          <w:p w14:paraId="0459A586"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24" w:type="dxa"/>
            <w:tcBorders>
              <w:top w:val="nil"/>
              <w:left w:val="nil"/>
              <w:bottom w:val="nil"/>
              <w:right w:val="nil"/>
            </w:tcBorders>
            <w:shd w:val="clear" w:color="000000" w:fill="FFFFFF"/>
            <w:noWrap/>
            <w:vAlign w:val="bottom"/>
            <w:hideMark/>
          </w:tcPr>
          <w:p w14:paraId="7E2FB8B4"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33" w:type="dxa"/>
            <w:tcBorders>
              <w:top w:val="nil"/>
              <w:left w:val="nil"/>
              <w:bottom w:val="nil"/>
              <w:right w:val="nil"/>
            </w:tcBorders>
            <w:shd w:val="clear" w:color="000000" w:fill="FFFFFF"/>
            <w:noWrap/>
            <w:vAlign w:val="bottom"/>
            <w:hideMark/>
          </w:tcPr>
          <w:p w14:paraId="07CDC5FC"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851" w:type="dxa"/>
            <w:tcBorders>
              <w:top w:val="nil"/>
              <w:left w:val="nil"/>
              <w:bottom w:val="nil"/>
              <w:right w:val="nil"/>
            </w:tcBorders>
            <w:shd w:val="clear" w:color="000000" w:fill="FFFFFF"/>
            <w:noWrap/>
            <w:vAlign w:val="bottom"/>
            <w:hideMark/>
          </w:tcPr>
          <w:p w14:paraId="7C30F9EF"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c>
          <w:tcPr>
            <w:tcW w:w="913" w:type="dxa"/>
            <w:tcBorders>
              <w:top w:val="nil"/>
              <w:left w:val="nil"/>
              <w:bottom w:val="nil"/>
              <w:right w:val="nil"/>
            </w:tcBorders>
            <w:shd w:val="clear" w:color="000000" w:fill="FFFFFF"/>
            <w:noWrap/>
            <w:vAlign w:val="bottom"/>
            <w:hideMark/>
          </w:tcPr>
          <w:p w14:paraId="7DF13829"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 </w:t>
            </w:r>
          </w:p>
        </w:tc>
      </w:tr>
      <w:tr w:rsidR="00F56B8C" w:rsidRPr="00AA0ED8" w14:paraId="50C7CFE0" w14:textId="77777777" w:rsidTr="00786973">
        <w:trPr>
          <w:trHeight w:val="184"/>
        </w:trPr>
        <w:tc>
          <w:tcPr>
            <w:tcW w:w="10553" w:type="dxa"/>
            <w:gridSpan w:val="10"/>
            <w:vMerge w:val="restart"/>
            <w:tcBorders>
              <w:top w:val="nil"/>
              <w:left w:val="nil"/>
              <w:bottom w:val="nil"/>
              <w:right w:val="nil"/>
            </w:tcBorders>
            <w:shd w:val="clear" w:color="000000" w:fill="FFFFFF"/>
            <w:vAlign w:val="center"/>
            <w:hideMark/>
          </w:tcPr>
          <w:p w14:paraId="0A53ED6B" w14:textId="77777777" w:rsidR="00F56B8C" w:rsidRPr="00AA0ED8" w:rsidRDefault="00F56B8C" w:rsidP="00786973">
            <w:pPr>
              <w:rPr>
                <w:rFonts w:ascii="Arial Narrow" w:hAnsi="Arial Narrow"/>
                <w:color w:val="000000"/>
                <w:spacing w:val="0"/>
                <w:sz w:val="16"/>
                <w:szCs w:val="16"/>
              </w:rPr>
            </w:pPr>
            <w:r w:rsidRPr="00AA0ED8">
              <w:rPr>
                <w:rFonts w:ascii="Arial Narrow" w:hAnsi="Arial Narrow"/>
                <w:color w:val="000000"/>
                <w:spacing w:val="0"/>
                <w:sz w:val="16"/>
                <w:szCs w:val="16"/>
              </w:rPr>
              <w:t>SOURCE:  National Science Foundation/National Center for Science and Engineering Statistics.</w:t>
            </w:r>
          </w:p>
        </w:tc>
      </w:tr>
      <w:tr w:rsidR="00F56B8C" w:rsidRPr="00AA0ED8" w14:paraId="439092BC" w14:textId="77777777" w:rsidTr="00786973">
        <w:trPr>
          <w:trHeight w:val="190"/>
        </w:trPr>
        <w:tc>
          <w:tcPr>
            <w:tcW w:w="10553" w:type="dxa"/>
            <w:gridSpan w:val="10"/>
            <w:vMerge/>
            <w:tcBorders>
              <w:top w:val="nil"/>
              <w:left w:val="nil"/>
              <w:bottom w:val="nil"/>
              <w:right w:val="nil"/>
            </w:tcBorders>
            <w:vAlign w:val="center"/>
            <w:hideMark/>
          </w:tcPr>
          <w:p w14:paraId="1C7EB272" w14:textId="77777777" w:rsidR="00F56B8C" w:rsidRPr="00AA0ED8" w:rsidRDefault="00F56B8C" w:rsidP="00786973">
            <w:pPr>
              <w:rPr>
                <w:rFonts w:ascii="Arial Narrow" w:hAnsi="Arial Narrow"/>
                <w:color w:val="000000"/>
                <w:spacing w:val="0"/>
                <w:sz w:val="16"/>
                <w:szCs w:val="16"/>
              </w:rPr>
            </w:pPr>
          </w:p>
        </w:tc>
      </w:tr>
    </w:tbl>
    <w:p w14:paraId="1C5A0F8A" w14:textId="77777777" w:rsidR="00F56B8C" w:rsidRDefault="00F56B8C" w:rsidP="00F56B8C">
      <w:pPr>
        <w:keepLines/>
        <w:widowControl w:val="0"/>
        <w:autoSpaceDE w:val="0"/>
        <w:autoSpaceDN w:val="0"/>
        <w:adjustRightInd w:val="0"/>
        <w:rPr>
          <w:rFonts w:cstheme="minorHAnsi"/>
          <w:color w:val="262626"/>
          <w:spacing w:val="0"/>
          <w:szCs w:val="22"/>
        </w:rPr>
      </w:pPr>
    </w:p>
    <w:p w14:paraId="7794A7F2" w14:textId="6297C769" w:rsidR="009D5FDD" w:rsidRDefault="009D5FDD" w:rsidP="009D5FDD">
      <w:pPr>
        <w:keepLines/>
        <w:widowControl w:val="0"/>
        <w:autoSpaceDE w:val="0"/>
        <w:autoSpaceDN w:val="0"/>
        <w:adjustRightInd w:val="0"/>
        <w:rPr>
          <w:rFonts w:cstheme="minorHAnsi"/>
          <w:color w:val="262626"/>
          <w:spacing w:val="0"/>
          <w:szCs w:val="22"/>
        </w:rPr>
      </w:pPr>
    </w:p>
    <w:sectPr w:rsidR="009D5FDD" w:rsidSect="00F56B8C">
      <w:type w:val="continuous"/>
      <w:pgSz w:w="12240" w:h="15840" w:code="1"/>
      <w:pgMar w:top="576" w:right="864" w:bottom="576" w:left="864" w:header="720" w:footer="965"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CA9B4B" w15:done="0"/>
  <w15:commentEx w15:paraId="00978EFC" w15:done="0"/>
  <w15:commentEx w15:paraId="5C18C3D5" w15:done="0"/>
  <w15:commentEx w15:paraId="4F80075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097C1" w14:textId="77777777" w:rsidR="003C48BF" w:rsidRDefault="003C48BF">
      <w:r>
        <w:separator/>
      </w:r>
    </w:p>
  </w:endnote>
  <w:endnote w:type="continuationSeparator" w:id="0">
    <w:p w14:paraId="444FD100" w14:textId="77777777" w:rsidR="003C48BF" w:rsidRDefault="003C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1F84" w14:textId="77777777" w:rsidR="003C48BF" w:rsidRDefault="003C4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600456" w14:textId="77777777" w:rsidR="003C48BF" w:rsidRDefault="003C48BF">
    <w:pPr>
      <w:pStyle w:val="Footer"/>
    </w:pPr>
  </w:p>
  <w:p w14:paraId="7F933AF8" w14:textId="77777777" w:rsidR="003C48BF" w:rsidRDefault="003C48BF"/>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10E1" w14:textId="77777777" w:rsidR="003C48BF" w:rsidRPr="0088185F" w:rsidRDefault="003C48BF" w:rsidP="0088185F">
    <w:pPr>
      <w:pStyle w:val="Footer"/>
    </w:pPr>
    <w:r w:rsidRPr="0088185F">
      <w:rPr>
        <w:rStyle w:val="PageNumber"/>
      </w:rPr>
      <w:fldChar w:fldCharType="begin"/>
    </w:r>
    <w:r w:rsidRPr="0088185F">
      <w:rPr>
        <w:rStyle w:val="PageNumber"/>
      </w:rPr>
      <w:instrText xml:space="preserve"> PAGE </w:instrText>
    </w:r>
    <w:r w:rsidRPr="0088185F">
      <w:rPr>
        <w:rStyle w:val="PageNumber"/>
      </w:rPr>
      <w:fldChar w:fldCharType="separate"/>
    </w:r>
    <w:r w:rsidR="00286E39">
      <w:rPr>
        <w:rStyle w:val="PageNumber"/>
        <w:noProof/>
      </w:rPr>
      <w:t>3</w:t>
    </w:r>
    <w:r w:rsidRPr="0088185F">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746F1" w14:textId="77777777" w:rsidR="003C48BF" w:rsidRDefault="003C48BF">
      <w:r>
        <w:separator/>
      </w:r>
    </w:p>
  </w:footnote>
  <w:footnote w:type="continuationSeparator" w:id="0">
    <w:p w14:paraId="4466BB34" w14:textId="77777777" w:rsidR="003C48BF" w:rsidRDefault="003C48BF">
      <w:r>
        <w:continuationSeparator/>
      </w:r>
    </w:p>
  </w:footnote>
  <w:footnote w:id="1">
    <w:p w14:paraId="4612E16C" w14:textId="77777777" w:rsidR="00F56B8C" w:rsidRDefault="00F56B8C" w:rsidP="00F56B8C">
      <w:pPr>
        <w:pStyle w:val="NormalWeb"/>
        <w:ind w:left="720"/>
        <w:rPr>
          <w:rFonts w:ascii="Arial" w:hAnsi="Arial" w:cs="Arial"/>
          <w:sz w:val="20"/>
          <w:szCs w:val="20"/>
        </w:rPr>
      </w:pPr>
      <w:r>
        <w:rPr>
          <w:rStyle w:val="FootnoteReference"/>
        </w:rPr>
        <w:footnoteRef/>
      </w:r>
      <w:r>
        <w:t xml:space="preserve"> </w:t>
      </w:r>
      <w:r>
        <w:rPr>
          <w:rFonts w:ascii="Arial" w:hAnsi="Arial" w:cs="Arial"/>
          <w:sz w:val="20"/>
          <w:szCs w:val="20"/>
        </w:rPr>
        <w:t>There is a time lag between when funds are obligated by federal agencies and when research funds are actually spent (and reported) by the FFRDCs.  Many federal awards are drawn down in increments over the length of the project and span multiple years.</w:t>
      </w:r>
    </w:p>
    <w:p w14:paraId="5D5EC03A" w14:textId="77777777" w:rsidR="00F56B8C" w:rsidRDefault="00F56B8C" w:rsidP="00F56B8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F875B6"/>
    <w:multiLevelType w:val="hybridMultilevel"/>
    <w:tmpl w:val="51F4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31670"/>
    <w:multiLevelType w:val="hybridMultilevel"/>
    <w:tmpl w:val="0C1E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9260D"/>
    <w:multiLevelType w:val="hybridMultilevel"/>
    <w:tmpl w:val="7C8EBDB2"/>
    <w:lvl w:ilvl="0" w:tplc="962A3F5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49C43166"/>
    <w:multiLevelType w:val="hybridMultilevel"/>
    <w:tmpl w:val="C730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5">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3"/>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kowski, John E.">
    <w15:presenceInfo w15:providerId="AD" w15:userId="S-1-5-21-2121103884-806620016-247139262-4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proofState w:spelling="clean" w:grammar="clean"/>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33"/>
    <w:rsid w:val="000307E3"/>
    <w:rsid w:val="0005266D"/>
    <w:rsid w:val="00055591"/>
    <w:rsid w:val="00055AB4"/>
    <w:rsid w:val="00056D93"/>
    <w:rsid w:val="00070E89"/>
    <w:rsid w:val="00074460"/>
    <w:rsid w:val="00086B39"/>
    <w:rsid w:val="000879D3"/>
    <w:rsid w:val="00097502"/>
    <w:rsid w:val="000D6E03"/>
    <w:rsid w:val="001213EB"/>
    <w:rsid w:val="001369AA"/>
    <w:rsid w:val="00190D8C"/>
    <w:rsid w:val="001F3CDA"/>
    <w:rsid w:val="00253724"/>
    <w:rsid w:val="0026211B"/>
    <w:rsid w:val="00286E39"/>
    <w:rsid w:val="00291811"/>
    <w:rsid w:val="00294F7B"/>
    <w:rsid w:val="002A3F14"/>
    <w:rsid w:val="002C6D47"/>
    <w:rsid w:val="00303619"/>
    <w:rsid w:val="00305C36"/>
    <w:rsid w:val="003077CA"/>
    <w:rsid w:val="00315AEB"/>
    <w:rsid w:val="0033646B"/>
    <w:rsid w:val="0035208E"/>
    <w:rsid w:val="003706FD"/>
    <w:rsid w:val="003864F2"/>
    <w:rsid w:val="00395810"/>
    <w:rsid w:val="003C2EBC"/>
    <w:rsid w:val="003C48BF"/>
    <w:rsid w:val="003C536B"/>
    <w:rsid w:val="00407009"/>
    <w:rsid w:val="004325A6"/>
    <w:rsid w:val="00440104"/>
    <w:rsid w:val="00442C2E"/>
    <w:rsid w:val="004601E3"/>
    <w:rsid w:val="0046389A"/>
    <w:rsid w:val="0046523F"/>
    <w:rsid w:val="004801D2"/>
    <w:rsid w:val="00492AE4"/>
    <w:rsid w:val="004A6DCE"/>
    <w:rsid w:val="004B66B7"/>
    <w:rsid w:val="004D5E10"/>
    <w:rsid w:val="004E4E6A"/>
    <w:rsid w:val="004E7797"/>
    <w:rsid w:val="004F2030"/>
    <w:rsid w:val="00513926"/>
    <w:rsid w:val="005320B8"/>
    <w:rsid w:val="00535458"/>
    <w:rsid w:val="00540624"/>
    <w:rsid w:val="00567958"/>
    <w:rsid w:val="00582FB3"/>
    <w:rsid w:val="005A2C52"/>
    <w:rsid w:val="005E6F59"/>
    <w:rsid w:val="005E7297"/>
    <w:rsid w:val="00604320"/>
    <w:rsid w:val="006460D4"/>
    <w:rsid w:val="00646236"/>
    <w:rsid w:val="00651274"/>
    <w:rsid w:val="00654A3F"/>
    <w:rsid w:val="006917B6"/>
    <w:rsid w:val="006A047A"/>
    <w:rsid w:val="006C672A"/>
    <w:rsid w:val="006D2806"/>
    <w:rsid w:val="006E2B91"/>
    <w:rsid w:val="007017DC"/>
    <w:rsid w:val="0070624A"/>
    <w:rsid w:val="007216CF"/>
    <w:rsid w:val="00740697"/>
    <w:rsid w:val="00761E68"/>
    <w:rsid w:val="00772C14"/>
    <w:rsid w:val="007B12E0"/>
    <w:rsid w:val="007D527B"/>
    <w:rsid w:val="007D7EE0"/>
    <w:rsid w:val="007E2592"/>
    <w:rsid w:val="007E6A33"/>
    <w:rsid w:val="007E7915"/>
    <w:rsid w:val="007F1F7B"/>
    <w:rsid w:val="008060ED"/>
    <w:rsid w:val="00822CA5"/>
    <w:rsid w:val="0083186C"/>
    <w:rsid w:val="00850184"/>
    <w:rsid w:val="00862A50"/>
    <w:rsid w:val="00864820"/>
    <w:rsid w:val="0088185F"/>
    <w:rsid w:val="00897594"/>
    <w:rsid w:val="008A1CA2"/>
    <w:rsid w:val="008C5ED7"/>
    <w:rsid w:val="00910DFA"/>
    <w:rsid w:val="0093603E"/>
    <w:rsid w:val="00941F11"/>
    <w:rsid w:val="009639A7"/>
    <w:rsid w:val="00965314"/>
    <w:rsid w:val="009703AF"/>
    <w:rsid w:val="00975DA4"/>
    <w:rsid w:val="0098278F"/>
    <w:rsid w:val="009966A8"/>
    <w:rsid w:val="009975B5"/>
    <w:rsid w:val="009B144C"/>
    <w:rsid w:val="009C2FC3"/>
    <w:rsid w:val="009D3059"/>
    <w:rsid w:val="009D5FDD"/>
    <w:rsid w:val="009E1A44"/>
    <w:rsid w:val="009E28B6"/>
    <w:rsid w:val="009E67CD"/>
    <w:rsid w:val="009F04A2"/>
    <w:rsid w:val="00A0405A"/>
    <w:rsid w:val="00A055EA"/>
    <w:rsid w:val="00A10DBA"/>
    <w:rsid w:val="00A14F37"/>
    <w:rsid w:val="00A36A9A"/>
    <w:rsid w:val="00A3711A"/>
    <w:rsid w:val="00A37B17"/>
    <w:rsid w:val="00A4080F"/>
    <w:rsid w:val="00A43A00"/>
    <w:rsid w:val="00A87FEF"/>
    <w:rsid w:val="00AA0ED8"/>
    <w:rsid w:val="00AA7953"/>
    <w:rsid w:val="00AC264F"/>
    <w:rsid w:val="00AD7693"/>
    <w:rsid w:val="00AF2DC4"/>
    <w:rsid w:val="00AF5512"/>
    <w:rsid w:val="00B003DB"/>
    <w:rsid w:val="00B214DD"/>
    <w:rsid w:val="00B35154"/>
    <w:rsid w:val="00B4008B"/>
    <w:rsid w:val="00B41C15"/>
    <w:rsid w:val="00B673E8"/>
    <w:rsid w:val="00B86E7D"/>
    <w:rsid w:val="00B9351C"/>
    <w:rsid w:val="00BA4F0A"/>
    <w:rsid w:val="00BE1EF9"/>
    <w:rsid w:val="00C110E6"/>
    <w:rsid w:val="00C13F36"/>
    <w:rsid w:val="00C53D54"/>
    <w:rsid w:val="00C76653"/>
    <w:rsid w:val="00C77E7E"/>
    <w:rsid w:val="00C92A1E"/>
    <w:rsid w:val="00C93695"/>
    <w:rsid w:val="00CA6EA0"/>
    <w:rsid w:val="00CB02F5"/>
    <w:rsid w:val="00CC25B1"/>
    <w:rsid w:val="00CC3C00"/>
    <w:rsid w:val="00CC4A48"/>
    <w:rsid w:val="00CD6BF3"/>
    <w:rsid w:val="00D03099"/>
    <w:rsid w:val="00D14A1E"/>
    <w:rsid w:val="00D202C8"/>
    <w:rsid w:val="00D27FA9"/>
    <w:rsid w:val="00D34ED9"/>
    <w:rsid w:val="00D80AF0"/>
    <w:rsid w:val="00D81E9E"/>
    <w:rsid w:val="00D95037"/>
    <w:rsid w:val="00DA42EB"/>
    <w:rsid w:val="00E0003B"/>
    <w:rsid w:val="00E11AB7"/>
    <w:rsid w:val="00E15B10"/>
    <w:rsid w:val="00E31D88"/>
    <w:rsid w:val="00E40EC8"/>
    <w:rsid w:val="00E442BF"/>
    <w:rsid w:val="00E90925"/>
    <w:rsid w:val="00E945F6"/>
    <w:rsid w:val="00EA2037"/>
    <w:rsid w:val="00EA7D3C"/>
    <w:rsid w:val="00EB110A"/>
    <w:rsid w:val="00EC4AF1"/>
    <w:rsid w:val="00EC4E9C"/>
    <w:rsid w:val="00EE4662"/>
    <w:rsid w:val="00EF271D"/>
    <w:rsid w:val="00F0114C"/>
    <w:rsid w:val="00F23040"/>
    <w:rsid w:val="00F56B8C"/>
    <w:rsid w:val="00F641AB"/>
    <w:rsid w:val="00F8691E"/>
    <w:rsid w:val="00F9107A"/>
    <w:rsid w:val="00FA67BB"/>
    <w:rsid w:val="00FC047B"/>
    <w:rsid w:val="00FD2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FB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paragraph" w:styleId="EndnoteText">
    <w:name w:val="endnote text"/>
    <w:basedOn w:val="Normal"/>
    <w:link w:val="EndnoteTextChar"/>
    <w:uiPriority w:val="99"/>
    <w:unhideWhenUsed/>
    <w:rsid w:val="009975B5"/>
    <w:rPr>
      <w:sz w:val="24"/>
      <w:szCs w:val="24"/>
    </w:rPr>
  </w:style>
  <w:style w:type="character" w:customStyle="1" w:styleId="EndnoteTextChar">
    <w:name w:val="Endnote Text Char"/>
    <w:basedOn w:val="DefaultParagraphFont"/>
    <w:link w:val="EndnoteText"/>
    <w:uiPriority w:val="99"/>
    <w:rsid w:val="009975B5"/>
    <w:rPr>
      <w:rFonts w:asciiTheme="minorHAnsi" w:hAnsiTheme="minorHAnsi"/>
      <w:spacing w:val="-5"/>
      <w:sz w:val="24"/>
      <w:szCs w:val="24"/>
    </w:rPr>
  </w:style>
  <w:style w:type="character" w:styleId="EndnoteReference">
    <w:name w:val="endnote reference"/>
    <w:basedOn w:val="DefaultParagraphFont"/>
    <w:uiPriority w:val="99"/>
    <w:unhideWhenUsed/>
    <w:rsid w:val="009975B5"/>
    <w:rPr>
      <w:vertAlign w:val="superscript"/>
    </w:rPr>
  </w:style>
  <w:style w:type="paragraph" w:styleId="NormalWeb">
    <w:name w:val="Normal (Web)"/>
    <w:basedOn w:val="Normal"/>
    <w:uiPriority w:val="99"/>
    <w:unhideWhenUsed/>
    <w:rsid w:val="00582FB3"/>
    <w:pPr>
      <w:spacing w:before="100" w:beforeAutospacing="1" w:after="100" w:afterAutospacing="1"/>
    </w:pPr>
    <w:rPr>
      <w:rFonts w:ascii="Times New Roman" w:eastAsiaTheme="minorHAnsi" w:hAnsi="Times New Roman"/>
      <w:spacing w:val="0"/>
      <w:sz w:val="24"/>
      <w:szCs w:val="24"/>
    </w:rPr>
  </w:style>
  <w:style w:type="paragraph" w:styleId="ListParagraph">
    <w:name w:val="List Paragraph"/>
    <w:basedOn w:val="Normal"/>
    <w:uiPriority w:val="34"/>
    <w:unhideWhenUsed/>
    <w:qFormat/>
    <w:rsid w:val="005E6F59"/>
    <w:pPr>
      <w:ind w:left="720"/>
      <w:contextualSpacing/>
    </w:pPr>
  </w:style>
  <w:style w:type="character" w:styleId="CommentReference">
    <w:name w:val="annotation reference"/>
    <w:basedOn w:val="DefaultParagraphFont"/>
    <w:uiPriority w:val="99"/>
    <w:semiHidden/>
    <w:unhideWhenUsed/>
    <w:rsid w:val="00442C2E"/>
    <w:rPr>
      <w:sz w:val="16"/>
      <w:szCs w:val="16"/>
    </w:rPr>
  </w:style>
  <w:style w:type="paragraph" w:styleId="CommentText">
    <w:name w:val="annotation text"/>
    <w:basedOn w:val="Normal"/>
    <w:link w:val="CommentTextChar"/>
    <w:uiPriority w:val="99"/>
    <w:semiHidden/>
    <w:unhideWhenUsed/>
    <w:rsid w:val="00442C2E"/>
    <w:rPr>
      <w:sz w:val="20"/>
    </w:rPr>
  </w:style>
  <w:style w:type="character" w:customStyle="1" w:styleId="CommentTextChar">
    <w:name w:val="Comment Text Char"/>
    <w:basedOn w:val="DefaultParagraphFont"/>
    <w:link w:val="CommentText"/>
    <w:uiPriority w:val="99"/>
    <w:semiHidden/>
    <w:rsid w:val="00442C2E"/>
    <w:rPr>
      <w:rFonts w:asciiTheme="minorHAnsi" w:hAnsiTheme="minorHAnsi"/>
      <w:spacing w:val="-5"/>
    </w:rPr>
  </w:style>
  <w:style w:type="paragraph" w:styleId="CommentSubject">
    <w:name w:val="annotation subject"/>
    <w:basedOn w:val="CommentText"/>
    <w:next w:val="CommentText"/>
    <w:link w:val="CommentSubjectChar"/>
    <w:uiPriority w:val="99"/>
    <w:semiHidden/>
    <w:unhideWhenUsed/>
    <w:rsid w:val="00442C2E"/>
    <w:rPr>
      <w:b/>
      <w:bCs/>
    </w:rPr>
  </w:style>
  <w:style w:type="character" w:customStyle="1" w:styleId="CommentSubjectChar">
    <w:name w:val="Comment Subject Char"/>
    <w:basedOn w:val="CommentTextChar"/>
    <w:link w:val="CommentSubject"/>
    <w:uiPriority w:val="99"/>
    <w:semiHidden/>
    <w:rsid w:val="00442C2E"/>
    <w:rPr>
      <w:rFonts w:asciiTheme="minorHAnsi" w:hAnsiTheme="minorHAnsi"/>
      <w:b/>
      <w:bCs/>
      <w:spacing w:val="-5"/>
    </w:rPr>
  </w:style>
  <w:style w:type="paragraph" w:styleId="FootnoteText">
    <w:name w:val="footnote text"/>
    <w:basedOn w:val="Normal"/>
    <w:link w:val="FootnoteTextChar"/>
    <w:uiPriority w:val="99"/>
    <w:unhideWhenUsed/>
    <w:rsid w:val="00C76653"/>
    <w:rPr>
      <w:sz w:val="24"/>
      <w:szCs w:val="24"/>
    </w:rPr>
  </w:style>
  <w:style w:type="character" w:customStyle="1" w:styleId="FootnoteTextChar">
    <w:name w:val="Footnote Text Char"/>
    <w:basedOn w:val="DefaultParagraphFont"/>
    <w:link w:val="FootnoteText"/>
    <w:uiPriority w:val="99"/>
    <w:rsid w:val="00C76653"/>
    <w:rPr>
      <w:rFonts w:asciiTheme="minorHAnsi" w:hAnsiTheme="minorHAnsi"/>
      <w:spacing w:val="-5"/>
      <w:sz w:val="24"/>
      <w:szCs w:val="24"/>
    </w:rPr>
  </w:style>
  <w:style w:type="character" w:styleId="FootnoteReference">
    <w:name w:val="footnote reference"/>
    <w:basedOn w:val="DefaultParagraphFont"/>
    <w:uiPriority w:val="99"/>
    <w:unhideWhenUsed/>
    <w:rsid w:val="00C7665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paragraph" w:styleId="EndnoteText">
    <w:name w:val="endnote text"/>
    <w:basedOn w:val="Normal"/>
    <w:link w:val="EndnoteTextChar"/>
    <w:uiPriority w:val="99"/>
    <w:unhideWhenUsed/>
    <w:rsid w:val="009975B5"/>
    <w:rPr>
      <w:sz w:val="24"/>
      <w:szCs w:val="24"/>
    </w:rPr>
  </w:style>
  <w:style w:type="character" w:customStyle="1" w:styleId="EndnoteTextChar">
    <w:name w:val="Endnote Text Char"/>
    <w:basedOn w:val="DefaultParagraphFont"/>
    <w:link w:val="EndnoteText"/>
    <w:uiPriority w:val="99"/>
    <w:rsid w:val="009975B5"/>
    <w:rPr>
      <w:rFonts w:asciiTheme="minorHAnsi" w:hAnsiTheme="minorHAnsi"/>
      <w:spacing w:val="-5"/>
      <w:sz w:val="24"/>
      <w:szCs w:val="24"/>
    </w:rPr>
  </w:style>
  <w:style w:type="character" w:styleId="EndnoteReference">
    <w:name w:val="endnote reference"/>
    <w:basedOn w:val="DefaultParagraphFont"/>
    <w:uiPriority w:val="99"/>
    <w:unhideWhenUsed/>
    <w:rsid w:val="009975B5"/>
    <w:rPr>
      <w:vertAlign w:val="superscript"/>
    </w:rPr>
  </w:style>
  <w:style w:type="paragraph" w:styleId="NormalWeb">
    <w:name w:val="Normal (Web)"/>
    <w:basedOn w:val="Normal"/>
    <w:uiPriority w:val="99"/>
    <w:unhideWhenUsed/>
    <w:rsid w:val="00582FB3"/>
    <w:pPr>
      <w:spacing w:before="100" w:beforeAutospacing="1" w:after="100" w:afterAutospacing="1"/>
    </w:pPr>
    <w:rPr>
      <w:rFonts w:ascii="Times New Roman" w:eastAsiaTheme="minorHAnsi" w:hAnsi="Times New Roman"/>
      <w:spacing w:val="0"/>
      <w:sz w:val="24"/>
      <w:szCs w:val="24"/>
    </w:rPr>
  </w:style>
  <w:style w:type="paragraph" w:styleId="ListParagraph">
    <w:name w:val="List Paragraph"/>
    <w:basedOn w:val="Normal"/>
    <w:uiPriority w:val="34"/>
    <w:unhideWhenUsed/>
    <w:qFormat/>
    <w:rsid w:val="005E6F59"/>
    <w:pPr>
      <w:ind w:left="720"/>
      <w:contextualSpacing/>
    </w:pPr>
  </w:style>
  <w:style w:type="character" w:styleId="CommentReference">
    <w:name w:val="annotation reference"/>
    <w:basedOn w:val="DefaultParagraphFont"/>
    <w:uiPriority w:val="99"/>
    <w:semiHidden/>
    <w:unhideWhenUsed/>
    <w:rsid w:val="00442C2E"/>
    <w:rPr>
      <w:sz w:val="16"/>
      <w:szCs w:val="16"/>
    </w:rPr>
  </w:style>
  <w:style w:type="paragraph" w:styleId="CommentText">
    <w:name w:val="annotation text"/>
    <w:basedOn w:val="Normal"/>
    <w:link w:val="CommentTextChar"/>
    <w:uiPriority w:val="99"/>
    <w:semiHidden/>
    <w:unhideWhenUsed/>
    <w:rsid w:val="00442C2E"/>
    <w:rPr>
      <w:sz w:val="20"/>
    </w:rPr>
  </w:style>
  <w:style w:type="character" w:customStyle="1" w:styleId="CommentTextChar">
    <w:name w:val="Comment Text Char"/>
    <w:basedOn w:val="DefaultParagraphFont"/>
    <w:link w:val="CommentText"/>
    <w:uiPriority w:val="99"/>
    <w:semiHidden/>
    <w:rsid w:val="00442C2E"/>
    <w:rPr>
      <w:rFonts w:asciiTheme="minorHAnsi" w:hAnsiTheme="minorHAnsi"/>
      <w:spacing w:val="-5"/>
    </w:rPr>
  </w:style>
  <w:style w:type="paragraph" w:styleId="CommentSubject">
    <w:name w:val="annotation subject"/>
    <w:basedOn w:val="CommentText"/>
    <w:next w:val="CommentText"/>
    <w:link w:val="CommentSubjectChar"/>
    <w:uiPriority w:val="99"/>
    <w:semiHidden/>
    <w:unhideWhenUsed/>
    <w:rsid w:val="00442C2E"/>
    <w:rPr>
      <w:b/>
      <w:bCs/>
    </w:rPr>
  </w:style>
  <w:style w:type="character" w:customStyle="1" w:styleId="CommentSubjectChar">
    <w:name w:val="Comment Subject Char"/>
    <w:basedOn w:val="CommentTextChar"/>
    <w:link w:val="CommentSubject"/>
    <w:uiPriority w:val="99"/>
    <w:semiHidden/>
    <w:rsid w:val="00442C2E"/>
    <w:rPr>
      <w:rFonts w:asciiTheme="minorHAnsi" w:hAnsiTheme="minorHAnsi"/>
      <w:b/>
      <w:bCs/>
      <w:spacing w:val="-5"/>
    </w:rPr>
  </w:style>
  <w:style w:type="paragraph" w:styleId="FootnoteText">
    <w:name w:val="footnote text"/>
    <w:basedOn w:val="Normal"/>
    <w:link w:val="FootnoteTextChar"/>
    <w:uiPriority w:val="99"/>
    <w:unhideWhenUsed/>
    <w:rsid w:val="00C76653"/>
    <w:rPr>
      <w:sz w:val="24"/>
      <w:szCs w:val="24"/>
    </w:rPr>
  </w:style>
  <w:style w:type="character" w:customStyle="1" w:styleId="FootnoteTextChar">
    <w:name w:val="Footnote Text Char"/>
    <w:basedOn w:val="DefaultParagraphFont"/>
    <w:link w:val="FootnoteText"/>
    <w:uiPriority w:val="99"/>
    <w:rsid w:val="00C76653"/>
    <w:rPr>
      <w:rFonts w:asciiTheme="minorHAnsi" w:hAnsiTheme="minorHAnsi"/>
      <w:spacing w:val="-5"/>
      <w:sz w:val="24"/>
      <w:szCs w:val="24"/>
    </w:rPr>
  </w:style>
  <w:style w:type="character" w:styleId="FootnoteReference">
    <w:name w:val="footnote reference"/>
    <w:basedOn w:val="DefaultParagraphFont"/>
    <w:uiPriority w:val="99"/>
    <w:unhideWhenUsed/>
    <w:rsid w:val="00C76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551">
      <w:bodyDiv w:val="1"/>
      <w:marLeft w:val="0"/>
      <w:marRight w:val="0"/>
      <w:marTop w:val="0"/>
      <w:marBottom w:val="0"/>
      <w:divBdr>
        <w:top w:val="none" w:sz="0" w:space="0" w:color="auto"/>
        <w:left w:val="none" w:sz="0" w:space="0" w:color="auto"/>
        <w:bottom w:val="none" w:sz="0" w:space="0" w:color="auto"/>
        <w:right w:val="none" w:sz="0" w:space="0" w:color="auto"/>
      </w:divBdr>
    </w:div>
    <w:div w:id="30343415">
      <w:bodyDiv w:val="1"/>
      <w:marLeft w:val="0"/>
      <w:marRight w:val="0"/>
      <w:marTop w:val="0"/>
      <w:marBottom w:val="0"/>
      <w:divBdr>
        <w:top w:val="none" w:sz="0" w:space="0" w:color="auto"/>
        <w:left w:val="none" w:sz="0" w:space="0" w:color="auto"/>
        <w:bottom w:val="none" w:sz="0" w:space="0" w:color="auto"/>
        <w:right w:val="none" w:sz="0" w:space="0" w:color="auto"/>
      </w:divBdr>
    </w:div>
    <w:div w:id="113598089">
      <w:bodyDiv w:val="1"/>
      <w:marLeft w:val="0"/>
      <w:marRight w:val="0"/>
      <w:marTop w:val="0"/>
      <w:marBottom w:val="0"/>
      <w:divBdr>
        <w:top w:val="none" w:sz="0" w:space="0" w:color="auto"/>
        <w:left w:val="none" w:sz="0" w:space="0" w:color="auto"/>
        <w:bottom w:val="none" w:sz="0" w:space="0" w:color="auto"/>
        <w:right w:val="none" w:sz="0" w:space="0" w:color="auto"/>
      </w:divBdr>
    </w:div>
    <w:div w:id="204368342">
      <w:bodyDiv w:val="1"/>
      <w:marLeft w:val="0"/>
      <w:marRight w:val="0"/>
      <w:marTop w:val="0"/>
      <w:marBottom w:val="0"/>
      <w:divBdr>
        <w:top w:val="none" w:sz="0" w:space="0" w:color="auto"/>
        <w:left w:val="none" w:sz="0" w:space="0" w:color="auto"/>
        <w:bottom w:val="none" w:sz="0" w:space="0" w:color="auto"/>
        <w:right w:val="none" w:sz="0" w:space="0" w:color="auto"/>
      </w:divBdr>
    </w:div>
    <w:div w:id="245380635">
      <w:bodyDiv w:val="1"/>
      <w:marLeft w:val="0"/>
      <w:marRight w:val="0"/>
      <w:marTop w:val="0"/>
      <w:marBottom w:val="0"/>
      <w:divBdr>
        <w:top w:val="none" w:sz="0" w:space="0" w:color="auto"/>
        <w:left w:val="none" w:sz="0" w:space="0" w:color="auto"/>
        <w:bottom w:val="none" w:sz="0" w:space="0" w:color="auto"/>
        <w:right w:val="none" w:sz="0" w:space="0" w:color="auto"/>
      </w:divBdr>
    </w:div>
    <w:div w:id="247807004">
      <w:bodyDiv w:val="1"/>
      <w:marLeft w:val="0"/>
      <w:marRight w:val="0"/>
      <w:marTop w:val="0"/>
      <w:marBottom w:val="0"/>
      <w:divBdr>
        <w:top w:val="none" w:sz="0" w:space="0" w:color="auto"/>
        <w:left w:val="none" w:sz="0" w:space="0" w:color="auto"/>
        <w:bottom w:val="none" w:sz="0" w:space="0" w:color="auto"/>
        <w:right w:val="none" w:sz="0" w:space="0" w:color="auto"/>
      </w:divBdr>
    </w:div>
    <w:div w:id="255751392">
      <w:bodyDiv w:val="1"/>
      <w:marLeft w:val="0"/>
      <w:marRight w:val="0"/>
      <w:marTop w:val="0"/>
      <w:marBottom w:val="0"/>
      <w:divBdr>
        <w:top w:val="none" w:sz="0" w:space="0" w:color="auto"/>
        <w:left w:val="none" w:sz="0" w:space="0" w:color="auto"/>
        <w:bottom w:val="none" w:sz="0" w:space="0" w:color="auto"/>
        <w:right w:val="none" w:sz="0" w:space="0" w:color="auto"/>
      </w:divBdr>
    </w:div>
    <w:div w:id="363674823">
      <w:bodyDiv w:val="1"/>
      <w:marLeft w:val="0"/>
      <w:marRight w:val="0"/>
      <w:marTop w:val="0"/>
      <w:marBottom w:val="0"/>
      <w:divBdr>
        <w:top w:val="none" w:sz="0" w:space="0" w:color="auto"/>
        <w:left w:val="none" w:sz="0" w:space="0" w:color="auto"/>
        <w:bottom w:val="none" w:sz="0" w:space="0" w:color="auto"/>
        <w:right w:val="none" w:sz="0" w:space="0" w:color="auto"/>
      </w:divBdr>
    </w:div>
    <w:div w:id="514465354">
      <w:bodyDiv w:val="1"/>
      <w:marLeft w:val="0"/>
      <w:marRight w:val="0"/>
      <w:marTop w:val="0"/>
      <w:marBottom w:val="0"/>
      <w:divBdr>
        <w:top w:val="none" w:sz="0" w:space="0" w:color="auto"/>
        <w:left w:val="none" w:sz="0" w:space="0" w:color="auto"/>
        <w:bottom w:val="none" w:sz="0" w:space="0" w:color="auto"/>
        <w:right w:val="none" w:sz="0" w:space="0" w:color="auto"/>
      </w:divBdr>
    </w:div>
    <w:div w:id="723916136">
      <w:bodyDiv w:val="1"/>
      <w:marLeft w:val="0"/>
      <w:marRight w:val="0"/>
      <w:marTop w:val="0"/>
      <w:marBottom w:val="0"/>
      <w:divBdr>
        <w:top w:val="none" w:sz="0" w:space="0" w:color="auto"/>
        <w:left w:val="none" w:sz="0" w:space="0" w:color="auto"/>
        <w:bottom w:val="none" w:sz="0" w:space="0" w:color="auto"/>
        <w:right w:val="none" w:sz="0" w:space="0" w:color="auto"/>
      </w:divBdr>
    </w:div>
    <w:div w:id="739331194">
      <w:bodyDiv w:val="1"/>
      <w:marLeft w:val="0"/>
      <w:marRight w:val="0"/>
      <w:marTop w:val="0"/>
      <w:marBottom w:val="0"/>
      <w:divBdr>
        <w:top w:val="none" w:sz="0" w:space="0" w:color="auto"/>
        <w:left w:val="none" w:sz="0" w:space="0" w:color="auto"/>
        <w:bottom w:val="none" w:sz="0" w:space="0" w:color="auto"/>
        <w:right w:val="none" w:sz="0" w:space="0" w:color="auto"/>
      </w:divBdr>
    </w:div>
    <w:div w:id="762919461">
      <w:bodyDiv w:val="1"/>
      <w:marLeft w:val="0"/>
      <w:marRight w:val="0"/>
      <w:marTop w:val="0"/>
      <w:marBottom w:val="0"/>
      <w:divBdr>
        <w:top w:val="none" w:sz="0" w:space="0" w:color="auto"/>
        <w:left w:val="none" w:sz="0" w:space="0" w:color="auto"/>
        <w:bottom w:val="none" w:sz="0" w:space="0" w:color="auto"/>
        <w:right w:val="none" w:sz="0" w:space="0" w:color="auto"/>
      </w:divBdr>
    </w:div>
    <w:div w:id="818573043">
      <w:bodyDiv w:val="1"/>
      <w:marLeft w:val="0"/>
      <w:marRight w:val="0"/>
      <w:marTop w:val="0"/>
      <w:marBottom w:val="0"/>
      <w:divBdr>
        <w:top w:val="none" w:sz="0" w:space="0" w:color="auto"/>
        <w:left w:val="none" w:sz="0" w:space="0" w:color="auto"/>
        <w:bottom w:val="none" w:sz="0" w:space="0" w:color="auto"/>
        <w:right w:val="none" w:sz="0" w:space="0" w:color="auto"/>
      </w:divBdr>
    </w:div>
    <w:div w:id="828715659">
      <w:bodyDiv w:val="1"/>
      <w:marLeft w:val="0"/>
      <w:marRight w:val="0"/>
      <w:marTop w:val="0"/>
      <w:marBottom w:val="0"/>
      <w:divBdr>
        <w:top w:val="none" w:sz="0" w:space="0" w:color="auto"/>
        <w:left w:val="none" w:sz="0" w:space="0" w:color="auto"/>
        <w:bottom w:val="none" w:sz="0" w:space="0" w:color="auto"/>
        <w:right w:val="none" w:sz="0" w:space="0" w:color="auto"/>
      </w:divBdr>
    </w:div>
    <w:div w:id="842161249">
      <w:bodyDiv w:val="1"/>
      <w:marLeft w:val="0"/>
      <w:marRight w:val="0"/>
      <w:marTop w:val="0"/>
      <w:marBottom w:val="0"/>
      <w:divBdr>
        <w:top w:val="none" w:sz="0" w:space="0" w:color="auto"/>
        <w:left w:val="none" w:sz="0" w:space="0" w:color="auto"/>
        <w:bottom w:val="none" w:sz="0" w:space="0" w:color="auto"/>
        <w:right w:val="none" w:sz="0" w:space="0" w:color="auto"/>
      </w:divBdr>
    </w:div>
    <w:div w:id="959654705">
      <w:bodyDiv w:val="1"/>
      <w:marLeft w:val="0"/>
      <w:marRight w:val="0"/>
      <w:marTop w:val="0"/>
      <w:marBottom w:val="0"/>
      <w:divBdr>
        <w:top w:val="none" w:sz="0" w:space="0" w:color="auto"/>
        <w:left w:val="none" w:sz="0" w:space="0" w:color="auto"/>
        <w:bottom w:val="none" w:sz="0" w:space="0" w:color="auto"/>
        <w:right w:val="none" w:sz="0" w:space="0" w:color="auto"/>
      </w:divBdr>
    </w:div>
    <w:div w:id="1021276123">
      <w:bodyDiv w:val="1"/>
      <w:marLeft w:val="0"/>
      <w:marRight w:val="0"/>
      <w:marTop w:val="0"/>
      <w:marBottom w:val="0"/>
      <w:divBdr>
        <w:top w:val="none" w:sz="0" w:space="0" w:color="auto"/>
        <w:left w:val="none" w:sz="0" w:space="0" w:color="auto"/>
        <w:bottom w:val="none" w:sz="0" w:space="0" w:color="auto"/>
        <w:right w:val="none" w:sz="0" w:space="0" w:color="auto"/>
      </w:divBdr>
    </w:div>
    <w:div w:id="1112819939">
      <w:bodyDiv w:val="1"/>
      <w:marLeft w:val="0"/>
      <w:marRight w:val="0"/>
      <w:marTop w:val="0"/>
      <w:marBottom w:val="0"/>
      <w:divBdr>
        <w:top w:val="none" w:sz="0" w:space="0" w:color="auto"/>
        <w:left w:val="none" w:sz="0" w:space="0" w:color="auto"/>
        <w:bottom w:val="none" w:sz="0" w:space="0" w:color="auto"/>
        <w:right w:val="none" w:sz="0" w:space="0" w:color="auto"/>
      </w:divBdr>
    </w:div>
    <w:div w:id="1197622441">
      <w:bodyDiv w:val="1"/>
      <w:marLeft w:val="0"/>
      <w:marRight w:val="0"/>
      <w:marTop w:val="0"/>
      <w:marBottom w:val="0"/>
      <w:divBdr>
        <w:top w:val="none" w:sz="0" w:space="0" w:color="auto"/>
        <w:left w:val="none" w:sz="0" w:space="0" w:color="auto"/>
        <w:bottom w:val="none" w:sz="0" w:space="0" w:color="auto"/>
        <w:right w:val="none" w:sz="0" w:space="0" w:color="auto"/>
      </w:divBdr>
    </w:div>
    <w:div w:id="1265068448">
      <w:bodyDiv w:val="1"/>
      <w:marLeft w:val="0"/>
      <w:marRight w:val="0"/>
      <w:marTop w:val="0"/>
      <w:marBottom w:val="0"/>
      <w:divBdr>
        <w:top w:val="none" w:sz="0" w:space="0" w:color="auto"/>
        <w:left w:val="none" w:sz="0" w:space="0" w:color="auto"/>
        <w:bottom w:val="none" w:sz="0" w:space="0" w:color="auto"/>
        <w:right w:val="none" w:sz="0" w:space="0" w:color="auto"/>
      </w:divBdr>
    </w:div>
    <w:div w:id="1339309384">
      <w:bodyDiv w:val="1"/>
      <w:marLeft w:val="0"/>
      <w:marRight w:val="0"/>
      <w:marTop w:val="0"/>
      <w:marBottom w:val="0"/>
      <w:divBdr>
        <w:top w:val="none" w:sz="0" w:space="0" w:color="auto"/>
        <w:left w:val="none" w:sz="0" w:space="0" w:color="auto"/>
        <w:bottom w:val="none" w:sz="0" w:space="0" w:color="auto"/>
        <w:right w:val="none" w:sz="0" w:space="0" w:color="auto"/>
      </w:divBdr>
    </w:div>
    <w:div w:id="1343312496">
      <w:bodyDiv w:val="1"/>
      <w:marLeft w:val="0"/>
      <w:marRight w:val="0"/>
      <w:marTop w:val="0"/>
      <w:marBottom w:val="0"/>
      <w:divBdr>
        <w:top w:val="none" w:sz="0" w:space="0" w:color="auto"/>
        <w:left w:val="none" w:sz="0" w:space="0" w:color="auto"/>
        <w:bottom w:val="none" w:sz="0" w:space="0" w:color="auto"/>
        <w:right w:val="none" w:sz="0" w:space="0" w:color="auto"/>
      </w:divBdr>
    </w:div>
    <w:div w:id="1361123363">
      <w:bodyDiv w:val="1"/>
      <w:marLeft w:val="0"/>
      <w:marRight w:val="0"/>
      <w:marTop w:val="0"/>
      <w:marBottom w:val="0"/>
      <w:divBdr>
        <w:top w:val="none" w:sz="0" w:space="0" w:color="auto"/>
        <w:left w:val="none" w:sz="0" w:space="0" w:color="auto"/>
        <w:bottom w:val="none" w:sz="0" w:space="0" w:color="auto"/>
        <w:right w:val="none" w:sz="0" w:space="0" w:color="auto"/>
      </w:divBdr>
    </w:div>
    <w:div w:id="1664116810">
      <w:bodyDiv w:val="1"/>
      <w:marLeft w:val="0"/>
      <w:marRight w:val="0"/>
      <w:marTop w:val="0"/>
      <w:marBottom w:val="0"/>
      <w:divBdr>
        <w:top w:val="none" w:sz="0" w:space="0" w:color="auto"/>
        <w:left w:val="none" w:sz="0" w:space="0" w:color="auto"/>
        <w:bottom w:val="none" w:sz="0" w:space="0" w:color="auto"/>
        <w:right w:val="none" w:sz="0" w:space="0" w:color="auto"/>
      </w:divBdr>
    </w:div>
    <w:div w:id="1811709295">
      <w:bodyDiv w:val="1"/>
      <w:marLeft w:val="0"/>
      <w:marRight w:val="0"/>
      <w:marTop w:val="0"/>
      <w:marBottom w:val="0"/>
      <w:divBdr>
        <w:top w:val="none" w:sz="0" w:space="0" w:color="auto"/>
        <w:left w:val="none" w:sz="0" w:space="0" w:color="auto"/>
        <w:bottom w:val="none" w:sz="0" w:space="0" w:color="auto"/>
        <w:right w:val="none" w:sz="0" w:space="0" w:color="auto"/>
      </w:divBdr>
    </w:div>
    <w:div w:id="1918204169">
      <w:bodyDiv w:val="1"/>
      <w:marLeft w:val="0"/>
      <w:marRight w:val="0"/>
      <w:marTop w:val="0"/>
      <w:marBottom w:val="0"/>
      <w:divBdr>
        <w:top w:val="none" w:sz="0" w:space="0" w:color="auto"/>
        <w:left w:val="none" w:sz="0" w:space="0" w:color="auto"/>
        <w:bottom w:val="none" w:sz="0" w:space="0" w:color="auto"/>
        <w:right w:val="none" w:sz="0" w:space="0" w:color="auto"/>
      </w:divBdr>
    </w:div>
    <w:div w:id="1930960679">
      <w:bodyDiv w:val="1"/>
      <w:marLeft w:val="0"/>
      <w:marRight w:val="0"/>
      <w:marTop w:val="0"/>
      <w:marBottom w:val="0"/>
      <w:divBdr>
        <w:top w:val="none" w:sz="0" w:space="0" w:color="auto"/>
        <w:left w:val="none" w:sz="0" w:space="0" w:color="auto"/>
        <w:bottom w:val="none" w:sz="0" w:space="0" w:color="auto"/>
        <w:right w:val="none" w:sz="0" w:space="0" w:color="auto"/>
      </w:divBdr>
    </w:div>
    <w:div w:id="20132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customXml/itemProps2.xml><?xml version="1.0" encoding="utf-8"?>
<ds:datastoreItem xmlns:ds="http://schemas.openxmlformats.org/officeDocument/2006/customXml" ds:itemID="{E0084332-96BD-D04D-81A3-B9DCAC84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2620</Words>
  <Characters>14938</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Ronda Britt</dc:creator>
  <cp:lastModifiedBy>Ronda Britt</cp:lastModifiedBy>
  <cp:revision>6</cp:revision>
  <cp:lastPrinted>2014-08-06T18:25:00Z</cp:lastPrinted>
  <dcterms:created xsi:type="dcterms:W3CDTF">2016-05-26T14:29:00Z</dcterms:created>
  <dcterms:modified xsi:type="dcterms:W3CDTF">2016-06-08T12:08:00Z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