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7650" w14:textId="77777777" w:rsidR="00A167ED" w:rsidRDefault="0088002C" w:rsidP="0088002C">
      <w:pPr>
        <w:jc w:val="center"/>
      </w:pPr>
      <w:bookmarkStart w:id="0" w:name="_GoBack"/>
      <w:bookmarkEnd w:id="0"/>
      <w:r w:rsidRPr="00736E15">
        <w:rPr>
          <w:highlight w:val="lightGray"/>
        </w:rPr>
        <w:t xml:space="preserve">[Use </w:t>
      </w:r>
      <w:r w:rsidR="00736E15" w:rsidRPr="00736E15">
        <w:rPr>
          <w:highlight w:val="lightGray"/>
        </w:rPr>
        <w:t>Letterhead of Organization Providing the Match</w:t>
      </w:r>
      <w:r w:rsidRPr="00736E15">
        <w:rPr>
          <w:highlight w:val="lightGray"/>
        </w:rPr>
        <w:t>]</w:t>
      </w:r>
    </w:p>
    <w:p w14:paraId="23D3ABEA" w14:textId="77777777" w:rsidR="0088002C" w:rsidRDefault="0088002C" w:rsidP="0088002C">
      <w:pPr>
        <w:jc w:val="center"/>
      </w:pPr>
    </w:p>
    <w:p w14:paraId="0A76E31D" w14:textId="77777777" w:rsidR="00736E15" w:rsidRDefault="00736E15" w:rsidP="0088002C">
      <w:pPr>
        <w:jc w:val="center"/>
      </w:pPr>
      <w:r>
        <w:t>MATCH VERIFICATION LETTER</w:t>
      </w:r>
    </w:p>
    <w:p w14:paraId="0DF37E5E" w14:textId="77777777" w:rsidR="00736E15" w:rsidRDefault="00736E15" w:rsidP="0088002C">
      <w:pPr>
        <w:jc w:val="center"/>
      </w:pPr>
    </w:p>
    <w:p w14:paraId="5143A3C7" w14:textId="494E5622" w:rsidR="002C39B2" w:rsidRPr="00736E15" w:rsidRDefault="002C39B2" w:rsidP="0088002C">
      <w:pPr>
        <w:rPr>
          <w:highlight w:val="lightGray"/>
        </w:rPr>
      </w:pPr>
      <w:r w:rsidRPr="00736E15">
        <w:rPr>
          <w:highlight w:val="lightGray"/>
        </w:rPr>
        <w:t>[</w:t>
      </w:r>
      <w:r w:rsidR="00390E65">
        <w:rPr>
          <w:highlight w:val="lightGray"/>
        </w:rPr>
        <w:t>Application Authorized Organizational Representative</w:t>
      </w:r>
      <w:r w:rsidRPr="00736E15">
        <w:rPr>
          <w:highlight w:val="lightGray"/>
        </w:rPr>
        <w:t xml:space="preserve">] </w:t>
      </w:r>
    </w:p>
    <w:p w14:paraId="2AEEFC03" w14:textId="77777777" w:rsidR="0088002C" w:rsidRPr="002C39B2" w:rsidRDefault="002C39B2" w:rsidP="0088002C">
      <w:r w:rsidRPr="00736E15">
        <w:rPr>
          <w:highlight w:val="lightGray"/>
        </w:rPr>
        <w:t>[Applicant Organization Address]</w:t>
      </w:r>
    </w:p>
    <w:p w14:paraId="2D46B617" w14:textId="77777777" w:rsidR="0088002C" w:rsidRPr="002C39B2" w:rsidRDefault="0088002C" w:rsidP="0088002C"/>
    <w:p w14:paraId="0CC45046" w14:textId="2798E414" w:rsidR="0088002C" w:rsidRPr="002C39B2" w:rsidRDefault="0088002C" w:rsidP="0088002C">
      <w:r w:rsidRPr="002C39B2">
        <w:t xml:space="preserve">Dear </w:t>
      </w:r>
      <w:r w:rsidR="00736E15" w:rsidRPr="00736E15">
        <w:rPr>
          <w:highlight w:val="lightGray"/>
        </w:rPr>
        <w:t>[</w:t>
      </w:r>
      <w:r w:rsidR="00390E65">
        <w:rPr>
          <w:highlight w:val="lightGray"/>
        </w:rPr>
        <w:t>Application Authorized Organizational Representative</w:t>
      </w:r>
      <w:r w:rsidR="00736E15" w:rsidRPr="00736E15">
        <w:rPr>
          <w:highlight w:val="lightGray"/>
        </w:rPr>
        <w:t>]</w:t>
      </w:r>
      <w:r w:rsidRPr="002C39B2">
        <w:t xml:space="preserve">: </w:t>
      </w:r>
    </w:p>
    <w:p w14:paraId="62483E95" w14:textId="77777777" w:rsidR="0088002C" w:rsidRPr="002C39B2" w:rsidRDefault="0088002C" w:rsidP="0088002C"/>
    <w:p w14:paraId="0895B9F7" w14:textId="77777777" w:rsidR="0088002C" w:rsidRPr="002C39B2" w:rsidRDefault="0088002C" w:rsidP="0088002C">
      <w:r w:rsidRPr="002C39B2">
        <w:t xml:space="preserve">We commit to providing the following matching funds to the 2016 </w:t>
      </w:r>
      <w:r w:rsidRPr="00736E15">
        <w:rPr>
          <w:highlight w:val="lightGray"/>
        </w:rPr>
        <w:t>[LFPP/FSMIP]</w:t>
      </w:r>
      <w:r w:rsidRPr="002C39B2">
        <w:t xml:space="preserve"> application: </w:t>
      </w:r>
      <w:r w:rsidRPr="00736E15">
        <w:rPr>
          <w:highlight w:val="lightGray"/>
        </w:rPr>
        <w:t>[Project title]</w:t>
      </w:r>
    </w:p>
    <w:p w14:paraId="730BF86B" w14:textId="77777777" w:rsidR="0088002C" w:rsidRDefault="0088002C" w:rsidP="0088002C"/>
    <w:p w14:paraId="2D4609D9" w14:textId="77777777" w:rsidR="0088002C" w:rsidRDefault="0088002C" w:rsidP="0088002C">
      <w:pPr>
        <w:pStyle w:val="ListParagraph"/>
        <w:numPr>
          <w:ilvl w:val="0"/>
          <w:numId w:val="1"/>
        </w:numPr>
      </w:pPr>
      <w:r>
        <w:t xml:space="preserve">Cash in the </w:t>
      </w:r>
      <w:r w:rsidR="008B5CA0">
        <w:t xml:space="preserve">total </w:t>
      </w:r>
      <w:r>
        <w:t>amount of $</w:t>
      </w:r>
      <w:r w:rsidRPr="00736E15">
        <w:rPr>
          <w:highlight w:val="lightGray"/>
        </w:rPr>
        <w:t>XXX</w:t>
      </w:r>
      <w:r>
        <w:t xml:space="preserve">, which we will provide during the grant period September 30, </w:t>
      </w:r>
      <w:r w:rsidRPr="00736E15">
        <w:rPr>
          <w:highlight w:val="lightGray"/>
        </w:rPr>
        <w:t>[insert year begins]</w:t>
      </w:r>
      <w:r>
        <w:t xml:space="preserve"> through September 29, </w:t>
      </w:r>
      <w:r w:rsidRPr="00736E15">
        <w:rPr>
          <w:highlight w:val="lightGray"/>
        </w:rPr>
        <w:t>[insert year project will terminate]</w:t>
      </w:r>
      <w:r w:rsidR="00D81B14">
        <w:t xml:space="preserve">.  </w:t>
      </w:r>
    </w:p>
    <w:p w14:paraId="72F48FBD" w14:textId="77777777" w:rsidR="00D81B14" w:rsidRDefault="00D81B14" w:rsidP="00D81B14">
      <w:pPr>
        <w:pStyle w:val="ListParagraph"/>
        <w:numPr>
          <w:ilvl w:val="1"/>
          <w:numId w:val="1"/>
        </w:numPr>
      </w:pPr>
      <w:r>
        <w:t xml:space="preserve">Funds will be used for </w:t>
      </w:r>
      <w:r w:rsidRPr="00736E15">
        <w:rPr>
          <w:highlight w:val="lightGray"/>
        </w:rPr>
        <w:t>[provide particular item(s) corresponding to the budget narrative or describe how the applicant will otherwise use the funds]</w:t>
      </w:r>
      <w:r>
        <w:t xml:space="preserve">.  </w:t>
      </w:r>
    </w:p>
    <w:p w14:paraId="2B3B318F" w14:textId="77777777" w:rsidR="00D81B14" w:rsidRDefault="00D81B14" w:rsidP="00D81B14">
      <w:pPr>
        <w:pStyle w:val="ListParagraph"/>
        <w:numPr>
          <w:ilvl w:val="1"/>
          <w:numId w:val="1"/>
        </w:numPr>
      </w:pPr>
      <w:r>
        <w:t xml:space="preserve">We will provide the following amounts per year: </w:t>
      </w:r>
      <w:r>
        <w:br/>
      </w:r>
    </w:p>
    <w:tbl>
      <w:tblPr>
        <w:tblStyle w:val="TableGrid"/>
        <w:tblW w:w="0" w:type="auto"/>
        <w:jc w:val="center"/>
        <w:tblLook w:val="04A0" w:firstRow="1" w:lastRow="0" w:firstColumn="1" w:lastColumn="0" w:noHBand="0" w:noVBand="1"/>
      </w:tblPr>
      <w:tblGrid>
        <w:gridCol w:w="1045"/>
        <w:gridCol w:w="2397"/>
      </w:tblGrid>
      <w:tr w:rsidR="00D81B14" w14:paraId="704859F7" w14:textId="77777777" w:rsidTr="00D81B14">
        <w:trPr>
          <w:jc w:val="center"/>
        </w:trPr>
        <w:tc>
          <w:tcPr>
            <w:tcW w:w="1045" w:type="dxa"/>
          </w:tcPr>
          <w:p w14:paraId="18E90402" w14:textId="77777777" w:rsidR="00D81B14" w:rsidRDefault="00D81B14" w:rsidP="00D81B14">
            <w:r>
              <w:t xml:space="preserve">Year: </w:t>
            </w:r>
          </w:p>
        </w:tc>
        <w:tc>
          <w:tcPr>
            <w:tcW w:w="2397" w:type="dxa"/>
          </w:tcPr>
          <w:p w14:paraId="3E4B7806" w14:textId="77777777" w:rsidR="00D81B14" w:rsidRDefault="00D81B14" w:rsidP="00D81B14">
            <w:r>
              <w:t xml:space="preserve">Amount: </w:t>
            </w:r>
          </w:p>
        </w:tc>
      </w:tr>
      <w:tr w:rsidR="00D81B14" w14:paraId="2A3A00F9" w14:textId="77777777" w:rsidTr="00736E15">
        <w:trPr>
          <w:jc w:val="center"/>
        </w:trPr>
        <w:tc>
          <w:tcPr>
            <w:tcW w:w="1045" w:type="dxa"/>
          </w:tcPr>
          <w:p w14:paraId="22B04621" w14:textId="77777777" w:rsidR="00D81B14" w:rsidRDefault="00D81B14" w:rsidP="00D81B14">
            <w:r>
              <w:t>Year 1</w:t>
            </w:r>
          </w:p>
        </w:tc>
        <w:tc>
          <w:tcPr>
            <w:tcW w:w="2397" w:type="dxa"/>
            <w:shd w:val="clear" w:color="auto" w:fill="BFBFBF" w:themeFill="background1" w:themeFillShade="BF"/>
          </w:tcPr>
          <w:p w14:paraId="5F7F1AF5" w14:textId="77777777" w:rsidR="00D81B14" w:rsidRPr="00736E15" w:rsidRDefault="00D81B14" w:rsidP="00D81B14">
            <w:r w:rsidRPr="00736E15">
              <w:t>$</w:t>
            </w:r>
          </w:p>
        </w:tc>
      </w:tr>
      <w:tr w:rsidR="00D81B14" w14:paraId="211C34C0" w14:textId="77777777" w:rsidTr="00736E15">
        <w:trPr>
          <w:jc w:val="center"/>
        </w:trPr>
        <w:tc>
          <w:tcPr>
            <w:tcW w:w="1045" w:type="dxa"/>
          </w:tcPr>
          <w:p w14:paraId="0E440D61" w14:textId="77777777" w:rsidR="00D81B14" w:rsidRDefault="00D81B14" w:rsidP="00D81B14">
            <w:r>
              <w:t>Year 2</w:t>
            </w:r>
          </w:p>
        </w:tc>
        <w:tc>
          <w:tcPr>
            <w:tcW w:w="2397" w:type="dxa"/>
            <w:shd w:val="clear" w:color="auto" w:fill="BFBFBF" w:themeFill="background1" w:themeFillShade="BF"/>
          </w:tcPr>
          <w:p w14:paraId="63C1E933" w14:textId="77777777" w:rsidR="00D81B14" w:rsidRPr="00736E15" w:rsidRDefault="00D81B14" w:rsidP="00D81B14">
            <w:r w:rsidRPr="00736E15">
              <w:t>$</w:t>
            </w:r>
          </w:p>
        </w:tc>
      </w:tr>
      <w:tr w:rsidR="00D81B14" w14:paraId="02FE0B7B" w14:textId="77777777" w:rsidTr="00736E15">
        <w:trPr>
          <w:jc w:val="center"/>
        </w:trPr>
        <w:tc>
          <w:tcPr>
            <w:tcW w:w="1045" w:type="dxa"/>
          </w:tcPr>
          <w:p w14:paraId="522080D1" w14:textId="77777777" w:rsidR="00D81B14" w:rsidRDefault="00D81B14" w:rsidP="00D81B14">
            <w:r>
              <w:t xml:space="preserve">Year 3* </w:t>
            </w:r>
          </w:p>
        </w:tc>
        <w:tc>
          <w:tcPr>
            <w:tcW w:w="2397" w:type="dxa"/>
            <w:shd w:val="clear" w:color="auto" w:fill="BFBFBF" w:themeFill="background1" w:themeFillShade="BF"/>
          </w:tcPr>
          <w:p w14:paraId="43FAAE50" w14:textId="77777777" w:rsidR="00D81B14" w:rsidRPr="00736E15" w:rsidRDefault="00D81B14" w:rsidP="00D81B14">
            <w:r w:rsidRPr="00736E15">
              <w:t>$</w:t>
            </w:r>
          </w:p>
        </w:tc>
      </w:tr>
    </w:tbl>
    <w:p w14:paraId="670B2E0C" w14:textId="2F72A550" w:rsidR="00D81B14" w:rsidRPr="00D81B14" w:rsidRDefault="00D81B14" w:rsidP="00D81B14">
      <w:pPr>
        <w:jc w:val="center"/>
        <w:rPr>
          <w:sz w:val="18"/>
        </w:rPr>
      </w:pPr>
      <w:r w:rsidRPr="00D81B14">
        <w:rPr>
          <w:sz w:val="18"/>
        </w:rPr>
        <w:t>*Only applicable to LFPP implementation grants.  LFPP planning grants are only 18 months</w:t>
      </w:r>
      <w:r w:rsidR="00390E65">
        <w:rPr>
          <w:sz w:val="18"/>
        </w:rPr>
        <w:t xml:space="preserve"> and FSMIP projects are only 2 years</w:t>
      </w:r>
      <w:r w:rsidRPr="00D81B14">
        <w:rPr>
          <w:sz w:val="18"/>
        </w:rPr>
        <w:t>.</w:t>
      </w:r>
    </w:p>
    <w:p w14:paraId="32F25D53" w14:textId="77777777" w:rsidR="00D81B14" w:rsidRDefault="00D81B14" w:rsidP="00D81B14"/>
    <w:p w14:paraId="16F31744" w14:textId="36294CCF" w:rsidR="00D81B14" w:rsidRDefault="00D81B14" w:rsidP="00D81B14">
      <w:pPr>
        <w:pStyle w:val="ListParagraph"/>
        <w:numPr>
          <w:ilvl w:val="0"/>
          <w:numId w:val="1"/>
        </w:numPr>
      </w:pPr>
      <w:r>
        <w:t xml:space="preserve">In-kind contributions in the </w:t>
      </w:r>
      <w:r w:rsidR="008B5CA0">
        <w:t xml:space="preserve">total </w:t>
      </w:r>
      <w:r>
        <w:t>amount of $</w:t>
      </w:r>
      <w:r w:rsidRPr="00736E15">
        <w:rPr>
          <w:highlight w:val="lightGray"/>
        </w:rPr>
        <w:t>XXX</w:t>
      </w:r>
      <w:r>
        <w:t xml:space="preserve">, will </w:t>
      </w:r>
      <w:r w:rsidR="00736E15">
        <w:t xml:space="preserve">be </w:t>
      </w:r>
      <w:r>
        <w:t xml:space="preserve">contributed as follows: </w:t>
      </w:r>
    </w:p>
    <w:p w14:paraId="06D04494" w14:textId="5C3CC3EE" w:rsidR="00D81B14" w:rsidRDefault="00D81B14" w:rsidP="00D81B14">
      <w:pPr>
        <w:pStyle w:val="ListParagraph"/>
        <w:numPr>
          <w:ilvl w:val="1"/>
          <w:numId w:val="1"/>
        </w:numPr>
      </w:pPr>
      <w:r>
        <w:t xml:space="preserve">Salaries and wages of staff time for the following employees: </w:t>
      </w:r>
    </w:p>
    <w:p w14:paraId="7EE39011" w14:textId="77777777" w:rsidR="0088002C" w:rsidRDefault="0088002C" w:rsidP="0088002C"/>
    <w:tbl>
      <w:tblPr>
        <w:tblStyle w:val="TableGrid"/>
        <w:tblW w:w="0" w:type="auto"/>
        <w:jc w:val="center"/>
        <w:tblLook w:val="04A0" w:firstRow="1" w:lastRow="0" w:firstColumn="1" w:lastColumn="0" w:noHBand="0" w:noVBand="1"/>
      </w:tblPr>
      <w:tblGrid>
        <w:gridCol w:w="2160"/>
        <w:gridCol w:w="2125"/>
        <w:gridCol w:w="1581"/>
        <w:gridCol w:w="1209"/>
        <w:gridCol w:w="1250"/>
        <w:gridCol w:w="1250"/>
        <w:gridCol w:w="1250"/>
      </w:tblGrid>
      <w:tr w:rsidR="00D061A0" w14:paraId="6FF6C118" w14:textId="77777777" w:rsidTr="00D061A0">
        <w:trPr>
          <w:jc w:val="center"/>
        </w:trPr>
        <w:tc>
          <w:tcPr>
            <w:tcW w:w="2160" w:type="dxa"/>
          </w:tcPr>
          <w:p w14:paraId="7B1AE61E" w14:textId="77777777" w:rsidR="00D061A0" w:rsidRDefault="00D061A0" w:rsidP="0088002C">
            <w:r>
              <w:t>Employee Name</w:t>
            </w:r>
          </w:p>
          <w:p w14:paraId="51FAF62C" w14:textId="77777777" w:rsidR="00D061A0" w:rsidRDefault="00D061A0" w:rsidP="0088002C">
            <w:r w:rsidRPr="00D061A0">
              <w:rPr>
                <w:sz w:val="18"/>
              </w:rPr>
              <w:t>(add additional lines as needed)</w:t>
            </w:r>
          </w:p>
        </w:tc>
        <w:tc>
          <w:tcPr>
            <w:tcW w:w="2125" w:type="dxa"/>
          </w:tcPr>
          <w:p w14:paraId="23C2D7C5" w14:textId="77777777" w:rsidR="00D061A0" w:rsidRDefault="00D061A0" w:rsidP="0088002C">
            <w:r>
              <w:t>Title</w:t>
            </w:r>
          </w:p>
        </w:tc>
        <w:tc>
          <w:tcPr>
            <w:tcW w:w="1581" w:type="dxa"/>
          </w:tcPr>
          <w:p w14:paraId="04DC559F" w14:textId="77777777" w:rsidR="00D061A0" w:rsidRDefault="00D061A0" w:rsidP="0088002C">
            <w:r>
              <w:t>Description of Duties</w:t>
            </w:r>
          </w:p>
        </w:tc>
        <w:tc>
          <w:tcPr>
            <w:tcW w:w="1209" w:type="dxa"/>
          </w:tcPr>
          <w:p w14:paraId="13CD58F5" w14:textId="22356172" w:rsidR="00D061A0" w:rsidRDefault="00390E65" w:rsidP="005F7D4F">
            <w:r>
              <w:t xml:space="preserve">Base </w:t>
            </w:r>
            <w:r w:rsidR="00D061A0">
              <w:t>Rate ($)/</w:t>
            </w:r>
            <w:proofErr w:type="spellStart"/>
            <w:r w:rsidR="00D061A0">
              <w:t>hr</w:t>
            </w:r>
            <w:proofErr w:type="spellEnd"/>
            <w:r w:rsidR="005F7D4F">
              <w:t xml:space="preserve"> or % FTE</w:t>
            </w:r>
          </w:p>
        </w:tc>
        <w:tc>
          <w:tcPr>
            <w:tcW w:w="1250" w:type="dxa"/>
          </w:tcPr>
          <w:p w14:paraId="47DA5837" w14:textId="77777777" w:rsidR="00D061A0" w:rsidRDefault="00D061A0" w:rsidP="0088002C">
            <w:r>
              <w:t xml:space="preserve">Year 1: </w:t>
            </w:r>
          </w:p>
          <w:p w14:paraId="1E770C13" w14:textId="10250309" w:rsidR="00D061A0" w:rsidRDefault="00D061A0" w:rsidP="0088002C">
            <w:r>
              <w:t># of Hours</w:t>
            </w:r>
            <w:r w:rsidR="005F7D4F">
              <w:t xml:space="preserve"> or $ equivalent</w:t>
            </w:r>
          </w:p>
        </w:tc>
        <w:tc>
          <w:tcPr>
            <w:tcW w:w="1250" w:type="dxa"/>
          </w:tcPr>
          <w:p w14:paraId="5817036D" w14:textId="77777777" w:rsidR="00D061A0" w:rsidRDefault="00D061A0" w:rsidP="00D81B14">
            <w:r>
              <w:t xml:space="preserve">Year 2: </w:t>
            </w:r>
          </w:p>
          <w:p w14:paraId="05EB543A" w14:textId="24676BC4" w:rsidR="00D061A0" w:rsidRDefault="00D061A0" w:rsidP="00D81B14">
            <w:r>
              <w:t># of Hours</w:t>
            </w:r>
            <w:r w:rsidR="005F7D4F">
              <w:t xml:space="preserve"> or $ equivalent</w:t>
            </w:r>
          </w:p>
        </w:tc>
        <w:tc>
          <w:tcPr>
            <w:tcW w:w="1250" w:type="dxa"/>
          </w:tcPr>
          <w:p w14:paraId="300AF091" w14:textId="77777777" w:rsidR="00D061A0" w:rsidRDefault="00D061A0" w:rsidP="00D81B14">
            <w:r>
              <w:t xml:space="preserve">Year 3*: </w:t>
            </w:r>
          </w:p>
          <w:p w14:paraId="2EBBA6B2" w14:textId="0049E3FA" w:rsidR="00D061A0" w:rsidRDefault="00D061A0" w:rsidP="00D81B14">
            <w:r>
              <w:t># of Hours</w:t>
            </w:r>
            <w:r w:rsidR="005F7D4F">
              <w:t xml:space="preserve"> or $ equivalent</w:t>
            </w:r>
          </w:p>
        </w:tc>
      </w:tr>
      <w:tr w:rsidR="00D061A0" w14:paraId="5A530697" w14:textId="77777777" w:rsidTr="00736E15">
        <w:trPr>
          <w:jc w:val="center"/>
        </w:trPr>
        <w:tc>
          <w:tcPr>
            <w:tcW w:w="2160" w:type="dxa"/>
            <w:shd w:val="clear" w:color="auto" w:fill="BFBFBF" w:themeFill="background1" w:themeFillShade="BF"/>
          </w:tcPr>
          <w:p w14:paraId="685AAC07" w14:textId="77777777" w:rsidR="00D061A0" w:rsidRDefault="00D061A0" w:rsidP="0088002C"/>
        </w:tc>
        <w:tc>
          <w:tcPr>
            <w:tcW w:w="2125" w:type="dxa"/>
            <w:shd w:val="clear" w:color="auto" w:fill="BFBFBF" w:themeFill="background1" w:themeFillShade="BF"/>
          </w:tcPr>
          <w:p w14:paraId="7986818D" w14:textId="77777777" w:rsidR="00D061A0" w:rsidRDefault="00D061A0" w:rsidP="0088002C"/>
        </w:tc>
        <w:tc>
          <w:tcPr>
            <w:tcW w:w="1581" w:type="dxa"/>
            <w:shd w:val="clear" w:color="auto" w:fill="BFBFBF" w:themeFill="background1" w:themeFillShade="BF"/>
          </w:tcPr>
          <w:p w14:paraId="3824E57A" w14:textId="77777777" w:rsidR="00D061A0" w:rsidRDefault="00D061A0" w:rsidP="0088002C"/>
        </w:tc>
        <w:tc>
          <w:tcPr>
            <w:tcW w:w="1209" w:type="dxa"/>
            <w:shd w:val="clear" w:color="auto" w:fill="BFBFBF" w:themeFill="background1" w:themeFillShade="BF"/>
          </w:tcPr>
          <w:p w14:paraId="7A84387B" w14:textId="77777777" w:rsidR="00D061A0" w:rsidRDefault="00D061A0" w:rsidP="0088002C"/>
        </w:tc>
        <w:tc>
          <w:tcPr>
            <w:tcW w:w="1250" w:type="dxa"/>
            <w:shd w:val="clear" w:color="auto" w:fill="BFBFBF" w:themeFill="background1" w:themeFillShade="BF"/>
          </w:tcPr>
          <w:p w14:paraId="3D77CB9B" w14:textId="77777777" w:rsidR="00D061A0" w:rsidRDefault="00D061A0" w:rsidP="0088002C"/>
        </w:tc>
        <w:tc>
          <w:tcPr>
            <w:tcW w:w="1250" w:type="dxa"/>
            <w:shd w:val="clear" w:color="auto" w:fill="BFBFBF" w:themeFill="background1" w:themeFillShade="BF"/>
          </w:tcPr>
          <w:p w14:paraId="37CADC24" w14:textId="77777777" w:rsidR="00D061A0" w:rsidRDefault="00D061A0" w:rsidP="0088002C"/>
        </w:tc>
        <w:tc>
          <w:tcPr>
            <w:tcW w:w="1250" w:type="dxa"/>
            <w:shd w:val="clear" w:color="auto" w:fill="BFBFBF" w:themeFill="background1" w:themeFillShade="BF"/>
          </w:tcPr>
          <w:p w14:paraId="7C6C1AF4" w14:textId="77777777" w:rsidR="00D061A0" w:rsidRDefault="00D061A0" w:rsidP="0088002C"/>
        </w:tc>
      </w:tr>
      <w:tr w:rsidR="00D061A0" w14:paraId="02DF84A9" w14:textId="77777777" w:rsidTr="00736E15">
        <w:trPr>
          <w:jc w:val="center"/>
        </w:trPr>
        <w:tc>
          <w:tcPr>
            <w:tcW w:w="2160" w:type="dxa"/>
            <w:shd w:val="clear" w:color="auto" w:fill="BFBFBF" w:themeFill="background1" w:themeFillShade="BF"/>
          </w:tcPr>
          <w:p w14:paraId="3E30A3C0" w14:textId="77777777" w:rsidR="00D061A0" w:rsidRDefault="00D061A0" w:rsidP="0088002C"/>
        </w:tc>
        <w:tc>
          <w:tcPr>
            <w:tcW w:w="2125" w:type="dxa"/>
            <w:shd w:val="clear" w:color="auto" w:fill="BFBFBF" w:themeFill="background1" w:themeFillShade="BF"/>
          </w:tcPr>
          <w:p w14:paraId="6B06CEDE" w14:textId="77777777" w:rsidR="00D061A0" w:rsidRDefault="00D061A0" w:rsidP="0088002C"/>
        </w:tc>
        <w:tc>
          <w:tcPr>
            <w:tcW w:w="1581" w:type="dxa"/>
            <w:shd w:val="clear" w:color="auto" w:fill="BFBFBF" w:themeFill="background1" w:themeFillShade="BF"/>
          </w:tcPr>
          <w:p w14:paraId="7F3B1DD8" w14:textId="77777777" w:rsidR="00D061A0" w:rsidRDefault="00D061A0" w:rsidP="0088002C"/>
        </w:tc>
        <w:tc>
          <w:tcPr>
            <w:tcW w:w="1209" w:type="dxa"/>
            <w:shd w:val="clear" w:color="auto" w:fill="BFBFBF" w:themeFill="background1" w:themeFillShade="BF"/>
          </w:tcPr>
          <w:p w14:paraId="19F4E9C6" w14:textId="77777777" w:rsidR="00D061A0" w:rsidRDefault="00D061A0" w:rsidP="0088002C"/>
        </w:tc>
        <w:tc>
          <w:tcPr>
            <w:tcW w:w="1250" w:type="dxa"/>
            <w:shd w:val="clear" w:color="auto" w:fill="BFBFBF" w:themeFill="background1" w:themeFillShade="BF"/>
          </w:tcPr>
          <w:p w14:paraId="63B8FF9C" w14:textId="77777777" w:rsidR="00D061A0" w:rsidRDefault="00D061A0" w:rsidP="0088002C"/>
        </w:tc>
        <w:tc>
          <w:tcPr>
            <w:tcW w:w="1250" w:type="dxa"/>
            <w:shd w:val="clear" w:color="auto" w:fill="BFBFBF" w:themeFill="background1" w:themeFillShade="BF"/>
          </w:tcPr>
          <w:p w14:paraId="4B32E3BB" w14:textId="77777777" w:rsidR="00D061A0" w:rsidRDefault="00D061A0" w:rsidP="0088002C"/>
        </w:tc>
        <w:tc>
          <w:tcPr>
            <w:tcW w:w="1250" w:type="dxa"/>
            <w:shd w:val="clear" w:color="auto" w:fill="BFBFBF" w:themeFill="background1" w:themeFillShade="BF"/>
          </w:tcPr>
          <w:p w14:paraId="7A575186" w14:textId="77777777" w:rsidR="00D061A0" w:rsidRDefault="00D061A0" w:rsidP="0088002C"/>
        </w:tc>
      </w:tr>
      <w:tr w:rsidR="00D061A0" w14:paraId="2FD3965B" w14:textId="77777777" w:rsidTr="00736E15">
        <w:trPr>
          <w:jc w:val="center"/>
        </w:trPr>
        <w:tc>
          <w:tcPr>
            <w:tcW w:w="2160" w:type="dxa"/>
            <w:shd w:val="clear" w:color="auto" w:fill="BFBFBF" w:themeFill="background1" w:themeFillShade="BF"/>
          </w:tcPr>
          <w:p w14:paraId="53F0E7FD" w14:textId="77777777" w:rsidR="00D061A0" w:rsidRDefault="00D061A0" w:rsidP="0088002C"/>
        </w:tc>
        <w:tc>
          <w:tcPr>
            <w:tcW w:w="2125" w:type="dxa"/>
            <w:shd w:val="clear" w:color="auto" w:fill="BFBFBF" w:themeFill="background1" w:themeFillShade="BF"/>
          </w:tcPr>
          <w:p w14:paraId="5C00AF46" w14:textId="77777777" w:rsidR="00D061A0" w:rsidRDefault="00D061A0" w:rsidP="0088002C"/>
        </w:tc>
        <w:tc>
          <w:tcPr>
            <w:tcW w:w="1581" w:type="dxa"/>
            <w:shd w:val="clear" w:color="auto" w:fill="BFBFBF" w:themeFill="background1" w:themeFillShade="BF"/>
          </w:tcPr>
          <w:p w14:paraId="21510386" w14:textId="77777777" w:rsidR="00D061A0" w:rsidRDefault="00D061A0" w:rsidP="0088002C"/>
        </w:tc>
        <w:tc>
          <w:tcPr>
            <w:tcW w:w="1209" w:type="dxa"/>
            <w:shd w:val="clear" w:color="auto" w:fill="BFBFBF" w:themeFill="background1" w:themeFillShade="BF"/>
          </w:tcPr>
          <w:p w14:paraId="3C00DF28" w14:textId="77777777" w:rsidR="00D061A0" w:rsidRDefault="00D061A0" w:rsidP="0088002C"/>
        </w:tc>
        <w:tc>
          <w:tcPr>
            <w:tcW w:w="1250" w:type="dxa"/>
            <w:shd w:val="clear" w:color="auto" w:fill="BFBFBF" w:themeFill="background1" w:themeFillShade="BF"/>
          </w:tcPr>
          <w:p w14:paraId="087DD335" w14:textId="77777777" w:rsidR="00D061A0" w:rsidRDefault="00D061A0" w:rsidP="0088002C"/>
        </w:tc>
        <w:tc>
          <w:tcPr>
            <w:tcW w:w="1250" w:type="dxa"/>
            <w:shd w:val="clear" w:color="auto" w:fill="BFBFBF" w:themeFill="background1" w:themeFillShade="BF"/>
          </w:tcPr>
          <w:p w14:paraId="5E1C4B47" w14:textId="77777777" w:rsidR="00D061A0" w:rsidRDefault="00D061A0" w:rsidP="0088002C"/>
        </w:tc>
        <w:tc>
          <w:tcPr>
            <w:tcW w:w="1250" w:type="dxa"/>
            <w:shd w:val="clear" w:color="auto" w:fill="BFBFBF" w:themeFill="background1" w:themeFillShade="BF"/>
          </w:tcPr>
          <w:p w14:paraId="7E80D761" w14:textId="77777777" w:rsidR="00D061A0" w:rsidRDefault="00D061A0" w:rsidP="0088002C"/>
        </w:tc>
      </w:tr>
      <w:tr w:rsidR="00D061A0" w14:paraId="5604726C" w14:textId="77777777" w:rsidTr="00736E15">
        <w:trPr>
          <w:jc w:val="center"/>
        </w:trPr>
        <w:tc>
          <w:tcPr>
            <w:tcW w:w="2160" w:type="dxa"/>
            <w:shd w:val="clear" w:color="auto" w:fill="BFBFBF" w:themeFill="background1" w:themeFillShade="BF"/>
          </w:tcPr>
          <w:p w14:paraId="633BED1C" w14:textId="77777777" w:rsidR="00D061A0" w:rsidRDefault="00D061A0" w:rsidP="0088002C"/>
        </w:tc>
        <w:tc>
          <w:tcPr>
            <w:tcW w:w="2125" w:type="dxa"/>
            <w:shd w:val="clear" w:color="auto" w:fill="BFBFBF" w:themeFill="background1" w:themeFillShade="BF"/>
          </w:tcPr>
          <w:p w14:paraId="0D043307" w14:textId="77777777" w:rsidR="00D061A0" w:rsidRDefault="00D061A0" w:rsidP="0088002C"/>
        </w:tc>
        <w:tc>
          <w:tcPr>
            <w:tcW w:w="1581" w:type="dxa"/>
            <w:shd w:val="clear" w:color="auto" w:fill="BFBFBF" w:themeFill="background1" w:themeFillShade="BF"/>
          </w:tcPr>
          <w:p w14:paraId="75263D93" w14:textId="77777777" w:rsidR="00D061A0" w:rsidRDefault="00D061A0" w:rsidP="0088002C"/>
        </w:tc>
        <w:tc>
          <w:tcPr>
            <w:tcW w:w="1209" w:type="dxa"/>
            <w:shd w:val="clear" w:color="auto" w:fill="BFBFBF" w:themeFill="background1" w:themeFillShade="BF"/>
          </w:tcPr>
          <w:p w14:paraId="57152CC8" w14:textId="77777777" w:rsidR="00D061A0" w:rsidRDefault="00D061A0" w:rsidP="0088002C"/>
        </w:tc>
        <w:tc>
          <w:tcPr>
            <w:tcW w:w="1250" w:type="dxa"/>
            <w:shd w:val="clear" w:color="auto" w:fill="BFBFBF" w:themeFill="background1" w:themeFillShade="BF"/>
          </w:tcPr>
          <w:p w14:paraId="6263E293" w14:textId="77777777" w:rsidR="00D061A0" w:rsidRDefault="00D061A0" w:rsidP="0088002C"/>
        </w:tc>
        <w:tc>
          <w:tcPr>
            <w:tcW w:w="1250" w:type="dxa"/>
            <w:shd w:val="clear" w:color="auto" w:fill="BFBFBF" w:themeFill="background1" w:themeFillShade="BF"/>
          </w:tcPr>
          <w:p w14:paraId="2CF80D27" w14:textId="77777777" w:rsidR="00D061A0" w:rsidRDefault="00D061A0" w:rsidP="0088002C"/>
        </w:tc>
        <w:tc>
          <w:tcPr>
            <w:tcW w:w="1250" w:type="dxa"/>
            <w:shd w:val="clear" w:color="auto" w:fill="BFBFBF" w:themeFill="background1" w:themeFillShade="BF"/>
          </w:tcPr>
          <w:p w14:paraId="431D4C49" w14:textId="77777777" w:rsidR="00D061A0" w:rsidRDefault="00D061A0" w:rsidP="0088002C"/>
        </w:tc>
      </w:tr>
    </w:tbl>
    <w:p w14:paraId="03A67447" w14:textId="74E82009" w:rsidR="00D81B14" w:rsidRPr="00D81B14" w:rsidRDefault="00D81B14" w:rsidP="00D81B14">
      <w:pPr>
        <w:jc w:val="center"/>
        <w:rPr>
          <w:sz w:val="18"/>
        </w:rPr>
      </w:pPr>
      <w:r w:rsidRPr="00D81B14">
        <w:rPr>
          <w:sz w:val="18"/>
        </w:rPr>
        <w:t>*Only applicable to LFPP implementation grants.  LFPP planning grants are only 18 months.</w:t>
      </w:r>
    </w:p>
    <w:p w14:paraId="23C76F82" w14:textId="77777777" w:rsidR="0088002C" w:rsidRDefault="0088002C" w:rsidP="0088002C"/>
    <w:p w14:paraId="350D8C0B" w14:textId="77777777" w:rsidR="008B5CA0" w:rsidRDefault="008B5CA0" w:rsidP="008B5CA0">
      <w:pPr>
        <w:pStyle w:val="ListParagraph"/>
        <w:numPr>
          <w:ilvl w:val="1"/>
          <w:numId w:val="1"/>
        </w:numPr>
      </w:pPr>
      <w:r>
        <w:t>The following items/activities with a total fair market value of $</w:t>
      </w:r>
      <w:r w:rsidRPr="00552A06">
        <w:rPr>
          <w:highlight w:val="lightGray"/>
        </w:rPr>
        <w:t>XXX</w:t>
      </w:r>
      <w:r>
        <w:t xml:space="preserve">: </w:t>
      </w:r>
      <w:r>
        <w:br/>
      </w:r>
    </w:p>
    <w:tbl>
      <w:tblPr>
        <w:tblStyle w:val="TableGrid"/>
        <w:tblW w:w="0" w:type="auto"/>
        <w:jc w:val="center"/>
        <w:tblLook w:val="04A0" w:firstRow="1" w:lastRow="0" w:firstColumn="1" w:lastColumn="0" w:noHBand="0" w:noVBand="1"/>
      </w:tblPr>
      <w:tblGrid>
        <w:gridCol w:w="2051"/>
        <w:gridCol w:w="1350"/>
        <w:gridCol w:w="3512"/>
        <w:gridCol w:w="988"/>
        <w:gridCol w:w="1250"/>
        <w:gridCol w:w="1250"/>
      </w:tblGrid>
      <w:tr w:rsidR="003C2E10" w14:paraId="36A116E1" w14:textId="77777777" w:rsidTr="003C2E10">
        <w:trPr>
          <w:jc w:val="center"/>
        </w:trPr>
        <w:tc>
          <w:tcPr>
            <w:tcW w:w="2051" w:type="dxa"/>
          </w:tcPr>
          <w:p w14:paraId="63C25637" w14:textId="77777777" w:rsidR="008C09C1" w:rsidRDefault="003C2E10" w:rsidP="00CB4F8A">
            <w:r>
              <w:t>Item/Activity</w:t>
            </w:r>
          </w:p>
          <w:p w14:paraId="31725C1D" w14:textId="77777777" w:rsidR="003C2E10" w:rsidRDefault="008C09C1" w:rsidP="00CB4F8A">
            <w:r w:rsidRPr="00D061A0">
              <w:rPr>
                <w:sz w:val="18"/>
              </w:rPr>
              <w:t>(add additional lines as needed)</w:t>
            </w:r>
          </w:p>
        </w:tc>
        <w:tc>
          <w:tcPr>
            <w:tcW w:w="1350" w:type="dxa"/>
          </w:tcPr>
          <w:p w14:paraId="0B44A01A" w14:textId="77777777" w:rsidR="003C2E10" w:rsidRDefault="003C2E10" w:rsidP="008B5CA0">
            <w:r>
              <w:t xml:space="preserve">Fair Market Value per Unit: </w:t>
            </w:r>
          </w:p>
        </w:tc>
        <w:tc>
          <w:tcPr>
            <w:tcW w:w="3512" w:type="dxa"/>
          </w:tcPr>
          <w:p w14:paraId="62BEB792" w14:textId="77777777" w:rsidR="003C2E10" w:rsidRDefault="003C2E10" w:rsidP="00CB4F8A">
            <w:r>
              <w:t xml:space="preserve">How Fair Market Value Determined (must provide documentation): </w:t>
            </w:r>
          </w:p>
        </w:tc>
        <w:tc>
          <w:tcPr>
            <w:tcW w:w="988" w:type="dxa"/>
          </w:tcPr>
          <w:p w14:paraId="499549BC" w14:textId="77777777" w:rsidR="003C2E10" w:rsidRDefault="003C2E10" w:rsidP="003C2E10">
            <w:r>
              <w:t xml:space="preserve">Amount Donated Year 1: </w:t>
            </w:r>
          </w:p>
        </w:tc>
        <w:tc>
          <w:tcPr>
            <w:tcW w:w="1250" w:type="dxa"/>
          </w:tcPr>
          <w:p w14:paraId="7F3A8823" w14:textId="77777777" w:rsidR="003C2E10" w:rsidRDefault="003C2E10" w:rsidP="003C2E10">
            <w:r>
              <w:t xml:space="preserve">Amount Donated Year 2: </w:t>
            </w:r>
          </w:p>
        </w:tc>
        <w:tc>
          <w:tcPr>
            <w:tcW w:w="1250" w:type="dxa"/>
          </w:tcPr>
          <w:p w14:paraId="03859490" w14:textId="77777777" w:rsidR="003C2E10" w:rsidRDefault="003C2E10" w:rsidP="003C2E10">
            <w:r>
              <w:t xml:space="preserve">Amount Donated Year 3*: </w:t>
            </w:r>
          </w:p>
        </w:tc>
      </w:tr>
      <w:tr w:rsidR="003C2E10" w14:paraId="2BD97399" w14:textId="77777777" w:rsidTr="00736E15">
        <w:trPr>
          <w:jc w:val="center"/>
        </w:trPr>
        <w:tc>
          <w:tcPr>
            <w:tcW w:w="2051" w:type="dxa"/>
            <w:shd w:val="clear" w:color="auto" w:fill="BFBFBF" w:themeFill="background1" w:themeFillShade="BF"/>
          </w:tcPr>
          <w:p w14:paraId="5CF782EA" w14:textId="77777777" w:rsidR="003C2E10" w:rsidRDefault="003C2E10" w:rsidP="00CB4F8A"/>
        </w:tc>
        <w:tc>
          <w:tcPr>
            <w:tcW w:w="1350" w:type="dxa"/>
            <w:shd w:val="clear" w:color="auto" w:fill="BFBFBF" w:themeFill="background1" w:themeFillShade="BF"/>
          </w:tcPr>
          <w:p w14:paraId="1E66284C" w14:textId="77777777" w:rsidR="003C2E10" w:rsidRDefault="003C2E10" w:rsidP="00CB4F8A">
            <w:r>
              <w:t>$</w:t>
            </w:r>
          </w:p>
        </w:tc>
        <w:tc>
          <w:tcPr>
            <w:tcW w:w="3512" w:type="dxa"/>
            <w:shd w:val="clear" w:color="auto" w:fill="BFBFBF" w:themeFill="background1" w:themeFillShade="BF"/>
          </w:tcPr>
          <w:p w14:paraId="5024A48E" w14:textId="77777777" w:rsidR="003C2E10" w:rsidRDefault="003C2E10" w:rsidP="00CB4F8A"/>
        </w:tc>
        <w:tc>
          <w:tcPr>
            <w:tcW w:w="988" w:type="dxa"/>
            <w:shd w:val="clear" w:color="auto" w:fill="BFBFBF" w:themeFill="background1" w:themeFillShade="BF"/>
          </w:tcPr>
          <w:p w14:paraId="28C9B73A" w14:textId="77777777" w:rsidR="003C2E10" w:rsidRDefault="003C2E10" w:rsidP="00CB4F8A">
            <w:r>
              <w:t>$</w:t>
            </w:r>
          </w:p>
        </w:tc>
        <w:tc>
          <w:tcPr>
            <w:tcW w:w="1250" w:type="dxa"/>
            <w:shd w:val="clear" w:color="auto" w:fill="BFBFBF" w:themeFill="background1" w:themeFillShade="BF"/>
          </w:tcPr>
          <w:p w14:paraId="5D86E52A" w14:textId="77777777" w:rsidR="003C2E10" w:rsidRDefault="003C2E10" w:rsidP="00CB4F8A">
            <w:r>
              <w:t>$</w:t>
            </w:r>
          </w:p>
        </w:tc>
        <w:tc>
          <w:tcPr>
            <w:tcW w:w="1250" w:type="dxa"/>
            <w:shd w:val="clear" w:color="auto" w:fill="BFBFBF" w:themeFill="background1" w:themeFillShade="BF"/>
          </w:tcPr>
          <w:p w14:paraId="1B1265D6" w14:textId="77777777" w:rsidR="003C2E10" w:rsidRDefault="003C2E10" w:rsidP="00CB4F8A">
            <w:r>
              <w:t>$</w:t>
            </w:r>
          </w:p>
        </w:tc>
      </w:tr>
      <w:tr w:rsidR="003C2E10" w14:paraId="5F1D83B0" w14:textId="77777777" w:rsidTr="00736E15">
        <w:trPr>
          <w:jc w:val="center"/>
        </w:trPr>
        <w:tc>
          <w:tcPr>
            <w:tcW w:w="2051" w:type="dxa"/>
            <w:shd w:val="clear" w:color="auto" w:fill="BFBFBF" w:themeFill="background1" w:themeFillShade="BF"/>
          </w:tcPr>
          <w:p w14:paraId="5034788B" w14:textId="77777777" w:rsidR="003C2E10" w:rsidRDefault="003C2E10" w:rsidP="008B5CA0"/>
        </w:tc>
        <w:tc>
          <w:tcPr>
            <w:tcW w:w="1350" w:type="dxa"/>
            <w:shd w:val="clear" w:color="auto" w:fill="BFBFBF" w:themeFill="background1" w:themeFillShade="BF"/>
          </w:tcPr>
          <w:p w14:paraId="08013CAC" w14:textId="77777777" w:rsidR="003C2E10" w:rsidRDefault="003C2E10" w:rsidP="00CB4F8A">
            <w:r>
              <w:t>$</w:t>
            </w:r>
          </w:p>
        </w:tc>
        <w:tc>
          <w:tcPr>
            <w:tcW w:w="3512" w:type="dxa"/>
            <w:shd w:val="clear" w:color="auto" w:fill="BFBFBF" w:themeFill="background1" w:themeFillShade="BF"/>
          </w:tcPr>
          <w:p w14:paraId="32815399" w14:textId="77777777" w:rsidR="003C2E10" w:rsidRDefault="003C2E10" w:rsidP="00CB4F8A"/>
        </w:tc>
        <w:tc>
          <w:tcPr>
            <w:tcW w:w="988" w:type="dxa"/>
            <w:shd w:val="clear" w:color="auto" w:fill="BFBFBF" w:themeFill="background1" w:themeFillShade="BF"/>
          </w:tcPr>
          <w:p w14:paraId="2670E881" w14:textId="77777777" w:rsidR="003C2E10" w:rsidRDefault="003C2E10" w:rsidP="00CB4F8A">
            <w:r>
              <w:t>$</w:t>
            </w:r>
          </w:p>
        </w:tc>
        <w:tc>
          <w:tcPr>
            <w:tcW w:w="1250" w:type="dxa"/>
            <w:shd w:val="clear" w:color="auto" w:fill="BFBFBF" w:themeFill="background1" w:themeFillShade="BF"/>
          </w:tcPr>
          <w:p w14:paraId="5494611F" w14:textId="77777777" w:rsidR="003C2E10" w:rsidRDefault="003C2E10" w:rsidP="00CB4F8A">
            <w:r>
              <w:t>$</w:t>
            </w:r>
          </w:p>
        </w:tc>
        <w:tc>
          <w:tcPr>
            <w:tcW w:w="1250" w:type="dxa"/>
            <w:shd w:val="clear" w:color="auto" w:fill="BFBFBF" w:themeFill="background1" w:themeFillShade="BF"/>
          </w:tcPr>
          <w:p w14:paraId="5B5ECE4F" w14:textId="77777777" w:rsidR="003C2E10" w:rsidRDefault="003C2E10" w:rsidP="00CB4F8A">
            <w:r>
              <w:t>$</w:t>
            </w:r>
          </w:p>
        </w:tc>
      </w:tr>
      <w:tr w:rsidR="003C2E10" w14:paraId="7E8D21A5" w14:textId="77777777" w:rsidTr="00736E15">
        <w:trPr>
          <w:jc w:val="center"/>
        </w:trPr>
        <w:tc>
          <w:tcPr>
            <w:tcW w:w="2051" w:type="dxa"/>
            <w:shd w:val="clear" w:color="auto" w:fill="BFBFBF" w:themeFill="background1" w:themeFillShade="BF"/>
          </w:tcPr>
          <w:p w14:paraId="0A51F2B9" w14:textId="77777777" w:rsidR="003C2E10" w:rsidRDefault="003C2E10" w:rsidP="008B5CA0"/>
        </w:tc>
        <w:tc>
          <w:tcPr>
            <w:tcW w:w="1350" w:type="dxa"/>
            <w:shd w:val="clear" w:color="auto" w:fill="BFBFBF" w:themeFill="background1" w:themeFillShade="BF"/>
          </w:tcPr>
          <w:p w14:paraId="04D95962" w14:textId="77777777" w:rsidR="003C2E10" w:rsidRDefault="003C2E10" w:rsidP="00CB4F8A">
            <w:r>
              <w:t>$</w:t>
            </w:r>
          </w:p>
        </w:tc>
        <w:tc>
          <w:tcPr>
            <w:tcW w:w="3512" w:type="dxa"/>
            <w:shd w:val="clear" w:color="auto" w:fill="BFBFBF" w:themeFill="background1" w:themeFillShade="BF"/>
          </w:tcPr>
          <w:p w14:paraId="2146C498" w14:textId="77777777" w:rsidR="003C2E10" w:rsidRDefault="003C2E10" w:rsidP="00CB4F8A"/>
        </w:tc>
        <w:tc>
          <w:tcPr>
            <w:tcW w:w="988" w:type="dxa"/>
            <w:shd w:val="clear" w:color="auto" w:fill="BFBFBF" w:themeFill="background1" w:themeFillShade="BF"/>
          </w:tcPr>
          <w:p w14:paraId="32F0B357" w14:textId="77777777" w:rsidR="003C2E10" w:rsidRDefault="003C2E10" w:rsidP="00CB4F8A">
            <w:r>
              <w:t>$</w:t>
            </w:r>
          </w:p>
        </w:tc>
        <w:tc>
          <w:tcPr>
            <w:tcW w:w="1250" w:type="dxa"/>
            <w:shd w:val="clear" w:color="auto" w:fill="BFBFBF" w:themeFill="background1" w:themeFillShade="BF"/>
          </w:tcPr>
          <w:p w14:paraId="571CEC51" w14:textId="77777777" w:rsidR="003C2E10" w:rsidRDefault="003C2E10" w:rsidP="00CB4F8A">
            <w:r>
              <w:t>$</w:t>
            </w:r>
          </w:p>
        </w:tc>
        <w:tc>
          <w:tcPr>
            <w:tcW w:w="1250" w:type="dxa"/>
            <w:shd w:val="clear" w:color="auto" w:fill="BFBFBF" w:themeFill="background1" w:themeFillShade="BF"/>
          </w:tcPr>
          <w:p w14:paraId="0BA2C5DB" w14:textId="77777777" w:rsidR="003C2E10" w:rsidRDefault="003C2E10" w:rsidP="00CB4F8A">
            <w:r>
              <w:t>$</w:t>
            </w:r>
          </w:p>
        </w:tc>
      </w:tr>
      <w:tr w:rsidR="003C2E10" w14:paraId="75B3B921" w14:textId="77777777" w:rsidTr="00736E15">
        <w:trPr>
          <w:jc w:val="center"/>
        </w:trPr>
        <w:tc>
          <w:tcPr>
            <w:tcW w:w="2051" w:type="dxa"/>
            <w:shd w:val="clear" w:color="auto" w:fill="BFBFBF" w:themeFill="background1" w:themeFillShade="BF"/>
          </w:tcPr>
          <w:p w14:paraId="0750B4E6" w14:textId="77777777" w:rsidR="003C2E10" w:rsidRDefault="003C2E10" w:rsidP="008B5CA0"/>
        </w:tc>
        <w:tc>
          <w:tcPr>
            <w:tcW w:w="1350" w:type="dxa"/>
            <w:shd w:val="clear" w:color="auto" w:fill="BFBFBF" w:themeFill="background1" w:themeFillShade="BF"/>
          </w:tcPr>
          <w:p w14:paraId="3E389C12" w14:textId="77777777" w:rsidR="003C2E10" w:rsidRDefault="003C2E10" w:rsidP="00CB4F8A">
            <w:r>
              <w:t>$</w:t>
            </w:r>
          </w:p>
        </w:tc>
        <w:tc>
          <w:tcPr>
            <w:tcW w:w="3512" w:type="dxa"/>
            <w:shd w:val="clear" w:color="auto" w:fill="BFBFBF" w:themeFill="background1" w:themeFillShade="BF"/>
          </w:tcPr>
          <w:p w14:paraId="1CC82114" w14:textId="77777777" w:rsidR="003C2E10" w:rsidRDefault="003C2E10" w:rsidP="00CB4F8A"/>
        </w:tc>
        <w:tc>
          <w:tcPr>
            <w:tcW w:w="988" w:type="dxa"/>
            <w:shd w:val="clear" w:color="auto" w:fill="BFBFBF" w:themeFill="background1" w:themeFillShade="BF"/>
          </w:tcPr>
          <w:p w14:paraId="44A9BB21" w14:textId="77777777" w:rsidR="003C2E10" w:rsidRDefault="003C2E10" w:rsidP="00CB4F8A">
            <w:r>
              <w:t>$</w:t>
            </w:r>
          </w:p>
        </w:tc>
        <w:tc>
          <w:tcPr>
            <w:tcW w:w="1250" w:type="dxa"/>
            <w:shd w:val="clear" w:color="auto" w:fill="BFBFBF" w:themeFill="background1" w:themeFillShade="BF"/>
          </w:tcPr>
          <w:p w14:paraId="3E7CCA0A" w14:textId="77777777" w:rsidR="003C2E10" w:rsidRDefault="003C2E10" w:rsidP="00CB4F8A">
            <w:r>
              <w:t>$</w:t>
            </w:r>
          </w:p>
        </w:tc>
        <w:tc>
          <w:tcPr>
            <w:tcW w:w="1250" w:type="dxa"/>
            <w:shd w:val="clear" w:color="auto" w:fill="BFBFBF" w:themeFill="background1" w:themeFillShade="BF"/>
          </w:tcPr>
          <w:p w14:paraId="545FAE6F" w14:textId="77777777" w:rsidR="003C2E10" w:rsidRDefault="003C2E10" w:rsidP="00CB4F8A">
            <w:r>
              <w:t>$</w:t>
            </w:r>
          </w:p>
        </w:tc>
      </w:tr>
    </w:tbl>
    <w:p w14:paraId="0AD21AE8" w14:textId="77777777" w:rsidR="008C09C1" w:rsidRPr="00D81B14" w:rsidRDefault="008C09C1" w:rsidP="008C09C1">
      <w:pPr>
        <w:jc w:val="center"/>
        <w:rPr>
          <w:sz w:val="18"/>
        </w:rPr>
      </w:pPr>
      <w:r w:rsidRPr="00D81B14">
        <w:rPr>
          <w:sz w:val="18"/>
        </w:rPr>
        <w:t>*Only applicable to LFPP implementation grants.  LFPP planning grants are only 18 months.</w:t>
      </w:r>
    </w:p>
    <w:p w14:paraId="395EE9C2" w14:textId="77777777" w:rsidR="008B5CA0" w:rsidRDefault="008B5CA0" w:rsidP="008B5CA0"/>
    <w:p w14:paraId="093A8927" w14:textId="77777777" w:rsidR="0088002C" w:rsidRDefault="0088002C" w:rsidP="0088002C">
      <w:pPr>
        <w:pStyle w:val="NoSpacing"/>
      </w:pPr>
      <w:r w:rsidRPr="0088002C">
        <w:t>Sincerely,</w:t>
      </w:r>
    </w:p>
    <w:p w14:paraId="25AC5032" w14:textId="77777777" w:rsidR="003C2E10" w:rsidRDefault="003C2E10" w:rsidP="0088002C">
      <w:pPr>
        <w:pStyle w:val="NoSpacing"/>
      </w:pPr>
    </w:p>
    <w:p w14:paraId="5E8D5C63" w14:textId="77777777" w:rsidR="00736E15" w:rsidRDefault="00736E15" w:rsidP="0088002C">
      <w:pPr>
        <w:pStyle w:val="NoSpacing"/>
      </w:pPr>
      <w:r>
        <w:t>[Sig</w:t>
      </w:r>
      <w:r w:rsidR="00552A06">
        <w:t>nature of Matching Organization Representative]</w:t>
      </w:r>
    </w:p>
    <w:p w14:paraId="701E3414" w14:textId="77777777" w:rsidR="00552A06" w:rsidRDefault="00552A06" w:rsidP="0088002C">
      <w:pPr>
        <w:pStyle w:val="NoSpacing"/>
      </w:pPr>
      <w:r>
        <w:t>[Printed Name of Matching Organization Representative]</w:t>
      </w:r>
    </w:p>
    <w:p w14:paraId="51C0D59B" w14:textId="77777777" w:rsidR="00552A06" w:rsidRDefault="00552A06" w:rsidP="0088002C">
      <w:pPr>
        <w:pStyle w:val="NoSpacing"/>
      </w:pPr>
      <w:r>
        <w:t>[Title]</w:t>
      </w:r>
    </w:p>
    <w:p w14:paraId="6DCF7C57" w14:textId="0822005E" w:rsidR="00552A06" w:rsidRDefault="00552A06" w:rsidP="0088002C">
      <w:pPr>
        <w:pStyle w:val="NoSpacing"/>
      </w:pPr>
      <w:r>
        <w:lastRenderedPageBreak/>
        <w:t>[</w:t>
      </w:r>
      <w:r w:rsidR="00390E65">
        <w:t>Email, a</w:t>
      </w:r>
      <w:r>
        <w:t>ddress and phone number if not already included on letterhead.]</w:t>
      </w:r>
    </w:p>
    <w:p w14:paraId="6F4FCCF8" w14:textId="77777777" w:rsidR="00622CBA" w:rsidRPr="00D36CFF" w:rsidRDefault="00622CBA" w:rsidP="00622CBA">
      <w:pPr>
        <w:rPr>
          <w:rFonts w:ascii="Times New Roman" w:hAnsi="Times New Roman"/>
          <w:i/>
          <w:sz w:val="20"/>
        </w:rPr>
      </w:pPr>
      <w:r w:rsidRPr="00D36CFF">
        <w:rPr>
          <w:rFonts w:ascii="Times New Roman" w:hAnsi="Times New Roman"/>
          <w:i/>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63773403" w14:textId="77777777" w:rsidR="00622CBA" w:rsidRPr="00D36CFF" w:rsidRDefault="00622CBA" w:rsidP="00622CBA">
      <w:pPr>
        <w:rPr>
          <w:rFonts w:ascii="Times New Roman" w:hAnsi="Times New Roman"/>
          <w:i/>
          <w:sz w:val="20"/>
        </w:rPr>
      </w:pPr>
    </w:p>
    <w:p w14:paraId="6F1342E9" w14:textId="77777777" w:rsidR="00622CBA" w:rsidRPr="00D36CFF" w:rsidRDefault="00622CBA" w:rsidP="00622CBA">
      <w:pPr>
        <w:pStyle w:val="Heading1"/>
        <w:jc w:val="center"/>
        <w:rPr>
          <w:rFonts w:ascii="Times New Roman" w:hAnsi="Times New Roman"/>
          <w:color w:val="auto"/>
          <w:sz w:val="20"/>
          <w:szCs w:val="20"/>
        </w:rPr>
      </w:pPr>
      <w:r w:rsidRPr="00D36CFF">
        <w:rPr>
          <w:rFonts w:ascii="Times New Roman" w:hAnsi="Times New Roman"/>
          <w:color w:val="auto"/>
          <w:sz w:val="20"/>
          <w:szCs w:val="20"/>
        </w:rPr>
        <w:t>USDA’s Nondiscrimination Statement (effective 2015)</w:t>
      </w:r>
    </w:p>
    <w:p w14:paraId="50FACD18" w14:textId="77777777" w:rsidR="00622CBA" w:rsidRPr="00D36CFF" w:rsidRDefault="00622CBA" w:rsidP="00622CBA">
      <w:pPr>
        <w:rPr>
          <w:rFonts w:ascii="Times New Roman" w:hAnsi="Times New Roman"/>
          <w:sz w:val="20"/>
        </w:rPr>
      </w:pPr>
    </w:p>
    <w:p w14:paraId="409AF3A6" w14:textId="77777777" w:rsidR="00622CBA" w:rsidRPr="00D36CFF" w:rsidRDefault="00622CBA" w:rsidP="00622CBA">
      <w:pPr>
        <w:rPr>
          <w:rFonts w:ascii="Times New Roman" w:hAnsi="Times New Roman"/>
          <w:sz w:val="20"/>
        </w:rPr>
      </w:pPr>
      <w:r w:rsidRPr="00D36CFF">
        <w:rPr>
          <w:rFonts w:ascii="Times New Roman" w:hAnsi="Times New Roman"/>
          <w:sz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138210A8" w14:textId="77777777" w:rsidR="00622CBA" w:rsidRPr="00D36CFF" w:rsidRDefault="00622CBA" w:rsidP="00622CBA">
      <w:pPr>
        <w:rPr>
          <w:rFonts w:ascii="Times New Roman" w:hAnsi="Times New Roman"/>
          <w:sz w:val="20"/>
        </w:rPr>
      </w:pPr>
      <w:r w:rsidRPr="00D36CFF">
        <w:rPr>
          <w:rFonts w:ascii="Times New Roman" w:hAnsi="Times New Roman"/>
          <w:sz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FC5BF57" w14:textId="77777777" w:rsidR="00622CBA" w:rsidRPr="00D36CFF" w:rsidRDefault="00622CBA" w:rsidP="00622CBA">
      <w:pPr>
        <w:rPr>
          <w:rFonts w:ascii="Times New Roman" w:hAnsi="Times New Roman"/>
          <w:sz w:val="20"/>
        </w:rPr>
      </w:pPr>
      <w:r w:rsidRPr="00D36CFF">
        <w:rPr>
          <w:rFonts w:ascii="Times New Roman" w:hAnsi="Times New Roman"/>
          <w:sz w:val="20"/>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604A634A" w14:textId="77777777" w:rsidR="00622CBA" w:rsidRPr="00D36CFF" w:rsidRDefault="00622CBA" w:rsidP="00622CBA">
      <w:pPr>
        <w:pStyle w:val="ListParagraph"/>
        <w:numPr>
          <w:ilvl w:val="0"/>
          <w:numId w:val="2"/>
        </w:numPr>
        <w:spacing w:after="200" w:line="276" w:lineRule="auto"/>
        <w:rPr>
          <w:rFonts w:ascii="Times New Roman" w:hAnsi="Times New Roman"/>
          <w:sz w:val="20"/>
          <w:szCs w:val="20"/>
        </w:rPr>
      </w:pPr>
      <w:r w:rsidRPr="00D36CFF">
        <w:rPr>
          <w:rFonts w:ascii="Times New Roman" w:hAnsi="Times New Roman"/>
          <w:sz w:val="20"/>
          <w:szCs w:val="20"/>
        </w:rPr>
        <w:t xml:space="preserve">mail: U.S. Department of Agriculture Office of the Assistant Secretary for Civil Rights 1400 Independence Avenue, SW Washington, D.C. 20250-9410; </w:t>
      </w:r>
    </w:p>
    <w:p w14:paraId="20D0034C" w14:textId="77777777" w:rsidR="00622CBA" w:rsidRPr="00D36CFF" w:rsidRDefault="00622CBA" w:rsidP="00622CBA">
      <w:pPr>
        <w:pStyle w:val="ListParagraph"/>
        <w:rPr>
          <w:rFonts w:ascii="Times New Roman" w:hAnsi="Times New Roman"/>
          <w:sz w:val="20"/>
          <w:szCs w:val="20"/>
        </w:rPr>
      </w:pPr>
    </w:p>
    <w:p w14:paraId="671B4649" w14:textId="77777777" w:rsidR="00622CBA" w:rsidRPr="00D36CFF" w:rsidRDefault="00622CBA" w:rsidP="00622CBA">
      <w:pPr>
        <w:pStyle w:val="ListParagraph"/>
        <w:numPr>
          <w:ilvl w:val="0"/>
          <w:numId w:val="2"/>
        </w:numPr>
        <w:spacing w:after="200" w:line="276" w:lineRule="auto"/>
        <w:rPr>
          <w:rFonts w:ascii="Times New Roman" w:hAnsi="Times New Roman"/>
          <w:sz w:val="20"/>
          <w:szCs w:val="20"/>
        </w:rPr>
      </w:pPr>
      <w:r w:rsidRPr="00D36CFF">
        <w:rPr>
          <w:rFonts w:ascii="Times New Roman" w:hAnsi="Times New Roman"/>
          <w:sz w:val="20"/>
          <w:szCs w:val="20"/>
        </w:rPr>
        <w:t xml:space="preserve">fax: (202) 690-7442; or </w:t>
      </w:r>
    </w:p>
    <w:p w14:paraId="1C6449E5" w14:textId="77777777" w:rsidR="00622CBA" w:rsidRPr="00D36CFF" w:rsidRDefault="00622CBA" w:rsidP="00622CBA">
      <w:pPr>
        <w:pStyle w:val="ListParagraph"/>
        <w:rPr>
          <w:rFonts w:ascii="Times New Roman" w:hAnsi="Times New Roman"/>
          <w:sz w:val="20"/>
          <w:szCs w:val="20"/>
        </w:rPr>
      </w:pPr>
    </w:p>
    <w:p w14:paraId="4E7394D5" w14:textId="77777777" w:rsidR="00622CBA" w:rsidRPr="00D36CFF" w:rsidRDefault="00622CBA" w:rsidP="00622CBA">
      <w:pPr>
        <w:pStyle w:val="ListParagraph"/>
        <w:numPr>
          <w:ilvl w:val="0"/>
          <w:numId w:val="2"/>
        </w:numPr>
        <w:spacing w:after="200" w:line="276" w:lineRule="auto"/>
        <w:rPr>
          <w:rFonts w:ascii="Times New Roman" w:hAnsi="Times New Roman"/>
          <w:sz w:val="20"/>
          <w:szCs w:val="20"/>
        </w:rPr>
      </w:pPr>
      <w:proofErr w:type="gramStart"/>
      <w:r w:rsidRPr="00D36CFF">
        <w:rPr>
          <w:rFonts w:ascii="Times New Roman" w:hAnsi="Times New Roman"/>
          <w:sz w:val="20"/>
          <w:szCs w:val="20"/>
        </w:rPr>
        <w:t>email</w:t>
      </w:r>
      <w:proofErr w:type="gramEnd"/>
      <w:r w:rsidRPr="00D36CFF">
        <w:rPr>
          <w:rFonts w:ascii="Times New Roman" w:hAnsi="Times New Roman"/>
          <w:sz w:val="20"/>
          <w:szCs w:val="20"/>
        </w:rPr>
        <w:t xml:space="preserve">: </w:t>
      </w:r>
      <w:hyperlink r:id="rId9" w:history="1">
        <w:r w:rsidRPr="00D36CFF">
          <w:rPr>
            <w:rStyle w:val="Hyperlink"/>
            <w:rFonts w:ascii="Times New Roman" w:hAnsi="Times New Roman"/>
            <w:sz w:val="20"/>
            <w:szCs w:val="20"/>
          </w:rPr>
          <w:t>program.intake@usda.gov</w:t>
        </w:r>
      </w:hyperlink>
      <w:r w:rsidRPr="00D36CFF">
        <w:rPr>
          <w:rFonts w:ascii="Times New Roman" w:hAnsi="Times New Roman"/>
          <w:sz w:val="20"/>
          <w:szCs w:val="20"/>
        </w:rPr>
        <w:t xml:space="preserve">. </w:t>
      </w:r>
    </w:p>
    <w:p w14:paraId="43218386" w14:textId="77777777" w:rsidR="00622CBA" w:rsidRPr="00D36CFF" w:rsidRDefault="00622CBA" w:rsidP="00622CBA">
      <w:pPr>
        <w:jc w:val="center"/>
        <w:rPr>
          <w:rFonts w:ascii="Times New Roman" w:hAnsi="Times New Roman"/>
          <w:sz w:val="20"/>
        </w:rPr>
      </w:pPr>
      <w:r w:rsidRPr="00D36CFF">
        <w:rPr>
          <w:rFonts w:ascii="Times New Roman" w:hAnsi="Times New Roman"/>
          <w:sz w:val="20"/>
        </w:rPr>
        <w:t>USDA is an equal opportunity provider, employer, and lender.</w:t>
      </w:r>
    </w:p>
    <w:p w14:paraId="77BF84D7" w14:textId="77777777" w:rsidR="00622CBA" w:rsidRPr="00D36CFF" w:rsidRDefault="00622CBA" w:rsidP="00622CBA">
      <w:pPr>
        <w:rPr>
          <w:rFonts w:ascii="Times New Roman" w:hAnsi="Times New Roman"/>
          <w:sz w:val="20"/>
        </w:rPr>
      </w:pPr>
    </w:p>
    <w:p w14:paraId="1BC4364C" w14:textId="77777777" w:rsidR="00622CBA" w:rsidRDefault="00622CBA" w:rsidP="0088002C">
      <w:pPr>
        <w:pStyle w:val="NoSpacing"/>
      </w:pPr>
    </w:p>
    <w:sectPr w:rsidR="00622CBA" w:rsidSect="00DF60D4">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C479" w14:textId="77777777" w:rsidR="00A910D5" w:rsidRDefault="00A910D5" w:rsidP="00EE074E">
      <w:r>
        <w:separator/>
      </w:r>
    </w:p>
  </w:endnote>
  <w:endnote w:type="continuationSeparator" w:id="0">
    <w:p w14:paraId="405B25CD" w14:textId="77777777" w:rsidR="00A910D5" w:rsidRDefault="00A910D5" w:rsidP="00EE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36E57" w14:textId="77777777" w:rsidR="00A910D5" w:rsidRDefault="00A910D5" w:rsidP="00EE074E">
      <w:r>
        <w:separator/>
      </w:r>
    </w:p>
  </w:footnote>
  <w:footnote w:type="continuationSeparator" w:id="0">
    <w:p w14:paraId="06A858B6" w14:textId="77777777" w:rsidR="00A910D5" w:rsidRDefault="00A910D5" w:rsidP="00EE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1EF5070A0A048C5ADCC30EDF69C425D"/>
      </w:placeholder>
      <w:temporary/>
      <w:showingPlcHdr/>
    </w:sdtPr>
    <w:sdtEndPr/>
    <w:sdtContent>
      <w:p w14:paraId="034DC585" w14:textId="77777777" w:rsidR="00DF60D4" w:rsidRDefault="00DF60D4">
        <w:pPr>
          <w:pStyle w:val="Header"/>
        </w:pPr>
        <w:r>
          <w:t>[Type here]</w:t>
        </w:r>
      </w:p>
    </w:sdtContent>
  </w:sdt>
  <w:p w14:paraId="176CF57F" w14:textId="77777777" w:rsidR="00DF60D4" w:rsidRDefault="00DF6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B515" w14:textId="09F45E06" w:rsidR="00DF60D4" w:rsidRDefault="00DF60D4" w:rsidP="00DF60D4">
    <w:pPr>
      <w:pStyle w:val="Header"/>
      <w:jc w:val="right"/>
    </w:pPr>
    <w:r w:rsidRPr="00DF60D4">
      <w:t>OMB No. 0581-0240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619"/>
    <w:multiLevelType w:val="hybridMultilevel"/>
    <w:tmpl w:val="9E76A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50454"/>
    <w:multiLevelType w:val="hybridMultilevel"/>
    <w:tmpl w:val="7F1A68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2C"/>
    <w:rsid w:val="002C39B2"/>
    <w:rsid w:val="00390E65"/>
    <w:rsid w:val="003C2E10"/>
    <w:rsid w:val="00552A06"/>
    <w:rsid w:val="005F7D4F"/>
    <w:rsid w:val="00622CBA"/>
    <w:rsid w:val="00736E15"/>
    <w:rsid w:val="0088002C"/>
    <w:rsid w:val="008B5CA0"/>
    <w:rsid w:val="008C09C1"/>
    <w:rsid w:val="00A167ED"/>
    <w:rsid w:val="00A910D5"/>
    <w:rsid w:val="00B97477"/>
    <w:rsid w:val="00D061A0"/>
    <w:rsid w:val="00D10705"/>
    <w:rsid w:val="00D81B14"/>
    <w:rsid w:val="00DF60D4"/>
    <w:rsid w:val="00EE074E"/>
    <w:rsid w:val="00F6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A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2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22CBA"/>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02C"/>
    <w:pPr>
      <w:spacing w:after="0" w:line="240" w:lineRule="auto"/>
    </w:pPr>
    <w:rPr>
      <w:rFonts w:ascii="Calibri" w:hAnsi="Calibri" w:cs="Times New Roman"/>
    </w:rPr>
  </w:style>
  <w:style w:type="paragraph" w:styleId="ListParagraph">
    <w:name w:val="List Paragraph"/>
    <w:basedOn w:val="Normal"/>
    <w:uiPriority w:val="34"/>
    <w:qFormat/>
    <w:rsid w:val="0088002C"/>
    <w:pPr>
      <w:ind w:left="720"/>
      <w:contextualSpacing/>
    </w:pPr>
  </w:style>
  <w:style w:type="table" w:styleId="TableGrid">
    <w:name w:val="Table Grid"/>
    <w:basedOn w:val="TableNormal"/>
    <w:uiPriority w:val="59"/>
    <w:rsid w:val="00D8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74E"/>
    <w:rPr>
      <w:rFonts w:ascii="Tahoma" w:hAnsi="Tahoma" w:cs="Tahoma"/>
      <w:sz w:val="16"/>
      <w:szCs w:val="16"/>
    </w:rPr>
  </w:style>
  <w:style w:type="character" w:customStyle="1" w:styleId="BalloonTextChar">
    <w:name w:val="Balloon Text Char"/>
    <w:basedOn w:val="DefaultParagraphFont"/>
    <w:link w:val="BalloonText"/>
    <w:uiPriority w:val="99"/>
    <w:semiHidden/>
    <w:rsid w:val="00EE074E"/>
    <w:rPr>
      <w:rFonts w:ascii="Tahoma" w:hAnsi="Tahoma" w:cs="Tahoma"/>
      <w:sz w:val="16"/>
      <w:szCs w:val="16"/>
    </w:rPr>
  </w:style>
  <w:style w:type="paragraph" w:styleId="Header">
    <w:name w:val="header"/>
    <w:basedOn w:val="Normal"/>
    <w:link w:val="HeaderChar"/>
    <w:uiPriority w:val="99"/>
    <w:unhideWhenUsed/>
    <w:rsid w:val="00EE074E"/>
    <w:pPr>
      <w:tabs>
        <w:tab w:val="center" w:pos="4680"/>
        <w:tab w:val="right" w:pos="9360"/>
      </w:tabs>
    </w:pPr>
  </w:style>
  <w:style w:type="character" w:customStyle="1" w:styleId="HeaderChar">
    <w:name w:val="Header Char"/>
    <w:basedOn w:val="DefaultParagraphFont"/>
    <w:link w:val="Header"/>
    <w:uiPriority w:val="99"/>
    <w:rsid w:val="00EE074E"/>
    <w:rPr>
      <w:rFonts w:ascii="Calibri" w:hAnsi="Calibri" w:cs="Times New Roman"/>
    </w:rPr>
  </w:style>
  <w:style w:type="paragraph" w:styleId="Footer">
    <w:name w:val="footer"/>
    <w:basedOn w:val="Normal"/>
    <w:link w:val="FooterChar"/>
    <w:uiPriority w:val="99"/>
    <w:unhideWhenUsed/>
    <w:rsid w:val="00EE074E"/>
    <w:pPr>
      <w:tabs>
        <w:tab w:val="center" w:pos="4680"/>
        <w:tab w:val="right" w:pos="9360"/>
      </w:tabs>
    </w:pPr>
  </w:style>
  <w:style w:type="character" w:customStyle="1" w:styleId="FooterChar">
    <w:name w:val="Footer Char"/>
    <w:basedOn w:val="DefaultParagraphFont"/>
    <w:link w:val="Footer"/>
    <w:uiPriority w:val="99"/>
    <w:rsid w:val="00EE074E"/>
    <w:rPr>
      <w:rFonts w:ascii="Calibri" w:hAnsi="Calibri" w:cs="Times New Roman"/>
    </w:rPr>
  </w:style>
  <w:style w:type="character" w:styleId="CommentReference">
    <w:name w:val="annotation reference"/>
    <w:basedOn w:val="DefaultParagraphFont"/>
    <w:uiPriority w:val="99"/>
    <w:semiHidden/>
    <w:unhideWhenUsed/>
    <w:rsid w:val="008C09C1"/>
    <w:rPr>
      <w:sz w:val="16"/>
      <w:szCs w:val="16"/>
    </w:rPr>
  </w:style>
  <w:style w:type="paragraph" w:styleId="CommentText">
    <w:name w:val="annotation text"/>
    <w:basedOn w:val="Normal"/>
    <w:link w:val="CommentTextChar"/>
    <w:uiPriority w:val="99"/>
    <w:semiHidden/>
    <w:unhideWhenUsed/>
    <w:rsid w:val="008C09C1"/>
    <w:rPr>
      <w:sz w:val="20"/>
      <w:szCs w:val="20"/>
    </w:rPr>
  </w:style>
  <w:style w:type="character" w:customStyle="1" w:styleId="CommentTextChar">
    <w:name w:val="Comment Text Char"/>
    <w:basedOn w:val="DefaultParagraphFont"/>
    <w:link w:val="CommentText"/>
    <w:uiPriority w:val="99"/>
    <w:semiHidden/>
    <w:rsid w:val="008C09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09C1"/>
    <w:rPr>
      <w:b/>
      <w:bCs/>
    </w:rPr>
  </w:style>
  <w:style w:type="character" w:customStyle="1" w:styleId="CommentSubjectChar">
    <w:name w:val="Comment Subject Char"/>
    <w:basedOn w:val="CommentTextChar"/>
    <w:link w:val="CommentSubject"/>
    <w:uiPriority w:val="99"/>
    <w:semiHidden/>
    <w:rsid w:val="008C09C1"/>
    <w:rPr>
      <w:rFonts w:ascii="Calibri" w:hAnsi="Calibri" w:cs="Times New Roman"/>
      <w:b/>
      <w:bCs/>
      <w:sz w:val="20"/>
      <w:szCs w:val="20"/>
    </w:rPr>
  </w:style>
  <w:style w:type="character" w:customStyle="1" w:styleId="Heading1Char">
    <w:name w:val="Heading 1 Char"/>
    <w:basedOn w:val="DefaultParagraphFont"/>
    <w:link w:val="Heading1"/>
    <w:uiPriority w:val="9"/>
    <w:rsid w:val="00622CBA"/>
    <w:rPr>
      <w:rFonts w:ascii="Cambria" w:eastAsia="Times New Roman" w:hAnsi="Cambria" w:cs="Times New Roman"/>
      <w:b/>
      <w:bCs/>
      <w:color w:val="365F91"/>
      <w:sz w:val="28"/>
      <w:szCs w:val="28"/>
    </w:rPr>
  </w:style>
  <w:style w:type="character" w:styleId="Hyperlink">
    <w:name w:val="Hyperlink"/>
    <w:uiPriority w:val="99"/>
    <w:unhideWhenUsed/>
    <w:rsid w:val="00622C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2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22CBA"/>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02C"/>
    <w:pPr>
      <w:spacing w:after="0" w:line="240" w:lineRule="auto"/>
    </w:pPr>
    <w:rPr>
      <w:rFonts w:ascii="Calibri" w:hAnsi="Calibri" w:cs="Times New Roman"/>
    </w:rPr>
  </w:style>
  <w:style w:type="paragraph" w:styleId="ListParagraph">
    <w:name w:val="List Paragraph"/>
    <w:basedOn w:val="Normal"/>
    <w:uiPriority w:val="34"/>
    <w:qFormat/>
    <w:rsid w:val="0088002C"/>
    <w:pPr>
      <w:ind w:left="720"/>
      <w:contextualSpacing/>
    </w:pPr>
  </w:style>
  <w:style w:type="table" w:styleId="TableGrid">
    <w:name w:val="Table Grid"/>
    <w:basedOn w:val="TableNormal"/>
    <w:uiPriority w:val="59"/>
    <w:rsid w:val="00D8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74E"/>
    <w:rPr>
      <w:rFonts w:ascii="Tahoma" w:hAnsi="Tahoma" w:cs="Tahoma"/>
      <w:sz w:val="16"/>
      <w:szCs w:val="16"/>
    </w:rPr>
  </w:style>
  <w:style w:type="character" w:customStyle="1" w:styleId="BalloonTextChar">
    <w:name w:val="Balloon Text Char"/>
    <w:basedOn w:val="DefaultParagraphFont"/>
    <w:link w:val="BalloonText"/>
    <w:uiPriority w:val="99"/>
    <w:semiHidden/>
    <w:rsid w:val="00EE074E"/>
    <w:rPr>
      <w:rFonts w:ascii="Tahoma" w:hAnsi="Tahoma" w:cs="Tahoma"/>
      <w:sz w:val="16"/>
      <w:szCs w:val="16"/>
    </w:rPr>
  </w:style>
  <w:style w:type="paragraph" w:styleId="Header">
    <w:name w:val="header"/>
    <w:basedOn w:val="Normal"/>
    <w:link w:val="HeaderChar"/>
    <w:uiPriority w:val="99"/>
    <w:unhideWhenUsed/>
    <w:rsid w:val="00EE074E"/>
    <w:pPr>
      <w:tabs>
        <w:tab w:val="center" w:pos="4680"/>
        <w:tab w:val="right" w:pos="9360"/>
      </w:tabs>
    </w:pPr>
  </w:style>
  <w:style w:type="character" w:customStyle="1" w:styleId="HeaderChar">
    <w:name w:val="Header Char"/>
    <w:basedOn w:val="DefaultParagraphFont"/>
    <w:link w:val="Header"/>
    <w:uiPriority w:val="99"/>
    <w:rsid w:val="00EE074E"/>
    <w:rPr>
      <w:rFonts w:ascii="Calibri" w:hAnsi="Calibri" w:cs="Times New Roman"/>
    </w:rPr>
  </w:style>
  <w:style w:type="paragraph" w:styleId="Footer">
    <w:name w:val="footer"/>
    <w:basedOn w:val="Normal"/>
    <w:link w:val="FooterChar"/>
    <w:uiPriority w:val="99"/>
    <w:unhideWhenUsed/>
    <w:rsid w:val="00EE074E"/>
    <w:pPr>
      <w:tabs>
        <w:tab w:val="center" w:pos="4680"/>
        <w:tab w:val="right" w:pos="9360"/>
      </w:tabs>
    </w:pPr>
  </w:style>
  <w:style w:type="character" w:customStyle="1" w:styleId="FooterChar">
    <w:name w:val="Footer Char"/>
    <w:basedOn w:val="DefaultParagraphFont"/>
    <w:link w:val="Footer"/>
    <w:uiPriority w:val="99"/>
    <w:rsid w:val="00EE074E"/>
    <w:rPr>
      <w:rFonts w:ascii="Calibri" w:hAnsi="Calibri" w:cs="Times New Roman"/>
    </w:rPr>
  </w:style>
  <w:style w:type="character" w:styleId="CommentReference">
    <w:name w:val="annotation reference"/>
    <w:basedOn w:val="DefaultParagraphFont"/>
    <w:uiPriority w:val="99"/>
    <w:semiHidden/>
    <w:unhideWhenUsed/>
    <w:rsid w:val="008C09C1"/>
    <w:rPr>
      <w:sz w:val="16"/>
      <w:szCs w:val="16"/>
    </w:rPr>
  </w:style>
  <w:style w:type="paragraph" w:styleId="CommentText">
    <w:name w:val="annotation text"/>
    <w:basedOn w:val="Normal"/>
    <w:link w:val="CommentTextChar"/>
    <w:uiPriority w:val="99"/>
    <w:semiHidden/>
    <w:unhideWhenUsed/>
    <w:rsid w:val="008C09C1"/>
    <w:rPr>
      <w:sz w:val="20"/>
      <w:szCs w:val="20"/>
    </w:rPr>
  </w:style>
  <w:style w:type="character" w:customStyle="1" w:styleId="CommentTextChar">
    <w:name w:val="Comment Text Char"/>
    <w:basedOn w:val="DefaultParagraphFont"/>
    <w:link w:val="CommentText"/>
    <w:uiPriority w:val="99"/>
    <w:semiHidden/>
    <w:rsid w:val="008C09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09C1"/>
    <w:rPr>
      <w:b/>
      <w:bCs/>
    </w:rPr>
  </w:style>
  <w:style w:type="character" w:customStyle="1" w:styleId="CommentSubjectChar">
    <w:name w:val="Comment Subject Char"/>
    <w:basedOn w:val="CommentTextChar"/>
    <w:link w:val="CommentSubject"/>
    <w:uiPriority w:val="99"/>
    <w:semiHidden/>
    <w:rsid w:val="008C09C1"/>
    <w:rPr>
      <w:rFonts w:ascii="Calibri" w:hAnsi="Calibri" w:cs="Times New Roman"/>
      <w:b/>
      <w:bCs/>
      <w:sz w:val="20"/>
      <w:szCs w:val="20"/>
    </w:rPr>
  </w:style>
  <w:style w:type="character" w:customStyle="1" w:styleId="Heading1Char">
    <w:name w:val="Heading 1 Char"/>
    <w:basedOn w:val="DefaultParagraphFont"/>
    <w:link w:val="Heading1"/>
    <w:uiPriority w:val="9"/>
    <w:rsid w:val="00622CBA"/>
    <w:rPr>
      <w:rFonts w:ascii="Cambria" w:eastAsia="Times New Roman" w:hAnsi="Cambria" w:cs="Times New Roman"/>
      <w:b/>
      <w:bCs/>
      <w:color w:val="365F91"/>
      <w:sz w:val="28"/>
      <w:szCs w:val="28"/>
    </w:rPr>
  </w:style>
  <w:style w:type="character" w:styleId="Hyperlink">
    <w:name w:val="Hyperlink"/>
    <w:uiPriority w:val="99"/>
    <w:unhideWhenUsed/>
    <w:rsid w:val="00622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EF5070A0A048C5ADCC30EDF69C425D"/>
        <w:category>
          <w:name w:val="General"/>
          <w:gallery w:val="placeholder"/>
        </w:category>
        <w:types>
          <w:type w:val="bbPlcHdr"/>
        </w:types>
        <w:behaviors>
          <w:behavior w:val="content"/>
        </w:behaviors>
        <w:guid w:val="{D3D5F6B8-DF11-4104-A032-042A217EEB17}"/>
      </w:docPartPr>
      <w:docPartBody>
        <w:p w:rsidR="00B87EEF" w:rsidRDefault="00C2472D" w:rsidP="00C2472D">
          <w:pPr>
            <w:pStyle w:val="81EF5070A0A048C5ADCC30EDF69C425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D"/>
    <w:rsid w:val="00B87EEF"/>
    <w:rsid w:val="00C2472D"/>
    <w:rsid w:val="00C5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EF5070A0A048C5ADCC30EDF69C425D">
    <w:name w:val="81EF5070A0A048C5ADCC30EDF69C425D"/>
    <w:rsid w:val="00C247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EF5070A0A048C5ADCC30EDF69C425D">
    <w:name w:val="81EF5070A0A048C5ADCC30EDF69C425D"/>
    <w:rsid w:val="00C2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5960-4FA5-42F0-9C50-09F4FC42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nmnelsonmiller</dc:creator>
  <cp:lastModifiedBy>Pish, Marylin - AMS</cp:lastModifiedBy>
  <cp:revision>2</cp:revision>
  <cp:lastPrinted>2016-01-28T19:16:00Z</cp:lastPrinted>
  <dcterms:created xsi:type="dcterms:W3CDTF">2016-08-17T20:30:00Z</dcterms:created>
  <dcterms:modified xsi:type="dcterms:W3CDTF">2016-08-17T20:30:00Z</dcterms:modified>
</cp:coreProperties>
</file>