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E75" w:rsidRPr="0065086E" w:rsidRDefault="00C84E75" w:rsidP="00C84E75">
      <w:pPr>
        <w:pStyle w:val="HeaderEven"/>
        <w:tabs>
          <w:tab w:val="clear" w:pos="8640"/>
        </w:tabs>
        <w:ind w:right="-720"/>
        <w:rPr>
          <w:bCs/>
          <w:caps w:val="0"/>
          <w:spacing w:val="0"/>
          <w:sz w:val="44"/>
          <w:szCs w:val="28"/>
          <w:lang w:val="en-US"/>
        </w:rPr>
      </w:pPr>
      <w:bookmarkStart w:id="0" w:name="_Toc180306471"/>
      <w:bookmarkStart w:id="1" w:name="_Toc180306588"/>
      <w:bookmarkStart w:id="2" w:name="_Toc183314893"/>
      <w:bookmarkStart w:id="3" w:name="_Toc206403952"/>
      <w:bookmarkStart w:id="4" w:name="_Toc252442343"/>
      <w:r>
        <w:rPr>
          <w:bCs/>
          <w:caps w:val="0"/>
          <w:spacing w:val="0"/>
          <w:sz w:val="44"/>
          <w:szCs w:val="28"/>
        </w:rPr>
        <w:t>General Authorization</w:t>
      </w:r>
      <w:r w:rsidR="00D10BCA">
        <w:rPr>
          <w:bCs/>
          <w:caps w:val="0"/>
          <w:spacing w:val="0"/>
          <w:sz w:val="44"/>
          <w:szCs w:val="28"/>
          <w:lang w:val="en-US"/>
        </w:rPr>
        <w:t xml:space="preserve"> Letter of Intent </w:t>
      </w:r>
      <w:r w:rsidR="00071F80">
        <w:rPr>
          <w:bCs/>
          <w:caps w:val="0"/>
          <w:spacing w:val="0"/>
          <w:sz w:val="44"/>
          <w:szCs w:val="28"/>
          <w:lang w:val="en-US"/>
        </w:rPr>
        <w:t xml:space="preserve">and </w:t>
      </w:r>
      <w:r w:rsidR="00D10BCA">
        <w:rPr>
          <w:bCs/>
          <w:caps w:val="0"/>
          <w:spacing w:val="0"/>
          <w:sz w:val="44"/>
          <w:szCs w:val="28"/>
          <w:lang w:val="en-US"/>
        </w:rPr>
        <w:t>Photography Permits</w:t>
      </w:r>
      <w:r>
        <w:rPr>
          <w:bCs/>
          <w:caps w:val="0"/>
          <w:spacing w:val="0"/>
          <w:sz w:val="44"/>
          <w:szCs w:val="28"/>
        </w:rPr>
        <w:t xml:space="preserve"> </w:t>
      </w:r>
      <w:r w:rsidR="0065086E">
        <w:rPr>
          <w:bCs/>
          <w:caps w:val="0"/>
          <w:spacing w:val="0"/>
          <w:sz w:val="44"/>
          <w:szCs w:val="28"/>
          <w:lang w:val="en-US"/>
        </w:rPr>
        <w:t>- Justification</w:t>
      </w:r>
    </w:p>
    <w:p w:rsidR="00C84E75" w:rsidRPr="00D80052" w:rsidRDefault="00C84E75" w:rsidP="00C84E75">
      <w:pPr>
        <w:pStyle w:val="HeaderEven"/>
        <w:tabs>
          <w:tab w:val="clear" w:pos="8640"/>
        </w:tabs>
        <w:ind w:right="-720"/>
        <w:rPr>
          <w:bCs/>
          <w:caps w:val="0"/>
          <w:spacing w:val="0"/>
          <w:sz w:val="24"/>
          <w:szCs w:val="24"/>
        </w:rPr>
      </w:pPr>
    </w:p>
    <w:p w:rsidR="00C84E75" w:rsidRPr="00602FE6" w:rsidRDefault="00C84E75" w:rsidP="00C84E75">
      <w:pPr>
        <w:pStyle w:val="NormalWeb"/>
        <w:spacing w:before="0" w:beforeAutospacing="0" w:after="0" w:afterAutospacing="0"/>
        <w:rPr>
          <w:b/>
          <w:i/>
        </w:rPr>
      </w:pPr>
      <w:r w:rsidRPr="00602FE6">
        <w:rPr>
          <w:b/>
          <w:i/>
        </w:rPr>
        <w:t>OMB No. 0648-0084</w:t>
      </w:r>
    </w:p>
    <w:p w:rsidR="00C84E75" w:rsidRDefault="00C84E75" w:rsidP="00C84E75">
      <w:pPr>
        <w:pStyle w:val="NormalWeb"/>
        <w:spacing w:before="0" w:beforeAutospacing="0" w:after="0" w:afterAutospacing="0"/>
        <w:rPr>
          <w:b/>
          <w:i/>
        </w:rPr>
      </w:pPr>
      <w:r w:rsidRPr="00602FE6">
        <w:rPr>
          <w:b/>
          <w:i/>
        </w:rPr>
        <w:t>Expires</w:t>
      </w:r>
      <w:r>
        <w:rPr>
          <w:b/>
          <w:i/>
        </w:rPr>
        <w:t xml:space="preserve">:  </w:t>
      </w:r>
      <w:r w:rsidR="00D10BCA">
        <w:rPr>
          <w:b/>
          <w:i/>
        </w:rPr>
        <w:t>mm</w:t>
      </w:r>
      <w:r w:rsidR="003D1CEB">
        <w:rPr>
          <w:b/>
          <w:i/>
        </w:rPr>
        <w:t>/</w:t>
      </w:r>
      <w:proofErr w:type="spellStart"/>
      <w:r w:rsidR="00D10BCA">
        <w:rPr>
          <w:b/>
          <w:i/>
        </w:rPr>
        <w:t>dd</w:t>
      </w:r>
      <w:proofErr w:type="spellEnd"/>
      <w:r w:rsidR="003D1CEB">
        <w:rPr>
          <w:b/>
          <w:i/>
        </w:rPr>
        <w:t>/</w:t>
      </w:r>
      <w:proofErr w:type="spellStart"/>
      <w:r w:rsidR="00D10BCA">
        <w:rPr>
          <w:b/>
          <w:i/>
        </w:rPr>
        <w:t>yyyy</w:t>
      </w:r>
      <w:proofErr w:type="spellEnd"/>
    </w:p>
    <w:p w:rsidR="00C451F9" w:rsidRDefault="00C451F9" w:rsidP="0065086E">
      <w:bookmarkStart w:id="5" w:name="_Toc350162135"/>
    </w:p>
    <w:p w:rsidR="00C84E75" w:rsidRPr="004473BD" w:rsidRDefault="0065086E" w:rsidP="0065086E">
      <w:pPr>
        <w:rPr>
          <w:rFonts w:ascii="Arial Black" w:hAnsi="Arial Black"/>
          <w:b/>
          <w:sz w:val="28"/>
          <w:szCs w:val="28"/>
        </w:rPr>
      </w:pPr>
      <w:r>
        <w:rPr>
          <w:rFonts w:ascii="Arial Black" w:hAnsi="Arial Black"/>
          <w:sz w:val="28"/>
          <w:szCs w:val="28"/>
        </w:rPr>
        <w:t>Background</w:t>
      </w:r>
      <w:bookmarkEnd w:id="5"/>
    </w:p>
    <w:p w:rsidR="003A5035" w:rsidRDefault="0065086E" w:rsidP="0065086E">
      <w:pPr>
        <w:numPr>
          <w:ilvl w:val="12"/>
          <w:numId w:val="0"/>
        </w:numPr>
      </w:pPr>
      <w:r w:rsidRPr="00EE7C5E">
        <w:t>Under section 104(c)(3</w:t>
      </w:r>
      <w:r>
        <w:t>)</w:t>
      </w:r>
      <w:r w:rsidRPr="00EE7C5E">
        <w:t xml:space="preserve">(C) of the MMPA, as amended, persons may be authorized </w:t>
      </w:r>
      <w:r w:rsidR="003A5035">
        <w:t xml:space="preserve">under the General Authorization (GA) </w:t>
      </w:r>
      <w:r w:rsidRPr="00EE7C5E">
        <w:t>to take marine mammals in the wild by Level B harassment</w:t>
      </w:r>
      <w:r w:rsidR="00071F80" w:rsidRPr="00071F80">
        <w:rPr>
          <w:rStyle w:val="FootnoteReference"/>
          <w:vertAlign w:val="superscript"/>
        </w:rPr>
        <w:footnoteReference w:id="1"/>
      </w:r>
      <w:r w:rsidRPr="00EE7C5E">
        <w:t xml:space="preserve">, as defined in 50 CFR 216.3, for purposes of </w:t>
      </w:r>
      <w:r w:rsidRPr="00EE7C5E">
        <w:rPr>
          <w:i/>
        </w:rPr>
        <w:t>bona fide</w:t>
      </w:r>
      <w:r w:rsidRPr="00EE7C5E">
        <w:t xml:space="preserve"> scientific research.  Interested persons </w:t>
      </w:r>
      <w:r>
        <w:t xml:space="preserve">are required to </w:t>
      </w:r>
      <w:r w:rsidRPr="00EE7C5E">
        <w:t>submit a letter of intent</w:t>
      </w:r>
      <w:r w:rsidR="003A5035">
        <w:t xml:space="preserve"> (LOI)</w:t>
      </w:r>
      <w:r w:rsidRPr="00EE7C5E">
        <w:t xml:space="preserve"> in accordance with the interim final rule published on October 3, 1994</w:t>
      </w:r>
      <w:r w:rsidR="00071F80">
        <w:t>,</w:t>
      </w:r>
      <w:r w:rsidRPr="00EE7C5E">
        <w:t xml:space="preserve"> and submit certain information outlined at 50 CFR 216.45(b) </w:t>
      </w:r>
      <w:r>
        <w:t>and provided in the instructions</w:t>
      </w:r>
      <w:r w:rsidRPr="00EE7C5E">
        <w:t>.</w:t>
      </w:r>
      <w:r>
        <w:t xml:space="preserve">  </w:t>
      </w:r>
    </w:p>
    <w:p w:rsidR="003A5035" w:rsidRDefault="003A5035" w:rsidP="0065086E">
      <w:pPr>
        <w:numPr>
          <w:ilvl w:val="12"/>
          <w:numId w:val="0"/>
        </w:numPr>
      </w:pPr>
    </w:p>
    <w:p w:rsidR="00071F80" w:rsidRPr="0076062A" w:rsidRDefault="00071F80" w:rsidP="00071F80">
      <w:r>
        <w:t xml:space="preserve">Under </w:t>
      </w:r>
      <w:r>
        <w:t>section 104(c</w:t>
      </w:r>
      <w:proofErr w:type="gramStart"/>
      <w:r>
        <w:t>)(</w:t>
      </w:r>
      <w:proofErr w:type="gramEnd"/>
      <w:r>
        <w:t xml:space="preserve">6) of the </w:t>
      </w:r>
      <w:r>
        <w:t>MMPA, a permit may be issued for photography of marine mammals in the wild for educational or commercial purposes where the photography activities will not exceed</w:t>
      </w:r>
      <w:r w:rsidRPr="00D13AAA">
        <w:t xml:space="preserve"> Level B </w:t>
      </w:r>
      <w:r>
        <w:t>h</w:t>
      </w:r>
      <w:r w:rsidRPr="00D13AAA">
        <w:t>arassment</w:t>
      </w:r>
      <w:r>
        <w:t>.  This permit is designed to accommodate professional photographers and filmmakers who have discrete projects and time frames that will result in products such as documentary films or commercial photographs.</w:t>
      </w:r>
      <w:r>
        <w:t xml:space="preserve">  Regulations f</w:t>
      </w:r>
      <w:r w:rsidRPr="0076062A">
        <w:t xml:space="preserve">or </w:t>
      </w:r>
      <w:r>
        <w:t>p</w:t>
      </w:r>
      <w:r w:rsidRPr="0076062A">
        <w:t>hotography</w:t>
      </w:r>
      <w:r>
        <w:t xml:space="preserve"> permits</w:t>
      </w:r>
      <w:r w:rsidRPr="0076062A">
        <w:t xml:space="preserve"> </w:t>
      </w:r>
      <w:r>
        <w:t>(</w:t>
      </w:r>
      <w:r w:rsidRPr="0076062A">
        <w:t>50 CFR 216.42, Reserved</w:t>
      </w:r>
      <w:r>
        <w:t>)</w:t>
      </w:r>
      <w:r w:rsidRPr="0076062A">
        <w:t xml:space="preserve"> have not yet been proposed</w:t>
      </w:r>
      <w:r>
        <w:t>.  A</w:t>
      </w:r>
      <w:r w:rsidRPr="0076062A">
        <w:t xml:space="preserve">pplicants are provided with guidance similar to that required for the </w:t>
      </w:r>
      <w:r>
        <w:t>GA because the l</w:t>
      </w:r>
      <w:r w:rsidRPr="0076062A">
        <w:t xml:space="preserve">evel of harassment authorized under </w:t>
      </w:r>
      <w:r>
        <w:t>photography permits and the GA is the same</w:t>
      </w:r>
      <w:r w:rsidRPr="0076062A">
        <w:t>.</w:t>
      </w:r>
    </w:p>
    <w:p w:rsidR="00071F80" w:rsidRPr="00A926D3" w:rsidRDefault="00071F80" w:rsidP="0065086E">
      <w:pPr>
        <w:numPr>
          <w:ilvl w:val="12"/>
          <w:numId w:val="0"/>
        </w:numPr>
      </w:pPr>
    </w:p>
    <w:p w:rsidR="00071F80" w:rsidRDefault="00962372" w:rsidP="00962372">
      <w:r w:rsidRPr="002C12CD">
        <w:t>The information requested in th</w:t>
      </w:r>
      <w:r w:rsidR="00071F80">
        <w:t xml:space="preserve">ese applications </w:t>
      </w:r>
      <w:r>
        <w:t xml:space="preserve">is required and is used to </w:t>
      </w:r>
      <w:r w:rsidRPr="002C12CD">
        <w:t xml:space="preserve">determine whether the </w:t>
      </w:r>
      <w:r w:rsidR="00071F80">
        <w:t xml:space="preserve">activities </w:t>
      </w:r>
      <w:r w:rsidRPr="002C12CD">
        <w:t xml:space="preserve">described </w:t>
      </w:r>
      <w:r w:rsidR="00071F80">
        <w:t xml:space="preserve">are </w:t>
      </w:r>
      <w:r w:rsidRPr="002C12CD">
        <w:t xml:space="preserve">likely to </w:t>
      </w:r>
      <w:r>
        <w:t>exceed Level B harassment of</w:t>
      </w:r>
      <w:r w:rsidRPr="002C12CD">
        <w:t xml:space="preserve"> a marine mammal in the wild</w:t>
      </w:r>
      <w:r>
        <w:t xml:space="preserve">, </w:t>
      </w:r>
      <w:r w:rsidR="00071F80">
        <w:t xml:space="preserve">whether the activities will be conducted in a humane manner, and whether the purpose of the activities are consistent with the MMPA and implementing regulations. </w:t>
      </w:r>
    </w:p>
    <w:p w:rsidR="00071F80" w:rsidRDefault="00071F80" w:rsidP="00962372"/>
    <w:p w:rsidR="00962372" w:rsidRDefault="00071F80" w:rsidP="00962372">
      <w:r>
        <w:br w:type="page"/>
      </w:r>
      <w:r w:rsidR="003A5035">
        <w:lastRenderedPageBreak/>
        <w:t xml:space="preserve">Persons issued a Letter of Confirmation (LOC) </w:t>
      </w:r>
      <w:r w:rsidR="008116BD">
        <w:t xml:space="preserve">under the GA or a photography permit </w:t>
      </w:r>
      <w:r w:rsidR="003A5035">
        <w:t>must conduct the activities as described in the LOI</w:t>
      </w:r>
      <w:r w:rsidR="008116BD">
        <w:t xml:space="preserve"> or photography application, respectively.  </w:t>
      </w:r>
      <w:r w:rsidR="003A5035">
        <w:t xml:space="preserve">Activities authorized are limited to those conducted for the purposes, by the means, in the locations, and during the time periods described in the </w:t>
      </w:r>
      <w:r w:rsidR="008116BD">
        <w:t>application</w:t>
      </w:r>
      <w:r w:rsidR="003A5035">
        <w:t xml:space="preserve">.  </w:t>
      </w:r>
    </w:p>
    <w:p w:rsidR="00071F80" w:rsidRDefault="00071F80" w:rsidP="00962372"/>
    <w:p w:rsidR="008116BD" w:rsidRDefault="00071F80" w:rsidP="00071F80">
      <w:pPr>
        <w:numPr>
          <w:ilvl w:val="12"/>
          <w:numId w:val="0"/>
        </w:numPr>
      </w:pPr>
      <w:r>
        <w:t xml:space="preserve">Regulations implementing the GA may be found at </w:t>
      </w:r>
      <w:r w:rsidRPr="00A926D3">
        <w:t>50 CFR 216.45 [59 FR 50376, Oct. 3, 1994]</w:t>
      </w:r>
      <w:r>
        <w:t xml:space="preserve"> and are available at the following web site:  </w:t>
      </w:r>
      <w:hyperlink r:id="rId8" w:history="1">
        <w:r w:rsidRPr="00CF1B4A">
          <w:rPr>
            <w:rStyle w:val="Hyperlink"/>
          </w:rPr>
          <w:t>http://www.gpo.gov/</w:t>
        </w:r>
      </w:hyperlink>
      <w:r>
        <w:t xml:space="preserve">.  </w:t>
      </w:r>
    </w:p>
    <w:p w:rsidR="008116BD" w:rsidRDefault="008116BD" w:rsidP="00071F80">
      <w:pPr>
        <w:numPr>
          <w:ilvl w:val="12"/>
          <w:numId w:val="0"/>
        </w:numPr>
      </w:pPr>
    </w:p>
    <w:p w:rsidR="00071F80" w:rsidRDefault="00071F80" w:rsidP="00071F80">
      <w:pPr>
        <w:numPr>
          <w:ilvl w:val="12"/>
          <w:numId w:val="0"/>
        </w:numPr>
      </w:pPr>
      <w:r>
        <w:t xml:space="preserve">MMPA section 104 is available at the following web site: </w:t>
      </w:r>
      <w:hyperlink r:id="rId9" w:history="1">
        <w:r w:rsidRPr="00A104A7">
          <w:rPr>
            <w:rStyle w:val="Hyperlink"/>
          </w:rPr>
          <w:t>http://www.nmfs.noaa.gov/pr/pdfs/laws/mmpa104.pdf</w:t>
        </w:r>
      </w:hyperlink>
      <w:r>
        <w:t xml:space="preserve">.  </w:t>
      </w:r>
    </w:p>
    <w:p w:rsidR="00071F80" w:rsidRPr="002C12CD" w:rsidRDefault="00071F80" w:rsidP="00962372"/>
    <w:p w:rsidR="00C84E75" w:rsidRPr="00361B2E" w:rsidRDefault="00C84E75" w:rsidP="00C84E75">
      <w:pPr>
        <w:pStyle w:val="Heading2"/>
        <w:spacing w:before="0" w:after="0"/>
        <w:rPr>
          <w:rFonts w:ascii="Arial Black" w:hAnsi="Arial Black" w:cs="Arial"/>
          <w:b w:val="0"/>
          <w:i w:val="0"/>
          <w:sz w:val="24"/>
          <w:szCs w:val="24"/>
        </w:rPr>
      </w:pPr>
      <w:bookmarkStart w:id="6" w:name="_Toc252442341"/>
      <w:bookmarkStart w:id="7" w:name="_Toc350162137"/>
      <w:r w:rsidRPr="00361B2E">
        <w:rPr>
          <w:rFonts w:ascii="Arial Black" w:hAnsi="Arial Black" w:cs="Arial"/>
          <w:b w:val="0"/>
          <w:i w:val="0"/>
          <w:sz w:val="24"/>
          <w:szCs w:val="24"/>
        </w:rPr>
        <w:t>Pre-application Guide (PAG)</w:t>
      </w:r>
      <w:bookmarkEnd w:id="6"/>
      <w:bookmarkEnd w:id="7"/>
    </w:p>
    <w:p w:rsidR="0065086E" w:rsidRPr="00C001E5" w:rsidRDefault="0065086E" w:rsidP="0065086E">
      <w:pPr>
        <w:rPr>
          <w:bCs/>
          <w:color w:val="000000"/>
        </w:rPr>
      </w:pPr>
      <w:r>
        <w:t>The information obtained when filling out the PAG is necessary to determine if the appropriate authorization or permit needed.</w:t>
      </w:r>
    </w:p>
    <w:p w:rsidR="00C84E75" w:rsidRDefault="00C84E75" w:rsidP="00C84E75"/>
    <w:p w:rsidR="00C84E75" w:rsidRPr="00F14EB1" w:rsidRDefault="00C84E75" w:rsidP="00C84E75">
      <w:pPr>
        <w:pStyle w:val="Heading2"/>
        <w:spacing w:before="0" w:after="0"/>
        <w:rPr>
          <w:rFonts w:ascii="Arial Black" w:hAnsi="Arial Black"/>
          <w:b w:val="0"/>
          <w:i w:val="0"/>
          <w:iCs w:val="0"/>
          <w:sz w:val="24"/>
        </w:rPr>
      </w:pPr>
      <w:bookmarkStart w:id="8" w:name="_Toc252442346"/>
      <w:bookmarkStart w:id="9" w:name="_Toc350162141"/>
      <w:bookmarkEnd w:id="0"/>
      <w:bookmarkEnd w:id="1"/>
      <w:bookmarkEnd w:id="2"/>
      <w:bookmarkEnd w:id="3"/>
      <w:bookmarkEnd w:id="4"/>
      <w:r w:rsidRPr="00F14EB1">
        <w:rPr>
          <w:rFonts w:ascii="Arial Black" w:hAnsi="Arial Black"/>
          <w:b w:val="0"/>
          <w:i w:val="0"/>
          <w:iCs w:val="0"/>
          <w:sz w:val="24"/>
        </w:rPr>
        <w:t xml:space="preserve">Project Information </w:t>
      </w:r>
      <w:bookmarkEnd w:id="8"/>
      <w:bookmarkEnd w:id="9"/>
    </w:p>
    <w:p w:rsidR="00C84E75" w:rsidRPr="00FB4CED" w:rsidRDefault="00C84E75" w:rsidP="00C84E75">
      <w:pPr>
        <w:tabs>
          <w:tab w:val="left" w:pos="115"/>
        </w:tabs>
        <w:rPr>
          <w:i/>
        </w:rPr>
      </w:pPr>
      <w:r w:rsidRPr="00FB4CED">
        <w:rPr>
          <w:b/>
          <w:i/>
        </w:rPr>
        <w:t>File Number</w:t>
      </w:r>
      <w:r w:rsidRPr="00FB4CED">
        <w:rPr>
          <w:i/>
        </w:rPr>
        <w:t xml:space="preserve">  </w:t>
      </w:r>
    </w:p>
    <w:p w:rsidR="00C84E75" w:rsidRDefault="0065086E" w:rsidP="00C84E75">
      <w:proofErr w:type="gramStart"/>
      <w:r>
        <w:t>Automatically generated by APPS.</w:t>
      </w:r>
      <w:proofErr w:type="gramEnd"/>
      <w:r>
        <w:t xml:space="preserve">  This number is necessary for identification of the application in the APPS system/database, during correspondence with the applicant, and to identify the administrative record.  This number is also used as the L</w:t>
      </w:r>
      <w:r w:rsidR="007D46FD">
        <w:t xml:space="preserve">OC </w:t>
      </w:r>
      <w:r w:rsidR="008116BD">
        <w:t xml:space="preserve">or permit </w:t>
      </w:r>
      <w:r>
        <w:t xml:space="preserve">number when issued.  </w:t>
      </w:r>
    </w:p>
    <w:p w:rsidR="0065086E" w:rsidRDefault="0065086E" w:rsidP="00C84E75"/>
    <w:p w:rsidR="00C84E75" w:rsidRDefault="00C84E75" w:rsidP="00C84E75">
      <w:r w:rsidRPr="000950C0">
        <w:rPr>
          <w:b/>
          <w:i/>
        </w:rPr>
        <w:t>Project Title</w:t>
      </w:r>
      <w:r>
        <w:t xml:space="preserve"> (enter up to 255 characters)</w:t>
      </w:r>
    </w:p>
    <w:p w:rsidR="00C84E75" w:rsidRDefault="0065086E" w:rsidP="00C84E75">
      <w:proofErr w:type="gramStart"/>
      <w:r>
        <w:t>Necessary for identification of subject matter.</w:t>
      </w:r>
      <w:proofErr w:type="gramEnd"/>
    </w:p>
    <w:p w:rsidR="00C84E75" w:rsidRDefault="00C84E75" w:rsidP="00C84E75"/>
    <w:p w:rsidR="00C84E75" w:rsidRPr="00F80F9A" w:rsidRDefault="00C84E75" w:rsidP="00C84E75">
      <w:pPr>
        <w:rPr>
          <w:i/>
        </w:rPr>
      </w:pPr>
      <w:r w:rsidRPr="00F80F9A">
        <w:rPr>
          <w:b/>
          <w:i/>
        </w:rPr>
        <w:t>Project Status</w:t>
      </w:r>
      <w:r w:rsidRPr="00F80F9A">
        <w:rPr>
          <w:i/>
        </w:rPr>
        <w:t xml:space="preserve">  </w:t>
      </w:r>
    </w:p>
    <w:p w:rsidR="00C84E75" w:rsidRDefault="0065086E" w:rsidP="00C84E75">
      <w:proofErr w:type="gramStart"/>
      <w:r>
        <w:t>A</w:t>
      </w:r>
      <w:r w:rsidR="00C84E75">
        <w:t xml:space="preserve">utomatically selected </w:t>
      </w:r>
      <w:r w:rsidR="00962372">
        <w:t xml:space="preserve">by APPS </w:t>
      </w:r>
      <w:r w:rsidR="00C84E75">
        <w:t>based on answers in PAG.</w:t>
      </w:r>
      <w:proofErr w:type="gramEnd"/>
      <w:r w:rsidR="00C84E75">
        <w:t xml:space="preserve"> </w:t>
      </w:r>
    </w:p>
    <w:p w:rsidR="00C84E75" w:rsidRDefault="00C84E75" w:rsidP="00C84E75">
      <w:pPr>
        <w:tabs>
          <w:tab w:val="left" w:pos="72"/>
        </w:tabs>
        <w:rPr>
          <w:b/>
          <w:i/>
        </w:rPr>
      </w:pPr>
    </w:p>
    <w:p w:rsidR="00C84E75" w:rsidRPr="00304C5D" w:rsidRDefault="00C84E75" w:rsidP="00C84E75">
      <w:pPr>
        <w:tabs>
          <w:tab w:val="left" w:pos="72"/>
        </w:tabs>
        <w:rPr>
          <w:b/>
        </w:rPr>
      </w:pPr>
      <w:r w:rsidRPr="00F80F9A">
        <w:rPr>
          <w:b/>
          <w:i/>
        </w:rPr>
        <w:t xml:space="preserve">Previous Federal or </w:t>
      </w:r>
      <w:proofErr w:type="gramStart"/>
      <w:r w:rsidRPr="00F80F9A">
        <w:rPr>
          <w:b/>
          <w:i/>
        </w:rPr>
        <w:t>state permit</w:t>
      </w:r>
      <w:proofErr w:type="gramEnd"/>
      <w:r w:rsidRPr="00F80F9A">
        <w:rPr>
          <w:b/>
          <w:i/>
        </w:rPr>
        <w:t xml:space="preserve"> #</w:t>
      </w:r>
    </w:p>
    <w:p w:rsidR="0065086E" w:rsidRDefault="0065086E" w:rsidP="00C84E75">
      <w:r>
        <w:t xml:space="preserve">Not required.  If entered, this information provides permit analysts with the applicant’s previous </w:t>
      </w:r>
      <w:r w:rsidR="00D10BCA">
        <w:t xml:space="preserve">permit or authorization </w:t>
      </w:r>
      <w:r>
        <w:t>number to determine compliance.</w:t>
      </w:r>
    </w:p>
    <w:p w:rsidR="0065086E" w:rsidRDefault="0065086E" w:rsidP="00C84E75"/>
    <w:p w:rsidR="00C84E75" w:rsidRPr="00F80F9A" w:rsidRDefault="00C84E75" w:rsidP="00C84E75">
      <w:pPr>
        <w:rPr>
          <w:i/>
        </w:rPr>
      </w:pPr>
      <w:r w:rsidRPr="00F80F9A">
        <w:rPr>
          <w:b/>
          <w:i/>
        </w:rPr>
        <w:t>Permits Requested</w:t>
      </w:r>
    </w:p>
    <w:p w:rsidR="00C84E75" w:rsidRDefault="0065086E" w:rsidP="00C84E75">
      <w:proofErr w:type="gramStart"/>
      <w:r>
        <w:t xml:space="preserve">Automatically selected </w:t>
      </w:r>
      <w:r w:rsidR="00962372">
        <w:t xml:space="preserve">by APPS </w:t>
      </w:r>
      <w:r>
        <w:t>based on answers in PAG.</w:t>
      </w:r>
      <w:proofErr w:type="gramEnd"/>
      <w:r>
        <w:t xml:space="preserve"> </w:t>
      </w:r>
    </w:p>
    <w:p w:rsidR="00C84E75" w:rsidRDefault="00C84E75" w:rsidP="00C84E75">
      <w:pPr>
        <w:ind w:left="720"/>
      </w:pPr>
    </w:p>
    <w:p w:rsidR="00C84E75" w:rsidRPr="00F45967" w:rsidRDefault="00C84E75" w:rsidP="00C84E75">
      <w:pPr>
        <w:rPr>
          <w:b/>
          <w:i/>
        </w:rPr>
      </w:pPr>
      <w:r w:rsidRPr="00F45967">
        <w:rPr>
          <w:b/>
          <w:i/>
        </w:rPr>
        <w:t>Where will the activities occur?</w:t>
      </w:r>
    </w:p>
    <w:p w:rsidR="00BB00ED" w:rsidRDefault="00C84E75" w:rsidP="00BB00ED">
      <w:pPr>
        <w:rPr>
          <w:rFonts w:ascii="Arial" w:hAnsi="Arial" w:cs="Arial"/>
          <w:b/>
          <w:i/>
        </w:rPr>
      </w:pPr>
      <w:r>
        <w:t xml:space="preserve">One or more general locations will be listed based on answers in the PAG.  </w:t>
      </w:r>
      <w:r w:rsidR="00BB00ED">
        <w:t xml:space="preserve">The application must specify the geographic locations in which the research is to be conducted. This information is necessary for considering impacts to protected species and for conducting the appropriate environmental analyses and assessment of impacts to the species or stock. </w:t>
      </w:r>
      <w:r w:rsidR="00BB00ED" w:rsidRPr="008116BD">
        <w:t>Activities authorized are limited to those conducted for the purposes, by the means, in the locations, and during the time periods described in the L</w:t>
      </w:r>
      <w:r w:rsidR="007D46FD" w:rsidRPr="008116BD">
        <w:t>OI</w:t>
      </w:r>
      <w:r w:rsidR="00BB00ED" w:rsidRPr="008116BD">
        <w:t xml:space="preserve">.  Applicable </w:t>
      </w:r>
      <w:r w:rsidR="008116BD" w:rsidRPr="008116BD">
        <w:t>statute/</w:t>
      </w:r>
      <w:r w:rsidR="00BB00ED" w:rsidRPr="008116BD">
        <w:t xml:space="preserve">regulations:  </w:t>
      </w:r>
      <w:r w:rsidR="008116BD" w:rsidRPr="008116BD">
        <w:t>MMPA section 104(c</w:t>
      </w:r>
      <w:proofErr w:type="gramStart"/>
      <w:r w:rsidR="008116BD" w:rsidRPr="008116BD">
        <w:t>)(</w:t>
      </w:r>
      <w:proofErr w:type="gramEnd"/>
      <w:r w:rsidR="008116BD" w:rsidRPr="008116BD">
        <w:t>3)(C)(ii), and 50 CFR 216.36(a)(1)(iii), 216.45 (b)(2)(iii), 216.45(d)(1).</w:t>
      </w:r>
      <w:r w:rsidR="008116BD">
        <w:t xml:space="preserve">  </w:t>
      </w:r>
      <w:r w:rsidR="00BB00ED">
        <w:t xml:space="preserve">  </w:t>
      </w:r>
    </w:p>
    <w:p w:rsidR="00C84E75" w:rsidRDefault="00C84E75" w:rsidP="00962372"/>
    <w:p w:rsidR="00C84E75" w:rsidRPr="00F45967" w:rsidRDefault="008116BD" w:rsidP="00C84E75">
      <w:pPr>
        <w:rPr>
          <w:b/>
          <w:i/>
        </w:rPr>
      </w:pPr>
      <w:r>
        <w:rPr>
          <w:b/>
          <w:i/>
        </w:rPr>
        <w:br w:type="page"/>
      </w:r>
      <w:r w:rsidR="00C84E75" w:rsidRPr="00F45967">
        <w:rPr>
          <w:b/>
          <w:i/>
        </w:rPr>
        <w:lastRenderedPageBreak/>
        <w:t>Research Timeframe</w:t>
      </w:r>
      <w:r w:rsidR="00D77E9F">
        <w:rPr>
          <w:b/>
          <w:i/>
        </w:rPr>
        <w:t xml:space="preserve"> and Sampling Season/Project Duration</w:t>
      </w:r>
    </w:p>
    <w:p w:rsidR="00B9512C" w:rsidRDefault="00B9512C" w:rsidP="00B9512C">
      <w:r>
        <w:t xml:space="preserve">The </w:t>
      </w:r>
      <w:r w:rsidR="00D2771B">
        <w:t xml:space="preserve">applications </w:t>
      </w:r>
      <w:r>
        <w:t xml:space="preserve">must specify the period of time over which the </w:t>
      </w:r>
      <w:r w:rsidR="00D2771B">
        <w:t xml:space="preserve">activities </w:t>
      </w:r>
      <w:r>
        <w:t xml:space="preserve">will be conducted. LOC’s </w:t>
      </w:r>
      <w:r w:rsidR="00D2771B">
        <w:t xml:space="preserve">and permits </w:t>
      </w:r>
      <w:r>
        <w:t>are valid for five years unless a shorter time period is requested.  This information p</w:t>
      </w:r>
      <w:r w:rsidRPr="008A5F15">
        <w:t xml:space="preserve">rovides </w:t>
      </w:r>
      <w:r>
        <w:t xml:space="preserve">a </w:t>
      </w:r>
      <w:r w:rsidRPr="008A5F15">
        <w:t xml:space="preserve">basis to determine </w:t>
      </w:r>
      <w:r>
        <w:t xml:space="preserve">(1) </w:t>
      </w:r>
      <w:r w:rsidRPr="008A5F15">
        <w:t>whether it is likely that the objectives will be met during the time allotted with the available resources</w:t>
      </w:r>
      <w:r>
        <w:t xml:space="preserve">; (2) when the </w:t>
      </w:r>
      <w:r w:rsidR="00D2771B">
        <w:t xml:space="preserve">LOC or permit </w:t>
      </w:r>
      <w:r>
        <w:t>is needed (i.e., the start date); (3) impacts to the affected species during sensitive periods such as nursing and breeding; and (4) potential cumulative impacts that may arise from multiple holders working on the same species, in the same location, and at the same time</w:t>
      </w:r>
      <w:r w:rsidRPr="008A5F15">
        <w:t>.</w:t>
      </w:r>
      <w:r>
        <w:t xml:space="preserve">  Applicable </w:t>
      </w:r>
      <w:r w:rsidR="00D2771B">
        <w:t>statute/</w:t>
      </w:r>
      <w:r>
        <w:t>regulations:  MMPA section</w:t>
      </w:r>
      <w:r w:rsidR="00D2771B">
        <w:t>s</w:t>
      </w:r>
      <w:r>
        <w:t xml:space="preserve"> 10</w:t>
      </w:r>
      <w:r w:rsidR="00D2771B">
        <w:t>4</w:t>
      </w:r>
      <w:r>
        <w:t>(c</w:t>
      </w:r>
      <w:proofErr w:type="gramStart"/>
      <w:r>
        <w:t>)(</w:t>
      </w:r>
      <w:proofErr w:type="gramEnd"/>
      <w:r>
        <w:t>3)(C)</w:t>
      </w:r>
      <w:r w:rsidR="00D2771B">
        <w:t xml:space="preserve">, 104(c)(6), </w:t>
      </w:r>
      <w:r>
        <w:t xml:space="preserve">and 50 CFR </w:t>
      </w:r>
      <w:r w:rsidR="00D2771B">
        <w:t xml:space="preserve">216.35(b), </w:t>
      </w:r>
      <w:r>
        <w:t xml:space="preserve">216.45(b)(2)(iv). </w:t>
      </w:r>
    </w:p>
    <w:p w:rsidR="00C84E75" w:rsidRDefault="00C84E75" w:rsidP="00C84E75"/>
    <w:p w:rsidR="00C84E75" w:rsidRDefault="00C84E75" w:rsidP="00C84E75">
      <w:pPr>
        <w:pStyle w:val="Heading2"/>
        <w:spacing w:before="0" w:after="0"/>
        <w:rPr>
          <w:rFonts w:ascii="Arial Black" w:hAnsi="Arial Black"/>
          <w:b w:val="0"/>
          <w:i w:val="0"/>
          <w:iCs w:val="0"/>
          <w:sz w:val="24"/>
        </w:rPr>
      </w:pPr>
      <w:bookmarkStart w:id="10" w:name="_Toc252442347"/>
      <w:bookmarkStart w:id="11" w:name="_Toc350162142"/>
      <w:r w:rsidRPr="00F14EB1">
        <w:rPr>
          <w:rFonts w:ascii="Arial Black" w:hAnsi="Arial Black"/>
          <w:b w:val="0"/>
          <w:i w:val="0"/>
          <w:iCs w:val="0"/>
          <w:sz w:val="24"/>
        </w:rPr>
        <w:t xml:space="preserve">Project Description </w:t>
      </w:r>
      <w:bookmarkEnd w:id="10"/>
      <w:bookmarkEnd w:id="11"/>
    </w:p>
    <w:p w:rsidR="005C3598" w:rsidRDefault="00C84E75" w:rsidP="005C3598">
      <w:r w:rsidRPr="002A4E23">
        <w:rPr>
          <w:b/>
          <w:i/>
        </w:rPr>
        <w:t>Project Purpose:  Hypothesis/Objectives and Justification</w:t>
      </w:r>
      <w:r w:rsidRPr="001D1B3E">
        <w:t xml:space="preserve"> </w:t>
      </w:r>
    </w:p>
    <w:p w:rsidR="00C84E75" w:rsidRPr="009540F8" w:rsidRDefault="00D93F48" w:rsidP="005C3598">
      <w:r>
        <w:t>For the GA, t</w:t>
      </w:r>
      <w:r w:rsidR="00C84E75" w:rsidRPr="009540F8">
        <w:t>h</w:t>
      </w:r>
      <w:r w:rsidR="005C3598">
        <w:t xml:space="preserve">is information is required to determine the </w:t>
      </w:r>
      <w:r w:rsidR="00C84E75" w:rsidRPr="009540F8">
        <w:t>purpose of the research</w:t>
      </w:r>
      <w:r w:rsidR="005C3598">
        <w:t xml:space="preserve"> and </w:t>
      </w:r>
      <w:r w:rsidR="00C84E75" w:rsidRPr="009540F8">
        <w:t>how the proposed research qualifies as “</w:t>
      </w:r>
      <w:r w:rsidR="00C84E75" w:rsidRPr="009540F8">
        <w:rPr>
          <w:i/>
          <w:iCs/>
        </w:rPr>
        <w:t>bona fide</w:t>
      </w:r>
      <w:r w:rsidR="00C84E75" w:rsidRPr="009540F8">
        <w:t xml:space="preserve"> scientific research.</w:t>
      </w:r>
      <w:r w:rsidR="005C3598">
        <w:t>”</w:t>
      </w:r>
      <w:r>
        <w:t xml:space="preserve">  For photography permits, to determine the takes will be used for valid commercial or educational photography purposes.</w:t>
      </w:r>
      <w:r w:rsidR="005C3598">
        <w:t xml:space="preserve">  Applicable statute/regulations:  MMPA section</w:t>
      </w:r>
      <w:r w:rsidR="00D2771B">
        <w:t>s</w:t>
      </w:r>
      <w:r w:rsidR="005C3598">
        <w:t xml:space="preserve"> 104(c</w:t>
      </w:r>
      <w:proofErr w:type="gramStart"/>
      <w:r w:rsidR="005C3598">
        <w:t>)(</w:t>
      </w:r>
      <w:proofErr w:type="gramEnd"/>
      <w:r w:rsidR="005C3598">
        <w:t>3)(C)</w:t>
      </w:r>
      <w:r>
        <w:t>, 104(c)(6),</w:t>
      </w:r>
      <w:r w:rsidR="00802BDC">
        <w:t xml:space="preserve"> and 50 CFR 216.45(a).</w:t>
      </w:r>
      <w:r w:rsidR="00C84E75" w:rsidRPr="009540F8">
        <w:t xml:space="preserve"> </w:t>
      </w:r>
    </w:p>
    <w:p w:rsidR="00C84E75" w:rsidRPr="009540F8" w:rsidRDefault="00C84E75" w:rsidP="00C84E75"/>
    <w:p w:rsidR="00C84E75" w:rsidRDefault="00C84E75" w:rsidP="00C84E7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r w:rsidRPr="00054767">
        <w:rPr>
          <w:b/>
          <w:bCs/>
          <w:i/>
        </w:rPr>
        <w:t>Project Description</w:t>
      </w:r>
      <w:r>
        <w:rPr>
          <w:b/>
          <w:bCs/>
          <w:i/>
        </w:rPr>
        <w:t xml:space="preserve"> </w:t>
      </w:r>
    </w:p>
    <w:p w:rsidR="003A5035" w:rsidRDefault="003A5035" w:rsidP="003A503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r>
        <w:rPr>
          <w:bCs/>
        </w:rPr>
        <w:t xml:space="preserve">This section requires the applicant to describe the methods to be used to conduct the research.  </w:t>
      </w:r>
      <w:r w:rsidR="00D93F48">
        <w:rPr>
          <w:bCs/>
        </w:rPr>
        <w:t>For the GA, t</w:t>
      </w:r>
      <w:r>
        <w:rPr>
          <w:bCs/>
        </w:rPr>
        <w:t>his information is used to determine if the research is “</w:t>
      </w:r>
      <w:r w:rsidRPr="003A5035">
        <w:rPr>
          <w:bCs/>
          <w:i/>
        </w:rPr>
        <w:t>bona fide</w:t>
      </w:r>
      <w:r>
        <w:rPr>
          <w:bCs/>
        </w:rPr>
        <w:t>”</w:t>
      </w:r>
      <w:r w:rsidR="00D93F48">
        <w:rPr>
          <w:bCs/>
        </w:rPr>
        <w:t xml:space="preserve"> and for the GA and photography permits, </w:t>
      </w:r>
      <w:r w:rsidR="00D2771B">
        <w:rPr>
          <w:bCs/>
        </w:rPr>
        <w:t xml:space="preserve">this information is used to determine whether </w:t>
      </w:r>
      <w:r w:rsidR="00D93F48">
        <w:rPr>
          <w:bCs/>
        </w:rPr>
        <w:t xml:space="preserve"> the activities are humane, do not present any unnecessary risks, and </w:t>
      </w:r>
      <w:r>
        <w:rPr>
          <w:bCs/>
        </w:rPr>
        <w:t xml:space="preserve">will only result in Level B harassment of marine mammals.  </w:t>
      </w:r>
      <w:r>
        <w:t>Applicable statute/regulations:  MMPA section</w:t>
      </w:r>
      <w:r w:rsidR="00D2771B">
        <w:t>s</w:t>
      </w:r>
      <w:r>
        <w:t xml:space="preserve"> 104(c</w:t>
      </w:r>
      <w:proofErr w:type="gramStart"/>
      <w:r>
        <w:t>)(</w:t>
      </w:r>
      <w:proofErr w:type="gramEnd"/>
      <w:r>
        <w:t>3)(C)</w:t>
      </w:r>
      <w:r w:rsidR="00D93F48">
        <w:t>, 104(c)(6),</w:t>
      </w:r>
      <w:r>
        <w:t xml:space="preserve"> </w:t>
      </w:r>
      <w:r w:rsidR="00D93F48">
        <w:t xml:space="preserve">50 CFR 216.33(a)(1), 216.36 (a)(1)(ii), </w:t>
      </w:r>
      <w:r>
        <w:t>and 50 CFR 216.45(a).</w:t>
      </w:r>
    </w:p>
    <w:p w:rsidR="003A5035" w:rsidRDefault="003A5035" w:rsidP="003A5035">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p>
    <w:p w:rsidR="00C84E75" w:rsidRDefault="00C84E75" w:rsidP="00C84E75">
      <w:pPr>
        <w:pStyle w:val="Heading2"/>
        <w:spacing w:before="0" w:after="0"/>
        <w:rPr>
          <w:rFonts w:ascii="Arial Black" w:hAnsi="Arial Black"/>
          <w:b w:val="0"/>
          <w:i w:val="0"/>
          <w:iCs w:val="0"/>
          <w:sz w:val="24"/>
          <w:lang w:val="en-US"/>
        </w:rPr>
      </w:pPr>
      <w:bookmarkStart w:id="12" w:name="_Toc252442350"/>
      <w:bookmarkStart w:id="13" w:name="_Toc350162144"/>
      <w:r w:rsidRPr="00F14EB1">
        <w:rPr>
          <w:rFonts w:ascii="Arial Black" w:hAnsi="Arial Black"/>
          <w:b w:val="0"/>
          <w:i w:val="0"/>
          <w:iCs w:val="0"/>
          <w:sz w:val="24"/>
        </w:rPr>
        <w:t>Project Location</w:t>
      </w:r>
      <w:bookmarkEnd w:id="12"/>
      <w:bookmarkEnd w:id="13"/>
    </w:p>
    <w:p w:rsidR="005C3598" w:rsidRDefault="005C3598" w:rsidP="005C3598">
      <w:pPr>
        <w:rPr>
          <w:rFonts w:ascii="Arial" w:hAnsi="Arial" w:cs="Arial"/>
          <w:b/>
          <w:i/>
        </w:rPr>
      </w:pPr>
      <w:r>
        <w:t xml:space="preserve">The application must specify the geographic locations in which the research is to be conducted. This information is necessary for considering impacts to protected species and for conducting the appropriate environmental analyses and assessment of impacts to the species or stock. Activities authorized are limited to those conducted for the purposes, by the means, in the locations, and during the time periods described in the </w:t>
      </w:r>
      <w:r w:rsidR="00D93F48">
        <w:t>application</w:t>
      </w:r>
      <w:r>
        <w:t xml:space="preserve">.  Applicable </w:t>
      </w:r>
      <w:r w:rsidR="00D2771B">
        <w:t>statute/</w:t>
      </w:r>
      <w:r>
        <w:t xml:space="preserve">regulations:  </w:t>
      </w:r>
      <w:r w:rsidR="00D2771B">
        <w:t>MMPA section 104(c)(3)(C)</w:t>
      </w:r>
      <w:r w:rsidR="00D2771B">
        <w:t xml:space="preserve">(ii), </w:t>
      </w:r>
      <w:r w:rsidR="008116BD">
        <w:t xml:space="preserve">104(c)(6), </w:t>
      </w:r>
      <w:bookmarkStart w:id="14" w:name="_GoBack"/>
      <w:bookmarkEnd w:id="14"/>
      <w:r w:rsidR="00D2771B">
        <w:t xml:space="preserve">and </w:t>
      </w:r>
      <w:r>
        <w:t xml:space="preserve">50 CFR </w:t>
      </w:r>
      <w:r w:rsidR="00D2771B">
        <w:t xml:space="preserve">216.36(a)(1)(iii), </w:t>
      </w:r>
      <w:r>
        <w:t xml:space="preserve">216.45 (b)(2)(iii), 216.45(d)(1).  </w:t>
      </w:r>
    </w:p>
    <w:p w:rsidR="005C3598" w:rsidRPr="005C3598" w:rsidRDefault="005C3598" w:rsidP="005C3598">
      <w:pPr>
        <w:rPr>
          <w:lang w:eastAsia="x-none"/>
        </w:rPr>
      </w:pPr>
    </w:p>
    <w:p w:rsidR="00574D27" w:rsidRPr="005C3598" w:rsidRDefault="00574D27" w:rsidP="00574D27">
      <w:pPr>
        <w:pStyle w:val="Heading2"/>
        <w:spacing w:before="0" w:after="0"/>
        <w:rPr>
          <w:rFonts w:ascii="Arial Black" w:hAnsi="Arial Black"/>
          <w:b w:val="0"/>
          <w:i w:val="0"/>
          <w:iCs w:val="0"/>
          <w:sz w:val="24"/>
        </w:rPr>
      </w:pPr>
      <w:bookmarkStart w:id="15" w:name="_Toc232244925"/>
      <w:bookmarkStart w:id="16" w:name="_Toc252442353"/>
      <w:r w:rsidRPr="005C3598">
        <w:rPr>
          <w:rFonts w:ascii="Arial Black" w:hAnsi="Arial Black"/>
          <w:b w:val="0"/>
          <w:i w:val="0"/>
          <w:sz w:val="24"/>
        </w:rPr>
        <w:t xml:space="preserve">Take Information </w:t>
      </w:r>
      <w:bookmarkEnd w:id="15"/>
    </w:p>
    <w:p w:rsidR="005C3598" w:rsidRDefault="00574D27" w:rsidP="00574D27">
      <w:r>
        <w:t>Applicants are required to</w:t>
      </w:r>
      <w:r w:rsidR="0070469B">
        <w:t xml:space="preserve"> identify the species</w:t>
      </w:r>
      <w:r w:rsidR="00D10BCA">
        <w:t xml:space="preserve">, number of animals </w:t>
      </w:r>
      <w:r w:rsidR="0070469B">
        <w:t>taken by Level B harassment</w:t>
      </w:r>
      <w:r w:rsidR="00D10BCA">
        <w:t>, and location</w:t>
      </w:r>
      <w:r w:rsidR="0070469B">
        <w:t xml:space="preserve"> </w:t>
      </w:r>
      <w:r>
        <w:t>in the form of a table.  This table is used to verify the number of animals</w:t>
      </w:r>
      <w:r w:rsidR="00D10BCA">
        <w:t xml:space="preserve"> by species</w:t>
      </w:r>
      <w:r>
        <w:t xml:space="preserve"> requested to be taken as described in the narrative portion of the project description.</w:t>
      </w:r>
      <w:r w:rsidR="0070469B">
        <w:t xml:space="preserve">  </w:t>
      </w:r>
      <w:r w:rsidR="00D10BCA">
        <w:t>S</w:t>
      </w:r>
      <w:r w:rsidR="00D10BCA" w:rsidRPr="008A5F15">
        <w:t xml:space="preserve">ection 104(b) of the MMPA requires permits to specify the number and kind of marine mammals authorized to be taken, the manner and location of the taking, and the period of validity for the permit.  </w:t>
      </w:r>
      <w:r w:rsidR="0070469B" w:rsidRPr="00D10BCA">
        <w:t xml:space="preserve">Applicable regulations: </w:t>
      </w:r>
      <w:r w:rsidR="00D10BCA" w:rsidRPr="00D10BCA">
        <w:t>50 CFR 216.36(a</w:t>
      </w:r>
      <w:proofErr w:type="gramStart"/>
      <w:r w:rsidR="00D10BCA" w:rsidRPr="00D10BCA">
        <w:t>)(</w:t>
      </w:r>
      <w:proofErr w:type="gramEnd"/>
      <w:r w:rsidR="00D10BCA" w:rsidRPr="00D10BCA">
        <w:t>1)(</w:t>
      </w:r>
      <w:proofErr w:type="spellStart"/>
      <w:r w:rsidR="00D10BCA" w:rsidRPr="00D10BCA">
        <w:t>i</w:t>
      </w:r>
      <w:proofErr w:type="spellEnd"/>
      <w:r w:rsidR="00D10BCA" w:rsidRPr="00D10BCA">
        <w:t>-ii</w:t>
      </w:r>
      <w:r w:rsidR="00D10BCA" w:rsidRPr="00D10BCA">
        <w:t xml:space="preserve">i), </w:t>
      </w:r>
      <w:r w:rsidR="0070469B" w:rsidRPr="00D10BCA">
        <w:t>216.45(b)(2)(</w:t>
      </w:r>
      <w:r w:rsidR="005C3598" w:rsidRPr="00D10BCA">
        <w:t>ii) and (b)(2)(vi).</w:t>
      </w:r>
    </w:p>
    <w:p w:rsidR="00574D27" w:rsidRDefault="00574D27" w:rsidP="00574D27">
      <w:pPr>
        <w:rPr>
          <w:b/>
          <w:i/>
        </w:rPr>
      </w:pPr>
      <w:r>
        <w:t xml:space="preserve">  </w:t>
      </w:r>
    </w:p>
    <w:p w:rsidR="00574D27" w:rsidRPr="005C3598" w:rsidRDefault="00574D27" w:rsidP="00574D27">
      <w:pPr>
        <w:pStyle w:val="Heading2"/>
        <w:spacing w:before="0" w:after="0"/>
        <w:rPr>
          <w:rFonts w:ascii="Arial Black" w:hAnsi="Arial Black"/>
          <w:b w:val="0"/>
          <w:i w:val="0"/>
          <w:iCs w:val="0"/>
          <w:sz w:val="24"/>
        </w:rPr>
      </w:pPr>
      <w:bookmarkStart w:id="17" w:name="_Toc232244926"/>
      <w:r w:rsidRPr="005C3598">
        <w:rPr>
          <w:rFonts w:ascii="Arial Black" w:hAnsi="Arial Black"/>
          <w:b w:val="0"/>
          <w:i w:val="0"/>
          <w:sz w:val="24"/>
        </w:rPr>
        <w:lastRenderedPageBreak/>
        <w:t xml:space="preserve">National Environmental Policy Act (NEPA) Considerations </w:t>
      </w:r>
      <w:bookmarkEnd w:id="17"/>
    </w:p>
    <w:p w:rsidR="00574D27" w:rsidRPr="00B23C53" w:rsidRDefault="00574D27" w:rsidP="00574D27">
      <w:pPr>
        <w:pStyle w:val="mainbold"/>
        <w:spacing w:before="0" w:beforeAutospacing="0"/>
        <w:rPr>
          <w:rFonts w:ascii="Times New Roman" w:hAnsi="Times New Roman"/>
          <w:b w:val="0"/>
          <w:sz w:val="24"/>
          <w:szCs w:val="24"/>
        </w:rPr>
      </w:pPr>
      <w:r w:rsidRPr="00B23C53">
        <w:rPr>
          <w:rFonts w:ascii="Times New Roman" w:hAnsi="Times New Roman"/>
          <w:b w:val="0"/>
          <w:sz w:val="24"/>
          <w:szCs w:val="24"/>
        </w:rPr>
        <w:t>In addition to information contained in other sections of the application as noted, the questions posed in this section of the application are necessary considerations under NEPA.  These questions address such things as whether new or novel techniques will be used and adopted by others (i.e., if a precedent will be set); whether there is risk from hazardous substances or infectious agents; what impacts may occur to unique or protected geographic areas, including refuges, sanctuaries, or critical habitats; whether the work could cause loss or destruction of scientific, cultural, or historic resources; and whether there could be introduction or spread of non-indigenous or invasive species as a result of the permitted acti</w:t>
      </w:r>
      <w:r>
        <w:rPr>
          <w:rFonts w:ascii="Times New Roman" w:hAnsi="Times New Roman"/>
          <w:b w:val="0"/>
          <w:sz w:val="24"/>
          <w:szCs w:val="24"/>
        </w:rPr>
        <w:t>vity</w:t>
      </w:r>
      <w:r w:rsidRPr="006D2AC6">
        <w:rPr>
          <w:rFonts w:ascii="Times New Roman" w:hAnsi="Times New Roman"/>
          <w:b w:val="0"/>
          <w:sz w:val="24"/>
          <w:szCs w:val="24"/>
        </w:rPr>
        <w:t>.  Applicable regulations:  NEPA CEQ regulations.</w:t>
      </w:r>
      <w:r>
        <w:rPr>
          <w:rFonts w:ascii="Times New Roman" w:hAnsi="Times New Roman"/>
          <w:b w:val="0"/>
          <w:sz w:val="24"/>
          <w:szCs w:val="24"/>
        </w:rPr>
        <w:t xml:space="preserve"> </w:t>
      </w:r>
    </w:p>
    <w:p w:rsidR="00C84E75" w:rsidRPr="00B550DC" w:rsidRDefault="00C84E75" w:rsidP="00C84E75"/>
    <w:bookmarkEnd w:id="16"/>
    <w:p w:rsidR="00682834" w:rsidRPr="005C3598" w:rsidRDefault="00682834" w:rsidP="00682834">
      <w:pPr>
        <w:pStyle w:val="mainbold"/>
        <w:spacing w:before="0" w:beforeAutospacing="0"/>
        <w:rPr>
          <w:rFonts w:ascii="Arial Black" w:hAnsi="Arial Black"/>
          <w:b w:val="0"/>
          <w:iCs/>
          <w:sz w:val="24"/>
          <w:szCs w:val="24"/>
        </w:rPr>
      </w:pPr>
      <w:r w:rsidRPr="005C3598">
        <w:rPr>
          <w:rFonts w:ascii="Arial Black" w:hAnsi="Arial Black"/>
          <w:b w:val="0"/>
          <w:iCs/>
          <w:sz w:val="24"/>
          <w:szCs w:val="24"/>
        </w:rPr>
        <w:t xml:space="preserve">Project Contacts </w:t>
      </w:r>
    </w:p>
    <w:p w:rsidR="00682834" w:rsidRPr="00B23C53" w:rsidRDefault="00682834" w:rsidP="00682834">
      <w:pPr>
        <w:pStyle w:val="mainbold"/>
        <w:spacing w:before="0" w:beforeAutospacing="0"/>
        <w:rPr>
          <w:rFonts w:ascii="Times New Roman" w:hAnsi="Times New Roman"/>
          <w:b w:val="0"/>
          <w:sz w:val="24"/>
          <w:szCs w:val="24"/>
        </w:rPr>
      </w:pPr>
      <w:r w:rsidRPr="00B23C53">
        <w:rPr>
          <w:rFonts w:ascii="Times New Roman" w:hAnsi="Times New Roman"/>
          <w:b w:val="0"/>
          <w:sz w:val="24"/>
          <w:szCs w:val="24"/>
        </w:rPr>
        <w:t>This section is necessary for identification and contact purposes</w:t>
      </w:r>
      <w:r w:rsidR="00BE4621">
        <w:rPr>
          <w:rFonts w:ascii="Times New Roman" w:hAnsi="Times New Roman"/>
          <w:b w:val="0"/>
          <w:sz w:val="24"/>
          <w:szCs w:val="24"/>
        </w:rPr>
        <w:t xml:space="preserve"> as well as accountability and enforcement</w:t>
      </w:r>
      <w:r w:rsidRPr="00B23C53">
        <w:rPr>
          <w:rFonts w:ascii="Times New Roman" w:hAnsi="Times New Roman"/>
          <w:b w:val="0"/>
          <w:sz w:val="24"/>
          <w:szCs w:val="24"/>
        </w:rPr>
        <w:t xml:space="preserve">.  </w:t>
      </w:r>
      <w:r w:rsidR="00BE4621">
        <w:rPr>
          <w:rFonts w:ascii="Times New Roman" w:hAnsi="Times New Roman"/>
          <w:b w:val="0"/>
          <w:sz w:val="24"/>
          <w:szCs w:val="24"/>
        </w:rPr>
        <w:t xml:space="preserve">The Principal Investigator/applicant is responsible for the overall project.  The application must include contact information, qualifications, and experience of the applicant and any Co-investigators, relevant to objectives, methodology, or other aspects of the research.  This is necessary to determine if the </w:t>
      </w:r>
      <w:r w:rsidR="00BE4621" w:rsidRPr="00BE4621">
        <w:rPr>
          <w:rFonts w:ascii="Times New Roman" w:hAnsi="Times New Roman"/>
          <w:b w:val="0"/>
          <w:sz w:val="24"/>
          <w:szCs w:val="24"/>
        </w:rPr>
        <w:t xml:space="preserve">individuals operating under the permit are qualified to successfully accomplish the objectives, </w:t>
      </w:r>
      <w:r w:rsidR="00D93F48">
        <w:rPr>
          <w:rFonts w:ascii="Times New Roman" w:hAnsi="Times New Roman"/>
          <w:b w:val="0"/>
          <w:sz w:val="24"/>
          <w:szCs w:val="24"/>
        </w:rPr>
        <w:t xml:space="preserve">whether they have violated any environmental laws, whether they are qualified to be </w:t>
      </w:r>
      <w:r w:rsidR="00BE4621" w:rsidRPr="00BE4621">
        <w:rPr>
          <w:rFonts w:ascii="Times New Roman" w:hAnsi="Times New Roman"/>
          <w:b w:val="0"/>
          <w:sz w:val="24"/>
          <w:szCs w:val="24"/>
        </w:rPr>
        <w:t>conduct</w:t>
      </w:r>
      <w:r w:rsidR="00D93F48">
        <w:rPr>
          <w:rFonts w:ascii="Times New Roman" w:hAnsi="Times New Roman"/>
          <w:b w:val="0"/>
          <w:sz w:val="24"/>
          <w:szCs w:val="24"/>
        </w:rPr>
        <w:t>ing</w:t>
      </w:r>
      <w:r w:rsidR="00BE4621" w:rsidRPr="00BE4621">
        <w:rPr>
          <w:rFonts w:ascii="Times New Roman" w:hAnsi="Times New Roman"/>
          <w:b w:val="0"/>
          <w:sz w:val="24"/>
          <w:szCs w:val="24"/>
        </w:rPr>
        <w:t xml:space="preserve"> bona fide research</w:t>
      </w:r>
      <w:r w:rsidR="00D93F48">
        <w:rPr>
          <w:rFonts w:ascii="Times New Roman" w:hAnsi="Times New Roman"/>
          <w:b w:val="0"/>
          <w:sz w:val="24"/>
          <w:szCs w:val="24"/>
        </w:rPr>
        <w:t xml:space="preserve"> or commercial photography/filming</w:t>
      </w:r>
      <w:r w:rsidR="00BE4621">
        <w:rPr>
          <w:rFonts w:ascii="Times New Roman" w:hAnsi="Times New Roman"/>
          <w:b w:val="0"/>
          <w:sz w:val="24"/>
          <w:szCs w:val="24"/>
        </w:rPr>
        <w:t xml:space="preserve">. </w:t>
      </w:r>
      <w:r w:rsidRPr="00003653">
        <w:rPr>
          <w:rFonts w:ascii="Times New Roman" w:hAnsi="Times New Roman"/>
          <w:b w:val="0"/>
          <w:sz w:val="24"/>
          <w:szCs w:val="24"/>
        </w:rPr>
        <w:t xml:space="preserve">Applicable regulations:  </w:t>
      </w:r>
      <w:r w:rsidRPr="00D10BCA">
        <w:rPr>
          <w:rFonts w:ascii="Times New Roman" w:hAnsi="Times New Roman"/>
          <w:b w:val="0"/>
          <w:sz w:val="24"/>
          <w:szCs w:val="24"/>
        </w:rPr>
        <w:t xml:space="preserve">50 CFR </w:t>
      </w:r>
      <w:r w:rsidR="00D10BCA" w:rsidRPr="00D10BCA">
        <w:rPr>
          <w:rFonts w:ascii="Times New Roman" w:hAnsi="Times New Roman"/>
          <w:b w:val="0"/>
          <w:sz w:val="24"/>
          <w:szCs w:val="24"/>
        </w:rPr>
        <w:t>216.33, 216.35(</w:t>
      </w:r>
      <w:proofErr w:type="spellStart"/>
      <w:r w:rsidR="00D10BCA" w:rsidRPr="00D10BCA">
        <w:rPr>
          <w:rFonts w:ascii="Times New Roman" w:hAnsi="Times New Roman"/>
          <w:b w:val="0"/>
          <w:sz w:val="24"/>
          <w:szCs w:val="24"/>
        </w:rPr>
        <w:t>i</w:t>
      </w:r>
      <w:proofErr w:type="spellEnd"/>
      <w:r w:rsidR="00D10BCA" w:rsidRPr="00D10BCA">
        <w:rPr>
          <w:rFonts w:ascii="Times New Roman" w:hAnsi="Times New Roman"/>
          <w:b w:val="0"/>
          <w:sz w:val="24"/>
          <w:szCs w:val="24"/>
        </w:rPr>
        <w:t xml:space="preserve">), </w:t>
      </w:r>
      <w:r w:rsidRPr="00D10BCA">
        <w:rPr>
          <w:rFonts w:ascii="Times New Roman" w:hAnsi="Times New Roman"/>
          <w:b w:val="0"/>
          <w:sz w:val="24"/>
          <w:szCs w:val="24"/>
        </w:rPr>
        <w:t>216.45(b</w:t>
      </w:r>
      <w:proofErr w:type="gramStart"/>
      <w:r w:rsidRPr="00D10BCA">
        <w:rPr>
          <w:rFonts w:ascii="Times New Roman" w:hAnsi="Times New Roman"/>
          <w:b w:val="0"/>
          <w:sz w:val="24"/>
          <w:szCs w:val="24"/>
        </w:rPr>
        <w:t>)(</w:t>
      </w:r>
      <w:proofErr w:type="gramEnd"/>
      <w:r w:rsidRPr="00D10BCA">
        <w:rPr>
          <w:rFonts w:ascii="Times New Roman" w:hAnsi="Times New Roman"/>
          <w:b w:val="0"/>
          <w:sz w:val="24"/>
          <w:szCs w:val="24"/>
        </w:rPr>
        <w:t>1)</w:t>
      </w:r>
      <w:r w:rsidR="00BE4621" w:rsidRPr="00D10BCA">
        <w:rPr>
          <w:rFonts w:ascii="Times New Roman" w:hAnsi="Times New Roman"/>
          <w:b w:val="0"/>
          <w:sz w:val="24"/>
          <w:szCs w:val="24"/>
        </w:rPr>
        <w:t xml:space="preserve"> and (b)(2)(</w:t>
      </w:r>
      <w:proofErr w:type="spellStart"/>
      <w:r w:rsidR="00BE4621" w:rsidRPr="00D10BCA">
        <w:rPr>
          <w:rFonts w:ascii="Times New Roman" w:hAnsi="Times New Roman"/>
          <w:b w:val="0"/>
          <w:sz w:val="24"/>
          <w:szCs w:val="24"/>
        </w:rPr>
        <w:t>i</w:t>
      </w:r>
      <w:proofErr w:type="spellEnd"/>
      <w:r w:rsidR="00BE4621" w:rsidRPr="00D10BCA">
        <w:rPr>
          <w:rFonts w:ascii="Times New Roman" w:hAnsi="Times New Roman"/>
          <w:b w:val="0"/>
          <w:sz w:val="24"/>
          <w:szCs w:val="24"/>
        </w:rPr>
        <w:t>).</w:t>
      </w:r>
      <w:r w:rsidR="00BE4621">
        <w:rPr>
          <w:rFonts w:ascii="Times New Roman" w:hAnsi="Times New Roman"/>
          <w:b w:val="0"/>
          <w:sz w:val="24"/>
          <w:szCs w:val="24"/>
        </w:rPr>
        <w:t xml:space="preserve">  </w:t>
      </w:r>
      <w:r>
        <w:rPr>
          <w:rFonts w:ascii="Times New Roman" w:hAnsi="Times New Roman"/>
          <w:b w:val="0"/>
          <w:sz w:val="24"/>
          <w:szCs w:val="24"/>
        </w:rPr>
        <w:t xml:space="preserve">  </w:t>
      </w:r>
    </w:p>
    <w:p w:rsidR="00682834" w:rsidRPr="00B23C53" w:rsidRDefault="00682834" w:rsidP="00682834"/>
    <w:p w:rsidR="00C84E75" w:rsidRPr="00F14EB1" w:rsidRDefault="00C84E75" w:rsidP="00C84E75">
      <w:pPr>
        <w:pStyle w:val="Heading2"/>
        <w:spacing w:before="0" w:after="0"/>
        <w:rPr>
          <w:rFonts w:ascii="Arial Black" w:hAnsi="Arial Black"/>
          <w:b w:val="0"/>
          <w:i w:val="0"/>
          <w:iCs w:val="0"/>
          <w:sz w:val="24"/>
        </w:rPr>
      </w:pPr>
      <w:bookmarkStart w:id="18" w:name="_Toc252442355"/>
      <w:bookmarkStart w:id="19" w:name="_Toc350162148"/>
      <w:bookmarkStart w:id="20" w:name="_Toc191453914"/>
      <w:r w:rsidRPr="00F14EB1">
        <w:rPr>
          <w:rFonts w:ascii="Arial Black" w:hAnsi="Arial Black"/>
          <w:b w:val="0"/>
          <w:i w:val="0"/>
          <w:iCs w:val="0"/>
          <w:sz w:val="24"/>
        </w:rPr>
        <w:t>Authentication and Certification</w:t>
      </w:r>
      <w:bookmarkEnd w:id="18"/>
      <w:bookmarkEnd w:id="19"/>
      <w:r w:rsidRPr="00F14EB1">
        <w:rPr>
          <w:rFonts w:ascii="Arial Black" w:hAnsi="Arial Black"/>
          <w:b w:val="0"/>
          <w:i w:val="0"/>
          <w:iCs w:val="0"/>
          <w:sz w:val="24"/>
        </w:rPr>
        <w:t xml:space="preserve"> </w:t>
      </w:r>
    </w:p>
    <w:p w:rsidR="00C84E75" w:rsidRDefault="00682834" w:rsidP="00D10BCA">
      <w:pPr>
        <w:tabs>
          <w:tab w:val="left" w:pos="-1440"/>
        </w:tabs>
      </w:pPr>
      <w:r w:rsidRPr="00543D03">
        <w:t>Applicants must authenticate their identity by signature and certify that the information in the application is accurate</w:t>
      </w:r>
      <w:r>
        <w:t xml:space="preserve"> and in accordance with the MMPA</w:t>
      </w:r>
      <w:r w:rsidRPr="00543D03">
        <w:t xml:space="preserve">.  </w:t>
      </w:r>
      <w:r>
        <w:t xml:space="preserve">Applicable regulations:  </w:t>
      </w:r>
      <w:r w:rsidRPr="00543D03">
        <w:t>50</w:t>
      </w:r>
      <w:r>
        <w:t xml:space="preserve"> CFR 216.33(a) and 216.45(b</w:t>
      </w:r>
      <w:proofErr w:type="gramStart"/>
      <w:r>
        <w:t>)(</w:t>
      </w:r>
      <w:proofErr w:type="gramEnd"/>
      <w:r>
        <w:t>3)</w:t>
      </w:r>
      <w:r w:rsidR="00574D27">
        <w:t>; a</w:t>
      </w:r>
      <w:r w:rsidRPr="00543D03">
        <w:t>lso</w:t>
      </w:r>
      <w:r>
        <w:t xml:space="preserve"> required by 18 U.S.C. 1001.  </w:t>
      </w:r>
    </w:p>
    <w:bookmarkEnd w:id="20"/>
    <w:sectPr w:rsidR="00C84E75" w:rsidSect="00C84E75">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372" w:rsidRDefault="00962372">
      <w:r>
        <w:separator/>
      </w:r>
    </w:p>
  </w:endnote>
  <w:endnote w:type="continuationSeparator" w:id="0">
    <w:p w:rsidR="00962372" w:rsidRDefault="0096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72" w:rsidRDefault="00962372" w:rsidP="00C84E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2372" w:rsidRDefault="00962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372" w:rsidRPr="00137F13" w:rsidRDefault="00962372" w:rsidP="00C84E75">
    <w:pPr>
      <w:pStyle w:val="Footer"/>
      <w:framePr w:wrap="around" w:vAnchor="text" w:hAnchor="margin" w:xAlign="center" w:y="1"/>
      <w:rPr>
        <w:rStyle w:val="PageNumber"/>
        <w:rFonts w:ascii="Arial Black" w:hAnsi="Arial Black"/>
        <w:sz w:val="16"/>
        <w:szCs w:val="16"/>
      </w:rPr>
    </w:pPr>
    <w:r w:rsidRPr="00137F13">
      <w:rPr>
        <w:rStyle w:val="PageNumber"/>
        <w:rFonts w:ascii="Arial Black" w:hAnsi="Arial Black"/>
        <w:sz w:val="16"/>
        <w:szCs w:val="16"/>
      </w:rPr>
      <w:fldChar w:fldCharType="begin"/>
    </w:r>
    <w:r w:rsidRPr="00137F13">
      <w:rPr>
        <w:rStyle w:val="PageNumber"/>
        <w:rFonts w:ascii="Arial Black" w:hAnsi="Arial Black"/>
        <w:sz w:val="16"/>
        <w:szCs w:val="16"/>
      </w:rPr>
      <w:instrText xml:space="preserve">PAGE  </w:instrText>
    </w:r>
    <w:r w:rsidRPr="00137F13">
      <w:rPr>
        <w:rStyle w:val="PageNumber"/>
        <w:rFonts w:ascii="Arial Black" w:hAnsi="Arial Black"/>
        <w:sz w:val="16"/>
        <w:szCs w:val="16"/>
      </w:rPr>
      <w:fldChar w:fldCharType="separate"/>
    </w:r>
    <w:r w:rsidR="008116BD">
      <w:rPr>
        <w:rStyle w:val="PageNumber"/>
        <w:rFonts w:ascii="Arial Black" w:hAnsi="Arial Black"/>
        <w:noProof/>
        <w:sz w:val="16"/>
        <w:szCs w:val="16"/>
      </w:rPr>
      <w:t>4</w:t>
    </w:r>
    <w:r w:rsidRPr="00137F13">
      <w:rPr>
        <w:rStyle w:val="PageNumber"/>
        <w:rFonts w:ascii="Arial Black" w:hAnsi="Arial Black"/>
        <w:sz w:val="16"/>
        <w:szCs w:val="16"/>
      </w:rPr>
      <w:fldChar w:fldCharType="end"/>
    </w:r>
  </w:p>
  <w:p w:rsidR="00962372" w:rsidRDefault="00962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372" w:rsidRDefault="00962372">
      <w:r>
        <w:separator/>
      </w:r>
    </w:p>
  </w:footnote>
  <w:footnote w:type="continuationSeparator" w:id="0">
    <w:p w:rsidR="00962372" w:rsidRDefault="00962372">
      <w:r>
        <w:continuationSeparator/>
      </w:r>
    </w:p>
  </w:footnote>
  <w:footnote w:id="1">
    <w:p w:rsidR="00071F80" w:rsidRPr="00071F80" w:rsidRDefault="00071F80" w:rsidP="00071F80">
      <w:pPr>
        <w:numPr>
          <w:ilvl w:val="12"/>
          <w:numId w:val="0"/>
        </w:numPr>
        <w:rPr>
          <w:sz w:val="20"/>
          <w:szCs w:val="20"/>
        </w:rPr>
      </w:pPr>
      <w:r w:rsidRPr="00854CEA">
        <w:rPr>
          <w:rStyle w:val="FootnoteReference"/>
        </w:rPr>
        <w:footnoteRef/>
      </w:r>
      <w:r w:rsidRPr="00854CEA">
        <w:t xml:space="preserve"> </w:t>
      </w:r>
      <w:r w:rsidRPr="00071F80">
        <w:rPr>
          <w:b/>
          <w:sz w:val="20"/>
          <w:szCs w:val="20"/>
        </w:rPr>
        <w:t>Harassment</w:t>
      </w:r>
      <w:r w:rsidRPr="00071F80">
        <w:rPr>
          <w:sz w:val="20"/>
          <w:szCs w:val="20"/>
        </w:rPr>
        <w:t>: Under the 1994 Amendments to the MMPA, harassment is statutorily defined as, any act of pursuit, torment, or annoyance which—</w:t>
      </w:r>
    </w:p>
    <w:p w:rsidR="00071F80" w:rsidRPr="00071F80" w:rsidRDefault="00071F80" w:rsidP="00071F80">
      <w:pPr>
        <w:numPr>
          <w:ilvl w:val="12"/>
          <w:numId w:val="0"/>
        </w:numPr>
        <w:rPr>
          <w:sz w:val="20"/>
          <w:szCs w:val="20"/>
        </w:rPr>
      </w:pPr>
      <w:r w:rsidRPr="00071F80">
        <w:rPr>
          <w:sz w:val="20"/>
          <w:szCs w:val="20"/>
        </w:rPr>
        <w:t>(</w:t>
      </w:r>
      <w:r w:rsidRPr="00071F80">
        <w:rPr>
          <w:b/>
          <w:sz w:val="20"/>
          <w:szCs w:val="20"/>
        </w:rPr>
        <w:t>Level A harassment</w:t>
      </w:r>
      <w:r w:rsidRPr="00071F80">
        <w:rPr>
          <w:sz w:val="20"/>
          <w:szCs w:val="20"/>
        </w:rPr>
        <w:t xml:space="preserve">) has the potential to injure a marine mammal or marine mammal stock in the wild; or,                                            </w:t>
      </w:r>
    </w:p>
    <w:p w:rsidR="00071F80" w:rsidRPr="00854CEA" w:rsidRDefault="00071F80" w:rsidP="00071F80">
      <w:pPr>
        <w:numPr>
          <w:ilvl w:val="12"/>
          <w:numId w:val="0"/>
        </w:numPr>
      </w:pPr>
      <w:r w:rsidRPr="00071F80">
        <w:rPr>
          <w:sz w:val="20"/>
          <w:szCs w:val="20"/>
        </w:rPr>
        <w:t>(</w:t>
      </w:r>
      <w:r w:rsidRPr="00071F80">
        <w:rPr>
          <w:b/>
          <w:sz w:val="20"/>
          <w:szCs w:val="20"/>
        </w:rPr>
        <w:t>Level B harassment</w:t>
      </w:r>
      <w:r w:rsidRPr="00071F80">
        <w:rPr>
          <w:sz w:val="20"/>
          <w:szCs w:val="20"/>
        </w:rPr>
        <w:t>) has the potential to disturb a marine mammal or marine mammal stock in the wild by causing disruption of behavioral patterns, including, but not limited to, migration, breathing, nursing, breeding, feeding, or sheltering but which does not have the potential to injure a marine mammal or marine mammal stock in the wild.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BA"/>
    <w:multiLevelType w:val="multilevel"/>
    <w:tmpl w:val="50DA15C6"/>
    <w:styleLink w:val="StyleBulleted"/>
    <w:lvl w:ilvl="0">
      <w:start w:val="1"/>
      <w:numFmt w:val="bullet"/>
      <w:lvlText w:val=""/>
      <w:lvlJc w:val="left"/>
      <w:pPr>
        <w:tabs>
          <w:tab w:val="num" w:pos="1440"/>
        </w:tabs>
        <w:ind w:left="1080" w:hanging="360"/>
      </w:pPr>
      <w:rPr>
        <w:rFonts w:ascii="Symbol" w:hAnsi="Symbol"/>
        <w:sz w:val="24"/>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nsid w:val="098F62E2"/>
    <w:multiLevelType w:val="hybridMultilevel"/>
    <w:tmpl w:val="A3D6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1595B"/>
    <w:multiLevelType w:val="hybridMultilevel"/>
    <w:tmpl w:val="B082DEBA"/>
    <w:lvl w:ilvl="0" w:tplc="3E28D3F8">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C7C2894"/>
    <w:multiLevelType w:val="hybridMultilevel"/>
    <w:tmpl w:val="CFDA7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2AB51D0"/>
    <w:multiLevelType w:val="hybridMultilevel"/>
    <w:tmpl w:val="B2725D12"/>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62C599A"/>
    <w:multiLevelType w:val="hybridMultilevel"/>
    <w:tmpl w:val="7430AF68"/>
    <w:lvl w:ilvl="0" w:tplc="724E8D66">
      <w:start w:val="1"/>
      <w:numFmt w:val="bullet"/>
      <w:lvlText w:val=""/>
      <w:lvlJc w:val="left"/>
      <w:pPr>
        <w:tabs>
          <w:tab w:val="num" w:pos="720"/>
        </w:tabs>
        <w:ind w:left="720" w:hanging="360"/>
      </w:pPr>
      <w:rPr>
        <w:rFonts w:ascii="Symbol" w:hAnsi="Symbol" w:hint="default"/>
        <w:b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E2101A"/>
    <w:multiLevelType w:val="hybridMultilevel"/>
    <w:tmpl w:val="CBC4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B5A3E"/>
    <w:multiLevelType w:val="hybridMultilevel"/>
    <w:tmpl w:val="7E726A1A"/>
    <w:lvl w:ilvl="0" w:tplc="3DFECAD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C95A65"/>
    <w:multiLevelType w:val="hybridMultilevel"/>
    <w:tmpl w:val="393E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15158"/>
    <w:multiLevelType w:val="hybridMultilevel"/>
    <w:tmpl w:val="D07CBFE2"/>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A81868"/>
    <w:multiLevelType w:val="hybridMultilevel"/>
    <w:tmpl w:val="19DA0180"/>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6E7B99"/>
    <w:multiLevelType w:val="hybridMultilevel"/>
    <w:tmpl w:val="D780CF04"/>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149132F"/>
    <w:multiLevelType w:val="hybridMultilevel"/>
    <w:tmpl w:val="2D8465B4"/>
    <w:lvl w:ilvl="0" w:tplc="0D085F9C">
      <w:start w:val="1"/>
      <w:numFmt w:val="decimal"/>
      <w:lvlText w:val="%1)"/>
      <w:lvlJc w:val="left"/>
      <w:pPr>
        <w:tabs>
          <w:tab w:val="num" w:pos="360"/>
        </w:tabs>
        <w:ind w:left="360" w:hanging="360"/>
      </w:pPr>
      <w:rPr>
        <w:rFonts w:cs="Times New Roman"/>
        <w:b w:val="0"/>
        <w:i w:val="0"/>
      </w:rPr>
    </w:lvl>
    <w:lvl w:ilvl="1" w:tplc="026C3AD4">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3F4797B"/>
    <w:multiLevelType w:val="hybridMultilevel"/>
    <w:tmpl w:val="C9126B6A"/>
    <w:lvl w:ilvl="0" w:tplc="1BEA1F8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9918E5"/>
    <w:multiLevelType w:val="hybridMultilevel"/>
    <w:tmpl w:val="1B9201A8"/>
    <w:lvl w:ilvl="0" w:tplc="068444EA">
      <w:start w:val="1"/>
      <w:numFmt w:val="bullet"/>
      <w:lvlText w:val=""/>
      <w:lvlJc w:val="left"/>
      <w:pPr>
        <w:tabs>
          <w:tab w:val="num" w:pos="1440"/>
        </w:tabs>
        <w:ind w:left="1440" w:hanging="360"/>
      </w:pPr>
      <w:rPr>
        <w:rFonts w:ascii="Symbol" w:hAnsi="Symbol" w:hint="default"/>
        <w:sz w:val="20"/>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nsid w:val="2B964FC3"/>
    <w:multiLevelType w:val="hybridMultilevel"/>
    <w:tmpl w:val="668805DC"/>
    <w:lvl w:ilvl="0" w:tplc="FF7CC6EC">
      <w:start w:val="1336"/>
      <w:numFmt w:val="bullet"/>
      <w:lvlText w:val=""/>
      <w:lvlJc w:val="left"/>
      <w:pPr>
        <w:tabs>
          <w:tab w:val="num" w:pos="1548"/>
        </w:tabs>
        <w:ind w:left="1548" w:hanging="720"/>
      </w:pPr>
      <w:rPr>
        <w:rFonts w:ascii="Wingdings" w:eastAsia="Times New Roman" w:hAnsi="Wingdings" w:hint="default"/>
        <w:i w:val="0"/>
        <w:sz w:val="5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2FE35044"/>
    <w:multiLevelType w:val="hybridMultilevel"/>
    <w:tmpl w:val="28628BE0"/>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F23B2B"/>
    <w:multiLevelType w:val="hybridMultilevel"/>
    <w:tmpl w:val="48647494"/>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5A63F2"/>
    <w:multiLevelType w:val="hybridMultilevel"/>
    <w:tmpl w:val="143CC9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165C50"/>
    <w:multiLevelType w:val="hybridMultilevel"/>
    <w:tmpl w:val="54D017B4"/>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715F37"/>
    <w:multiLevelType w:val="hybridMultilevel"/>
    <w:tmpl w:val="14C06764"/>
    <w:lvl w:ilvl="0" w:tplc="03226F76">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4AF3782"/>
    <w:multiLevelType w:val="hybridMultilevel"/>
    <w:tmpl w:val="8D6E163E"/>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593350"/>
    <w:multiLevelType w:val="hybridMultilevel"/>
    <w:tmpl w:val="8FB81848"/>
    <w:lvl w:ilvl="0" w:tplc="F9C801C0">
      <w:start w:val="1"/>
      <w:numFmt w:val="bullet"/>
      <w:lvlText w:val=""/>
      <w:lvlJc w:val="left"/>
      <w:pPr>
        <w:tabs>
          <w:tab w:val="num" w:pos="14040"/>
        </w:tabs>
        <w:ind w:left="14040" w:hanging="360"/>
      </w:pPr>
      <w:rPr>
        <w:rFonts w:ascii="Symbol" w:hAnsi="Symbol" w:hint="default"/>
        <w:sz w:val="20"/>
      </w:rPr>
    </w:lvl>
    <w:lvl w:ilvl="1" w:tplc="04090003" w:tentative="1">
      <w:start w:val="1"/>
      <w:numFmt w:val="bullet"/>
      <w:lvlText w:val="o"/>
      <w:lvlJc w:val="left"/>
      <w:pPr>
        <w:tabs>
          <w:tab w:val="num" w:pos="14760"/>
        </w:tabs>
        <w:ind w:left="14760" w:hanging="360"/>
      </w:pPr>
      <w:rPr>
        <w:rFonts w:ascii="Courier New" w:hAnsi="Courier New" w:hint="default"/>
      </w:rPr>
    </w:lvl>
    <w:lvl w:ilvl="2" w:tplc="04090005" w:tentative="1">
      <w:start w:val="1"/>
      <w:numFmt w:val="bullet"/>
      <w:lvlText w:val=""/>
      <w:lvlJc w:val="left"/>
      <w:pPr>
        <w:tabs>
          <w:tab w:val="num" w:pos="15480"/>
        </w:tabs>
        <w:ind w:left="15480" w:hanging="360"/>
      </w:pPr>
      <w:rPr>
        <w:rFonts w:ascii="Wingdings" w:hAnsi="Wingdings" w:hint="default"/>
      </w:rPr>
    </w:lvl>
    <w:lvl w:ilvl="3" w:tplc="04090001" w:tentative="1">
      <w:start w:val="1"/>
      <w:numFmt w:val="bullet"/>
      <w:lvlText w:val=""/>
      <w:lvlJc w:val="left"/>
      <w:pPr>
        <w:tabs>
          <w:tab w:val="num" w:pos="16200"/>
        </w:tabs>
        <w:ind w:left="16200" w:hanging="360"/>
      </w:pPr>
      <w:rPr>
        <w:rFonts w:ascii="Symbol" w:hAnsi="Symbol" w:hint="default"/>
      </w:rPr>
    </w:lvl>
    <w:lvl w:ilvl="4" w:tplc="04090003" w:tentative="1">
      <w:start w:val="1"/>
      <w:numFmt w:val="bullet"/>
      <w:lvlText w:val="o"/>
      <w:lvlJc w:val="left"/>
      <w:pPr>
        <w:tabs>
          <w:tab w:val="num" w:pos="16920"/>
        </w:tabs>
        <w:ind w:left="16920" w:hanging="360"/>
      </w:pPr>
      <w:rPr>
        <w:rFonts w:ascii="Courier New" w:hAnsi="Courier New" w:hint="default"/>
      </w:rPr>
    </w:lvl>
    <w:lvl w:ilvl="5" w:tplc="04090005" w:tentative="1">
      <w:start w:val="1"/>
      <w:numFmt w:val="bullet"/>
      <w:lvlText w:val=""/>
      <w:lvlJc w:val="left"/>
      <w:pPr>
        <w:tabs>
          <w:tab w:val="num" w:pos="17640"/>
        </w:tabs>
        <w:ind w:left="17640" w:hanging="360"/>
      </w:pPr>
      <w:rPr>
        <w:rFonts w:ascii="Wingdings" w:hAnsi="Wingdings" w:hint="default"/>
      </w:rPr>
    </w:lvl>
    <w:lvl w:ilvl="6" w:tplc="04090001" w:tentative="1">
      <w:start w:val="1"/>
      <w:numFmt w:val="bullet"/>
      <w:lvlText w:val=""/>
      <w:lvlJc w:val="left"/>
      <w:pPr>
        <w:tabs>
          <w:tab w:val="num" w:pos="18360"/>
        </w:tabs>
        <w:ind w:left="18360" w:hanging="360"/>
      </w:pPr>
      <w:rPr>
        <w:rFonts w:ascii="Symbol" w:hAnsi="Symbol" w:hint="default"/>
      </w:rPr>
    </w:lvl>
    <w:lvl w:ilvl="7" w:tplc="04090003" w:tentative="1">
      <w:start w:val="1"/>
      <w:numFmt w:val="bullet"/>
      <w:lvlText w:val="o"/>
      <w:lvlJc w:val="left"/>
      <w:pPr>
        <w:tabs>
          <w:tab w:val="num" w:pos="19080"/>
        </w:tabs>
        <w:ind w:left="19080" w:hanging="360"/>
      </w:pPr>
      <w:rPr>
        <w:rFonts w:ascii="Courier New" w:hAnsi="Courier New" w:hint="default"/>
      </w:rPr>
    </w:lvl>
    <w:lvl w:ilvl="8" w:tplc="04090005" w:tentative="1">
      <w:start w:val="1"/>
      <w:numFmt w:val="bullet"/>
      <w:lvlText w:val=""/>
      <w:lvlJc w:val="left"/>
      <w:pPr>
        <w:tabs>
          <w:tab w:val="num" w:pos="19800"/>
        </w:tabs>
        <w:ind w:left="19800" w:hanging="360"/>
      </w:pPr>
      <w:rPr>
        <w:rFonts w:ascii="Wingdings" w:hAnsi="Wingdings" w:hint="default"/>
      </w:rPr>
    </w:lvl>
  </w:abstractNum>
  <w:abstractNum w:abstractNumId="23">
    <w:nsid w:val="45F51707"/>
    <w:multiLevelType w:val="hybridMultilevel"/>
    <w:tmpl w:val="2FB8FA72"/>
    <w:lvl w:ilvl="0" w:tplc="724E8D66">
      <w:start w:val="1"/>
      <w:numFmt w:val="bullet"/>
      <w:lvlText w:val=""/>
      <w:lvlJc w:val="left"/>
      <w:pPr>
        <w:tabs>
          <w:tab w:val="num" w:pos="720"/>
        </w:tabs>
        <w:ind w:left="720" w:hanging="360"/>
      </w:pPr>
      <w:rPr>
        <w:rFonts w:ascii="Symbol" w:hAnsi="Symbol" w:hint="default"/>
        <w:b w:val="0"/>
        <w:sz w:val="20"/>
      </w:rPr>
    </w:lvl>
    <w:lvl w:ilvl="1" w:tplc="817CF486">
      <w:start w:val="1"/>
      <w:numFmt w:val="bullet"/>
      <w:lvlText w:val=""/>
      <w:lvlJc w:val="left"/>
      <w:pPr>
        <w:tabs>
          <w:tab w:val="num" w:pos="1440"/>
        </w:tabs>
        <w:ind w:left="1440" w:hanging="360"/>
      </w:pPr>
      <w:rPr>
        <w:rFonts w:ascii="Symbol" w:hAnsi="Symbol" w:hint="default"/>
        <w:b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7B3E33"/>
    <w:multiLevelType w:val="hybridMultilevel"/>
    <w:tmpl w:val="F1B2EAD8"/>
    <w:lvl w:ilvl="0" w:tplc="DDC0A0B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A0460F"/>
    <w:multiLevelType w:val="hybridMultilevel"/>
    <w:tmpl w:val="52CE1ED8"/>
    <w:lvl w:ilvl="0" w:tplc="04090005">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463B4F"/>
    <w:multiLevelType w:val="hybridMultilevel"/>
    <w:tmpl w:val="0A34E026"/>
    <w:lvl w:ilvl="0" w:tplc="8A6CC374">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3A599D"/>
    <w:multiLevelType w:val="hybridMultilevel"/>
    <w:tmpl w:val="BAEA49A2"/>
    <w:lvl w:ilvl="0" w:tplc="4044BFC6">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BC44245"/>
    <w:multiLevelType w:val="hybridMultilevel"/>
    <w:tmpl w:val="ED4C21D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1902879"/>
    <w:multiLevelType w:val="hybridMultilevel"/>
    <w:tmpl w:val="AA724984"/>
    <w:lvl w:ilvl="0" w:tplc="D0D6355C">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66C71E00"/>
    <w:multiLevelType w:val="hybridMultilevel"/>
    <w:tmpl w:val="AAFE8134"/>
    <w:lvl w:ilvl="0" w:tplc="1220C128">
      <w:start w:val="1"/>
      <w:numFmt w:val="decimal"/>
      <w:lvlText w:val="%1)"/>
      <w:lvlJc w:val="left"/>
      <w:pPr>
        <w:tabs>
          <w:tab w:val="num" w:pos="720"/>
        </w:tabs>
        <w:ind w:left="720" w:hanging="360"/>
      </w:pPr>
      <w:rPr>
        <w:rFonts w:cs="Times New Roman" w:hint="default"/>
        <w:b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BF4EF0"/>
    <w:multiLevelType w:val="hybridMultilevel"/>
    <w:tmpl w:val="BAD2BA5A"/>
    <w:lvl w:ilvl="0" w:tplc="8A6CC37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8E6E46"/>
    <w:multiLevelType w:val="hybridMultilevel"/>
    <w:tmpl w:val="752C8E58"/>
    <w:lvl w:ilvl="0" w:tplc="3DFECAD4">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1D1DC3"/>
    <w:multiLevelType w:val="hybridMultilevel"/>
    <w:tmpl w:val="C3088508"/>
    <w:lvl w:ilvl="0" w:tplc="F37A3A8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D053528"/>
    <w:multiLevelType w:val="hybridMultilevel"/>
    <w:tmpl w:val="2CEEF076"/>
    <w:lvl w:ilvl="0" w:tplc="EB0A5CE8">
      <w:start w:val="1"/>
      <w:numFmt w:val="bullet"/>
      <w:lvlText w:val=""/>
      <w:lvlJc w:val="left"/>
      <w:pPr>
        <w:tabs>
          <w:tab w:val="num" w:pos="1440"/>
        </w:tabs>
        <w:ind w:left="1440" w:hanging="360"/>
      </w:pPr>
      <w:rPr>
        <w:rFonts w:ascii="Symbol" w:hAnsi="Symbol" w:hint="default"/>
        <w:sz w:val="20"/>
      </w:rPr>
    </w:lvl>
    <w:lvl w:ilvl="1" w:tplc="5A3403B8">
      <w:start w:val="1"/>
      <w:numFmt w:val="lowerLetter"/>
      <w:lvlText w:val="%2)"/>
      <w:lvlJc w:val="left"/>
      <w:pPr>
        <w:tabs>
          <w:tab w:val="num" w:pos="1800"/>
        </w:tabs>
        <w:ind w:left="1800" w:hanging="360"/>
      </w:pPr>
      <w:rPr>
        <w:rFonts w:cs="Times New Roman" w:hint="default"/>
        <w:sz w:val="24"/>
        <w:szCs w:val="24"/>
      </w:rPr>
    </w:lvl>
    <w:lvl w:ilvl="2" w:tplc="04090001">
      <w:start w:val="1"/>
      <w:numFmt w:val="bullet"/>
      <w:lvlText w:val=""/>
      <w:lvlJc w:val="left"/>
      <w:pPr>
        <w:tabs>
          <w:tab w:val="num" w:pos="2880"/>
        </w:tabs>
        <w:ind w:left="2880" w:hanging="360"/>
      </w:pPr>
      <w:rPr>
        <w:rFonts w:ascii="Symbol" w:hAnsi="Symbol" w:hint="default"/>
        <w:sz w:val="20"/>
      </w:rPr>
    </w:lvl>
    <w:lvl w:ilvl="3" w:tplc="78249E56">
      <w:start w:val="9"/>
      <w:numFmt w:val="decimal"/>
      <w:lvlText w:val="%4)"/>
      <w:lvlJc w:val="left"/>
      <w:pPr>
        <w:tabs>
          <w:tab w:val="num" w:pos="3600"/>
        </w:tabs>
        <w:ind w:left="3600" w:hanging="360"/>
      </w:pPr>
      <w:rPr>
        <w:rFonts w:cs="Times New Roman" w:hint="default"/>
        <w:b w:val="0"/>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6FDF7F21"/>
    <w:multiLevelType w:val="hybridMultilevel"/>
    <w:tmpl w:val="B768C936"/>
    <w:lvl w:ilvl="0" w:tplc="63D682A2">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4B36DF"/>
    <w:multiLevelType w:val="hybridMultilevel"/>
    <w:tmpl w:val="9A86B6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786E69A2"/>
    <w:multiLevelType w:val="hybridMultilevel"/>
    <w:tmpl w:val="BC0A5606"/>
    <w:lvl w:ilvl="0" w:tplc="C076125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CA252E"/>
    <w:multiLevelType w:val="hybridMultilevel"/>
    <w:tmpl w:val="46F0B880"/>
    <w:lvl w:ilvl="0" w:tplc="A8C401A8">
      <w:start w:val="1"/>
      <w:numFmt w:val="decimal"/>
      <w:lvlText w:val="%1)"/>
      <w:lvlJc w:val="left"/>
      <w:pPr>
        <w:tabs>
          <w:tab w:val="num" w:pos="360"/>
        </w:tabs>
        <w:ind w:left="360" w:hanging="360"/>
      </w:pPr>
      <w:rPr>
        <w:rFonts w:cs="Times New Roman"/>
        <w:b w:val="0"/>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4"/>
  </w:num>
  <w:num w:numId="2">
    <w:abstractNumId w:val="29"/>
  </w:num>
  <w:num w:numId="3">
    <w:abstractNumId w:val="38"/>
  </w:num>
  <w:num w:numId="4">
    <w:abstractNumId w:val="28"/>
  </w:num>
  <w:num w:numId="5">
    <w:abstractNumId w:val="15"/>
  </w:num>
  <w:num w:numId="6">
    <w:abstractNumId w:val="27"/>
  </w:num>
  <w:num w:numId="7">
    <w:abstractNumId w:val="32"/>
  </w:num>
  <w:num w:numId="8">
    <w:abstractNumId w:val="7"/>
  </w:num>
  <w:num w:numId="9">
    <w:abstractNumId w:val="9"/>
  </w:num>
  <w:num w:numId="10">
    <w:abstractNumId w:val="19"/>
  </w:num>
  <w:num w:numId="11">
    <w:abstractNumId w:val="24"/>
  </w:num>
  <w:num w:numId="12">
    <w:abstractNumId w:val="0"/>
  </w:num>
  <w:num w:numId="13">
    <w:abstractNumId w:val="23"/>
  </w:num>
  <w:num w:numId="14">
    <w:abstractNumId w:val="5"/>
  </w:num>
  <w:num w:numId="15">
    <w:abstractNumId w:val="4"/>
  </w:num>
  <w:num w:numId="16">
    <w:abstractNumId w:val="17"/>
  </w:num>
  <w:num w:numId="17">
    <w:abstractNumId w:val="25"/>
  </w:num>
  <w:num w:numId="18">
    <w:abstractNumId w:val="11"/>
  </w:num>
  <w:num w:numId="19">
    <w:abstractNumId w:val="30"/>
  </w:num>
  <w:num w:numId="20">
    <w:abstractNumId w:val="34"/>
  </w:num>
  <w:num w:numId="21">
    <w:abstractNumId w:val="3"/>
  </w:num>
  <w:num w:numId="22">
    <w:abstractNumId w:val="2"/>
  </w:num>
  <w:num w:numId="23">
    <w:abstractNumId w:val="33"/>
  </w:num>
  <w:num w:numId="24">
    <w:abstractNumId w:val="10"/>
  </w:num>
  <w:num w:numId="25">
    <w:abstractNumId w:val="35"/>
  </w:num>
  <w:num w:numId="26">
    <w:abstractNumId w:val="21"/>
  </w:num>
  <w:num w:numId="27">
    <w:abstractNumId w:val="16"/>
  </w:num>
  <w:num w:numId="28">
    <w:abstractNumId w:val="1"/>
  </w:num>
  <w:num w:numId="29">
    <w:abstractNumId w:val="18"/>
  </w:num>
  <w:num w:numId="30">
    <w:abstractNumId w:val="6"/>
  </w:num>
  <w:num w:numId="31">
    <w:abstractNumId w:val="36"/>
  </w:num>
  <w:num w:numId="32">
    <w:abstractNumId w:val="8"/>
  </w:num>
  <w:num w:numId="33">
    <w:abstractNumId w:val="13"/>
  </w:num>
  <w:num w:numId="34">
    <w:abstractNumId w:val="12"/>
  </w:num>
  <w:num w:numId="35">
    <w:abstractNumId w:val="37"/>
  </w:num>
  <w:num w:numId="36">
    <w:abstractNumId w:val="20"/>
  </w:num>
  <w:num w:numId="37">
    <w:abstractNumId w:val="22"/>
  </w:num>
  <w:num w:numId="38">
    <w:abstractNumId w:val="31"/>
  </w:num>
  <w:num w:numId="3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3C"/>
    <w:rsid w:val="00071F80"/>
    <w:rsid w:val="001275E0"/>
    <w:rsid w:val="003A5035"/>
    <w:rsid w:val="003D1CEB"/>
    <w:rsid w:val="00574D27"/>
    <w:rsid w:val="005C3598"/>
    <w:rsid w:val="0061734C"/>
    <w:rsid w:val="0065086E"/>
    <w:rsid w:val="00682834"/>
    <w:rsid w:val="0070469B"/>
    <w:rsid w:val="007D46FD"/>
    <w:rsid w:val="00802BDC"/>
    <w:rsid w:val="008116BD"/>
    <w:rsid w:val="00962372"/>
    <w:rsid w:val="009C613C"/>
    <w:rsid w:val="00B9512C"/>
    <w:rsid w:val="00BB00ED"/>
    <w:rsid w:val="00BE4621"/>
    <w:rsid w:val="00C451F9"/>
    <w:rsid w:val="00C84E75"/>
    <w:rsid w:val="00CE097F"/>
    <w:rsid w:val="00D10BCA"/>
    <w:rsid w:val="00D2771B"/>
    <w:rsid w:val="00D77E9F"/>
    <w:rsid w:val="00D93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F5"/>
    <w:rPr>
      <w:sz w:val="24"/>
      <w:szCs w:val="24"/>
    </w:rPr>
  </w:style>
  <w:style w:type="paragraph" w:styleId="Heading1">
    <w:name w:val="heading 1"/>
    <w:basedOn w:val="Normal"/>
    <w:next w:val="Normal"/>
    <w:link w:val="Heading1Char"/>
    <w:qFormat/>
    <w:rsid w:val="008D29F5"/>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8D29F5"/>
    <w:pPr>
      <w:keepNext/>
      <w:widowControl w:val="0"/>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8D29F5"/>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8D29F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paragraph" w:styleId="BodyText">
    <w:name w:val="Body Text"/>
    <w:basedOn w:val="Normal"/>
    <w:link w:val="BodyTextChar"/>
    <w:rsid w:val="008D29F5"/>
    <w:pPr>
      <w:spacing w:after="240"/>
      <w:jc w:val="both"/>
    </w:pPr>
    <w:rPr>
      <w:lang w:val="x-none" w:eastAsia="x-none"/>
    </w:rPr>
  </w:style>
  <w:style w:type="character" w:customStyle="1" w:styleId="BodyTextChar">
    <w:name w:val="Body Text Char"/>
    <w:link w:val="BodyText"/>
    <w:semiHidden/>
    <w:locked/>
    <w:rPr>
      <w:rFonts w:cs="Times New Roman"/>
      <w:sz w:val="24"/>
      <w:szCs w:val="24"/>
    </w:rPr>
  </w:style>
  <w:style w:type="paragraph" w:customStyle="1" w:styleId="HeaderEven">
    <w:name w:val="Header Even"/>
    <w:basedOn w:val="Header"/>
    <w:rsid w:val="008D29F5"/>
    <w:pPr>
      <w:keepLines/>
    </w:pPr>
    <w:rPr>
      <w:rFonts w:ascii="Arial Black" w:hAnsi="Arial Black"/>
      <w:caps/>
      <w:spacing w:val="60"/>
      <w:sz w:val="14"/>
      <w:szCs w:val="20"/>
    </w:rPr>
  </w:style>
  <w:style w:type="character" w:styleId="Hyperlink">
    <w:name w:val="Hyperlink"/>
    <w:uiPriority w:val="99"/>
    <w:rsid w:val="008D29F5"/>
    <w:rPr>
      <w:rFonts w:cs="Times New Roman"/>
      <w:color w:val="000080"/>
      <w:u w:val="single"/>
    </w:rPr>
  </w:style>
  <w:style w:type="paragraph" w:styleId="Header">
    <w:name w:val="header"/>
    <w:basedOn w:val="Normal"/>
    <w:link w:val="HeaderChar"/>
    <w:rsid w:val="008D29F5"/>
    <w:pPr>
      <w:tabs>
        <w:tab w:val="center" w:pos="4320"/>
        <w:tab w:val="right" w:pos="8640"/>
      </w:tabs>
    </w:pPr>
    <w:rPr>
      <w:lang w:val="x-none" w:eastAsia="x-none"/>
    </w:rPr>
  </w:style>
  <w:style w:type="character" w:customStyle="1" w:styleId="HeaderChar">
    <w:name w:val="Header Char"/>
    <w:link w:val="Header"/>
    <w:semiHidden/>
    <w:locked/>
    <w:rPr>
      <w:rFonts w:cs="Times New Roman"/>
      <w:sz w:val="24"/>
      <w:szCs w:val="24"/>
    </w:rPr>
  </w:style>
  <w:style w:type="paragraph" w:customStyle="1" w:styleId="Level2">
    <w:name w:val="Level 2"/>
    <w:basedOn w:val="Normal"/>
    <w:rsid w:val="008D29F5"/>
    <w:pPr>
      <w:widowControl w:val="0"/>
    </w:pPr>
    <w:rPr>
      <w:szCs w:val="20"/>
    </w:rPr>
  </w:style>
  <w:style w:type="paragraph" w:customStyle="1" w:styleId="Level1">
    <w:name w:val="Level 1"/>
    <w:basedOn w:val="Normal"/>
    <w:rsid w:val="008D29F5"/>
    <w:pPr>
      <w:widowControl w:val="0"/>
    </w:pPr>
    <w:rPr>
      <w:szCs w:val="20"/>
    </w:rPr>
  </w:style>
  <w:style w:type="paragraph" w:styleId="BalloonText">
    <w:name w:val="Balloon Text"/>
    <w:basedOn w:val="Normal"/>
    <w:link w:val="BalloonTextChar"/>
    <w:semiHidden/>
    <w:rsid w:val="008D29F5"/>
    <w:rPr>
      <w:sz w:val="2"/>
      <w:szCs w:val="20"/>
      <w:lang w:val="x-none" w:eastAsia="x-none"/>
    </w:rPr>
  </w:style>
  <w:style w:type="character" w:customStyle="1" w:styleId="BalloonTextChar">
    <w:name w:val="Balloon Text Char"/>
    <w:link w:val="BalloonText"/>
    <w:semiHidden/>
    <w:locked/>
    <w:rPr>
      <w:rFonts w:cs="Times New Roman"/>
      <w:sz w:val="2"/>
    </w:rPr>
  </w:style>
  <w:style w:type="paragraph" w:styleId="BodyText2">
    <w:name w:val="Body Text 2"/>
    <w:basedOn w:val="Normal"/>
    <w:link w:val="BodyText2Char"/>
    <w:rsid w:val="008D29F5"/>
    <w:pPr>
      <w:spacing w:after="120" w:line="480" w:lineRule="auto"/>
    </w:pPr>
    <w:rPr>
      <w:lang w:val="x-none" w:eastAsia="x-none"/>
    </w:r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8D29F5"/>
    <w:pPr>
      <w:spacing w:after="120"/>
    </w:pPr>
    <w:rPr>
      <w:sz w:val="16"/>
      <w:szCs w:val="16"/>
      <w:lang w:val="x-none" w:eastAsia="x-none"/>
    </w:rPr>
  </w:style>
  <w:style w:type="character" w:customStyle="1" w:styleId="BodyText3Char">
    <w:name w:val="Body Text 3 Char"/>
    <w:link w:val="BodyText3"/>
    <w:semiHidden/>
    <w:locked/>
    <w:rPr>
      <w:rFonts w:cs="Times New Roman"/>
      <w:sz w:val="16"/>
      <w:szCs w:val="16"/>
    </w:rPr>
  </w:style>
  <w:style w:type="character" w:styleId="CommentReference">
    <w:name w:val="annotation reference"/>
    <w:semiHidden/>
    <w:rsid w:val="008D29F5"/>
    <w:rPr>
      <w:rFonts w:cs="Times New Roman"/>
      <w:sz w:val="16"/>
    </w:rPr>
  </w:style>
  <w:style w:type="paragraph" w:styleId="CommentText">
    <w:name w:val="annotation text"/>
    <w:basedOn w:val="Normal"/>
    <w:link w:val="CommentTextChar"/>
    <w:semiHidden/>
    <w:rsid w:val="008D29F5"/>
    <w:pPr>
      <w:tabs>
        <w:tab w:val="left" w:pos="187"/>
      </w:tabs>
      <w:spacing w:after="120" w:line="220" w:lineRule="exact"/>
      <w:ind w:left="187" w:hanging="187"/>
    </w:pPr>
    <w:rPr>
      <w:sz w:val="20"/>
      <w:szCs w:val="20"/>
      <w:lang w:val="x-none" w:eastAsia="x-none"/>
    </w:rPr>
  </w:style>
  <w:style w:type="character" w:customStyle="1" w:styleId="CommentTextChar">
    <w:name w:val="Comment Text Char"/>
    <w:link w:val="CommentText"/>
    <w:semiHidden/>
    <w:locked/>
    <w:rPr>
      <w:rFonts w:cs="Times New Roman"/>
      <w:sz w:val="20"/>
      <w:szCs w:val="20"/>
    </w:rPr>
  </w:style>
  <w:style w:type="paragraph" w:customStyle="1" w:styleId="BodyTextKeep">
    <w:name w:val="Body Text Keep"/>
    <w:basedOn w:val="BodyText"/>
    <w:next w:val="BodyText"/>
    <w:rsid w:val="008D29F5"/>
    <w:pPr>
      <w:keepNext/>
    </w:pPr>
  </w:style>
  <w:style w:type="character" w:styleId="FollowedHyperlink">
    <w:name w:val="FollowedHyperlink"/>
    <w:rsid w:val="008D29F5"/>
    <w:rPr>
      <w:rFonts w:cs="Times New Roman"/>
      <w:color w:val="800080"/>
      <w:u w:val="single"/>
    </w:rPr>
  </w:style>
  <w:style w:type="paragraph" w:styleId="CommentSubject">
    <w:name w:val="annotation subject"/>
    <w:basedOn w:val="CommentText"/>
    <w:next w:val="CommentText"/>
    <w:link w:val="CommentSubjectChar"/>
    <w:semiHidden/>
    <w:rsid w:val="008D29F5"/>
    <w:pPr>
      <w:tabs>
        <w:tab w:val="clear" w:pos="187"/>
      </w:tabs>
      <w:spacing w:after="0" w:line="240" w:lineRule="auto"/>
      <w:ind w:left="0" w:firstLine="0"/>
    </w:pPr>
    <w:rPr>
      <w:b/>
      <w:bCs/>
    </w:rPr>
  </w:style>
  <w:style w:type="character" w:customStyle="1" w:styleId="CommentSubjectChar">
    <w:name w:val="Comment Subject Char"/>
    <w:link w:val="CommentSubject"/>
    <w:semiHidden/>
    <w:locked/>
    <w:rPr>
      <w:rFonts w:cs="Times New Roman"/>
      <w:b/>
      <w:bCs/>
      <w:sz w:val="20"/>
      <w:szCs w:val="20"/>
    </w:rPr>
  </w:style>
  <w:style w:type="paragraph" w:styleId="Footer">
    <w:name w:val="footer"/>
    <w:basedOn w:val="Normal"/>
    <w:link w:val="FooterChar"/>
    <w:rsid w:val="008D29F5"/>
    <w:pPr>
      <w:tabs>
        <w:tab w:val="center" w:pos="4320"/>
        <w:tab w:val="right" w:pos="8640"/>
      </w:tabs>
    </w:pPr>
    <w:rPr>
      <w:lang w:val="x-none" w:eastAsia="x-none"/>
    </w:rPr>
  </w:style>
  <w:style w:type="character" w:customStyle="1" w:styleId="FooterChar">
    <w:name w:val="Footer Char"/>
    <w:link w:val="Footer"/>
    <w:semiHidden/>
    <w:locked/>
    <w:rPr>
      <w:rFonts w:cs="Times New Roman"/>
      <w:sz w:val="24"/>
      <w:szCs w:val="24"/>
    </w:rPr>
  </w:style>
  <w:style w:type="character" w:styleId="PageNumber">
    <w:name w:val="page number"/>
    <w:rsid w:val="008D29F5"/>
    <w:rPr>
      <w:rFonts w:cs="Times New Roman"/>
    </w:rPr>
  </w:style>
  <w:style w:type="paragraph" w:customStyle="1" w:styleId="PartLabel">
    <w:name w:val="Part Label"/>
    <w:basedOn w:val="Normal"/>
    <w:next w:val="Normal"/>
    <w:rsid w:val="008D29F5"/>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8D29F5"/>
    <w:pPr>
      <w:keepNext/>
      <w:pageBreakBefore/>
      <w:framePr w:w="2045" w:hSpace="187" w:vSpace="187" w:wrap="notBeside" w:vAnchor="page" w:hAnchor="page" w:x="754" w:y="936"/>
      <w:shd w:val="pct20" w:color="auto" w:fill="auto"/>
      <w:spacing w:line="480" w:lineRule="exact"/>
      <w:jc w:val="center"/>
    </w:pPr>
    <w:rPr>
      <w:spacing w:val="-50"/>
      <w:sz w:val="48"/>
      <w:szCs w:val="20"/>
    </w:rPr>
  </w:style>
  <w:style w:type="character" w:styleId="FootnoteReference">
    <w:name w:val="footnote reference"/>
    <w:semiHidden/>
    <w:rsid w:val="008D29F5"/>
    <w:rPr>
      <w:rFonts w:cs="Times New Roman"/>
    </w:rPr>
  </w:style>
  <w:style w:type="paragraph" w:styleId="FootnoteText">
    <w:name w:val="footnote text"/>
    <w:basedOn w:val="Normal"/>
    <w:link w:val="FootnoteTextChar"/>
    <w:semiHidden/>
    <w:rsid w:val="008D29F5"/>
    <w:pPr>
      <w:widowControl w:val="0"/>
    </w:pPr>
    <w:rPr>
      <w:sz w:val="20"/>
      <w:szCs w:val="20"/>
      <w:lang w:val="x-none" w:eastAsia="x-none"/>
    </w:rPr>
  </w:style>
  <w:style w:type="character" w:customStyle="1" w:styleId="FootnoteTextChar">
    <w:name w:val="Footnote Text Char"/>
    <w:link w:val="FootnoteText"/>
    <w:semiHidden/>
    <w:locked/>
    <w:rPr>
      <w:rFonts w:cs="Times New Roman"/>
      <w:sz w:val="20"/>
      <w:szCs w:val="20"/>
    </w:rPr>
  </w:style>
  <w:style w:type="paragraph" w:styleId="NormalWeb">
    <w:name w:val="Normal (Web)"/>
    <w:basedOn w:val="Normal"/>
    <w:rsid w:val="008D29F5"/>
    <w:pPr>
      <w:spacing w:before="100" w:beforeAutospacing="1" w:after="100" w:afterAutospacing="1"/>
    </w:pPr>
  </w:style>
  <w:style w:type="paragraph" w:styleId="Caption">
    <w:name w:val="caption"/>
    <w:basedOn w:val="Normal"/>
    <w:next w:val="Normal"/>
    <w:qFormat/>
    <w:rsid w:val="008D29F5"/>
    <w:rPr>
      <w:b/>
      <w:bCs/>
      <w:sz w:val="20"/>
      <w:szCs w:val="20"/>
    </w:rPr>
  </w:style>
  <w:style w:type="paragraph" w:customStyle="1" w:styleId="FieldLevel1">
    <w:name w:val="Field Level 1"/>
    <w:basedOn w:val="Normal"/>
    <w:link w:val="FieldLevel1Char"/>
    <w:rsid w:val="008D29F5"/>
    <w:pPr>
      <w:tabs>
        <w:tab w:val="left" w:pos="115"/>
      </w:tabs>
    </w:pPr>
    <w:rPr>
      <w:i/>
    </w:rPr>
  </w:style>
  <w:style w:type="character" w:customStyle="1" w:styleId="FieldLevel1Char">
    <w:name w:val="Field Level 1 Char"/>
    <w:link w:val="FieldLevel1"/>
    <w:locked/>
    <w:rsid w:val="008D29F5"/>
    <w:rPr>
      <w:rFonts w:cs="Times New Roman"/>
      <w:i/>
      <w:sz w:val="24"/>
      <w:szCs w:val="24"/>
      <w:lang w:val="en-US" w:eastAsia="en-US" w:bidi="ar-SA"/>
    </w:rPr>
  </w:style>
  <w:style w:type="character" w:styleId="Strong">
    <w:name w:val="Strong"/>
    <w:qFormat/>
    <w:rsid w:val="008D29F5"/>
    <w:rPr>
      <w:rFonts w:cs="Times New Roman"/>
      <w:b/>
      <w:bCs/>
    </w:rPr>
  </w:style>
  <w:style w:type="paragraph" w:styleId="TOC2">
    <w:name w:val="toc 2"/>
    <w:basedOn w:val="Normal"/>
    <w:next w:val="Normal"/>
    <w:autoRedefine/>
    <w:uiPriority w:val="39"/>
    <w:rsid w:val="008D29F5"/>
    <w:pPr>
      <w:ind w:left="240"/>
    </w:pPr>
    <w:rPr>
      <w:smallCaps/>
      <w:sz w:val="20"/>
      <w:szCs w:val="20"/>
    </w:rPr>
  </w:style>
  <w:style w:type="paragraph" w:styleId="TOC1">
    <w:name w:val="toc 1"/>
    <w:basedOn w:val="Normal"/>
    <w:next w:val="Normal"/>
    <w:autoRedefine/>
    <w:uiPriority w:val="39"/>
    <w:rsid w:val="002927FB"/>
    <w:pPr>
      <w:tabs>
        <w:tab w:val="right" w:leader="dot" w:pos="8630"/>
      </w:tabs>
      <w:spacing w:before="120" w:after="120"/>
    </w:pPr>
    <w:rPr>
      <w:b/>
      <w:bCs/>
      <w:caps/>
      <w:noProof/>
      <w:szCs w:val="20"/>
    </w:rPr>
  </w:style>
  <w:style w:type="paragraph" w:styleId="TOC3">
    <w:name w:val="toc 3"/>
    <w:basedOn w:val="Normal"/>
    <w:next w:val="Normal"/>
    <w:autoRedefine/>
    <w:semiHidden/>
    <w:rsid w:val="008D29F5"/>
    <w:pPr>
      <w:ind w:left="480"/>
    </w:pPr>
    <w:rPr>
      <w:i/>
      <w:iCs/>
      <w:sz w:val="20"/>
      <w:szCs w:val="20"/>
    </w:rPr>
  </w:style>
  <w:style w:type="paragraph" w:styleId="TOC4">
    <w:name w:val="toc 4"/>
    <w:basedOn w:val="Normal"/>
    <w:next w:val="Normal"/>
    <w:autoRedefine/>
    <w:semiHidden/>
    <w:rsid w:val="008D29F5"/>
    <w:pPr>
      <w:ind w:left="720"/>
    </w:pPr>
    <w:rPr>
      <w:sz w:val="18"/>
      <w:szCs w:val="18"/>
    </w:rPr>
  </w:style>
  <w:style w:type="paragraph" w:styleId="TOC5">
    <w:name w:val="toc 5"/>
    <w:basedOn w:val="Normal"/>
    <w:next w:val="Normal"/>
    <w:autoRedefine/>
    <w:semiHidden/>
    <w:rsid w:val="008D29F5"/>
    <w:pPr>
      <w:ind w:left="960"/>
    </w:pPr>
    <w:rPr>
      <w:sz w:val="18"/>
      <w:szCs w:val="18"/>
    </w:rPr>
  </w:style>
  <w:style w:type="paragraph" w:styleId="TOC6">
    <w:name w:val="toc 6"/>
    <w:basedOn w:val="Normal"/>
    <w:next w:val="Normal"/>
    <w:autoRedefine/>
    <w:semiHidden/>
    <w:rsid w:val="008D29F5"/>
    <w:pPr>
      <w:ind w:left="1200"/>
    </w:pPr>
    <w:rPr>
      <w:sz w:val="18"/>
      <w:szCs w:val="18"/>
    </w:rPr>
  </w:style>
  <w:style w:type="paragraph" w:styleId="TOC7">
    <w:name w:val="toc 7"/>
    <w:basedOn w:val="Normal"/>
    <w:next w:val="Normal"/>
    <w:autoRedefine/>
    <w:semiHidden/>
    <w:rsid w:val="008D29F5"/>
    <w:pPr>
      <w:ind w:left="1440"/>
    </w:pPr>
    <w:rPr>
      <w:sz w:val="18"/>
      <w:szCs w:val="18"/>
    </w:rPr>
  </w:style>
  <w:style w:type="paragraph" w:styleId="TOC8">
    <w:name w:val="toc 8"/>
    <w:basedOn w:val="Normal"/>
    <w:next w:val="Normal"/>
    <w:autoRedefine/>
    <w:semiHidden/>
    <w:rsid w:val="008D29F5"/>
    <w:pPr>
      <w:ind w:left="1680"/>
    </w:pPr>
    <w:rPr>
      <w:sz w:val="18"/>
      <w:szCs w:val="18"/>
    </w:rPr>
  </w:style>
  <w:style w:type="paragraph" w:styleId="TOC9">
    <w:name w:val="toc 9"/>
    <w:basedOn w:val="Normal"/>
    <w:next w:val="Normal"/>
    <w:autoRedefine/>
    <w:semiHidden/>
    <w:rsid w:val="008D29F5"/>
    <w:pPr>
      <w:ind w:left="1920"/>
    </w:pPr>
    <w:rPr>
      <w:sz w:val="18"/>
      <w:szCs w:val="18"/>
    </w:rPr>
  </w:style>
  <w:style w:type="table" w:styleId="TableGrid">
    <w:name w:val="Table Grid"/>
    <w:basedOn w:val="TableNormal"/>
    <w:rsid w:val="008D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44043D"/>
    <w:pPr>
      <w:numPr>
        <w:numId w:val="12"/>
      </w:numPr>
    </w:pPr>
  </w:style>
  <w:style w:type="paragraph" w:customStyle="1" w:styleId="mainbold">
    <w:name w:val="mainbold"/>
    <w:basedOn w:val="Normal"/>
    <w:rsid w:val="00D61EF6"/>
    <w:pPr>
      <w:spacing w:before="100" w:beforeAutospacing="1"/>
    </w:pPr>
    <w:rPr>
      <w:rFonts w:ascii="Verdana" w:hAnsi="Verdana"/>
      <w:b/>
      <w:bCs/>
      <w:color w:val="000000"/>
      <w:sz w:val="16"/>
      <w:szCs w:val="16"/>
    </w:rPr>
  </w:style>
  <w:style w:type="paragraph" w:customStyle="1" w:styleId="ColorfulList-Accent11">
    <w:name w:val="Colorful List - Accent 11"/>
    <w:basedOn w:val="Normal"/>
    <w:uiPriority w:val="34"/>
    <w:qFormat/>
    <w:rsid w:val="00EC290E"/>
    <w:pPr>
      <w:ind w:left="720"/>
    </w:pPr>
  </w:style>
  <w:style w:type="paragraph" w:customStyle="1" w:styleId="TOCHeading1">
    <w:name w:val="TOC Heading1"/>
    <w:basedOn w:val="Heading1"/>
    <w:next w:val="Normal"/>
    <w:uiPriority w:val="39"/>
    <w:semiHidden/>
    <w:unhideWhenUsed/>
    <w:qFormat/>
    <w:rsid w:val="009C5E4D"/>
    <w:pPr>
      <w:keepLines/>
      <w:spacing w:before="480" w:after="0" w:line="276" w:lineRule="auto"/>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StyleBullete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fs.noaa.gov/pr/pdfs/laws/mmpa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SEARCH FUNCTION</vt:lpstr>
    </vt:vector>
  </TitlesOfParts>
  <Company>NMFS</Company>
  <LinksUpToDate>false</LinksUpToDate>
  <CharactersWithSpaces>8834</CharactersWithSpaces>
  <SharedDoc>false</SharedDoc>
  <HLinks>
    <vt:vector size="186" baseType="variant">
      <vt:variant>
        <vt:i4>1572984</vt:i4>
      </vt:variant>
      <vt:variant>
        <vt:i4>258</vt:i4>
      </vt:variant>
      <vt:variant>
        <vt:i4>0</vt:i4>
      </vt:variant>
      <vt:variant>
        <vt:i4>5</vt:i4>
      </vt:variant>
      <vt:variant>
        <vt:lpwstr>http://www.nmfs.noaa.gov/pr/pdfs/laws/mmpa104.pdf</vt:lpwstr>
      </vt:variant>
      <vt:variant>
        <vt:lpwstr/>
      </vt:variant>
      <vt:variant>
        <vt:i4>3276878</vt:i4>
      </vt:variant>
      <vt:variant>
        <vt:i4>255</vt:i4>
      </vt:variant>
      <vt:variant>
        <vt:i4>0</vt:i4>
      </vt:variant>
      <vt:variant>
        <vt:i4>5</vt:i4>
      </vt:variant>
      <vt:variant>
        <vt:lpwstr>http://www.gpo.gov/</vt:lpwstr>
      </vt:variant>
      <vt:variant>
        <vt:lpwstr/>
      </vt:variant>
      <vt:variant>
        <vt:i4>5308487</vt:i4>
      </vt:variant>
      <vt:variant>
        <vt:i4>246</vt:i4>
      </vt:variant>
      <vt:variant>
        <vt:i4>0</vt:i4>
      </vt:variant>
      <vt:variant>
        <vt:i4>5</vt:i4>
      </vt:variant>
      <vt:variant>
        <vt:lpwstr>https://apps.nmfs.noaa.gov/docs/appendix_II_personnel_def.pdf</vt:lpwstr>
      </vt:variant>
      <vt:variant>
        <vt:lpwstr/>
      </vt:variant>
      <vt:variant>
        <vt:i4>5308487</vt:i4>
      </vt:variant>
      <vt:variant>
        <vt:i4>201</vt:i4>
      </vt:variant>
      <vt:variant>
        <vt:i4>0</vt:i4>
      </vt:variant>
      <vt:variant>
        <vt:i4>5</vt:i4>
      </vt:variant>
      <vt:variant>
        <vt:lpwstr>https://apps.nmfs.noaa.gov/docs/appendix_II_personnel_def.pdf</vt:lpwstr>
      </vt:variant>
      <vt:variant>
        <vt:lpwstr/>
      </vt:variant>
      <vt:variant>
        <vt:i4>5439490</vt:i4>
      </vt:variant>
      <vt:variant>
        <vt:i4>195</vt:i4>
      </vt:variant>
      <vt:variant>
        <vt:i4>0</vt:i4>
      </vt:variant>
      <vt:variant>
        <vt:i4>5</vt:i4>
      </vt:variant>
      <vt:variant>
        <vt:lpwstr>https://apps.nmfs.noaa.gov/docs/appendix_VIII_well_covered_methods.pdf</vt:lpwstr>
      </vt:variant>
      <vt:variant>
        <vt:lpwstr/>
      </vt:variant>
      <vt:variant>
        <vt:i4>6815862</vt:i4>
      </vt:variant>
      <vt:variant>
        <vt:i4>192</vt:i4>
      </vt:variant>
      <vt:variant>
        <vt:i4>0</vt:i4>
      </vt:variant>
      <vt:variant>
        <vt:i4>5</vt:i4>
      </vt:variant>
      <vt:variant>
        <vt:lpwstr>https://apps.nmfs.noaa.gov/docs/appendix_VII_take_options.pdf</vt:lpwstr>
      </vt:variant>
      <vt:variant>
        <vt:lpwstr/>
      </vt:variant>
      <vt:variant>
        <vt:i4>5439490</vt:i4>
      </vt:variant>
      <vt:variant>
        <vt:i4>135</vt:i4>
      </vt:variant>
      <vt:variant>
        <vt:i4>0</vt:i4>
      </vt:variant>
      <vt:variant>
        <vt:i4>5</vt:i4>
      </vt:variant>
      <vt:variant>
        <vt:lpwstr>https://apps.nmfs.noaa.gov/docs/appendix_VIII_well_covered_methods.pdf</vt:lpwstr>
      </vt:variant>
      <vt:variant>
        <vt:lpwstr/>
      </vt:variant>
      <vt:variant>
        <vt:i4>2621517</vt:i4>
      </vt:variant>
      <vt:variant>
        <vt:i4>132</vt:i4>
      </vt:variant>
      <vt:variant>
        <vt:i4>0</vt:i4>
      </vt:variant>
      <vt:variant>
        <vt:i4>5</vt:i4>
      </vt:variant>
      <vt:variant>
        <vt:lpwstr>https://apps.nmfs.noaa.gov/docs/chapter_1_intro.pdf</vt:lpwstr>
      </vt:variant>
      <vt:variant>
        <vt:lpwstr/>
      </vt:variant>
      <vt:variant>
        <vt:i4>6946855</vt:i4>
      </vt:variant>
      <vt:variant>
        <vt:i4>129</vt:i4>
      </vt:variant>
      <vt:variant>
        <vt:i4>0</vt:i4>
      </vt:variant>
      <vt:variant>
        <vt:i4>5</vt:i4>
      </vt:variant>
      <vt:variant>
        <vt:lpwstr>https://apps.nmfs.noaa.gov/docs/chapter_2_how_to_use_apps.pdf</vt:lpwstr>
      </vt:variant>
      <vt:variant>
        <vt:lpwstr/>
      </vt:variant>
      <vt:variant>
        <vt:i4>6946855</vt:i4>
      </vt:variant>
      <vt:variant>
        <vt:i4>126</vt:i4>
      </vt:variant>
      <vt:variant>
        <vt:i4>0</vt:i4>
      </vt:variant>
      <vt:variant>
        <vt:i4>5</vt:i4>
      </vt:variant>
      <vt:variant>
        <vt:lpwstr>https://apps.nmfs.noaa.gov/docs/chapter_2_how_to_use_apps.pdf</vt:lpwstr>
      </vt:variant>
      <vt:variant>
        <vt:lpwstr/>
      </vt:variant>
      <vt:variant>
        <vt:i4>2621517</vt:i4>
      </vt:variant>
      <vt:variant>
        <vt:i4>123</vt:i4>
      </vt:variant>
      <vt:variant>
        <vt:i4>0</vt:i4>
      </vt:variant>
      <vt:variant>
        <vt:i4>5</vt:i4>
      </vt:variant>
      <vt:variant>
        <vt:lpwstr>https://apps.nmfs.noaa.gov/docs/chapter_1_intro.pdf</vt:lpwstr>
      </vt:variant>
      <vt:variant>
        <vt:lpwstr/>
      </vt:variant>
      <vt:variant>
        <vt:i4>1310720</vt:i4>
      </vt:variant>
      <vt:variant>
        <vt:i4>116</vt:i4>
      </vt:variant>
      <vt:variant>
        <vt:i4>0</vt:i4>
      </vt:variant>
      <vt:variant>
        <vt:i4>5</vt:i4>
      </vt:variant>
      <vt:variant>
        <vt:lpwstr/>
      </vt:variant>
      <vt:variant>
        <vt:lpwstr>_Toc350162154</vt:lpwstr>
      </vt:variant>
      <vt:variant>
        <vt:i4>1310727</vt:i4>
      </vt:variant>
      <vt:variant>
        <vt:i4>110</vt:i4>
      </vt:variant>
      <vt:variant>
        <vt:i4>0</vt:i4>
      </vt:variant>
      <vt:variant>
        <vt:i4>5</vt:i4>
      </vt:variant>
      <vt:variant>
        <vt:lpwstr/>
      </vt:variant>
      <vt:variant>
        <vt:lpwstr>_Toc350162153</vt:lpwstr>
      </vt:variant>
      <vt:variant>
        <vt:i4>1310726</vt:i4>
      </vt:variant>
      <vt:variant>
        <vt:i4>104</vt:i4>
      </vt:variant>
      <vt:variant>
        <vt:i4>0</vt:i4>
      </vt:variant>
      <vt:variant>
        <vt:i4>5</vt:i4>
      </vt:variant>
      <vt:variant>
        <vt:lpwstr/>
      </vt:variant>
      <vt:variant>
        <vt:lpwstr>_Toc350162152</vt:lpwstr>
      </vt:variant>
      <vt:variant>
        <vt:i4>1310725</vt:i4>
      </vt:variant>
      <vt:variant>
        <vt:i4>98</vt:i4>
      </vt:variant>
      <vt:variant>
        <vt:i4>0</vt:i4>
      </vt:variant>
      <vt:variant>
        <vt:i4>5</vt:i4>
      </vt:variant>
      <vt:variant>
        <vt:lpwstr/>
      </vt:variant>
      <vt:variant>
        <vt:lpwstr>_Toc350162151</vt:lpwstr>
      </vt:variant>
      <vt:variant>
        <vt:i4>1310724</vt:i4>
      </vt:variant>
      <vt:variant>
        <vt:i4>92</vt:i4>
      </vt:variant>
      <vt:variant>
        <vt:i4>0</vt:i4>
      </vt:variant>
      <vt:variant>
        <vt:i4>5</vt:i4>
      </vt:variant>
      <vt:variant>
        <vt:lpwstr/>
      </vt:variant>
      <vt:variant>
        <vt:lpwstr>_Toc350162150</vt:lpwstr>
      </vt:variant>
      <vt:variant>
        <vt:i4>1376269</vt:i4>
      </vt:variant>
      <vt:variant>
        <vt:i4>86</vt:i4>
      </vt:variant>
      <vt:variant>
        <vt:i4>0</vt:i4>
      </vt:variant>
      <vt:variant>
        <vt:i4>5</vt:i4>
      </vt:variant>
      <vt:variant>
        <vt:lpwstr/>
      </vt:variant>
      <vt:variant>
        <vt:lpwstr>_Toc350162149</vt:lpwstr>
      </vt:variant>
      <vt:variant>
        <vt:i4>1376268</vt:i4>
      </vt:variant>
      <vt:variant>
        <vt:i4>80</vt:i4>
      </vt:variant>
      <vt:variant>
        <vt:i4>0</vt:i4>
      </vt:variant>
      <vt:variant>
        <vt:i4>5</vt:i4>
      </vt:variant>
      <vt:variant>
        <vt:lpwstr/>
      </vt:variant>
      <vt:variant>
        <vt:lpwstr>_Toc350162148</vt:lpwstr>
      </vt:variant>
      <vt:variant>
        <vt:i4>1376259</vt:i4>
      </vt:variant>
      <vt:variant>
        <vt:i4>74</vt:i4>
      </vt:variant>
      <vt:variant>
        <vt:i4>0</vt:i4>
      </vt:variant>
      <vt:variant>
        <vt:i4>5</vt:i4>
      </vt:variant>
      <vt:variant>
        <vt:lpwstr/>
      </vt:variant>
      <vt:variant>
        <vt:lpwstr>_Toc350162147</vt:lpwstr>
      </vt:variant>
      <vt:variant>
        <vt:i4>1376258</vt:i4>
      </vt:variant>
      <vt:variant>
        <vt:i4>68</vt:i4>
      </vt:variant>
      <vt:variant>
        <vt:i4>0</vt:i4>
      </vt:variant>
      <vt:variant>
        <vt:i4>5</vt:i4>
      </vt:variant>
      <vt:variant>
        <vt:lpwstr/>
      </vt:variant>
      <vt:variant>
        <vt:lpwstr>_Toc350162146</vt:lpwstr>
      </vt:variant>
      <vt:variant>
        <vt:i4>1376257</vt:i4>
      </vt:variant>
      <vt:variant>
        <vt:i4>62</vt:i4>
      </vt:variant>
      <vt:variant>
        <vt:i4>0</vt:i4>
      </vt:variant>
      <vt:variant>
        <vt:i4>5</vt:i4>
      </vt:variant>
      <vt:variant>
        <vt:lpwstr/>
      </vt:variant>
      <vt:variant>
        <vt:lpwstr>_Toc350162145</vt:lpwstr>
      </vt:variant>
      <vt:variant>
        <vt:i4>1376256</vt:i4>
      </vt:variant>
      <vt:variant>
        <vt:i4>56</vt:i4>
      </vt:variant>
      <vt:variant>
        <vt:i4>0</vt:i4>
      </vt:variant>
      <vt:variant>
        <vt:i4>5</vt:i4>
      </vt:variant>
      <vt:variant>
        <vt:lpwstr/>
      </vt:variant>
      <vt:variant>
        <vt:lpwstr>_Toc350162144</vt:lpwstr>
      </vt:variant>
      <vt:variant>
        <vt:i4>1376263</vt:i4>
      </vt:variant>
      <vt:variant>
        <vt:i4>50</vt:i4>
      </vt:variant>
      <vt:variant>
        <vt:i4>0</vt:i4>
      </vt:variant>
      <vt:variant>
        <vt:i4>5</vt:i4>
      </vt:variant>
      <vt:variant>
        <vt:lpwstr/>
      </vt:variant>
      <vt:variant>
        <vt:lpwstr>_Toc350162143</vt:lpwstr>
      </vt:variant>
      <vt:variant>
        <vt:i4>1376262</vt:i4>
      </vt:variant>
      <vt:variant>
        <vt:i4>44</vt:i4>
      </vt:variant>
      <vt:variant>
        <vt:i4>0</vt:i4>
      </vt:variant>
      <vt:variant>
        <vt:i4>5</vt:i4>
      </vt:variant>
      <vt:variant>
        <vt:lpwstr/>
      </vt:variant>
      <vt:variant>
        <vt:lpwstr>_Toc350162142</vt:lpwstr>
      </vt:variant>
      <vt:variant>
        <vt:i4>1376261</vt:i4>
      </vt:variant>
      <vt:variant>
        <vt:i4>38</vt:i4>
      </vt:variant>
      <vt:variant>
        <vt:i4>0</vt:i4>
      </vt:variant>
      <vt:variant>
        <vt:i4>5</vt:i4>
      </vt:variant>
      <vt:variant>
        <vt:lpwstr/>
      </vt:variant>
      <vt:variant>
        <vt:lpwstr>_Toc350162141</vt:lpwstr>
      </vt:variant>
      <vt:variant>
        <vt:i4>1376260</vt:i4>
      </vt:variant>
      <vt:variant>
        <vt:i4>32</vt:i4>
      </vt:variant>
      <vt:variant>
        <vt:i4>0</vt:i4>
      </vt:variant>
      <vt:variant>
        <vt:i4>5</vt:i4>
      </vt:variant>
      <vt:variant>
        <vt:lpwstr/>
      </vt:variant>
      <vt:variant>
        <vt:lpwstr>_Toc350162140</vt:lpwstr>
      </vt:variant>
      <vt:variant>
        <vt:i4>1179661</vt:i4>
      </vt:variant>
      <vt:variant>
        <vt:i4>26</vt:i4>
      </vt:variant>
      <vt:variant>
        <vt:i4>0</vt:i4>
      </vt:variant>
      <vt:variant>
        <vt:i4>5</vt:i4>
      </vt:variant>
      <vt:variant>
        <vt:lpwstr/>
      </vt:variant>
      <vt:variant>
        <vt:lpwstr>_Toc350162139</vt:lpwstr>
      </vt:variant>
      <vt:variant>
        <vt:i4>1179660</vt:i4>
      </vt:variant>
      <vt:variant>
        <vt:i4>20</vt:i4>
      </vt:variant>
      <vt:variant>
        <vt:i4>0</vt:i4>
      </vt:variant>
      <vt:variant>
        <vt:i4>5</vt:i4>
      </vt:variant>
      <vt:variant>
        <vt:lpwstr/>
      </vt:variant>
      <vt:variant>
        <vt:lpwstr>_Toc350162138</vt:lpwstr>
      </vt:variant>
      <vt:variant>
        <vt:i4>1179651</vt:i4>
      </vt:variant>
      <vt:variant>
        <vt:i4>14</vt:i4>
      </vt:variant>
      <vt:variant>
        <vt:i4>0</vt:i4>
      </vt:variant>
      <vt:variant>
        <vt:i4>5</vt:i4>
      </vt:variant>
      <vt:variant>
        <vt:lpwstr/>
      </vt:variant>
      <vt:variant>
        <vt:lpwstr>_Toc350162137</vt:lpwstr>
      </vt:variant>
      <vt:variant>
        <vt:i4>1179650</vt:i4>
      </vt:variant>
      <vt:variant>
        <vt:i4>8</vt:i4>
      </vt:variant>
      <vt:variant>
        <vt:i4>0</vt:i4>
      </vt:variant>
      <vt:variant>
        <vt:i4>5</vt:i4>
      </vt:variant>
      <vt:variant>
        <vt:lpwstr/>
      </vt:variant>
      <vt:variant>
        <vt:lpwstr>_Toc350162136</vt:lpwstr>
      </vt:variant>
      <vt:variant>
        <vt:i4>1179649</vt:i4>
      </vt:variant>
      <vt:variant>
        <vt:i4>2</vt:i4>
      </vt:variant>
      <vt:variant>
        <vt:i4>0</vt:i4>
      </vt:variant>
      <vt:variant>
        <vt:i4>5</vt:i4>
      </vt:variant>
      <vt:variant>
        <vt:lpwstr/>
      </vt:variant>
      <vt:variant>
        <vt:lpwstr>_Toc350162135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FUNCTION</dc:title>
  <dc:creator>Preferred Customer</dc:creator>
  <cp:lastModifiedBy>Amy Sloan</cp:lastModifiedBy>
  <cp:revision>15</cp:revision>
  <cp:lastPrinted>2010-03-31T15:00:00Z</cp:lastPrinted>
  <dcterms:created xsi:type="dcterms:W3CDTF">2013-03-20T17:27:00Z</dcterms:created>
  <dcterms:modified xsi:type="dcterms:W3CDTF">2016-07-26T20:07:00Z</dcterms:modified>
</cp:coreProperties>
</file>