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3345A72E" w:rsidR="003C5E96" w:rsidRPr="00121842" w:rsidRDefault="00C80F93"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2F6A39">
              <w:rPr>
                <w:sz w:val="22"/>
                <w:szCs w:val="22"/>
              </w:rPr>
            </w:r>
            <w:r w:rsidR="002F6A39">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FB30318"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F6A39">
              <w:rPr>
                <w:sz w:val="22"/>
                <w:szCs w:val="22"/>
              </w:rPr>
            </w:r>
            <w:r w:rsidR="002F6A39">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2F6A39">
              <w:rPr>
                <w:sz w:val="22"/>
                <w:szCs w:val="22"/>
              </w:rPr>
            </w:r>
            <w:r w:rsidR="002F6A39">
              <w:rPr>
                <w:sz w:val="22"/>
                <w:szCs w:val="22"/>
              </w:rPr>
              <w:fldChar w:fldCharType="separate"/>
            </w:r>
            <w:r w:rsidR="00C80F93">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6236182F" w:rsidR="00124840"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2F6A39">
              <w:rPr>
                <w:sz w:val="22"/>
                <w:szCs w:val="22"/>
              </w:rPr>
            </w:r>
            <w:r w:rsidR="002F6A3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3B25472" w:rsidR="008344F9"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F6A39">
              <w:rPr>
                <w:sz w:val="22"/>
                <w:szCs w:val="22"/>
              </w:rPr>
            </w:r>
            <w:r w:rsidR="002F6A39">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2F6A39">
              <w:rPr>
                <w:sz w:val="22"/>
                <w:szCs w:val="22"/>
              </w:rPr>
            </w:r>
            <w:r w:rsidR="002F6A39">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52B89479" w:rsidR="00124840" w:rsidRPr="00121842" w:rsidRDefault="00C80F93" w:rsidP="00C80F93">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2BBD361C" w:rsidR="00124840" w:rsidRPr="00121842" w:rsidRDefault="00C80F93" w:rsidP="00C80F93">
            <w:pPr>
              <w:widowControl w:val="0"/>
              <w:rPr>
                <w:b/>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Yes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EE13EB3"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2F6A39">
              <w:rPr>
                <w:sz w:val="22"/>
                <w:szCs w:val="22"/>
              </w:rPr>
            </w:r>
            <w:r w:rsidR="002F6A3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22A2D8F1"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F6A39">
              <w:rPr>
                <w:sz w:val="22"/>
                <w:szCs w:val="22"/>
              </w:rPr>
            </w:r>
            <w:r w:rsidR="002F6A39">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2F6A39">
              <w:rPr>
                <w:sz w:val="22"/>
                <w:szCs w:val="22"/>
              </w:rPr>
            </w:r>
            <w:r w:rsidR="002F6A39">
              <w:rPr>
                <w:sz w:val="22"/>
                <w:szCs w:val="22"/>
              </w:rPr>
              <w:fldChar w:fldCharType="separate"/>
            </w:r>
            <w:r w:rsidR="00C80F93">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12C24D80" w:rsidR="008344F9" w:rsidRPr="00121842" w:rsidRDefault="00C80F93"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2F6A39">
              <w:rPr>
                <w:sz w:val="22"/>
                <w:szCs w:val="22"/>
              </w:rPr>
            </w:r>
            <w:r w:rsidR="002F6A3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2F6A39">
              <w:rPr>
                <w:sz w:val="22"/>
                <w:szCs w:val="22"/>
              </w:rPr>
            </w:r>
            <w:r w:rsidR="002F6A3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F355269" w:rsidR="00124840" w:rsidRPr="00121842" w:rsidRDefault="003C5E96" w:rsidP="00C80F93">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2F6A39">
              <w:rPr>
                <w:sz w:val="22"/>
                <w:szCs w:val="22"/>
              </w:rPr>
            </w:r>
            <w:r w:rsidR="002F6A39">
              <w:rPr>
                <w:sz w:val="22"/>
                <w:szCs w:val="22"/>
              </w:rPr>
              <w:fldChar w:fldCharType="separate"/>
            </w:r>
            <w:r w:rsidRPr="00121842">
              <w:rPr>
                <w:sz w:val="22"/>
                <w:szCs w:val="22"/>
              </w:rPr>
              <w:fldChar w:fldCharType="end"/>
            </w:r>
            <w:r w:rsidRPr="00121842">
              <w:rPr>
                <w:sz w:val="22"/>
                <w:szCs w:val="22"/>
              </w:rPr>
              <w:t xml:space="preserve"> Yes           </w:t>
            </w:r>
            <w:r w:rsidR="00C80F93">
              <w:rPr>
                <w:sz w:val="22"/>
                <w:szCs w:val="22"/>
              </w:rPr>
              <w:fldChar w:fldCharType="begin">
                <w:ffData>
                  <w:name w:val=""/>
                  <w:enabled/>
                  <w:calcOnExit w:val="0"/>
                  <w:checkBox>
                    <w:sizeAuto/>
                    <w:default w:val="1"/>
                  </w:checkBox>
                </w:ffData>
              </w:fldChar>
            </w:r>
            <w:r w:rsidR="00C80F93">
              <w:rPr>
                <w:sz w:val="22"/>
                <w:szCs w:val="22"/>
              </w:rPr>
              <w:instrText xml:space="preserve"> FORMCHECKBOX </w:instrText>
            </w:r>
            <w:r w:rsidR="002F6A39">
              <w:rPr>
                <w:sz w:val="22"/>
                <w:szCs w:val="22"/>
              </w:rPr>
            </w:r>
            <w:r w:rsidR="002F6A39">
              <w:rPr>
                <w:sz w:val="22"/>
                <w:szCs w:val="22"/>
              </w:rPr>
              <w:fldChar w:fldCharType="separate"/>
            </w:r>
            <w:r w:rsidR="00C80F93">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75"/>
        <w:gridCol w:w="1015"/>
        <w:gridCol w:w="816"/>
        <w:gridCol w:w="1910"/>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5EE28028" w:rsidR="006F4F2B" w:rsidRPr="00121842" w:rsidRDefault="00C80F93" w:rsidP="00C55A43">
            <w:pPr>
              <w:pStyle w:val="FormFill-In"/>
            </w:pPr>
            <w:r>
              <w:t>2015</w:t>
            </w:r>
            <w:r w:rsidR="00CB575A">
              <w:t>009</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25B7871" w:rsidR="006F4F2B" w:rsidRPr="00121842" w:rsidRDefault="00CB575A" w:rsidP="00C55A43">
            <w:pPr>
              <w:pStyle w:val="FormFill-In"/>
            </w:pPr>
            <w:r>
              <w:t>028</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A11D19E" w:rsidR="006F4F2B" w:rsidRPr="00121842" w:rsidRDefault="00C80F93" w:rsidP="007B2784">
            <w:pPr>
              <w:pStyle w:val="FormFill-In"/>
            </w:pPr>
            <w:r>
              <w:t>06/1</w:t>
            </w:r>
            <w:r w:rsidR="007B2784">
              <w:t>2</w:t>
            </w:r>
            <w:r>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54EF64E4" w:rsidR="00642212" w:rsidRPr="00C80F93" w:rsidRDefault="00DC460A" w:rsidP="00C80F93">
            <w:pPr>
              <w:ind w:left="1440" w:hanging="1440"/>
            </w:pPr>
            <w:r>
              <w:t xml:space="preserve">Undetermined source, mode of transmission and risk factors for a </w:t>
            </w:r>
            <w:r w:rsidR="00C80F93">
              <w:t xml:space="preserve">Widespread Outbreak of Cholera </w:t>
            </w:r>
            <w:r>
              <w:t>among residents of multiple counties —</w:t>
            </w:r>
            <w:r w:rsidR="00C80F93">
              <w:t xml:space="preserve"> Kenya, 2015 </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61B0DB6A" w:rsidR="00AB6867" w:rsidRPr="00121842" w:rsidRDefault="00AB6867" w:rsidP="0069206A">
            <w:pPr>
              <w:widowControl w:val="0"/>
              <w:rPr>
                <w:sz w:val="22"/>
                <w:szCs w:val="22"/>
              </w:rPr>
            </w:pP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BF71A18" w:rsidR="00AB6867" w:rsidRPr="00121842" w:rsidRDefault="00C80F93" w:rsidP="0069206A">
            <w:pPr>
              <w:widowControl w:val="0"/>
              <w:rPr>
                <w:sz w:val="22"/>
                <w:szCs w:val="22"/>
              </w:rPr>
            </w:pPr>
            <w:r>
              <w:rPr>
                <w:sz w:val="22"/>
                <w:szCs w:val="22"/>
              </w:rPr>
              <w:t>Multiple counties</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66981D7D" w:rsidR="00AB6867" w:rsidRPr="00121842" w:rsidRDefault="00C80F93" w:rsidP="0069206A">
            <w:pPr>
              <w:widowControl w:val="0"/>
              <w:rPr>
                <w:sz w:val="22"/>
                <w:szCs w:val="22"/>
              </w:rPr>
            </w:pPr>
            <w:r>
              <w:rPr>
                <w:sz w:val="22"/>
                <w:szCs w:val="22"/>
              </w:rPr>
              <w:t>Kenya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8"/>
        <w:gridCol w:w="6157"/>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FE65D39" w:rsidR="00AB6867" w:rsidRPr="00121842" w:rsidRDefault="00C80F93" w:rsidP="0069206A">
            <w:pPr>
              <w:widowControl w:val="0"/>
              <w:tabs>
                <w:tab w:val="num" w:pos="360"/>
              </w:tabs>
              <w:rPr>
                <w:sz w:val="22"/>
                <w:szCs w:val="22"/>
              </w:rPr>
            </w:pPr>
            <w:r>
              <w:rPr>
                <w:sz w:val="22"/>
                <w:szCs w:val="22"/>
              </w:rPr>
              <w:t>Kenya Ministry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2F158BE" w:rsidR="00AB6867" w:rsidRPr="00121842" w:rsidRDefault="00C80F93" w:rsidP="0069206A">
            <w:pPr>
              <w:widowControl w:val="0"/>
              <w:tabs>
                <w:tab w:val="num" w:pos="360"/>
              </w:tabs>
              <w:rPr>
                <w:sz w:val="22"/>
                <w:szCs w:val="22"/>
              </w:rPr>
            </w:pPr>
            <w:r>
              <w:t xml:space="preserve">Dr. Nicholas </w:t>
            </w:r>
            <w:proofErr w:type="spellStart"/>
            <w:r>
              <w:t>Muraguri</w:t>
            </w:r>
            <w:proofErr w:type="spellEnd"/>
            <w:r>
              <w:rPr>
                <w:sz w:val="22"/>
                <w:szCs w:val="22"/>
              </w:rPr>
              <w:t xml:space="preserve">, Director of Medical Services </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7D9D97AD" w14:textId="77777777" w:rsidR="00C80F93" w:rsidRPr="00C80F93" w:rsidRDefault="00C80F93" w:rsidP="00C80F93">
            <w:pPr>
              <w:widowControl w:val="0"/>
              <w:jc w:val="both"/>
              <w:rPr>
                <w:noProof/>
                <w:sz w:val="22"/>
                <w:szCs w:val="22"/>
              </w:rPr>
            </w:pPr>
            <w:r w:rsidRPr="00C80F93">
              <w:rPr>
                <w:noProof/>
                <w:sz w:val="22"/>
                <w:szCs w:val="22"/>
              </w:rPr>
              <w:t xml:space="preserve">An multi-county outbreak of cholera in Kenya has caused over 4,000 cases across the country since the beginning of 2015. From ~January 1, 2015 to date, a total of 4,131 cases of cholera have been reported, of which 259 have been laboratory confirmed as </w:t>
            </w:r>
            <w:r w:rsidRPr="00C80F93">
              <w:rPr>
                <w:i/>
                <w:noProof/>
                <w:sz w:val="22"/>
                <w:szCs w:val="22"/>
              </w:rPr>
              <w:t xml:space="preserve">Vibrio cholerae </w:t>
            </w:r>
            <w:r w:rsidRPr="00C80F93">
              <w:rPr>
                <w:noProof/>
                <w:sz w:val="22"/>
                <w:szCs w:val="22"/>
              </w:rPr>
              <w:t xml:space="preserve">O1. Presently, 76 deaths have been reported. At least 14 of the 47 counties in Kenya have reported cases with a range in case fatality proportions from &lt;1% to 6.6%. Highly affected counties include Nairobi, Nakuru, Muranga, Kirinyaga, Embu and Homa Bay. Nairobi county continues to have new cases detected in the infomal settlements of Kibera, Mukuru Kayiaba, Mukuru Reuben, Kawangware, and Mukuru Kwa Njenga. CDC-Atlanta Enteric Diseases Laboratory Branch has confirmed a number of isolates from this outbreak as </w:t>
            </w:r>
            <w:r w:rsidRPr="00C80F93">
              <w:rPr>
                <w:i/>
                <w:noProof/>
                <w:sz w:val="22"/>
                <w:szCs w:val="22"/>
              </w:rPr>
              <w:t>Vibrio cholerae</w:t>
            </w:r>
            <w:r w:rsidRPr="00C80F93">
              <w:rPr>
                <w:noProof/>
                <w:sz w:val="22"/>
                <w:szCs w:val="22"/>
              </w:rPr>
              <w:t xml:space="preserve"> O1 biotype El Tor, serotype Ogawa with susceptibility to doxycycline and resistance to nalidixic acid and furazolidone, and reduced susceptibility to ampicillin and ciprofloxacin.</w:t>
            </w:r>
          </w:p>
          <w:p w14:paraId="21D0CDAC" w14:textId="77777777" w:rsidR="00C80F93" w:rsidRPr="00C80F93" w:rsidRDefault="00C80F93" w:rsidP="00C80F93">
            <w:pPr>
              <w:widowControl w:val="0"/>
              <w:jc w:val="both"/>
              <w:rPr>
                <w:noProof/>
                <w:sz w:val="22"/>
                <w:szCs w:val="22"/>
              </w:rPr>
            </w:pPr>
            <w:r w:rsidRPr="00C80F93">
              <w:rPr>
                <w:noProof/>
                <w:sz w:val="22"/>
                <w:szCs w:val="22"/>
              </w:rPr>
              <w:t xml:space="preserve"> </w:t>
            </w:r>
          </w:p>
          <w:p w14:paraId="626F02B1" w14:textId="77777777" w:rsidR="00C80F93" w:rsidRPr="00C80F93" w:rsidRDefault="00C80F93" w:rsidP="00C80F93">
            <w:pPr>
              <w:widowControl w:val="0"/>
              <w:jc w:val="both"/>
              <w:rPr>
                <w:noProof/>
                <w:sz w:val="22"/>
                <w:szCs w:val="22"/>
              </w:rPr>
            </w:pPr>
            <w:r w:rsidRPr="00C80F93">
              <w:rPr>
                <w:rFonts w:eastAsia="SimSun" w:cs="Courier New"/>
                <w:szCs w:val="20"/>
                <w:lang w:eastAsia="zh-CN"/>
              </w:rPr>
              <w:t>The Kenyan Ministry of Health (</w:t>
            </w:r>
            <w:proofErr w:type="spellStart"/>
            <w:r w:rsidRPr="00C80F93">
              <w:rPr>
                <w:rFonts w:eastAsia="SimSun" w:cs="Courier New"/>
                <w:szCs w:val="20"/>
                <w:lang w:eastAsia="zh-CN"/>
              </w:rPr>
              <w:t>MoH</w:t>
            </w:r>
            <w:proofErr w:type="spellEnd"/>
            <w:r w:rsidRPr="00C80F93">
              <w:rPr>
                <w:rFonts w:eastAsia="SimSun" w:cs="Courier New"/>
                <w:szCs w:val="20"/>
                <w:lang w:eastAsia="zh-CN"/>
              </w:rPr>
              <w:t xml:space="preserve">) in partnership with the Field Epidemiology and </w:t>
            </w:r>
            <w:r w:rsidRPr="00C80F93">
              <w:rPr>
                <w:rFonts w:eastAsia="SimSun" w:cs="Courier New"/>
                <w:szCs w:val="20"/>
                <w:lang w:eastAsia="zh-CN"/>
              </w:rPr>
              <w:lastRenderedPageBreak/>
              <w:t xml:space="preserve">Laboratory Training Program (FELTP) are investigating the outbreak and implementing ongoing response efforts. </w:t>
            </w:r>
            <w:r w:rsidRPr="00C80F93">
              <w:rPr>
                <w:noProof/>
                <w:sz w:val="22"/>
                <w:szCs w:val="22"/>
              </w:rPr>
              <w:t xml:space="preserve">On June 3, 2015, the Kenya MoH contacted CDC to request assistance with the epidemiological and laboratory investigation of this ongoing and widespread cholera outbreak. </w:t>
            </w:r>
          </w:p>
          <w:p w14:paraId="66EBC33F" w14:textId="77777777" w:rsidR="00C80F93" w:rsidRPr="00C80F93" w:rsidRDefault="00C80F93" w:rsidP="00C80F93">
            <w:pPr>
              <w:widowControl w:val="0"/>
              <w:jc w:val="both"/>
              <w:rPr>
                <w:noProof/>
                <w:sz w:val="22"/>
                <w:szCs w:val="22"/>
              </w:rPr>
            </w:pPr>
          </w:p>
          <w:p w14:paraId="22FD3520" w14:textId="5FF75BCC" w:rsidR="00C80F93" w:rsidRDefault="00C80F93" w:rsidP="00C80F93">
            <w:pPr>
              <w:pStyle w:val="FormFill-In"/>
              <w:keepNext/>
              <w:keepLines/>
              <w:rPr>
                <w:noProof/>
              </w:rPr>
            </w:pPr>
            <w:r>
              <w:rPr>
                <w:sz w:val="24"/>
              </w:rPr>
              <w:t>The objectives of the investigation are to provide technical assistance to the Kenyan Ministry of Health with the investigation of</w:t>
            </w:r>
            <w:r w:rsidRPr="000C6C69">
              <w:rPr>
                <w:sz w:val="24"/>
              </w:rPr>
              <w:t xml:space="preserve"> a</w:t>
            </w:r>
            <w:r>
              <w:rPr>
                <w:sz w:val="24"/>
              </w:rPr>
              <w:t xml:space="preserve">n outbreak of cholera in multiple counties of Kenya. This will involve </w:t>
            </w:r>
            <w:r w:rsidR="008F26AC">
              <w:rPr>
                <w:sz w:val="24"/>
              </w:rPr>
              <w:t xml:space="preserve">a) conduct a community questionnaire to assess </w:t>
            </w:r>
            <w:r w:rsidR="008F26AC">
              <w:t>risk factors for transmission, and knowledge, attitudes and practices of cholera transmission and prevention</w:t>
            </w:r>
            <w:r w:rsidR="008F26AC">
              <w:rPr>
                <w:sz w:val="24"/>
              </w:rPr>
              <w:t xml:space="preserve"> b</w:t>
            </w:r>
            <w:r>
              <w:rPr>
                <w:sz w:val="24"/>
              </w:rPr>
              <w:t xml:space="preserve">) evaluating the </w:t>
            </w:r>
            <w:r w:rsidRPr="00375B35">
              <w:rPr>
                <w:sz w:val="24"/>
              </w:rPr>
              <w:t>outbreak</w:t>
            </w:r>
            <w:r>
              <w:rPr>
                <w:sz w:val="24"/>
              </w:rPr>
              <w:t xml:space="preserve"> response to date; </w:t>
            </w:r>
            <w:r w:rsidR="008F26AC">
              <w:rPr>
                <w:sz w:val="24"/>
              </w:rPr>
              <w:t>c</w:t>
            </w:r>
            <w:r>
              <w:rPr>
                <w:sz w:val="24"/>
              </w:rPr>
              <w:t xml:space="preserve">) reviewing surveillance and laboratory data, and prevention measures, and make recommendations for </w:t>
            </w:r>
            <w:r w:rsidRPr="003F4D10">
              <w:rPr>
                <w:sz w:val="24"/>
              </w:rPr>
              <w:t>prevent</w:t>
            </w:r>
            <w:r>
              <w:rPr>
                <w:sz w:val="24"/>
              </w:rPr>
              <w:t>ing</w:t>
            </w:r>
            <w:r w:rsidRPr="003F4D10">
              <w:rPr>
                <w:sz w:val="24"/>
              </w:rPr>
              <w:t xml:space="preserve"> </w:t>
            </w:r>
            <w:r>
              <w:rPr>
                <w:sz w:val="24"/>
              </w:rPr>
              <w:t>further transmission</w:t>
            </w:r>
            <w:r w:rsidRPr="00B82F67">
              <w:rPr>
                <w:noProof/>
              </w:rPr>
              <w:t xml:space="preserve">; </w:t>
            </w:r>
            <w:r w:rsidR="008F26AC">
              <w:rPr>
                <w:noProof/>
              </w:rPr>
              <w:t>d</w:t>
            </w:r>
            <w:r>
              <w:rPr>
                <w:noProof/>
              </w:rPr>
              <w:t xml:space="preserve">) evaluating of how changes in the </w:t>
            </w:r>
            <w:r w:rsidRPr="00B82F67">
              <w:rPr>
                <w:noProof/>
              </w:rPr>
              <w:t xml:space="preserve">public </w:t>
            </w:r>
            <w:r>
              <w:rPr>
                <w:noProof/>
              </w:rPr>
              <w:t xml:space="preserve">health structure in Kenya (i.e. decentralization) </w:t>
            </w:r>
            <w:r w:rsidRPr="00B82F67">
              <w:rPr>
                <w:noProof/>
              </w:rPr>
              <w:t xml:space="preserve">may have affected efforts to </w:t>
            </w:r>
            <w:r>
              <w:rPr>
                <w:noProof/>
              </w:rPr>
              <w:t xml:space="preserve">respond to the </w:t>
            </w:r>
            <w:r w:rsidRPr="00B82F67">
              <w:rPr>
                <w:noProof/>
              </w:rPr>
              <w:t>outbreak and prevent its spread</w:t>
            </w:r>
            <w:r w:rsidR="00170E9C">
              <w:rPr>
                <w:noProof/>
              </w:rPr>
              <w:t>; e)</w:t>
            </w:r>
            <w:r w:rsidR="00170E9C">
              <w:t xml:space="preserve"> CDC will assist with the laboratory investigation to include culture, antimicrobial susceptibility patterns, sub-typing, and whole genome sequencing for </w:t>
            </w:r>
            <w:r w:rsidR="00170E9C" w:rsidRPr="00C80F93">
              <w:rPr>
                <w:i/>
                <w:noProof/>
              </w:rPr>
              <w:t xml:space="preserve">Vibrio cholerae </w:t>
            </w:r>
            <w:r w:rsidR="00170E9C" w:rsidRPr="00C80F93">
              <w:rPr>
                <w:noProof/>
              </w:rPr>
              <w:t>O1</w:t>
            </w:r>
            <w:r w:rsidR="00170E9C">
              <w:t xml:space="preserve"> in de-identified clinical and environmental samples.</w:t>
            </w:r>
            <w:r w:rsidR="00406C33">
              <w:t xml:space="preserve"> </w:t>
            </w:r>
            <w:r w:rsidR="00406C33" w:rsidRPr="00B60139">
              <w:t xml:space="preserve">Specimen collection, storage, and transport will </w:t>
            </w:r>
            <w:r w:rsidR="006C7BC8">
              <w:t xml:space="preserve">be </w:t>
            </w:r>
            <w:r w:rsidR="00406C33" w:rsidRPr="00B60139">
              <w:t>done according to local procedures and protocols.</w:t>
            </w:r>
            <w:r w:rsidR="00CB575A">
              <w:t xml:space="preserve"> </w:t>
            </w:r>
            <w:r w:rsidR="00B304A0">
              <w:rPr>
                <w:noProof/>
              </w:rPr>
              <w:t>Should the Ministry of Health require any future research</w:t>
            </w:r>
            <w:r w:rsidR="00CB575A">
              <w:rPr>
                <w:noProof/>
              </w:rPr>
              <w:t xml:space="preserve"> </w:t>
            </w:r>
            <w:r w:rsidR="00B304A0">
              <w:rPr>
                <w:noProof/>
              </w:rPr>
              <w:t>of banked specimens a specific research ptotocol will be developed and sumbitted for Institution</w:t>
            </w:r>
            <w:r w:rsidR="00CB575A">
              <w:rPr>
                <w:noProof/>
              </w:rPr>
              <w:t>a</w:t>
            </w:r>
            <w:r w:rsidR="00B304A0">
              <w:rPr>
                <w:noProof/>
              </w:rPr>
              <w:t xml:space="preserve">l Review Board determination. </w:t>
            </w:r>
          </w:p>
          <w:p w14:paraId="4AB03121" w14:textId="77777777" w:rsidR="00C80F93" w:rsidRDefault="00C80F93" w:rsidP="00C80F93">
            <w:pPr>
              <w:pStyle w:val="FormFill-In"/>
              <w:keepNext/>
              <w:keepLines/>
              <w:rPr>
                <w:noProof/>
              </w:rPr>
            </w:pPr>
            <w:bookmarkStart w:id="2" w:name="_GoBack"/>
            <w:bookmarkEnd w:id="2"/>
          </w:p>
          <w:p w14:paraId="4705B175" w14:textId="47C2DAF8" w:rsidR="005C03EC" w:rsidRDefault="00C80F93" w:rsidP="005C03EC">
            <w:pPr>
              <w:pStyle w:val="FormFill-In"/>
              <w:keepNext/>
              <w:keepLines/>
              <w:rPr>
                <w:sz w:val="24"/>
              </w:rPr>
            </w:pPr>
            <w:r>
              <w:rPr>
                <w:noProof/>
              </w:rPr>
              <w:t xml:space="preserve">The </w:t>
            </w:r>
            <w:r w:rsidR="005C03EC">
              <w:rPr>
                <w:noProof/>
              </w:rPr>
              <w:t>planned investigation will describe</w:t>
            </w:r>
            <w:r>
              <w:rPr>
                <w:noProof/>
              </w:rPr>
              <w:t xml:space="preserve"> the cholera outbreak</w:t>
            </w:r>
            <w:r w:rsidR="005C03EC">
              <w:rPr>
                <w:noProof/>
              </w:rPr>
              <w:t xml:space="preserve"> both epidemiologically and in the laboratory </w:t>
            </w:r>
            <w:r w:rsidR="008F26AC" w:rsidRPr="002F6A39">
              <w:rPr>
                <w:noProof/>
                <w:color w:val="auto"/>
              </w:rPr>
              <w:t>context</w:t>
            </w:r>
            <w:r w:rsidR="005C03EC" w:rsidRPr="002F6A39">
              <w:rPr>
                <w:noProof/>
                <w:color w:val="auto"/>
              </w:rPr>
              <w:t xml:space="preserve"> </w:t>
            </w:r>
            <w:r w:rsidR="008F26AC" w:rsidRPr="002F6A39">
              <w:rPr>
                <w:noProof/>
                <w:color w:val="auto"/>
              </w:rPr>
              <w:t>for</w:t>
            </w:r>
            <w:r w:rsidR="005C03EC" w:rsidRPr="002F6A39">
              <w:rPr>
                <w:noProof/>
                <w:color w:val="auto"/>
              </w:rPr>
              <w:t xml:space="preserve"> making recommendations for controling the outbreak and preventing further spread of cholera. </w:t>
            </w:r>
            <w:r w:rsidR="002F6A39" w:rsidRPr="002F6A39">
              <w:rPr>
                <w:color w:val="auto"/>
              </w:rPr>
              <w:t xml:space="preserve">Cholera is a notifiable disease in Kenya and as such the data is collected and maintained by the Ministry of Health. </w:t>
            </w:r>
            <w:r w:rsidR="00B304A0" w:rsidRPr="002F6A39">
              <w:rPr>
                <w:noProof/>
                <w:color w:val="auto"/>
              </w:rPr>
              <w:t>Retrospective and prospective</w:t>
            </w:r>
            <w:r w:rsidR="002F6A39" w:rsidRPr="002F6A39">
              <w:rPr>
                <w:noProof/>
                <w:color w:val="auto"/>
              </w:rPr>
              <w:t>ly collected</w:t>
            </w:r>
            <w:r w:rsidR="00B304A0" w:rsidRPr="002F6A39">
              <w:rPr>
                <w:noProof/>
                <w:color w:val="auto"/>
              </w:rPr>
              <w:t xml:space="preserve">  s</w:t>
            </w:r>
            <w:r w:rsidR="005C03EC" w:rsidRPr="002F6A39">
              <w:rPr>
                <w:noProof/>
                <w:color w:val="auto"/>
              </w:rPr>
              <w:t xml:space="preserve">urveillance and laboratory data </w:t>
            </w:r>
            <w:r w:rsidR="002F6A39" w:rsidRPr="002F6A39">
              <w:rPr>
                <w:noProof/>
                <w:color w:val="auto"/>
              </w:rPr>
              <w:t xml:space="preserve">collected by the Ministry of Health </w:t>
            </w:r>
            <w:r w:rsidR="005C03EC" w:rsidRPr="002F6A39">
              <w:rPr>
                <w:noProof/>
                <w:color w:val="auto"/>
              </w:rPr>
              <w:t>will be analysed. In addition, questionnaires will be administered to a random selection of households</w:t>
            </w:r>
            <w:r w:rsidR="005C03EC">
              <w:rPr>
                <w:noProof/>
              </w:rPr>
              <w:t xml:space="preserve">, and healthcare workers at facilities treating cholera patients in a number of affected counties. These data combined will be used to </w:t>
            </w:r>
            <w:r w:rsidR="005C03EC">
              <w:rPr>
                <w:sz w:val="24"/>
              </w:rPr>
              <w:t xml:space="preserve">evaluating the </w:t>
            </w:r>
            <w:r w:rsidR="005C03EC" w:rsidRPr="00375B35">
              <w:rPr>
                <w:sz w:val="24"/>
              </w:rPr>
              <w:t>outbreak</w:t>
            </w:r>
            <w:r w:rsidR="005C03EC">
              <w:rPr>
                <w:sz w:val="24"/>
              </w:rPr>
              <w:t xml:space="preserve"> response. </w:t>
            </w:r>
          </w:p>
          <w:p w14:paraId="0E79D62F" w14:textId="77777777" w:rsidR="0011739B" w:rsidRDefault="0011739B" w:rsidP="0011739B"/>
          <w:p w14:paraId="5C727BBD" w14:textId="5105622A" w:rsidR="001503EF" w:rsidRPr="001503EF" w:rsidRDefault="0011739B" w:rsidP="001503EF">
            <w:r>
              <w:t xml:space="preserve">The questionnaires will be administered in-person to community members at their homes </w:t>
            </w:r>
            <w:r w:rsidR="005212DB">
              <w:t xml:space="preserve">(Appendix 1 - English Version) </w:t>
            </w:r>
            <w:r>
              <w:t>or to health facility staff at health facilities</w:t>
            </w:r>
            <w:r w:rsidR="005212DB">
              <w:t xml:space="preserve"> (Appendix 2 - English Version)</w:t>
            </w:r>
            <w:r>
              <w:t xml:space="preserve">. </w:t>
            </w:r>
            <w:r w:rsidR="001503EF">
              <w:t xml:space="preserve">Standardized questionnaires will be administered by trained </w:t>
            </w:r>
            <w:r w:rsidR="005B0715">
              <w:t xml:space="preserve">Kenyan </w:t>
            </w:r>
            <w:r w:rsidR="001503EF">
              <w:t xml:space="preserve">enumerators to assess </w:t>
            </w:r>
            <w:r w:rsidR="0074487A">
              <w:t xml:space="preserve">risk factors for transmission, and </w:t>
            </w:r>
            <w:r w:rsidR="001503EF">
              <w:t xml:space="preserve">knowledge of cholera transmission and prevention, and for health care workers </w:t>
            </w:r>
            <w:r w:rsidR="005B0715">
              <w:t xml:space="preserve">to assess knowledge regarding </w:t>
            </w:r>
            <w:r w:rsidR="001503EF">
              <w:t>the physical signs and treatment of dehydration</w:t>
            </w:r>
            <w:r w:rsidR="00CB575A">
              <w:t>, hygiene</w:t>
            </w:r>
            <w:r w:rsidR="001503EF">
              <w:t xml:space="preserve">, and treatment practices such as the administration of </w:t>
            </w:r>
            <w:r w:rsidR="0074487A">
              <w:t>intravenous fluids and oral rehydration salts</w:t>
            </w:r>
            <w:r w:rsidR="001503EF">
              <w:t xml:space="preserve">. </w:t>
            </w:r>
            <w:r w:rsidR="004472C1">
              <w:t>CDC also will assist with the</w:t>
            </w:r>
            <w:r>
              <w:t xml:space="preserve"> laboratory investigation to include whole genome sequencing for </w:t>
            </w:r>
            <w:r w:rsidRPr="00C80F93">
              <w:rPr>
                <w:i/>
                <w:noProof/>
                <w:sz w:val="22"/>
                <w:szCs w:val="22"/>
              </w:rPr>
              <w:t xml:space="preserve">Vibrio cholerae </w:t>
            </w:r>
            <w:r w:rsidRPr="00C80F93">
              <w:rPr>
                <w:noProof/>
                <w:sz w:val="22"/>
                <w:szCs w:val="22"/>
              </w:rPr>
              <w:t>O1</w:t>
            </w:r>
            <w:r>
              <w:t xml:space="preserve"> in de-identified clinical </w:t>
            </w:r>
            <w:r w:rsidR="00184B83">
              <w:t xml:space="preserve">from cholera patients </w:t>
            </w:r>
            <w:r>
              <w:t>and environmental samples</w:t>
            </w:r>
            <w:r w:rsidR="00184B83">
              <w:t xml:space="preserve"> (e.g. water or food)</w:t>
            </w:r>
            <w:r w:rsidR="005B0715">
              <w:t>.</w:t>
            </w:r>
            <w:r>
              <w:t xml:space="preserve"> </w:t>
            </w:r>
            <w:r w:rsidR="00337389">
              <w:t xml:space="preserve">All patient samples will be collected by either the Kenya Ministry of Health or by healthcare workers as part of a patient’s course of care. CDC will not collect patient clinical samples. </w:t>
            </w:r>
            <w:r>
              <w:t>CDC investigators will not have access to personally identifiable laboratory data, nor will they have access to any other identifying information</w:t>
            </w:r>
            <w:r w:rsidR="001503EF">
              <w:t>. Informed consent will be obtained from all survey respondents.</w:t>
            </w:r>
          </w:p>
          <w:p w14:paraId="7F69A2D1" w14:textId="21F02D77" w:rsidR="006C5D7D" w:rsidRPr="001503EF" w:rsidRDefault="006C5D7D" w:rsidP="001503EF"/>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2F6A39">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FF4DD05"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386D2B" w:rsidRPr="00121842">
        <w:t>Undetermined source</w:t>
      </w:r>
    </w:p>
    <w:p w14:paraId="49EFD6D5" w14:textId="2ACDE3A1" w:rsidR="00F67737" w:rsidRPr="00121842" w:rsidRDefault="001503EF" w:rsidP="00392637">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B5A3E85" w:rsidR="00F67737" w:rsidRPr="00121842" w:rsidRDefault="001503EF" w:rsidP="00392637">
      <w:pPr>
        <w:pStyle w:val="Normal1space"/>
      </w:pPr>
      <w:r>
        <w:lastRenderedPageBreak/>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6EB91E4E" w:rsidR="0072214F" w:rsidRPr="00121842" w:rsidRDefault="008F26AC"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2F6A39">
        <w:rPr>
          <w:bCs/>
          <w:sz w:val="22"/>
          <w:szCs w:val="22"/>
        </w:rPr>
      </w:r>
      <w:r w:rsidR="002F6A39">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21DE2601" w:rsidR="0072214F" w:rsidRPr="00121842" w:rsidRDefault="00E64E6B" w:rsidP="0074487A">
            <w:pPr>
              <w:widowControl w:val="0"/>
              <w:rPr>
                <w:bCs/>
                <w:sz w:val="22"/>
                <w:szCs w:val="22"/>
              </w:rPr>
            </w:pPr>
            <w:r>
              <w:rPr>
                <w:bCs/>
                <w:sz w:val="22"/>
                <w:szCs w:val="22"/>
              </w:rPr>
              <w:t>Adult c</w:t>
            </w:r>
            <w:r w:rsidR="001503EF">
              <w:rPr>
                <w:bCs/>
                <w:sz w:val="22"/>
                <w:szCs w:val="22"/>
              </w:rPr>
              <w:t xml:space="preserve">ommunity </w:t>
            </w:r>
            <w:proofErr w:type="gramStart"/>
            <w:r w:rsidR="0074487A">
              <w:rPr>
                <w:bCs/>
                <w:sz w:val="22"/>
                <w:szCs w:val="22"/>
              </w:rPr>
              <w:t>members</w:t>
            </w:r>
            <w:proofErr w:type="gramEnd"/>
            <w:r w:rsidR="0074487A">
              <w:rPr>
                <w:bCs/>
                <w:sz w:val="22"/>
                <w:szCs w:val="22"/>
              </w:rPr>
              <w:t xml:space="preserve"> ≥</w:t>
            </w:r>
            <w:r>
              <w:rPr>
                <w:bCs/>
                <w:sz w:val="22"/>
                <w:szCs w:val="22"/>
              </w:rPr>
              <w:t xml:space="preserve">18 years old </w:t>
            </w:r>
            <w:r w:rsidR="001503EF">
              <w:rPr>
                <w:bCs/>
                <w:sz w:val="22"/>
                <w:szCs w:val="22"/>
              </w:rPr>
              <w:t xml:space="preserve">will be </w:t>
            </w:r>
            <w:r>
              <w:rPr>
                <w:bCs/>
                <w:sz w:val="22"/>
                <w:szCs w:val="22"/>
              </w:rPr>
              <w:t xml:space="preserve">interviewed </w:t>
            </w:r>
            <w:r w:rsidR="0074487A">
              <w:t>to assess risk factors for transmission, and knowledge, attitudes and practices of cholera transmission and prevention</w:t>
            </w:r>
            <w:r w:rsidR="005212DB">
              <w:t>. (Appendix 1)</w:t>
            </w:r>
          </w:p>
        </w:tc>
      </w:tr>
    </w:tbl>
    <w:p w14:paraId="23E1BC45" w14:textId="4ECC9916" w:rsidR="0072214F" w:rsidRPr="00121842" w:rsidRDefault="008F26AC"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2F6A39">
        <w:rPr>
          <w:bCs/>
          <w:sz w:val="22"/>
          <w:szCs w:val="22"/>
        </w:rPr>
      </w:r>
      <w:r w:rsidR="002F6A39">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6264B22D" w:rsidR="0072214F" w:rsidRPr="00121842" w:rsidRDefault="0074487A" w:rsidP="00A53563">
            <w:r>
              <w:t xml:space="preserve">Health care workers </w:t>
            </w:r>
            <w:r>
              <w:rPr>
                <w:bCs/>
                <w:sz w:val="22"/>
                <w:szCs w:val="22"/>
              </w:rPr>
              <w:t xml:space="preserve">will be interviewed </w:t>
            </w:r>
            <w:r>
              <w:t xml:space="preserve">to assess knowledge regarding the physical signs and treatment of dehydration, hygiene, and treatment practices such as the administration of intravenous fluids and oral rehydration salts. </w:t>
            </w:r>
            <w:r w:rsidR="005212DB">
              <w:t>(Appendix 2)</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237D196C" w:rsidR="0072214F" w:rsidRPr="00121842" w:rsidRDefault="00FD37C3" w:rsidP="00FD37C3">
            <w:r>
              <w:t xml:space="preserve">Villages within affected counties that met pre-defined criteria will be randomly selected in a number of affected counties. In turn, participants in the community will be randomly selected using an electronic random number generator from available lists of village residents/census information. The exact methodology will be determined in collaboration with the Ministry of Health during the investigation.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48C07ECF" w:rsidR="00EF082D" w:rsidRPr="00121842" w:rsidRDefault="00FD37C3"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2F6A39">
        <w:rPr>
          <w:bCs/>
          <w:sz w:val="22"/>
          <w:szCs w:val="22"/>
        </w:rPr>
      </w:r>
      <w:r w:rsidR="002F6A39">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28EA6D2" w:rsidR="00C124F0" w:rsidRPr="00121842" w:rsidRDefault="00FD37C3" w:rsidP="00C55A43">
      <w:pPr>
        <w:pStyle w:val="Normalspace"/>
        <w:ind w:left="900"/>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20A77301" w:rsidR="006D2338" w:rsidRPr="00121842" w:rsidRDefault="00FD37C3" w:rsidP="00FD37C3">
            <w:r>
              <w:t xml:space="preserve">To describe the epidemiology of the outbreak, and assess the response capabilities in order to </w:t>
            </w:r>
            <w:r>
              <w:rPr>
                <w:noProof/>
              </w:rPr>
              <w:t>to make recommendations for controling the outbreak and preventing further spread of cholera</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AEE4D6A" w:rsidR="00EC3CF1" w:rsidRPr="00121842" w:rsidRDefault="004472C1" w:rsidP="00C55A43">
      <w:pPr>
        <w:pStyle w:val="Normalspace"/>
        <w:ind w:left="270"/>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4472C1">
        <w:trPr>
          <w:trHeight w:val="440"/>
        </w:trPr>
        <w:tc>
          <w:tcPr>
            <w:tcW w:w="8658" w:type="dxa"/>
            <w:shd w:val="clear" w:color="auto" w:fill="D9D9D9" w:themeFill="background1" w:themeFillShade="D9"/>
          </w:tcPr>
          <w:p w14:paraId="1EC3AB36" w14:textId="62EE4516" w:rsidR="00EC3CF1" w:rsidRPr="00121842" w:rsidRDefault="00337389" w:rsidP="00D7006C">
            <w:pPr>
              <w:widowControl w:val="0"/>
              <w:rPr>
                <w:sz w:val="22"/>
                <w:szCs w:val="22"/>
              </w:rPr>
            </w:pPr>
            <w:r>
              <w:t>Clinical or environmental s</w:t>
            </w:r>
            <w:r w:rsidR="00406C33">
              <w:t xml:space="preserve">pecimens collected will be forwarded to </w:t>
            </w:r>
            <w:r w:rsidR="004472C1">
              <w:t>CDC</w:t>
            </w:r>
            <w:r w:rsidR="00406C33">
              <w:t>-</w:t>
            </w:r>
            <w:r w:rsidR="00406C33">
              <w:rPr>
                <w:sz w:val="22"/>
                <w:szCs w:val="22"/>
              </w:rPr>
              <w:t xml:space="preserve"> Enteric Diseases Laboratory Branch for</w:t>
            </w:r>
            <w:r w:rsidR="00406C33" w:rsidDel="00406C33">
              <w:t xml:space="preserve"> </w:t>
            </w:r>
            <w:r w:rsidR="004472C1">
              <w:t xml:space="preserve">culture, antimicrobial susceptibility patterns, </w:t>
            </w:r>
            <w:r w:rsidR="00F13D25">
              <w:t xml:space="preserve">sub-typing, </w:t>
            </w:r>
            <w:r w:rsidR="004472C1">
              <w:t xml:space="preserve">and whole genome sequencing for </w:t>
            </w:r>
            <w:r w:rsidR="004472C1" w:rsidRPr="00C80F93">
              <w:rPr>
                <w:i/>
                <w:noProof/>
                <w:sz w:val="22"/>
                <w:szCs w:val="22"/>
              </w:rPr>
              <w:t xml:space="preserve">Vibrio cholerae </w:t>
            </w:r>
            <w:r w:rsidR="004472C1" w:rsidRPr="00C80F93">
              <w:rPr>
                <w:noProof/>
                <w:sz w:val="22"/>
                <w:szCs w:val="22"/>
              </w:rPr>
              <w:t>O1</w:t>
            </w:r>
            <w:r w:rsidR="004472C1">
              <w:t xml:space="preserve"> in de-identified clinical and environmental samples.</w:t>
            </w:r>
            <w:r>
              <w:t xml:space="preserve"> Clinical specimens </w:t>
            </w:r>
            <w:r w:rsidR="00D7006C">
              <w:t xml:space="preserve">of cholera patients </w:t>
            </w:r>
            <w:r>
              <w:t xml:space="preserve">will be collected by </w:t>
            </w:r>
            <w:r w:rsidR="00D7006C">
              <w:t>either the Kenya Ministry of Health or by healthcare workers as part of a patient’s course of care. All s</w:t>
            </w:r>
            <w:r w:rsidR="00406C33" w:rsidRPr="00B60139">
              <w:rPr>
                <w:sz w:val="22"/>
                <w:szCs w:val="22"/>
              </w:rPr>
              <w:t xml:space="preserve">pecimen collection, storage, and transport will </w:t>
            </w:r>
            <w:r w:rsidR="006C7BC8">
              <w:rPr>
                <w:sz w:val="22"/>
                <w:szCs w:val="22"/>
              </w:rPr>
              <w:t xml:space="preserve">be </w:t>
            </w:r>
            <w:r w:rsidR="00406C33" w:rsidRPr="00B60139">
              <w:rPr>
                <w:sz w:val="22"/>
                <w:szCs w:val="22"/>
              </w:rPr>
              <w:t>done according to local procedures and protocols.</w:t>
            </w:r>
            <w:r w:rsidR="00406C33">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E09AC6F" w:rsidR="0012286F" w:rsidRPr="00121842" w:rsidRDefault="00F13D25"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2F6A39">
        <w:rPr>
          <w:bCs/>
          <w:sz w:val="22"/>
          <w:szCs w:val="22"/>
        </w:rPr>
      </w:r>
      <w:r w:rsidR="002F6A39">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7B8F37D" w:rsidR="00AD4CF2"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690527CA" w:rsidR="00AD4CF2" w:rsidRPr="00121842" w:rsidRDefault="00F13D25" w:rsidP="003A075A">
            <w:r>
              <w:t>We will interview a</w:t>
            </w:r>
            <w:r>
              <w:rPr>
                <w:bCs/>
                <w:sz w:val="22"/>
                <w:szCs w:val="22"/>
              </w:rPr>
              <w:t xml:space="preserve">dult community </w:t>
            </w:r>
            <w:proofErr w:type="gramStart"/>
            <w:r w:rsidR="003A075A">
              <w:rPr>
                <w:bCs/>
                <w:sz w:val="22"/>
                <w:szCs w:val="22"/>
              </w:rPr>
              <w:t>members</w:t>
            </w:r>
            <w:proofErr w:type="gramEnd"/>
            <w:r w:rsidR="003A075A">
              <w:rPr>
                <w:bCs/>
                <w:sz w:val="22"/>
                <w:szCs w:val="22"/>
              </w:rPr>
              <w:t xml:space="preserve"> </w:t>
            </w:r>
            <w:r>
              <w:rPr>
                <w:bCs/>
                <w:sz w:val="22"/>
                <w:szCs w:val="22"/>
              </w:rPr>
              <w:t>≥18 years old and health care providers (medical officers, clinical officers, and nurses).</w:t>
            </w:r>
            <w:r w:rsidR="003A075A">
              <w:rPr>
                <w:bCs/>
                <w:sz w:val="22"/>
                <w:szCs w:val="22"/>
              </w:rPr>
              <w:t xml:space="preserve"> For community members we will ask to </w:t>
            </w:r>
            <w:r w:rsidR="003A075A" w:rsidRPr="003A075A">
              <w:rPr>
                <w:bCs/>
                <w:sz w:val="22"/>
                <w:szCs w:val="22"/>
              </w:rPr>
              <w:t>speak to the person in the home who usually takes care of the ill family members and brings the water for the family</w:t>
            </w:r>
            <w:r w:rsidR="003A075A">
              <w:rPr>
                <w:bCs/>
                <w:sz w:val="22"/>
                <w:szCs w:val="22"/>
              </w:rPr>
              <w:t>.</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67ED9160" w:rsidR="00985F9A" w:rsidRPr="00121842" w:rsidRDefault="00406C33" w:rsidP="005E7EED">
      <w:pPr>
        <w:pStyle w:val="Normalspace"/>
        <w:ind w:left="270"/>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7E35F349" w:rsidR="00AD4CF2" w:rsidRPr="00121842" w:rsidRDefault="00771ED5" w:rsidP="00337389">
            <w:pPr>
              <w:widowControl w:val="0"/>
              <w:rPr>
                <w:sz w:val="22"/>
                <w:szCs w:val="22"/>
              </w:rPr>
            </w:pPr>
            <w:r w:rsidRPr="00771ED5">
              <w:t xml:space="preserve">Clinical specimens will be collected from suspect cholera </w:t>
            </w:r>
            <w:proofErr w:type="gramStart"/>
            <w:r w:rsidRPr="00771ED5">
              <w:t>patients, that</w:t>
            </w:r>
            <w:proofErr w:type="gramEnd"/>
            <w:r w:rsidRPr="00771ED5">
              <w:t xml:space="preserve"> is patients with acute watery diarrhea. </w:t>
            </w:r>
            <w:r w:rsidR="00337389">
              <w:t>Specimens will be collected by either the Kenya Ministry of Health or by healthcare workers as part of a patient’s course of care. The s</w:t>
            </w:r>
            <w:r w:rsidR="00406C33" w:rsidRPr="00771ED5">
              <w:t>pecimens collected will be forwarded to CDC-</w:t>
            </w:r>
            <w:r w:rsidR="00406C33" w:rsidRPr="00771ED5">
              <w:rPr>
                <w:sz w:val="22"/>
                <w:szCs w:val="22"/>
              </w:rPr>
              <w:t xml:space="preserve"> Enteric Diseases Laboratory Branch for</w:t>
            </w:r>
            <w:r w:rsidR="00406C33" w:rsidRPr="00771ED5" w:rsidDel="00406C33">
              <w:t xml:space="preserve"> </w:t>
            </w:r>
            <w:r w:rsidR="00406C33" w:rsidRPr="00771ED5">
              <w:t>culture</w:t>
            </w:r>
            <w:r w:rsidR="00406C33">
              <w:t xml:space="preserve">, antimicrobial susceptibility patterns, sub-typing, and whole genome sequencing for </w:t>
            </w:r>
            <w:r w:rsidR="00406C33" w:rsidRPr="00C80F93">
              <w:rPr>
                <w:i/>
                <w:noProof/>
                <w:sz w:val="22"/>
                <w:szCs w:val="22"/>
              </w:rPr>
              <w:t xml:space="preserve">Vibrio cholerae </w:t>
            </w:r>
            <w:r w:rsidR="00406C33" w:rsidRPr="00C80F93">
              <w:rPr>
                <w:noProof/>
                <w:sz w:val="22"/>
                <w:szCs w:val="22"/>
              </w:rPr>
              <w:t>O1</w:t>
            </w:r>
            <w:r w:rsidR="00406C33">
              <w:t xml:space="preserve"> in de-identified clinical and environmental samples. </w:t>
            </w:r>
            <w:r w:rsidR="00337389">
              <w:t>CDC will not collect any clinical specimens from cholera patients.</w:t>
            </w:r>
          </w:p>
        </w:tc>
      </w:tr>
    </w:tbl>
    <w:p w14:paraId="6808276E" w14:textId="1FEF0D15" w:rsidR="006373F0" w:rsidRPr="00121842" w:rsidRDefault="00406C33" w:rsidP="005E7EED">
      <w:pPr>
        <w:pStyle w:val="Normalspace"/>
        <w:ind w:left="270"/>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0C11AA32" w:rsidR="00AD4CF2" w:rsidRPr="00121842" w:rsidRDefault="00B304A0" w:rsidP="00DE6EAD">
            <w:pPr>
              <w:widowControl w:val="0"/>
              <w:rPr>
                <w:sz w:val="22"/>
                <w:szCs w:val="22"/>
              </w:rPr>
            </w:pPr>
            <w:r>
              <w:t>With Ministry of Health approval, environmental samples</w:t>
            </w:r>
            <w:r w:rsidR="00771ED5">
              <w:t xml:space="preserve"> (e.g. water or food)</w:t>
            </w:r>
            <w:r w:rsidR="00406C33">
              <w:t xml:space="preserve"> </w:t>
            </w:r>
            <w:r>
              <w:t>may</w:t>
            </w:r>
            <w:r w:rsidR="00406C33">
              <w:t xml:space="preserve"> be forwarded to CDC-</w:t>
            </w:r>
            <w:r>
              <w:rPr>
                <w:sz w:val="22"/>
                <w:szCs w:val="22"/>
              </w:rPr>
              <w:t xml:space="preserve">Waterborne Diseases Prevention Branch, Environmental Laboratory for confirmatory testing, if this capability does not currently exist in country. </w:t>
            </w:r>
            <w:r w:rsidR="00406C33">
              <w:t xml:space="preserve">. </w:t>
            </w: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D81AD8E"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508521B8" w:rsidR="006F405C" w:rsidRPr="00121842" w:rsidRDefault="00F13D25" w:rsidP="00F13D25">
            <w:pPr>
              <w:widowControl w:val="0"/>
              <w:rPr>
                <w:sz w:val="22"/>
                <w:szCs w:val="22"/>
              </w:rPr>
            </w:pPr>
            <w:r>
              <w:t xml:space="preserve">Questions regarding water sanitation and hygiene practices </w:t>
            </w:r>
          </w:p>
        </w:tc>
      </w:tr>
    </w:tbl>
    <w:p w14:paraId="0A9F644F" w14:textId="42EBD1F7"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6F36A6D2" w:rsidR="00364DE4" w:rsidRPr="00121842" w:rsidRDefault="00F13D25" w:rsidP="009E2877">
            <w:pPr>
              <w:widowControl w:val="0"/>
              <w:rPr>
                <w:sz w:val="22"/>
                <w:szCs w:val="22"/>
              </w:rPr>
            </w:pPr>
            <w:r>
              <w:rPr>
                <w:sz w:val="22"/>
                <w:szCs w:val="22"/>
              </w:rPr>
              <w:t>Description of symptoms, physical signs and treatment practices</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6BD7E5EC" w:rsidR="006F405C" w:rsidRPr="00121842" w:rsidRDefault="00F13D25" w:rsidP="009E2877">
            <w:pPr>
              <w:widowControl w:val="0"/>
              <w:rPr>
                <w:sz w:val="22"/>
                <w:szCs w:val="22"/>
              </w:rPr>
            </w:pPr>
            <w:r>
              <w:rPr>
                <w:sz w:val="22"/>
                <w:szCs w:val="22"/>
              </w:rPr>
              <w:t>Not needed</w:t>
            </w:r>
          </w:p>
        </w:tc>
      </w:tr>
    </w:tbl>
    <w:p w14:paraId="61341AE7" w14:textId="6BE2BF1A" w:rsidR="006702DB"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549C6E0B" w:rsidR="006F405C" w:rsidRPr="00121842" w:rsidRDefault="00F13D25" w:rsidP="009E2877">
            <w:pPr>
              <w:widowControl w:val="0"/>
              <w:rPr>
                <w:sz w:val="22"/>
                <w:szCs w:val="22"/>
              </w:rPr>
            </w:pPr>
            <w:r>
              <w:rPr>
                <w:sz w:val="22"/>
                <w:szCs w:val="22"/>
              </w:rPr>
              <w:t>Age, sex, tribe, education level, profession</w:t>
            </w:r>
          </w:p>
        </w:tc>
      </w:tr>
    </w:tbl>
    <w:p w14:paraId="374EDC16" w14:textId="74CA487F"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155A79E1" w:rsidR="006F405C" w:rsidRPr="00121842" w:rsidRDefault="00F13D25" w:rsidP="00F13D25">
            <w:pPr>
              <w:widowControl w:val="0"/>
              <w:rPr>
                <w:sz w:val="22"/>
                <w:szCs w:val="22"/>
              </w:rPr>
            </w:pPr>
            <w:r>
              <w:t>water sanitation and hygiene questions</w:t>
            </w:r>
          </w:p>
        </w:tc>
      </w:tr>
    </w:tbl>
    <w:p w14:paraId="1FAB00DF" w14:textId="0F4C1A50"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61FA1993" w:rsidR="006F405C" w:rsidRPr="00121842" w:rsidRDefault="00F13D25" w:rsidP="009E2877">
            <w:pPr>
              <w:widowControl w:val="0"/>
              <w:rPr>
                <w:sz w:val="22"/>
                <w:szCs w:val="22"/>
              </w:rPr>
            </w:pPr>
            <w:r>
              <w:rPr>
                <w:sz w:val="22"/>
                <w:szCs w:val="22"/>
              </w:rPr>
              <w:t>Water, food, person to person, ill contacts, sewage</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759A315F" w:rsidR="00CE1038"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5C3D91B9" w:rsidR="006F405C" w:rsidRPr="00121842" w:rsidRDefault="00F13D25" w:rsidP="00F13D25">
            <w:pPr>
              <w:widowControl w:val="0"/>
              <w:rPr>
                <w:sz w:val="22"/>
                <w:szCs w:val="22"/>
              </w:rPr>
            </w:pPr>
            <w:r>
              <w:rPr>
                <w:sz w:val="22"/>
                <w:szCs w:val="22"/>
              </w:rPr>
              <w:t>Age, sex,</w:t>
            </w:r>
            <w:r w:rsidRPr="00F13D25">
              <w:rPr>
                <w:sz w:val="22"/>
                <w:szCs w:val="22"/>
              </w:rPr>
              <w:t xml:space="preserve"> education level, </w:t>
            </w:r>
            <w:r>
              <w:rPr>
                <w:sz w:val="22"/>
                <w:szCs w:val="22"/>
              </w:rPr>
              <w:t xml:space="preserve">type of food consumed, sources of water consumed </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37650033" w:rsidR="00957E47" w:rsidRPr="00121842" w:rsidRDefault="00406C33" w:rsidP="005E7EED">
      <w:pPr>
        <w:pStyle w:val="Normal1space"/>
      </w:pPr>
      <w:r>
        <w:fldChar w:fldCharType="begin">
          <w:ffData>
            <w:name w:val=""/>
            <w:enabled/>
            <w:calcOnExit w:val="0"/>
            <w:checkBox>
              <w:sizeAuto/>
              <w:default w:val="1"/>
            </w:checkBox>
          </w:ffData>
        </w:fldChar>
      </w:r>
      <w:r>
        <w:instrText xml:space="preserve"> FORMCHECKBOX </w:instrText>
      </w:r>
      <w:r w:rsidR="002F6A39">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3C73B772" w:rsidR="006F405C" w:rsidRPr="00121842" w:rsidRDefault="00F13D25" w:rsidP="009E2877">
            <w:pPr>
              <w:widowControl w:val="0"/>
              <w:rPr>
                <w:sz w:val="22"/>
                <w:szCs w:val="22"/>
              </w:rPr>
            </w:pPr>
            <w:r>
              <w:rPr>
                <w:sz w:val="22"/>
                <w:szCs w:val="22"/>
              </w:rPr>
              <w:t>Where travel took place within and outside the country</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2F6A39">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53663CCB" w:rsidR="006F405C" w:rsidRPr="00121842" w:rsidRDefault="00F13D25" w:rsidP="009E2877">
            <w:pPr>
              <w:widowControl w:val="0"/>
              <w:rPr>
                <w:sz w:val="22"/>
                <w:szCs w:val="22"/>
              </w:rPr>
            </w:pPr>
            <w:r>
              <w:rPr>
                <w:sz w:val="22"/>
                <w:szCs w:val="22"/>
              </w:rPr>
              <w:t>4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2F6A39">
              <w:rPr>
                <w:bCs/>
                <w:sz w:val="22"/>
                <w:szCs w:val="22"/>
              </w:rPr>
            </w:r>
            <w:r w:rsidR="002F6A39">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9354F1B" w:rsidR="00AB6867" w:rsidRPr="00121842" w:rsidRDefault="00F13D25"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2F6A39">
              <w:rPr>
                <w:bCs/>
                <w:sz w:val="22"/>
                <w:szCs w:val="22"/>
              </w:rPr>
            </w:r>
            <w:r w:rsidR="002F6A39">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0"/>
        <w:gridCol w:w="7817"/>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A24D1CA" w:rsidR="006F405C" w:rsidRPr="00121842" w:rsidRDefault="00F13D25" w:rsidP="008368EE">
            <w:pPr>
              <w:keepNext/>
              <w:keepLines/>
              <w:widowControl w:val="0"/>
              <w:rPr>
                <w:sz w:val="22"/>
                <w:szCs w:val="22"/>
              </w:rPr>
            </w:pPr>
            <w:r>
              <w:rPr>
                <w:sz w:val="22"/>
                <w:szCs w:val="22"/>
              </w:rPr>
              <w:t>Ciara O’Reilly</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0E4B7C7B" w:rsidR="006F405C" w:rsidRPr="00121842" w:rsidRDefault="00F13D25" w:rsidP="008368EE">
            <w:pPr>
              <w:keepNext/>
              <w:keepLines/>
              <w:widowControl w:val="0"/>
              <w:rPr>
                <w:sz w:val="22"/>
                <w:szCs w:val="22"/>
              </w:rPr>
            </w:pPr>
            <w: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35D366FE" w:rsidR="006F405C" w:rsidRPr="00121842" w:rsidRDefault="00F13D25" w:rsidP="00C55A43">
            <w:pPr>
              <w:pStyle w:val="Spacer4"/>
            </w:pPr>
            <w:r>
              <w:t xml:space="preserve"> </w:t>
            </w: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A22E1DD" w:rsidR="006F405C" w:rsidRPr="00121842" w:rsidRDefault="00F13D25" w:rsidP="008368EE">
            <w:pPr>
              <w:keepNext/>
              <w:keepLines/>
              <w:widowControl w:val="0"/>
              <w:rPr>
                <w:sz w:val="22"/>
                <w:szCs w:val="22"/>
              </w:rPr>
            </w:pPr>
            <w:r>
              <w:rPr>
                <w:sz w:val="22"/>
                <w:szCs w:val="22"/>
              </w:rPr>
              <w:t>CDC/NCEZID/DFWED/WDPB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1"/>
        <w:gridCol w:w="6906"/>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lastRenderedPageBreak/>
              <w:t>CIO/Division/Branch:</w:t>
            </w:r>
          </w:p>
        </w:tc>
        <w:tc>
          <w:tcPr>
            <w:tcW w:w="7118" w:type="dxa"/>
            <w:tcBorders>
              <w:bottom w:val="single" w:sz="4" w:space="0" w:color="auto"/>
            </w:tcBorders>
            <w:shd w:val="clear" w:color="auto" w:fill="D9D9D9" w:themeFill="background1" w:themeFillShade="D9"/>
          </w:tcPr>
          <w:p w14:paraId="47B1FACD" w14:textId="2077625C" w:rsidR="00253F03" w:rsidRPr="00121842" w:rsidRDefault="00B47FC1" w:rsidP="00B16062">
            <w:pPr>
              <w:widowControl w:val="0"/>
              <w:rPr>
                <w:sz w:val="22"/>
                <w:szCs w:val="22"/>
              </w:rPr>
            </w:pPr>
            <w:r>
              <w:rPr>
                <w:sz w:val="22"/>
                <w:szCs w:val="22"/>
              </w:rPr>
              <w:t>CDC/NCEZID/DFWED/WDPB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B47FC1" w:rsidRPr="00121842" w14:paraId="5D45CBC7" w14:textId="77777777" w:rsidTr="00C55A43">
        <w:trPr>
          <w:cantSplit/>
        </w:trPr>
        <w:tc>
          <w:tcPr>
            <w:tcW w:w="2350" w:type="dxa"/>
            <w:tcBorders>
              <w:top w:val="nil"/>
              <w:left w:val="nil"/>
              <w:bottom w:val="nil"/>
            </w:tcBorders>
          </w:tcPr>
          <w:p w14:paraId="19F82247" w14:textId="799BB56D" w:rsidR="00B47FC1" w:rsidRPr="00121842" w:rsidRDefault="00B47FC1"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5C2B432F" w:rsidR="00B47FC1" w:rsidRPr="00121842" w:rsidRDefault="00B47FC1" w:rsidP="00AD4328">
            <w:pPr>
              <w:widowControl w:val="0"/>
              <w:rPr>
                <w:sz w:val="22"/>
                <w:szCs w:val="22"/>
              </w:rPr>
            </w:pPr>
            <w:r>
              <w:rPr>
                <w:sz w:val="22"/>
                <w:szCs w:val="22"/>
              </w:rPr>
              <w:t xml:space="preserve">Ciara O’Reilly </w:t>
            </w:r>
          </w:p>
        </w:tc>
      </w:tr>
      <w:tr w:rsidR="00B47FC1" w:rsidRPr="00121842" w14:paraId="03AF9272" w14:textId="77777777" w:rsidTr="00777F67">
        <w:trPr>
          <w:cantSplit/>
          <w:trHeight w:val="98"/>
        </w:trPr>
        <w:tc>
          <w:tcPr>
            <w:tcW w:w="2350" w:type="dxa"/>
            <w:tcBorders>
              <w:top w:val="nil"/>
              <w:left w:val="nil"/>
              <w:bottom w:val="nil"/>
              <w:right w:val="nil"/>
            </w:tcBorders>
          </w:tcPr>
          <w:p w14:paraId="59A786A1" w14:textId="77777777" w:rsidR="00B47FC1" w:rsidRPr="00121842" w:rsidRDefault="00B47FC1" w:rsidP="00C55A43">
            <w:pPr>
              <w:pStyle w:val="Spacer4"/>
            </w:pPr>
          </w:p>
        </w:tc>
        <w:tc>
          <w:tcPr>
            <w:tcW w:w="7118" w:type="dxa"/>
            <w:tcBorders>
              <w:left w:val="nil"/>
              <w:bottom w:val="single" w:sz="4" w:space="0" w:color="auto"/>
              <w:right w:val="nil"/>
            </w:tcBorders>
            <w:shd w:val="clear" w:color="auto" w:fill="auto"/>
          </w:tcPr>
          <w:p w14:paraId="0AE4B990" w14:textId="77777777" w:rsidR="00B47FC1" w:rsidRPr="00121842" w:rsidRDefault="00B47FC1" w:rsidP="00C55A43">
            <w:pPr>
              <w:pStyle w:val="Spacer4"/>
            </w:pPr>
          </w:p>
        </w:tc>
      </w:tr>
      <w:tr w:rsidR="00B47FC1" w:rsidRPr="00121842" w14:paraId="0DBD0626" w14:textId="77777777" w:rsidTr="00C55A43">
        <w:trPr>
          <w:cantSplit/>
        </w:trPr>
        <w:tc>
          <w:tcPr>
            <w:tcW w:w="2350" w:type="dxa"/>
            <w:tcBorders>
              <w:top w:val="nil"/>
              <w:left w:val="nil"/>
              <w:bottom w:val="nil"/>
            </w:tcBorders>
          </w:tcPr>
          <w:p w14:paraId="0191DDAF" w14:textId="2D310B48" w:rsidR="00B47FC1" w:rsidRPr="00121842" w:rsidRDefault="00B47FC1"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BEAB1A1" w:rsidR="00B47FC1" w:rsidRPr="00B47FC1" w:rsidRDefault="00B47FC1" w:rsidP="00B47FC1">
            <w:r>
              <w:rPr>
                <w:sz w:val="22"/>
                <w:szCs w:val="22"/>
              </w:rPr>
              <w:t>CDC/NCEZID/DFWED/WDPB</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5D1AAE08"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777F67">
        <w:rPr>
          <w:sz w:val="22"/>
          <w:szCs w:val="22"/>
        </w:rPr>
        <w:t>Ciara O’Reilly</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F76AD1D" w:rsidR="00454AE5" w:rsidRPr="00121842" w:rsidRDefault="00777F67" w:rsidP="00454AE5">
            <w:pPr>
              <w:widowControl w:val="0"/>
              <w:rPr>
                <w:sz w:val="22"/>
                <w:szCs w:val="22"/>
              </w:rPr>
            </w:pPr>
            <w:r>
              <w:rPr>
                <w:sz w:val="22"/>
                <w:szCs w:val="22"/>
              </w:rPr>
              <w:t>Ciara O’Reilly</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EB8AB8E" w:rsidR="00454AE5" w:rsidRPr="00121842" w:rsidRDefault="00777F67" w:rsidP="00945A8B">
            <w:pPr>
              <w:widowControl w:val="0"/>
              <w:rPr>
                <w:sz w:val="22"/>
                <w:szCs w:val="22"/>
              </w:rPr>
            </w:pPr>
            <w:r>
              <w:rPr>
                <w:sz w:val="22"/>
                <w:szCs w:val="22"/>
              </w:rPr>
              <w:t>6/1</w:t>
            </w:r>
            <w:r w:rsidR="00945A8B">
              <w:rPr>
                <w:sz w:val="22"/>
                <w:szCs w:val="22"/>
              </w:rPr>
              <w:t>2</w:t>
            </w:r>
            <w:r>
              <w:rPr>
                <w:sz w:val="22"/>
                <w:szCs w:val="22"/>
              </w:rPr>
              <w:t>/2015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21479A05" w:rsidR="005E0528" w:rsidRPr="00121842" w:rsidRDefault="00777F67" w:rsidP="00FE2F37">
            <w:pPr>
              <w:widowControl w:val="0"/>
              <w:rPr>
                <w:sz w:val="22"/>
                <w:szCs w:val="22"/>
              </w:rPr>
            </w:pPr>
            <w:r>
              <w:rPr>
                <w:sz w:val="22"/>
                <w:szCs w:val="22"/>
              </w:rPr>
              <w:t>6/16/2015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63934D02" w:rsidR="00695E96" w:rsidRDefault="00695E96">
      <w:pPr>
        <w:rPr>
          <w:b/>
          <w:i/>
          <w:color w:val="000000"/>
          <w:sz w:val="22"/>
          <w:szCs w:val="22"/>
        </w:rPr>
      </w:pPr>
      <w:r>
        <w:rPr>
          <w:b/>
          <w:i/>
          <w:color w:val="000000"/>
          <w:sz w:val="22"/>
          <w:szCs w:val="22"/>
        </w:rPr>
        <w:br w:type="page"/>
      </w:r>
      <w:r w:rsidR="00777F67">
        <w:rPr>
          <w:b/>
          <w:i/>
          <w:color w:val="000000"/>
          <w:sz w:val="22"/>
          <w:szCs w:val="22"/>
        </w:rPr>
        <w:lastRenderedPageBreak/>
        <w:t>/</w:t>
      </w: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74487A" w:rsidRDefault="0074487A">
      <w:r>
        <w:separator/>
      </w:r>
    </w:p>
  </w:endnote>
  <w:endnote w:type="continuationSeparator" w:id="0">
    <w:p w14:paraId="08FEB8E8" w14:textId="77777777" w:rsidR="0074487A" w:rsidRDefault="0074487A">
      <w:r>
        <w:continuationSeparator/>
      </w:r>
    </w:p>
  </w:endnote>
  <w:endnote w:type="continuationNotice" w:id="1">
    <w:p w14:paraId="6EF69F7B" w14:textId="77777777" w:rsidR="0074487A" w:rsidRDefault="00744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74487A" w:rsidRDefault="0074487A"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F6A39">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74487A" w:rsidRDefault="0074487A">
      <w:r>
        <w:separator/>
      </w:r>
    </w:p>
  </w:footnote>
  <w:footnote w:type="continuationSeparator" w:id="0">
    <w:p w14:paraId="760E0C6F" w14:textId="77777777" w:rsidR="0074487A" w:rsidRDefault="0074487A">
      <w:r>
        <w:continuationSeparator/>
      </w:r>
    </w:p>
  </w:footnote>
  <w:footnote w:type="continuationNotice" w:id="1">
    <w:p w14:paraId="5F8F2A4F" w14:textId="77777777" w:rsidR="0074487A" w:rsidRDefault="007448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6C0D8CE1" w:rsidR="0074487A" w:rsidRDefault="0074487A" w:rsidP="00642212">
    <w:pPr>
      <w:pStyle w:val="Header"/>
      <w:jc w:val="right"/>
    </w:pPr>
    <w:r>
      <w:t>File Name: [</w:t>
    </w:r>
    <w:r w:rsidR="00CB575A">
      <w:t>2015009-028</w:t>
    </w:r>
    <w:proofErr w:type="gramStart"/>
    <w:r>
      <w:t>]_</w:t>
    </w:r>
    <w:proofErr w:type="gramEnd"/>
    <w:r>
      <w:t>[</w:t>
    </w:r>
    <w:r w:rsidR="00CB575A">
      <w:t>Cholera</w:t>
    </w:r>
    <w:r>
      <w:t>]_[</w:t>
    </w:r>
    <w:r w:rsidR="00CB575A">
      <w:t>Kenya</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03AE"/>
    <w:rsid w:val="000515F3"/>
    <w:rsid w:val="000528DD"/>
    <w:rsid w:val="00057EC6"/>
    <w:rsid w:val="00067076"/>
    <w:rsid w:val="00085F9E"/>
    <w:rsid w:val="000A525C"/>
    <w:rsid w:val="000B2020"/>
    <w:rsid w:val="000B616F"/>
    <w:rsid w:val="000C386B"/>
    <w:rsid w:val="000D34C6"/>
    <w:rsid w:val="000F1CDA"/>
    <w:rsid w:val="000F23C5"/>
    <w:rsid w:val="0011739B"/>
    <w:rsid w:val="00121842"/>
    <w:rsid w:val="0012286F"/>
    <w:rsid w:val="00124840"/>
    <w:rsid w:val="00126D06"/>
    <w:rsid w:val="00132EF8"/>
    <w:rsid w:val="00133E27"/>
    <w:rsid w:val="00135B5E"/>
    <w:rsid w:val="00140343"/>
    <w:rsid w:val="00143C2A"/>
    <w:rsid w:val="00146732"/>
    <w:rsid w:val="001503EF"/>
    <w:rsid w:val="001543F5"/>
    <w:rsid w:val="001555EF"/>
    <w:rsid w:val="00157087"/>
    <w:rsid w:val="00170E9C"/>
    <w:rsid w:val="001726C6"/>
    <w:rsid w:val="00172A6E"/>
    <w:rsid w:val="00184B83"/>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A2DBD"/>
    <w:rsid w:val="002C4C0B"/>
    <w:rsid w:val="002C604D"/>
    <w:rsid w:val="002C7DC0"/>
    <w:rsid w:val="002E00AC"/>
    <w:rsid w:val="002E3A32"/>
    <w:rsid w:val="002F6A39"/>
    <w:rsid w:val="003026B7"/>
    <w:rsid w:val="003073BF"/>
    <w:rsid w:val="00316ADD"/>
    <w:rsid w:val="003270CF"/>
    <w:rsid w:val="00334037"/>
    <w:rsid w:val="00334F65"/>
    <w:rsid w:val="00336E95"/>
    <w:rsid w:val="00337389"/>
    <w:rsid w:val="00356DF1"/>
    <w:rsid w:val="00364051"/>
    <w:rsid w:val="00364DE4"/>
    <w:rsid w:val="00381101"/>
    <w:rsid w:val="00386D2B"/>
    <w:rsid w:val="00392637"/>
    <w:rsid w:val="003A075A"/>
    <w:rsid w:val="003A0C50"/>
    <w:rsid w:val="003A48F2"/>
    <w:rsid w:val="003B2B91"/>
    <w:rsid w:val="003B5356"/>
    <w:rsid w:val="003B5608"/>
    <w:rsid w:val="003C5E96"/>
    <w:rsid w:val="003C6823"/>
    <w:rsid w:val="003D4160"/>
    <w:rsid w:val="003E2FE8"/>
    <w:rsid w:val="003E31A4"/>
    <w:rsid w:val="003F1BDD"/>
    <w:rsid w:val="003F1C7A"/>
    <w:rsid w:val="003F24D2"/>
    <w:rsid w:val="00406C33"/>
    <w:rsid w:val="00407C60"/>
    <w:rsid w:val="00411149"/>
    <w:rsid w:val="00430E84"/>
    <w:rsid w:val="00443F0A"/>
    <w:rsid w:val="004472C1"/>
    <w:rsid w:val="00454AE5"/>
    <w:rsid w:val="004810DB"/>
    <w:rsid w:val="0049419A"/>
    <w:rsid w:val="00495F11"/>
    <w:rsid w:val="004A3122"/>
    <w:rsid w:val="004B654F"/>
    <w:rsid w:val="004B694D"/>
    <w:rsid w:val="004C338F"/>
    <w:rsid w:val="004C522A"/>
    <w:rsid w:val="004D6CB5"/>
    <w:rsid w:val="004E1FEC"/>
    <w:rsid w:val="004E5336"/>
    <w:rsid w:val="00502622"/>
    <w:rsid w:val="00505C1A"/>
    <w:rsid w:val="00512489"/>
    <w:rsid w:val="00513EF5"/>
    <w:rsid w:val="00517F9E"/>
    <w:rsid w:val="005212DB"/>
    <w:rsid w:val="00525795"/>
    <w:rsid w:val="00534B60"/>
    <w:rsid w:val="00535D71"/>
    <w:rsid w:val="00563861"/>
    <w:rsid w:val="005839F9"/>
    <w:rsid w:val="005A18A4"/>
    <w:rsid w:val="005B0715"/>
    <w:rsid w:val="005C03EC"/>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C7BC8"/>
    <w:rsid w:val="006D2338"/>
    <w:rsid w:val="006D3B31"/>
    <w:rsid w:val="006D7929"/>
    <w:rsid w:val="006E2095"/>
    <w:rsid w:val="006F405C"/>
    <w:rsid w:val="006F4F2B"/>
    <w:rsid w:val="0070547F"/>
    <w:rsid w:val="0071153D"/>
    <w:rsid w:val="0072214F"/>
    <w:rsid w:val="00722614"/>
    <w:rsid w:val="00730EB1"/>
    <w:rsid w:val="00736155"/>
    <w:rsid w:val="007408D4"/>
    <w:rsid w:val="00744577"/>
    <w:rsid w:val="0074463A"/>
    <w:rsid w:val="0074487A"/>
    <w:rsid w:val="00744F5B"/>
    <w:rsid w:val="00762972"/>
    <w:rsid w:val="00762C3E"/>
    <w:rsid w:val="00771ED5"/>
    <w:rsid w:val="00777F67"/>
    <w:rsid w:val="00786E59"/>
    <w:rsid w:val="007931ED"/>
    <w:rsid w:val="007A1FCD"/>
    <w:rsid w:val="007A2662"/>
    <w:rsid w:val="007A4303"/>
    <w:rsid w:val="007A4331"/>
    <w:rsid w:val="007B045B"/>
    <w:rsid w:val="007B2784"/>
    <w:rsid w:val="007B4DB9"/>
    <w:rsid w:val="007D0028"/>
    <w:rsid w:val="00801423"/>
    <w:rsid w:val="008278CE"/>
    <w:rsid w:val="00831DE4"/>
    <w:rsid w:val="008344F9"/>
    <w:rsid w:val="008368EE"/>
    <w:rsid w:val="00844B25"/>
    <w:rsid w:val="0085037A"/>
    <w:rsid w:val="0086523C"/>
    <w:rsid w:val="00882AE4"/>
    <w:rsid w:val="008863D0"/>
    <w:rsid w:val="008874DD"/>
    <w:rsid w:val="008B3D9F"/>
    <w:rsid w:val="008B51D6"/>
    <w:rsid w:val="008D7831"/>
    <w:rsid w:val="008E6145"/>
    <w:rsid w:val="008F26AC"/>
    <w:rsid w:val="008F6DCA"/>
    <w:rsid w:val="008F6E91"/>
    <w:rsid w:val="00910BA6"/>
    <w:rsid w:val="00920A24"/>
    <w:rsid w:val="009250D7"/>
    <w:rsid w:val="00945A8B"/>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328"/>
    <w:rsid w:val="00AD4CF2"/>
    <w:rsid w:val="00AE3596"/>
    <w:rsid w:val="00AE39D9"/>
    <w:rsid w:val="00AF2435"/>
    <w:rsid w:val="00B13C9C"/>
    <w:rsid w:val="00B16062"/>
    <w:rsid w:val="00B20F92"/>
    <w:rsid w:val="00B23AE5"/>
    <w:rsid w:val="00B304A0"/>
    <w:rsid w:val="00B40327"/>
    <w:rsid w:val="00B4311A"/>
    <w:rsid w:val="00B45674"/>
    <w:rsid w:val="00B45A27"/>
    <w:rsid w:val="00B4685E"/>
    <w:rsid w:val="00B46DC8"/>
    <w:rsid w:val="00B47FC1"/>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09EF"/>
    <w:rsid w:val="00C55A43"/>
    <w:rsid w:val="00C80F93"/>
    <w:rsid w:val="00C969FE"/>
    <w:rsid w:val="00C96DE1"/>
    <w:rsid w:val="00CA3A61"/>
    <w:rsid w:val="00CB575A"/>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06C"/>
    <w:rsid w:val="00D70A25"/>
    <w:rsid w:val="00D83279"/>
    <w:rsid w:val="00D851DF"/>
    <w:rsid w:val="00D9202A"/>
    <w:rsid w:val="00D97EA5"/>
    <w:rsid w:val="00DA271B"/>
    <w:rsid w:val="00DC3E77"/>
    <w:rsid w:val="00DC460A"/>
    <w:rsid w:val="00DC76EE"/>
    <w:rsid w:val="00DD1CCA"/>
    <w:rsid w:val="00DD499B"/>
    <w:rsid w:val="00DD4B7F"/>
    <w:rsid w:val="00DD6106"/>
    <w:rsid w:val="00DE619B"/>
    <w:rsid w:val="00DE6EAD"/>
    <w:rsid w:val="00DF0139"/>
    <w:rsid w:val="00E0014D"/>
    <w:rsid w:val="00E06BD2"/>
    <w:rsid w:val="00E13F7F"/>
    <w:rsid w:val="00E17833"/>
    <w:rsid w:val="00E215FA"/>
    <w:rsid w:val="00E26798"/>
    <w:rsid w:val="00E41914"/>
    <w:rsid w:val="00E45BA0"/>
    <w:rsid w:val="00E629FF"/>
    <w:rsid w:val="00E64E6B"/>
    <w:rsid w:val="00E710B2"/>
    <w:rsid w:val="00E85419"/>
    <w:rsid w:val="00E87DCF"/>
    <w:rsid w:val="00EA0586"/>
    <w:rsid w:val="00EA5C45"/>
    <w:rsid w:val="00EB4D1B"/>
    <w:rsid w:val="00EC3CF1"/>
    <w:rsid w:val="00ED225A"/>
    <w:rsid w:val="00EE7334"/>
    <w:rsid w:val="00EF082D"/>
    <w:rsid w:val="00EF448A"/>
    <w:rsid w:val="00F12AEE"/>
    <w:rsid w:val="00F13D25"/>
    <w:rsid w:val="00F21F72"/>
    <w:rsid w:val="00F221C4"/>
    <w:rsid w:val="00F22C5A"/>
    <w:rsid w:val="00F324AE"/>
    <w:rsid w:val="00F34EF9"/>
    <w:rsid w:val="00F3704A"/>
    <w:rsid w:val="00F60F2B"/>
    <w:rsid w:val="00F624F7"/>
    <w:rsid w:val="00F62605"/>
    <w:rsid w:val="00F64C23"/>
    <w:rsid w:val="00F66663"/>
    <w:rsid w:val="00F67737"/>
    <w:rsid w:val="00F84108"/>
    <w:rsid w:val="00FA73A6"/>
    <w:rsid w:val="00FD01A6"/>
    <w:rsid w:val="00FD37C3"/>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2528">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905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C468-0450-442A-9FE2-B61BE9BFA852}">
  <ds:schemaRefs>
    <ds:schemaRef ds:uri="http://schemas.openxmlformats.org/officeDocument/2006/bibliography"/>
  </ds:schemaRefs>
</ds:datastoreItem>
</file>

<file path=customXml/itemProps2.xml><?xml version="1.0" encoding="utf-8"?>
<ds:datastoreItem xmlns:ds="http://schemas.openxmlformats.org/officeDocument/2006/customXml" ds:itemID="{63E8B96F-57B4-4C56-A18E-947A6F62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15589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2015-06-12T19:01:00Z</dcterms:created>
  <dcterms:modified xsi:type="dcterms:W3CDTF">2015-06-12T21:39:00Z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