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325B" w:rsidRDefault="00315592">
      <w:pPr>
        <w:pStyle w:val="Header"/>
        <w:tabs>
          <w:tab w:val="clear" w:pos="4320"/>
          <w:tab w:val="clear" w:pos="8640"/>
        </w:tabs>
        <w:rPr>
          <w:rFonts w:ascii="Times New Roman" w:hAnsi="Times New Roman"/>
          <w:sz w:val="24"/>
        </w:rPr>
      </w:pPr>
      <w:bookmarkStart w:id="0" w:name="_GoBack"/>
      <w:bookmarkEnd w:id="0"/>
      <w:r>
        <w:rPr>
          <w:rFonts w:ascii="Times New Roman" w:hAnsi="Times New Roman"/>
          <w:sz w:val="24"/>
        </w:rPr>
        <w:t>November 6, 2015</w:t>
      </w:r>
    </w:p>
    <w:p w:rsidR="00315592" w:rsidRDefault="00315592">
      <w:pPr>
        <w:pStyle w:val="Header"/>
        <w:tabs>
          <w:tab w:val="clear" w:pos="4320"/>
          <w:tab w:val="clear" w:pos="8640"/>
        </w:tabs>
        <w:rPr>
          <w:rFonts w:ascii="Times New Roman" w:hAnsi="Times New Roman"/>
          <w:sz w:val="24"/>
        </w:rPr>
      </w:pPr>
    </w:p>
    <w:p w:rsidR="00315592" w:rsidRDefault="00315592">
      <w:pPr>
        <w:pStyle w:val="Header"/>
        <w:tabs>
          <w:tab w:val="clear" w:pos="4320"/>
          <w:tab w:val="clear" w:pos="8640"/>
        </w:tabs>
        <w:rPr>
          <w:rFonts w:ascii="Times New Roman" w:hAnsi="Times New Roman"/>
          <w:sz w:val="24"/>
        </w:rPr>
      </w:pPr>
      <w:r>
        <w:rPr>
          <w:rFonts w:ascii="Times New Roman" w:hAnsi="Times New Roman"/>
          <w:sz w:val="24"/>
        </w:rPr>
        <w:t xml:space="preserve">To: </w:t>
      </w:r>
      <w:r w:rsidRPr="00315592">
        <w:rPr>
          <w:rFonts w:ascii="Times New Roman" w:hAnsi="Times New Roman"/>
          <w:sz w:val="24"/>
        </w:rPr>
        <w:t>Dr. Rana Hajjeh</w:t>
      </w:r>
    </w:p>
    <w:p w:rsidR="00315592" w:rsidRPr="00315592" w:rsidRDefault="00315592" w:rsidP="00315592">
      <w:pPr>
        <w:pStyle w:val="Header"/>
        <w:rPr>
          <w:rFonts w:ascii="Times New Roman" w:hAnsi="Times New Roman"/>
          <w:sz w:val="24"/>
        </w:rPr>
      </w:pPr>
      <w:r>
        <w:rPr>
          <w:rFonts w:ascii="Times New Roman" w:hAnsi="Times New Roman"/>
          <w:sz w:val="24"/>
        </w:rPr>
        <w:t xml:space="preserve">       </w:t>
      </w:r>
      <w:r w:rsidRPr="00315592">
        <w:rPr>
          <w:rFonts w:ascii="Times New Roman" w:hAnsi="Times New Roman"/>
          <w:sz w:val="24"/>
        </w:rPr>
        <w:t>Director, Division of Bacterial Diseases</w:t>
      </w:r>
    </w:p>
    <w:p w:rsidR="00315592" w:rsidRPr="00315592" w:rsidRDefault="00315592" w:rsidP="00315592">
      <w:pPr>
        <w:pStyle w:val="Header"/>
        <w:rPr>
          <w:rFonts w:ascii="Times New Roman" w:hAnsi="Times New Roman"/>
          <w:sz w:val="24"/>
        </w:rPr>
      </w:pPr>
      <w:r>
        <w:rPr>
          <w:rFonts w:ascii="Times New Roman" w:hAnsi="Times New Roman"/>
          <w:sz w:val="24"/>
        </w:rPr>
        <w:t xml:space="preserve">       </w:t>
      </w:r>
      <w:r w:rsidRPr="00315592">
        <w:rPr>
          <w:rFonts w:ascii="Times New Roman" w:hAnsi="Times New Roman"/>
          <w:sz w:val="24"/>
        </w:rPr>
        <w:t>National Center for Immunizations and Respiratory Diseases</w:t>
      </w:r>
    </w:p>
    <w:p w:rsidR="00315592" w:rsidRDefault="00315592" w:rsidP="00315592">
      <w:pPr>
        <w:pStyle w:val="Header"/>
        <w:tabs>
          <w:tab w:val="clear" w:pos="4320"/>
          <w:tab w:val="clear" w:pos="8640"/>
        </w:tabs>
        <w:rPr>
          <w:rFonts w:ascii="Times New Roman" w:hAnsi="Times New Roman"/>
          <w:sz w:val="24"/>
        </w:rPr>
      </w:pPr>
      <w:r>
        <w:rPr>
          <w:rFonts w:ascii="Times New Roman" w:hAnsi="Times New Roman"/>
          <w:sz w:val="24"/>
        </w:rPr>
        <w:t xml:space="preserve">       </w:t>
      </w:r>
      <w:r w:rsidRPr="00315592">
        <w:rPr>
          <w:rFonts w:ascii="Times New Roman" w:hAnsi="Times New Roman"/>
          <w:sz w:val="24"/>
        </w:rPr>
        <w:t>Centers for Disease Control and Prevention</w:t>
      </w:r>
      <w:r>
        <w:rPr>
          <w:rFonts w:ascii="Times New Roman" w:hAnsi="Times New Roman"/>
          <w:sz w:val="24"/>
        </w:rPr>
        <w:t>, Atlanta, GA</w:t>
      </w:r>
    </w:p>
    <w:p w:rsidR="00315592" w:rsidRDefault="00315592" w:rsidP="00315592">
      <w:pPr>
        <w:pStyle w:val="Header"/>
        <w:tabs>
          <w:tab w:val="clear" w:pos="4320"/>
          <w:tab w:val="clear" w:pos="8640"/>
        </w:tabs>
        <w:rPr>
          <w:rFonts w:ascii="Times New Roman" w:hAnsi="Times New Roman"/>
          <w:sz w:val="24"/>
        </w:rPr>
      </w:pPr>
    </w:p>
    <w:p w:rsidR="00315592" w:rsidRPr="009E0B21" w:rsidRDefault="00315592" w:rsidP="009E0B21">
      <w:pPr>
        <w:spacing w:line="360" w:lineRule="auto"/>
        <w:rPr>
          <w:rFonts w:ascii="Times New Roman" w:hAnsi="Times New Roman"/>
          <w:sz w:val="24"/>
        </w:rPr>
      </w:pPr>
      <w:r w:rsidRPr="009E0B21">
        <w:rPr>
          <w:rFonts w:ascii="Times New Roman" w:hAnsi="Times New Roman"/>
          <w:sz w:val="24"/>
        </w:rPr>
        <w:t>Dear Dr Hajjeh,</w:t>
      </w:r>
    </w:p>
    <w:p w:rsidR="009E0B21" w:rsidRDefault="00315592" w:rsidP="009E0B21">
      <w:pPr>
        <w:spacing w:line="276" w:lineRule="auto"/>
        <w:rPr>
          <w:rFonts w:ascii="Times New Roman" w:hAnsi="Times New Roman"/>
          <w:sz w:val="24"/>
        </w:rPr>
      </w:pPr>
      <w:r w:rsidRPr="009E0B21">
        <w:rPr>
          <w:rFonts w:ascii="Times New Roman" w:hAnsi="Times New Roman"/>
          <w:sz w:val="24"/>
        </w:rPr>
        <w:t>In June, 2015</w:t>
      </w:r>
      <w:r w:rsidR="009E0B21">
        <w:rPr>
          <w:rFonts w:ascii="Times New Roman" w:hAnsi="Times New Roman"/>
          <w:sz w:val="24"/>
        </w:rPr>
        <w:t>,</w:t>
      </w:r>
      <w:r w:rsidRPr="009E0B21">
        <w:rPr>
          <w:rFonts w:ascii="Times New Roman" w:hAnsi="Times New Roman"/>
          <w:sz w:val="24"/>
        </w:rPr>
        <w:t xml:space="preserve"> the Missouri Department of Health and Senior Services (MDHSS) was notified by the CDC that travel surveillance system detected two initial laboratory-confirmed cases of legionellosis (onsets of illness March 7, 2015 and June 7, 2015). </w:t>
      </w:r>
      <w:r w:rsidR="009E0B21">
        <w:rPr>
          <w:rFonts w:ascii="Times New Roman" w:hAnsi="Times New Roman"/>
          <w:sz w:val="24"/>
        </w:rPr>
        <w:t xml:space="preserve">Investigation </w:t>
      </w:r>
      <w:r w:rsidRPr="009E0B21">
        <w:rPr>
          <w:rFonts w:ascii="Times New Roman" w:hAnsi="Times New Roman"/>
          <w:sz w:val="24"/>
        </w:rPr>
        <w:t xml:space="preserve"> revealed that both individuals reported staying in Hotel A within their incubation period. Since then, an additional case of legionellosis has been reported.  This individual also reported staying at Hotel A and had an onset of illness of October 12, 2015. The third patient died from his illness.  At present, the source of this outbreak remains unknown. Upon the identification of two initial cases, an environmental assessment was completed without any sampling. With the third case, the whirlpool spa was disinfected and five environmental samples were collected. All environmental samples are negative to date. Autopsy of lung tissue from deceased case demonstrated </w:t>
      </w:r>
      <w:r w:rsidRPr="009E0B21">
        <w:rPr>
          <w:rFonts w:ascii="Times New Roman" w:hAnsi="Times New Roman"/>
          <w:i/>
          <w:iCs/>
          <w:sz w:val="24"/>
        </w:rPr>
        <w:t>Legionella pneumophila</w:t>
      </w:r>
      <w:r w:rsidRPr="009E0B21">
        <w:rPr>
          <w:rFonts w:ascii="Times New Roman" w:hAnsi="Times New Roman"/>
          <w:sz w:val="24"/>
        </w:rPr>
        <w:t xml:space="preserve"> serogroup 1 growth on culture. Sequence-based type testing is pending. </w:t>
      </w:r>
    </w:p>
    <w:p w:rsidR="00315592" w:rsidRPr="009E0B21" w:rsidRDefault="00315592" w:rsidP="009E0B21">
      <w:pPr>
        <w:spacing w:line="276" w:lineRule="auto"/>
        <w:rPr>
          <w:rFonts w:ascii="Times New Roman" w:hAnsi="Times New Roman"/>
          <w:sz w:val="24"/>
        </w:rPr>
      </w:pPr>
      <w:r w:rsidRPr="009E0B21">
        <w:rPr>
          <w:rFonts w:ascii="Times New Roman" w:hAnsi="Times New Roman"/>
          <w:sz w:val="24"/>
        </w:rPr>
        <w:t xml:space="preserve">Given heightened concern regarding the undetermined source of transmission and need for environmental capacity building within local and state health departments, </w:t>
      </w:r>
      <w:r w:rsidR="009E0B21">
        <w:rPr>
          <w:rFonts w:ascii="Times New Roman" w:hAnsi="Times New Roman"/>
          <w:sz w:val="24"/>
        </w:rPr>
        <w:t>we are requesting an Epi-Aid.</w:t>
      </w:r>
      <w:r w:rsidRPr="009E0B21">
        <w:rPr>
          <w:rFonts w:ascii="Times New Roman" w:hAnsi="Times New Roman"/>
          <w:sz w:val="24"/>
        </w:rPr>
        <w:t xml:space="preserve"> The objectives of this Epi-Aid </w:t>
      </w:r>
      <w:r w:rsidR="009E0B21">
        <w:rPr>
          <w:rFonts w:ascii="Times New Roman" w:hAnsi="Times New Roman"/>
          <w:sz w:val="24"/>
        </w:rPr>
        <w:t xml:space="preserve">will </w:t>
      </w:r>
      <w:r w:rsidRPr="009E0B21">
        <w:rPr>
          <w:rFonts w:ascii="Times New Roman" w:hAnsi="Times New Roman"/>
          <w:sz w:val="24"/>
        </w:rPr>
        <w:t xml:space="preserve">include environmental assessment and sampling of the hotel, training of local and state environmental and epidemiology staff, education of hotel management on maintenance and </w:t>
      </w:r>
      <w:r w:rsidRPr="009E0B21">
        <w:rPr>
          <w:rFonts w:ascii="Times New Roman" w:hAnsi="Times New Roman"/>
          <w:i/>
          <w:iCs/>
          <w:sz w:val="24"/>
        </w:rPr>
        <w:t>Legionella</w:t>
      </w:r>
      <w:r w:rsidRPr="009E0B21">
        <w:rPr>
          <w:rFonts w:ascii="Times New Roman" w:hAnsi="Times New Roman"/>
          <w:sz w:val="24"/>
        </w:rPr>
        <w:t xml:space="preserve"> prevention, and capacity building within state and local health departments.</w:t>
      </w:r>
    </w:p>
    <w:p w:rsidR="009E0B21" w:rsidRPr="009E0B21" w:rsidRDefault="009E0B21" w:rsidP="009E0B21">
      <w:pPr>
        <w:spacing w:line="276" w:lineRule="auto"/>
        <w:rPr>
          <w:rFonts w:ascii="Times New Roman" w:hAnsi="Times New Roman"/>
          <w:sz w:val="24"/>
        </w:rPr>
      </w:pPr>
      <w:r w:rsidRPr="009E0B21">
        <w:rPr>
          <w:rFonts w:ascii="Times New Roman" w:hAnsi="Times New Roman"/>
          <w:sz w:val="24"/>
        </w:rPr>
        <w:t>Considering the fatal outcome of the last case and the ongoing nature of the outbreak</w:t>
      </w:r>
      <w:r>
        <w:rPr>
          <w:rFonts w:ascii="Times New Roman" w:hAnsi="Times New Roman"/>
          <w:sz w:val="24"/>
        </w:rPr>
        <w:t>,</w:t>
      </w:r>
      <w:r w:rsidRPr="009E0B21">
        <w:rPr>
          <w:rFonts w:ascii="Times New Roman" w:hAnsi="Times New Roman"/>
          <w:sz w:val="24"/>
        </w:rPr>
        <w:t xml:space="preserve"> the DHSS is requesting help on an urgent basis so that outbreak of legionellosis could be halted timely and additional death prevented.</w:t>
      </w:r>
    </w:p>
    <w:p w:rsidR="009E0B21" w:rsidRDefault="009E0B21" w:rsidP="00315592"/>
    <w:p w:rsidR="00315592" w:rsidRDefault="00315592" w:rsidP="00315592"/>
    <w:p w:rsidR="00315592" w:rsidRDefault="009E0B21" w:rsidP="00315592">
      <w:pPr>
        <w:pStyle w:val="Header"/>
        <w:tabs>
          <w:tab w:val="clear" w:pos="4320"/>
          <w:tab w:val="clear" w:pos="8640"/>
        </w:tabs>
        <w:rPr>
          <w:rFonts w:ascii="Times New Roman" w:hAnsi="Times New Roman"/>
          <w:sz w:val="24"/>
        </w:rPr>
      </w:pPr>
      <w:r>
        <w:rPr>
          <w:rFonts w:ascii="Times New Roman" w:hAnsi="Times New Roman"/>
          <w:sz w:val="24"/>
        </w:rPr>
        <w:t>Sincerely,</w:t>
      </w:r>
    </w:p>
    <w:p w:rsidR="009E0B21" w:rsidRDefault="009E0B21" w:rsidP="00315592">
      <w:pPr>
        <w:pStyle w:val="Header"/>
        <w:tabs>
          <w:tab w:val="clear" w:pos="4320"/>
          <w:tab w:val="clear" w:pos="8640"/>
        </w:tabs>
        <w:rPr>
          <w:rFonts w:ascii="Times New Roman" w:hAnsi="Times New Roman"/>
          <w:sz w:val="24"/>
        </w:rPr>
      </w:pPr>
    </w:p>
    <w:p w:rsidR="009E0B21" w:rsidRDefault="009E0B21" w:rsidP="00315592">
      <w:pPr>
        <w:pStyle w:val="Header"/>
        <w:tabs>
          <w:tab w:val="clear" w:pos="4320"/>
          <w:tab w:val="clear" w:pos="8640"/>
        </w:tabs>
        <w:rPr>
          <w:rFonts w:ascii="Times New Roman" w:hAnsi="Times New Roman"/>
          <w:sz w:val="24"/>
        </w:rPr>
      </w:pPr>
      <w:r>
        <w:rPr>
          <w:rFonts w:ascii="Times New Roman" w:hAnsi="Times New Roman"/>
          <w:noProof/>
          <w:sz w:val="24"/>
        </w:rPr>
        <w:drawing>
          <wp:inline distT="0" distB="0" distL="0" distR="0">
            <wp:extent cx="1394460" cy="400611"/>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94460" cy="400611"/>
                    </a:xfrm>
                    <a:prstGeom prst="rect">
                      <a:avLst/>
                    </a:prstGeom>
                    <a:noFill/>
                    <a:ln>
                      <a:noFill/>
                    </a:ln>
                  </pic:spPr>
                </pic:pic>
              </a:graphicData>
            </a:graphic>
          </wp:inline>
        </w:drawing>
      </w:r>
    </w:p>
    <w:p w:rsidR="009E0B21" w:rsidRDefault="009E0B21" w:rsidP="00315592">
      <w:pPr>
        <w:pStyle w:val="Header"/>
        <w:tabs>
          <w:tab w:val="clear" w:pos="4320"/>
          <w:tab w:val="clear" w:pos="8640"/>
        </w:tabs>
        <w:rPr>
          <w:rFonts w:ascii="Times New Roman" w:hAnsi="Times New Roman"/>
          <w:sz w:val="24"/>
        </w:rPr>
      </w:pPr>
    </w:p>
    <w:p w:rsidR="009E0B21" w:rsidRDefault="009E0B21" w:rsidP="00315592">
      <w:pPr>
        <w:pStyle w:val="Header"/>
        <w:tabs>
          <w:tab w:val="clear" w:pos="4320"/>
          <w:tab w:val="clear" w:pos="8640"/>
        </w:tabs>
        <w:rPr>
          <w:rFonts w:ascii="Times New Roman" w:hAnsi="Times New Roman"/>
          <w:sz w:val="24"/>
        </w:rPr>
      </w:pPr>
      <w:r>
        <w:rPr>
          <w:rFonts w:ascii="Times New Roman" w:hAnsi="Times New Roman"/>
          <w:sz w:val="24"/>
        </w:rPr>
        <w:t>George Turabelidze, MD, PhD</w:t>
      </w:r>
    </w:p>
    <w:p w:rsidR="009E0B21" w:rsidRDefault="009E0B21" w:rsidP="00315592">
      <w:pPr>
        <w:pStyle w:val="Header"/>
        <w:tabs>
          <w:tab w:val="clear" w:pos="4320"/>
          <w:tab w:val="clear" w:pos="8640"/>
        </w:tabs>
        <w:rPr>
          <w:rFonts w:ascii="Times New Roman" w:hAnsi="Times New Roman"/>
          <w:sz w:val="24"/>
        </w:rPr>
      </w:pPr>
      <w:r>
        <w:rPr>
          <w:rFonts w:ascii="Times New Roman" w:hAnsi="Times New Roman"/>
          <w:sz w:val="24"/>
        </w:rPr>
        <w:t>Missouri State Epidemiologist</w:t>
      </w:r>
    </w:p>
    <w:sectPr w:rsidR="009E0B21" w:rsidSect="00DA6ACD">
      <w:footerReference w:type="default" r:id="rId8"/>
      <w:headerReference w:type="first" r:id="rId9"/>
      <w:footerReference w:type="first" r:id="rId10"/>
      <w:pgSz w:w="12240" w:h="15840" w:code="1"/>
      <w:pgMar w:top="1440" w:right="1080" w:bottom="1440" w:left="1080" w:header="504" w:footer="504"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230C" w:rsidRDefault="006B230C">
      <w:r>
        <w:separator/>
      </w:r>
    </w:p>
  </w:endnote>
  <w:endnote w:type="continuationSeparator" w:id="0">
    <w:p w:rsidR="006B230C" w:rsidRDefault="006B23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5F55" w:rsidRDefault="003F03CB">
    <w:pPr>
      <w:pStyle w:val="Footer"/>
      <w:tabs>
        <w:tab w:val="clear" w:pos="4320"/>
        <w:tab w:val="clear" w:pos="8640"/>
        <w:tab w:val="center" w:pos="4680"/>
      </w:tabs>
      <w:jc w:val="center"/>
      <w:rPr>
        <w:sz w:val="9"/>
      </w:rPr>
    </w:pP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5F55" w:rsidRDefault="0047195F">
    <w:pPr>
      <w:pStyle w:val="Footer"/>
      <w:tabs>
        <w:tab w:val="clear" w:pos="4320"/>
        <w:tab w:val="center" w:pos="4680"/>
      </w:tabs>
      <w:jc w:val="center"/>
      <w:rPr>
        <w:b/>
        <w:bCs/>
        <w:sz w:val="14"/>
      </w:rPr>
    </w:pPr>
    <w:hyperlink r:id="rId1" w:history="1">
      <w:r w:rsidR="00C82DB2" w:rsidRPr="004A3FAB">
        <w:rPr>
          <w:rStyle w:val="Hyperlink"/>
          <w:b/>
          <w:bCs/>
          <w:sz w:val="14"/>
        </w:rPr>
        <w:t>www.health.mo.gov</w:t>
      </w:r>
    </w:hyperlink>
  </w:p>
  <w:p w:rsidR="00005F55" w:rsidRDefault="00005F55">
    <w:pPr>
      <w:pStyle w:val="Footer"/>
      <w:tabs>
        <w:tab w:val="clear" w:pos="4320"/>
        <w:tab w:val="center" w:pos="4680"/>
      </w:tabs>
      <w:jc w:val="center"/>
      <w:rPr>
        <w:b/>
        <w:bCs/>
        <w:sz w:val="14"/>
      </w:rPr>
    </w:pPr>
  </w:p>
  <w:p w:rsidR="00005F55" w:rsidRDefault="003F03CB">
    <w:pPr>
      <w:pStyle w:val="Footer"/>
      <w:tabs>
        <w:tab w:val="clear" w:pos="4320"/>
        <w:tab w:val="center" w:pos="4680"/>
      </w:tabs>
      <w:jc w:val="center"/>
      <w:rPr>
        <w:b/>
        <w:bCs/>
        <w:sz w:val="14"/>
      </w:rPr>
    </w:pPr>
    <w:r>
      <w:rPr>
        <w:b/>
        <w:bCs/>
        <w:sz w:val="14"/>
      </w:rPr>
      <w:t>Healthy Missourians for life.</w:t>
    </w:r>
  </w:p>
  <w:p w:rsidR="00005F55" w:rsidRDefault="003F03CB">
    <w:pPr>
      <w:pStyle w:val="Footer"/>
      <w:tabs>
        <w:tab w:val="clear" w:pos="4320"/>
        <w:tab w:val="center" w:pos="4680"/>
      </w:tabs>
      <w:jc w:val="center"/>
      <w:rPr>
        <w:rFonts w:cs="Arial"/>
        <w:sz w:val="15"/>
      </w:rPr>
    </w:pPr>
    <w:r>
      <w:rPr>
        <w:rFonts w:cs="Arial"/>
        <w:sz w:val="15"/>
      </w:rPr>
      <w:t>The Missouri Department of Health and Senior Services will be the leader in promoting, protecting and partnering for health.</w:t>
    </w:r>
  </w:p>
  <w:p w:rsidR="00005F55" w:rsidRDefault="00005F55">
    <w:pPr>
      <w:pStyle w:val="Footer"/>
      <w:tabs>
        <w:tab w:val="clear" w:pos="4320"/>
        <w:tab w:val="center" w:pos="4680"/>
      </w:tabs>
      <w:jc w:val="center"/>
      <w:rPr>
        <w:sz w:val="15"/>
      </w:rPr>
    </w:pPr>
  </w:p>
  <w:p w:rsidR="00005F55" w:rsidRDefault="00005F55">
    <w:pPr>
      <w:pStyle w:val="Footer"/>
      <w:tabs>
        <w:tab w:val="clear" w:pos="4320"/>
        <w:tab w:val="center" w:pos="4680"/>
      </w:tabs>
      <w:jc w:val="center"/>
      <w:rPr>
        <w:sz w:val="4"/>
      </w:rPr>
    </w:pPr>
  </w:p>
  <w:p w:rsidR="00005F55" w:rsidRDefault="003F03CB">
    <w:pPr>
      <w:pStyle w:val="Footer"/>
      <w:tabs>
        <w:tab w:val="clear" w:pos="4320"/>
        <w:tab w:val="clear" w:pos="8640"/>
        <w:tab w:val="center" w:pos="4680"/>
      </w:tabs>
      <w:jc w:val="center"/>
      <w:rPr>
        <w:sz w:val="15"/>
      </w:rPr>
    </w:pPr>
    <w:r>
      <w:rPr>
        <w:sz w:val="15"/>
      </w:rPr>
      <w:t>AN EQUAL OPPORTUNITY / AFFIRMATIVE ACTION EMPLOYER: Services provided on a nondiscriminatory basis.</w:t>
    </w:r>
  </w:p>
  <w:p w:rsidR="00005F55" w:rsidRDefault="00005F5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230C" w:rsidRDefault="006B230C">
      <w:r>
        <w:separator/>
      </w:r>
    </w:p>
  </w:footnote>
  <w:footnote w:type="continuationSeparator" w:id="0">
    <w:p w:rsidR="006B230C" w:rsidRDefault="006B23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12"/>
      <w:gridCol w:w="6516"/>
      <w:gridCol w:w="2250"/>
    </w:tblGrid>
    <w:tr w:rsidR="00005F55" w:rsidTr="00995AD8">
      <w:trPr>
        <w:cantSplit/>
        <w:trHeight w:val="706"/>
      </w:trPr>
      <w:tc>
        <w:tcPr>
          <w:tcW w:w="1512" w:type="dxa"/>
          <w:vMerge w:val="restart"/>
          <w:tcBorders>
            <w:top w:val="nil"/>
            <w:left w:val="nil"/>
            <w:bottom w:val="single" w:sz="4" w:space="0" w:color="auto"/>
            <w:right w:val="nil"/>
          </w:tcBorders>
        </w:tcPr>
        <w:p w:rsidR="000E40B3" w:rsidRDefault="004B67E3">
          <w:pPr>
            <w:pStyle w:val="Header"/>
            <w:ind w:hanging="156"/>
          </w:pPr>
          <w:r>
            <w:rPr>
              <w:noProof/>
            </w:rPr>
            <w:drawing>
              <wp:anchor distT="0" distB="0" distL="114300" distR="114300" simplePos="0" relativeHeight="251657728" behindDoc="0" locked="0" layoutInCell="1" allowOverlap="1">
                <wp:simplePos x="0" y="0"/>
                <wp:positionH relativeFrom="margin">
                  <wp:posOffset>-68580</wp:posOffset>
                </wp:positionH>
                <wp:positionV relativeFrom="margin">
                  <wp:posOffset>-7620</wp:posOffset>
                </wp:positionV>
                <wp:extent cx="876300" cy="850900"/>
                <wp:effectExtent l="0" t="0" r="0" b="6350"/>
                <wp:wrapSquare wrapText="bothSides"/>
                <wp:docPr id="2" name="Picture 6" descr="I:\Office Services\DHSS Logo\DHSS Logo 3-15 b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Office Services\DHSS Logo\DHSS Logo 3-15 bw.jpg"/>
                        <pic:cNvPicPr>
                          <a:picLocks noChangeAspect="1" noChangeArrowheads="1"/>
                        </pic:cNvPicPr>
                      </pic:nvPicPr>
                      <pic:blipFill>
                        <a:blip r:embed="rId1">
                          <a:extLst>
                            <a:ext uri="{28A0092B-C50C-407E-A947-70E740481C1C}">
                              <a14:useLocalDpi xmlns:a14="http://schemas.microsoft.com/office/drawing/2010/main" val="0"/>
                            </a:ext>
                          </a:extLst>
                        </a:blip>
                        <a:srcRect l="-983" r="-1962"/>
                        <a:stretch>
                          <a:fillRect/>
                        </a:stretch>
                      </pic:blipFill>
                      <pic:spPr bwMode="auto">
                        <a:xfrm>
                          <a:off x="0" y="0"/>
                          <a:ext cx="876300" cy="8509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0E40B3" w:rsidRPr="000E40B3" w:rsidRDefault="000E40B3" w:rsidP="000E40B3"/>
        <w:p w:rsidR="000E40B3" w:rsidRDefault="000E40B3" w:rsidP="00DC5AA4">
          <w:pPr>
            <w:jc w:val="center"/>
          </w:pPr>
        </w:p>
        <w:p w:rsidR="00005F55" w:rsidRPr="000E40B3" w:rsidRDefault="00DC5AA4" w:rsidP="00DC5AA4">
          <w:pPr>
            <w:tabs>
              <w:tab w:val="left" w:pos="1164"/>
            </w:tabs>
          </w:pPr>
          <w:r>
            <w:tab/>
          </w:r>
        </w:p>
      </w:tc>
      <w:tc>
        <w:tcPr>
          <w:tcW w:w="6516" w:type="dxa"/>
          <w:tcBorders>
            <w:top w:val="nil"/>
            <w:left w:val="nil"/>
            <w:bottom w:val="single" w:sz="4" w:space="0" w:color="auto"/>
            <w:right w:val="nil"/>
          </w:tcBorders>
          <w:vAlign w:val="center"/>
        </w:tcPr>
        <w:p w:rsidR="00AA7DB7" w:rsidRDefault="00AA7DB7" w:rsidP="00AA7DB7">
          <w:pPr>
            <w:pStyle w:val="Header"/>
            <w:ind w:hanging="108"/>
            <w:rPr>
              <w:rFonts w:ascii="Arial Narrow" w:hAnsi="Arial Narrow" w:cs="Arial"/>
              <w:b/>
              <w:bCs/>
              <w:sz w:val="22"/>
            </w:rPr>
          </w:pPr>
          <w:r>
            <w:rPr>
              <w:rFonts w:ascii="Arial Narrow" w:hAnsi="Arial Narrow" w:cs="Arial"/>
              <w:b/>
              <w:bCs/>
              <w:sz w:val="22"/>
            </w:rPr>
            <w:t>Missouri Department of Health and Senior Services</w:t>
          </w:r>
        </w:p>
        <w:p w:rsidR="00AA7DB7" w:rsidRDefault="00AA7DB7" w:rsidP="00AA7DB7">
          <w:pPr>
            <w:pStyle w:val="Header"/>
            <w:ind w:hanging="108"/>
            <w:rPr>
              <w:rFonts w:cs="Arial"/>
              <w:b/>
              <w:bCs/>
              <w:sz w:val="16"/>
            </w:rPr>
          </w:pPr>
          <w:r w:rsidRPr="00A409E4">
            <w:rPr>
              <w:rFonts w:cs="Arial"/>
              <w:b/>
              <w:bCs/>
              <w:sz w:val="16"/>
            </w:rPr>
            <w:t>Eastern</w:t>
          </w:r>
          <w:r>
            <w:rPr>
              <w:rFonts w:cs="Arial"/>
              <w:b/>
              <w:bCs/>
              <w:sz w:val="16"/>
            </w:rPr>
            <w:t xml:space="preserve"> District</w:t>
          </w:r>
        </w:p>
        <w:p w:rsidR="00AA7DB7" w:rsidRDefault="00AA7DB7" w:rsidP="00AA7DB7">
          <w:pPr>
            <w:pStyle w:val="Header"/>
            <w:ind w:hanging="115"/>
            <w:rPr>
              <w:rFonts w:cs="Arial"/>
              <w:sz w:val="15"/>
            </w:rPr>
          </w:pPr>
          <w:r>
            <w:rPr>
              <w:rFonts w:cs="Arial"/>
              <w:sz w:val="15"/>
            </w:rPr>
            <w:t>220 South Jefferson Street, St. Louis MO 63103     Phone: 314-877-2800     FAX: 314-877-0203</w:t>
          </w:r>
        </w:p>
        <w:p w:rsidR="00005F55" w:rsidRDefault="00AA7DB7" w:rsidP="00AA7DB7">
          <w:pPr>
            <w:pStyle w:val="Header"/>
            <w:ind w:hanging="108"/>
            <w:rPr>
              <w:rFonts w:cs="Arial"/>
              <w:sz w:val="15"/>
            </w:rPr>
          </w:pPr>
          <w:r>
            <w:rPr>
              <w:rFonts w:cs="Arial"/>
              <w:sz w:val="15"/>
            </w:rPr>
            <w:t>RELAY MISSOURI for Hearing and Speech Impaired 1-800-735-2966   VOICE 1-800-735-2466</w:t>
          </w:r>
        </w:p>
      </w:tc>
      <w:tc>
        <w:tcPr>
          <w:tcW w:w="2250" w:type="dxa"/>
          <w:tcBorders>
            <w:top w:val="nil"/>
            <w:left w:val="nil"/>
            <w:bottom w:val="single" w:sz="4" w:space="0" w:color="auto"/>
            <w:right w:val="nil"/>
          </w:tcBorders>
        </w:tcPr>
        <w:p w:rsidR="00005F55" w:rsidRDefault="00F80454" w:rsidP="00995AD8">
          <w:pPr>
            <w:pStyle w:val="Header"/>
            <w:ind w:right="-108" w:hanging="108"/>
            <w:jc w:val="center"/>
            <w:rPr>
              <w:rFonts w:cs="Arial"/>
            </w:rPr>
          </w:pPr>
          <w:r>
            <w:rPr>
              <w:rFonts w:cs="Arial"/>
              <w:b/>
            </w:rPr>
            <w:t xml:space="preserve"> </w:t>
          </w:r>
          <w:r w:rsidR="004B67E3">
            <w:rPr>
              <w:rFonts w:cs="Arial"/>
              <w:b/>
              <w:noProof/>
            </w:rPr>
            <w:drawing>
              <wp:inline distT="0" distB="0" distL="0" distR="0">
                <wp:extent cx="556260" cy="55626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56260" cy="556260"/>
                        </a:xfrm>
                        <a:prstGeom prst="rect">
                          <a:avLst/>
                        </a:prstGeom>
                        <a:noFill/>
                        <a:ln>
                          <a:noFill/>
                        </a:ln>
                      </pic:spPr>
                    </pic:pic>
                  </a:graphicData>
                </a:graphic>
              </wp:inline>
            </w:drawing>
          </w:r>
        </w:p>
      </w:tc>
    </w:tr>
    <w:tr w:rsidR="00005F55" w:rsidTr="00995AD8">
      <w:trPr>
        <w:cantSplit/>
        <w:trHeight w:val="553"/>
      </w:trPr>
      <w:tc>
        <w:tcPr>
          <w:tcW w:w="1512" w:type="dxa"/>
          <w:vMerge/>
          <w:tcBorders>
            <w:top w:val="single" w:sz="4" w:space="0" w:color="auto"/>
            <w:left w:val="nil"/>
            <w:bottom w:val="nil"/>
            <w:right w:val="nil"/>
          </w:tcBorders>
        </w:tcPr>
        <w:p w:rsidR="00005F55" w:rsidRDefault="00005F55">
          <w:pPr>
            <w:pStyle w:val="Header"/>
          </w:pPr>
        </w:p>
      </w:tc>
      <w:tc>
        <w:tcPr>
          <w:tcW w:w="6516" w:type="dxa"/>
          <w:tcBorders>
            <w:top w:val="single" w:sz="4" w:space="0" w:color="auto"/>
            <w:left w:val="nil"/>
            <w:bottom w:val="nil"/>
            <w:right w:val="nil"/>
          </w:tcBorders>
        </w:tcPr>
        <w:p w:rsidR="007023B7" w:rsidRDefault="007023B7" w:rsidP="007023B7">
          <w:pPr>
            <w:pStyle w:val="Header"/>
            <w:ind w:hanging="108"/>
            <w:rPr>
              <w:b/>
              <w:bCs/>
              <w:sz w:val="16"/>
            </w:rPr>
          </w:pPr>
          <w:r>
            <w:rPr>
              <w:b/>
              <w:bCs/>
              <w:sz w:val="16"/>
            </w:rPr>
            <w:t>Peter Lyskowski</w:t>
          </w:r>
        </w:p>
        <w:p w:rsidR="00005F55" w:rsidRDefault="007023B7" w:rsidP="007023B7">
          <w:pPr>
            <w:pStyle w:val="Header"/>
            <w:ind w:hanging="108"/>
            <w:rPr>
              <w:sz w:val="14"/>
            </w:rPr>
          </w:pPr>
          <w:r>
            <w:rPr>
              <w:sz w:val="14"/>
            </w:rPr>
            <w:t>Acting Director</w:t>
          </w:r>
        </w:p>
      </w:tc>
      <w:tc>
        <w:tcPr>
          <w:tcW w:w="2250" w:type="dxa"/>
          <w:tcBorders>
            <w:top w:val="single" w:sz="4" w:space="0" w:color="auto"/>
            <w:left w:val="nil"/>
            <w:bottom w:val="nil"/>
            <w:right w:val="nil"/>
          </w:tcBorders>
        </w:tcPr>
        <w:p w:rsidR="00005F55" w:rsidRDefault="00005F55" w:rsidP="00995AD8">
          <w:pPr>
            <w:pStyle w:val="Header"/>
            <w:jc w:val="center"/>
            <w:rPr>
              <w:b/>
              <w:bCs/>
              <w:sz w:val="4"/>
            </w:rPr>
          </w:pPr>
        </w:p>
        <w:p w:rsidR="00005F55" w:rsidRDefault="00B7325B" w:rsidP="00995AD8">
          <w:pPr>
            <w:pStyle w:val="Header"/>
            <w:ind w:left="-6" w:right="-288"/>
            <w:jc w:val="center"/>
            <w:rPr>
              <w:b/>
              <w:bCs/>
              <w:sz w:val="16"/>
            </w:rPr>
          </w:pPr>
          <w:r>
            <w:rPr>
              <w:b/>
              <w:bCs/>
              <w:sz w:val="16"/>
            </w:rPr>
            <w:t>Jeremiah W. (Jay) Nixon</w:t>
          </w:r>
        </w:p>
        <w:p w:rsidR="00005F55" w:rsidRDefault="00F80454" w:rsidP="00995AD8">
          <w:pPr>
            <w:pStyle w:val="Header"/>
            <w:jc w:val="center"/>
            <w:rPr>
              <w:sz w:val="14"/>
            </w:rPr>
          </w:pPr>
          <w:r>
            <w:rPr>
              <w:sz w:val="14"/>
            </w:rPr>
            <w:t xml:space="preserve">  </w:t>
          </w:r>
          <w:r w:rsidR="003F03CB">
            <w:rPr>
              <w:sz w:val="14"/>
            </w:rPr>
            <w:t>Governor</w:t>
          </w:r>
        </w:p>
      </w:tc>
    </w:tr>
  </w:tbl>
  <w:p w:rsidR="00005F55" w:rsidRDefault="00005F5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revisionView w:inkAnnotations="0"/>
  <w:defaultTabStop w:val="720"/>
  <w:drawingGridHorizontalSpacing w:val="100"/>
  <w:displayHorizontalDrawingGridEvery w:val="2"/>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070B"/>
    <w:rsid w:val="00005F55"/>
    <w:rsid w:val="0002070B"/>
    <w:rsid w:val="000E40B3"/>
    <w:rsid w:val="002030DE"/>
    <w:rsid w:val="002C2CC7"/>
    <w:rsid w:val="00315592"/>
    <w:rsid w:val="003529C1"/>
    <w:rsid w:val="00367CB9"/>
    <w:rsid w:val="003F03CB"/>
    <w:rsid w:val="0047195F"/>
    <w:rsid w:val="004B67E3"/>
    <w:rsid w:val="00505E51"/>
    <w:rsid w:val="00690D37"/>
    <w:rsid w:val="006B0D58"/>
    <w:rsid w:val="006B230C"/>
    <w:rsid w:val="006F405C"/>
    <w:rsid w:val="007023B7"/>
    <w:rsid w:val="008464AD"/>
    <w:rsid w:val="0086333C"/>
    <w:rsid w:val="008A0C7E"/>
    <w:rsid w:val="00925C1D"/>
    <w:rsid w:val="00935266"/>
    <w:rsid w:val="00995AD8"/>
    <w:rsid w:val="009A2842"/>
    <w:rsid w:val="009C3AA7"/>
    <w:rsid w:val="009C4DA7"/>
    <w:rsid w:val="009D0503"/>
    <w:rsid w:val="009D13CD"/>
    <w:rsid w:val="009E0B21"/>
    <w:rsid w:val="00A409E4"/>
    <w:rsid w:val="00AA7DB7"/>
    <w:rsid w:val="00AF49BD"/>
    <w:rsid w:val="00B7325B"/>
    <w:rsid w:val="00B87590"/>
    <w:rsid w:val="00BF2181"/>
    <w:rsid w:val="00C10C8A"/>
    <w:rsid w:val="00C82DB2"/>
    <w:rsid w:val="00C9163E"/>
    <w:rsid w:val="00CA0AD6"/>
    <w:rsid w:val="00DA6ACD"/>
    <w:rsid w:val="00DC5AA4"/>
    <w:rsid w:val="00E03103"/>
    <w:rsid w:val="00E60113"/>
    <w:rsid w:val="00E70751"/>
    <w:rsid w:val="00F44F9E"/>
    <w:rsid w:val="00F66015"/>
    <w:rsid w:val="00F804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ADC74F19-B9B4-4CDB-B6D8-A0C49899B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5F55"/>
    <w:rPr>
      <w:rFonts w:ascii="Arial" w:hAnsi="Arial"/>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rsid w:val="00005F55"/>
    <w:pPr>
      <w:tabs>
        <w:tab w:val="center" w:pos="4320"/>
        <w:tab w:val="right" w:pos="8640"/>
      </w:tabs>
    </w:pPr>
  </w:style>
  <w:style w:type="paragraph" w:styleId="Footer">
    <w:name w:val="footer"/>
    <w:basedOn w:val="Normal"/>
    <w:semiHidden/>
    <w:rsid w:val="00005F55"/>
    <w:pPr>
      <w:tabs>
        <w:tab w:val="center" w:pos="4320"/>
        <w:tab w:val="right" w:pos="8640"/>
      </w:tabs>
    </w:pPr>
  </w:style>
  <w:style w:type="character" w:styleId="Hyperlink">
    <w:name w:val="Hyperlink"/>
    <w:semiHidden/>
    <w:rsid w:val="00005F55"/>
    <w:rPr>
      <w:color w:val="0000FF"/>
      <w:u w:val="single"/>
    </w:rPr>
  </w:style>
  <w:style w:type="character" w:styleId="FollowedHyperlink">
    <w:name w:val="FollowedHyperlink"/>
    <w:semiHidden/>
    <w:rsid w:val="00005F55"/>
    <w:rPr>
      <w:color w:val="800080"/>
      <w:u w:val="single"/>
    </w:rPr>
  </w:style>
  <w:style w:type="character" w:styleId="PageNumber">
    <w:name w:val="page number"/>
    <w:basedOn w:val="DefaultParagraphFont"/>
    <w:semiHidden/>
    <w:rsid w:val="00005F55"/>
  </w:style>
  <w:style w:type="paragraph" w:styleId="BalloonText">
    <w:name w:val="Balloon Text"/>
    <w:basedOn w:val="Normal"/>
    <w:link w:val="BalloonTextChar"/>
    <w:uiPriority w:val="99"/>
    <w:semiHidden/>
    <w:unhideWhenUsed/>
    <w:rsid w:val="00BF2181"/>
    <w:rPr>
      <w:rFonts w:ascii="Tahoma" w:hAnsi="Tahoma" w:cs="Tahoma"/>
      <w:sz w:val="16"/>
      <w:szCs w:val="16"/>
    </w:rPr>
  </w:style>
  <w:style w:type="character" w:customStyle="1" w:styleId="BalloonTextChar">
    <w:name w:val="Balloon Text Char"/>
    <w:link w:val="BalloonText"/>
    <w:uiPriority w:val="99"/>
    <w:semiHidden/>
    <w:rsid w:val="00BF2181"/>
    <w:rPr>
      <w:rFonts w:ascii="Tahoma" w:hAnsi="Tahoma" w:cs="Tahoma"/>
      <w:sz w:val="16"/>
      <w:szCs w:val="16"/>
    </w:rPr>
  </w:style>
  <w:style w:type="character" w:customStyle="1" w:styleId="HeaderChar">
    <w:name w:val="Header Char"/>
    <w:link w:val="Header"/>
    <w:semiHidden/>
    <w:rsid w:val="007023B7"/>
    <w:rPr>
      <w:rFonts w:ascii="Arial" w:hAnsi="Arial"/>
      <w:szCs w:val="24"/>
    </w:rPr>
  </w:style>
  <w:style w:type="paragraph" w:styleId="ListParagraph">
    <w:name w:val="List Paragraph"/>
    <w:basedOn w:val="Normal"/>
    <w:uiPriority w:val="34"/>
    <w:qFormat/>
    <w:rsid w:val="00315592"/>
    <w:pPr>
      <w:ind w:left="720"/>
    </w:pPr>
    <w:rPr>
      <w:rFonts w:ascii="Calibri" w:eastAsiaTheme="minorHAnsi" w:hAnsi="Calibri"/>
      <w:sz w:val="22"/>
      <w:szCs w:val="22"/>
    </w:rPr>
  </w:style>
  <w:style w:type="character" w:customStyle="1" w:styleId="FormFill-InChar">
    <w:name w:val="Form Fill-In Char"/>
    <w:basedOn w:val="DefaultParagraphFont"/>
    <w:link w:val="FormFill-In"/>
    <w:uiPriority w:val="99"/>
    <w:locked/>
    <w:rsid w:val="00315592"/>
    <w:rPr>
      <w:color w:val="000000"/>
    </w:rPr>
  </w:style>
  <w:style w:type="paragraph" w:customStyle="1" w:styleId="FormFill-In">
    <w:name w:val="Form Fill-In"/>
    <w:basedOn w:val="Normal"/>
    <w:link w:val="FormFill-InChar"/>
    <w:uiPriority w:val="99"/>
    <w:rsid w:val="00315592"/>
    <w:pPr>
      <w:autoSpaceDE w:val="0"/>
      <w:autoSpaceDN w:val="0"/>
    </w:pPr>
    <w:rPr>
      <w:rFonts w:ascii="Times New Roman" w:hAnsi="Times New Roman"/>
      <w:color w:val="00000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4482533">
      <w:bodyDiv w:val="1"/>
      <w:marLeft w:val="0"/>
      <w:marRight w:val="0"/>
      <w:marTop w:val="0"/>
      <w:marBottom w:val="0"/>
      <w:divBdr>
        <w:top w:val="none" w:sz="0" w:space="0" w:color="auto"/>
        <w:left w:val="none" w:sz="0" w:space="0" w:color="auto"/>
        <w:bottom w:val="none" w:sz="0" w:space="0" w:color="auto"/>
        <w:right w:val="none" w:sz="0" w:space="0" w:color="auto"/>
      </w:divBdr>
    </w:div>
    <w:div w:id="1687445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www.health.mo.gov"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1-Eastern%20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A6EE21-10D9-4087-A8AA-6E3AF57441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1-Eastern Letterhead.dotx</Template>
  <TotalTime>0</TotalTime>
  <Pages>2</Pages>
  <Words>295</Words>
  <Characters>1758</Characters>
  <Application>Microsoft Office Word</Application>
  <DocSecurity>4</DocSecurity>
  <Lines>14</Lines>
  <Paragraphs>4</Paragraphs>
  <ScaleCrop>false</ScaleCrop>
  <HeadingPairs>
    <vt:vector size="2" baseType="variant">
      <vt:variant>
        <vt:lpstr>Title</vt:lpstr>
      </vt:variant>
      <vt:variant>
        <vt:i4>1</vt:i4>
      </vt:variant>
    </vt:vector>
  </HeadingPairs>
  <TitlesOfParts>
    <vt:vector size="1" baseType="lpstr">
      <vt:lpstr>cccccc</vt:lpstr>
    </vt:vector>
  </TitlesOfParts>
  <Company>Missouri Department of Health and Senior Services</Company>
  <LinksUpToDate>false</LinksUpToDate>
  <CharactersWithSpaces>2049</CharactersWithSpaces>
  <SharedDoc>false</SharedDoc>
  <HLinks>
    <vt:vector size="6" baseType="variant">
      <vt:variant>
        <vt:i4>393245</vt:i4>
      </vt:variant>
      <vt:variant>
        <vt:i4>0</vt:i4>
      </vt:variant>
      <vt:variant>
        <vt:i4>0</vt:i4>
      </vt:variant>
      <vt:variant>
        <vt:i4>5</vt:i4>
      </vt:variant>
      <vt:variant>
        <vt:lpwstr>http://www.health.mo.gov/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cccccc</dc:title>
  <dc:creator>hendeg1</dc:creator>
  <cp:lastModifiedBy>Gronostaj, Michael (CDC/OID/NCEZID)</cp:lastModifiedBy>
  <cp:revision>2</cp:revision>
  <cp:lastPrinted>2015-03-19T21:30:00Z</cp:lastPrinted>
  <dcterms:created xsi:type="dcterms:W3CDTF">2015-11-07T01:29:00Z</dcterms:created>
  <dcterms:modified xsi:type="dcterms:W3CDTF">2015-11-07T01:29:00Z</dcterms:modified>
</cp:coreProperties>
</file>