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41CD" w14:textId="77777777" w:rsidR="00BF239F" w:rsidRDefault="00BF239F" w:rsidP="00BF239F">
      <w:pPr>
        <w:pStyle w:val="Heading2"/>
      </w:pPr>
      <w:bookmarkStart w:id="0" w:name="_Toc306802937"/>
      <w:r>
        <w:t>Attachment</w:t>
      </w:r>
      <w:bookmarkStart w:id="1" w:name="_GoBack"/>
      <w:bookmarkEnd w:id="1"/>
      <w:r>
        <w:t xml:space="preserve"> 1. Authorizing Legislation</w:t>
      </w:r>
      <w:bookmarkEnd w:id="0"/>
    </w:p>
    <w:p w14:paraId="29522E90" w14:textId="77777777" w:rsidR="000B2416" w:rsidRDefault="00BF239F" w:rsidP="00B929AD">
      <w:pPr>
        <w:pStyle w:val="Heading3"/>
      </w:pPr>
      <w:bookmarkStart w:id="2" w:name="_Toc306802939"/>
      <w:r w:rsidRPr="000478F1">
        <w:t>Comprehensive Environmental Response, Compensation and Liability Act of 1980</w:t>
      </w:r>
      <w:r>
        <w:t xml:space="preserve"> (CERCLA)</w:t>
      </w:r>
      <w:r w:rsidRPr="000478F1">
        <w:t xml:space="preserve"> and Superfund Amendments and Reauthorization Act of 1986 (SARA)</w:t>
      </w:r>
      <w:bookmarkEnd w:id="2"/>
      <w:r w:rsidRPr="000478F1">
        <w:t xml:space="preserve"> </w:t>
      </w:r>
    </w:p>
    <w:p w14:paraId="50D12307" w14:textId="77777777" w:rsidR="00B929AD" w:rsidRPr="00B929AD" w:rsidRDefault="00B929AD" w:rsidP="00B929AD"/>
    <w:p w14:paraId="77B38622" w14:textId="77777777" w:rsidR="000B2416" w:rsidRPr="000B2416" w:rsidRDefault="000B2416" w:rsidP="00F229EC">
      <w:pPr>
        <w:jc w:val="center"/>
        <w:rPr>
          <w:rFonts w:ascii="Times New Roman" w:hAnsi="Times New Roman"/>
          <w:sz w:val="24"/>
          <w:szCs w:val="24"/>
        </w:rPr>
      </w:pPr>
      <w:r w:rsidRPr="000B2416">
        <w:rPr>
          <w:rFonts w:ascii="Times New Roman" w:hAnsi="Times New Roman"/>
          <w:sz w:val="24"/>
          <w:szCs w:val="24"/>
        </w:rPr>
        <w:t>TITLE 42--THE PUBLIC HEALTH AND WELFARE</w:t>
      </w:r>
    </w:p>
    <w:p w14:paraId="3D2DB553" w14:textId="77777777" w:rsidR="000B2416" w:rsidRPr="000B2416" w:rsidRDefault="000B2416" w:rsidP="00F229EC">
      <w:pPr>
        <w:jc w:val="center"/>
        <w:rPr>
          <w:rFonts w:ascii="Times New Roman" w:hAnsi="Times New Roman"/>
          <w:sz w:val="24"/>
          <w:szCs w:val="24"/>
        </w:rPr>
      </w:pPr>
      <w:r w:rsidRPr="000B2416">
        <w:rPr>
          <w:rFonts w:ascii="Times New Roman" w:hAnsi="Times New Roman"/>
          <w:sz w:val="24"/>
          <w:szCs w:val="24"/>
        </w:rPr>
        <w:t>CHAPTER 103--COMPREHENSIVE ENVIRONMENTAL RESPONSE, COMPENSATION, AND LIABILITY</w:t>
      </w:r>
    </w:p>
    <w:p w14:paraId="1D91FC02" w14:textId="77777777" w:rsidR="00BF239F" w:rsidRDefault="00BF239F" w:rsidP="00BF239F">
      <w:pPr>
        <w:spacing w:after="0"/>
      </w:pPr>
      <w:r w:rsidRPr="00792A7D">
        <w:t>[42 U.S.C. 9604(i)(1)(E), (7), (9), (15) and 9626(a)</w:t>
      </w:r>
      <w:r>
        <w:t>]</w:t>
      </w:r>
    </w:p>
    <w:p w14:paraId="047D9DD0" w14:textId="77777777" w:rsidR="00BF239F" w:rsidRPr="00953239" w:rsidRDefault="00BF239F" w:rsidP="00BF239F">
      <w:pPr>
        <w:spacing w:after="0"/>
        <w:rPr>
          <w:b/>
        </w:rPr>
      </w:pPr>
    </w:p>
    <w:p w14:paraId="621BFA2B" w14:textId="77777777" w:rsidR="00BF239F" w:rsidRPr="0064495B"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64495B">
        <w:rPr>
          <w:rFonts w:ascii="Times New Roman" w:eastAsia="Times New Roman" w:hAnsi="Times New Roman"/>
          <w:b/>
          <w:sz w:val="24"/>
          <w:szCs w:val="24"/>
        </w:rPr>
        <w:t>Section</w:t>
      </w:r>
      <w:r>
        <w:rPr>
          <w:rFonts w:ascii="Times New Roman" w:eastAsia="Times New Roman" w:hAnsi="Times New Roman"/>
          <w:b/>
          <w:sz w:val="24"/>
          <w:szCs w:val="24"/>
        </w:rPr>
        <w:t xml:space="preserve"> 96</w:t>
      </w:r>
      <w:r w:rsidRPr="0064495B">
        <w:rPr>
          <w:rFonts w:ascii="Times New Roman" w:eastAsia="Times New Roman" w:hAnsi="Times New Roman"/>
          <w:b/>
          <w:sz w:val="24"/>
          <w:szCs w:val="24"/>
        </w:rPr>
        <w:t>04</w:t>
      </w:r>
      <w:r>
        <w:rPr>
          <w:rFonts w:ascii="Times New Roman" w:eastAsia="Times New Roman" w:hAnsi="Times New Roman"/>
          <w:b/>
          <w:sz w:val="24"/>
          <w:szCs w:val="24"/>
        </w:rPr>
        <w:t>.</w:t>
      </w:r>
      <w:r w:rsidRPr="0064495B">
        <w:rPr>
          <w:rFonts w:ascii="Times New Roman" w:eastAsia="Times New Roman" w:hAnsi="Times New Roman"/>
          <w:sz w:val="24"/>
          <w:szCs w:val="24"/>
        </w:rPr>
        <w:t xml:space="preserve"> </w:t>
      </w:r>
      <w:r>
        <w:rPr>
          <w:rFonts w:ascii="Times New Roman" w:eastAsia="Times New Roman" w:hAnsi="Times New Roman"/>
          <w:sz w:val="24"/>
          <w:szCs w:val="24"/>
        </w:rPr>
        <w:t xml:space="preserve">(i) </w:t>
      </w:r>
      <w:r w:rsidRPr="0064495B">
        <w:rPr>
          <w:rFonts w:ascii="Times New Roman" w:eastAsia="Times New Roman" w:hAnsi="Times New Roman"/>
          <w:sz w:val="24"/>
          <w:szCs w:val="24"/>
        </w:rPr>
        <w:t>Agency for Toxic Substances and Disease Registry; establishment,</w:t>
      </w:r>
      <w:r>
        <w:rPr>
          <w:rFonts w:ascii="Times New Roman" w:eastAsia="Times New Roman" w:hAnsi="Times New Roman"/>
          <w:sz w:val="24"/>
          <w:szCs w:val="24"/>
        </w:rPr>
        <w:t xml:space="preserve"> </w:t>
      </w:r>
      <w:r w:rsidRPr="0064495B">
        <w:rPr>
          <w:rFonts w:ascii="Times New Roman" w:eastAsia="Times New Roman" w:hAnsi="Times New Roman"/>
          <w:sz w:val="24"/>
          <w:szCs w:val="24"/>
        </w:rPr>
        <w:t>functions, etc.</w:t>
      </w:r>
    </w:p>
    <w:p w14:paraId="66593A01" w14:textId="77777777"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14:paraId="08133845" w14:textId="77777777" w:rsidR="00BF239F" w:rsidRPr="00C0039D" w:rsidRDefault="00BF239F" w:rsidP="00BF239F">
      <w:pPr>
        <w:pStyle w:val="Title"/>
        <w:numPr>
          <w:ilvl w:val="0"/>
          <w:numId w:val="1"/>
        </w:numPr>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auto"/>
          <w:sz w:val="24"/>
          <w:szCs w:val="24"/>
        </w:rPr>
      </w:pPr>
      <w:r w:rsidRPr="00C0039D">
        <w:rPr>
          <w:rFonts w:ascii="Times New Roman" w:hAnsi="Times New Roman"/>
          <w:color w:val="auto"/>
          <w:sz w:val="24"/>
          <w:szCs w:val="24"/>
        </w:rPr>
        <w:t>There is hereby established within the Public Health Service an agency, to be known as the Agency for Toxic Substances and Disease Registry, which shall report directly to the Surgeon General of the United States. The Administrator of said Agency shall, with the cooperation of the Administrator of the Environmental Protection Agency, the Commissioner of the Food and Drug Administration, the Directors of the National Institute of Medicine, National Institute of Environmental Health Sciences, National Institute of Occupational Safety and Health, Centers for Disease Control and Prevention, the Administrator of the Occupational Safety and Health Administration, the Administrator of the Social Security Administration, the Secretary of Transportation, and appropriate State and local health officials, effectuate and implement the health related authorities of this chapter. In addition, said Administrator shall—</w:t>
      </w:r>
    </w:p>
    <w:p w14:paraId="646264DD" w14:textId="77777777" w:rsidR="00BF239F" w:rsidRPr="00C0039D" w:rsidRDefault="00BF239F" w:rsidP="00BF239F">
      <w:pPr>
        <w:pStyle w:val="Title"/>
        <w:pBdr>
          <w:bottom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hAnsi="Times New Roman"/>
          <w:color w:val="auto"/>
          <w:sz w:val="24"/>
          <w:szCs w:val="24"/>
        </w:rPr>
      </w:pPr>
      <w:r w:rsidRPr="00C0039D">
        <w:rPr>
          <w:rFonts w:ascii="Times New Roman" w:hAnsi="Times New Roman"/>
          <w:color w:val="auto"/>
          <w:sz w:val="24"/>
          <w:szCs w:val="24"/>
        </w:rPr>
        <w:t>(E) either independently or as part of other health status survey, conduct periodic survey and screening programs to determine relationships between exposure to toxic substances and illness. In cases of public health emergencies, exposed persons shall be eligible for admission to hospitals and other facilities and services operated or provided by the Public Health Service.</w:t>
      </w:r>
    </w:p>
    <w:p w14:paraId="2DC45C29" w14:textId="77777777"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61105D9F" w14:textId="77777777" w:rsidR="00BF239F" w:rsidRPr="0055138F" w:rsidRDefault="00BF239F" w:rsidP="00BF239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 xml:space="preserve">(7)  </w:t>
      </w:r>
      <w:r w:rsidRPr="0055138F">
        <w:rPr>
          <w:rFonts w:ascii="Times New Roman" w:hAnsi="Times New Roman"/>
          <w:sz w:val="24"/>
          <w:szCs w:val="24"/>
        </w:rPr>
        <w:t>(A) Whenever in the judgment of the Administrator of</w:t>
      </w:r>
      <w:r>
        <w:rPr>
          <w:rFonts w:ascii="Times New Roman" w:hAnsi="Times New Roman"/>
          <w:sz w:val="24"/>
          <w:szCs w:val="24"/>
        </w:rPr>
        <w:t xml:space="preserve"> ATSDR it is appropriate on the </w:t>
      </w:r>
      <w:r w:rsidRPr="0055138F">
        <w:rPr>
          <w:rFonts w:ascii="Times New Roman" w:hAnsi="Times New Roman"/>
          <w:sz w:val="24"/>
          <w:szCs w:val="24"/>
        </w:rPr>
        <w:t>basis of the results of a health assessment, the Administrator of ATSDR shall conduct a pilot study of health effects for selected groups of exposed individuals in order to determine the desirability of conducting full scale epidemiological or other health studies of the entire exposed population.</w:t>
      </w:r>
    </w:p>
    <w:p w14:paraId="4BE4769A" w14:textId="77777777" w:rsidR="00BF239F"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r>
        <w:rPr>
          <w:rFonts w:ascii="Times New Roman" w:hAnsi="Times New Roman"/>
          <w:sz w:val="24"/>
          <w:szCs w:val="24"/>
        </w:rPr>
        <w:tab/>
      </w:r>
      <w:r w:rsidRPr="0064495B">
        <w:rPr>
          <w:rFonts w:ascii="Times New Roman" w:hAnsi="Times New Roman"/>
          <w:sz w:val="24"/>
          <w:szCs w:val="24"/>
        </w:rPr>
        <w:t xml:space="preserve">(B) Whenever in the judgment of the Administrator of ATSDR it is appropriate on the basis of the results of such pilot study or other study or health assessment, the Administrator of ATSDR shall conduct such full scale epidemiological or other health studies as may be necessary to determine the health effects on the population exposed to hazardous substances from a release or threatened release. </w:t>
      </w:r>
      <w:r w:rsidRPr="0064495B">
        <w:rPr>
          <w:rFonts w:ascii="Times New Roman" w:hAnsi="Times New Roman"/>
          <w:sz w:val="24"/>
          <w:szCs w:val="24"/>
        </w:rPr>
        <w:lastRenderedPageBreak/>
        <w:t>If a significant excess of disease in a population is identified, the letter of transmittal of such study shall include an assessment of other risk factors, other than a release, that may, in the judgment of the peer review group, be associated with such disease, if such risk factors were not taken into account in the design or conduct of the study.</w:t>
      </w:r>
    </w:p>
    <w:p w14:paraId="16A6C39F" w14:textId="77777777" w:rsidR="00BF239F" w:rsidRPr="006D3C53" w:rsidRDefault="00BF239F" w:rsidP="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eastAsia="Times New Roman" w:hAnsi="Times New Roman"/>
          <w:sz w:val="24"/>
          <w:szCs w:val="24"/>
        </w:rPr>
      </w:pPr>
    </w:p>
    <w:p w14:paraId="16AB5DCA" w14:textId="77777777" w:rsidR="00BF239F"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t>(9) Where the Administrator of ATSDR has determined that there is a significant increased risk of adverse health effects in humans from exposure to hazardous substances based on the results of a health assessment conducted under paragraph (6), an epidemiologic study conducted under paragraph (7), or an exposure registry that has been established under paragraph (8), and the Administrator of ATSDR has determined that such exposure is the result of a release from a facility, the Administrator of ATSDR shall initiate a health surveillance program for such population. This program shall include but not be limited to—</w:t>
      </w:r>
    </w:p>
    <w:p w14:paraId="4739DC9C" w14:textId="77777777"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(A) periodic medical testing where appropriate of population subgroups to screen for diseases for which the population or subgroup is at significant increased risk; and</w:t>
      </w:r>
    </w:p>
    <w:p w14:paraId="11D1186D" w14:textId="77777777" w:rsidR="00BF239F" w:rsidRPr="0064495B" w:rsidRDefault="00BF239F" w:rsidP="00BF239F">
      <w:pPr>
        <w:spacing w:after="0" w:line="240" w:lineRule="auto"/>
        <w:ind w:left="720"/>
        <w:rPr>
          <w:rFonts w:ascii="Times New Roman" w:hAnsi="Times New Roman"/>
          <w:sz w:val="24"/>
          <w:szCs w:val="24"/>
        </w:rPr>
      </w:pPr>
      <w:r w:rsidRPr="0064495B">
        <w:rPr>
          <w:rFonts w:ascii="Times New Roman" w:hAnsi="Times New Roman"/>
          <w:sz w:val="24"/>
          <w:szCs w:val="24"/>
        </w:rPr>
        <w:t>(B) a mechanism to refer for treatment those individuals within such population who are screened positive for such diseases.</w:t>
      </w:r>
    </w:p>
    <w:p w14:paraId="1DA2D994" w14:textId="77777777" w:rsidR="00BF239F" w:rsidRPr="0064495B" w:rsidRDefault="00BF239F" w:rsidP="00BF239F">
      <w:pPr>
        <w:autoSpaceDE w:val="0"/>
        <w:autoSpaceDN w:val="0"/>
        <w:adjustRightInd w:val="0"/>
        <w:spacing w:after="0" w:line="240" w:lineRule="auto"/>
        <w:rPr>
          <w:rFonts w:ascii="Times New Roman" w:hAnsi="Times New Roman"/>
          <w:sz w:val="24"/>
          <w:szCs w:val="24"/>
        </w:rPr>
      </w:pPr>
    </w:p>
    <w:p w14:paraId="0B81BD4A" w14:textId="77777777" w:rsidR="00BF239F" w:rsidRPr="0064495B" w:rsidRDefault="00BF239F" w:rsidP="00BF239F">
      <w:pPr>
        <w:spacing w:after="0" w:line="240" w:lineRule="auto"/>
        <w:ind w:left="720" w:hanging="360"/>
        <w:rPr>
          <w:rFonts w:ascii="Times New Roman" w:hAnsi="Times New Roman"/>
          <w:sz w:val="24"/>
          <w:szCs w:val="24"/>
        </w:rPr>
      </w:pPr>
      <w:r w:rsidRPr="0064495B">
        <w:rPr>
          <w:rFonts w:ascii="Times New Roman" w:hAnsi="Times New Roman"/>
          <w:sz w:val="24"/>
          <w:szCs w:val="24"/>
        </w:rPr>
        <w:t xml:space="preserve">(15) The activities of the Administrator of ATSDR described in this </w:t>
      </w:r>
      <w:r>
        <w:rPr>
          <w:rFonts w:ascii="Times New Roman" w:hAnsi="Times New Roman"/>
          <w:sz w:val="24"/>
          <w:szCs w:val="24"/>
        </w:rPr>
        <w:t xml:space="preserve">subsection and section </w:t>
      </w:r>
      <w:r w:rsidRPr="0064495B">
        <w:rPr>
          <w:rFonts w:ascii="Times New Roman" w:hAnsi="Times New Roman"/>
          <w:sz w:val="24"/>
          <w:szCs w:val="24"/>
        </w:rPr>
        <w:t xml:space="preserve">9611(c)(4) of this title shall be carried out by the Administrator of ATSDR, either directly or through cooperative agreements with States (or political </w:t>
      </w:r>
      <w:r>
        <w:rPr>
          <w:rFonts w:ascii="Times New Roman" w:hAnsi="Times New Roman"/>
          <w:sz w:val="24"/>
          <w:szCs w:val="24"/>
        </w:rPr>
        <w:t xml:space="preserve">subdivisions thereof) which the </w:t>
      </w:r>
      <w:r w:rsidRPr="0064495B">
        <w:rPr>
          <w:rFonts w:ascii="Times New Roman" w:hAnsi="Times New Roman"/>
          <w:sz w:val="24"/>
          <w:szCs w:val="24"/>
        </w:rPr>
        <w:t>Administrator of ATSDR determines are capable of carrying out such activities. Such activities shall include provision of consultations on health information, the conduct of health assessments, including those required under section 3019(b) of the Solid Waste Disposal Act [42 U.S.C. 6939a(b)], health studies, registries, and health surveillance.</w:t>
      </w:r>
    </w:p>
    <w:p w14:paraId="0B476E0B" w14:textId="77777777" w:rsidR="00BF239F" w:rsidRPr="0064495B" w:rsidRDefault="00BF239F" w:rsidP="00BF239F">
      <w:pPr>
        <w:autoSpaceDE w:val="0"/>
        <w:autoSpaceDN w:val="0"/>
        <w:adjustRightInd w:val="0"/>
        <w:spacing w:after="0" w:line="240" w:lineRule="auto"/>
        <w:rPr>
          <w:rFonts w:ascii="Times New Roman" w:hAnsi="Times New Roman"/>
          <w:sz w:val="24"/>
          <w:szCs w:val="24"/>
        </w:rPr>
      </w:pPr>
    </w:p>
    <w:p w14:paraId="4E554B46" w14:textId="77777777" w:rsidR="00BF239F" w:rsidRDefault="00BF239F" w:rsidP="00BF239F">
      <w:pPr>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b/>
          <w:sz w:val="24"/>
          <w:szCs w:val="24"/>
        </w:rPr>
        <w:t xml:space="preserve">Section 9626. </w:t>
      </w:r>
      <w:r>
        <w:rPr>
          <w:rFonts w:ascii="Times New Roman" w:hAnsi="Times New Roman"/>
          <w:bCs/>
          <w:sz w:val="24"/>
          <w:szCs w:val="24"/>
        </w:rPr>
        <w:t>Indian Tribes</w:t>
      </w:r>
      <w:r w:rsidRPr="0055138F">
        <w:rPr>
          <w:rFonts w:ascii="Times New Roman" w:hAnsi="Times New Roman"/>
          <w:bCs/>
          <w:sz w:val="24"/>
          <w:szCs w:val="24"/>
        </w:rPr>
        <w:t>.</w:t>
      </w:r>
    </w:p>
    <w:p w14:paraId="3935ADDF" w14:textId="77777777" w:rsidR="000B2416" w:rsidRPr="0064495B" w:rsidRDefault="000B2416" w:rsidP="00BF239F">
      <w:pPr>
        <w:autoSpaceDE w:val="0"/>
        <w:autoSpaceDN w:val="0"/>
        <w:adjustRightInd w:val="0"/>
        <w:spacing w:after="0" w:line="240" w:lineRule="auto"/>
        <w:rPr>
          <w:rFonts w:ascii="Times New Roman" w:hAnsi="Times New Roman"/>
          <w:b/>
          <w:bCs/>
          <w:sz w:val="24"/>
          <w:szCs w:val="24"/>
        </w:rPr>
      </w:pPr>
    </w:p>
    <w:p w14:paraId="5B5C1E00" w14:textId="77777777" w:rsidR="00BF239F" w:rsidRDefault="00BF239F" w:rsidP="00BF239F">
      <w:pPr>
        <w:autoSpaceDE w:val="0"/>
        <w:autoSpaceDN w:val="0"/>
        <w:adjustRightInd w:val="0"/>
        <w:spacing w:after="0" w:line="240" w:lineRule="auto"/>
        <w:ind w:left="720"/>
        <w:rPr>
          <w:rFonts w:ascii="Times New Roman" w:hAnsi="Times New Roman"/>
          <w:sz w:val="24"/>
          <w:szCs w:val="24"/>
        </w:rPr>
      </w:pPr>
      <w:r w:rsidRPr="0064495B">
        <w:rPr>
          <w:rFonts w:ascii="Times New Roman" w:hAnsi="Times New Roman"/>
          <w:sz w:val="24"/>
          <w:szCs w:val="24"/>
        </w:rPr>
        <w:t>(</w:t>
      </w:r>
      <w:r>
        <w:rPr>
          <w:rFonts w:ascii="Times New Roman" w:hAnsi="Times New Roman"/>
          <w:sz w:val="24"/>
          <w:szCs w:val="24"/>
        </w:rPr>
        <w:t>A</w:t>
      </w:r>
      <w:r w:rsidRPr="0064495B">
        <w:rPr>
          <w:rFonts w:ascii="Times New Roman" w:hAnsi="Times New Roman"/>
          <w:sz w:val="24"/>
          <w:szCs w:val="24"/>
        </w:rPr>
        <w:t xml:space="preserve">) </w:t>
      </w:r>
      <w:r>
        <w:rPr>
          <w:rFonts w:ascii="Times New Roman" w:hAnsi="Times New Roman"/>
          <w:sz w:val="24"/>
          <w:szCs w:val="24"/>
        </w:rPr>
        <w:t>Treatment generally</w:t>
      </w:r>
      <w:r w:rsidRPr="0064495B">
        <w:rPr>
          <w:rFonts w:ascii="Times New Roman" w:hAnsi="Times New Roman"/>
          <w:sz w:val="24"/>
          <w:szCs w:val="24"/>
        </w:rPr>
        <w:t>.—The governing body of an Indian</w:t>
      </w:r>
      <w:r>
        <w:rPr>
          <w:rFonts w:ascii="Times New Roman" w:hAnsi="Times New Roman"/>
          <w:sz w:val="24"/>
          <w:szCs w:val="24"/>
        </w:rPr>
        <w:t xml:space="preserve"> </w:t>
      </w:r>
      <w:r w:rsidRPr="0064495B">
        <w:rPr>
          <w:rFonts w:ascii="Times New Roman" w:hAnsi="Times New Roman"/>
          <w:sz w:val="24"/>
          <w:szCs w:val="24"/>
        </w:rPr>
        <w:t>tribe shall be afforded substantially the same treatment as a State</w:t>
      </w:r>
      <w:r>
        <w:rPr>
          <w:rFonts w:ascii="Times New Roman" w:hAnsi="Times New Roman"/>
          <w:sz w:val="24"/>
          <w:szCs w:val="24"/>
        </w:rPr>
        <w:t xml:space="preserve"> </w:t>
      </w:r>
      <w:r w:rsidRPr="0064495B">
        <w:rPr>
          <w:rFonts w:ascii="Times New Roman" w:hAnsi="Times New Roman"/>
          <w:sz w:val="24"/>
          <w:szCs w:val="24"/>
        </w:rPr>
        <w:t>with respect to the provisions of section 103(a) (regarding notification</w:t>
      </w:r>
      <w:r>
        <w:rPr>
          <w:rFonts w:ascii="Times New Roman" w:hAnsi="Times New Roman"/>
          <w:sz w:val="24"/>
          <w:szCs w:val="24"/>
        </w:rPr>
        <w:t xml:space="preserve"> </w:t>
      </w:r>
      <w:r w:rsidRPr="0064495B">
        <w:rPr>
          <w:rFonts w:ascii="Times New Roman" w:hAnsi="Times New Roman"/>
          <w:sz w:val="24"/>
          <w:szCs w:val="24"/>
        </w:rPr>
        <w:t>of releases), section 104(c)(2) (regarding consultation on remedial</w:t>
      </w:r>
      <w:r>
        <w:rPr>
          <w:rFonts w:ascii="Times New Roman" w:hAnsi="Times New Roman"/>
          <w:sz w:val="24"/>
          <w:szCs w:val="24"/>
        </w:rPr>
        <w:t xml:space="preserve"> </w:t>
      </w:r>
      <w:r w:rsidRPr="0064495B">
        <w:rPr>
          <w:rFonts w:ascii="Times New Roman" w:hAnsi="Times New Roman"/>
          <w:sz w:val="24"/>
          <w:szCs w:val="24"/>
        </w:rPr>
        <w:t>actions), section 104(e) (regarding access to information), section</w:t>
      </w:r>
      <w:r>
        <w:rPr>
          <w:rFonts w:ascii="Times New Roman" w:hAnsi="Times New Roman"/>
          <w:sz w:val="24"/>
          <w:szCs w:val="24"/>
        </w:rPr>
        <w:t xml:space="preserve"> </w:t>
      </w:r>
      <w:r w:rsidRPr="0064495B">
        <w:rPr>
          <w:rFonts w:ascii="Times New Roman" w:hAnsi="Times New Roman"/>
          <w:sz w:val="24"/>
          <w:szCs w:val="24"/>
        </w:rPr>
        <w:t>104(i) (regarding health authorities) and section 105 (regarding</w:t>
      </w:r>
      <w:r>
        <w:rPr>
          <w:rFonts w:ascii="Times New Roman" w:hAnsi="Times New Roman"/>
          <w:sz w:val="24"/>
          <w:szCs w:val="24"/>
        </w:rPr>
        <w:t xml:space="preserve"> </w:t>
      </w:r>
      <w:r w:rsidRPr="0064495B">
        <w:rPr>
          <w:rFonts w:ascii="Times New Roman" w:hAnsi="Times New Roman"/>
          <w:sz w:val="24"/>
          <w:szCs w:val="24"/>
        </w:rPr>
        <w:t>roles and responsibilities under the national contingency plan</w:t>
      </w:r>
      <w:r>
        <w:rPr>
          <w:rFonts w:ascii="Times New Roman" w:hAnsi="Times New Roman"/>
          <w:sz w:val="24"/>
          <w:szCs w:val="24"/>
        </w:rPr>
        <w:t xml:space="preserve"> </w:t>
      </w:r>
      <w:r w:rsidRPr="0064495B">
        <w:rPr>
          <w:rFonts w:ascii="Times New Roman" w:hAnsi="Times New Roman"/>
          <w:sz w:val="24"/>
          <w:szCs w:val="24"/>
        </w:rPr>
        <w:t>and submittal of priorities for remedial action, but not including</w:t>
      </w:r>
      <w:r>
        <w:rPr>
          <w:rFonts w:ascii="Times New Roman" w:hAnsi="Times New Roman"/>
          <w:sz w:val="24"/>
          <w:szCs w:val="24"/>
        </w:rPr>
        <w:t xml:space="preserve"> </w:t>
      </w:r>
      <w:r w:rsidRPr="0064495B">
        <w:rPr>
          <w:rFonts w:ascii="Times New Roman" w:hAnsi="Times New Roman"/>
          <w:sz w:val="24"/>
          <w:szCs w:val="24"/>
        </w:rPr>
        <w:t>the provision regarding the inclusion of at least one facility per</w:t>
      </w:r>
      <w:r>
        <w:rPr>
          <w:rFonts w:ascii="Times New Roman" w:hAnsi="Times New Roman"/>
          <w:sz w:val="24"/>
          <w:szCs w:val="24"/>
        </w:rPr>
        <w:t xml:space="preserve"> </w:t>
      </w:r>
      <w:r w:rsidRPr="0064495B">
        <w:rPr>
          <w:rFonts w:ascii="Times New Roman" w:hAnsi="Times New Roman"/>
          <w:sz w:val="24"/>
          <w:szCs w:val="24"/>
        </w:rPr>
        <w:t>State on the National Priorities List).</w:t>
      </w:r>
      <w:bookmarkStart w:id="3" w:name="a"/>
      <w:bookmarkEnd w:id="3"/>
    </w:p>
    <w:p w14:paraId="77F7C59B" w14:textId="77777777" w:rsidR="00574E99" w:rsidRDefault="00574E99" w:rsidP="00BF239F"/>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9F"/>
    <w:rsid w:val="000856E9"/>
    <w:rsid w:val="000B2416"/>
    <w:rsid w:val="000F7FE3"/>
    <w:rsid w:val="001106B3"/>
    <w:rsid w:val="00235349"/>
    <w:rsid w:val="003038C8"/>
    <w:rsid w:val="00384AE8"/>
    <w:rsid w:val="00574E99"/>
    <w:rsid w:val="00A102E8"/>
    <w:rsid w:val="00B22ABC"/>
    <w:rsid w:val="00B929AD"/>
    <w:rsid w:val="00B94641"/>
    <w:rsid w:val="00BF239F"/>
    <w:rsid w:val="00F2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11400"/>
  <w15:docId w15:val="{93A235BF-A8BE-4F2F-8A5C-89982B9C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CommentReference">
    <w:name w:val="annotation reference"/>
    <w:basedOn w:val="DefaultParagraphFont"/>
    <w:semiHidden/>
    <w:unhideWhenUsed/>
    <w:rsid w:val="00235349"/>
    <w:rPr>
      <w:sz w:val="16"/>
      <w:szCs w:val="16"/>
    </w:rPr>
  </w:style>
  <w:style w:type="paragraph" w:styleId="CommentText">
    <w:name w:val="annotation text"/>
    <w:basedOn w:val="Normal"/>
    <w:link w:val="CommentTextChar"/>
    <w:semiHidden/>
    <w:unhideWhenUsed/>
    <w:rsid w:val="00235349"/>
    <w:pPr>
      <w:spacing w:line="240" w:lineRule="auto"/>
    </w:pPr>
    <w:rPr>
      <w:sz w:val="20"/>
      <w:szCs w:val="20"/>
    </w:rPr>
  </w:style>
  <w:style w:type="character" w:customStyle="1" w:styleId="CommentTextChar">
    <w:name w:val="Comment Text Char"/>
    <w:basedOn w:val="DefaultParagraphFont"/>
    <w:link w:val="CommentText"/>
    <w:semiHidden/>
    <w:rsid w:val="00235349"/>
    <w:rPr>
      <w:rFonts w:ascii="Calibri" w:eastAsia="Calibri" w:hAnsi="Calibri"/>
    </w:rPr>
  </w:style>
  <w:style w:type="paragraph" w:styleId="CommentSubject">
    <w:name w:val="annotation subject"/>
    <w:basedOn w:val="CommentText"/>
    <w:next w:val="CommentText"/>
    <w:link w:val="CommentSubjectChar"/>
    <w:semiHidden/>
    <w:unhideWhenUsed/>
    <w:rsid w:val="00235349"/>
    <w:rPr>
      <w:b/>
      <w:bCs/>
    </w:rPr>
  </w:style>
  <w:style w:type="character" w:customStyle="1" w:styleId="CommentSubjectChar">
    <w:name w:val="Comment Subject Char"/>
    <w:basedOn w:val="CommentTextChar"/>
    <w:link w:val="CommentSubject"/>
    <w:semiHidden/>
    <w:rsid w:val="00235349"/>
    <w:rPr>
      <w:rFonts w:ascii="Calibri" w:eastAsia="Calibri" w:hAnsi="Calibri"/>
      <w:b/>
      <w:bCs/>
    </w:rPr>
  </w:style>
  <w:style w:type="character" w:styleId="FollowedHyperlink">
    <w:name w:val="FollowedHyperlink"/>
    <w:basedOn w:val="DefaultParagraphFont"/>
    <w:semiHidden/>
    <w:unhideWhenUsed/>
    <w:rsid w:val="00235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CDC User</cp:lastModifiedBy>
  <cp:revision>2</cp:revision>
  <cp:lastPrinted>2011-12-22T21:41:00Z</cp:lastPrinted>
  <dcterms:created xsi:type="dcterms:W3CDTF">2016-07-11T10:40:00Z</dcterms:created>
  <dcterms:modified xsi:type="dcterms:W3CDTF">2016-07-11T10:40:00Z</dcterms:modified>
</cp:coreProperties>
</file>