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5C554" w14:textId="77777777" w:rsidR="001B5E26" w:rsidRPr="00A76BAF" w:rsidRDefault="001B5E26" w:rsidP="001B5E26">
      <w:pPr>
        <w:jc w:val="center"/>
        <w:rPr>
          <w:b/>
          <w:color w:val="000000"/>
          <w:sz w:val="32"/>
          <w:szCs w:val="32"/>
        </w:rPr>
      </w:pPr>
    </w:p>
    <w:p w14:paraId="202FF8AA" w14:textId="77777777" w:rsidR="001B5E26" w:rsidRPr="00A76BAF" w:rsidRDefault="001B5E26" w:rsidP="001B5E26">
      <w:pPr>
        <w:jc w:val="center"/>
        <w:rPr>
          <w:b/>
          <w:color w:val="000000"/>
          <w:sz w:val="32"/>
          <w:szCs w:val="32"/>
        </w:rPr>
      </w:pPr>
    </w:p>
    <w:p w14:paraId="6B6360BB" w14:textId="77777777" w:rsidR="001B5E26" w:rsidRPr="00A76BAF" w:rsidRDefault="001B5E26" w:rsidP="001B5E26">
      <w:pPr>
        <w:jc w:val="center"/>
        <w:rPr>
          <w:b/>
          <w:color w:val="000000"/>
          <w:sz w:val="32"/>
          <w:szCs w:val="32"/>
        </w:rPr>
      </w:pPr>
    </w:p>
    <w:p w14:paraId="5E82D101" w14:textId="77777777" w:rsidR="001B5E26" w:rsidRPr="00A76BAF" w:rsidRDefault="001B5E26" w:rsidP="001B5E26">
      <w:pPr>
        <w:jc w:val="center"/>
        <w:rPr>
          <w:b/>
          <w:color w:val="000000"/>
          <w:sz w:val="32"/>
          <w:szCs w:val="32"/>
        </w:rPr>
      </w:pPr>
    </w:p>
    <w:p w14:paraId="5B9902EE" w14:textId="77777777" w:rsidR="001B5E26" w:rsidRPr="00A76BAF" w:rsidRDefault="001B5E26" w:rsidP="001B5E26">
      <w:pPr>
        <w:jc w:val="center"/>
        <w:rPr>
          <w:b/>
          <w:color w:val="000000"/>
          <w:sz w:val="32"/>
          <w:szCs w:val="32"/>
        </w:rPr>
      </w:pPr>
    </w:p>
    <w:p w14:paraId="18125010" w14:textId="77777777" w:rsidR="001B5E26" w:rsidRPr="00A76BAF" w:rsidRDefault="001B5E26" w:rsidP="001B5E26">
      <w:pPr>
        <w:jc w:val="center"/>
        <w:rPr>
          <w:b/>
          <w:color w:val="000000"/>
          <w:sz w:val="32"/>
          <w:szCs w:val="32"/>
        </w:rPr>
      </w:pPr>
    </w:p>
    <w:p w14:paraId="119622FF" w14:textId="77777777" w:rsidR="001B5E26" w:rsidRPr="00A76BAF" w:rsidRDefault="001B5E26" w:rsidP="001B5E26">
      <w:pPr>
        <w:jc w:val="center"/>
        <w:rPr>
          <w:b/>
          <w:color w:val="000000"/>
          <w:sz w:val="32"/>
          <w:szCs w:val="32"/>
        </w:rPr>
      </w:pPr>
    </w:p>
    <w:p w14:paraId="47C9586B" w14:textId="77777777" w:rsidR="001B5E26" w:rsidRPr="00A76BAF" w:rsidRDefault="001B5E26" w:rsidP="001B5E26">
      <w:pPr>
        <w:jc w:val="center"/>
        <w:rPr>
          <w:b/>
          <w:color w:val="000000"/>
          <w:sz w:val="32"/>
          <w:szCs w:val="32"/>
        </w:rPr>
      </w:pPr>
      <w:r>
        <w:rPr>
          <w:b/>
          <w:color w:val="000000"/>
          <w:sz w:val="32"/>
          <w:szCs w:val="32"/>
        </w:rPr>
        <w:t>Supporting Statement B</w:t>
      </w:r>
      <w:r w:rsidRPr="00A76BAF">
        <w:rPr>
          <w:b/>
          <w:color w:val="000000"/>
          <w:sz w:val="32"/>
          <w:szCs w:val="32"/>
        </w:rPr>
        <w:t xml:space="preserve"> For:</w:t>
      </w:r>
    </w:p>
    <w:p w14:paraId="1251DB2A" w14:textId="77777777" w:rsidR="001B5E26" w:rsidRDefault="001B5E26" w:rsidP="001B5E26">
      <w:pPr>
        <w:jc w:val="center"/>
        <w:rPr>
          <w:b/>
          <w:color w:val="000000"/>
          <w:sz w:val="32"/>
          <w:szCs w:val="32"/>
        </w:rPr>
      </w:pPr>
    </w:p>
    <w:p w14:paraId="69518903" w14:textId="77777777" w:rsidR="001B5E26" w:rsidRPr="00A76BAF" w:rsidRDefault="001B5E26" w:rsidP="001B5E26">
      <w:pPr>
        <w:jc w:val="center"/>
        <w:rPr>
          <w:b/>
          <w:color w:val="000000"/>
          <w:sz w:val="32"/>
          <w:szCs w:val="32"/>
        </w:rPr>
      </w:pPr>
    </w:p>
    <w:p w14:paraId="78021F1D" w14:textId="77777777" w:rsidR="001B5E26" w:rsidRDefault="001B5E26" w:rsidP="001B5E26">
      <w:pPr>
        <w:jc w:val="center"/>
        <w:rPr>
          <w:b/>
          <w:color w:val="000000"/>
          <w:sz w:val="32"/>
          <w:szCs w:val="32"/>
        </w:rPr>
      </w:pPr>
      <w:r w:rsidRPr="00B77D6C">
        <w:rPr>
          <w:b/>
          <w:color w:val="000000"/>
          <w:sz w:val="32"/>
          <w:szCs w:val="32"/>
        </w:rPr>
        <w:t xml:space="preserve">Health Information National Trends Survey </w:t>
      </w:r>
      <w:r w:rsidR="00B260B5">
        <w:rPr>
          <w:b/>
          <w:color w:val="000000"/>
          <w:sz w:val="32"/>
          <w:szCs w:val="32"/>
        </w:rPr>
        <w:t>V (HINTS V</w:t>
      </w:r>
      <w:r>
        <w:rPr>
          <w:b/>
          <w:color w:val="000000"/>
          <w:sz w:val="32"/>
          <w:szCs w:val="32"/>
        </w:rPr>
        <w:t>)</w:t>
      </w:r>
    </w:p>
    <w:p w14:paraId="04709260" w14:textId="77777777" w:rsidR="001B5E26" w:rsidRDefault="001B5E26" w:rsidP="001B5E26">
      <w:pPr>
        <w:jc w:val="center"/>
        <w:rPr>
          <w:b/>
          <w:color w:val="000000"/>
          <w:sz w:val="32"/>
          <w:szCs w:val="32"/>
        </w:rPr>
      </w:pPr>
    </w:p>
    <w:p w14:paraId="6DAC23A5" w14:textId="77777777" w:rsidR="001B5E26" w:rsidRPr="00B77D6C" w:rsidRDefault="001B5E26" w:rsidP="001B5E26">
      <w:pPr>
        <w:jc w:val="center"/>
        <w:rPr>
          <w:b/>
          <w:color w:val="000000"/>
          <w:sz w:val="32"/>
          <w:szCs w:val="32"/>
        </w:rPr>
      </w:pPr>
      <w:r w:rsidRPr="00B77D6C">
        <w:rPr>
          <w:b/>
          <w:color w:val="000000"/>
          <w:sz w:val="32"/>
          <w:szCs w:val="32"/>
        </w:rPr>
        <w:t>(NCI)</w:t>
      </w:r>
    </w:p>
    <w:p w14:paraId="7FE068AC" w14:textId="77777777" w:rsidR="001B5E26" w:rsidRPr="00B77D6C" w:rsidRDefault="001B5E26" w:rsidP="001B5E26">
      <w:pPr>
        <w:jc w:val="center"/>
        <w:rPr>
          <w:b/>
          <w:color w:val="000000"/>
          <w:sz w:val="28"/>
          <w:szCs w:val="28"/>
        </w:rPr>
      </w:pPr>
    </w:p>
    <w:p w14:paraId="5F1C98E0" w14:textId="77777777" w:rsidR="00185BBE" w:rsidRPr="005C5489" w:rsidRDefault="00185BBE" w:rsidP="00185BBE">
      <w:pPr>
        <w:jc w:val="center"/>
        <w:rPr>
          <w:b/>
          <w:color w:val="000000"/>
          <w:sz w:val="28"/>
          <w:szCs w:val="28"/>
          <w:highlight w:val="yellow"/>
        </w:rPr>
      </w:pPr>
      <w:r w:rsidRPr="005C5489">
        <w:rPr>
          <w:b/>
          <w:color w:val="000000"/>
          <w:sz w:val="28"/>
          <w:szCs w:val="28"/>
        </w:rPr>
        <w:t>OMB No: 0925-0538</w:t>
      </w:r>
      <w:r w:rsidR="00B260B5" w:rsidRPr="005C5489">
        <w:rPr>
          <w:b/>
          <w:color w:val="000000"/>
          <w:sz w:val="28"/>
          <w:szCs w:val="28"/>
        </w:rPr>
        <w:t xml:space="preserve">, Expiry Date </w:t>
      </w:r>
      <w:r w:rsidR="00B260B5" w:rsidRPr="005C5489">
        <w:rPr>
          <w:b/>
          <w:color w:val="000000"/>
          <w:sz w:val="28"/>
          <w:szCs w:val="28"/>
          <w:highlight w:val="yellow"/>
        </w:rPr>
        <w:t>X/XX/XXXX</w:t>
      </w:r>
    </w:p>
    <w:p w14:paraId="6721B618" w14:textId="77777777" w:rsidR="001B5E26" w:rsidRPr="00FF5B9D" w:rsidRDefault="001B5E26" w:rsidP="001B5E26">
      <w:pPr>
        <w:jc w:val="center"/>
        <w:rPr>
          <w:b/>
          <w:color w:val="000000"/>
          <w:sz w:val="28"/>
          <w:szCs w:val="28"/>
          <w:highlight w:val="green"/>
        </w:rPr>
      </w:pPr>
    </w:p>
    <w:p w14:paraId="1353A611" w14:textId="77777777" w:rsidR="001B5E26" w:rsidRPr="00FF5B9D" w:rsidRDefault="001B5E26" w:rsidP="001B5E26">
      <w:pPr>
        <w:jc w:val="center"/>
        <w:rPr>
          <w:b/>
          <w:color w:val="000000"/>
          <w:sz w:val="28"/>
          <w:szCs w:val="28"/>
          <w:highlight w:val="green"/>
        </w:rPr>
      </w:pPr>
    </w:p>
    <w:p w14:paraId="0B168A82" w14:textId="40AEC1DF" w:rsidR="001B5E26" w:rsidRDefault="00E232EA" w:rsidP="001B5E26">
      <w:pPr>
        <w:jc w:val="center"/>
        <w:rPr>
          <w:color w:val="000000"/>
          <w:sz w:val="24"/>
          <w:szCs w:val="24"/>
        </w:rPr>
      </w:pPr>
      <w:r>
        <w:rPr>
          <w:color w:val="000000"/>
          <w:sz w:val="24"/>
          <w:szCs w:val="24"/>
          <w:highlight w:val="yellow"/>
        </w:rPr>
        <w:t xml:space="preserve">August 18, </w:t>
      </w:r>
      <w:r w:rsidR="00B260B5" w:rsidRPr="00B260B5">
        <w:rPr>
          <w:color w:val="000000"/>
          <w:sz w:val="24"/>
          <w:szCs w:val="24"/>
          <w:highlight w:val="yellow"/>
        </w:rPr>
        <w:t>2016</w:t>
      </w:r>
    </w:p>
    <w:p w14:paraId="7ACC56C5" w14:textId="77777777" w:rsidR="001B5E26" w:rsidRPr="00F30009" w:rsidRDefault="001B5E26" w:rsidP="001B5E26">
      <w:pPr>
        <w:jc w:val="center"/>
        <w:rPr>
          <w:color w:val="000000"/>
          <w:sz w:val="24"/>
          <w:szCs w:val="24"/>
        </w:rPr>
      </w:pPr>
      <w:r>
        <w:rPr>
          <w:color w:val="000000"/>
          <w:sz w:val="24"/>
          <w:szCs w:val="24"/>
        </w:rPr>
        <w:t xml:space="preserve"> </w:t>
      </w:r>
    </w:p>
    <w:p w14:paraId="0C29B097" w14:textId="77777777" w:rsidR="001B5E26" w:rsidRPr="00A76BAF" w:rsidRDefault="001B5E26" w:rsidP="001B5E26">
      <w:pPr>
        <w:jc w:val="center"/>
        <w:rPr>
          <w:b/>
          <w:color w:val="000000"/>
          <w:szCs w:val="22"/>
        </w:rPr>
      </w:pPr>
    </w:p>
    <w:p w14:paraId="36684F6C" w14:textId="77777777" w:rsidR="001B5E26" w:rsidRPr="00A76BAF" w:rsidRDefault="001B5E26" w:rsidP="001B5E26">
      <w:pPr>
        <w:jc w:val="center"/>
        <w:rPr>
          <w:b/>
          <w:color w:val="000000"/>
          <w:sz w:val="28"/>
          <w:szCs w:val="28"/>
        </w:rPr>
      </w:pPr>
    </w:p>
    <w:p w14:paraId="5ABBAF69" w14:textId="77777777" w:rsidR="000C1347" w:rsidRDefault="000C1347" w:rsidP="000C1347">
      <w:pPr>
        <w:jc w:val="center"/>
        <w:rPr>
          <w:color w:val="000000"/>
          <w:sz w:val="24"/>
          <w:szCs w:val="24"/>
          <w:highlight w:val="yellow"/>
        </w:rPr>
      </w:pPr>
      <w:r w:rsidRPr="00CB7115">
        <w:rPr>
          <w:color w:val="000000"/>
          <w:sz w:val="24"/>
          <w:szCs w:val="24"/>
          <w:highlight w:val="yellow"/>
        </w:rPr>
        <w:t xml:space="preserve">This </w:t>
      </w:r>
      <w:r>
        <w:rPr>
          <w:color w:val="000000"/>
          <w:sz w:val="24"/>
          <w:szCs w:val="24"/>
          <w:highlight w:val="yellow"/>
        </w:rPr>
        <w:t xml:space="preserve">submission is </w:t>
      </w:r>
      <w:r w:rsidRPr="00CB7115">
        <w:rPr>
          <w:color w:val="000000"/>
          <w:sz w:val="24"/>
          <w:szCs w:val="24"/>
          <w:highlight w:val="yellow"/>
        </w:rPr>
        <w:t xml:space="preserve">a Reinstatement with Changes.  </w:t>
      </w:r>
    </w:p>
    <w:p w14:paraId="6D452C6E" w14:textId="77777777" w:rsidR="00185BBE" w:rsidRPr="00051A86" w:rsidRDefault="00185BBE" w:rsidP="00185BBE">
      <w:pPr>
        <w:jc w:val="center"/>
        <w:rPr>
          <w:color w:val="000000"/>
          <w:sz w:val="24"/>
          <w:szCs w:val="24"/>
          <w:highlight w:val="yellow"/>
        </w:rPr>
      </w:pPr>
    </w:p>
    <w:p w14:paraId="11C65746" w14:textId="77777777" w:rsidR="00185BBE" w:rsidRPr="00CB7115" w:rsidRDefault="00185BBE" w:rsidP="00185BBE">
      <w:pPr>
        <w:jc w:val="center"/>
        <w:rPr>
          <w:color w:val="000000"/>
          <w:sz w:val="24"/>
          <w:szCs w:val="24"/>
          <w:highlight w:val="yellow"/>
        </w:rPr>
      </w:pPr>
    </w:p>
    <w:p w14:paraId="010ECDB5" w14:textId="1175A94C" w:rsidR="00185BBE" w:rsidRDefault="00185BBE" w:rsidP="00185BBE">
      <w:pPr>
        <w:jc w:val="center"/>
        <w:rPr>
          <w:color w:val="000000"/>
          <w:sz w:val="24"/>
          <w:szCs w:val="24"/>
        </w:rPr>
      </w:pPr>
      <w:r w:rsidRPr="00CB7115">
        <w:rPr>
          <w:color w:val="000000"/>
          <w:sz w:val="24"/>
          <w:szCs w:val="24"/>
          <w:highlight w:val="yellow"/>
        </w:rPr>
        <w:t>Yellow Highlight</w:t>
      </w:r>
      <w:r w:rsidR="00FF5B9D">
        <w:rPr>
          <w:color w:val="000000"/>
          <w:sz w:val="24"/>
          <w:szCs w:val="24"/>
          <w:highlight w:val="yellow"/>
        </w:rPr>
        <w:t>s indicate changes from</w:t>
      </w:r>
      <w:r w:rsidR="003721C3">
        <w:rPr>
          <w:color w:val="000000"/>
          <w:sz w:val="24"/>
          <w:szCs w:val="24"/>
          <w:highlight w:val="yellow"/>
        </w:rPr>
        <w:t xml:space="preserve"> the 20</w:t>
      </w:r>
      <w:r w:rsidR="00E232EA">
        <w:rPr>
          <w:color w:val="000000"/>
          <w:sz w:val="24"/>
          <w:szCs w:val="24"/>
          <w:highlight w:val="yellow"/>
        </w:rPr>
        <w:t>15</w:t>
      </w:r>
      <w:r w:rsidRPr="00CB7115">
        <w:rPr>
          <w:color w:val="000000"/>
          <w:sz w:val="24"/>
          <w:szCs w:val="24"/>
          <w:highlight w:val="yellow"/>
        </w:rPr>
        <w:t xml:space="preserve"> submission.</w:t>
      </w:r>
    </w:p>
    <w:p w14:paraId="2FF651DA" w14:textId="77777777" w:rsidR="001B5E26" w:rsidRPr="00A76BAF" w:rsidRDefault="001B5E26" w:rsidP="001B5E26">
      <w:pPr>
        <w:jc w:val="center"/>
        <w:rPr>
          <w:b/>
          <w:color w:val="000000"/>
          <w:sz w:val="28"/>
          <w:szCs w:val="28"/>
        </w:rPr>
      </w:pPr>
    </w:p>
    <w:p w14:paraId="17AEDB69" w14:textId="77777777" w:rsidR="001B5E26" w:rsidRPr="00A76BAF" w:rsidRDefault="001B5E26" w:rsidP="001B5E26">
      <w:pPr>
        <w:rPr>
          <w:color w:val="000000"/>
        </w:rPr>
      </w:pPr>
    </w:p>
    <w:p w14:paraId="2A240780" w14:textId="77777777" w:rsidR="001B5E26" w:rsidRPr="00A76BAF" w:rsidRDefault="001B5E26" w:rsidP="001B5E26">
      <w:pPr>
        <w:jc w:val="center"/>
        <w:rPr>
          <w:color w:val="000000"/>
        </w:rPr>
      </w:pPr>
    </w:p>
    <w:p w14:paraId="43408C1C" w14:textId="77777777" w:rsidR="00FF5B9D" w:rsidRPr="00A76BAF" w:rsidRDefault="00FF5B9D" w:rsidP="00FF5B9D">
      <w:pPr>
        <w:jc w:val="center"/>
        <w:rPr>
          <w:color w:val="000000"/>
          <w:sz w:val="24"/>
        </w:rPr>
      </w:pPr>
      <w:r w:rsidRPr="00A76BAF">
        <w:rPr>
          <w:color w:val="000000"/>
          <w:sz w:val="24"/>
        </w:rPr>
        <w:t>Bradford Hesse, Ph.D., HINTS Project Officer</w:t>
      </w:r>
    </w:p>
    <w:p w14:paraId="1E4BDEC2" w14:textId="77777777" w:rsidR="00FF5B9D" w:rsidRPr="00A76BAF" w:rsidRDefault="00FF5B9D" w:rsidP="00FF5B9D">
      <w:pPr>
        <w:jc w:val="center"/>
        <w:rPr>
          <w:color w:val="000000"/>
          <w:sz w:val="24"/>
        </w:rPr>
      </w:pPr>
      <w:r w:rsidRPr="00A76BAF">
        <w:rPr>
          <w:color w:val="000000"/>
          <w:sz w:val="24"/>
        </w:rPr>
        <w:t>Chief, Health Communication and Informatics Research Branch</w:t>
      </w:r>
    </w:p>
    <w:p w14:paraId="5FAD8CB2" w14:textId="77777777" w:rsidR="00FF5B9D" w:rsidRPr="00A76BAF" w:rsidRDefault="00FF5B9D" w:rsidP="00FF5B9D">
      <w:pPr>
        <w:jc w:val="center"/>
        <w:rPr>
          <w:color w:val="000000"/>
          <w:sz w:val="24"/>
        </w:rPr>
      </w:pPr>
      <w:r w:rsidRPr="00A76BAF">
        <w:rPr>
          <w:color w:val="000000"/>
          <w:sz w:val="24"/>
        </w:rPr>
        <w:t>National Cancer Institute</w:t>
      </w:r>
    </w:p>
    <w:p w14:paraId="1FFB68CD" w14:textId="77777777" w:rsidR="00FF5B9D" w:rsidRDefault="00FF5B9D" w:rsidP="00FF5B9D">
      <w:pPr>
        <w:jc w:val="center"/>
        <w:rPr>
          <w:color w:val="000000"/>
          <w:sz w:val="24"/>
        </w:rPr>
      </w:pPr>
    </w:p>
    <w:p w14:paraId="0AF035AD" w14:textId="77777777" w:rsidR="00FF5B9D" w:rsidRDefault="00FF5B9D" w:rsidP="00FF5B9D">
      <w:pPr>
        <w:jc w:val="center"/>
        <w:rPr>
          <w:color w:val="000000"/>
          <w:sz w:val="24"/>
        </w:rPr>
      </w:pPr>
      <w:r w:rsidRPr="00E941E6">
        <w:rPr>
          <w:color w:val="000000"/>
          <w:sz w:val="24"/>
        </w:rPr>
        <w:t>9609 Medical Center Drive, 3E610</w:t>
      </w:r>
      <w:r w:rsidRPr="00E941E6">
        <w:rPr>
          <w:color w:val="000000"/>
          <w:sz w:val="24"/>
        </w:rPr>
        <w:br/>
        <w:t>Bethesda, MD 20892-9760</w:t>
      </w:r>
    </w:p>
    <w:p w14:paraId="3C47DFFA" w14:textId="77777777" w:rsidR="00FF5B9D" w:rsidRPr="00442460" w:rsidRDefault="00B260B5" w:rsidP="00FF5B9D">
      <w:pPr>
        <w:jc w:val="center"/>
        <w:rPr>
          <w:color w:val="000000"/>
          <w:sz w:val="24"/>
        </w:rPr>
      </w:pPr>
      <w:r>
        <w:rPr>
          <w:color w:val="000000"/>
          <w:sz w:val="24"/>
        </w:rPr>
        <w:t>Telephone:  240-276-6721</w:t>
      </w:r>
    </w:p>
    <w:p w14:paraId="2C684127" w14:textId="77777777" w:rsidR="00FF5B9D" w:rsidRPr="00442460" w:rsidRDefault="00FF5B9D" w:rsidP="00FF5B9D">
      <w:pPr>
        <w:jc w:val="center"/>
        <w:rPr>
          <w:color w:val="000000"/>
          <w:sz w:val="24"/>
        </w:rPr>
      </w:pPr>
      <w:r w:rsidRPr="00442460">
        <w:rPr>
          <w:color w:val="000000"/>
          <w:sz w:val="24"/>
        </w:rPr>
        <w:t>E-mail:  Hesseb@mail.nih.gov</w:t>
      </w:r>
    </w:p>
    <w:p w14:paraId="36984C03" w14:textId="77777777" w:rsidR="00155FAC" w:rsidRDefault="00155FAC" w:rsidP="00FF5B9D">
      <w:pPr>
        <w:jc w:val="center"/>
        <w:rPr>
          <w:color w:val="000000"/>
        </w:rPr>
        <w:sectPr w:rsidR="00155FAC" w:rsidSect="00B9657C">
          <w:footerReference w:type="even" r:id="rId8"/>
          <w:footerReference w:type="first" r:id="rId9"/>
          <w:pgSz w:w="12240" w:h="15840" w:code="1"/>
          <w:pgMar w:top="1440" w:right="1440" w:bottom="1440" w:left="1440" w:header="720" w:footer="432" w:gutter="0"/>
          <w:pgNumType w:start="1"/>
          <w:cols w:space="720"/>
          <w:noEndnote/>
        </w:sectPr>
      </w:pPr>
    </w:p>
    <w:p w14:paraId="0BA8D693" w14:textId="77777777" w:rsidR="000962BB" w:rsidRDefault="000962BB" w:rsidP="001B5E26">
      <w:pPr>
        <w:jc w:val="center"/>
        <w:rPr>
          <w:b/>
          <w:sz w:val="24"/>
          <w:szCs w:val="24"/>
        </w:rPr>
      </w:pPr>
      <w:r w:rsidRPr="00592F94">
        <w:rPr>
          <w:b/>
          <w:sz w:val="24"/>
          <w:szCs w:val="24"/>
        </w:rPr>
        <w:lastRenderedPageBreak/>
        <w:t xml:space="preserve">Table of </w:t>
      </w:r>
      <w:r w:rsidR="00226916" w:rsidRPr="00592F94">
        <w:rPr>
          <w:b/>
          <w:sz w:val="24"/>
          <w:szCs w:val="24"/>
        </w:rPr>
        <w:t>C</w:t>
      </w:r>
      <w:r w:rsidRPr="00592F94">
        <w:rPr>
          <w:b/>
          <w:sz w:val="24"/>
          <w:szCs w:val="24"/>
        </w:rPr>
        <w:t>ontents</w:t>
      </w:r>
    </w:p>
    <w:p w14:paraId="673C83D1" w14:textId="77777777" w:rsidR="00226916" w:rsidRPr="00592F94" w:rsidRDefault="00226916" w:rsidP="00D4199F">
      <w:pPr>
        <w:pStyle w:val="TOC2"/>
        <w:rPr>
          <w:b w:val="0"/>
          <w:noProof/>
        </w:rPr>
      </w:pPr>
      <w:r w:rsidRPr="005B6C76">
        <w:fldChar w:fldCharType="begin"/>
      </w:r>
      <w:r w:rsidRPr="005B6C76">
        <w:instrText xml:space="preserve"> TOC \o "1-2" \u </w:instrText>
      </w:r>
      <w:r w:rsidRPr="005B6C76">
        <w:fldChar w:fldCharType="separate"/>
      </w:r>
      <w:r w:rsidRPr="00592F94">
        <w:rPr>
          <w:b w:val="0"/>
          <w:noProof/>
        </w:rPr>
        <w:t>B.</w:t>
      </w:r>
      <w:r w:rsidRPr="00592F94">
        <w:rPr>
          <w:b w:val="0"/>
          <w:noProof/>
        </w:rPr>
        <w:tab/>
      </w:r>
      <w:r w:rsidR="000A74D4" w:rsidRPr="00592F94">
        <w:rPr>
          <w:b w:val="0"/>
          <w:noProof/>
        </w:rPr>
        <w:t xml:space="preserve"> Collection of information employing </w:t>
      </w:r>
      <w:r w:rsidR="00D4199F" w:rsidRPr="00592F94">
        <w:rPr>
          <w:b w:val="0"/>
          <w:noProof/>
        </w:rPr>
        <w:t>statistical methods</w:t>
      </w:r>
    </w:p>
    <w:p w14:paraId="1799CE88" w14:textId="77777777" w:rsidR="00226916" w:rsidRPr="00592F94" w:rsidRDefault="00226916" w:rsidP="00D4199F">
      <w:pPr>
        <w:pStyle w:val="TOC2"/>
        <w:rPr>
          <w:b w:val="0"/>
          <w:noProof/>
        </w:rPr>
      </w:pPr>
      <w:r w:rsidRPr="00592F94">
        <w:rPr>
          <w:b w:val="0"/>
          <w:noProof/>
        </w:rPr>
        <w:t>B.1</w:t>
      </w:r>
      <w:r w:rsidRPr="00592F94">
        <w:rPr>
          <w:b w:val="0"/>
          <w:noProof/>
        </w:rPr>
        <w:tab/>
        <w:t>Respondent Universe and Sampling Methods</w:t>
      </w:r>
      <w:r w:rsidRPr="00592F94">
        <w:rPr>
          <w:b w:val="0"/>
          <w:noProof/>
        </w:rPr>
        <w:tab/>
      </w:r>
      <w:r w:rsidR="00137289" w:rsidRPr="00592F94">
        <w:rPr>
          <w:b w:val="0"/>
          <w:noProof/>
        </w:rPr>
        <w:t>1</w:t>
      </w:r>
    </w:p>
    <w:p w14:paraId="0294F693" w14:textId="77777777" w:rsidR="00226916" w:rsidRPr="00592F94" w:rsidRDefault="00226916" w:rsidP="00D4199F">
      <w:pPr>
        <w:pStyle w:val="TOC2"/>
        <w:rPr>
          <w:b w:val="0"/>
          <w:noProof/>
        </w:rPr>
      </w:pPr>
      <w:r w:rsidRPr="00592F94">
        <w:rPr>
          <w:b w:val="0"/>
          <w:noProof/>
        </w:rPr>
        <w:t>B.2.</w:t>
      </w:r>
      <w:r w:rsidRPr="00592F94">
        <w:rPr>
          <w:b w:val="0"/>
          <w:noProof/>
        </w:rPr>
        <w:tab/>
        <w:t>Procedures for the Collection of Information</w:t>
      </w:r>
      <w:r w:rsidRPr="00592F94">
        <w:rPr>
          <w:b w:val="0"/>
          <w:noProof/>
        </w:rPr>
        <w:tab/>
      </w:r>
      <w:r w:rsidR="00137289" w:rsidRPr="00592F94">
        <w:rPr>
          <w:b w:val="0"/>
          <w:noProof/>
        </w:rPr>
        <w:t>2</w:t>
      </w:r>
    </w:p>
    <w:p w14:paraId="27C41D9A" w14:textId="77777777" w:rsidR="00226916" w:rsidRPr="00592F94" w:rsidRDefault="00226916" w:rsidP="00D4199F">
      <w:pPr>
        <w:pStyle w:val="TOC2"/>
        <w:rPr>
          <w:b w:val="0"/>
          <w:noProof/>
        </w:rPr>
      </w:pPr>
      <w:r w:rsidRPr="00592F94">
        <w:rPr>
          <w:b w:val="0"/>
          <w:noProof/>
        </w:rPr>
        <w:t>B.3</w:t>
      </w:r>
      <w:r w:rsidRPr="00592F94">
        <w:rPr>
          <w:b w:val="0"/>
          <w:noProof/>
        </w:rPr>
        <w:tab/>
        <w:t>Methods to Maximize Response Rates and Deal with Nonresponse</w:t>
      </w:r>
      <w:r w:rsidRPr="00592F94">
        <w:rPr>
          <w:b w:val="0"/>
          <w:noProof/>
        </w:rPr>
        <w:tab/>
      </w:r>
      <w:r w:rsidR="00905009" w:rsidRPr="00592F94">
        <w:rPr>
          <w:b w:val="0"/>
          <w:noProof/>
        </w:rPr>
        <w:t>10</w:t>
      </w:r>
    </w:p>
    <w:p w14:paraId="29B05944" w14:textId="77777777" w:rsidR="00226916" w:rsidRPr="00592F94" w:rsidRDefault="00226916" w:rsidP="00D4199F">
      <w:pPr>
        <w:pStyle w:val="TOC2"/>
        <w:rPr>
          <w:b w:val="0"/>
          <w:noProof/>
        </w:rPr>
      </w:pPr>
      <w:r w:rsidRPr="00592F94">
        <w:rPr>
          <w:b w:val="0"/>
          <w:noProof/>
        </w:rPr>
        <w:t>B.4</w:t>
      </w:r>
      <w:r w:rsidRPr="00592F94">
        <w:rPr>
          <w:b w:val="0"/>
          <w:noProof/>
        </w:rPr>
        <w:tab/>
        <w:t>Test of Procedures or Methods to be Undertaken</w:t>
      </w:r>
      <w:r w:rsidRPr="00592F94">
        <w:rPr>
          <w:b w:val="0"/>
          <w:noProof/>
        </w:rPr>
        <w:tab/>
      </w:r>
      <w:r w:rsidR="009D03C3" w:rsidRPr="00592F94">
        <w:rPr>
          <w:b w:val="0"/>
          <w:noProof/>
        </w:rPr>
        <w:t>11</w:t>
      </w:r>
    </w:p>
    <w:p w14:paraId="6D5D58A5" w14:textId="77777777" w:rsidR="00226916" w:rsidRPr="00592F94" w:rsidRDefault="00226916" w:rsidP="00D4199F">
      <w:pPr>
        <w:pStyle w:val="TOC2"/>
        <w:spacing w:beforeLines="0" w:before="120" w:afterLines="0" w:after="120" w:line="240" w:lineRule="exact"/>
        <w:rPr>
          <w:b w:val="0"/>
          <w:noProof/>
        </w:rPr>
      </w:pPr>
      <w:r w:rsidRPr="00592F94">
        <w:rPr>
          <w:b w:val="0"/>
          <w:noProof/>
        </w:rPr>
        <w:t>B.5</w:t>
      </w:r>
      <w:r w:rsidRPr="00592F94">
        <w:rPr>
          <w:b w:val="0"/>
          <w:noProof/>
        </w:rPr>
        <w:tab/>
        <w:t xml:space="preserve">Individuals Consulted on Statistical Aspects and Individuals Collecting </w:t>
      </w:r>
    </w:p>
    <w:p w14:paraId="311EB511" w14:textId="77777777" w:rsidR="00226916" w:rsidRPr="00592F94" w:rsidRDefault="00226916" w:rsidP="00D4199F">
      <w:pPr>
        <w:pStyle w:val="TOC2"/>
        <w:spacing w:beforeLines="0" w:before="120" w:afterLines="0" w:after="120" w:line="240" w:lineRule="exact"/>
        <w:rPr>
          <w:b w:val="0"/>
          <w:noProof/>
        </w:rPr>
      </w:pPr>
      <w:r w:rsidRPr="00592F94">
        <w:rPr>
          <w:b w:val="0"/>
          <w:noProof/>
        </w:rPr>
        <w:tab/>
        <w:t>and/or Analyzing Data</w:t>
      </w:r>
      <w:r w:rsidR="00D4199F" w:rsidRPr="00592F94">
        <w:rPr>
          <w:b w:val="0"/>
          <w:noProof/>
        </w:rPr>
        <w:tab/>
      </w:r>
      <w:r w:rsidR="00137289" w:rsidRPr="00592F94">
        <w:rPr>
          <w:b w:val="0"/>
          <w:noProof/>
        </w:rPr>
        <w:t>1</w:t>
      </w:r>
      <w:r w:rsidR="00642060">
        <w:rPr>
          <w:b w:val="0"/>
          <w:noProof/>
        </w:rPr>
        <w:t>3</w:t>
      </w:r>
    </w:p>
    <w:p w14:paraId="02152239" w14:textId="77777777" w:rsidR="00D07E8D" w:rsidRPr="00592F94" w:rsidRDefault="00D07E8D" w:rsidP="00D4199F">
      <w:pPr>
        <w:pStyle w:val="TOC2"/>
        <w:spacing w:beforeLines="0" w:before="120" w:afterLines="0" w:after="120" w:line="240" w:lineRule="exact"/>
        <w:rPr>
          <w:b w:val="0"/>
          <w:noProof/>
        </w:rPr>
      </w:pPr>
    </w:p>
    <w:p w14:paraId="349FAA04" w14:textId="77777777" w:rsidR="00226916" w:rsidRPr="00592F94" w:rsidRDefault="00226916" w:rsidP="00D4199F">
      <w:pPr>
        <w:pStyle w:val="TOC2"/>
        <w:rPr>
          <w:b w:val="0"/>
          <w:noProof/>
        </w:rPr>
      </w:pPr>
    </w:p>
    <w:p w14:paraId="6C4A28B4" w14:textId="77777777" w:rsidR="00226916" w:rsidRPr="005B6C76" w:rsidRDefault="00226916" w:rsidP="00D4199F">
      <w:pPr>
        <w:pStyle w:val="TOC2"/>
        <w:rPr>
          <w:noProof/>
        </w:rPr>
      </w:pPr>
    </w:p>
    <w:p w14:paraId="740865A4" w14:textId="77777777" w:rsidR="001B5E26" w:rsidRPr="00592F94" w:rsidRDefault="00226916" w:rsidP="001B5E26">
      <w:pPr>
        <w:pStyle w:val="C2-CtrSglSp"/>
        <w:keepNext/>
        <w:keepLines w:val="0"/>
        <w:tabs>
          <w:tab w:val="left" w:leader="dot" w:pos="1026"/>
          <w:tab w:val="left" w:pos="9063"/>
        </w:tabs>
        <w:spacing w:after="240" w:line="480" w:lineRule="auto"/>
        <w:rPr>
          <w:caps/>
          <w:noProof/>
          <w:sz w:val="24"/>
          <w:szCs w:val="24"/>
        </w:rPr>
      </w:pPr>
      <w:r w:rsidRPr="005B6C76">
        <w:rPr>
          <w:caps/>
          <w:noProof/>
          <w:sz w:val="24"/>
          <w:szCs w:val="24"/>
        </w:rPr>
        <w:fldChar w:fldCharType="end"/>
      </w:r>
      <w:r w:rsidR="00E41609">
        <w:rPr>
          <w:smallCaps/>
          <w:noProof/>
          <w:sz w:val="24"/>
          <w:szCs w:val="24"/>
        </w:rPr>
        <w:br w:type="page"/>
      </w:r>
      <w:bookmarkStart w:id="0" w:name="_Toc443881762"/>
      <w:bookmarkStart w:id="1" w:name="_Toc451592249"/>
      <w:bookmarkStart w:id="2" w:name="_Toc5610290"/>
      <w:bookmarkStart w:id="3" w:name="_Toc99178796"/>
      <w:r w:rsidR="001B5E26" w:rsidRPr="00592F94">
        <w:rPr>
          <w:b/>
          <w:caps/>
          <w:noProof/>
        </w:rPr>
        <w:lastRenderedPageBreak/>
        <w:t>List of Appendices</w:t>
      </w:r>
    </w:p>
    <w:p w14:paraId="01304648" w14:textId="77777777" w:rsidR="00732427" w:rsidRPr="00732427" w:rsidRDefault="00732427" w:rsidP="00732427">
      <w:pPr>
        <w:tabs>
          <w:tab w:val="left" w:pos="2052"/>
          <w:tab w:val="right" w:leader="dot" w:pos="8208"/>
          <w:tab w:val="left" w:pos="8640"/>
        </w:tabs>
        <w:spacing w:line="480" w:lineRule="auto"/>
        <w:ind w:left="342"/>
        <w:jc w:val="left"/>
      </w:pPr>
      <w:r w:rsidRPr="00732427">
        <w:t>Appendix A:</w:t>
      </w:r>
      <w:r w:rsidRPr="00732427">
        <w:tab/>
        <w:t xml:space="preserve">History of HINTS </w:t>
      </w:r>
    </w:p>
    <w:p w14:paraId="3404FBD1" w14:textId="77777777" w:rsidR="00732427" w:rsidRPr="00732427" w:rsidRDefault="00732427" w:rsidP="00732427">
      <w:pPr>
        <w:tabs>
          <w:tab w:val="left" w:pos="2052"/>
          <w:tab w:val="right" w:leader="dot" w:pos="8208"/>
          <w:tab w:val="left" w:pos="8640"/>
        </w:tabs>
        <w:spacing w:line="480" w:lineRule="auto"/>
        <w:ind w:left="342"/>
        <w:jc w:val="left"/>
      </w:pPr>
      <w:r w:rsidRPr="00732427">
        <w:t>Appendix B:</w:t>
      </w:r>
      <w:r w:rsidRPr="00732427">
        <w:tab/>
        <w:t>Cover letters and FAQs</w:t>
      </w:r>
    </w:p>
    <w:p w14:paraId="174C956F" w14:textId="700D87F5" w:rsidR="005E3006" w:rsidRDefault="005E3006" w:rsidP="00732427">
      <w:pPr>
        <w:tabs>
          <w:tab w:val="left" w:pos="2052"/>
          <w:tab w:val="right" w:leader="dot" w:pos="8208"/>
          <w:tab w:val="left" w:pos="8640"/>
        </w:tabs>
        <w:spacing w:line="480" w:lineRule="auto"/>
        <w:ind w:left="342"/>
        <w:jc w:val="left"/>
      </w:pPr>
      <w:r>
        <w:t>Appendix C:</w:t>
      </w:r>
      <w:r>
        <w:tab/>
        <w:t>HINTS IV Publications Overview</w:t>
      </w:r>
    </w:p>
    <w:p w14:paraId="3E3D5B97" w14:textId="1C441A9C" w:rsidR="00732427" w:rsidRPr="00732427" w:rsidRDefault="00732427" w:rsidP="00732427">
      <w:pPr>
        <w:tabs>
          <w:tab w:val="left" w:pos="2052"/>
          <w:tab w:val="right" w:leader="dot" w:pos="8208"/>
          <w:tab w:val="left" w:pos="8640"/>
        </w:tabs>
        <w:spacing w:line="480" w:lineRule="auto"/>
        <w:ind w:left="342"/>
        <w:jc w:val="left"/>
      </w:pPr>
      <w:r w:rsidRPr="00E232EA">
        <w:rPr>
          <w:highlight w:val="yellow"/>
        </w:rPr>
        <w:t xml:space="preserve">Appendix </w:t>
      </w:r>
      <w:r w:rsidR="005E3006" w:rsidRPr="00E232EA">
        <w:rPr>
          <w:highlight w:val="yellow"/>
        </w:rPr>
        <w:t>D</w:t>
      </w:r>
      <w:r w:rsidRPr="00E232EA">
        <w:rPr>
          <w:highlight w:val="yellow"/>
        </w:rPr>
        <w:t>:</w:t>
      </w:r>
      <w:r w:rsidRPr="00E232EA">
        <w:rPr>
          <w:highlight w:val="yellow"/>
        </w:rPr>
        <w:tab/>
      </w:r>
      <w:r w:rsidR="00E232EA" w:rsidRPr="00E232EA">
        <w:rPr>
          <w:highlight w:val="yellow"/>
        </w:rPr>
        <w:t>Main Study-</w:t>
      </w:r>
      <w:r w:rsidRPr="00E232EA">
        <w:rPr>
          <w:highlight w:val="yellow"/>
        </w:rPr>
        <w:t>Draft Cycle 1 Instrument</w:t>
      </w:r>
    </w:p>
    <w:p w14:paraId="52EF8CF4" w14:textId="54B788A8" w:rsidR="00732427" w:rsidRPr="00732427" w:rsidRDefault="00732427" w:rsidP="00732427">
      <w:pPr>
        <w:tabs>
          <w:tab w:val="left" w:pos="2052"/>
          <w:tab w:val="right" w:leader="dot" w:pos="8208"/>
          <w:tab w:val="left" w:pos="8640"/>
        </w:tabs>
        <w:spacing w:line="480" w:lineRule="auto"/>
        <w:ind w:left="342"/>
        <w:jc w:val="left"/>
      </w:pPr>
      <w:bookmarkStart w:id="4" w:name="_GoBack"/>
      <w:bookmarkEnd w:id="4"/>
      <w:r w:rsidRPr="00E232EA">
        <w:rPr>
          <w:highlight w:val="yellow"/>
        </w:rPr>
        <w:t xml:space="preserve">Appendix </w:t>
      </w:r>
      <w:r w:rsidR="005E3006" w:rsidRPr="00E232EA">
        <w:rPr>
          <w:highlight w:val="yellow"/>
        </w:rPr>
        <w:t>E</w:t>
      </w:r>
      <w:r w:rsidRPr="00E232EA">
        <w:rPr>
          <w:highlight w:val="yellow"/>
        </w:rPr>
        <w:t>:</w:t>
      </w:r>
      <w:r w:rsidRPr="00E232EA">
        <w:rPr>
          <w:highlight w:val="yellow"/>
        </w:rPr>
        <w:tab/>
        <w:t>Pilot Test Instrument</w:t>
      </w:r>
    </w:p>
    <w:p w14:paraId="4AFF4DBF" w14:textId="20026967" w:rsidR="00732427" w:rsidRPr="00732427" w:rsidRDefault="00732427" w:rsidP="00732427">
      <w:pPr>
        <w:tabs>
          <w:tab w:val="left" w:pos="2052"/>
          <w:tab w:val="right" w:leader="dot" w:pos="8208"/>
          <w:tab w:val="left" w:pos="8640"/>
        </w:tabs>
        <w:spacing w:line="480" w:lineRule="auto"/>
        <w:ind w:left="342"/>
        <w:jc w:val="left"/>
      </w:pPr>
      <w:r w:rsidRPr="00732427">
        <w:t xml:space="preserve">Appendix </w:t>
      </w:r>
      <w:r w:rsidR="005E3006">
        <w:t>F</w:t>
      </w:r>
      <w:r w:rsidRPr="00732427">
        <w:t>:</w:t>
      </w:r>
      <w:r w:rsidRPr="00732427">
        <w:tab/>
        <w:t>Healthy People 2020 Objectives and Sources</w:t>
      </w:r>
    </w:p>
    <w:p w14:paraId="3F5681D0" w14:textId="64E50AF1" w:rsidR="00732427" w:rsidRPr="00732427" w:rsidRDefault="00732427" w:rsidP="00732427">
      <w:pPr>
        <w:tabs>
          <w:tab w:val="left" w:pos="2052"/>
          <w:tab w:val="right" w:leader="dot" w:pos="8208"/>
          <w:tab w:val="left" w:pos="8640"/>
        </w:tabs>
        <w:spacing w:line="480" w:lineRule="auto"/>
        <w:ind w:left="342"/>
        <w:jc w:val="left"/>
      </w:pPr>
      <w:r w:rsidRPr="00732427">
        <w:t xml:space="preserve">Appendices </w:t>
      </w:r>
      <w:r w:rsidR="005E3006">
        <w:t>G</w:t>
      </w:r>
      <w:r w:rsidRPr="00732427">
        <w:t>:</w:t>
      </w:r>
      <w:r w:rsidRPr="00732427">
        <w:tab/>
      </w:r>
      <w:r w:rsidR="005E3006">
        <w:t>G</w:t>
      </w:r>
      <w:r w:rsidRPr="00732427">
        <w:t>1:  Privacy Impact Assessment (PIA)</w:t>
      </w:r>
    </w:p>
    <w:p w14:paraId="74BED1D7" w14:textId="41E1BF27" w:rsidR="00732427" w:rsidRPr="00732427" w:rsidRDefault="00732427" w:rsidP="00732427">
      <w:pPr>
        <w:tabs>
          <w:tab w:val="left" w:pos="2052"/>
          <w:tab w:val="right" w:leader="dot" w:pos="8208"/>
          <w:tab w:val="left" w:pos="8640"/>
        </w:tabs>
        <w:spacing w:line="480" w:lineRule="auto"/>
        <w:ind w:left="342"/>
        <w:jc w:val="left"/>
      </w:pPr>
      <w:r w:rsidRPr="00732427">
        <w:tab/>
      </w:r>
      <w:r w:rsidR="005E3006">
        <w:t>G</w:t>
      </w:r>
      <w:r w:rsidRPr="00732427">
        <w:t>2:  Privacy Act Memo</w:t>
      </w:r>
    </w:p>
    <w:p w14:paraId="201CA7EF" w14:textId="77777777" w:rsidR="008C6DA9" w:rsidRDefault="008C6DA9" w:rsidP="008C6DA9">
      <w:pPr>
        <w:pStyle w:val="TOC5"/>
        <w:tabs>
          <w:tab w:val="left" w:pos="2052"/>
        </w:tabs>
        <w:spacing w:line="480" w:lineRule="auto"/>
        <w:ind w:left="342"/>
      </w:pPr>
      <w:r>
        <w:t>Appendix H</w:t>
      </w:r>
      <w:r w:rsidRPr="001A0242">
        <w:t>:</w:t>
      </w:r>
      <w:r>
        <w:tab/>
        <w:t>Illustrative List of OMB-Approved Incentives</w:t>
      </w:r>
    </w:p>
    <w:p w14:paraId="066339CB" w14:textId="77777777" w:rsidR="008C6DA9" w:rsidRPr="001A0242" w:rsidRDefault="008C6DA9" w:rsidP="008C6DA9">
      <w:pPr>
        <w:pStyle w:val="TOC5"/>
        <w:tabs>
          <w:tab w:val="left" w:pos="2052"/>
        </w:tabs>
        <w:spacing w:line="480" w:lineRule="auto"/>
        <w:ind w:left="342"/>
      </w:pPr>
      <w:r>
        <w:t>Appendix I:</w:t>
      </w:r>
      <w:r>
        <w:tab/>
      </w:r>
      <w:r w:rsidRPr="001A0242">
        <w:t>Westat Confidentiality Pledge</w:t>
      </w:r>
    </w:p>
    <w:p w14:paraId="27ACDC8A" w14:textId="77777777" w:rsidR="008C6DA9" w:rsidRDefault="008C6DA9" w:rsidP="008C6DA9">
      <w:pPr>
        <w:pStyle w:val="TOC5"/>
        <w:tabs>
          <w:tab w:val="left" w:pos="2052"/>
        </w:tabs>
        <w:spacing w:line="480" w:lineRule="auto"/>
        <w:ind w:left="342"/>
      </w:pPr>
      <w:r>
        <w:t>Appendices J</w:t>
      </w:r>
      <w:r w:rsidRPr="001A0242">
        <w:t>:</w:t>
      </w:r>
      <w:r w:rsidRPr="001A0242">
        <w:tab/>
      </w:r>
      <w:r>
        <w:t xml:space="preserve">J1:  </w:t>
      </w:r>
      <w:r w:rsidRPr="000B6BB8">
        <w:t>NCI OHSR Determination</w:t>
      </w:r>
    </w:p>
    <w:p w14:paraId="2D957206" w14:textId="77777777" w:rsidR="008C6DA9" w:rsidRPr="001A0242" w:rsidRDefault="008C6DA9" w:rsidP="008C6DA9">
      <w:pPr>
        <w:pStyle w:val="TOC5"/>
        <w:tabs>
          <w:tab w:val="left" w:pos="2052"/>
        </w:tabs>
        <w:spacing w:line="480" w:lineRule="auto"/>
        <w:ind w:left="342"/>
      </w:pPr>
      <w:r>
        <w:tab/>
        <w:t xml:space="preserve">J2:  </w:t>
      </w:r>
      <w:r w:rsidRPr="001A0242">
        <w:t>Westat IRB Approval Letter</w:t>
      </w:r>
    </w:p>
    <w:p w14:paraId="3C668381" w14:textId="33A3A7BF" w:rsidR="00B50ABB" w:rsidRPr="00B50ABB" w:rsidRDefault="008C6DA9" w:rsidP="00B50ABB">
      <w:pPr>
        <w:pStyle w:val="TOC5"/>
        <w:tabs>
          <w:tab w:val="left" w:pos="2052"/>
        </w:tabs>
        <w:spacing w:line="480" w:lineRule="auto"/>
        <w:ind w:left="342"/>
      </w:pPr>
      <w:r>
        <w:t>Appendix K</w:t>
      </w:r>
      <w:r w:rsidRPr="001A0242">
        <w:t xml:space="preserve">: </w:t>
      </w:r>
      <w:r w:rsidRPr="001A0242">
        <w:tab/>
        <w:t>Theoretical Framework</w:t>
      </w:r>
    </w:p>
    <w:p w14:paraId="276BAF39" w14:textId="5E963A14" w:rsidR="008C6DA9" w:rsidRPr="001A0242" w:rsidRDefault="00B50ABB" w:rsidP="008C6DA9">
      <w:pPr>
        <w:pStyle w:val="TOC5"/>
        <w:tabs>
          <w:tab w:val="left" w:pos="2052"/>
        </w:tabs>
        <w:spacing w:line="480" w:lineRule="auto"/>
        <w:ind w:left="342"/>
      </w:pPr>
      <w:r w:rsidRPr="00E232EA">
        <w:rPr>
          <w:highlight w:val="yellow"/>
        </w:rPr>
        <w:t>Appendix L:</w:t>
      </w:r>
      <w:r w:rsidRPr="00E232EA">
        <w:rPr>
          <w:highlight w:val="yellow"/>
        </w:rPr>
        <w:tab/>
        <w:t>Changes to HINTS instrument for Cycle 1</w:t>
      </w:r>
    </w:p>
    <w:p w14:paraId="28670D26" w14:textId="607F8256" w:rsidR="00B50ABB" w:rsidRPr="00B50ABB" w:rsidRDefault="00B50ABB" w:rsidP="00B50ABB">
      <w:pPr>
        <w:pStyle w:val="TOC5"/>
        <w:tabs>
          <w:tab w:val="left" w:pos="2052"/>
        </w:tabs>
        <w:spacing w:line="480" w:lineRule="auto"/>
        <w:ind w:left="342"/>
        <w:sectPr w:rsidR="00B50ABB" w:rsidRPr="00B50ABB" w:rsidSect="00B9657C">
          <w:footerReference w:type="default" r:id="rId10"/>
          <w:pgSz w:w="12240" w:h="15840" w:code="1"/>
          <w:pgMar w:top="1440" w:right="1440" w:bottom="1440" w:left="1440" w:header="720" w:footer="432" w:gutter="0"/>
          <w:pgNumType w:start="1"/>
          <w:cols w:space="720"/>
          <w:noEndnote/>
        </w:sectPr>
      </w:pPr>
      <w:r w:rsidRPr="00B50ABB">
        <w:t>Appendix M:</w:t>
      </w:r>
      <w:r w:rsidRPr="00B50ABB">
        <w:tab/>
        <w:t>References</w:t>
      </w:r>
    </w:p>
    <w:p w14:paraId="23A4C98A" w14:textId="77777777" w:rsidR="00E41609" w:rsidRPr="00FF5B9D" w:rsidRDefault="000962BB" w:rsidP="00185BBE">
      <w:pPr>
        <w:pStyle w:val="P1-StandPara"/>
        <w:ind w:right="-216" w:firstLine="0"/>
        <w:rPr>
          <w:b/>
        </w:rPr>
      </w:pPr>
      <w:r w:rsidRPr="00FF5B9D">
        <w:rPr>
          <w:b/>
          <w:sz w:val="24"/>
          <w:szCs w:val="24"/>
        </w:rPr>
        <w:lastRenderedPageBreak/>
        <w:t>B.</w:t>
      </w:r>
      <w:r w:rsidRPr="00FF5B9D">
        <w:rPr>
          <w:b/>
          <w:sz w:val="24"/>
          <w:szCs w:val="24"/>
        </w:rPr>
        <w:tab/>
        <w:t xml:space="preserve">STATISTICAL </w:t>
      </w:r>
      <w:r w:rsidRPr="00FF5B9D">
        <w:rPr>
          <w:b/>
        </w:rPr>
        <w:t>METHODS</w:t>
      </w:r>
      <w:bookmarkEnd w:id="0"/>
      <w:bookmarkEnd w:id="1"/>
      <w:bookmarkEnd w:id="2"/>
      <w:bookmarkEnd w:id="3"/>
    </w:p>
    <w:p w14:paraId="03D483C2" w14:textId="77777777" w:rsidR="001B5E26" w:rsidRPr="00FF5B9D" w:rsidRDefault="001B5E26" w:rsidP="00185BBE">
      <w:pPr>
        <w:pStyle w:val="Heading1"/>
        <w:spacing w:after="0" w:line="480" w:lineRule="auto"/>
      </w:pPr>
      <w:bookmarkStart w:id="5" w:name="_Toc445805549"/>
      <w:r w:rsidRPr="00FF5B9D">
        <w:t>B.1</w:t>
      </w:r>
      <w:r w:rsidRPr="00FF5B9D">
        <w:tab/>
        <w:t>Respondent Universe and Sampling Methods</w:t>
      </w:r>
      <w:bookmarkEnd w:id="5"/>
    </w:p>
    <w:p w14:paraId="0ACF6E0A" w14:textId="77777777" w:rsidR="001B5E26" w:rsidRPr="006C7494" w:rsidRDefault="001B5E26" w:rsidP="00185BBE">
      <w:pPr>
        <w:pStyle w:val="P1-StandPara"/>
        <w:ind w:firstLine="0"/>
        <w:rPr>
          <w:szCs w:val="22"/>
        </w:rPr>
      </w:pPr>
      <w:r w:rsidRPr="006C7494">
        <w:rPr>
          <w:szCs w:val="22"/>
        </w:rPr>
        <w:t xml:space="preserve">The HINTS target population </w:t>
      </w:r>
      <w:r w:rsidR="00DF3532" w:rsidRPr="006C7494">
        <w:rPr>
          <w:szCs w:val="22"/>
        </w:rPr>
        <w:t xml:space="preserve">for regular cycles of data collection </w:t>
      </w:r>
      <w:r w:rsidRPr="006C7494">
        <w:rPr>
          <w:szCs w:val="22"/>
        </w:rPr>
        <w:t xml:space="preserve">is all adults aged 18 or older in the civilian non-institutionalized population of the United States. The sample design for HINTS </w:t>
      </w:r>
      <w:r w:rsidR="009357E2" w:rsidRPr="006C7494">
        <w:rPr>
          <w:szCs w:val="22"/>
        </w:rPr>
        <w:t>V</w:t>
      </w:r>
      <w:r w:rsidR="009E3C9E" w:rsidRPr="006C7494">
        <w:rPr>
          <w:szCs w:val="22"/>
        </w:rPr>
        <w:t xml:space="preserve"> </w:t>
      </w:r>
      <w:r w:rsidRPr="006C7494">
        <w:rPr>
          <w:szCs w:val="22"/>
        </w:rPr>
        <w:t xml:space="preserve">consists of a series of </w:t>
      </w:r>
      <w:r w:rsidR="009E3C9E" w:rsidRPr="006C7494">
        <w:rPr>
          <w:szCs w:val="22"/>
        </w:rPr>
        <w:t xml:space="preserve">three </w:t>
      </w:r>
      <w:r w:rsidRPr="006C7494">
        <w:rPr>
          <w:szCs w:val="22"/>
        </w:rPr>
        <w:t xml:space="preserve">single-stage stratified samples of addresses selected from a file of residential addresses based on the United States Postal Service (USPS) Computerized Delivery Sequence File (CDSF). Each sample will be selected just prior to the data collection cycle in which it is to be used. The frame will cover addresses from all zip codes in the 50 states and the District of Columbia. </w:t>
      </w:r>
      <w:r w:rsidR="00D804CB" w:rsidRPr="006C7494">
        <w:rPr>
          <w:szCs w:val="22"/>
        </w:rPr>
        <w:t xml:space="preserve">  </w:t>
      </w:r>
    </w:p>
    <w:p w14:paraId="52BD30D3" w14:textId="77777777" w:rsidR="001B5E26" w:rsidRPr="006C7494" w:rsidRDefault="001B5E26" w:rsidP="00185BBE">
      <w:pPr>
        <w:pStyle w:val="P1-StandPara"/>
        <w:rPr>
          <w:szCs w:val="22"/>
        </w:rPr>
      </w:pPr>
    </w:p>
    <w:p w14:paraId="3F06FB86" w14:textId="77777777" w:rsidR="001B5E26" w:rsidRPr="006C7494" w:rsidRDefault="001B5E26" w:rsidP="00185BBE">
      <w:pPr>
        <w:pStyle w:val="P1-StandPara"/>
        <w:ind w:firstLine="0"/>
        <w:rPr>
          <w:szCs w:val="22"/>
        </w:rPr>
      </w:pPr>
      <w:r w:rsidRPr="006C7494">
        <w:rPr>
          <w:szCs w:val="22"/>
        </w:rPr>
        <w:t xml:space="preserve">Addresses in the frame will be grouped into two strata: one containing a high concentration of minority adults and the other containing a low concentration. The number of addresses to be sampled at each cycle is </w:t>
      </w:r>
      <w:r w:rsidR="009E3C9E" w:rsidRPr="006C7494">
        <w:rPr>
          <w:szCs w:val="22"/>
          <w:highlight w:val="yellow"/>
        </w:rPr>
        <w:t>1</w:t>
      </w:r>
      <w:r w:rsidR="00DF380D" w:rsidRPr="006C7494">
        <w:rPr>
          <w:szCs w:val="22"/>
          <w:highlight w:val="yellow"/>
        </w:rPr>
        <w:t>3,33</w:t>
      </w:r>
      <w:r w:rsidR="009E3C9E" w:rsidRPr="006C7494">
        <w:rPr>
          <w:szCs w:val="22"/>
          <w:highlight w:val="yellow"/>
        </w:rPr>
        <w:t>0</w:t>
      </w:r>
      <w:r w:rsidR="009E3C9E" w:rsidRPr="006C7494">
        <w:rPr>
          <w:szCs w:val="22"/>
        </w:rPr>
        <w:t xml:space="preserve"> with an expected yield of 3,500 completed interviews.</w:t>
      </w:r>
      <w:r w:rsidR="000E2584" w:rsidRPr="006C7494">
        <w:rPr>
          <w:szCs w:val="22"/>
        </w:rPr>
        <w:t xml:space="preserve"> </w:t>
      </w:r>
      <w:r w:rsidR="000E2584" w:rsidRPr="006C7494">
        <w:rPr>
          <w:szCs w:val="22"/>
          <w:highlight w:val="yellow"/>
        </w:rPr>
        <w:t>The addresses in the high minority stratum will be oversampled by a factor of 2. One adult will be sampled within each household, using the next Birthday method, and recruited for the extended interview.</w:t>
      </w:r>
      <w:r w:rsidRPr="006C7494">
        <w:rPr>
          <w:szCs w:val="22"/>
          <w:highlight w:val="yellow"/>
        </w:rPr>
        <w:t xml:space="preserve"> </w:t>
      </w:r>
      <w:r w:rsidR="000E2584" w:rsidRPr="006C7494">
        <w:rPr>
          <w:szCs w:val="22"/>
          <w:highlight w:val="yellow"/>
        </w:rPr>
        <w:t xml:space="preserve">The expected overall response rate for each HINTS </w:t>
      </w:r>
      <w:r w:rsidR="009357E2" w:rsidRPr="006C7494">
        <w:rPr>
          <w:szCs w:val="22"/>
          <w:highlight w:val="yellow"/>
        </w:rPr>
        <w:t>V</w:t>
      </w:r>
      <w:r w:rsidR="000E2584" w:rsidRPr="006C7494">
        <w:rPr>
          <w:szCs w:val="22"/>
          <w:highlight w:val="yellow"/>
        </w:rPr>
        <w:t xml:space="preserve"> cycle is 34 percent, 26 percent from the high minority stratum and 37 percent from the low minority stratum. These rates are approximatel</w:t>
      </w:r>
      <w:r w:rsidR="00B260B5" w:rsidRPr="006C7494">
        <w:rPr>
          <w:szCs w:val="22"/>
          <w:highlight w:val="yellow"/>
        </w:rPr>
        <w:t>y the rates achieved for HINTS IV C</w:t>
      </w:r>
      <w:r w:rsidR="000E2584" w:rsidRPr="006C7494">
        <w:rPr>
          <w:szCs w:val="22"/>
          <w:highlight w:val="yellow"/>
        </w:rPr>
        <w:t xml:space="preserve">ycle 4. Across the three HINTS </w:t>
      </w:r>
      <w:r w:rsidR="009357E2" w:rsidRPr="006C7494">
        <w:rPr>
          <w:szCs w:val="22"/>
          <w:highlight w:val="yellow"/>
        </w:rPr>
        <w:t>V</w:t>
      </w:r>
      <w:r w:rsidR="00603383" w:rsidRPr="006C7494">
        <w:rPr>
          <w:szCs w:val="22"/>
          <w:highlight w:val="yellow"/>
        </w:rPr>
        <w:t xml:space="preserve"> cycles, we expect to sample 40</w:t>
      </w:r>
      <w:r w:rsidR="000E2584" w:rsidRPr="006C7494">
        <w:rPr>
          <w:szCs w:val="22"/>
          <w:highlight w:val="yellow"/>
        </w:rPr>
        <w:t>,000 addresses and complete 10,500 interviews.</w:t>
      </w:r>
      <w:r w:rsidR="000E2584" w:rsidRPr="006C7494">
        <w:rPr>
          <w:szCs w:val="22"/>
        </w:rPr>
        <w:t xml:space="preserve"> </w:t>
      </w:r>
      <w:r w:rsidRPr="006C7494">
        <w:rPr>
          <w:szCs w:val="22"/>
        </w:rPr>
        <w:t xml:space="preserve">    </w:t>
      </w:r>
    </w:p>
    <w:p w14:paraId="09EC1A9A" w14:textId="77777777" w:rsidR="00111A68" w:rsidRPr="006C7494" w:rsidRDefault="00111A68" w:rsidP="00185BBE">
      <w:pPr>
        <w:pStyle w:val="P1-StandPara"/>
        <w:ind w:firstLine="0"/>
        <w:rPr>
          <w:szCs w:val="22"/>
        </w:rPr>
      </w:pPr>
    </w:p>
    <w:p w14:paraId="41C52E08" w14:textId="77777777" w:rsidR="00DF3532" w:rsidRPr="006C7494" w:rsidRDefault="00DF3532" w:rsidP="00185BBE">
      <w:pPr>
        <w:pStyle w:val="P1-StandPara"/>
        <w:ind w:firstLine="0"/>
        <w:rPr>
          <w:szCs w:val="22"/>
        </w:rPr>
      </w:pPr>
      <w:r w:rsidRPr="006C7494">
        <w:rPr>
          <w:szCs w:val="22"/>
          <w:highlight w:val="yellow"/>
        </w:rPr>
        <w:t>In addition, HINTS V will include a pilot study of a sampling strategy for identifying smokers</w:t>
      </w:r>
      <w:r w:rsidR="00DF380D" w:rsidRPr="006C7494">
        <w:rPr>
          <w:szCs w:val="22"/>
          <w:highlight w:val="yellow"/>
        </w:rPr>
        <w:t>.</w:t>
      </w:r>
      <w:r w:rsidR="00E719FE" w:rsidRPr="006C7494">
        <w:rPr>
          <w:szCs w:val="22"/>
        </w:rPr>
        <w:t xml:space="preserve">  </w:t>
      </w:r>
      <w:r w:rsidRPr="006C7494">
        <w:rPr>
          <w:szCs w:val="22"/>
          <w:highlight w:val="yellow"/>
        </w:rPr>
        <w:t xml:space="preserve">The respondent universe </w:t>
      </w:r>
      <w:r w:rsidR="00AF7306" w:rsidRPr="006C7494">
        <w:rPr>
          <w:szCs w:val="22"/>
          <w:highlight w:val="yellow"/>
        </w:rPr>
        <w:t xml:space="preserve">and the sampling frame </w:t>
      </w:r>
      <w:r w:rsidRPr="006C7494">
        <w:rPr>
          <w:szCs w:val="22"/>
          <w:highlight w:val="yellow"/>
        </w:rPr>
        <w:t>for the pilot study will be</w:t>
      </w:r>
      <w:r w:rsidR="00AF7306" w:rsidRPr="006C7494">
        <w:rPr>
          <w:szCs w:val="22"/>
          <w:highlight w:val="yellow"/>
        </w:rPr>
        <w:t xml:space="preserve"> same as that for the regular cycles of data collection. The sample design </w:t>
      </w:r>
      <w:r w:rsidR="00DF380D" w:rsidRPr="006C7494">
        <w:rPr>
          <w:szCs w:val="22"/>
          <w:highlight w:val="yellow"/>
        </w:rPr>
        <w:t xml:space="preserve">consists of a single-stage stratified sample of addresses </w:t>
      </w:r>
      <w:r w:rsidR="00634F81" w:rsidRPr="006C7494">
        <w:rPr>
          <w:szCs w:val="22"/>
          <w:highlight w:val="yellow"/>
        </w:rPr>
        <w:t>where the</w:t>
      </w:r>
      <w:r w:rsidR="00DF380D" w:rsidRPr="006C7494">
        <w:rPr>
          <w:szCs w:val="22"/>
          <w:highlight w:val="yellow"/>
        </w:rPr>
        <w:t xml:space="preserve"> frame will be grouped into four sampling strata based on county-level smoking rates</w:t>
      </w:r>
      <w:r w:rsidR="00DF380D" w:rsidRPr="006C7494">
        <w:rPr>
          <w:szCs w:val="22"/>
          <w:highlight w:val="yellow"/>
          <w:vertAlign w:val="superscript"/>
        </w:rPr>
        <w:footnoteReference w:id="1"/>
      </w:r>
      <w:r w:rsidR="00DF380D" w:rsidRPr="006C7494">
        <w:rPr>
          <w:szCs w:val="22"/>
          <w:highlight w:val="yellow"/>
        </w:rPr>
        <w:t xml:space="preserve"> (high, medium-high, medium-low, and low).  The number of addresses to be sampled is 5,</w:t>
      </w:r>
      <w:r w:rsidR="00E46146" w:rsidRPr="006C7494">
        <w:rPr>
          <w:szCs w:val="22"/>
          <w:highlight w:val="yellow"/>
        </w:rPr>
        <w:t>741</w:t>
      </w:r>
      <w:r w:rsidR="00DF380D" w:rsidRPr="006C7494">
        <w:rPr>
          <w:szCs w:val="22"/>
          <w:highlight w:val="yellow"/>
        </w:rPr>
        <w:t xml:space="preserve"> with an expected yield of 1,65</w:t>
      </w:r>
      <w:r w:rsidR="00E46146" w:rsidRPr="006C7494">
        <w:rPr>
          <w:szCs w:val="22"/>
          <w:highlight w:val="yellow"/>
        </w:rPr>
        <w:t>2</w:t>
      </w:r>
      <w:r w:rsidR="00DF380D" w:rsidRPr="006C7494">
        <w:rPr>
          <w:szCs w:val="22"/>
          <w:highlight w:val="yellow"/>
        </w:rPr>
        <w:t xml:space="preserve"> completed interviews. The high and the medium-high strata will be oversampled by 90 percent and </w:t>
      </w:r>
      <w:r w:rsidR="005C5489" w:rsidRPr="006C7494">
        <w:rPr>
          <w:szCs w:val="22"/>
          <w:highlight w:val="yellow"/>
        </w:rPr>
        <w:lastRenderedPageBreak/>
        <w:t>45</w:t>
      </w:r>
      <w:r w:rsidR="00DF380D" w:rsidRPr="006C7494">
        <w:rPr>
          <w:szCs w:val="22"/>
          <w:highlight w:val="yellow"/>
        </w:rPr>
        <w:t xml:space="preserve"> percent, respectively, to increase the yield of current smokers. One adult will be sampled within each household, using the next Birthday method, and recruited for the extended interview.  The expected overall response rate expected for this round of HINTS is 33 percent, which is approximatel</w:t>
      </w:r>
      <w:r w:rsidR="00634F81" w:rsidRPr="006C7494">
        <w:rPr>
          <w:szCs w:val="22"/>
          <w:highlight w:val="yellow"/>
        </w:rPr>
        <w:t>y the rate achieved for HINTS 4</w:t>
      </w:r>
      <w:r w:rsidR="00DF380D" w:rsidRPr="006C7494">
        <w:rPr>
          <w:szCs w:val="22"/>
          <w:highlight w:val="yellow"/>
        </w:rPr>
        <w:t xml:space="preserve"> FDA</w:t>
      </w:r>
      <w:r w:rsidR="00634F81" w:rsidRPr="006C7494">
        <w:rPr>
          <w:szCs w:val="22"/>
        </w:rPr>
        <w:t>.</w:t>
      </w:r>
    </w:p>
    <w:p w14:paraId="4483C990" w14:textId="77777777" w:rsidR="00AF7306" w:rsidRPr="00AF7306" w:rsidRDefault="00AF7306" w:rsidP="00AF7306">
      <w:pPr>
        <w:pStyle w:val="P1-StandPara"/>
      </w:pPr>
      <w:bookmarkStart w:id="6" w:name="_Toc69879216"/>
    </w:p>
    <w:p w14:paraId="0ED87F4B" w14:textId="77777777" w:rsidR="001B5E26" w:rsidRPr="00FF5B9D" w:rsidRDefault="001B5E26" w:rsidP="00185BBE">
      <w:pPr>
        <w:pStyle w:val="Heading1"/>
        <w:spacing w:after="0" w:line="480" w:lineRule="auto"/>
      </w:pPr>
      <w:bookmarkStart w:id="7" w:name="_Toc445805550"/>
      <w:r w:rsidRPr="00FF5B9D">
        <w:t>B.2</w:t>
      </w:r>
      <w:r w:rsidRPr="00FF5B9D">
        <w:tab/>
        <w:t>Procedures for the Collection of Information</w:t>
      </w:r>
      <w:bookmarkEnd w:id="7"/>
    </w:p>
    <w:p w14:paraId="22981BE4" w14:textId="77777777" w:rsidR="001B5E26" w:rsidRPr="00FF5B9D" w:rsidRDefault="001B5E26" w:rsidP="00185BBE">
      <w:pPr>
        <w:pStyle w:val="Heading2"/>
        <w:spacing w:after="0" w:line="480" w:lineRule="auto"/>
      </w:pPr>
      <w:bookmarkStart w:id="8" w:name="_Toc445805551"/>
      <w:r w:rsidRPr="00FF5B9D">
        <w:t>Statistical Methodology for Stratification and Sample Selection</w:t>
      </w:r>
      <w:r w:rsidR="00DF3532">
        <w:t xml:space="preserve"> of the Cycles</w:t>
      </w:r>
      <w:bookmarkEnd w:id="8"/>
    </w:p>
    <w:p w14:paraId="4072C3C8" w14:textId="77777777" w:rsidR="001B5E26" w:rsidRPr="00FF5B9D" w:rsidRDefault="001B5E26" w:rsidP="00185BBE">
      <w:pPr>
        <w:pStyle w:val="L1-FlLSp12"/>
        <w:spacing w:line="480" w:lineRule="auto"/>
      </w:pPr>
      <w:r w:rsidRPr="00FF5B9D">
        <w:t xml:space="preserve">The sampling units for HINTS </w:t>
      </w:r>
      <w:r w:rsidR="009357E2">
        <w:t>V</w:t>
      </w:r>
      <w:r w:rsidRPr="00FF5B9D">
        <w:t xml:space="preserve"> will be household addresses that receive mail. The sampling frame will be a database of addresses used by Marketing Systems Group (MSG) to provide random samples of addresses. All non-vacant residential addresses in the United States present on the MSG database, including post office (P.O.) boxes, throwbacks (i.e., street addresses for which mail is redirected by the United States Postal Service to a specified P.O. box), and seasonal addresses will be subject to sampling. Two strata will be created for the sampling of addresses – one containing a high concentration of minority adults and the other containing a low concentration. The purpose of creating high- and low-minority strata and then oversampling the high-minority stratum is to increase the precision of estimates for minority subpopulations. The increases in precision result from the increase in sample sizes for the minority subpopulations produced by the oversampling.</w:t>
      </w:r>
    </w:p>
    <w:p w14:paraId="0DCDB437" w14:textId="77777777" w:rsidR="001B5E26" w:rsidRPr="00FF5B9D" w:rsidRDefault="001B5E26" w:rsidP="00185BBE">
      <w:pPr>
        <w:pStyle w:val="L1-FlLSp12"/>
        <w:spacing w:line="480" w:lineRule="auto"/>
      </w:pPr>
    </w:p>
    <w:p w14:paraId="27874C51" w14:textId="77777777" w:rsidR="001B5E26" w:rsidRPr="00FF5B9D" w:rsidRDefault="001B5E26" w:rsidP="00185BBE">
      <w:pPr>
        <w:pStyle w:val="L1-FlLSp12"/>
        <w:spacing w:line="480" w:lineRule="auto"/>
      </w:pPr>
      <w:r w:rsidRPr="00FF5B9D">
        <w:t xml:space="preserve">The two strata will be formed by first using demographic data from the American Community Survey (ACS) to determine the population percentages of Hispanics and African Americans for individual U.S. Census </w:t>
      </w:r>
      <w:r w:rsidR="00D52EAC" w:rsidRPr="00F72EF1">
        <w:rPr>
          <w:highlight w:val="yellow"/>
        </w:rPr>
        <w:t>tracts.</w:t>
      </w:r>
      <w:r w:rsidRPr="00FF5B9D">
        <w:t xml:space="preserve"> Addresses will then be matched to Census </w:t>
      </w:r>
      <w:r w:rsidR="006B3595" w:rsidRPr="00F72EF1">
        <w:rPr>
          <w:highlight w:val="yellow"/>
        </w:rPr>
        <w:t>tracts</w:t>
      </w:r>
      <w:r w:rsidR="006B3595">
        <w:t xml:space="preserve"> </w:t>
      </w:r>
      <w:r w:rsidRPr="00FF5B9D">
        <w:t xml:space="preserve">by their nine-digit ZIP Code. Addresses in Census </w:t>
      </w:r>
      <w:r w:rsidR="00D52EAC" w:rsidRPr="00F72EF1">
        <w:rPr>
          <w:highlight w:val="yellow"/>
        </w:rPr>
        <w:t>tracts</w:t>
      </w:r>
      <w:r w:rsidRPr="00FF5B9D">
        <w:t xml:space="preserve"> that have a population proportion for Hispanics or African Americans equaling or exceeding </w:t>
      </w:r>
      <w:r w:rsidR="0049539F" w:rsidRPr="0049539F">
        <w:rPr>
          <w:highlight w:val="yellow"/>
        </w:rPr>
        <w:t>34</w:t>
      </w:r>
      <w:r w:rsidRPr="00FF5B9D">
        <w:t xml:space="preserve"> percent will be assigned to the high-minority stratum. All other addresses will be assigned to the low-minority stratum. This stratification procedure is the same as t</w:t>
      </w:r>
      <w:r w:rsidR="00B260B5">
        <w:t>hat used to stratify the HINTS III</w:t>
      </w:r>
      <w:r w:rsidRPr="00FF5B9D">
        <w:t xml:space="preserve"> </w:t>
      </w:r>
      <w:r w:rsidR="00B260B5">
        <w:t>and IV</w:t>
      </w:r>
      <w:r w:rsidR="00D52EAC">
        <w:t xml:space="preserve"> </w:t>
      </w:r>
      <w:r w:rsidRPr="00FF5B9D">
        <w:t>address sample</w:t>
      </w:r>
      <w:r w:rsidR="00D52EAC">
        <w:t>s</w:t>
      </w:r>
      <w:r w:rsidRPr="00FF5B9D">
        <w:t xml:space="preserve"> and is described in more detail in Norman and Sigman (2009). A profile of the sampling strata is shown in Table B</w:t>
      </w:r>
      <w:r w:rsidR="00185BBE" w:rsidRPr="00FF5B9D">
        <w:t>2</w:t>
      </w:r>
      <w:r w:rsidRPr="00FF5B9D">
        <w:t>-1.</w:t>
      </w:r>
    </w:p>
    <w:p w14:paraId="0C878AF5" w14:textId="77777777" w:rsidR="001B5E26" w:rsidRPr="00FF5B9D" w:rsidRDefault="001B5E26" w:rsidP="00185BBE">
      <w:pPr>
        <w:pStyle w:val="L1-FlLSp12"/>
        <w:spacing w:line="480" w:lineRule="auto"/>
      </w:pPr>
    </w:p>
    <w:p w14:paraId="46EA9013" w14:textId="77777777" w:rsidR="001B5E26" w:rsidRPr="00FF5B9D" w:rsidRDefault="001B5E26" w:rsidP="00E719FE">
      <w:pPr>
        <w:pStyle w:val="TT-TableTitle"/>
        <w:spacing w:line="240" w:lineRule="auto"/>
      </w:pPr>
      <w:r w:rsidRPr="00FF5B9D">
        <w:rPr>
          <w:bCs/>
        </w:rPr>
        <w:t>Table B</w:t>
      </w:r>
      <w:r w:rsidR="00185BBE" w:rsidRPr="00FF5B9D">
        <w:rPr>
          <w:bCs/>
        </w:rPr>
        <w:t>2</w:t>
      </w:r>
      <w:r w:rsidRPr="00FF5B9D">
        <w:rPr>
          <w:bCs/>
        </w:rPr>
        <w:t>-1.</w:t>
      </w:r>
      <w:r w:rsidRPr="00FF5B9D">
        <w:tab/>
        <w:t>Profile of the sampling strata</w:t>
      </w:r>
    </w:p>
    <w:tbl>
      <w:tblPr>
        <w:tblW w:w="9450" w:type="dxa"/>
        <w:tblInd w:w="115" w:type="dxa"/>
        <w:tblLayout w:type="fixed"/>
        <w:tblLook w:val="01E0" w:firstRow="1" w:lastRow="1" w:firstColumn="1" w:lastColumn="1" w:noHBand="0" w:noVBand="0"/>
      </w:tblPr>
      <w:tblGrid>
        <w:gridCol w:w="1890"/>
        <w:gridCol w:w="1890"/>
        <w:gridCol w:w="2610"/>
        <w:gridCol w:w="3060"/>
      </w:tblGrid>
      <w:tr w:rsidR="001B5E26" w:rsidRPr="00FF5B9D" w14:paraId="0D70E263" w14:textId="77777777" w:rsidTr="00FC447C">
        <w:tc>
          <w:tcPr>
            <w:tcW w:w="1890" w:type="dxa"/>
            <w:tcBorders>
              <w:top w:val="single" w:sz="4" w:space="0" w:color="auto"/>
              <w:bottom w:val="single" w:sz="4" w:space="0" w:color="auto"/>
            </w:tcBorders>
            <w:shd w:val="clear" w:color="auto" w:fill="AFBED7"/>
            <w:vAlign w:val="center"/>
          </w:tcPr>
          <w:p w14:paraId="2FA61626" w14:textId="77777777" w:rsidR="001B5E26" w:rsidRPr="00FF5B9D" w:rsidRDefault="001B5E26" w:rsidP="00185BBE">
            <w:pPr>
              <w:pStyle w:val="TH-TableHeading"/>
              <w:spacing w:line="240" w:lineRule="auto"/>
            </w:pPr>
            <w:bookmarkStart w:id="9" w:name="_Toc445805552"/>
            <w:r w:rsidRPr="00FF5B9D">
              <w:t>Stratum</w:t>
            </w:r>
            <w:bookmarkEnd w:id="9"/>
          </w:p>
        </w:tc>
        <w:tc>
          <w:tcPr>
            <w:tcW w:w="1890" w:type="dxa"/>
            <w:tcBorders>
              <w:top w:val="single" w:sz="4" w:space="0" w:color="auto"/>
              <w:bottom w:val="single" w:sz="4" w:space="0" w:color="auto"/>
            </w:tcBorders>
            <w:shd w:val="clear" w:color="auto" w:fill="AFBED7"/>
            <w:vAlign w:val="center"/>
          </w:tcPr>
          <w:p w14:paraId="11AC8334" w14:textId="77777777" w:rsidR="001B5E26" w:rsidRPr="00FF5B9D" w:rsidRDefault="001B5E26" w:rsidP="00185BBE">
            <w:pPr>
              <w:pStyle w:val="TH-TableHeading"/>
              <w:spacing w:line="240" w:lineRule="auto"/>
            </w:pPr>
            <w:bookmarkStart w:id="10" w:name="_Toc445805553"/>
            <w:r w:rsidRPr="00FF5B9D">
              <w:t>Proportion of frame</w:t>
            </w:r>
            <w:r w:rsidRPr="00FF5B9D">
              <w:br/>
              <w:t>(percent)</w:t>
            </w:r>
            <w:bookmarkEnd w:id="10"/>
          </w:p>
        </w:tc>
        <w:tc>
          <w:tcPr>
            <w:tcW w:w="2610" w:type="dxa"/>
            <w:tcBorders>
              <w:top w:val="single" w:sz="4" w:space="0" w:color="auto"/>
              <w:bottom w:val="single" w:sz="4" w:space="0" w:color="auto"/>
            </w:tcBorders>
            <w:shd w:val="clear" w:color="auto" w:fill="AFBED7"/>
            <w:vAlign w:val="center"/>
          </w:tcPr>
          <w:p w14:paraId="22321BBD" w14:textId="77777777" w:rsidR="001B5E26" w:rsidRPr="00FF5B9D" w:rsidRDefault="001B5E26" w:rsidP="00185BBE">
            <w:pPr>
              <w:pStyle w:val="TH-TableHeading"/>
              <w:spacing w:line="240" w:lineRule="auto"/>
            </w:pPr>
            <w:bookmarkStart w:id="11" w:name="_Toc445805554"/>
            <w:r w:rsidRPr="00FF5B9D">
              <w:t>Coverage of African Americans and Hispanics</w:t>
            </w:r>
            <w:r w:rsidRPr="00FF5B9D">
              <w:br/>
              <w:t>(percent)</w:t>
            </w:r>
            <w:bookmarkEnd w:id="11"/>
          </w:p>
        </w:tc>
        <w:tc>
          <w:tcPr>
            <w:tcW w:w="3060" w:type="dxa"/>
            <w:tcBorders>
              <w:top w:val="single" w:sz="4" w:space="0" w:color="auto"/>
              <w:bottom w:val="single" w:sz="4" w:space="0" w:color="auto"/>
            </w:tcBorders>
            <w:shd w:val="clear" w:color="auto" w:fill="AFBED7"/>
            <w:vAlign w:val="center"/>
          </w:tcPr>
          <w:p w14:paraId="775EDDD3" w14:textId="77777777" w:rsidR="001B5E26" w:rsidRPr="00FF5B9D" w:rsidRDefault="001B5E26" w:rsidP="00185BBE">
            <w:pPr>
              <w:pStyle w:val="TH-TableHeading"/>
              <w:spacing w:line="240" w:lineRule="auto"/>
            </w:pPr>
            <w:bookmarkStart w:id="12" w:name="_Toc445805555"/>
            <w:r w:rsidRPr="00FF5B9D">
              <w:t>Prevalence of African Americans or Hispanic in stratum</w:t>
            </w:r>
            <w:r w:rsidRPr="00FF5B9D">
              <w:br/>
              <w:t>(percent)</w:t>
            </w:r>
            <w:bookmarkEnd w:id="12"/>
          </w:p>
        </w:tc>
      </w:tr>
      <w:tr w:rsidR="001B5E26" w:rsidRPr="00FF5B9D" w14:paraId="531A0951" w14:textId="77777777" w:rsidTr="00FC447C">
        <w:tc>
          <w:tcPr>
            <w:tcW w:w="1890" w:type="dxa"/>
            <w:tcBorders>
              <w:top w:val="single" w:sz="4" w:space="0" w:color="auto"/>
            </w:tcBorders>
            <w:vAlign w:val="center"/>
          </w:tcPr>
          <w:p w14:paraId="3EA9B7D2" w14:textId="77777777" w:rsidR="001B5E26" w:rsidRPr="00FF5B9D" w:rsidRDefault="001B5E26" w:rsidP="00185BBE">
            <w:pPr>
              <w:pStyle w:val="TX-TableText"/>
              <w:keepNext/>
              <w:spacing w:line="240" w:lineRule="auto"/>
              <w:jc w:val="center"/>
            </w:pPr>
            <w:r w:rsidRPr="00FF5B9D">
              <w:t>High-minority</w:t>
            </w:r>
          </w:p>
        </w:tc>
        <w:tc>
          <w:tcPr>
            <w:tcW w:w="1890" w:type="dxa"/>
            <w:tcBorders>
              <w:top w:val="single" w:sz="4" w:space="0" w:color="auto"/>
            </w:tcBorders>
          </w:tcPr>
          <w:p w14:paraId="0FFDD48D" w14:textId="77777777" w:rsidR="001B5E26" w:rsidRPr="00FF5B9D" w:rsidRDefault="00082414" w:rsidP="00082414">
            <w:pPr>
              <w:pStyle w:val="TX-TableText"/>
              <w:keepNext/>
              <w:spacing w:line="240" w:lineRule="auto"/>
              <w:jc w:val="center"/>
            </w:pPr>
            <w:r>
              <w:rPr>
                <w:highlight w:val="yellow"/>
              </w:rPr>
              <w:t>27</w:t>
            </w:r>
            <w:r w:rsidRPr="00082414">
              <w:rPr>
                <w:highlight w:val="yellow"/>
              </w:rPr>
              <w:t>.</w:t>
            </w:r>
            <w:r>
              <w:rPr>
                <w:highlight w:val="yellow"/>
              </w:rPr>
              <w:t>3</w:t>
            </w:r>
          </w:p>
        </w:tc>
        <w:tc>
          <w:tcPr>
            <w:tcW w:w="2610" w:type="dxa"/>
            <w:tcBorders>
              <w:top w:val="single" w:sz="4" w:space="0" w:color="auto"/>
            </w:tcBorders>
          </w:tcPr>
          <w:p w14:paraId="17CFCFDC" w14:textId="77777777" w:rsidR="001B5E26" w:rsidRPr="00082414" w:rsidRDefault="00082414" w:rsidP="00082414">
            <w:pPr>
              <w:pStyle w:val="TX-TableText"/>
              <w:keepNext/>
              <w:spacing w:line="240" w:lineRule="auto"/>
              <w:jc w:val="center"/>
              <w:rPr>
                <w:highlight w:val="yellow"/>
              </w:rPr>
            </w:pPr>
            <w:r w:rsidRPr="00082414">
              <w:rPr>
                <w:highlight w:val="yellow"/>
              </w:rPr>
              <w:t>69</w:t>
            </w:r>
            <w:r w:rsidR="001B5E26" w:rsidRPr="00082414">
              <w:rPr>
                <w:highlight w:val="yellow"/>
              </w:rPr>
              <w:t>.</w:t>
            </w:r>
            <w:r w:rsidRPr="00082414">
              <w:rPr>
                <w:highlight w:val="yellow"/>
              </w:rPr>
              <w:t>6</w:t>
            </w:r>
          </w:p>
        </w:tc>
        <w:tc>
          <w:tcPr>
            <w:tcW w:w="3060" w:type="dxa"/>
            <w:tcBorders>
              <w:top w:val="single" w:sz="4" w:space="0" w:color="auto"/>
            </w:tcBorders>
          </w:tcPr>
          <w:p w14:paraId="1A65EBF6" w14:textId="77777777" w:rsidR="001B5E26" w:rsidRPr="00082414" w:rsidRDefault="001B5E26" w:rsidP="00082414">
            <w:pPr>
              <w:pStyle w:val="TX-TableText"/>
              <w:keepNext/>
              <w:spacing w:line="240" w:lineRule="auto"/>
              <w:jc w:val="center"/>
              <w:rPr>
                <w:highlight w:val="yellow"/>
              </w:rPr>
            </w:pPr>
            <w:r w:rsidRPr="00082414">
              <w:rPr>
                <w:highlight w:val="yellow"/>
              </w:rPr>
              <w:t>6</w:t>
            </w:r>
            <w:r w:rsidR="00082414" w:rsidRPr="00082414">
              <w:rPr>
                <w:highlight w:val="yellow"/>
              </w:rPr>
              <w:t>4</w:t>
            </w:r>
            <w:r w:rsidRPr="00082414">
              <w:rPr>
                <w:highlight w:val="yellow"/>
              </w:rPr>
              <w:t>.</w:t>
            </w:r>
            <w:r w:rsidR="00082414" w:rsidRPr="00082414">
              <w:rPr>
                <w:highlight w:val="yellow"/>
              </w:rPr>
              <w:t>3</w:t>
            </w:r>
          </w:p>
        </w:tc>
      </w:tr>
      <w:tr w:rsidR="001B5E26" w:rsidRPr="00FF5B9D" w14:paraId="5D227C29" w14:textId="77777777" w:rsidTr="00FC447C">
        <w:tc>
          <w:tcPr>
            <w:tcW w:w="1890" w:type="dxa"/>
            <w:tcBorders>
              <w:bottom w:val="single" w:sz="4" w:space="0" w:color="auto"/>
            </w:tcBorders>
            <w:vAlign w:val="center"/>
          </w:tcPr>
          <w:p w14:paraId="28E4572C" w14:textId="77777777" w:rsidR="001B5E26" w:rsidRPr="00FF5B9D" w:rsidRDefault="001B5E26" w:rsidP="00185BBE">
            <w:pPr>
              <w:pStyle w:val="TX-TableText"/>
              <w:keepNext/>
              <w:spacing w:line="240" w:lineRule="auto"/>
              <w:jc w:val="center"/>
            </w:pPr>
            <w:r w:rsidRPr="00FF5B9D">
              <w:t>Low-minority</w:t>
            </w:r>
          </w:p>
        </w:tc>
        <w:tc>
          <w:tcPr>
            <w:tcW w:w="1890" w:type="dxa"/>
            <w:tcBorders>
              <w:bottom w:val="single" w:sz="4" w:space="0" w:color="auto"/>
            </w:tcBorders>
          </w:tcPr>
          <w:p w14:paraId="5AF0F84B" w14:textId="77777777" w:rsidR="001B5E26" w:rsidRPr="00FF5B9D" w:rsidRDefault="00082414" w:rsidP="00082414">
            <w:pPr>
              <w:pStyle w:val="TX-TableText"/>
              <w:keepNext/>
              <w:spacing w:line="240" w:lineRule="auto"/>
              <w:jc w:val="center"/>
            </w:pPr>
            <w:r w:rsidRPr="00082414">
              <w:rPr>
                <w:highlight w:val="yellow"/>
              </w:rPr>
              <w:t>7</w:t>
            </w:r>
            <w:r>
              <w:rPr>
                <w:highlight w:val="yellow"/>
              </w:rPr>
              <w:t>2</w:t>
            </w:r>
            <w:r w:rsidR="001B5E26" w:rsidRPr="00082414">
              <w:rPr>
                <w:highlight w:val="yellow"/>
              </w:rPr>
              <w:t>.</w:t>
            </w:r>
            <w:r>
              <w:rPr>
                <w:highlight w:val="yellow"/>
              </w:rPr>
              <w:t>7</w:t>
            </w:r>
          </w:p>
        </w:tc>
        <w:tc>
          <w:tcPr>
            <w:tcW w:w="2610" w:type="dxa"/>
            <w:tcBorders>
              <w:bottom w:val="single" w:sz="4" w:space="0" w:color="auto"/>
            </w:tcBorders>
          </w:tcPr>
          <w:p w14:paraId="69722FC2" w14:textId="77777777" w:rsidR="001B5E26" w:rsidRPr="00082414" w:rsidRDefault="00082414" w:rsidP="00082414">
            <w:pPr>
              <w:pStyle w:val="TX-TableText"/>
              <w:keepNext/>
              <w:spacing w:line="240" w:lineRule="auto"/>
              <w:jc w:val="center"/>
              <w:rPr>
                <w:highlight w:val="yellow"/>
              </w:rPr>
            </w:pPr>
            <w:r w:rsidRPr="00082414">
              <w:rPr>
                <w:highlight w:val="yellow"/>
              </w:rPr>
              <w:t>30</w:t>
            </w:r>
            <w:r w:rsidR="001B5E26" w:rsidRPr="00082414">
              <w:rPr>
                <w:highlight w:val="yellow"/>
              </w:rPr>
              <w:t>.</w:t>
            </w:r>
            <w:r w:rsidRPr="00082414">
              <w:rPr>
                <w:highlight w:val="yellow"/>
              </w:rPr>
              <w:t>4</w:t>
            </w:r>
          </w:p>
        </w:tc>
        <w:tc>
          <w:tcPr>
            <w:tcW w:w="3060" w:type="dxa"/>
            <w:tcBorders>
              <w:bottom w:val="single" w:sz="4" w:space="0" w:color="auto"/>
            </w:tcBorders>
          </w:tcPr>
          <w:p w14:paraId="5C9F0F80" w14:textId="77777777" w:rsidR="001B5E26" w:rsidRPr="00082414" w:rsidRDefault="00082414" w:rsidP="00185BBE">
            <w:pPr>
              <w:pStyle w:val="TX-TableText"/>
              <w:keepNext/>
              <w:spacing w:line="240" w:lineRule="auto"/>
              <w:jc w:val="center"/>
              <w:rPr>
                <w:highlight w:val="yellow"/>
              </w:rPr>
            </w:pPr>
            <w:r w:rsidRPr="00082414">
              <w:rPr>
                <w:highlight w:val="yellow"/>
              </w:rPr>
              <w:t>11.5</w:t>
            </w:r>
          </w:p>
        </w:tc>
      </w:tr>
    </w:tbl>
    <w:p w14:paraId="0F0228DC" w14:textId="77777777" w:rsidR="001B5E26" w:rsidRPr="00FF5B9D" w:rsidRDefault="001B5E26" w:rsidP="00185BBE">
      <w:pPr>
        <w:pStyle w:val="L1-FlLSp12"/>
        <w:spacing w:line="480" w:lineRule="auto"/>
      </w:pPr>
    </w:p>
    <w:p w14:paraId="60E62BFA" w14:textId="77777777" w:rsidR="001B5E26" w:rsidRPr="00FF5B9D" w:rsidRDefault="00826BE6" w:rsidP="00185BBE">
      <w:pPr>
        <w:pStyle w:val="L1-FlLSp12"/>
        <w:spacing w:line="480" w:lineRule="auto"/>
      </w:pPr>
      <w:r w:rsidRPr="00FF5B9D">
        <w:t xml:space="preserve">Each of the </w:t>
      </w:r>
      <w:r w:rsidR="00D52EAC">
        <w:t>three</w:t>
      </w:r>
      <w:r w:rsidR="00D52EAC" w:rsidRPr="00FF5B9D">
        <w:t xml:space="preserve"> </w:t>
      </w:r>
      <w:r w:rsidRPr="00FF5B9D">
        <w:t xml:space="preserve">samples will be selected </w:t>
      </w:r>
      <w:r w:rsidR="001B5E26" w:rsidRPr="00FF5B9D">
        <w:t xml:space="preserve">just prior to the data collection cycle in which it is to be used. Each time a stratified sample is selected, an equal probability sample of addresses will be selected </w:t>
      </w:r>
      <w:r w:rsidR="00D52EAC">
        <w:t>within</w:t>
      </w:r>
      <w:r w:rsidR="00D52EAC" w:rsidRPr="00FF5B9D">
        <w:t xml:space="preserve"> </w:t>
      </w:r>
      <w:r w:rsidR="001B5E26" w:rsidRPr="00FF5B9D">
        <w:t xml:space="preserve">each sampling stratum. </w:t>
      </w:r>
    </w:p>
    <w:p w14:paraId="79320E87" w14:textId="77777777" w:rsidR="00F805C6" w:rsidRDefault="00F805C6" w:rsidP="00185BBE">
      <w:pPr>
        <w:pStyle w:val="L1-FlLSp12"/>
        <w:spacing w:line="480" w:lineRule="auto"/>
        <w:rPr>
          <w:spacing w:val="-2"/>
        </w:rPr>
      </w:pPr>
    </w:p>
    <w:p w14:paraId="106442CA" w14:textId="77777777" w:rsidR="001B5E26" w:rsidRDefault="001B5E26" w:rsidP="00185BBE">
      <w:pPr>
        <w:pStyle w:val="L1-FlLSp12"/>
        <w:spacing w:line="480" w:lineRule="auto"/>
      </w:pPr>
      <w:r w:rsidRPr="00FF5B9D">
        <w:rPr>
          <w:spacing w:val="-2"/>
        </w:rPr>
        <w:t>Table B</w:t>
      </w:r>
      <w:r w:rsidR="00185BBE" w:rsidRPr="00FF5B9D">
        <w:rPr>
          <w:spacing w:val="-2"/>
        </w:rPr>
        <w:t>2</w:t>
      </w:r>
      <w:r w:rsidRPr="00FF5B9D">
        <w:rPr>
          <w:spacing w:val="-2"/>
        </w:rPr>
        <w:t xml:space="preserve">-2 contains the stratum allocations, assumed response rates, and expected number of completed questionnaires for all </w:t>
      </w:r>
      <w:r w:rsidR="00D52EAC">
        <w:rPr>
          <w:spacing w:val="-2"/>
        </w:rPr>
        <w:t>three</w:t>
      </w:r>
      <w:r w:rsidR="00D52EAC" w:rsidRPr="00FF5B9D">
        <w:rPr>
          <w:spacing w:val="-2"/>
        </w:rPr>
        <w:t xml:space="preserve"> </w:t>
      </w:r>
      <w:r w:rsidRPr="00FF5B9D">
        <w:rPr>
          <w:spacing w:val="-2"/>
        </w:rPr>
        <w:t>cycles. Table B</w:t>
      </w:r>
      <w:r w:rsidR="00185BBE" w:rsidRPr="00FF5B9D">
        <w:rPr>
          <w:spacing w:val="-2"/>
        </w:rPr>
        <w:t>2</w:t>
      </w:r>
      <w:r w:rsidRPr="00FF5B9D">
        <w:rPr>
          <w:spacing w:val="-2"/>
        </w:rPr>
        <w:t xml:space="preserve">-3 contains the expected number of completions by stratum and by analysis domains of interest for all </w:t>
      </w:r>
      <w:r w:rsidR="00D52EAC">
        <w:rPr>
          <w:spacing w:val="-2"/>
        </w:rPr>
        <w:t xml:space="preserve">three </w:t>
      </w:r>
      <w:r w:rsidRPr="00FF5B9D">
        <w:rPr>
          <w:spacing w:val="-2"/>
        </w:rPr>
        <w:t xml:space="preserve">cycles. Due </w:t>
      </w:r>
      <w:r w:rsidR="005A0C49">
        <w:rPr>
          <w:spacing w:val="-2"/>
        </w:rPr>
        <w:t>to the modular nature of HINTS</w:t>
      </w:r>
      <w:r w:rsidRPr="00FF5B9D">
        <w:rPr>
          <w:spacing w:val="-2"/>
        </w:rPr>
        <w:t xml:space="preserve"> (with core items asked in all cycles and other items asked in fewer cycles), Table B</w:t>
      </w:r>
      <w:r w:rsidR="00185BBE" w:rsidRPr="00FF5B9D">
        <w:rPr>
          <w:spacing w:val="-2"/>
        </w:rPr>
        <w:t>2</w:t>
      </w:r>
      <w:r w:rsidRPr="00FF5B9D">
        <w:rPr>
          <w:spacing w:val="-2"/>
        </w:rPr>
        <w:t xml:space="preserve">-4 uses the results in Table B-3 to calculate maximum expected half widths of 95 percent confidence intervals for estimated domain proportions, when the total number of completes for an item that </w:t>
      </w:r>
      <w:r w:rsidRPr="005A0C49">
        <w:rPr>
          <w:spacing w:val="-2"/>
        </w:rPr>
        <w:t xml:space="preserve">appears in all </w:t>
      </w:r>
      <w:r w:rsidR="00D52EAC" w:rsidRPr="005A0C49">
        <w:rPr>
          <w:spacing w:val="-2"/>
        </w:rPr>
        <w:t xml:space="preserve">three </w:t>
      </w:r>
      <w:r w:rsidRPr="005A0C49">
        <w:rPr>
          <w:spacing w:val="-2"/>
        </w:rPr>
        <w:t>cycles (</w:t>
      </w:r>
      <w:r w:rsidR="00D52EAC" w:rsidRPr="005A0C49">
        <w:rPr>
          <w:spacing w:val="-2"/>
        </w:rPr>
        <w:t>10,500</w:t>
      </w:r>
      <w:r w:rsidR="005A0C49">
        <w:rPr>
          <w:spacing w:val="-2"/>
        </w:rPr>
        <w:t>),</w:t>
      </w:r>
      <w:r w:rsidRPr="005A0C49">
        <w:rPr>
          <w:spacing w:val="-2"/>
        </w:rPr>
        <w:t xml:space="preserve"> in</w:t>
      </w:r>
      <w:r w:rsidRPr="00FF5B9D">
        <w:rPr>
          <w:spacing w:val="-2"/>
        </w:rPr>
        <w:t xml:space="preserve">  two cycles (7,000), and in either the </w:t>
      </w:r>
      <w:r w:rsidR="001D7C3D">
        <w:rPr>
          <w:spacing w:val="-2"/>
        </w:rPr>
        <w:t xml:space="preserve">first, second, or </w:t>
      </w:r>
      <w:r w:rsidRPr="00FF5B9D">
        <w:rPr>
          <w:spacing w:val="-2"/>
        </w:rPr>
        <w:t>third</w:t>
      </w:r>
      <w:r w:rsidR="004F5031" w:rsidRPr="00FF5B9D">
        <w:rPr>
          <w:spacing w:val="-2"/>
        </w:rPr>
        <w:t xml:space="preserve"> cycle (3,500). Table B</w:t>
      </w:r>
      <w:r w:rsidR="00185BBE" w:rsidRPr="00FF5B9D">
        <w:rPr>
          <w:spacing w:val="-2"/>
        </w:rPr>
        <w:t>2</w:t>
      </w:r>
      <w:r w:rsidRPr="00FF5B9D">
        <w:rPr>
          <w:spacing w:val="-2"/>
        </w:rPr>
        <w:t>-4 assumes that the design effect due to disproportional allocation, within-household correlation, and weighting adjustments is approximately equal to 1.0+</w:t>
      </w:r>
      <w:r w:rsidR="00D01489" w:rsidRPr="00F72EF1">
        <w:rPr>
          <w:spacing w:val="-2"/>
          <w:highlight w:val="yellow"/>
        </w:rPr>
        <w:t>1.3</w:t>
      </w:r>
      <w:r w:rsidRPr="00F72EF1">
        <w:rPr>
          <w:spacing w:val="-2"/>
          <w:highlight w:val="yellow"/>
          <w:vertAlign w:val="superscript"/>
        </w:rPr>
        <w:t>2</w:t>
      </w:r>
      <w:r w:rsidRPr="00F72EF1">
        <w:rPr>
          <w:spacing w:val="-2"/>
          <w:highlight w:val="yellow"/>
        </w:rPr>
        <w:t xml:space="preserve"> =</w:t>
      </w:r>
      <w:r w:rsidR="004E2437" w:rsidRPr="00F72EF1">
        <w:rPr>
          <w:spacing w:val="-2"/>
          <w:highlight w:val="yellow"/>
        </w:rPr>
        <w:t>2.7</w:t>
      </w:r>
      <w:r w:rsidRPr="00F72EF1">
        <w:rPr>
          <w:spacing w:val="-2"/>
          <w:highlight w:val="yellow"/>
        </w:rPr>
        <w:t xml:space="preserve">, where </w:t>
      </w:r>
      <w:r w:rsidR="004E2437" w:rsidRPr="00F72EF1">
        <w:rPr>
          <w:spacing w:val="-2"/>
          <w:highlight w:val="yellow"/>
        </w:rPr>
        <w:t>1.3</w:t>
      </w:r>
      <w:r w:rsidRPr="00FF5B9D">
        <w:rPr>
          <w:spacing w:val="-2"/>
        </w:rPr>
        <w:t xml:space="preserve"> is the observed coefficient of variation of the final weights in the </w:t>
      </w:r>
      <w:r w:rsidR="00FC447C" w:rsidRPr="00FF5B9D">
        <w:rPr>
          <w:spacing w:val="-2"/>
        </w:rPr>
        <w:t xml:space="preserve">HINTS </w:t>
      </w:r>
      <w:r w:rsidR="005A0C49">
        <w:rPr>
          <w:spacing w:val="-2"/>
        </w:rPr>
        <w:t>IV</w:t>
      </w:r>
      <w:r w:rsidR="001D7C3D" w:rsidRPr="00FF5B9D">
        <w:rPr>
          <w:spacing w:val="-2"/>
        </w:rPr>
        <w:t xml:space="preserve"> </w:t>
      </w:r>
      <w:r w:rsidRPr="00FF5B9D">
        <w:rPr>
          <w:spacing w:val="-2"/>
        </w:rPr>
        <w:t>address sample</w:t>
      </w:r>
      <w:r w:rsidRPr="00FF5B9D">
        <w:t>.</w:t>
      </w:r>
    </w:p>
    <w:p w14:paraId="7162E8AA" w14:textId="77777777" w:rsidR="001B5E26" w:rsidRPr="00FF5B9D" w:rsidRDefault="001B5E26" w:rsidP="00AD2193">
      <w:pPr>
        <w:pStyle w:val="L1-FlLSp12"/>
      </w:pPr>
      <w:r w:rsidRPr="00FF5B9D">
        <w:rPr>
          <w:spacing w:val="-2"/>
        </w:rPr>
        <w:t xml:space="preserve"> </w:t>
      </w:r>
      <w:r w:rsidRPr="00FF5B9D">
        <w:t>Table B</w:t>
      </w:r>
      <w:r w:rsidR="00185BBE" w:rsidRPr="00FF5B9D">
        <w:t>2</w:t>
      </w:r>
      <w:r w:rsidRPr="00FF5B9D">
        <w:t>-2.</w:t>
      </w:r>
      <w:r w:rsidRPr="00FF5B9D">
        <w:tab/>
        <w:t xml:space="preserve">Stratum allocations, assumed response rates, and expected completions for all </w:t>
      </w:r>
      <w:r w:rsidR="00D01489">
        <w:t>three</w:t>
      </w:r>
      <w:r w:rsidR="00D01489" w:rsidRPr="00FF5B9D">
        <w:t xml:space="preserve"> </w:t>
      </w:r>
      <w:r w:rsidRPr="00FF5B9D">
        <w:t>cycles</w:t>
      </w:r>
    </w:p>
    <w:tbl>
      <w:tblPr>
        <w:tblW w:w="4992" w:type="pct"/>
        <w:tblInd w:w="115" w:type="dxa"/>
        <w:tblLayout w:type="fixed"/>
        <w:tblCellMar>
          <w:left w:w="115" w:type="dxa"/>
          <w:right w:w="115" w:type="dxa"/>
        </w:tblCellMar>
        <w:tblLook w:val="01E0" w:firstRow="1" w:lastRow="1" w:firstColumn="1" w:lastColumn="1" w:noHBand="0" w:noVBand="0"/>
      </w:tblPr>
      <w:tblGrid>
        <w:gridCol w:w="4975"/>
        <w:gridCol w:w="1534"/>
        <w:gridCol w:w="1534"/>
        <w:gridCol w:w="1532"/>
      </w:tblGrid>
      <w:tr w:rsidR="001B5E26" w:rsidRPr="00FF5B9D" w14:paraId="6C63D9B2" w14:textId="77777777" w:rsidTr="00B96A24">
        <w:tc>
          <w:tcPr>
            <w:tcW w:w="2598" w:type="pct"/>
            <w:tcBorders>
              <w:top w:val="single" w:sz="4" w:space="0" w:color="auto"/>
              <w:bottom w:val="single" w:sz="4" w:space="0" w:color="auto"/>
            </w:tcBorders>
            <w:shd w:val="clear" w:color="auto" w:fill="AFBED7"/>
            <w:vAlign w:val="center"/>
          </w:tcPr>
          <w:p w14:paraId="7A84C52E" w14:textId="77777777" w:rsidR="001B5E26" w:rsidRPr="00FF5B9D" w:rsidRDefault="001B5E26" w:rsidP="00FC447C">
            <w:pPr>
              <w:pStyle w:val="TH-TableHeading"/>
            </w:pPr>
          </w:p>
        </w:tc>
        <w:tc>
          <w:tcPr>
            <w:tcW w:w="801" w:type="pct"/>
            <w:tcBorders>
              <w:top w:val="single" w:sz="4" w:space="0" w:color="auto"/>
              <w:bottom w:val="single" w:sz="4" w:space="0" w:color="auto"/>
            </w:tcBorders>
            <w:shd w:val="clear" w:color="auto" w:fill="AFBED7"/>
            <w:vAlign w:val="bottom"/>
          </w:tcPr>
          <w:p w14:paraId="528D66A1" w14:textId="77777777" w:rsidR="001B5E26" w:rsidRPr="00FF5B9D" w:rsidRDefault="001B5E26" w:rsidP="00FC447C">
            <w:pPr>
              <w:pStyle w:val="TH-TableHeading"/>
            </w:pPr>
            <w:bookmarkStart w:id="13" w:name="_Toc445805556"/>
            <w:r w:rsidRPr="00FF5B9D">
              <w:t>Total</w:t>
            </w:r>
            <w:bookmarkEnd w:id="13"/>
          </w:p>
        </w:tc>
        <w:tc>
          <w:tcPr>
            <w:tcW w:w="801" w:type="pct"/>
            <w:tcBorders>
              <w:top w:val="single" w:sz="4" w:space="0" w:color="auto"/>
              <w:bottom w:val="single" w:sz="4" w:space="0" w:color="auto"/>
            </w:tcBorders>
            <w:shd w:val="clear" w:color="auto" w:fill="AFBED7"/>
            <w:vAlign w:val="center"/>
          </w:tcPr>
          <w:p w14:paraId="15A6FE24" w14:textId="77777777" w:rsidR="001B5E26" w:rsidRPr="00FF5B9D" w:rsidRDefault="001B5E26" w:rsidP="00FC447C">
            <w:pPr>
              <w:pStyle w:val="TH-TableHeading"/>
            </w:pPr>
            <w:bookmarkStart w:id="14" w:name="_Toc445805557"/>
            <w:r w:rsidRPr="00FF5B9D">
              <w:t>High-minority stratum</w:t>
            </w:r>
            <w:bookmarkEnd w:id="14"/>
          </w:p>
        </w:tc>
        <w:tc>
          <w:tcPr>
            <w:tcW w:w="800" w:type="pct"/>
            <w:tcBorders>
              <w:top w:val="single" w:sz="4" w:space="0" w:color="auto"/>
              <w:bottom w:val="single" w:sz="4" w:space="0" w:color="auto"/>
            </w:tcBorders>
            <w:shd w:val="clear" w:color="auto" w:fill="AFBED7"/>
            <w:vAlign w:val="center"/>
          </w:tcPr>
          <w:p w14:paraId="427061C7" w14:textId="77777777" w:rsidR="001B5E26" w:rsidRPr="00FF5B9D" w:rsidRDefault="001B5E26" w:rsidP="00FC447C">
            <w:pPr>
              <w:pStyle w:val="TH-TableHeading"/>
            </w:pPr>
            <w:bookmarkStart w:id="15" w:name="_Toc445805558"/>
            <w:r w:rsidRPr="00FF5B9D">
              <w:t>Low-minority stratum</w:t>
            </w:r>
            <w:bookmarkEnd w:id="15"/>
          </w:p>
        </w:tc>
      </w:tr>
      <w:tr w:rsidR="001B5E26" w:rsidRPr="00FF5B9D" w14:paraId="69E1EAC1" w14:textId="77777777" w:rsidTr="00B96A24">
        <w:trPr>
          <w:trHeight w:val="269"/>
        </w:trPr>
        <w:tc>
          <w:tcPr>
            <w:tcW w:w="2598" w:type="pct"/>
            <w:vAlign w:val="center"/>
          </w:tcPr>
          <w:p w14:paraId="4DA369AA" w14:textId="77777777" w:rsidR="001B5E26" w:rsidRPr="00FF5B9D" w:rsidRDefault="001B5E26" w:rsidP="00FC447C">
            <w:pPr>
              <w:pStyle w:val="TX-TableText"/>
            </w:pPr>
            <w:r w:rsidRPr="00FF5B9D">
              <w:t>Allocation rate of sample to strata</w:t>
            </w:r>
          </w:p>
        </w:tc>
        <w:tc>
          <w:tcPr>
            <w:tcW w:w="801" w:type="pct"/>
            <w:vAlign w:val="center"/>
          </w:tcPr>
          <w:p w14:paraId="11197D19" w14:textId="77777777" w:rsidR="001B5E26" w:rsidRPr="00FF5B9D" w:rsidRDefault="001B5E26" w:rsidP="00FC447C">
            <w:pPr>
              <w:pStyle w:val="TX-TableText"/>
              <w:ind w:right="335"/>
              <w:jc w:val="right"/>
            </w:pPr>
            <w:r w:rsidRPr="00FF5B9D">
              <w:t>100%</w:t>
            </w:r>
          </w:p>
        </w:tc>
        <w:tc>
          <w:tcPr>
            <w:tcW w:w="801" w:type="pct"/>
            <w:vAlign w:val="center"/>
          </w:tcPr>
          <w:p w14:paraId="19E0CF7F" w14:textId="77777777" w:rsidR="001B5E26" w:rsidRPr="0049539F" w:rsidRDefault="0049539F" w:rsidP="00FC447C">
            <w:pPr>
              <w:pStyle w:val="TX-TableText"/>
              <w:ind w:right="335"/>
              <w:jc w:val="right"/>
              <w:rPr>
                <w:highlight w:val="yellow"/>
              </w:rPr>
            </w:pPr>
            <w:r w:rsidRPr="0049539F">
              <w:rPr>
                <w:highlight w:val="yellow"/>
              </w:rPr>
              <w:t xml:space="preserve"> 54.6</w:t>
            </w:r>
            <w:r w:rsidR="001B5E26" w:rsidRPr="0049539F">
              <w:rPr>
                <w:highlight w:val="yellow"/>
              </w:rPr>
              <w:t>%</w:t>
            </w:r>
          </w:p>
        </w:tc>
        <w:tc>
          <w:tcPr>
            <w:tcW w:w="800" w:type="pct"/>
            <w:vAlign w:val="center"/>
          </w:tcPr>
          <w:p w14:paraId="60850371" w14:textId="77777777" w:rsidR="001B5E26" w:rsidRPr="0049539F" w:rsidRDefault="001B5E26" w:rsidP="0049539F">
            <w:pPr>
              <w:pStyle w:val="TX-TableText"/>
              <w:ind w:right="335"/>
              <w:jc w:val="right"/>
              <w:rPr>
                <w:highlight w:val="yellow"/>
              </w:rPr>
            </w:pPr>
            <w:r w:rsidRPr="0049539F">
              <w:rPr>
                <w:highlight w:val="yellow"/>
              </w:rPr>
              <w:t xml:space="preserve"> 4</w:t>
            </w:r>
            <w:r w:rsidR="0049539F" w:rsidRPr="0049539F">
              <w:rPr>
                <w:highlight w:val="yellow"/>
              </w:rPr>
              <w:t>5.4</w:t>
            </w:r>
            <w:r w:rsidRPr="0049539F">
              <w:rPr>
                <w:highlight w:val="yellow"/>
              </w:rPr>
              <w:t>%</w:t>
            </w:r>
          </w:p>
        </w:tc>
      </w:tr>
      <w:tr w:rsidR="001B5E26" w:rsidRPr="00FF5B9D" w14:paraId="56C79084" w14:textId="77777777" w:rsidTr="00B96A24">
        <w:trPr>
          <w:trHeight w:val="269"/>
        </w:trPr>
        <w:tc>
          <w:tcPr>
            <w:tcW w:w="2598" w:type="pct"/>
            <w:vAlign w:val="center"/>
          </w:tcPr>
          <w:p w14:paraId="1AF7CCC0" w14:textId="77777777" w:rsidR="001B5E26" w:rsidRPr="00FF5B9D" w:rsidRDefault="001B5E26" w:rsidP="00FC447C">
            <w:pPr>
              <w:pStyle w:val="TX-TableText"/>
            </w:pPr>
            <w:r w:rsidRPr="00FF5B9D">
              <w:t>Number of sampled addresses</w:t>
            </w:r>
            <w:r w:rsidR="00D4630E">
              <w:t xml:space="preserve"> </w:t>
            </w:r>
          </w:p>
        </w:tc>
        <w:tc>
          <w:tcPr>
            <w:tcW w:w="801" w:type="pct"/>
            <w:vAlign w:val="center"/>
          </w:tcPr>
          <w:p w14:paraId="2F76A509" w14:textId="77777777" w:rsidR="001B5E26" w:rsidRPr="00E77500" w:rsidRDefault="00E77500" w:rsidP="00E77500">
            <w:pPr>
              <w:pStyle w:val="TX-TableText"/>
              <w:ind w:right="335"/>
              <w:jc w:val="right"/>
              <w:rPr>
                <w:highlight w:val="yellow"/>
              </w:rPr>
            </w:pPr>
            <w:r w:rsidRPr="00E77500">
              <w:rPr>
                <w:highlight w:val="yellow"/>
              </w:rPr>
              <w:t>40</w:t>
            </w:r>
            <w:r w:rsidR="001B5E26" w:rsidRPr="00E77500">
              <w:rPr>
                <w:highlight w:val="yellow"/>
              </w:rPr>
              <w:t>,</w:t>
            </w:r>
            <w:r w:rsidRPr="00E77500">
              <w:rPr>
                <w:highlight w:val="yellow"/>
              </w:rPr>
              <w:t>070</w:t>
            </w:r>
          </w:p>
        </w:tc>
        <w:tc>
          <w:tcPr>
            <w:tcW w:w="801" w:type="pct"/>
            <w:vAlign w:val="center"/>
          </w:tcPr>
          <w:p w14:paraId="75A62874" w14:textId="77777777" w:rsidR="001B5E26" w:rsidRPr="00E77500" w:rsidRDefault="00E77500" w:rsidP="00E77500">
            <w:pPr>
              <w:pStyle w:val="TX-TableText"/>
              <w:ind w:right="335"/>
              <w:jc w:val="right"/>
              <w:rPr>
                <w:highlight w:val="yellow"/>
              </w:rPr>
            </w:pPr>
            <w:r w:rsidRPr="00E77500">
              <w:rPr>
                <w:highlight w:val="yellow"/>
              </w:rPr>
              <w:t>25</w:t>
            </w:r>
            <w:r w:rsidR="001B5E26" w:rsidRPr="00E77500">
              <w:rPr>
                <w:highlight w:val="yellow"/>
              </w:rPr>
              <w:t>,</w:t>
            </w:r>
            <w:r w:rsidRPr="00E77500">
              <w:rPr>
                <w:highlight w:val="yellow"/>
              </w:rPr>
              <w:t>590</w:t>
            </w:r>
          </w:p>
        </w:tc>
        <w:tc>
          <w:tcPr>
            <w:tcW w:w="800" w:type="pct"/>
            <w:vAlign w:val="center"/>
          </w:tcPr>
          <w:p w14:paraId="026AD059" w14:textId="77777777" w:rsidR="001B5E26" w:rsidRPr="00E77500" w:rsidRDefault="00E77500" w:rsidP="00E77500">
            <w:pPr>
              <w:pStyle w:val="TX-TableText"/>
              <w:ind w:right="335"/>
              <w:jc w:val="right"/>
              <w:rPr>
                <w:highlight w:val="yellow"/>
              </w:rPr>
            </w:pPr>
            <w:r w:rsidRPr="00E77500">
              <w:rPr>
                <w:highlight w:val="yellow"/>
              </w:rPr>
              <w:t>14</w:t>
            </w:r>
            <w:r w:rsidR="001B5E26" w:rsidRPr="00E77500">
              <w:rPr>
                <w:highlight w:val="yellow"/>
              </w:rPr>
              <w:t>,</w:t>
            </w:r>
            <w:r w:rsidRPr="00E77500">
              <w:rPr>
                <w:highlight w:val="yellow"/>
              </w:rPr>
              <w:t>480</w:t>
            </w:r>
          </w:p>
        </w:tc>
      </w:tr>
      <w:tr w:rsidR="001B5E26" w:rsidRPr="00FF5B9D" w14:paraId="45C7237E" w14:textId="77777777" w:rsidTr="00B96A24">
        <w:tc>
          <w:tcPr>
            <w:tcW w:w="2598" w:type="pct"/>
            <w:vAlign w:val="center"/>
          </w:tcPr>
          <w:p w14:paraId="40FFFBE9" w14:textId="77777777" w:rsidR="001B5E26" w:rsidRPr="00FF5B9D" w:rsidRDefault="001B5E26" w:rsidP="00FC447C">
            <w:pPr>
              <w:pStyle w:val="TX-TableText"/>
            </w:pPr>
            <w:r w:rsidRPr="00FF5B9D">
              <w:t>Assumed undeliverable rate</w:t>
            </w:r>
            <w:r w:rsidR="00D4630E">
              <w:t xml:space="preserve"> </w:t>
            </w:r>
            <w:r w:rsidR="00D4630E" w:rsidRPr="00D4630E">
              <w:rPr>
                <w:vertAlign w:val="superscript"/>
              </w:rPr>
              <w:t>1</w:t>
            </w:r>
          </w:p>
        </w:tc>
        <w:tc>
          <w:tcPr>
            <w:tcW w:w="801" w:type="pct"/>
            <w:vAlign w:val="center"/>
          </w:tcPr>
          <w:p w14:paraId="376FEFF6" w14:textId="77777777" w:rsidR="001B5E26" w:rsidRPr="00FF5B9D" w:rsidRDefault="00E77500" w:rsidP="00FC447C">
            <w:pPr>
              <w:pStyle w:val="TX-TableText"/>
              <w:ind w:right="335"/>
              <w:jc w:val="right"/>
            </w:pPr>
            <w:r>
              <w:t>--</w:t>
            </w:r>
          </w:p>
        </w:tc>
        <w:tc>
          <w:tcPr>
            <w:tcW w:w="801" w:type="pct"/>
            <w:vAlign w:val="center"/>
          </w:tcPr>
          <w:p w14:paraId="5C5593CC" w14:textId="77777777" w:rsidR="001B5E26" w:rsidRPr="00E77500" w:rsidRDefault="001B5E26" w:rsidP="00E77500">
            <w:pPr>
              <w:pStyle w:val="TX-TableText"/>
              <w:ind w:right="335"/>
              <w:jc w:val="right"/>
              <w:rPr>
                <w:highlight w:val="yellow"/>
              </w:rPr>
            </w:pPr>
            <w:r w:rsidRPr="00E77500">
              <w:rPr>
                <w:highlight w:val="yellow"/>
              </w:rPr>
              <w:t xml:space="preserve"> </w:t>
            </w:r>
            <w:r w:rsidR="00E77500" w:rsidRPr="00E77500">
              <w:rPr>
                <w:highlight w:val="yellow"/>
              </w:rPr>
              <w:t>13.5</w:t>
            </w:r>
            <w:r w:rsidRPr="00E77500">
              <w:rPr>
                <w:highlight w:val="yellow"/>
              </w:rPr>
              <w:t>%</w:t>
            </w:r>
          </w:p>
        </w:tc>
        <w:tc>
          <w:tcPr>
            <w:tcW w:w="800" w:type="pct"/>
            <w:vAlign w:val="center"/>
          </w:tcPr>
          <w:p w14:paraId="5A13D45F" w14:textId="77777777" w:rsidR="001B5E26" w:rsidRPr="00E77500" w:rsidRDefault="001B5E26" w:rsidP="00E77500">
            <w:pPr>
              <w:pStyle w:val="TX-TableText"/>
              <w:ind w:right="335"/>
              <w:jc w:val="right"/>
              <w:rPr>
                <w:highlight w:val="yellow"/>
              </w:rPr>
            </w:pPr>
            <w:r w:rsidRPr="00E77500">
              <w:rPr>
                <w:highlight w:val="yellow"/>
              </w:rPr>
              <w:t xml:space="preserve"> </w:t>
            </w:r>
            <w:r w:rsidR="00E77500" w:rsidRPr="00E77500">
              <w:rPr>
                <w:highlight w:val="yellow"/>
              </w:rPr>
              <w:t>11.5</w:t>
            </w:r>
            <w:r w:rsidRPr="00E77500">
              <w:rPr>
                <w:highlight w:val="yellow"/>
              </w:rPr>
              <w:t>%</w:t>
            </w:r>
          </w:p>
        </w:tc>
      </w:tr>
      <w:tr w:rsidR="001B5E26" w:rsidRPr="00FF5B9D" w14:paraId="71F154E8" w14:textId="77777777" w:rsidTr="00B96A24">
        <w:tc>
          <w:tcPr>
            <w:tcW w:w="2598" w:type="pct"/>
            <w:vAlign w:val="center"/>
          </w:tcPr>
          <w:p w14:paraId="03A97098" w14:textId="77777777" w:rsidR="001B5E26" w:rsidRPr="00FF5B9D" w:rsidRDefault="001B5E26" w:rsidP="00FC447C">
            <w:pPr>
              <w:pStyle w:val="TX-TableText"/>
            </w:pPr>
            <w:r w:rsidRPr="00FF5B9D">
              <w:t>Number of deliverable addresses</w:t>
            </w:r>
          </w:p>
        </w:tc>
        <w:tc>
          <w:tcPr>
            <w:tcW w:w="801" w:type="pct"/>
            <w:vAlign w:val="center"/>
          </w:tcPr>
          <w:p w14:paraId="16512634" w14:textId="77777777" w:rsidR="001B5E26" w:rsidRPr="00E77500" w:rsidRDefault="00E77500" w:rsidP="00FC447C">
            <w:pPr>
              <w:pStyle w:val="TX-TableText"/>
              <w:ind w:right="335"/>
              <w:jc w:val="right"/>
              <w:rPr>
                <w:highlight w:val="yellow"/>
              </w:rPr>
            </w:pPr>
            <w:r w:rsidRPr="00E77500">
              <w:rPr>
                <w:highlight w:val="yellow"/>
              </w:rPr>
              <w:t>34,950</w:t>
            </w:r>
          </w:p>
        </w:tc>
        <w:tc>
          <w:tcPr>
            <w:tcW w:w="801" w:type="pct"/>
            <w:vAlign w:val="center"/>
          </w:tcPr>
          <w:p w14:paraId="42334818" w14:textId="77777777" w:rsidR="001B5E26" w:rsidRPr="00E77500" w:rsidRDefault="001B5E26" w:rsidP="00E77500">
            <w:pPr>
              <w:pStyle w:val="TX-TableText"/>
              <w:ind w:right="335"/>
              <w:jc w:val="right"/>
              <w:rPr>
                <w:highlight w:val="yellow"/>
              </w:rPr>
            </w:pPr>
            <w:r w:rsidRPr="00E77500">
              <w:rPr>
                <w:highlight w:val="yellow"/>
              </w:rPr>
              <w:t xml:space="preserve"> </w:t>
            </w:r>
            <w:r w:rsidR="00E77500" w:rsidRPr="00E77500">
              <w:rPr>
                <w:highlight w:val="yellow"/>
              </w:rPr>
              <w:t>22,135</w:t>
            </w:r>
          </w:p>
        </w:tc>
        <w:tc>
          <w:tcPr>
            <w:tcW w:w="800" w:type="pct"/>
            <w:vAlign w:val="center"/>
          </w:tcPr>
          <w:p w14:paraId="4461AB31" w14:textId="77777777" w:rsidR="001B5E26" w:rsidRPr="00E77500" w:rsidRDefault="001B5E26" w:rsidP="00E77500">
            <w:pPr>
              <w:pStyle w:val="TX-TableText"/>
              <w:ind w:right="335"/>
              <w:jc w:val="right"/>
              <w:rPr>
                <w:highlight w:val="yellow"/>
              </w:rPr>
            </w:pPr>
            <w:r w:rsidRPr="00E77500">
              <w:rPr>
                <w:highlight w:val="yellow"/>
              </w:rPr>
              <w:t xml:space="preserve"> </w:t>
            </w:r>
            <w:r w:rsidR="00E77500" w:rsidRPr="00E77500">
              <w:rPr>
                <w:highlight w:val="yellow"/>
              </w:rPr>
              <w:t>12,815</w:t>
            </w:r>
          </w:p>
        </w:tc>
      </w:tr>
      <w:tr w:rsidR="001B5E26" w:rsidRPr="00FF5B9D" w14:paraId="268542C8" w14:textId="77777777" w:rsidTr="00B96A24">
        <w:tc>
          <w:tcPr>
            <w:tcW w:w="2598" w:type="pct"/>
            <w:vAlign w:val="center"/>
          </w:tcPr>
          <w:p w14:paraId="52534DE1" w14:textId="77777777" w:rsidR="001B5E26" w:rsidRPr="00FF5B9D" w:rsidRDefault="001B5E26" w:rsidP="00FC447C">
            <w:pPr>
              <w:pStyle w:val="TX-TableText"/>
            </w:pPr>
            <w:r w:rsidRPr="00FF5B9D">
              <w:t>Assumed household response rate</w:t>
            </w:r>
            <w:r w:rsidR="00D4630E">
              <w:t xml:space="preserve"> </w:t>
            </w:r>
            <w:r w:rsidR="00D4630E" w:rsidRPr="00D4630E">
              <w:rPr>
                <w:vertAlign w:val="superscript"/>
              </w:rPr>
              <w:t>1</w:t>
            </w:r>
          </w:p>
        </w:tc>
        <w:tc>
          <w:tcPr>
            <w:tcW w:w="801" w:type="pct"/>
            <w:vAlign w:val="center"/>
          </w:tcPr>
          <w:p w14:paraId="60DF857B" w14:textId="77777777" w:rsidR="001B5E26" w:rsidRPr="00FF5B9D" w:rsidRDefault="00E77500" w:rsidP="00FC447C">
            <w:pPr>
              <w:pStyle w:val="TX-TableText"/>
              <w:ind w:right="335"/>
              <w:jc w:val="right"/>
            </w:pPr>
            <w:r>
              <w:t>--</w:t>
            </w:r>
          </w:p>
        </w:tc>
        <w:tc>
          <w:tcPr>
            <w:tcW w:w="801" w:type="pct"/>
            <w:vAlign w:val="center"/>
          </w:tcPr>
          <w:p w14:paraId="7A10AA3A" w14:textId="77777777" w:rsidR="001B5E26" w:rsidRPr="00E77500" w:rsidRDefault="001B5E26" w:rsidP="00E77500">
            <w:pPr>
              <w:pStyle w:val="TX-TableText"/>
              <w:ind w:right="335"/>
              <w:jc w:val="right"/>
              <w:rPr>
                <w:highlight w:val="yellow"/>
              </w:rPr>
            </w:pPr>
            <w:r w:rsidRPr="00E77500">
              <w:rPr>
                <w:highlight w:val="yellow"/>
              </w:rPr>
              <w:t xml:space="preserve"> </w:t>
            </w:r>
            <w:r w:rsidR="00E77500" w:rsidRPr="00E77500">
              <w:rPr>
                <w:highlight w:val="yellow"/>
              </w:rPr>
              <w:t>25.9</w:t>
            </w:r>
            <w:r w:rsidRPr="00E77500">
              <w:rPr>
                <w:highlight w:val="yellow"/>
              </w:rPr>
              <w:t>%</w:t>
            </w:r>
          </w:p>
        </w:tc>
        <w:tc>
          <w:tcPr>
            <w:tcW w:w="800" w:type="pct"/>
            <w:vAlign w:val="center"/>
          </w:tcPr>
          <w:p w14:paraId="6C5F7E82" w14:textId="77777777" w:rsidR="001B5E26" w:rsidRPr="00E77500" w:rsidRDefault="001B5E26" w:rsidP="00E77500">
            <w:pPr>
              <w:pStyle w:val="TX-TableText"/>
              <w:ind w:right="335"/>
              <w:jc w:val="right"/>
              <w:rPr>
                <w:highlight w:val="yellow"/>
              </w:rPr>
            </w:pPr>
            <w:r w:rsidRPr="00E77500">
              <w:rPr>
                <w:highlight w:val="yellow"/>
              </w:rPr>
              <w:t xml:space="preserve"> </w:t>
            </w:r>
            <w:r w:rsidR="00E77500" w:rsidRPr="00E77500">
              <w:rPr>
                <w:highlight w:val="yellow"/>
              </w:rPr>
              <w:t>37.2</w:t>
            </w:r>
            <w:r w:rsidRPr="00E77500">
              <w:rPr>
                <w:highlight w:val="yellow"/>
              </w:rPr>
              <w:t>%</w:t>
            </w:r>
          </w:p>
        </w:tc>
      </w:tr>
      <w:tr w:rsidR="001B5E26" w:rsidRPr="00FF5B9D" w14:paraId="675BDBAC" w14:textId="77777777" w:rsidTr="00B96A24">
        <w:tc>
          <w:tcPr>
            <w:tcW w:w="2598" w:type="pct"/>
            <w:tcBorders>
              <w:bottom w:val="single" w:sz="4" w:space="0" w:color="auto"/>
            </w:tcBorders>
            <w:vAlign w:val="center"/>
          </w:tcPr>
          <w:p w14:paraId="615FA861" w14:textId="77777777" w:rsidR="001B5E26" w:rsidRPr="00FF5B9D" w:rsidRDefault="001B5E26" w:rsidP="00FC447C">
            <w:pPr>
              <w:pStyle w:val="TX-TableText"/>
            </w:pPr>
            <w:r w:rsidRPr="00FF5B9D">
              <w:t>Number of completed questionnaires</w:t>
            </w:r>
          </w:p>
        </w:tc>
        <w:tc>
          <w:tcPr>
            <w:tcW w:w="801" w:type="pct"/>
            <w:tcBorders>
              <w:bottom w:val="single" w:sz="4" w:space="0" w:color="auto"/>
            </w:tcBorders>
            <w:vAlign w:val="center"/>
          </w:tcPr>
          <w:p w14:paraId="2DCB7425" w14:textId="77777777" w:rsidR="001B5E26" w:rsidRPr="00E77500" w:rsidDel="005425B0" w:rsidRDefault="00E77500" w:rsidP="00FC447C">
            <w:pPr>
              <w:pStyle w:val="TX-TableText"/>
              <w:ind w:right="335"/>
              <w:jc w:val="right"/>
              <w:rPr>
                <w:highlight w:val="yellow"/>
              </w:rPr>
            </w:pPr>
            <w:r w:rsidRPr="00E77500">
              <w:rPr>
                <w:highlight w:val="yellow"/>
              </w:rPr>
              <w:t>10,500</w:t>
            </w:r>
          </w:p>
        </w:tc>
        <w:tc>
          <w:tcPr>
            <w:tcW w:w="801" w:type="pct"/>
            <w:tcBorders>
              <w:bottom w:val="single" w:sz="4" w:space="0" w:color="auto"/>
            </w:tcBorders>
            <w:vAlign w:val="center"/>
          </w:tcPr>
          <w:p w14:paraId="71338049" w14:textId="77777777" w:rsidR="001B5E26" w:rsidRPr="00E77500" w:rsidRDefault="001B5E26" w:rsidP="00E77500">
            <w:pPr>
              <w:pStyle w:val="TX-TableText"/>
              <w:ind w:right="335"/>
              <w:jc w:val="right"/>
              <w:rPr>
                <w:highlight w:val="yellow"/>
              </w:rPr>
            </w:pPr>
            <w:r w:rsidRPr="00E77500">
              <w:rPr>
                <w:highlight w:val="yellow"/>
              </w:rPr>
              <w:t xml:space="preserve"> </w:t>
            </w:r>
            <w:r w:rsidR="00E77500" w:rsidRPr="00E77500">
              <w:rPr>
                <w:highlight w:val="yellow"/>
              </w:rPr>
              <w:t>5,730</w:t>
            </w:r>
          </w:p>
        </w:tc>
        <w:tc>
          <w:tcPr>
            <w:tcW w:w="800" w:type="pct"/>
            <w:tcBorders>
              <w:bottom w:val="single" w:sz="4" w:space="0" w:color="auto"/>
            </w:tcBorders>
            <w:vAlign w:val="center"/>
          </w:tcPr>
          <w:p w14:paraId="5FCD7058" w14:textId="77777777" w:rsidR="001B5E26" w:rsidRPr="00E77500" w:rsidRDefault="001B5E26" w:rsidP="00E77500">
            <w:pPr>
              <w:pStyle w:val="TX-TableText"/>
              <w:ind w:right="335"/>
              <w:jc w:val="right"/>
              <w:rPr>
                <w:highlight w:val="yellow"/>
              </w:rPr>
            </w:pPr>
            <w:r w:rsidRPr="00E77500">
              <w:rPr>
                <w:highlight w:val="yellow"/>
              </w:rPr>
              <w:t xml:space="preserve"> </w:t>
            </w:r>
            <w:r w:rsidR="00E77500" w:rsidRPr="00E77500">
              <w:rPr>
                <w:highlight w:val="yellow"/>
              </w:rPr>
              <w:t>4,770</w:t>
            </w:r>
          </w:p>
        </w:tc>
      </w:tr>
    </w:tbl>
    <w:p w14:paraId="4A07516A" w14:textId="77777777" w:rsidR="001B5E26" w:rsidRPr="00FF5B9D" w:rsidRDefault="001B5E26" w:rsidP="001B5E26">
      <w:pPr>
        <w:pStyle w:val="FootnoteText"/>
        <w:rPr>
          <w:szCs w:val="24"/>
        </w:rPr>
      </w:pPr>
      <w:r w:rsidRPr="00FF5B9D">
        <w:rPr>
          <w:vertAlign w:val="superscript"/>
        </w:rPr>
        <w:t>1</w:t>
      </w:r>
      <w:r w:rsidRPr="00FF5B9D">
        <w:rPr>
          <w:vertAlign w:val="superscript"/>
        </w:rPr>
        <w:tab/>
      </w:r>
      <w:r w:rsidRPr="00FF5B9D">
        <w:t xml:space="preserve">Calculated from HINTS </w:t>
      </w:r>
      <w:r w:rsidR="004021E7">
        <w:t>IV</w:t>
      </w:r>
      <w:r w:rsidR="00E77500">
        <w:t xml:space="preserve"> cycle 4</w:t>
      </w:r>
      <w:r w:rsidRPr="00FF5B9D">
        <w:t xml:space="preserve"> data</w:t>
      </w:r>
    </w:p>
    <w:p w14:paraId="15CB39FC" w14:textId="77777777" w:rsidR="00B96A24" w:rsidRPr="00FF5B9D" w:rsidRDefault="00B96A24" w:rsidP="001B5E26">
      <w:pPr>
        <w:pStyle w:val="TT-TableTitle"/>
      </w:pPr>
    </w:p>
    <w:p w14:paraId="307C304B" w14:textId="77777777" w:rsidR="00D4630E" w:rsidRDefault="00D4630E" w:rsidP="001B5E26">
      <w:pPr>
        <w:pStyle w:val="TT-TableTitle"/>
      </w:pPr>
    </w:p>
    <w:p w14:paraId="27558C7B" w14:textId="77777777" w:rsidR="001B5E26" w:rsidRPr="00FF5B9D" w:rsidRDefault="001B5E26" w:rsidP="001B5E26">
      <w:pPr>
        <w:pStyle w:val="TT-TableTitle"/>
      </w:pPr>
      <w:r w:rsidRPr="00FF5B9D">
        <w:lastRenderedPageBreak/>
        <w:t>Table B</w:t>
      </w:r>
      <w:r w:rsidR="00185BBE" w:rsidRPr="00FF5B9D">
        <w:t>2</w:t>
      </w:r>
      <w:r w:rsidRPr="00FF5B9D">
        <w:t>-3.</w:t>
      </w:r>
      <w:r w:rsidRPr="00FF5B9D">
        <w:tab/>
        <w:t xml:space="preserve">Expected number of completes by stratum and analysis domains of interest for all </w:t>
      </w:r>
      <w:r w:rsidR="00D01489">
        <w:t>three</w:t>
      </w:r>
      <w:r w:rsidR="00D01489" w:rsidRPr="00FF5B9D">
        <w:t xml:space="preserve"> </w:t>
      </w:r>
      <w:r w:rsidRPr="00FF5B9D">
        <w:t>cycles</w:t>
      </w:r>
    </w:p>
    <w:tbl>
      <w:tblPr>
        <w:tblW w:w="4939" w:type="pct"/>
        <w:tblInd w:w="115" w:type="dxa"/>
        <w:tblLook w:val="0000" w:firstRow="0" w:lastRow="0" w:firstColumn="0" w:lastColumn="0" w:noHBand="0" w:noVBand="0"/>
      </w:tblPr>
      <w:tblGrid>
        <w:gridCol w:w="1459"/>
        <w:gridCol w:w="2667"/>
        <w:gridCol w:w="2667"/>
        <w:gridCol w:w="2666"/>
      </w:tblGrid>
      <w:tr w:rsidR="001B5E26" w:rsidRPr="00FF5B9D" w14:paraId="5A74FDA2" w14:textId="77777777" w:rsidTr="00B96A24">
        <w:tc>
          <w:tcPr>
            <w:tcW w:w="771" w:type="pct"/>
            <w:tcBorders>
              <w:top w:val="single" w:sz="4" w:space="0" w:color="auto"/>
              <w:bottom w:val="single" w:sz="4" w:space="0" w:color="auto"/>
            </w:tcBorders>
            <w:shd w:val="clear" w:color="auto" w:fill="AFBED7"/>
            <w:vAlign w:val="bottom"/>
          </w:tcPr>
          <w:p w14:paraId="17FB1F5B" w14:textId="77777777" w:rsidR="001B5E26" w:rsidRPr="00FF5B9D" w:rsidRDefault="001B5E26" w:rsidP="00FC447C">
            <w:pPr>
              <w:pStyle w:val="TH-TableHeading"/>
            </w:pPr>
            <w:bookmarkStart w:id="16" w:name="_Toc445805559"/>
            <w:r w:rsidRPr="00FF5B9D">
              <w:t>Stratum</w:t>
            </w:r>
            <w:bookmarkEnd w:id="16"/>
          </w:p>
        </w:tc>
        <w:tc>
          <w:tcPr>
            <w:tcW w:w="1410" w:type="pct"/>
            <w:tcBorders>
              <w:top w:val="single" w:sz="4" w:space="0" w:color="auto"/>
              <w:bottom w:val="single" w:sz="4" w:space="0" w:color="auto"/>
            </w:tcBorders>
            <w:shd w:val="clear" w:color="auto" w:fill="AFBED7"/>
            <w:vAlign w:val="bottom"/>
          </w:tcPr>
          <w:p w14:paraId="17EEA347" w14:textId="77777777" w:rsidR="001B5E26" w:rsidRPr="00FF5B9D" w:rsidRDefault="001B5E26" w:rsidP="00FC447C">
            <w:pPr>
              <w:pStyle w:val="TH-TableHeading"/>
            </w:pPr>
            <w:bookmarkStart w:id="17" w:name="_Toc445805560"/>
            <w:r w:rsidRPr="00FF5B9D">
              <w:t>Analysis domain</w:t>
            </w:r>
            <w:bookmarkEnd w:id="17"/>
          </w:p>
        </w:tc>
        <w:tc>
          <w:tcPr>
            <w:tcW w:w="1410" w:type="pct"/>
            <w:tcBorders>
              <w:top w:val="single" w:sz="4" w:space="0" w:color="auto"/>
              <w:bottom w:val="single" w:sz="4" w:space="0" w:color="auto"/>
            </w:tcBorders>
            <w:shd w:val="clear" w:color="auto" w:fill="AFBED7"/>
            <w:vAlign w:val="bottom"/>
          </w:tcPr>
          <w:p w14:paraId="38FA9DA1" w14:textId="77777777" w:rsidR="001B5E26" w:rsidRPr="00FF5B9D" w:rsidRDefault="001B5E26" w:rsidP="00D4630E">
            <w:pPr>
              <w:pStyle w:val="TH-TableHeading"/>
              <w:rPr>
                <w:vertAlign w:val="superscript"/>
              </w:rPr>
            </w:pPr>
            <w:bookmarkStart w:id="18" w:name="_Toc445805561"/>
            <w:r w:rsidRPr="00FF5B9D">
              <w:t xml:space="preserve">Proportion of </w:t>
            </w:r>
            <w:r w:rsidRPr="00FF5B9D">
              <w:br/>
              <w:t>stratum (percent)</w:t>
            </w:r>
            <w:bookmarkEnd w:id="18"/>
            <w:r w:rsidR="00D4630E">
              <w:rPr>
                <w:vertAlign w:val="superscript"/>
              </w:rPr>
              <w:t>2</w:t>
            </w:r>
          </w:p>
        </w:tc>
        <w:tc>
          <w:tcPr>
            <w:tcW w:w="1409" w:type="pct"/>
            <w:tcBorders>
              <w:top w:val="single" w:sz="4" w:space="0" w:color="auto"/>
              <w:bottom w:val="single" w:sz="4" w:space="0" w:color="auto"/>
            </w:tcBorders>
            <w:shd w:val="clear" w:color="auto" w:fill="AFBED7"/>
            <w:vAlign w:val="bottom"/>
          </w:tcPr>
          <w:p w14:paraId="017E043B" w14:textId="77777777" w:rsidR="001B5E26" w:rsidRPr="00FF5B9D" w:rsidRDefault="001B5E26" w:rsidP="00FC447C">
            <w:pPr>
              <w:pStyle w:val="TH-TableHeading"/>
            </w:pPr>
            <w:bookmarkStart w:id="19" w:name="_Toc445805562"/>
            <w:r w:rsidRPr="00FF5B9D">
              <w:t xml:space="preserve">Completed </w:t>
            </w:r>
            <w:r w:rsidRPr="00FF5B9D">
              <w:br/>
              <w:t>questionnaires</w:t>
            </w:r>
            <w:bookmarkEnd w:id="19"/>
          </w:p>
        </w:tc>
      </w:tr>
      <w:tr w:rsidR="001B5E26" w:rsidRPr="00FF5B9D" w14:paraId="1C0E8C54" w14:textId="77777777" w:rsidTr="00B96A24">
        <w:trPr>
          <w:trHeight w:val="255"/>
        </w:trPr>
        <w:tc>
          <w:tcPr>
            <w:tcW w:w="771" w:type="pct"/>
            <w:shd w:val="clear" w:color="auto" w:fill="auto"/>
            <w:noWrap/>
            <w:vAlign w:val="bottom"/>
          </w:tcPr>
          <w:p w14:paraId="55332484" w14:textId="77777777" w:rsidR="001B5E26" w:rsidRPr="00FF5B9D" w:rsidRDefault="001B5E26" w:rsidP="00FC447C">
            <w:pPr>
              <w:pStyle w:val="TX-TableText"/>
            </w:pPr>
            <w:r w:rsidRPr="00FF5B9D">
              <w:t>High-minority</w:t>
            </w:r>
          </w:p>
        </w:tc>
        <w:tc>
          <w:tcPr>
            <w:tcW w:w="1410" w:type="pct"/>
            <w:shd w:val="clear" w:color="auto" w:fill="auto"/>
            <w:vAlign w:val="bottom"/>
          </w:tcPr>
          <w:p w14:paraId="260CBA24" w14:textId="77777777" w:rsidR="001B5E26" w:rsidRPr="00FF5B9D" w:rsidRDefault="001B5E26" w:rsidP="00FC447C">
            <w:pPr>
              <w:pStyle w:val="TX-TableText"/>
            </w:pPr>
            <w:r w:rsidRPr="00FF5B9D">
              <w:t>Hispanic</w:t>
            </w:r>
          </w:p>
        </w:tc>
        <w:tc>
          <w:tcPr>
            <w:tcW w:w="1410" w:type="pct"/>
            <w:shd w:val="clear" w:color="auto" w:fill="auto"/>
            <w:noWrap/>
            <w:vAlign w:val="bottom"/>
          </w:tcPr>
          <w:p w14:paraId="514DB6EB" w14:textId="77777777" w:rsidR="001B5E26" w:rsidRPr="00BF2302" w:rsidRDefault="001B5E26" w:rsidP="00833CDA">
            <w:pPr>
              <w:pStyle w:val="TX-TableText"/>
              <w:tabs>
                <w:tab w:val="decimal" w:pos="1339"/>
              </w:tabs>
              <w:rPr>
                <w:highlight w:val="yellow"/>
              </w:rPr>
            </w:pPr>
            <w:r w:rsidRPr="00BF2302">
              <w:rPr>
                <w:highlight w:val="yellow"/>
              </w:rPr>
              <w:t>3</w:t>
            </w:r>
            <w:r w:rsidR="00833CDA" w:rsidRPr="00BF2302">
              <w:rPr>
                <w:highlight w:val="yellow"/>
              </w:rPr>
              <w:t>4.7</w:t>
            </w:r>
          </w:p>
        </w:tc>
        <w:tc>
          <w:tcPr>
            <w:tcW w:w="1409" w:type="pct"/>
            <w:shd w:val="clear" w:color="auto" w:fill="auto"/>
            <w:noWrap/>
          </w:tcPr>
          <w:p w14:paraId="2D6F25EC" w14:textId="77777777" w:rsidR="001B5E26" w:rsidRPr="00BF2302" w:rsidRDefault="00BF2302" w:rsidP="00FC447C">
            <w:pPr>
              <w:pStyle w:val="TX-TableText"/>
              <w:tabs>
                <w:tab w:val="decimal" w:pos="1372"/>
              </w:tabs>
              <w:rPr>
                <w:highlight w:val="yellow"/>
              </w:rPr>
            </w:pPr>
            <w:r w:rsidRPr="00BF2302">
              <w:rPr>
                <w:highlight w:val="yellow"/>
              </w:rPr>
              <w:t>1,989</w:t>
            </w:r>
          </w:p>
        </w:tc>
      </w:tr>
      <w:tr w:rsidR="001B5E26" w:rsidRPr="00FF5B9D" w14:paraId="630E513C" w14:textId="77777777" w:rsidTr="00B96A24">
        <w:trPr>
          <w:trHeight w:val="255"/>
        </w:trPr>
        <w:tc>
          <w:tcPr>
            <w:tcW w:w="771" w:type="pct"/>
            <w:shd w:val="clear" w:color="auto" w:fill="auto"/>
            <w:noWrap/>
            <w:vAlign w:val="bottom"/>
          </w:tcPr>
          <w:p w14:paraId="752A31D4" w14:textId="77777777" w:rsidR="001B5E26" w:rsidRPr="00FF5B9D" w:rsidRDefault="001B5E26" w:rsidP="00FC447C">
            <w:pPr>
              <w:pStyle w:val="TX-TableText"/>
            </w:pPr>
          </w:p>
        </w:tc>
        <w:tc>
          <w:tcPr>
            <w:tcW w:w="1410" w:type="pct"/>
            <w:shd w:val="clear" w:color="auto" w:fill="auto"/>
            <w:vAlign w:val="bottom"/>
          </w:tcPr>
          <w:p w14:paraId="6EC67E82" w14:textId="77777777" w:rsidR="001B5E26" w:rsidRPr="00BF2302" w:rsidRDefault="00833CDA" w:rsidP="00FC447C">
            <w:pPr>
              <w:pStyle w:val="TX-TableText"/>
              <w:ind w:right="-611"/>
              <w:rPr>
                <w:highlight w:val="yellow"/>
              </w:rPr>
            </w:pPr>
            <w:r w:rsidRPr="00BF2302">
              <w:rPr>
                <w:highlight w:val="yellow"/>
              </w:rPr>
              <w:t>Black</w:t>
            </w:r>
          </w:p>
        </w:tc>
        <w:tc>
          <w:tcPr>
            <w:tcW w:w="1410" w:type="pct"/>
            <w:shd w:val="clear" w:color="auto" w:fill="auto"/>
            <w:noWrap/>
            <w:vAlign w:val="bottom"/>
          </w:tcPr>
          <w:p w14:paraId="4FF04207" w14:textId="77777777" w:rsidR="001B5E26" w:rsidRPr="00BF2302" w:rsidRDefault="00833CDA" w:rsidP="00FC447C">
            <w:pPr>
              <w:pStyle w:val="TX-TableText"/>
              <w:tabs>
                <w:tab w:val="decimal" w:pos="1339"/>
              </w:tabs>
              <w:rPr>
                <w:highlight w:val="yellow"/>
              </w:rPr>
            </w:pPr>
            <w:r w:rsidRPr="00BF2302">
              <w:rPr>
                <w:highlight w:val="yellow"/>
              </w:rPr>
              <w:t>29.6</w:t>
            </w:r>
          </w:p>
        </w:tc>
        <w:tc>
          <w:tcPr>
            <w:tcW w:w="1409" w:type="pct"/>
            <w:shd w:val="clear" w:color="auto" w:fill="auto"/>
            <w:noWrap/>
          </w:tcPr>
          <w:p w14:paraId="4F21E9AC" w14:textId="77777777" w:rsidR="001B5E26" w:rsidRPr="00BF2302" w:rsidRDefault="00BF2302" w:rsidP="00FC447C">
            <w:pPr>
              <w:pStyle w:val="TX-TableText"/>
              <w:tabs>
                <w:tab w:val="decimal" w:pos="1372"/>
              </w:tabs>
              <w:rPr>
                <w:highlight w:val="yellow"/>
              </w:rPr>
            </w:pPr>
            <w:r w:rsidRPr="00BF2302">
              <w:rPr>
                <w:highlight w:val="yellow"/>
              </w:rPr>
              <w:t>1,697</w:t>
            </w:r>
          </w:p>
        </w:tc>
      </w:tr>
      <w:tr w:rsidR="001B5E26" w:rsidRPr="00FF5B9D" w14:paraId="356B84EA" w14:textId="77777777" w:rsidTr="00B96A24">
        <w:trPr>
          <w:trHeight w:val="255"/>
        </w:trPr>
        <w:tc>
          <w:tcPr>
            <w:tcW w:w="771" w:type="pct"/>
            <w:shd w:val="clear" w:color="auto" w:fill="auto"/>
            <w:noWrap/>
            <w:vAlign w:val="bottom"/>
          </w:tcPr>
          <w:p w14:paraId="374F5E43" w14:textId="77777777" w:rsidR="001B5E26" w:rsidRPr="00FF5B9D" w:rsidRDefault="001B5E26" w:rsidP="00FC447C">
            <w:pPr>
              <w:pStyle w:val="TX-TableText"/>
            </w:pPr>
          </w:p>
        </w:tc>
        <w:tc>
          <w:tcPr>
            <w:tcW w:w="1410" w:type="pct"/>
            <w:shd w:val="clear" w:color="auto" w:fill="auto"/>
            <w:vAlign w:val="bottom"/>
          </w:tcPr>
          <w:p w14:paraId="7AE006A7" w14:textId="77777777" w:rsidR="001B5E26" w:rsidRPr="00BF2302" w:rsidRDefault="001B5E26" w:rsidP="00833CDA">
            <w:pPr>
              <w:pStyle w:val="TX-TableText"/>
              <w:rPr>
                <w:highlight w:val="yellow"/>
              </w:rPr>
            </w:pPr>
            <w:r w:rsidRPr="00BF2302">
              <w:rPr>
                <w:highlight w:val="yellow"/>
              </w:rPr>
              <w:t>Non-Hispanic</w:t>
            </w:r>
            <w:r w:rsidR="00833CDA" w:rsidRPr="00BF2302">
              <w:rPr>
                <w:highlight w:val="yellow"/>
              </w:rPr>
              <w:t>/Non-Black</w:t>
            </w:r>
          </w:p>
        </w:tc>
        <w:tc>
          <w:tcPr>
            <w:tcW w:w="1410" w:type="pct"/>
            <w:shd w:val="clear" w:color="auto" w:fill="auto"/>
            <w:noWrap/>
            <w:vAlign w:val="bottom"/>
          </w:tcPr>
          <w:p w14:paraId="7F6C3E75" w14:textId="77777777" w:rsidR="001B5E26" w:rsidRPr="00BF2302" w:rsidRDefault="00833CDA" w:rsidP="00FC447C">
            <w:pPr>
              <w:pStyle w:val="TX-TableText"/>
              <w:tabs>
                <w:tab w:val="decimal" w:pos="1339"/>
              </w:tabs>
              <w:rPr>
                <w:highlight w:val="yellow"/>
              </w:rPr>
            </w:pPr>
            <w:r w:rsidRPr="00BF2302">
              <w:rPr>
                <w:highlight w:val="yellow"/>
              </w:rPr>
              <w:t>35.7</w:t>
            </w:r>
          </w:p>
        </w:tc>
        <w:tc>
          <w:tcPr>
            <w:tcW w:w="1409" w:type="pct"/>
            <w:shd w:val="clear" w:color="auto" w:fill="auto"/>
            <w:noWrap/>
          </w:tcPr>
          <w:p w14:paraId="76A51034" w14:textId="77777777" w:rsidR="001B5E26" w:rsidRPr="00BF2302" w:rsidRDefault="00BF2302" w:rsidP="00FC447C">
            <w:pPr>
              <w:pStyle w:val="TX-TableText"/>
              <w:tabs>
                <w:tab w:val="decimal" w:pos="1372"/>
              </w:tabs>
              <w:rPr>
                <w:highlight w:val="yellow"/>
              </w:rPr>
            </w:pPr>
            <w:r w:rsidRPr="00BF2302">
              <w:rPr>
                <w:highlight w:val="yellow"/>
              </w:rPr>
              <w:t>2,047</w:t>
            </w:r>
          </w:p>
        </w:tc>
      </w:tr>
      <w:tr w:rsidR="001B5E26" w:rsidRPr="00FF5B9D" w14:paraId="07207912" w14:textId="77777777" w:rsidTr="00B96A24">
        <w:trPr>
          <w:trHeight w:val="255"/>
        </w:trPr>
        <w:tc>
          <w:tcPr>
            <w:tcW w:w="771" w:type="pct"/>
            <w:tcBorders>
              <w:bottom w:val="single" w:sz="4" w:space="0" w:color="auto"/>
            </w:tcBorders>
            <w:shd w:val="clear" w:color="auto" w:fill="auto"/>
            <w:noWrap/>
            <w:vAlign w:val="bottom"/>
          </w:tcPr>
          <w:p w14:paraId="78D6DFBE" w14:textId="77777777" w:rsidR="001B5E26" w:rsidRPr="00FF5B9D" w:rsidRDefault="001B5E26" w:rsidP="00FC447C">
            <w:pPr>
              <w:pStyle w:val="TX-TableText"/>
            </w:pPr>
          </w:p>
        </w:tc>
        <w:tc>
          <w:tcPr>
            <w:tcW w:w="1410" w:type="pct"/>
            <w:tcBorders>
              <w:bottom w:val="single" w:sz="4" w:space="0" w:color="auto"/>
            </w:tcBorders>
            <w:shd w:val="clear" w:color="auto" w:fill="auto"/>
            <w:vAlign w:val="bottom"/>
          </w:tcPr>
          <w:p w14:paraId="66527AF3" w14:textId="77777777" w:rsidR="001B5E26" w:rsidRPr="00FF5B9D" w:rsidRDefault="001B5E26" w:rsidP="00FC447C">
            <w:pPr>
              <w:pStyle w:val="TX-TableText"/>
            </w:pPr>
            <w:r w:rsidRPr="00FF5B9D">
              <w:t>All</w:t>
            </w:r>
          </w:p>
        </w:tc>
        <w:tc>
          <w:tcPr>
            <w:tcW w:w="1410" w:type="pct"/>
            <w:tcBorders>
              <w:bottom w:val="single" w:sz="4" w:space="0" w:color="auto"/>
            </w:tcBorders>
            <w:shd w:val="clear" w:color="auto" w:fill="auto"/>
            <w:noWrap/>
            <w:vAlign w:val="bottom"/>
          </w:tcPr>
          <w:p w14:paraId="0543B118" w14:textId="77777777" w:rsidR="001B5E26" w:rsidRPr="00BF2302" w:rsidRDefault="001B5E26" w:rsidP="00FC447C">
            <w:pPr>
              <w:pStyle w:val="TX-TableText"/>
              <w:tabs>
                <w:tab w:val="decimal" w:pos="1339"/>
              </w:tabs>
              <w:rPr>
                <w:highlight w:val="yellow"/>
              </w:rPr>
            </w:pPr>
            <w:r w:rsidRPr="00BF2302">
              <w:rPr>
                <w:highlight w:val="yellow"/>
              </w:rPr>
              <w:t xml:space="preserve"> 100.0</w:t>
            </w:r>
          </w:p>
        </w:tc>
        <w:tc>
          <w:tcPr>
            <w:tcW w:w="1409" w:type="pct"/>
            <w:tcBorders>
              <w:bottom w:val="single" w:sz="4" w:space="0" w:color="auto"/>
            </w:tcBorders>
            <w:shd w:val="clear" w:color="auto" w:fill="auto"/>
            <w:noWrap/>
          </w:tcPr>
          <w:p w14:paraId="10EDA004" w14:textId="77777777" w:rsidR="001B5E26" w:rsidRPr="00BF2302" w:rsidRDefault="00BF2302" w:rsidP="00FC447C">
            <w:pPr>
              <w:pStyle w:val="TX-TableText"/>
              <w:tabs>
                <w:tab w:val="decimal" w:pos="1372"/>
              </w:tabs>
              <w:rPr>
                <w:highlight w:val="yellow"/>
              </w:rPr>
            </w:pPr>
            <w:r w:rsidRPr="00BF2302">
              <w:rPr>
                <w:highlight w:val="yellow"/>
              </w:rPr>
              <w:t>5,733</w:t>
            </w:r>
          </w:p>
        </w:tc>
      </w:tr>
      <w:tr w:rsidR="001B5E26" w:rsidRPr="00FF5B9D" w14:paraId="0ED9EC30" w14:textId="77777777" w:rsidTr="00B96A24">
        <w:trPr>
          <w:trHeight w:val="255"/>
        </w:trPr>
        <w:tc>
          <w:tcPr>
            <w:tcW w:w="771" w:type="pct"/>
            <w:shd w:val="clear" w:color="auto" w:fill="auto"/>
            <w:noWrap/>
          </w:tcPr>
          <w:p w14:paraId="03D16330" w14:textId="77777777" w:rsidR="001B5E26" w:rsidRPr="00FF5B9D" w:rsidRDefault="001B5E26" w:rsidP="00FC447C">
            <w:pPr>
              <w:pStyle w:val="TX-TableText"/>
            </w:pPr>
            <w:r w:rsidRPr="00FF5B9D">
              <w:t>Low-minority</w:t>
            </w:r>
          </w:p>
        </w:tc>
        <w:tc>
          <w:tcPr>
            <w:tcW w:w="1410" w:type="pct"/>
            <w:shd w:val="clear" w:color="auto" w:fill="auto"/>
            <w:vAlign w:val="bottom"/>
          </w:tcPr>
          <w:p w14:paraId="12D6CC08" w14:textId="77777777" w:rsidR="001B5E26" w:rsidRPr="00FF5B9D" w:rsidRDefault="001B5E26" w:rsidP="00FC447C">
            <w:pPr>
              <w:pStyle w:val="TX-TableText"/>
            </w:pPr>
            <w:r w:rsidRPr="00FF5B9D">
              <w:t>Hispanic</w:t>
            </w:r>
          </w:p>
        </w:tc>
        <w:tc>
          <w:tcPr>
            <w:tcW w:w="1410" w:type="pct"/>
            <w:shd w:val="clear" w:color="auto" w:fill="auto"/>
            <w:noWrap/>
            <w:vAlign w:val="bottom"/>
          </w:tcPr>
          <w:p w14:paraId="555E0D19" w14:textId="77777777" w:rsidR="001B5E26" w:rsidRPr="00BF2302" w:rsidRDefault="00833CDA" w:rsidP="00FC447C">
            <w:pPr>
              <w:pStyle w:val="TX-TableText"/>
              <w:tabs>
                <w:tab w:val="decimal" w:pos="1339"/>
              </w:tabs>
              <w:rPr>
                <w:highlight w:val="yellow"/>
              </w:rPr>
            </w:pPr>
            <w:r w:rsidRPr="00BF2302">
              <w:rPr>
                <w:highlight w:val="yellow"/>
              </w:rPr>
              <w:t xml:space="preserve"> 6.6</w:t>
            </w:r>
          </w:p>
        </w:tc>
        <w:tc>
          <w:tcPr>
            <w:tcW w:w="1409" w:type="pct"/>
            <w:shd w:val="clear" w:color="auto" w:fill="auto"/>
            <w:noWrap/>
          </w:tcPr>
          <w:p w14:paraId="142948C8" w14:textId="77777777" w:rsidR="001B5E26" w:rsidRPr="00BF2302" w:rsidRDefault="00BF2302" w:rsidP="00FC447C">
            <w:pPr>
              <w:pStyle w:val="TX-TableText"/>
              <w:tabs>
                <w:tab w:val="decimal" w:pos="1372"/>
              </w:tabs>
              <w:rPr>
                <w:highlight w:val="yellow"/>
              </w:rPr>
            </w:pPr>
            <w:r w:rsidRPr="00BF2302">
              <w:rPr>
                <w:highlight w:val="yellow"/>
              </w:rPr>
              <w:t xml:space="preserve"> 315</w:t>
            </w:r>
          </w:p>
        </w:tc>
      </w:tr>
      <w:tr w:rsidR="001B5E26" w:rsidRPr="00FF5B9D" w14:paraId="2E243573" w14:textId="77777777" w:rsidTr="00B96A24">
        <w:trPr>
          <w:trHeight w:val="255"/>
        </w:trPr>
        <w:tc>
          <w:tcPr>
            <w:tcW w:w="771" w:type="pct"/>
            <w:shd w:val="clear" w:color="auto" w:fill="auto"/>
            <w:noWrap/>
            <w:vAlign w:val="bottom"/>
          </w:tcPr>
          <w:p w14:paraId="5946A482" w14:textId="77777777" w:rsidR="001B5E26" w:rsidRPr="00FF5B9D" w:rsidRDefault="001B5E26" w:rsidP="00FC447C">
            <w:pPr>
              <w:pStyle w:val="TX-TableText"/>
            </w:pPr>
          </w:p>
        </w:tc>
        <w:tc>
          <w:tcPr>
            <w:tcW w:w="1410" w:type="pct"/>
            <w:shd w:val="clear" w:color="auto" w:fill="auto"/>
            <w:vAlign w:val="bottom"/>
          </w:tcPr>
          <w:p w14:paraId="0621FC7A" w14:textId="77777777" w:rsidR="001B5E26" w:rsidRPr="00BF2302" w:rsidRDefault="00833CDA" w:rsidP="00FC447C">
            <w:pPr>
              <w:pStyle w:val="TX-TableText"/>
              <w:rPr>
                <w:highlight w:val="yellow"/>
              </w:rPr>
            </w:pPr>
            <w:r w:rsidRPr="00BF2302">
              <w:rPr>
                <w:highlight w:val="yellow"/>
              </w:rPr>
              <w:t>Black</w:t>
            </w:r>
          </w:p>
        </w:tc>
        <w:tc>
          <w:tcPr>
            <w:tcW w:w="1410" w:type="pct"/>
            <w:shd w:val="clear" w:color="auto" w:fill="auto"/>
            <w:noWrap/>
            <w:vAlign w:val="bottom"/>
          </w:tcPr>
          <w:p w14:paraId="60DF815A" w14:textId="77777777" w:rsidR="001B5E26" w:rsidRPr="00BF2302" w:rsidRDefault="00833CDA" w:rsidP="00FC447C">
            <w:pPr>
              <w:pStyle w:val="TX-TableText"/>
              <w:tabs>
                <w:tab w:val="decimal" w:pos="1339"/>
              </w:tabs>
              <w:rPr>
                <w:highlight w:val="yellow"/>
              </w:rPr>
            </w:pPr>
            <w:r w:rsidRPr="00BF2302">
              <w:rPr>
                <w:highlight w:val="yellow"/>
              </w:rPr>
              <w:t xml:space="preserve"> 4.9</w:t>
            </w:r>
          </w:p>
        </w:tc>
        <w:tc>
          <w:tcPr>
            <w:tcW w:w="1409" w:type="pct"/>
            <w:shd w:val="clear" w:color="auto" w:fill="auto"/>
            <w:noWrap/>
          </w:tcPr>
          <w:p w14:paraId="797239E6" w14:textId="77777777" w:rsidR="001B5E26" w:rsidRPr="00BF2302" w:rsidRDefault="00BF2302" w:rsidP="00FC447C">
            <w:pPr>
              <w:pStyle w:val="TX-TableText"/>
              <w:tabs>
                <w:tab w:val="decimal" w:pos="1372"/>
              </w:tabs>
              <w:rPr>
                <w:highlight w:val="yellow"/>
              </w:rPr>
            </w:pPr>
            <w:r w:rsidRPr="00BF2302">
              <w:rPr>
                <w:highlight w:val="yellow"/>
              </w:rPr>
              <w:t xml:space="preserve"> 234</w:t>
            </w:r>
          </w:p>
        </w:tc>
      </w:tr>
      <w:tr w:rsidR="001B5E26" w:rsidRPr="00FF5B9D" w14:paraId="288DE4FF" w14:textId="77777777" w:rsidTr="00B96A24">
        <w:trPr>
          <w:trHeight w:val="255"/>
        </w:trPr>
        <w:tc>
          <w:tcPr>
            <w:tcW w:w="771" w:type="pct"/>
            <w:shd w:val="clear" w:color="auto" w:fill="auto"/>
            <w:noWrap/>
            <w:vAlign w:val="bottom"/>
          </w:tcPr>
          <w:p w14:paraId="3E235139" w14:textId="77777777" w:rsidR="001B5E26" w:rsidRPr="00FF5B9D" w:rsidRDefault="001B5E26" w:rsidP="00FC447C">
            <w:pPr>
              <w:pStyle w:val="TX-TableText"/>
            </w:pPr>
          </w:p>
        </w:tc>
        <w:tc>
          <w:tcPr>
            <w:tcW w:w="1410" w:type="pct"/>
            <w:shd w:val="clear" w:color="auto" w:fill="auto"/>
            <w:vAlign w:val="bottom"/>
          </w:tcPr>
          <w:p w14:paraId="6BEFC661" w14:textId="77777777" w:rsidR="001B5E26" w:rsidRPr="00BF2302" w:rsidRDefault="00833CDA" w:rsidP="00833CDA">
            <w:pPr>
              <w:pStyle w:val="TX-TableText"/>
              <w:rPr>
                <w:highlight w:val="yellow"/>
              </w:rPr>
            </w:pPr>
            <w:r w:rsidRPr="00BF2302">
              <w:rPr>
                <w:highlight w:val="yellow"/>
              </w:rPr>
              <w:t>Non-Hispanic/Non-Black</w:t>
            </w:r>
          </w:p>
        </w:tc>
        <w:tc>
          <w:tcPr>
            <w:tcW w:w="1410" w:type="pct"/>
            <w:shd w:val="clear" w:color="auto" w:fill="auto"/>
            <w:noWrap/>
            <w:vAlign w:val="bottom"/>
          </w:tcPr>
          <w:p w14:paraId="689A6CCC" w14:textId="77777777" w:rsidR="001B5E26" w:rsidRPr="00BF2302" w:rsidRDefault="00833CDA" w:rsidP="00FC447C">
            <w:pPr>
              <w:pStyle w:val="TX-TableText"/>
              <w:tabs>
                <w:tab w:val="decimal" w:pos="1339"/>
              </w:tabs>
              <w:rPr>
                <w:highlight w:val="yellow"/>
              </w:rPr>
            </w:pPr>
            <w:r w:rsidRPr="00BF2302">
              <w:rPr>
                <w:highlight w:val="yellow"/>
              </w:rPr>
              <w:t xml:space="preserve"> 88.5</w:t>
            </w:r>
          </w:p>
        </w:tc>
        <w:tc>
          <w:tcPr>
            <w:tcW w:w="1409" w:type="pct"/>
            <w:shd w:val="clear" w:color="auto" w:fill="auto"/>
            <w:noWrap/>
          </w:tcPr>
          <w:p w14:paraId="074CCE2A" w14:textId="77777777" w:rsidR="001B5E26" w:rsidRPr="00BF2302" w:rsidRDefault="00BF2302" w:rsidP="00FC447C">
            <w:pPr>
              <w:pStyle w:val="TX-TableText"/>
              <w:tabs>
                <w:tab w:val="decimal" w:pos="1372"/>
              </w:tabs>
              <w:rPr>
                <w:highlight w:val="yellow"/>
              </w:rPr>
            </w:pPr>
            <w:r w:rsidRPr="00BF2302">
              <w:rPr>
                <w:highlight w:val="yellow"/>
              </w:rPr>
              <w:t>4,219</w:t>
            </w:r>
          </w:p>
        </w:tc>
      </w:tr>
      <w:tr w:rsidR="001B5E26" w:rsidRPr="00FF5B9D" w14:paraId="435AADC0" w14:textId="77777777" w:rsidTr="00B96A24">
        <w:trPr>
          <w:trHeight w:val="255"/>
        </w:trPr>
        <w:tc>
          <w:tcPr>
            <w:tcW w:w="771" w:type="pct"/>
            <w:tcBorders>
              <w:bottom w:val="single" w:sz="4" w:space="0" w:color="auto"/>
            </w:tcBorders>
            <w:shd w:val="clear" w:color="auto" w:fill="auto"/>
            <w:noWrap/>
            <w:vAlign w:val="bottom"/>
          </w:tcPr>
          <w:p w14:paraId="6696C5E7" w14:textId="77777777" w:rsidR="001B5E26" w:rsidRPr="00FF5B9D" w:rsidRDefault="001B5E26" w:rsidP="00FC447C">
            <w:pPr>
              <w:pStyle w:val="TX-TableText"/>
            </w:pPr>
          </w:p>
        </w:tc>
        <w:tc>
          <w:tcPr>
            <w:tcW w:w="1410" w:type="pct"/>
            <w:tcBorders>
              <w:bottom w:val="single" w:sz="4" w:space="0" w:color="auto"/>
            </w:tcBorders>
            <w:shd w:val="clear" w:color="auto" w:fill="auto"/>
            <w:vAlign w:val="bottom"/>
          </w:tcPr>
          <w:p w14:paraId="413322C2" w14:textId="77777777" w:rsidR="001B5E26" w:rsidRPr="00FF5B9D" w:rsidRDefault="001B5E26" w:rsidP="00FC447C">
            <w:pPr>
              <w:pStyle w:val="TX-TableText"/>
            </w:pPr>
            <w:r w:rsidRPr="00FF5B9D">
              <w:t>All</w:t>
            </w:r>
          </w:p>
        </w:tc>
        <w:tc>
          <w:tcPr>
            <w:tcW w:w="1410" w:type="pct"/>
            <w:tcBorders>
              <w:bottom w:val="single" w:sz="4" w:space="0" w:color="auto"/>
            </w:tcBorders>
            <w:shd w:val="clear" w:color="auto" w:fill="auto"/>
            <w:noWrap/>
            <w:vAlign w:val="bottom"/>
          </w:tcPr>
          <w:p w14:paraId="61C93F45" w14:textId="77777777" w:rsidR="001B5E26" w:rsidRPr="00BF2302" w:rsidRDefault="001B5E26" w:rsidP="00FC447C">
            <w:pPr>
              <w:pStyle w:val="TX-TableText"/>
              <w:tabs>
                <w:tab w:val="decimal" w:pos="1339"/>
              </w:tabs>
              <w:rPr>
                <w:highlight w:val="yellow"/>
              </w:rPr>
            </w:pPr>
            <w:r w:rsidRPr="00BF2302">
              <w:rPr>
                <w:highlight w:val="yellow"/>
              </w:rPr>
              <w:t xml:space="preserve"> 100.0</w:t>
            </w:r>
          </w:p>
        </w:tc>
        <w:tc>
          <w:tcPr>
            <w:tcW w:w="1409" w:type="pct"/>
            <w:tcBorders>
              <w:bottom w:val="single" w:sz="4" w:space="0" w:color="auto"/>
            </w:tcBorders>
            <w:shd w:val="clear" w:color="auto" w:fill="auto"/>
            <w:noWrap/>
          </w:tcPr>
          <w:p w14:paraId="008D2F42" w14:textId="77777777" w:rsidR="001B5E26" w:rsidRPr="00BF2302" w:rsidRDefault="001B5E26" w:rsidP="00FC447C">
            <w:pPr>
              <w:pStyle w:val="TX-TableText"/>
              <w:tabs>
                <w:tab w:val="decimal" w:pos="1372"/>
              </w:tabs>
              <w:rPr>
                <w:highlight w:val="yellow"/>
              </w:rPr>
            </w:pPr>
            <w:r w:rsidRPr="00BF2302">
              <w:rPr>
                <w:highlight w:val="yellow"/>
              </w:rPr>
              <w:t xml:space="preserve"> </w:t>
            </w:r>
            <w:r w:rsidR="00BF2302" w:rsidRPr="00BF2302">
              <w:rPr>
                <w:highlight w:val="yellow"/>
              </w:rPr>
              <w:t>4,767</w:t>
            </w:r>
          </w:p>
        </w:tc>
      </w:tr>
    </w:tbl>
    <w:p w14:paraId="08C87021" w14:textId="77777777" w:rsidR="001B5E26" w:rsidRPr="00FF5B9D" w:rsidRDefault="00D4630E" w:rsidP="001B5E26">
      <w:pPr>
        <w:pStyle w:val="FootnoteText"/>
      </w:pPr>
      <w:r>
        <w:rPr>
          <w:vertAlign w:val="superscript"/>
        </w:rPr>
        <w:t>2</w:t>
      </w:r>
      <w:r w:rsidR="001B5E26" w:rsidRPr="00FF5B9D">
        <w:rPr>
          <w:vertAlign w:val="superscript"/>
        </w:rPr>
        <w:tab/>
      </w:r>
      <w:r w:rsidR="004E2437" w:rsidRPr="00F72EF1">
        <w:rPr>
          <w:highlight w:val="yellow"/>
        </w:rPr>
        <w:t>Based on 2010-2014 ACS data</w:t>
      </w:r>
      <w:r w:rsidR="001B5E26" w:rsidRPr="00FF5B9D">
        <w:t>.</w:t>
      </w:r>
    </w:p>
    <w:p w14:paraId="0C82449C" w14:textId="77777777" w:rsidR="001B5E26" w:rsidRPr="00FF5B9D" w:rsidRDefault="001B5E26" w:rsidP="001B5E26">
      <w:pPr>
        <w:pStyle w:val="L1-FlLSp12"/>
      </w:pPr>
    </w:p>
    <w:p w14:paraId="7C8EC4FF" w14:textId="77777777" w:rsidR="00132C52" w:rsidRPr="00FF5B9D" w:rsidRDefault="00132C52" w:rsidP="001B5E26">
      <w:pPr>
        <w:pStyle w:val="L1-FlLSp12"/>
      </w:pPr>
    </w:p>
    <w:p w14:paraId="0C2870E9" w14:textId="77777777" w:rsidR="001B5E26" w:rsidRPr="00FF5B9D" w:rsidRDefault="001B5E26" w:rsidP="00185BBE">
      <w:pPr>
        <w:pStyle w:val="TT-TableTitle"/>
        <w:tabs>
          <w:tab w:val="clear" w:pos="1152"/>
          <w:tab w:val="left" w:pos="0"/>
        </w:tabs>
        <w:ind w:left="0" w:firstLine="0"/>
      </w:pPr>
      <w:r w:rsidRPr="00FF5B9D">
        <w:t>Table B</w:t>
      </w:r>
      <w:r w:rsidR="00185BBE" w:rsidRPr="00FF5B9D">
        <w:t>2</w:t>
      </w:r>
      <w:r w:rsidRPr="00FF5B9D">
        <w:t>-4.</w:t>
      </w:r>
      <w:r w:rsidRPr="00FF5B9D">
        <w:tab/>
        <w:t>Expected half widths of 95 percent confidence intervals for estimated proportions in race/ethnicity domains of interest</w:t>
      </w:r>
    </w:p>
    <w:tbl>
      <w:tblPr>
        <w:tblW w:w="4940" w:type="pct"/>
        <w:tblInd w:w="115" w:type="dxa"/>
        <w:tblLayout w:type="fixed"/>
        <w:tblCellMar>
          <w:left w:w="115" w:type="dxa"/>
          <w:right w:w="115" w:type="dxa"/>
        </w:tblCellMar>
        <w:tblLook w:val="0000" w:firstRow="0" w:lastRow="0" w:firstColumn="0" w:lastColumn="0" w:noHBand="0" w:noVBand="0"/>
      </w:tblPr>
      <w:tblGrid>
        <w:gridCol w:w="2641"/>
        <w:gridCol w:w="1707"/>
        <w:gridCol w:w="1709"/>
        <w:gridCol w:w="1709"/>
        <w:gridCol w:w="1709"/>
      </w:tblGrid>
      <w:tr w:rsidR="001B5E26" w:rsidRPr="00FF5B9D" w14:paraId="57942E1D" w14:textId="77777777" w:rsidTr="000439D0">
        <w:tc>
          <w:tcPr>
            <w:tcW w:w="1393" w:type="pct"/>
            <w:vMerge w:val="restart"/>
            <w:tcBorders>
              <w:top w:val="single" w:sz="4" w:space="0" w:color="auto"/>
            </w:tcBorders>
            <w:shd w:val="clear" w:color="auto" w:fill="AFBED7"/>
            <w:vAlign w:val="bottom"/>
          </w:tcPr>
          <w:p w14:paraId="0680614E" w14:textId="77777777" w:rsidR="001B5E26" w:rsidRPr="00FF5B9D" w:rsidRDefault="001B5E26" w:rsidP="00FC447C">
            <w:pPr>
              <w:pStyle w:val="TH-TableHeading"/>
            </w:pPr>
            <w:bookmarkStart w:id="20" w:name="_Toc445805563"/>
            <w:r w:rsidRPr="00FF5B9D">
              <w:t>Total number of completed questionnaires</w:t>
            </w:r>
            <w:bookmarkEnd w:id="20"/>
          </w:p>
        </w:tc>
        <w:tc>
          <w:tcPr>
            <w:tcW w:w="3607" w:type="pct"/>
            <w:gridSpan w:val="4"/>
            <w:tcBorders>
              <w:top w:val="single" w:sz="4" w:space="0" w:color="auto"/>
              <w:bottom w:val="single" w:sz="4" w:space="0" w:color="auto"/>
            </w:tcBorders>
            <w:shd w:val="clear" w:color="auto" w:fill="AFBED7"/>
            <w:vAlign w:val="center"/>
          </w:tcPr>
          <w:p w14:paraId="0621ABD4" w14:textId="77777777" w:rsidR="001B5E26" w:rsidRPr="00FF5B9D" w:rsidRDefault="001B5E26" w:rsidP="00FC447C">
            <w:pPr>
              <w:pStyle w:val="TH-TableHeading"/>
            </w:pPr>
            <w:bookmarkStart w:id="21" w:name="_Toc445805564"/>
            <w:r w:rsidRPr="00FF5B9D">
              <w:t>Half width of 95 percent confidence intervals about</w:t>
            </w:r>
            <w:bookmarkEnd w:id="21"/>
          </w:p>
          <w:p w14:paraId="54C9AA39" w14:textId="77777777" w:rsidR="001B5E26" w:rsidRPr="00FF5B9D" w:rsidRDefault="001B5E26" w:rsidP="00FC447C">
            <w:pPr>
              <w:pStyle w:val="TH-TableHeading"/>
            </w:pPr>
            <w:bookmarkStart w:id="22" w:name="_Toc445805565"/>
            <w:r w:rsidRPr="00FF5B9D">
              <w:t>estimated domain proportions of p=50 percent</w:t>
            </w:r>
            <w:bookmarkEnd w:id="22"/>
          </w:p>
        </w:tc>
      </w:tr>
      <w:tr w:rsidR="001B5E26" w:rsidRPr="00FF5B9D" w14:paraId="01BE7E39" w14:textId="77777777" w:rsidTr="000439D0">
        <w:trPr>
          <w:trHeight w:val="360"/>
        </w:trPr>
        <w:tc>
          <w:tcPr>
            <w:tcW w:w="1393" w:type="pct"/>
            <w:vMerge/>
            <w:tcBorders>
              <w:bottom w:val="single" w:sz="4" w:space="0" w:color="auto"/>
            </w:tcBorders>
            <w:shd w:val="clear" w:color="auto" w:fill="AFBED7"/>
            <w:vAlign w:val="bottom"/>
          </w:tcPr>
          <w:p w14:paraId="6AB9ED78" w14:textId="77777777" w:rsidR="001B5E26" w:rsidRPr="00FF5B9D" w:rsidRDefault="001B5E26" w:rsidP="00FC447C">
            <w:pPr>
              <w:pStyle w:val="TH-TableHeading"/>
            </w:pPr>
          </w:p>
        </w:tc>
        <w:tc>
          <w:tcPr>
            <w:tcW w:w="901" w:type="pct"/>
            <w:tcBorders>
              <w:top w:val="single" w:sz="4" w:space="0" w:color="auto"/>
              <w:bottom w:val="single" w:sz="4" w:space="0" w:color="auto"/>
            </w:tcBorders>
            <w:shd w:val="clear" w:color="auto" w:fill="AFBED7"/>
            <w:vAlign w:val="bottom"/>
          </w:tcPr>
          <w:p w14:paraId="79D7F3C0" w14:textId="77777777" w:rsidR="001B5E26" w:rsidRPr="00FF5B9D" w:rsidRDefault="001B5E26" w:rsidP="00FC447C">
            <w:pPr>
              <w:pStyle w:val="TH-TableHeading"/>
            </w:pPr>
            <w:bookmarkStart w:id="23" w:name="_Toc445805566"/>
            <w:r w:rsidRPr="00FF5B9D">
              <w:t>Hispanics</w:t>
            </w:r>
            <w:bookmarkEnd w:id="23"/>
          </w:p>
          <w:p w14:paraId="6CAF00D0" w14:textId="77777777" w:rsidR="001B5E26" w:rsidRPr="00FF5B9D" w:rsidRDefault="001B5E26" w:rsidP="00FC447C">
            <w:pPr>
              <w:pStyle w:val="TH-TableHeading"/>
            </w:pPr>
            <w:bookmarkStart w:id="24" w:name="_Toc445805567"/>
            <w:r w:rsidRPr="00FF5B9D">
              <w:t>(percent)</w:t>
            </w:r>
            <w:bookmarkEnd w:id="24"/>
          </w:p>
        </w:tc>
        <w:tc>
          <w:tcPr>
            <w:tcW w:w="902" w:type="pct"/>
            <w:tcBorders>
              <w:top w:val="single" w:sz="4" w:space="0" w:color="auto"/>
              <w:bottom w:val="single" w:sz="4" w:space="0" w:color="auto"/>
            </w:tcBorders>
            <w:shd w:val="clear" w:color="auto" w:fill="AFBED7"/>
            <w:vAlign w:val="bottom"/>
          </w:tcPr>
          <w:p w14:paraId="10BF1357" w14:textId="77777777" w:rsidR="001B5E26" w:rsidRPr="00FF5B9D" w:rsidRDefault="001B5E26" w:rsidP="00FC447C">
            <w:pPr>
              <w:pStyle w:val="TH-TableHeading"/>
            </w:pPr>
            <w:bookmarkStart w:id="25" w:name="_Toc445805568"/>
            <w:r w:rsidRPr="00FF5B9D">
              <w:t>African Americans (percent)</w:t>
            </w:r>
            <w:bookmarkEnd w:id="25"/>
          </w:p>
        </w:tc>
        <w:tc>
          <w:tcPr>
            <w:tcW w:w="902" w:type="pct"/>
            <w:tcBorders>
              <w:top w:val="single" w:sz="4" w:space="0" w:color="auto"/>
              <w:bottom w:val="single" w:sz="4" w:space="0" w:color="auto"/>
            </w:tcBorders>
            <w:shd w:val="clear" w:color="auto" w:fill="AFBED7"/>
            <w:vAlign w:val="bottom"/>
          </w:tcPr>
          <w:p w14:paraId="0D55BA1D" w14:textId="77777777" w:rsidR="001B5E26" w:rsidRPr="00FF5B9D" w:rsidRDefault="001B5E26" w:rsidP="00FC447C">
            <w:pPr>
              <w:pStyle w:val="TH-TableHeading"/>
            </w:pPr>
            <w:bookmarkStart w:id="26" w:name="_Toc445805569"/>
            <w:r w:rsidRPr="00FF5B9D">
              <w:t>Non-Hispanic Whites and other races (percent)</w:t>
            </w:r>
            <w:bookmarkEnd w:id="26"/>
          </w:p>
        </w:tc>
        <w:tc>
          <w:tcPr>
            <w:tcW w:w="903" w:type="pct"/>
            <w:tcBorders>
              <w:top w:val="single" w:sz="4" w:space="0" w:color="auto"/>
              <w:bottom w:val="single" w:sz="4" w:space="0" w:color="auto"/>
            </w:tcBorders>
            <w:shd w:val="clear" w:color="auto" w:fill="AFBED7"/>
            <w:vAlign w:val="bottom"/>
          </w:tcPr>
          <w:p w14:paraId="2CD1A548" w14:textId="77777777" w:rsidR="001B5E26" w:rsidRPr="00FF5B9D" w:rsidRDefault="001B5E26" w:rsidP="00FC447C">
            <w:pPr>
              <w:pStyle w:val="TH-TableHeading"/>
            </w:pPr>
            <w:bookmarkStart w:id="27" w:name="_Toc445805570"/>
            <w:r w:rsidRPr="00FF5B9D">
              <w:t>All adults (percent)</w:t>
            </w:r>
            <w:bookmarkEnd w:id="27"/>
          </w:p>
        </w:tc>
      </w:tr>
      <w:tr w:rsidR="001B5E26" w:rsidRPr="00FF5B9D" w14:paraId="5639079D" w14:textId="77777777" w:rsidTr="000439D0">
        <w:trPr>
          <w:trHeight w:val="255"/>
        </w:trPr>
        <w:tc>
          <w:tcPr>
            <w:tcW w:w="1393" w:type="pct"/>
            <w:tcBorders>
              <w:top w:val="single" w:sz="4" w:space="0" w:color="auto"/>
            </w:tcBorders>
            <w:shd w:val="clear" w:color="auto" w:fill="auto"/>
            <w:noWrap/>
          </w:tcPr>
          <w:p w14:paraId="03FCF3A1" w14:textId="77777777" w:rsidR="001B5E26" w:rsidRPr="00BF2302" w:rsidRDefault="001B5E26" w:rsidP="004E2437">
            <w:pPr>
              <w:pStyle w:val="TX-TableText"/>
              <w:keepNext/>
              <w:jc w:val="center"/>
              <w:rPr>
                <w:highlight w:val="yellow"/>
              </w:rPr>
            </w:pPr>
            <w:r w:rsidRPr="00BF2302">
              <w:rPr>
                <w:highlight w:val="yellow"/>
              </w:rPr>
              <w:t>1</w:t>
            </w:r>
            <w:r w:rsidR="004E2437" w:rsidRPr="00BF2302">
              <w:rPr>
                <w:highlight w:val="yellow"/>
              </w:rPr>
              <w:t>0</w:t>
            </w:r>
            <w:r w:rsidRPr="00BF2302">
              <w:rPr>
                <w:highlight w:val="yellow"/>
              </w:rPr>
              <w:t>,</w:t>
            </w:r>
            <w:r w:rsidR="004E2437" w:rsidRPr="00BF2302">
              <w:rPr>
                <w:highlight w:val="yellow"/>
              </w:rPr>
              <w:t>500</w:t>
            </w:r>
          </w:p>
        </w:tc>
        <w:tc>
          <w:tcPr>
            <w:tcW w:w="901" w:type="pct"/>
            <w:tcBorders>
              <w:top w:val="single" w:sz="4" w:space="0" w:color="auto"/>
            </w:tcBorders>
            <w:shd w:val="clear" w:color="auto" w:fill="auto"/>
            <w:noWrap/>
            <w:vAlign w:val="bottom"/>
          </w:tcPr>
          <w:p w14:paraId="1A1B0D55" w14:textId="77777777" w:rsidR="001B5E26" w:rsidRPr="00BF2302" w:rsidRDefault="00BF2302" w:rsidP="00FC447C">
            <w:pPr>
              <w:pStyle w:val="TX-TableText"/>
              <w:keepNext/>
              <w:jc w:val="center"/>
              <w:rPr>
                <w:highlight w:val="yellow"/>
              </w:rPr>
            </w:pPr>
            <w:r w:rsidRPr="00BF2302">
              <w:rPr>
                <w:highlight w:val="yellow"/>
              </w:rPr>
              <w:t>3.35</w:t>
            </w:r>
          </w:p>
        </w:tc>
        <w:tc>
          <w:tcPr>
            <w:tcW w:w="902" w:type="pct"/>
            <w:tcBorders>
              <w:top w:val="single" w:sz="4" w:space="0" w:color="auto"/>
            </w:tcBorders>
            <w:shd w:val="clear" w:color="auto" w:fill="auto"/>
            <w:noWrap/>
            <w:vAlign w:val="bottom"/>
          </w:tcPr>
          <w:p w14:paraId="1ADB35F0" w14:textId="77777777" w:rsidR="001B5E26" w:rsidRPr="00BF2302" w:rsidRDefault="00BF2302" w:rsidP="00FC447C">
            <w:pPr>
              <w:pStyle w:val="TX-TableText"/>
              <w:keepNext/>
              <w:jc w:val="center"/>
              <w:rPr>
                <w:highlight w:val="yellow"/>
              </w:rPr>
            </w:pPr>
            <w:r w:rsidRPr="00BF2302">
              <w:rPr>
                <w:highlight w:val="yellow"/>
              </w:rPr>
              <w:t>3.66</w:t>
            </w:r>
          </w:p>
        </w:tc>
        <w:tc>
          <w:tcPr>
            <w:tcW w:w="902" w:type="pct"/>
            <w:tcBorders>
              <w:top w:val="single" w:sz="4" w:space="0" w:color="auto"/>
            </w:tcBorders>
            <w:shd w:val="clear" w:color="auto" w:fill="auto"/>
            <w:noWrap/>
            <w:vAlign w:val="bottom"/>
          </w:tcPr>
          <w:p w14:paraId="66B0E807" w14:textId="77777777" w:rsidR="001B5E26" w:rsidRPr="00BF2302" w:rsidRDefault="00BF2302" w:rsidP="00FC447C">
            <w:pPr>
              <w:pStyle w:val="TX-TableText"/>
              <w:keepNext/>
              <w:jc w:val="center"/>
              <w:rPr>
                <w:highlight w:val="yellow"/>
              </w:rPr>
            </w:pPr>
            <w:r w:rsidRPr="00BF2302">
              <w:rPr>
                <w:highlight w:val="yellow"/>
              </w:rPr>
              <w:t>2.03</w:t>
            </w:r>
          </w:p>
        </w:tc>
        <w:tc>
          <w:tcPr>
            <w:tcW w:w="903" w:type="pct"/>
            <w:tcBorders>
              <w:top w:val="single" w:sz="4" w:space="0" w:color="auto"/>
            </w:tcBorders>
            <w:shd w:val="clear" w:color="auto" w:fill="auto"/>
            <w:noWrap/>
            <w:vAlign w:val="bottom"/>
          </w:tcPr>
          <w:p w14:paraId="2BC240B4" w14:textId="77777777" w:rsidR="001B5E26" w:rsidRPr="00BF2302" w:rsidRDefault="00BF2302" w:rsidP="00FC447C">
            <w:pPr>
              <w:pStyle w:val="TX-TableText"/>
              <w:keepNext/>
              <w:jc w:val="center"/>
              <w:rPr>
                <w:highlight w:val="yellow"/>
              </w:rPr>
            </w:pPr>
            <w:r w:rsidRPr="00BF2302">
              <w:rPr>
                <w:highlight w:val="yellow"/>
              </w:rPr>
              <w:t>1.57</w:t>
            </w:r>
          </w:p>
        </w:tc>
      </w:tr>
      <w:tr w:rsidR="001B5E26" w:rsidRPr="00FF5B9D" w14:paraId="731C8110" w14:textId="77777777" w:rsidTr="00F52DAF">
        <w:trPr>
          <w:trHeight w:val="255"/>
        </w:trPr>
        <w:tc>
          <w:tcPr>
            <w:tcW w:w="1393" w:type="pct"/>
            <w:shd w:val="clear" w:color="auto" w:fill="auto"/>
            <w:noWrap/>
          </w:tcPr>
          <w:p w14:paraId="64E60426" w14:textId="77777777" w:rsidR="001B5E26" w:rsidRPr="00BF2302" w:rsidRDefault="001B5E26" w:rsidP="00FC447C">
            <w:pPr>
              <w:pStyle w:val="TX-TableText"/>
              <w:keepNext/>
              <w:jc w:val="center"/>
              <w:rPr>
                <w:highlight w:val="yellow"/>
              </w:rPr>
            </w:pPr>
            <w:r w:rsidRPr="00BF2302">
              <w:rPr>
                <w:highlight w:val="yellow"/>
              </w:rPr>
              <w:t>7,000</w:t>
            </w:r>
          </w:p>
        </w:tc>
        <w:tc>
          <w:tcPr>
            <w:tcW w:w="901" w:type="pct"/>
            <w:shd w:val="clear" w:color="auto" w:fill="auto"/>
            <w:noWrap/>
            <w:vAlign w:val="bottom"/>
          </w:tcPr>
          <w:p w14:paraId="673A1825" w14:textId="77777777" w:rsidR="001B5E26" w:rsidRPr="00BF2302" w:rsidRDefault="00BF2302" w:rsidP="00FC447C">
            <w:pPr>
              <w:pStyle w:val="TX-TableText"/>
              <w:keepNext/>
              <w:jc w:val="center"/>
              <w:rPr>
                <w:highlight w:val="yellow"/>
              </w:rPr>
            </w:pPr>
            <w:r w:rsidRPr="00BF2302">
              <w:rPr>
                <w:highlight w:val="yellow"/>
              </w:rPr>
              <w:t>4.11</w:t>
            </w:r>
          </w:p>
        </w:tc>
        <w:tc>
          <w:tcPr>
            <w:tcW w:w="902" w:type="pct"/>
            <w:shd w:val="clear" w:color="auto" w:fill="auto"/>
            <w:noWrap/>
            <w:vAlign w:val="bottom"/>
          </w:tcPr>
          <w:p w14:paraId="3ABD2453" w14:textId="77777777" w:rsidR="001B5E26" w:rsidRPr="00BF2302" w:rsidRDefault="00BF2302" w:rsidP="00FC447C">
            <w:pPr>
              <w:pStyle w:val="TX-TableText"/>
              <w:keepNext/>
              <w:jc w:val="center"/>
              <w:rPr>
                <w:highlight w:val="yellow"/>
              </w:rPr>
            </w:pPr>
            <w:r w:rsidRPr="00BF2302">
              <w:rPr>
                <w:highlight w:val="yellow"/>
              </w:rPr>
              <w:t>4.49</w:t>
            </w:r>
          </w:p>
        </w:tc>
        <w:tc>
          <w:tcPr>
            <w:tcW w:w="902" w:type="pct"/>
            <w:shd w:val="clear" w:color="auto" w:fill="auto"/>
            <w:noWrap/>
            <w:vAlign w:val="bottom"/>
          </w:tcPr>
          <w:p w14:paraId="052758AD" w14:textId="77777777" w:rsidR="001B5E26" w:rsidRPr="00BF2302" w:rsidRDefault="00BF2302" w:rsidP="00FC447C">
            <w:pPr>
              <w:pStyle w:val="TX-TableText"/>
              <w:keepNext/>
              <w:jc w:val="center"/>
              <w:rPr>
                <w:highlight w:val="yellow"/>
              </w:rPr>
            </w:pPr>
            <w:r w:rsidRPr="00BF2302">
              <w:rPr>
                <w:highlight w:val="yellow"/>
              </w:rPr>
              <w:t>2.49</w:t>
            </w:r>
          </w:p>
        </w:tc>
        <w:tc>
          <w:tcPr>
            <w:tcW w:w="903" w:type="pct"/>
            <w:shd w:val="clear" w:color="auto" w:fill="auto"/>
            <w:noWrap/>
            <w:vAlign w:val="bottom"/>
          </w:tcPr>
          <w:p w14:paraId="51819420" w14:textId="77777777" w:rsidR="001B5E26" w:rsidRPr="00BF2302" w:rsidRDefault="001B5E26" w:rsidP="00BF2302">
            <w:pPr>
              <w:pStyle w:val="TX-TableText"/>
              <w:keepNext/>
              <w:jc w:val="center"/>
              <w:rPr>
                <w:highlight w:val="yellow"/>
              </w:rPr>
            </w:pPr>
            <w:r w:rsidRPr="00BF2302">
              <w:rPr>
                <w:highlight w:val="yellow"/>
              </w:rPr>
              <w:t>1.</w:t>
            </w:r>
            <w:r w:rsidR="00BF2302" w:rsidRPr="00BF2302">
              <w:rPr>
                <w:highlight w:val="yellow"/>
              </w:rPr>
              <w:t>92</w:t>
            </w:r>
          </w:p>
        </w:tc>
      </w:tr>
      <w:tr w:rsidR="001B5E26" w:rsidRPr="00FF5B9D" w14:paraId="17464CE4" w14:textId="77777777" w:rsidTr="00F52DAF">
        <w:trPr>
          <w:trHeight w:val="255"/>
        </w:trPr>
        <w:tc>
          <w:tcPr>
            <w:tcW w:w="1393" w:type="pct"/>
            <w:tcBorders>
              <w:bottom w:val="single" w:sz="4" w:space="0" w:color="auto"/>
            </w:tcBorders>
            <w:shd w:val="clear" w:color="auto" w:fill="auto"/>
            <w:noWrap/>
          </w:tcPr>
          <w:p w14:paraId="2790432B" w14:textId="77777777" w:rsidR="001B5E26" w:rsidRPr="00BF2302" w:rsidRDefault="001B5E26" w:rsidP="00FC447C">
            <w:pPr>
              <w:pStyle w:val="TX-TableText"/>
              <w:keepNext/>
              <w:jc w:val="center"/>
              <w:rPr>
                <w:highlight w:val="yellow"/>
              </w:rPr>
            </w:pPr>
            <w:r w:rsidRPr="00BF2302">
              <w:rPr>
                <w:highlight w:val="yellow"/>
              </w:rPr>
              <w:t>3,500</w:t>
            </w:r>
          </w:p>
        </w:tc>
        <w:tc>
          <w:tcPr>
            <w:tcW w:w="901" w:type="pct"/>
            <w:tcBorders>
              <w:bottom w:val="single" w:sz="4" w:space="0" w:color="auto"/>
            </w:tcBorders>
            <w:shd w:val="clear" w:color="auto" w:fill="auto"/>
            <w:noWrap/>
            <w:vAlign w:val="bottom"/>
          </w:tcPr>
          <w:p w14:paraId="646D81F0" w14:textId="77777777" w:rsidR="001B5E26" w:rsidRPr="00BF2302" w:rsidRDefault="00BF2302" w:rsidP="00FC447C">
            <w:pPr>
              <w:pStyle w:val="TX-TableText"/>
              <w:keepNext/>
              <w:jc w:val="center"/>
              <w:rPr>
                <w:highlight w:val="yellow"/>
              </w:rPr>
            </w:pPr>
            <w:r w:rsidRPr="00BF2302">
              <w:rPr>
                <w:highlight w:val="yellow"/>
              </w:rPr>
              <w:t>5.81</w:t>
            </w:r>
          </w:p>
        </w:tc>
        <w:tc>
          <w:tcPr>
            <w:tcW w:w="902" w:type="pct"/>
            <w:tcBorders>
              <w:bottom w:val="single" w:sz="4" w:space="0" w:color="auto"/>
            </w:tcBorders>
            <w:shd w:val="clear" w:color="auto" w:fill="auto"/>
            <w:noWrap/>
            <w:vAlign w:val="bottom"/>
          </w:tcPr>
          <w:p w14:paraId="581ED2AA" w14:textId="77777777" w:rsidR="001B5E26" w:rsidRPr="00BF2302" w:rsidRDefault="00BF2302" w:rsidP="00FC447C">
            <w:pPr>
              <w:pStyle w:val="TX-TableText"/>
              <w:keepNext/>
              <w:jc w:val="center"/>
              <w:rPr>
                <w:highlight w:val="yellow"/>
              </w:rPr>
            </w:pPr>
            <w:r w:rsidRPr="00BF2302">
              <w:rPr>
                <w:highlight w:val="yellow"/>
              </w:rPr>
              <w:t>6.35</w:t>
            </w:r>
          </w:p>
        </w:tc>
        <w:tc>
          <w:tcPr>
            <w:tcW w:w="902" w:type="pct"/>
            <w:tcBorders>
              <w:bottom w:val="single" w:sz="4" w:space="0" w:color="auto"/>
            </w:tcBorders>
            <w:shd w:val="clear" w:color="auto" w:fill="auto"/>
            <w:noWrap/>
            <w:vAlign w:val="bottom"/>
          </w:tcPr>
          <w:p w14:paraId="3184B4FA" w14:textId="77777777" w:rsidR="001B5E26" w:rsidRPr="00BF2302" w:rsidRDefault="00BF2302" w:rsidP="00FC447C">
            <w:pPr>
              <w:pStyle w:val="TX-TableText"/>
              <w:keepNext/>
              <w:jc w:val="center"/>
              <w:rPr>
                <w:highlight w:val="yellow"/>
              </w:rPr>
            </w:pPr>
            <w:r w:rsidRPr="00BF2302">
              <w:rPr>
                <w:highlight w:val="yellow"/>
              </w:rPr>
              <w:t>3.52</w:t>
            </w:r>
          </w:p>
        </w:tc>
        <w:tc>
          <w:tcPr>
            <w:tcW w:w="903" w:type="pct"/>
            <w:tcBorders>
              <w:bottom w:val="single" w:sz="4" w:space="0" w:color="auto"/>
            </w:tcBorders>
            <w:shd w:val="clear" w:color="auto" w:fill="auto"/>
            <w:noWrap/>
            <w:vAlign w:val="bottom"/>
          </w:tcPr>
          <w:p w14:paraId="4B1F9FE7" w14:textId="77777777" w:rsidR="001B5E26" w:rsidRPr="00BF2302" w:rsidRDefault="00BF2302" w:rsidP="00FC447C">
            <w:pPr>
              <w:pStyle w:val="TX-TableText"/>
              <w:keepNext/>
              <w:jc w:val="center"/>
              <w:rPr>
                <w:highlight w:val="yellow"/>
              </w:rPr>
            </w:pPr>
            <w:r w:rsidRPr="00BF2302">
              <w:rPr>
                <w:highlight w:val="yellow"/>
              </w:rPr>
              <w:t>2.72</w:t>
            </w:r>
          </w:p>
        </w:tc>
      </w:tr>
    </w:tbl>
    <w:p w14:paraId="7F0096D9" w14:textId="77777777" w:rsidR="001B5E26" w:rsidRPr="00FF5B9D" w:rsidRDefault="001B5E26" w:rsidP="001B5E26">
      <w:pPr>
        <w:pStyle w:val="L1-FlLSp12"/>
        <w:spacing w:line="40" w:lineRule="exact"/>
        <w:rPr>
          <w:rFonts w:ascii="Franklin Gothic Medium" w:hAnsi="Franklin Gothic Medium"/>
        </w:rPr>
      </w:pPr>
    </w:p>
    <w:p w14:paraId="54A802BC" w14:textId="77777777" w:rsidR="001B5E26" w:rsidRPr="00FF5B9D" w:rsidRDefault="001B5E26" w:rsidP="001B5E26">
      <w:pPr>
        <w:pStyle w:val="L1-FlLSp12"/>
        <w:spacing w:line="120" w:lineRule="exact"/>
      </w:pPr>
    </w:p>
    <w:p w14:paraId="4C7DC288" w14:textId="77777777" w:rsidR="001B5E26" w:rsidRPr="00FF5B9D" w:rsidRDefault="001B5E26" w:rsidP="001B5E26">
      <w:pPr>
        <w:pStyle w:val="L1-FlLSp12"/>
        <w:spacing w:line="120" w:lineRule="exact"/>
      </w:pPr>
    </w:p>
    <w:p w14:paraId="0F9CCC40" w14:textId="77777777" w:rsidR="00AC28B5" w:rsidRDefault="00AC28B5" w:rsidP="00323423">
      <w:pPr>
        <w:pStyle w:val="Heading2"/>
        <w:spacing w:after="0" w:line="480" w:lineRule="auto"/>
      </w:pPr>
    </w:p>
    <w:p w14:paraId="0D547BDC" w14:textId="77777777" w:rsidR="00DF3532" w:rsidRPr="006C7494" w:rsidRDefault="00DF3532" w:rsidP="00DF3532">
      <w:pPr>
        <w:pStyle w:val="Heading2"/>
        <w:spacing w:after="0" w:line="480" w:lineRule="auto"/>
        <w:rPr>
          <w:szCs w:val="22"/>
        </w:rPr>
      </w:pPr>
      <w:bookmarkStart w:id="28" w:name="_Toc445805571"/>
      <w:r w:rsidRPr="006C7494">
        <w:rPr>
          <w:szCs w:val="22"/>
          <w:highlight w:val="yellow"/>
        </w:rPr>
        <w:t>Statistical Methodology for Stratification and Sample Selection of the Pilot Study</w:t>
      </w:r>
      <w:bookmarkEnd w:id="28"/>
    </w:p>
    <w:p w14:paraId="7D205AC5" w14:textId="77777777" w:rsidR="00E65CEB" w:rsidRPr="006C7494" w:rsidRDefault="00AF5D14" w:rsidP="00E719FE">
      <w:pPr>
        <w:pStyle w:val="L1-FlLSp12"/>
        <w:spacing w:line="480" w:lineRule="auto"/>
        <w:rPr>
          <w:strike/>
          <w:szCs w:val="22"/>
        </w:rPr>
      </w:pPr>
      <w:bookmarkStart w:id="29" w:name="_Toc445805572"/>
      <w:r w:rsidRPr="006C7494">
        <w:rPr>
          <w:szCs w:val="22"/>
          <w:highlight w:val="yellow"/>
        </w:rPr>
        <w:t>As with the regular data collection cycles of HINTS V, t</w:t>
      </w:r>
      <w:r w:rsidR="00E65CEB" w:rsidRPr="006C7494">
        <w:rPr>
          <w:szCs w:val="22"/>
          <w:highlight w:val="yellow"/>
        </w:rPr>
        <w:t xml:space="preserve">he sampling units for </w:t>
      </w:r>
      <w:r w:rsidRPr="006C7494">
        <w:rPr>
          <w:szCs w:val="22"/>
          <w:highlight w:val="yellow"/>
        </w:rPr>
        <w:t xml:space="preserve">the pilot study </w:t>
      </w:r>
      <w:r w:rsidR="00E65CEB" w:rsidRPr="006C7494">
        <w:rPr>
          <w:szCs w:val="22"/>
          <w:highlight w:val="yellow"/>
        </w:rPr>
        <w:t xml:space="preserve">will be household addresses that receive mail. The </w:t>
      </w:r>
      <w:r w:rsidRPr="006C7494">
        <w:rPr>
          <w:szCs w:val="22"/>
          <w:highlight w:val="yellow"/>
        </w:rPr>
        <w:t xml:space="preserve">pilot study will also use the same </w:t>
      </w:r>
      <w:r w:rsidR="00E65CEB" w:rsidRPr="006C7494">
        <w:rPr>
          <w:szCs w:val="22"/>
          <w:highlight w:val="yellow"/>
        </w:rPr>
        <w:t xml:space="preserve">sampling frame </w:t>
      </w:r>
      <w:r w:rsidRPr="006C7494">
        <w:rPr>
          <w:szCs w:val="22"/>
          <w:highlight w:val="yellow"/>
        </w:rPr>
        <w:t>as the regular HINTS sample.</w:t>
      </w:r>
      <w:r w:rsidR="00CD52A6" w:rsidRPr="006C7494">
        <w:rPr>
          <w:szCs w:val="22"/>
          <w:highlight w:val="yellow"/>
        </w:rPr>
        <w:t xml:space="preserve"> </w:t>
      </w:r>
      <w:r w:rsidRPr="006C7494">
        <w:rPr>
          <w:szCs w:val="22"/>
          <w:highlight w:val="yellow"/>
        </w:rPr>
        <w:t>The pilot study will stratify the sampling frame into four separate strata</w:t>
      </w:r>
      <w:r w:rsidR="00E65CEB" w:rsidRPr="006C7494">
        <w:rPr>
          <w:szCs w:val="22"/>
          <w:highlight w:val="yellow"/>
        </w:rPr>
        <w:t xml:space="preserve"> based on county-level s</w:t>
      </w:r>
      <w:r w:rsidR="00E719FE" w:rsidRPr="006C7494">
        <w:rPr>
          <w:szCs w:val="22"/>
          <w:highlight w:val="yellow"/>
        </w:rPr>
        <w:t>moking rates</w:t>
      </w:r>
      <w:r w:rsidR="00E65CEB" w:rsidRPr="006C7494">
        <w:rPr>
          <w:szCs w:val="22"/>
          <w:highlight w:val="yellow"/>
        </w:rPr>
        <w:t>.</w:t>
      </w:r>
      <w:r w:rsidR="00E65CEB" w:rsidRPr="006C7494">
        <w:rPr>
          <w:szCs w:val="22"/>
        </w:rPr>
        <w:t xml:space="preserve"> </w:t>
      </w:r>
      <w:r w:rsidRPr="006C7494">
        <w:rPr>
          <w:szCs w:val="22"/>
          <w:highlight w:val="yellow"/>
        </w:rPr>
        <w:t>The pilot study will use the same sampling strata as used for the HINTS IV FDA sample.</w:t>
      </w:r>
      <w:r w:rsidRPr="006C7494">
        <w:rPr>
          <w:szCs w:val="22"/>
        </w:rPr>
        <w:t xml:space="preserve"> </w:t>
      </w:r>
      <w:r w:rsidR="00E65CEB" w:rsidRPr="006C7494">
        <w:rPr>
          <w:szCs w:val="22"/>
          <w:highlight w:val="yellow"/>
        </w:rPr>
        <w:t xml:space="preserve">The four strata will be formed by first using small area estimates of smoking rates at the county level for the 2000 – 2003 time period.  Addresses will then be matched to Census Bureau counties by their FIPS Code. Addresses in Census Bureau counties that have high smoking rates (equaling or exceeding 25.1 percent) will be assigned to the first stratum. Addresses in Census Bureau counties that have medium-high smoking rates (between 21.2 and 25.0 percent) will be assigned to the second stratum. Addresses in Census Bureau counties that have medium-low smoking rates (between 15.0 and 21.1 </w:t>
      </w:r>
      <w:r w:rsidR="00E65CEB" w:rsidRPr="006C7494">
        <w:rPr>
          <w:szCs w:val="22"/>
          <w:highlight w:val="yellow"/>
        </w:rPr>
        <w:lastRenderedPageBreak/>
        <w:t>percent) will be assigned to the third stratum. All addresses in the remaining counties with low smoking rates (less than 15.0 percent) will be assigned to the fourth stratum. A profile of the sampli</w:t>
      </w:r>
      <w:r w:rsidRPr="006C7494">
        <w:rPr>
          <w:szCs w:val="22"/>
          <w:highlight w:val="yellow"/>
        </w:rPr>
        <w:t>ng strata is shown in Table B2-5</w:t>
      </w:r>
      <w:r w:rsidR="00E65CEB" w:rsidRPr="006C7494">
        <w:rPr>
          <w:szCs w:val="22"/>
          <w:highlight w:val="yellow"/>
        </w:rPr>
        <w:t>.</w:t>
      </w:r>
    </w:p>
    <w:p w14:paraId="5D472C14" w14:textId="77777777" w:rsidR="00E65CEB" w:rsidRPr="00E50D4E" w:rsidRDefault="00E65CEB" w:rsidP="00E65CEB">
      <w:pPr>
        <w:tabs>
          <w:tab w:val="left" w:pos="1152"/>
        </w:tabs>
        <w:spacing w:line="480" w:lineRule="auto"/>
        <w:ind w:left="1152" w:hanging="1152"/>
        <w:jc w:val="left"/>
        <w:rPr>
          <w:bCs/>
          <w:sz w:val="24"/>
          <w:szCs w:val="24"/>
          <w:highlight w:val="yellow"/>
        </w:rPr>
      </w:pPr>
    </w:p>
    <w:p w14:paraId="0E72E67E" w14:textId="77777777" w:rsidR="004021E7" w:rsidRPr="00FF5B9D" w:rsidRDefault="004021E7" w:rsidP="004021E7">
      <w:pPr>
        <w:pStyle w:val="TT-TableTitle"/>
        <w:spacing w:line="480" w:lineRule="auto"/>
      </w:pPr>
      <w:r w:rsidRPr="00FF5B9D">
        <w:rPr>
          <w:bCs/>
        </w:rPr>
        <w:t>Table B2</w:t>
      </w:r>
      <w:r>
        <w:rPr>
          <w:bCs/>
        </w:rPr>
        <w:t>-5</w:t>
      </w:r>
      <w:r w:rsidRPr="00FF5B9D">
        <w:rPr>
          <w:bCs/>
        </w:rPr>
        <w:t>.</w:t>
      </w:r>
      <w:r w:rsidRPr="00FF5B9D">
        <w:tab/>
        <w:t>Profile of the sampling strata</w:t>
      </w:r>
    </w:p>
    <w:tbl>
      <w:tblPr>
        <w:tblW w:w="9450" w:type="dxa"/>
        <w:tblInd w:w="115" w:type="dxa"/>
        <w:tblLayout w:type="fixed"/>
        <w:tblLook w:val="01E0" w:firstRow="1" w:lastRow="1" w:firstColumn="1" w:lastColumn="1" w:noHBand="0" w:noVBand="0"/>
      </w:tblPr>
      <w:tblGrid>
        <w:gridCol w:w="1890"/>
        <w:gridCol w:w="1890"/>
        <w:gridCol w:w="2610"/>
        <w:gridCol w:w="3060"/>
      </w:tblGrid>
      <w:tr w:rsidR="004021E7" w:rsidRPr="00FF5B9D" w14:paraId="2804EBB8" w14:textId="77777777" w:rsidTr="0077697D">
        <w:tc>
          <w:tcPr>
            <w:tcW w:w="1890" w:type="dxa"/>
            <w:tcBorders>
              <w:top w:val="single" w:sz="4" w:space="0" w:color="auto"/>
              <w:bottom w:val="single" w:sz="4" w:space="0" w:color="auto"/>
            </w:tcBorders>
            <w:shd w:val="clear" w:color="auto" w:fill="AFBED7"/>
            <w:vAlign w:val="center"/>
          </w:tcPr>
          <w:p w14:paraId="6901207A" w14:textId="77777777" w:rsidR="004021E7" w:rsidRDefault="004021E7" w:rsidP="0077697D">
            <w:pPr>
              <w:pStyle w:val="TH-TableHeading"/>
              <w:spacing w:line="240" w:lineRule="auto"/>
            </w:pPr>
            <w:r w:rsidRPr="00FF5B9D">
              <w:t>Stratum</w:t>
            </w:r>
          </w:p>
          <w:p w14:paraId="6B47C4B4" w14:textId="77777777" w:rsidR="004021E7" w:rsidRPr="00FF5B9D" w:rsidRDefault="004021E7" w:rsidP="0077697D">
            <w:pPr>
              <w:pStyle w:val="TH-TableHeading"/>
              <w:spacing w:line="240" w:lineRule="auto"/>
            </w:pPr>
            <w:r>
              <w:t>(smoking rate)</w:t>
            </w:r>
          </w:p>
        </w:tc>
        <w:tc>
          <w:tcPr>
            <w:tcW w:w="1890" w:type="dxa"/>
            <w:tcBorders>
              <w:top w:val="single" w:sz="4" w:space="0" w:color="auto"/>
              <w:bottom w:val="single" w:sz="4" w:space="0" w:color="auto"/>
            </w:tcBorders>
            <w:shd w:val="clear" w:color="auto" w:fill="AFBED7"/>
            <w:vAlign w:val="center"/>
          </w:tcPr>
          <w:p w14:paraId="3B522C2B" w14:textId="77777777" w:rsidR="004021E7" w:rsidRPr="00FF5B9D" w:rsidRDefault="004021E7" w:rsidP="0077697D">
            <w:pPr>
              <w:pStyle w:val="TH-TableHeading"/>
              <w:spacing w:line="240" w:lineRule="auto"/>
            </w:pPr>
            <w:r w:rsidRPr="00FF5B9D">
              <w:t>Proportion of frame</w:t>
            </w:r>
            <w:r w:rsidRPr="00FF5B9D">
              <w:br/>
              <w:t>(percent)</w:t>
            </w:r>
          </w:p>
        </w:tc>
        <w:tc>
          <w:tcPr>
            <w:tcW w:w="2610" w:type="dxa"/>
            <w:tcBorders>
              <w:top w:val="single" w:sz="4" w:space="0" w:color="auto"/>
              <w:bottom w:val="single" w:sz="4" w:space="0" w:color="auto"/>
            </w:tcBorders>
            <w:shd w:val="clear" w:color="auto" w:fill="AFBED7"/>
            <w:vAlign w:val="center"/>
          </w:tcPr>
          <w:p w14:paraId="5A755459" w14:textId="77777777" w:rsidR="004021E7" w:rsidRPr="00FF5B9D" w:rsidRDefault="004021E7" w:rsidP="004021E7">
            <w:pPr>
              <w:pStyle w:val="TH-TableHeading"/>
              <w:spacing w:line="240" w:lineRule="auto"/>
            </w:pPr>
            <w:r w:rsidRPr="00FF5B9D">
              <w:t xml:space="preserve">Coverage of </w:t>
            </w:r>
            <w:r>
              <w:t xml:space="preserve">Smokers in stratum </w:t>
            </w:r>
            <w:r w:rsidRPr="004021E7">
              <w:rPr>
                <w:vertAlign w:val="superscript"/>
              </w:rPr>
              <w:t>1</w:t>
            </w:r>
            <w:r w:rsidRPr="00FF5B9D">
              <w:br/>
              <w:t>(percent)</w:t>
            </w:r>
          </w:p>
        </w:tc>
        <w:tc>
          <w:tcPr>
            <w:tcW w:w="3060" w:type="dxa"/>
            <w:tcBorders>
              <w:top w:val="single" w:sz="4" w:space="0" w:color="auto"/>
              <w:bottom w:val="single" w:sz="4" w:space="0" w:color="auto"/>
            </w:tcBorders>
            <w:shd w:val="clear" w:color="auto" w:fill="AFBED7"/>
            <w:vAlign w:val="center"/>
          </w:tcPr>
          <w:p w14:paraId="6231B54B" w14:textId="77777777" w:rsidR="004021E7" w:rsidRPr="00FF5B9D" w:rsidRDefault="004021E7" w:rsidP="004021E7">
            <w:pPr>
              <w:pStyle w:val="TH-TableHeading"/>
              <w:spacing w:line="240" w:lineRule="auto"/>
            </w:pPr>
            <w:r w:rsidRPr="00FF5B9D">
              <w:t xml:space="preserve">Prevalence of </w:t>
            </w:r>
            <w:r>
              <w:t>smokers</w:t>
            </w:r>
            <w:r w:rsidRPr="00FF5B9D">
              <w:t xml:space="preserve"> in stratum</w:t>
            </w:r>
            <w:r>
              <w:t xml:space="preserve"> </w:t>
            </w:r>
            <w:r w:rsidRPr="004021E7">
              <w:rPr>
                <w:vertAlign w:val="superscript"/>
              </w:rPr>
              <w:t>1</w:t>
            </w:r>
            <w:r w:rsidRPr="00FF5B9D">
              <w:br/>
              <w:t>(percent)</w:t>
            </w:r>
          </w:p>
        </w:tc>
      </w:tr>
      <w:tr w:rsidR="004021E7" w:rsidRPr="00FF5B9D" w14:paraId="0624A2DD" w14:textId="77777777" w:rsidTr="0077697D">
        <w:tc>
          <w:tcPr>
            <w:tcW w:w="1890" w:type="dxa"/>
            <w:tcBorders>
              <w:top w:val="single" w:sz="4" w:space="0" w:color="auto"/>
            </w:tcBorders>
            <w:vAlign w:val="center"/>
          </w:tcPr>
          <w:p w14:paraId="5FD3B3C7" w14:textId="77777777" w:rsidR="004021E7" w:rsidRPr="00FF5B9D" w:rsidRDefault="004021E7" w:rsidP="004021E7">
            <w:pPr>
              <w:pStyle w:val="TX-TableText"/>
              <w:keepNext/>
              <w:spacing w:line="240" w:lineRule="auto"/>
              <w:jc w:val="center"/>
            </w:pPr>
            <w:r w:rsidRPr="00FF5B9D">
              <w:t>High</w:t>
            </w:r>
          </w:p>
        </w:tc>
        <w:tc>
          <w:tcPr>
            <w:tcW w:w="1890" w:type="dxa"/>
            <w:tcBorders>
              <w:top w:val="single" w:sz="4" w:space="0" w:color="auto"/>
            </w:tcBorders>
          </w:tcPr>
          <w:p w14:paraId="57A4D380" w14:textId="77777777" w:rsidR="004021E7" w:rsidRPr="00FF5B9D" w:rsidRDefault="004021E7" w:rsidP="004021E7">
            <w:pPr>
              <w:pStyle w:val="TX-TableText"/>
              <w:keepNext/>
              <w:spacing w:line="240" w:lineRule="auto"/>
              <w:jc w:val="center"/>
            </w:pPr>
            <w:r>
              <w:rPr>
                <w:highlight w:val="yellow"/>
              </w:rPr>
              <w:t>17.1</w:t>
            </w:r>
          </w:p>
        </w:tc>
        <w:tc>
          <w:tcPr>
            <w:tcW w:w="2610" w:type="dxa"/>
            <w:tcBorders>
              <w:top w:val="single" w:sz="4" w:space="0" w:color="auto"/>
            </w:tcBorders>
          </w:tcPr>
          <w:p w14:paraId="6952B927" w14:textId="77777777" w:rsidR="004021E7" w:rsidRPr="00082414" w:rsidRDefault="004021E7" w:rsidP="0077697D">
            <w:pPr>
              <w:pStyle w:val="TX-TableText"/>
              <w:keepNext/>
              <w:spacing w:line="240" w:lineRule="auto"/>
              <w:jc w:val="center"/>
              <w:rPr>
                <w:highlight w:val="yellow"/>
              </w:rPr>
            </w:pPr>
            <w:r>
              <w:rPr>
                <w:highlight w:val="yellow"/>
              </w:rPr>
              <w:t>24.4</w:t>
            </w:r>
          </w:p>
        </w:tc>
        <w:tc>
          <w:tcPr>
            <w:tcW w:w="3060" w:type="dxa"/>
            <w:tcBorders>
              <w:top w:val="single" w:sz="4" w:space="0" w:color="auto"/>
            </w:tcBorders>
          </w:tcPr>
          <w:p w14:paraId="2595FD56" w14:textId="77777777" w:rsidR="004021E7" w:rsidRPr="00082414" w:rsidRDefault="004021E7" w:rsidP="0077697D">
            <w:pPr>
              <w:pStyle w:val="TX-TableText"/>
              <w:keepNext/>
              <w:spacing w:line="240" w:lineRule="auto"/>
              <w:jc w:val="center"/>
              <w:rPr>
                <w:highlight w:val="yellow"/>
              </w:rPr>
            </w:pPr>
            <w:r>
              <w:rPr>
                <w:highlight w:val="yellow"/>
              </w:rPr>
              <w:t>25.0</w:t>
            </w:r>
          </w:p>
        </w:tc>
      </w:tr>
      <w:tr w:rsidR="004021E7" w:rsidRPr="00FF5B9D" w14:paraId="0559E579" w14:textId="77777777" w:rsidTr="004021E7">
        <w:tc>
          <w:tcPr>
            <w:tcW w:w="1890" w:type="dxa"/>
            <w:vAlign w:val="center"/>
          </w:tcPr>
          <w:p w14:paraId="4688AADD" w14:textId="77777777" w:rsidR="004021E7" w:rsidRPr="00FF5B9D" w:rsidRDefault="004021E7" w:rsidP="0077697D">
            <w:pPr>
              <w:pStyle w:val="TX-TableText"/>
              <w:keepNext/>
              <w:spacing w:line="240" w:lineRule="auto"/>
              <w:jc w:val="center"/>
            </w:pPr>
            <w:r>
              <w:t>Medium-high</w:t>
            </w:r>
          </w:p>
        </w:tc>
        <w:tc>
          <w:tcPr>
            <w:tcW w:w="1890" w:type="dxa"/>
          </w:tcPr>
          <w:p w14:paraId="040FAB11" w14:textId="77777777" w:rsidR="004021E7" w:rsidRPr="00FF5B9D" w:rsidRDefault="004021E7" w:rsidP="0077697D">
            <w:pPr>
              <w:pStyle w:val="TX-TableText"/>
              <w:keepNext/>
              <w:spacing w:line="240" w:lineRule="auto"/>
              <w:jc w:val="center"/>
            </w:pPr>
            <w:r w:rsidRPr="004021E7">
              <w:rPr>
                <w:highlight w:val="yellow"/>
              </w:rPr>
              <w:t>24.6</w:t>
            </w:r>
          </w:p>
        </w:tc>
        <w:tc>
          <w:tcPr>
            <w:tcW w:w="2610" w:type="dxa"/>
          </w:tcPr>
          <w:p w14:paraId="6822694A" w14:textId="77777777" w:rsidR="004021E7" w:rsidRPr="00082414" w:rsidRDefault="004021E7" w:rsidP="0077697D">
            <w:pPr>
              <w:pStyle w:val="TX-TableText"/>
              <w:keepNext/>
              <w:spacing w:line="240" w:lineRule="auto"/>
              <w:jc w:val="center"/>
              <w:rPr>
                <w:highlight w:val="yellow"/>
              </w:rPr>
            </w:pPr>
            <w:r w:rsidRPr="00082414">
              <w:rPr>
                <w:highlight w:val="yellow"/>
              </w:rPr>
              <w:t>30.4</w:t>
            </w:r>
          </w:p>
        </w:tc>
        <w:tc>
          <w:tcPr>
            <w:tcW w:w="3060" w:type="dxa"/>
          </w:tcPr>
          <w:p w14:paraId="0B2E2BFB" w14:textId="77777777" w:rsidR="004021E7" w:rsidRPr="00082414" w:rsidRDefault="004021E7" w:rsidP="0077697D">
            <w:pPr>
              <w:pStyle w:val="TX-TableText"/>
              <w:keepNext/>
              <w:spacing w:line="240" w:lineRule="auto"/>
              <w:jc w:val="center"/>
              <w:rPr>
                <w:highlight w:val="yellow"/>
              </w:rPr>
            </w:pPr>
            <w:r>
              <w:rPr>
                <w:highlight w:val="yellow"/>
              </w:rPr>
              <w:t>21.6</w:t>
            </w:r>
          </w:p>
        </w:tc>
      </w:tr>
      <w:tr w:rsidR="004021E7" w:rsidRPr="00FF5B9D" w14:paraId="35296530" w14:textId="77777777" w:rsidTr="004021E7">
        <w:tc>
          <w:tcPr>
            <w:tcW w:w="1890" w:type="dxa"/>
            <w:vAlign w:val="center"/>
          </w:tcPr>
          <w:p w14:paraId="64C509A7" w14:textId="77777777" w:rsidR="004021E7" w:rsidRPr="00FF5B9D" w:rsidRDefault="004021E7" w:rsidP="0077697D">
            <w:pPr>
              <w:pStyle w:val="TX-TableText"/>
              <w:keepNext/>
              <w:spacing w:line="240" w:lineRule="auto"/>
              <w:jc w:val="center"/>
            </w:pPr>
            <w:r>
              <w:t>Medium-low</w:t>
            </w:r>
          </w:p>
        </w:tc>
        <w:tc>
          <w:tcPr>
            <w:tcW w:w="1890" w:type="dxa"/>
          </w:tcPr>
          <w:p w14:paraId="76103C6F" w14:textId="77777777" w:rsidR="004021E7" w:rsidRPr="00082414" w:rsidRDefault="004021E7" w:rsidP="0077697D">
            <w:pPr>
              <w:pStyle w:val="TX-TableText"/>
              <w:keepNext/>
              <w:spacing w:line="240" w:lineRule="auto"/>
              <w:jc w:val="center"/>
              <w:rPr>
                <w:highlight w:val="yellow"/>
              </w:rPr>
            </w:pPr>
            <w:r>
              <w:rPr>
                <w:highlight w:val="yellow"/>
              </w:rPr>
              <w:t>45.1</w:t>
            </w:r>
          </w:p>
        </w:tc>
        <w:tc>
          <w:tcPr>
            <w:tcW w:w="2610" w:type="dxa"/>
          </w:tcPr>
          <w:p w14:paraId="67EB5653" w14:textId="77777777" w:rsidR="004021E7" w:rsidRPr="00082414" w:rsidRDefault="004021E7" w:rsidP="0077697D">
            <w:pPr>
              <w:pStyle w:val="TX-TableText"/>
              <w:keepNext/>
              <w:spacing w:line="240" w:lineRule="auto"/>
              <w:jc w:val="center"/>
              <w:rPr>
                <w:highlight w:val="yellow"/>
              </w:rPr>
            </w:pPr>
            <w:r w:rsidRPr="00082414">
              <w:rPr>
                <w:highlight w:val="yellow"/>
              </w:rPr>
              <w:t>3</w:t>
            </w:r>
            <w:r>
              <w:rPr>
                <w:highlight w:val="yellow"/>
              </w:rPr>
              <w:t>8.6</w:t>
            </w:r>
          </w:p>
        </w:tc>
        <w:tc>
          <w:tcPr>
            <w:tcW w:w="3060" w:type="dxa"/>
          </w:tcPr>
          <w:p w14:paraId="4A5B8C7D" w14:textId="77777777" w:rsidR="004021E7" w:rsidRPr="00082414" w:rsidRDefault="004021E7" w:rsidP="0077697D">
            <w:pPr>
              <w:pStyle w:val="TX-TableText"/>
              <w:keepNext/>
              <w:spacing w:line="240" w:lineRule="auto"/>
              <w:jc w:val="center"/>
              <w:rPr>
                <w:highlight w:val="yellow"/>
              </w:rPr>
            </w:pPr>
            <w:r>
              <w:rPr>
                <w:highlight w:val="yellow"/>
              </w:rPr>
              <w:t>10.9</w:t>
            </w:r>
          </w:p>
        </w:tc>
      </w:tr>
      <w:tr w:rsidR="004021E7" w:rsidRPr="00FF5B9D" w14:paraId="3514B952" w14:textId="77777777" w:rsidTr="0077697D">
        <w:tc>
          <w:tcPr>
            <w:tcW w:w="1890" w:type="dxa"/>
            <w:tcBorders>
              <w:bottom w:val="single" w:sz="4" w:space="0" w:color="auto"/>
            </w:tcBorders>
            <w:vAlign w:val="center"/>
          </w:tcPr>
          <w:p w14:paraId="101BAABF" w14:textId="77777777" w:rsidR="004021E7" w:rsidRPr="00FF5B9D" w:rsidRDefault="004021E7" w:rsidP="0077697D">
            <w:pPr>
              <w:pStyle w:val="TX-TableText"/>
              <w:keepNext/>
              <w:spacing w:line="240" w:lineRule="auto"/>
              <w:jc w:val="center"/>
            </w:pPr>
            <w:r>
              <w:t>Low</w:t>
            </w:r>
          </w:p>
        </w:tc>
        <w:tc>
          <w:tcPr>
            <w:tcW w:w="1890" w:type="dxa"/>
            <w:tcBorders>
              <w:bottom w:val="single" w:sz="4" w:space="0" w:color="auto"/>
            </w:tcBorders>
          </w:tcPr>
          <w:p w14:paraId="10721FBB" w14:textId="77777777" w:rsidR="004021E7" w:rsidRPr="00082414" w:rsidRDefault="004021E7" w:rsidP="0077697D">
            <w:pPr>
              <w:pStyle w:val="TX-TableText"/>
              <w:keepNext/>
              <w:spacing w:line="240" w:lineRule="auto"/>
              <w:jc w:val="center"/>
              <w:rPr>
                <w:highlight w:val="yellow"/>
              </w:rPr>
            </w:pPr>
            <w:r>
              <w:rPr>
                <w:highlight w:val="yellow"/>
              </w:rPr>
              <w:t>13.2</w:t>
            </w:r>
          </w:p>
        </w:tc>
        <w:tc>
          <w:tcPr>
            <w:tcW w:w="2610" w:type="dxa"/>
            <w:tcBorders>
              <w:bottom w:val="single" w:sz="4" w:space="0" w:color="auto"/>
            </w:tcBorders>
          </w:tcPr>
          <w:p w14:paraId="05380135" w14:textId="77777777" w:rsidR="004021E7" w:rsidRPr="00082414" w:rsidRDefault="004021E7" w:rsidP="0077697D">
            <w:pPr>
              <w:pStyle w:val="TX-TableText"/>
              <w:keepNext/>
              <w:spacing w:line="240" w:lineRule="auto"/>
              <w:jc w:val="center"/>
              <w:rPr>
                <w:highlight w:val="yellow"/>
              </w:rPr>
            </w:pPr>
            <w:r>
              <w:rPr>
                <w:highlight w:val="yellow"/>
              </w:rPr>
              <w:t>8.8</w:t>
            </w:r>
          </w:p>
        </w:tc>
        <w:tc>
          <w:tcPr>
            <w:tcW w:w="3060" w:type="dxa"/>
            <w:tcBorders>
              <w:bottom w:val="single" w:sz="4" w:space="0" w:color="auto"/>
            </w:tcBorders>
          </w:tcPr>
          <w:p w14:paraId="5093118A" w14:textId="77777777" w:rsidR="004021E7" w:rsidRPr="00082414" w:rsidRDefault="004021E7" w:rsidP="0077697D">
            <w:pPr>
              <w:pStyle w:val="TX-TableText"/>
              <w:keepNext/>
              <w:spacing w:line="240" w:lineRule="auto"/>
              <w:jc w:val="center"/>
              <w:rPr>
                <w:highlight w:val="yellow"/>
              </w:rPr>
            </w:pPr>
            <w:r>
              <w:rPr>
                <w:highlight w:val="yellow"/>
              </w:rPr>
              <w:t>7.1</w:t>
            </w:r>
          </w:p>
        </w:tc>
      </w:tr>
    </w:tbl>
    <w:p w14:paraId="77163EA0" w14:textId="77777777" w:rsidR="004021E7" w:rsidRPr="00FF5B9D" w:rsidRDefault="004021E7" w:rsidP="004021E7">
      <w:pPr>
        <w:pStyle w:val="L1-FlLSp12"/>
        <w:spacing w:line="480" w:lineRule="auto"/>
      </w:pPr>
      <w:r w:rsidRPr="004021E7">
        <w:rPr>
          <w:vertAlign w:val="superscript"/>
        </w:rPr>
        <w:t xml:space="preserve">1 </w:t>
      </w:r>
      <w:r>
        <w:t>Calculated from HINTS IV FDA cycle data.</w:t>
      </w:r>
    </w:p>
    <w:p w14:paraId="2B6D770A" w14:textId="77777777" w:rsidR="00E65CEB" w:rsidRPr="006C7494" w:rsidRDefault="00E65CEB" w:rsidP="00E65CEB">
      <w:pPr>
        <w:pStyle w:val="L1-FlLSp12"/>
        <w:spacing w:line="480" w:lineRule="auto"/>
        <w:rPr>
          <w:szCs w:val="22"/>
        </w:rPr>
      </w:pPr>
      <w:r w:rsidRPr="006C7494">
        <w:rPr>
          <w:szCs w:val="22"/>
          <w:highlight w:val="yellow"/>
        </w:rPr>
        <w:t>The sample will be selected just prior to data collection.   An equal probability sample of addresses will be selected within each sampling stratum.</w:t>
      </w:r>
      <w:r w:rsidRPr="006C7494">
        <w:rPr>
          <w:szCs w:val="22"/>
        </w:rPr>
        <w:t xml:space="preserve"> </w:t>
      </w:r>
    </w:p>
    <w:p w14:paraId="217C784D" w14:textId="77777777" w:rsidR="00E65CEB" w:rsidRPr="006C7494" w:rsidRDefault="00E65CEB" w:rsidP="00E65CEB">
      <w:pPr>
        <w:pStyle w:val="L1-FlLSp12"/>
        <w:spacing w:line="480" w:lineRule="auto"/>
        <w:rPr>
          <w:szCs w:val="22"/>
        </w:rPr>
      </w:pPr>
    </w:p>
    <w:p w14:paraId="3F1FE841" w14:textId="77777777" w:rsidR="00E65CEB" w:rsidRPr="006C7494" w:rsidRDefault="00E65CEB" w:rsidP="00E65CEB">
      <w:pPr>
        <w:pStyle w:val="L1-FlLSp12"/>
        <w:spacing w:line="480" w:lineRule="auto"/>
        <w:rPr>
          <w:spacing w:val="-2"/>
          <w:szCs w:val="22"/>
        </w:rPr>
      </w:pPr>
      <w:r w:rsidRPr="006C7494">
        <w:rPr>
          <w:spacing w:val="-2"/>
          <w:szCs w:val="22"/>
          <w:highlight w:val="yellow"/>
        </w:rPr>
        <w:t>Table B2</w:t>
      </w:r>
      <w:r w:rsidR="00AF5D14" w:rsidRPr="006C7494">
        <w:rPr>
          <w:spacing w:val="-2"/>
          <w:szCs w:val="22"/>
          <w:highlight w:val="yellow"/>
        </w:rPr>
        <w:t>-6</w:t>
      </w:r>
      <w:r w:rsidRPr="006C7494">
        <w:rPr>
          <w:spacing w:val="-2"/>
          <w:szCs w:val="22"/>
          <w:highlight w:val="yellow"/>
        </w:rPr>
        <w:t xml:space="preserve"> contains the stratum allocations, assumed response rates, and expected number of completed questionnaires. Response r</w:t>
      </w:r>
      <w:r w:rsidR="004021E7" w:rsidRPr="006C7494">
        <w:rPr>
          <w:spacing w:val="-2"/>
          <w:szCs w:val="22"/>
          <w:highlight w:val="yellow"/>
        </w:rPr>
        <w:t>ates were computed using results from the HINTS IV</w:t>
      </w:r>
      <w:r w:rsidRPr="006C7494">
        <w:rPr>
          <w:spacing w:val="-2"/>
          <w:szCs w:val="22"/>
          <w:highlight w:val="yellow"/>
        </w:rPr>
        <w:t xml:space="preserve"> FDA</w:t>
      </w:r>
      <w:r w:rsidR="004021E7" w:rsidRPr="006C7494">
        <w:rPr>
          <w:spacing w:val="-2"/>
          <w:szCs w:val="22"/>
          <w:highlight w:val="yellow"/>
        </w:rPr>
        <w:t xml:space="preserve"> cycle</w:t>
      </w:r>
      <w:r w:rsidRPr="006C7494">
        <w:rPr>
          <w:spacing w:val="-2"/>
          <w:szCs w:val="22"/>
          <w:highlight w:val="yellow"/>
        </w:rPr>
        <w:t>.  Table B2</w:t>
      </w:r>
      <w:r w:rsidR="00CE0C10" w:rsidRPr="006C7494">
        <w:rPr>
          <w:spacing w:val="-2"/>
          <w:szCs w:val="22"/>
          <w:highlight w:val="yellow"/>
        </w:rPr>
        <w:t>-7</w:t>
      </w:r>
      <w:r w:rsidRPr="006C7494">
        <w:rPr>
          <w:spacing w:val="-2"/>
          <w:szCs w:val="22"/>
          <w:highlight w:val="yellow"/>
        </w:rPr>
        <w:t xml:space="preserve"> c</w:t>
      </w:r>
      <w:r w:rsidR="00B25FAC" w:rsidRPr="006C7494">
        <w:rPr>
          <w:spacing w:val="-2"/>
          <w:szCs w:val="22"/>
          <w:highlight w:val="yellow"/>
        </w:rPr>
        <w:t xml:space="preserve">ontains the expected number of </w:t>
      </w:r>
      <w:r w:rsidR="00CD52A6" w:rsidRPr="006C7494">
        <w:rPr>
          <w:spacing w:val="-2"/>
          <w:szCs w:val="22"/>
          <w:highlight w:val="yellow"/>
        </w:rPr>
        <w:t xml:space="preserve">current </w:t>
      </w:r>
      <w:r w:rsidRPr="006C7494">
        <w:rPr>
          <w:spacing w:val="-2"/>
          <w:szCs w:val="22"/>
          <w:highlight w:val="yellow"/>
        </w:rPr>
        <w:t>s</w:t>
      </w:r>
      <w:r w:rsidR="00B25FAC" w:rsidRPr="006C7494">
        <w:rPr>
          <w:spacing w:val="-2"/>
          <w:szCs w:val="22"/>
          <w:highlight w:val="yellow"/>
        </w:rPr>
        <w:t>mokers who complete a questionnaire</w:t>
      </w:r>
      <w:r w:rsidRPr="006C7494">
        <w:rPr>
          <w:spacing w:val="-2"/>
          <w:szCs w:val="22"/>
          <w:highlight w:val="yellow"/>
        </w:rPr>
        <w:t xml:space="preserve"> by stratum.</w:t>
      </w:r>
      <w:r w:rsidRPr="006C7494">
        <w:rPr>
          <w:spacing w:val="-2"/>
          <w:szCs w:val="22"/>
        </w:rPr>
        <w:t xml:space="preserve"> </w:t>
      </w:r>
    </w:p>
    <w:p w14:paraId="461DEDFD" w14:textId="77777777" w:rsidR="004021E7" w:rsidRPr="00FF5B9D" w:rsidRDefault="004021E7" w:rsidP="004021E7">
      <w:pPr>
        <w:pStyle w:val="L1-FlLSp12"/>
      </w:pPr>
      <w:r w:rsidRPr="00FF5B9D">
        <w:t>Table B2</w:t>
      </w:r>
      <w:r w:rsidR="00282056">
        <w:t>-6</w:t>
      </w:r>
      <w:r w:rsidRPr="00FF5B9D">
        <w:t>.</w:t>
      </w:r>
      <w:r w:rsidRPr="00FF5B9D">
        <w:tab/>
        <w:t xml:space="preserve">Stratum allocations, assumed response rates, and expected completions for all </w:t>
      </w:r>
      <w:r>
        <w:t>three</w:t>
      </w:r>
      <w:r w:rsidRPr="00FF5B9D">
        <w:t xml:space="preserve"> cycles</w:t>
      </w:r>
    </w:p>
    <w:tbl>
      <w:tblPr>
        <w:tblW w:w="4820" w:type="pct"/>
        <w:tblInd w:w="115" w:type="dxa"/>
        <w:tblLayout w:type="fixed"/>
        <w:tblCellMar>
          <w:left w:w="72" w:type="dxa"/>
          <w:right w:w="72" w:type="dxa"/>
        </w:tblCellMar>
        <w:tblLook w:val="01E0" w:firstRow="1" w:lastRow="1" w:firstColumn="1" w:lastColumn="1" w:noHBand="0" w:noVBand="0"/>
      </w:tblPr>
      <w:tblGrid>
        <w:gridCol w:w="3302"/>
        <w:gridCol w:w="1426"/>
        <w:gridCol w:w="1070"/>
        <w:gridCol w:w="1061"/>
        <w:gridCol w:w="1061"/>
        <w:gridCol w:w="1242"/>
      </w:tblGrid>
      <w:tr w:rsidR="00AB47B5" w:rsidRPr="00FF5B9D" w14:paraId="72029E22" w14:textId="77777777" w:rsidTr="00B25FAC">
        <w:tc>
          <w:tcPr>
            <w:tcW w:w="1802" w:type="pct"/>
            <w:tcBorders>
              <w:top w:val="single" w:sz="4" w:space="0" w:color="auto"/>
              <w:right w:val="single" w:sz="4" w:space="0" w:color="auto"/>
            </w:tcBorders>
            <w:shd w:val="clear" w:color="auto" w:fill="AFBED7"/>
            <w:vAlign w:val="center"/>
          </w:tcPr>
          <w:p w14:paraId="053FDDBA" w14:textId="77777777" w:rsidR="00AB47B5" w:rsidRPr="00FF5B9D" w:rsidRDefault="00AB47B5" w:rsidP="0077697D">
            <w:pPr>
              <w:pStyle w:val="TH-TableHeading"/>
            </w:pPr>
          </w:p>
        </w:tc>
        <w:tc>
          <w:tcPr>
            <w:tcW w:w="778" w:type="pct"/>
            <w:tcBorders>
              <w:top w:val="single" w:sz="4" w:space="0" w:color="auto"/>
              <w:left w:val="single" w:sz="4" w:space="0" w:color="auto"/>
              <w:right w:val="single" w:sz="4" w:space="0" w:color="auto"/>
            </w:tcBorders>
            <w:shd w:val="clear" w:color="auto" w:fill="AFBED7"/>
            <w:vAlign w:val="bottom"/>
          </w:tcPr>
          <w:p w14:paraId="7E29E1BD" w14:textId="77777777" w:rsidR="00AB47B5" w:rsidRPr="00FF5B9D" w:rsidRDefault="00AB47B5" w:rsidP="0077697D">
            <w:pPr>
              <w:pStyle w:val="TH-TableHeading"/>
            </w:pPr>
          </w:p>
        </w:tc>
        <w:tc>
          <w:tcPr>
            <w:tcW w:w="2420" w:type="pct"/>
            <w:gridSpan w:val="4"/>
            <w:tcBorders>
              <w:top w:val="single" w:sz="4" w:space="0" w:color="auto"/>
              <w:left w:val="single" w:sz="4" w:space="0" w:color="auto"/>
              <w:bottom w:val="single" w:sz="4" w:space="0" w:color="auto"/>
            </w:tcBorders>
            <w:shd w:val="clear" w:color="auto" w:fill="AFBED7"/>
          </w:tcPr>
          <w:p w14:paraId="27C60034" w14:textId="77777777" w:rsidR="00AB47B5" w:rsidRPr="00FF5B9D" w:rsidRDefault="00AB47B5" w:rsidP="00AB47B5">
            <w:pPr>
              <w:pStyle w:val="TH-TableHeading"/>
            </w:pPr>
            <w:r>
              <w:t>Stratum (smoking rate)</w:t>
            </w:r>
          </w:p>
        </w:tc>
      </w:tr>
      <w:tr w:rsidR="00AB47B5" w:rsidRPr="00FF5B9D" w14:paraId="1F7F1ACF" w14:textId="77777777" w:rsidTr="00282056">
        <w:tc>
          <w:tcPr>
            <w:tcW w:w="1802" w:type="pct"/>
            <w:tcBorders>
              <w:bottom w:val="single" w:sz="4" w:space="0" w:color="auto"/>
              <w:right w:val="single" w:sz="4" w:space="0" w:color="auto"/>
            </w:tcBorders>
            <w:shd w:val="clear" w:color="auto" w:fill="AFBED7"/>
            <w:vAlign w:val="center"/>
          </w:tcPr>
          <w:p w14:paraId="697976FC" w14:textId="77777777" w:rsidR="00AB47B5" w:rsidRPr="00FF5B9D" w:rsidRDefault="00AB47B5" w:rsidP="0077697D">
            <w:pPr>
              <w:pStyle w:val="TH-TableHeading"/>
            </w:pPr>
          </w:p>
        </w:tc>
        <w:tc>
          <w:tcPr>
            <w:tcW w:w="778" w:type="pct"/>
            <w:tcBorders>
              <w:left w:val="single" w:sz="4" w:space="0" w:color="auto"/>
              <w:bottom w:val="single" w:sz="4" w:space="0" w:color="auto"/>
              <w:right w:val="single" w:sz="4" w:space="0" w:color="auto"/>
            </w:tcBorders>
            <w:shd w:val="clear" w:color="auto" w:fill="AFBED7"/>
            <w:vAlign w:val="bottom"/>
          </w:tcPr>
          <w:p w14:paraId="73D68C77" w14:textId="77777777" w:rsidR="00AB47B5" w:rsidRPr="00FF5B9D" w:rsidRDefault="00AB47B5" w:rsidP="0077697D">
            <w:pPr>
              <w:pStyle w:val="TH-TableHeading"/>
            </w:pPr>
            <w:r w:rsidRPr="00FF5B9D">
              <w:t>Total</w:t>
            </w:r>
          </w:p>
        </w:tc>
        <w:tc>
          <w:tcPr>
            <w:tcW w:w="584" w:type="pct"/>
            <w:tcBorders>
              <w:top w:val="single" w:sz="4" w:space="0" w:color="auto"/>
              <w:left w:val="single" w:sz="4" w:space="0" w:color="auto"/>
              <w:bottom w:val="single" w:sz="4" w:space="0" w:color="auto"/>
            </w:tcBorders>
            <w:shd w:val="clear" w:color="auto" w:fill="AFBED7"/>
            <w:vAlign w:val="center"/>
          </w:tcPr>
          <w:p w14:paraId="08D7B927" w14:textId="77777777" w:rsidR="00AB47B5" w:rsidRPr="00FF5B9D" w:rsidRDefault="00AB47B5" w:rsidP="00AB47B5">
            <w:pPr>
              <w:pStyle w:val="TH-TableHeading"/>
            </w:pPr>
            <w:r>
              <w:t>High</w:t>
            </w:r>
          </w:p>
        </w:tc>
        <w:tc>
          <w:tcPr>
            <w:tcW w:w="579" w:type="pct"/>
            <w:tcBorders>
              <w:top w:val="single" w:sz="4" w:space="0" w:color="auto"/>
              <w:bottom w:val="single" w:sz="4" w:space="0" w:color="auto"/>
            </w:tcBorders>
            <w:shd w:val="clear" w:color="auto" w:fill="AFBED7"/>
          </w:tcPr>
          <w:p w14:paraId="56E6D3D3" w14:textId="77777777" w:rsidR="00AB47B5" w:rsidRPr="00FF5B9D" w:rsidRDefault="00AB47B5" w:rsidP="0077697D">
            <w:pPr>
              <w:pStyle w:val="TH-TableHeading"/>
            </w:pPr>
            <w:r>
              <w:t>Medium-high</w:t>
            </w:r>
          </w:p>
        </w:tc>
        <w:tc>
          <w:tcPr>
            <w:tcW w:w="579" w:type="pct"/>
            <w:tcBorders>
              <w:top w:val="single" w:sz="4" w:space="0" w:color="auto"/>
              <w:bottom w:val="single" w:sz="4" w:space="0" w:color="auto"/>
            </w:tcBorders>
            <w:shd w:val="clear" w:color="auto" w:fill="AFBED7"/>
            <w:vAlign w:val="center"/>
          </w:tcPr>
          <w:p w14:paraId="70592A81" w14:textId="77777777" w:rsidR="00AB47B5" w:rsidRPr="00FF5B9D" w:rsidRDefault="00AB47B5" w:rsidP="0077697D">
            <w:pPr>
              <w:pStyle w:val="TH-TableHeading"/>
            </w:pPr>
            <w:r>
              <w:t>Medium-Low</w:t>
            </w:r>
          </w:p>
        </w:tc>
        <w:tc>
          <w:tcPr>
            <w:tcW w:w="678" w:type="pct"/>
            <w:tcBorders>
              <w:top w:val="single" w:sz="4" w:space="0" w:color="auto"/>
              <w:bottom w:val="single" w:sz="4" w:space="0" w:color="auto"/>
            </w:tcBorders>
            <w:shd w:val="clear" w:color="auto" w:fill="AFBED7"/>
            <w:vAlign w:val="center"/>
          </w:tcPr>
          <w:p w14:paraId="27C08370" w14:textId="77777777" w:rsidR="00AB47B5" w:rsidRPr="00FF5B9D" w:rsidRDefault="00AB47B5" w:rsidP="00AB47B5">
            <w:pPr>
              <w:pStyle w:val="TH-TableHeading"/>
            </w:pPr>
            <w:r>
              <w:t>Low</w:t>
            </w:r>
            <w:r w:rsidRPr="00FF5B9D">
              <w:t xml:space="preserve"> </w:t>
            </w:r>
          </w:p>
        </w:tc>
      </w:tr>
      <w:tr w:rsidR="00AB47B5" w:rsidRPr="00FF5B9D" w14:paraId="641E3C69" w14:textId="77777777" w:rsidTr="00282056">
        <w:trPr>
          <w:trHeight w:val="269"/>
        </w:trPr>
        <w:tc>
          <w:tcPr>
            <w:tcW w:w="1802" w:type="pct"/>
            <w:tcBorders>
              <w:right w:val="single" w:sz="4" w:space="0" w:color="auto"/>
            </w:tcBorders>
            <w:vAlign w:val="center"/>
          </w:tcPr>
          <w:p w14:paraId="6A3436BC" w14:textId="77777777" w:rsidR="00AB47B5" w:rsidRPr="00FF5B9D" w:rsidRDefault="00AB47B5" w:rsidP="0077697D">
            <w:pPr>
              <w:pStyle w:val="TX-TableText"/>
            </w:pPr>
            <w:r w:rsidRPr="00FF5B9D">
              <w:t>Allocation rate of sample to strata</w:t>
            </w:r>
          </w:p>
        </w:tc>
        <w:tc>
          <w:tcPr>
            <w:tcW w:w="778" w:type="pct"/>
            <w:tcBorders>
              <w:left w:val="single" w:sz="4" w:space="0" w:color="auto"/>
              <w:right w:val="single" w:sz="4" w:space="0" w:color="auto"/>
            </w:tcBorders>
            <w:vAlign w:val="center"/>
          </w:tcPr>
          <w:p w14:paraId="7024CBB2" w14:textId="77777777" w:rsidR="00AB47B5" w:rsidRPr="00AB47B5" w:rsidRDefault="00AB47B5" w:rsidP="00282056">
            <w:pPr>
              <w:pStyle w:val="TX-TableText"/>
              <w:tabs>
                <w:tab w:val="left" w:pos="1173"/>
              </w:tabs>
              <w:ind w:right="109"/>
              <w:jc w:val="center"/>
              <w:rPr>
                <w:highlight w:val="yellow"/>
              </w:rPr>
            </w:pPr>
            <w:r w:rsidRPr="00AB47B5">
              <w:rPr>
                <w:highlight w:val="yellow"/>
              </w:rPr>
              <w:t>100%</w:t>
            </w:r>
          </w:p>
        </w:tc>
        <w:tc>
          <w:tcPr>
            <w:tcW w:w="584" w:type="pct"/>
            <w:tcBorders>
              <w:left w:val="single" w:sz="4" w:space="0" w:color="auto"/>
            </w:tcBorders>
            <w:vAlign w:val="center"/>
          </w:tcPr>
          <w:p w14:paraId="4EA7601A" w14:textId="77777777" w:rsidR="00AB47B5" w:rsidRPr="0049539F" w:rsidRDefault="00AB47B5" w:rsidP="00282056">
            <w:pPr>
              <w:pStyle w:val="TX-TableText"/>
              <w:ind w:right="-116"/>
              <w:jc w:val="center"/>
              <w:rPr>
                <w:highlight w:val="yellow"/>
              </w:rPr>
            </w:pPr>
            <w:r>
              <w:rPr>
                <w:highlight w:val="yellow"/>
              </w:rPr>
              <w:t>33.7%</w:t>
            </w:r>
          </w:p>
        </w:tc>
        <w:tc>
          <w:tcPr>
            <w:tcW w:w="579" w:type="pct"/>
            <w:vAlign w:val="center"/>
          </w:tcPr>
          <w:p w14:paraId="061EA9C7" w14:textId="77777777" w:rsidR="00AB47B5" w:rsidRPr="0049539F" w:rsidRDefault="00AB47B5" w:rsidP="00282056">
            <w:pPr>
              <w:pStyle w:val="TX-TableText"/>
              <w:ind w:right="-125"/>
              <w:jc w:val="center"/>
              <w:rPr>
                <w:highlight w:val="yellow"/>
              </w:rPr>
            </w:pPr>
            <w:r>
              <w:rPr>
                <w:highlight w:val="yellow"/>
              </w:rPr>
              <w:t>36.5%</w:t>
            </w:r>
          </w:p>
        </w:tc>
        <w:tc>
          <w:tcPr>
            <w:tcW w:w="579" w:type="pct"/>
            <w:vAlign w:val="center"/>
          </w:tcPr>
          <w:p w14:paraId="6163F316" w14:textId="77777777" w:rsidR="00AB47B5" w:rsidRPr="0049539F" w:rsidRDefault="00282056" w:rsidP="00282056">
            <w:pPr>
              <w:pStyle w:val="TX-TableText"/>
              <w:ind w:right="-134"/>
              <w:jc w:val="center"/>
              <w:rPr>
                <w:highlight w:val="yellow"/>
              </w:rPr>
            </w:pPr>
            <w:r>
              <w:rPr>
                <w:highlight w:val="yellow"/>
              </w:rPr>
              <w:t>29.0</w:t>
            </w:r>
            <w:r w:rsidR="00AB47B5" w:rsidRPr="0049539F">
              <w:rPr>
                <w:highlight w:val="yellow"/>
              </w:rPr>
              <w:t>%</w:t>
            </w:r>
          </w:p>
        </w:tc>
        <w:tc>
          <w:tcPr>
            <w:tcW w:w="678" w:type="pct"/>
            <w:vAlign w:val="center"/>
          </w:tcPr>
          <w:p w14:paraId="52716AE2" w14:textId="77777777" w:rsidR="00AB47B5" w:rsidRPr="0049539F" w:rsidRDefault="00282056" w:rsidP="00282056">
            <w:pPr>
              <w:pStyle w:val="TX-TableText"/>
              <w:ind w:right="335"/>
              <w:jc w:val="center"/>
              <w:rPr>
                <w:highlight w:val="yellow"/>
              </w:rPr>
            </w:pPr>
            <w:r>
              <w:rPr>
                <w:highlight w:val="yellow"/>
              </w:rPr>
              <w:t>2.4</w:t>
            </w:r>
            <w:r w:rsidR="00AB47B5" w:rsidRPr="0049539F">
              <w:rPr>
                <w:highlight w:val="yellow"/>
              </w:rPr>
              <w:t>%</w:t>
            </w:r>
          </w:p>
        </w:tc>
      </w:tr>
      <w:tr w:rsidR="00AB47B5" w:rsidRPr="00FF5B9D" w14:paraId="30134661" w14:textId="77777777" w:rsidTr="00282056">
        <w:trPr>
          <w:trHeight w:val="269"/>
        </w:trPr>
        <w:tc>
          <w:tcPr>
            <w:tcW w:w="1802" w:type="pct"/>
            <w:tcBorders>
              <w:right w:val="single" w:sz="4" w:space="0" w:color="auto"/>
            </w:tcBorders>
            <w:vAlign w:val="center"/>
          </w:tcPr>
          <w:p w14:paraId="77007FF4" w14:textId="77777777" w:rsidR="00AB47B5" w:rsidRPr="00FF5B9D" w:rsidRDefault="00AB47B5" w:rsidP="0077697D">
            <w:pPr>
              <w:pStyle w:val="TX-TableText"/>
            </w:pPr>
            <w:r w:rsidRPr="00FF5B9D">
              <w:t>Number of sampled addresses</w:t>
            </w:r>
            <w:r>
              <w:t xml:space="preserve"> </w:t>
            </w:r>
          </w:p>
        </w:tc>
        <w:tc>
          <w:tcPr>
            <w:tcW w:w="778" w:type="pct"/>
            <w:tcBorders>
              <w:left w:val="single" w:sz="4" w:space="0" w:color="auto"/>
              <w:right w:val="single" w:sz="4" w:space="0" w:color="auto"/>
            </w:tcBorders>
            <w:vAlign w:val="center"/>
          </w:tcPr>
          <w:p w14:paraId="69399E7C" w14:textId="77777777" w:rsidR="00AB47B5" w:rsidRPr="00E77500" w:rsidRDefault="00AB47B5" w:rsidP="00282056">
            <w:pPr>
              <w:pStyle w:val="TX-TableText"/>
              <w:tabs>
                <w:tab w:val="left" w:pos="1173"/>
              </w:tabs>
              <w:ind w:right="109"/>
              <w:jc w:val="center"/>
              <w:rPr>
                <w:highlight w:val="yellow"/>
              </w:rPr>
            </w:pPr>
            <w:r>
              <w:rPr>
                <w:highlight w:val="yellow"/>
              </w:rPr>
              <w:t>5,741</w:t>
            </w:r>
          </w:p>
        </w:tc>
        <w:tc>
          <w:tcPr>
            <w:tcW w:w="584" w:type="pct"/>
            <w:tcBorders>
              <w:left w:val="single" w:sz="4" w:space="0" w:color="auto"/>
            </w:tcBorders>
            <w:vAlign w:val="center"/>
          </w:tcPr>
          <w:p w14:paraId="6281FC26" w14:textId="77777777" w:rsidR="00AB47B5" w:rsidRPr="00E77500" w:rsidRDefault="00282056" w:rsidP="00282056">
            <w:pPr>
              <w:pStyle w:val="TX-TableText"/>
              <w:ind w:right="-81"/>
              <w:jc w:val="center"/>
              <w:rPr>
                <w:highlight w:val="yellow"/>
              </w:rPr>
            </w:pPr>
            <w:r>
              <w:rPr>
                <w:highlight w:val="yellow"/>
              </w:rPr>
              <w:t>1,935</w:t>
            </w:r>
          </w:p>
        </w:tc>
        <w:tc>
          <w:tcPr>
            <w:tcW w:w="579" w:type="pct"/>
            <w:vAlign w:val="center"/>
          </w:tcPr>
          <w:p w14:paraId="2FB3165F" w14:textId="77777777" w:rsidR="00AB47B5" w:rsidRPr="00E77500" w:rsidRDefault="00282056" w:rsidP="00282056">
            <w:pPr>
              <w:pStyle w:val="TX-TableText"/>
              <w:ind w:right="80"/>
              <w:jc w:val="center"/>
              <w:rPr>
                <w:highlight w:val="yellow"/>
              </w:rPr>
            </w:pPr>
            <w:r>
              <w:rPr>
                <w:highlight w:val="yellow"/>
              </w:rPr>
              <w:t>2,093</w:t>
            </w:r>
          </w:p>
        </w:tc>
        <w:tc>
          <w:tcPr>
            <w:tcW w:w="579" w:type="pct"/>
            <w:vAlign w:val="center"/>
          </w:tcPr>
          <w:p w14:paraId="046E08D1" w14:textId="77777777" w:rsidR="00AB47B5" w:rsidRPr="00E77500" w:rsidRDefault="00282056" w:rsidP="00282056">
            <w:pPr>
              <w:pStyle w:val="TX-TableText"/>
              <w:tabs>
                <w:tab w:val="left" w:pos="0"/>
                <w:tab w:val="left" w:pos="46"/>
              </w:tabs>
              <w:ind w:right="-119"/>
              <w:rPr>
                <w:highlight w:val="yellow"/>
              </w:rPr>
            </w:pPr>
            <w:r>
              <w:rPr>
                <w:highlight w:val="yellow"/>
              </w:rPr>
              <w:t xml:space="preserve">     1,662</w:t>
            </w:r>
          </w:p>
        </w:tc>
        <w:tc>
          <w:tcPr>
            <w:tcW w:w="678" w:type="pct"/>
            <w:vAlign w:val="center"/>
          </w:tcPr>
          <w:p w14:paraId="0C54E649" w14:textId="77777777" w:rsidR="00AB47B5" w:rsidRPr="00E77500" w:rsidRDefault="00282056" w:rsidP="00282056">
            <w:pPr>
              <w:pStyle w:val="TX-TableText"/>
              <w:ind w:right="335"/>
              <w:jc w:val="center"/>
              <w:rPr>
                <w:highlight w:val="yellow"/>
              </w:rPr>
            </w:pPr>
            <w:r>
              <w:rPr>
                <w:highlight w:val="yellow"/>
              </w:rPr>
              <w:t>137</w:t>
            </w:r>
          </w:p>
        </w:tc>
      </w:tr>
      <w:tr w:rsidR="00AB47B5" w:rsidRPr="00FF5B9D" w14:paraId="55B98AC7" w14:textId="77777777" w:rsidTr="00282056">
        <w:tc>
          <w:tcPr>
            <w:tcW w:w="1802" w:type="pct"/>
            <w:tcBorders>
              <w:right w:val="single" w:sz="4" w:space="0" w:color="auto"/>
            </w:tcBorders>
            <w:vAlign w:val="center"/>
          </w:tcPr>
          <w:p w14:paraId="6E7FB221" w14:textId="77777777" w:rsidR="00AB47B5" w:rsidRPr="00FF5B9D" w:rsidRDefault="00AB47B5" w:rsidP="0077697D">
            <w:pPr>
              <w:pStyle w:val="TX-TableText"/>
            </w:pPr>
            <w:r w:rsidRPr="00FF5B9D">
              <w:t>Assumed undeliverable rate</w:t>
            </w:r>
            <w:r>
              <w:t xml:space="preserve"> </w:t>
            </w:r>
            <w:r w:rsidRPr="00D4630E">
              <w:rPr>
                <w:vertAlign w:val="superscript"/>
              </w:rPr>
              <w:t>1</w:t>
            </w:r>
          </w:p>
        </w:tc>
        <w:tc>
          <w:tcPr>
            <w:tcW w:w="778" w:type="pct"/>
            <w:tcBorders>
              <w:left w:val="single" w:sz="4" w:space="0" w:color="auto"/>
              <w:right w:val="single" w:sz="4" w:space="0" w:color="auto"/>
            </w:tcBorders>
            <w:vAlign w:val="center"/>
          </w:tcPr>
          <w:p w14:paraId="33E1935A" w14:textId="77777777" w:rsidR="00AB47B5" w:rsidRPr="00FF5B9D" w:rsidRDefault="00AB47B5" w:rsidP="00282056">
            <w:pPr>
              <w:pStyle w:val="TX-TableText"/>
              <w:tabs>
                <w:tab w:val="left" w:pos="1173"/>
              </w:tabs>
              <w:ind w:right="109"/>
              <w:jc w:val="center"/>
            </w:pPr>
            <w:r>
              <w:t>--</w:t>
            </w:r>
          </w:p>
        </w:tc>
        <w:tc>
          <w:tcPr>
            <w:tcW w:w="584" w:type="pct"/>
            <w:tcBorders>
              <w:left w:val="single" w:sz="4" w:space="0" w:color="auto"/>
            </w:tcBorders>
            <w:vAlign w:val="center"/>
          </w:tcPr>
          <w:p w14:paraId="6FDEA4CE" w14:textId="77777777" w:rsidR="00AB47B5" w:rsidRPr="00E77500" w:rsidRDefault="00282056" w:rsidP="00282056">
            <w:pPr>
              <w:pStyle w:val="TX-TableText"/>
              <w:ind w:right="-81"/>
              <w:jc w:val="center"/>
              <w:rPr>
                <w:highlight w:val="yellow"/>
              </w:rPr>
            </w:pPr>
            <w:r>
              <w:rPr>
                <w:highlight w:val="yellow"/>
              </w:rPr>
              <w:t>15.8%</w:t>
            </w:r>
          </w:p>
        </w:tc>
        <w:tc>
          <w:tcPr>
            <w:tcW w:w="579" w:type="pct"/>
            <w:vAlign w:val="center"/>
          </w:tcPr>
          <w:p w14:paraId="4B656D1E" w14:textId="77777777" w:rsidR="00AB47B5" w:rsidRPr="00E77500" w:rsidRDefault="00282056" w:rsidP="00282056">
            <w:pPr>
              <w:pStyle w:val="TX-TableText"/>
              <w:ind w:right="80"/>
              <w:jc w:val="center"/>
              <w:rPr>
                <w:highlight w:val="yellow"/>
              </w:rPr>
            </w:pPr>
            <w:r>
              <w:rPr>
                <w:highlight w:val="yellow"/>
              </w:rPr>
              <w:t>14.9%</w:t>
            </w:r>
          </w:p>
        </w:tc>
        <w:tc>
          <w:tcPr>
            <w:tcW w:w="579" w:type="pct"/>
            <w:vAlign w:val="center"/>
          </w:tcPr>
          <w:p w14:paraId="0D180286" w14:textId="77777777" w:rsidR="00AB47B5" w:rsidRPr="00E77500" w:rsidRDefault="00282056" w:rsidP="00282056">
            <w:pPr>
              <w:pStyle w:val="TX-TableText"/>
              <w:ind w:right="-29"/>
              <w:jc w:val="center"/>
              <w:rPr>
                <w:highlight w:val="yellow"/>
              </w:rPr>
            </w:pPr>
            <w:r>
              <w:rPr>
                <w:highlight w:val="yellow"/>
              </w:rPr>
              <w:t>11.8</w:t>
            </w:r>
            <w:r w:rsidR="00AB47B5" w:rsidRPr="00E77500">
              <w:rPr>
                <w:highlight w:val="yellow"/>
              </w:rPr>
              <w:t>%</w:t>
            </w:r>
          </w:p>
        </w:tc>
        <w:tc>
          <w:tcPr>
            <w:tcW w:w="678" w:type="pct"/>
            <w:vAlign w:val="center"/>
          </w:tcPr>
          <w:p w14:paraId="6D25945C" w14:textId="77777777" w:rsidR="00AB47B5" w:rsidRPr="00E77500" w:rsidRDefault="00282056" w:rsidP="00282056">
            <w:pPr>
              <w:pStyle w:val="TX-TableText"/>
              <w:ind w:right="335"/>
              <w:jc w:val="center"/>
              <w:rPr>
                <w:highlight w:val="yellow"/>
              </w:rPr>
            </w:pPr>
            <w:r>
              <w:rPr>
                <w:highlight w:val="yellow"/>
              </w:rPr>
              <w:t>9.3</w:t>
            </w:r>
            <w:r w:rsidR="00AB47B5" w:rsidRPr="00E77500">
              <w:rPr>
                <w:highlight w:val="yellow"/>
              </w:rPr>
              <w:t>%</w:t>
            </w:r>
          </w:p>
        </w:tc>
      </w:tr>
      <w:tr w:rsidR="00AB47B5" w:rsidRPr="00FF5B9D" w14:paraId="6B9E409B" w14:textId="77777777" w:rsidTr="00282056">
        <w:tc>
          <w:tcPr>
            <w:tcW w:w="1802" w:type="pct"/>
            <w:tcBorders>
              <w:right w:val="single" w:sz="4" w:space="0" w:color="auto"/>
            </w:tcBorders>
            <w:vAlign w:val="center"/>
          </w:tcPr>
          <w:p w14:paraId="4A0DC9C9" w14:textId="77777777" w:rsidR="00AB47B5" w:rsidRPr="00FF5B9D" w:rsidRDefault="00AB47B5" w:rsidP="0077697D">
            <w:pPr>
              <w:pStyle w:val="TX-TableText"/>
            </w:pPr>
            <w:r w:rsidRPr="00FF5B9D">
              <w:t>Number of deliverable addresses</w:t>
            </w:r>
          </w:p>
        </w:tc>
        <w:tc>
          <w:tcPr>
            <w:tcW w:w="778" w:type="pct"/>
            <w:tcBorders>
              <w:left w:val="single" w:sz="4" w:space="0" w:color="auto"/>
              <w:right w:val="single" w:sz="4" w:space="0" w:color="auto"/>
            </w:tcBorders>
            <w:vAlign w:val="center"/>
          </w:tcPr>
          <w:p w14:paraId="0E030787" w14:textId="77777777" w:rsidR="00AB47B5" w:rsidRPr="00E77500" w:rsidRDefault="00AB47B5" w:rsidP="00282056">
            <w:pPr>
              <w:pStyle w:val="TX-TableText"/>
              <w:tabs>
                <w:tab w:val="left" w:pos="1173"/>
              </w:tabs>
              <w:ind w:right="109"/>
              <w:jc w:val="center"/>
              <w:rPr>
                <w:highlight w:val="yellow"/>
              </w:rPr>
            </w:pPr>
            <w:r>
              <w:rPr>
                <w:highlight w:val="yellow"/>
              </w:rPr>
              <w:t>5,000</w:t>
            </w:r>
          </w:p>
        </w:tc>
        <w:tc>
          <w:tcPr>
            <w:tcW w:w="584" w:type="pct"/>
            <w:tcBorders>
              <w:left w:val="single" w:sz="4" w:space="0" w:color="auto"/>
            </w:tcBorders>
            <w:vAlign w:val="center"/>
          </w:tcPr>
          <w:p w14:paraId="254481EA" w14:textId="77777777" w:rsidR="00AB47B5" w:rsidRPr="00E77500" w:rsidRDefault="00282056" w:rsidP="00282056">
            <w:pPr>
              <w:pStyle w:val="TX-TableText"/>
              <w:ind w:right="9"/>
              <w:jc w:val="center"/>
              <w:rPr>
                <w:highlight w:val="yellow"/>
              </w:rPr>
            </w:pPr>
            <w:r>
              <w:rPr>
                <w:highlight w:val="yellow"/>
              </w:rPr>
              <w:t>1,628</w:t>
            </w:r>
          </w:p>
        </w:tc>
        <w:tc>
          <w:tcPr>
            <w:tcW w:w="579" w:type="pct"/>
            <w:vAlign w:val="center"/>
          </w:tcPr>
          <w:p w14:paraId="5038A681" w14:textId="77777777" w:rsidR="00AB47B5" w:rsidRPr="00E77500" w:rsidRDefault="00282056" w:rsidP="00282056">
            <w:pPr>
              <w:pStyle w:val="TX-TableText"/>
              <w:ind w:right="80"/>
              <w:jc w:val="center"/>
              <w:rPr>
                <w:highlight w:val="yellow"/>
              </w:rPr>
            </w:pPr>
            <w:r>
              <w:rPr>
                <w:highlight w:val="yellow"/>
              </w:rPr>
              <w:t>1,780</w:t>
            </w:r>
          </w:p>
        </w:tc>
        <w:tc>
          <w:tcPr>
            <w:tcW w:w="579" w:type="pct"/>
            <w:vAlign w:val="center"/>
          </w:tcPr>
          <w:p w14:paraId="28587B0E" w14:textId="77777777" w:rsidR="00AB47B5" w:rsidRPr="00E77500" w:rsidRDefault="00282056" w:rsidP="00282056">
            <w:pPr>
              <w:pStyle w:val="TX-TableText"/>
              <w:ind w:right="-29"/>
              <w:jc w:val="center"/>
              <w:rPr>
                <w:highlight w:val="yellow"/>
              </w:rPr>
            </w:pPr>
            <w:r>
              <w:rPr>
                <w:highlight w:val="yellow"/>
              </w:rPr>
              <w:t>1</w:t>
            </w:r>
            <w:r w:rsidR="00AB47B5" w:rsidRPr="00E77500">
              <w:rPr>
                <w:highlight w:val="yellow"/>
              </w:rPr>
              <w:t>,</w:t>
            </w:r>
            <w:r>
              <w:rPr>
                <w:highlight w:val="yellow"/>
              </w:rPr>
              <w:t>467</w:t>
            </w:r>
          </w:p>
        </w:tc>
        <w:tc>
          <w:tcPr>
            <w:tcW w:w="678" w:type="pct"/>
            <w:vAlign w:val="center"/>
          </w:tcPr>
          <w:p w14:paraId="657599E8" w14:textId="77777777" w:rsidR="00AB47B5" w:rsidRPr="00E77500" w:rsidRDefault="00AB47B5" w:rsidP="00282056">
            <w:pPr>
              <w:pStyle w:val="TX-TableText"/>
              <w:ind w:right="335"/>
              <w:jc w:val="center"/>
              <w:rPr>
                <w:highlight w:val="yellow"/>
              </w:rPr>
            </w:pPr>
            <w:r w:rsidRPr="00E77500">
              <w:rPr>
                <w:highlight w:val="yellow"/>
              </w:rPr>
              <w:t>12</w:t>
            </w:r>
            <w:r w:rsidR="00282056">
              <w:rPr>
                <w:highlight w:val="yellow"/>
              </w:rPr>
              <w:t>5</w:t>
            </w:r>
          </w:p>
        </w:tc>
      </w:tr>
      <w:tr w:rsidR="00AB47B5" w:rsidRPr="00FF5B9D" w14:paraId="4C4975CF" w14:textId="77777777" w:rsidTr="00282056">
        <w:tc>
          <w:tcPr>
            <w:tcW w:w="1802" w:type="pct"/>
            <w:tcBorders>
              <w:right w:val="single" w:sz="4" w:space="0" w:color="auto"/>
            </w:tcBorders>
            <w:vAlign w:val="center"/>
          </w:tcPr>
          <w:p w14:paraId="312166A8" w14:textId="77777777" w:rsidR="00AB47B5" w:rsidRPr="00FF5B9D" w:rsidRDefault="00AB47B5" w:rsidP="0077697D">
            <w:pPr>
              <w:pStyle w:val="TX-TableText"/>
            </w:pPr>
            <w:r w:rsidRPr="00FF5B9D">
              <w:t>Assumed household response rate</w:t>
            </w:r>
            <w:r>
              <w:t xml:space="preserve"> </w:t>
            </w:r>
            <w:r w:rsidRPr="00D4630E">
              <w:rPr>
                <w:vertAlign w:val="superscript"/>
              </w:rPr>
              <w:t>1</w:t>
            </w:r>
          </w:p>
        </w:tc>
        <w:tc>
          <w:tcPr>
            <w:tcW w:w="778" w:type="pct"/>
            <w:tcBorders>
              <w:left w:val="single" w:sz="4" w:space="0" w:color="auto"/>
              <w:right w:val="single" w:sz="4" w:space="0" w:color="auto"/>
            </w:tcBorders>
            <w:vAlign w:val="center"/>
          </w:tcPr>
          <w:p w14:paraId="696C07AE" w14:textId="77777777" w:rsidR="00AB47B5" w:rsidRPr="00FF5B9D" w:rsidRDefault="00AB47B5" w:rsidP="00282056">
            <w:pPr>
              <w:pStyle w:val="TX-TableText"/>
              <w:tabs>
                <w:tab w:val="left" w:pos="1173"/>
              </w:tabs>
              <w:ind w:right="109"/>
              <w:jc w:val="center"/>
            </w:pPr>
            <w:r>
              <w:t>--</w:t>
            </w:r>
          </w:p>
        </w:tc>
        <w:tc>
          <w:tcPr>
            <w:tcW w:w="584" w:type="pct"/>
            <w:tcBorders>
              <w:left w:val="single" w:sz="4" w:space="0" w:color="auto"/>
            </w:tcBorders>
            <w:vAlign w:val="center"/>
          </w:tcPr>
          <w:p w14:paraId="706F9771" w14:textId="77777777" w:rsidR="00AB47B5" w:rsidRPr="00E77500" w:rsidRDefault="00282056" w:rsidP="00282056">
            <w:pPr>
              <w:pStyle w:val="TX-TableText"/>
              <w:ind w:right="-81"/>
              <w:jc w:val="center"/>
              <w:rPr>
                <w:highlight w:val="yellow"/>
              </w:rPr>
            </w:pPr>
            <w:r>
              <w:rPr>
                <w:highlight w:val="yellow"/>
              </w:rPr>
              <w:t>34.6%</w:t>
            </w:r>
          </w:p>
        </w:tc>
        <w:tc>
          <w:tcPr>
            <w:tcW w:w="579" w:type="pct"/>
            <w:vAlign w:val="center"/>
          </w:tcPr>
          <w:p w14:paraId="0411C636" w14:textId="77777777" w:rsidR="00AB47B5" w:rsidRPr="00E77500" w:rsidRDefault="00282056" w:rsidP="00282056">
            <w:pPr>
              <w:pStyle w:val="TX-TableText"/>
              <w:ind w:right="80"/>
              <w:jc w:val="center"/>
              <w:rPr>
                <w:highlight w:val="yellow"/>
              </w:rPr>
            </w:pPr>
            <w:r>
              <w:rPr>
                <w:highlight w:val="yellow"/>
              </w:rPr>
              <w:t>32.5%</w:t>
            </w:r>
          </w:p>
        </w:tc>
        <w:tc>
          <w:tcPr>
            <w:tcW w:w="579" w:type="pct"/>
            <w:vAlign w:val="center"/>
          </w:tcPr>
          <w:p w14:paraId="38EDB858" w14:textId="77777777" w:rsidR="00AB47B5" w:rsidRPr="00E77500" w:rsidRDefault="00282056" w:rsidP="00282056">
            <w:pPr>
              <w:pStyle w:val="TX-TableText"/>
              <w:ind w:right="-29"/>
              <w:jc w:val="center"/>
              <w:rPr>
                <w:highlight w:val="yellow"/>
              </w:rPr>
            </w:pPr>
            <w:r>
              <w:rPr>
                <w:highlight w:val="yellow"/>
              </w:rPr>
              <w:t>33.0</w:t>
            </w:r>
            <w:r w:rsidR="00AB47B5" w:rsidRPr="00E77500">
              <w:rPr>
                <w:highlight w:val="yellow"/>
              </w:rPr>
              <w:t>%</w:t>
            </w:r>
          </w:p>
        </w:tc>
        <w:tc>
          <w:tcPr>
            <w:tcW w:w="678" w:type="pct"/>
            <w:vAlign w:val="center"/>
          </w:tcPr>
          <w:p w14:paraId="12C5E0B0" w14:textId="77777777" w:rsidR="00AB47B5" w:rsidRPr="00E77500" w:rsidRDefault="00282056" w:rsidP="00282056">
            <w:pPr>
              <w:pStyle w:val="TX-TableText"/>
              <w:ind w:right="335"/>
              <w:jc w:val="center"/>
              <w:rPr>
                <w:highlight w:val="yellow"/>
              </w:rPr>
            </w:pPr>
            <w:r>
              <w:rPr>
                <w:highlight w:val="yellow"/>
              </w:rPr>
              <w:t>33.2</w:t>
            </w:r>
            <w:r w:rsidR="00AB47B5" w:rsidRPr="00E77500">
              <w:rPr>
                <w:highlight w:val="yellow"/>
              </w:rPr>
              <w:t>%</w:t>
            </w:r>
          </w:p>
        </w:tc>
      </w:tr>
      <w:tr w:rsidR="00AB47B5" w:rsidRPr="00FF5B9D" w14:paraId="5789F8A4" w14:textId="77777777" w:rsidTr="00282056">
        <w:tc>
          <w:tcPr>
            <w:tcW w:w="1802" w:type="pct"/>
            <w:tcBorders>
              <w:bottom w:val="single" w:sz="4" w:space="0" w:color="auto"/>
              <w:right w:val="single" w:sz="4" w:space="0" w:color="auto"/>
            </w:tcBorders>
            <w:vAlign w:val="center"/>
          </w:tcPr>
          <w:p w14:paraId="3939770B" w14:textId="77777777" w:rsidR="00AB47B5" w:rsidRPr="00FF5B9D" w:rsidRDefault="00282056" w:rsidP="0077697D">
            <w:pPr>
              <w:pStyle w:val="TX-TableText"/>
            </w:pPr>
            <w:r>
              <w:t>Num.</w:t>
            </w:r>
            <w:r w:rsidR="00AB47B5" w:rsidRPr="00FF5B9D">
              <w:t xml:space="preserve"> of completed questionnaires</w:t>
            </w:r>
          </w:p>
        </w:tc>
        <w:tc>
          <w:tcPr>
            <w:tcW w:w="778" w:type="pct"/>
            <w:tcBorders>
              <w:left w:val="single" w:sz="4" w:space="0" w:color="auto"/>
              <w:bottom w:val="single" w:sz="4" w:space="0" w:color="auto"/>
              <w:right w:val="single" w:sz="4" w:space="0" w:color="auto"/>
            </w:tcBorders>
            <w:vAlign w:val="center"/>
          </w:tcPr>
          <w:p w14:paraId="6C98A999" w14:textId="77777777" w:rsidR="00AB47B5" w:rsidRPr="00E77500" w:rsidDel="005425B0" w:rsidRDefault="00AB47B5" w:rsidP="00282056">
            <w:pPr>
              <w:pStyle w:val="TX-TableText"/>
              <w:tabs>
                <w:tab w:val="left" w:pos="1173"/>
              </w:tabs>
              <w:ind w:right="109"/>
              <w:jc w:val="center"/>
              <w:rPr>
                <w:highlight w:val="yellow"/>
              </w:rPr>
            </w:pPr>
            <w:r w:rsidRPr="00E77500">
              <w:rPr>
                <w:highlight w:val="yellow"/>
              </w:rPr>
              <w:t>1</w:t>
            </w:r>
            <w:r>
              <w:rPr>
                <w:highlight w:val="yellow"/>
              </w:rPr>
              <w:t>,652</w:t>
            </w:r>
          </w:p>
        </w:tc>
        <w:tc>
          <w:tcPr>
            <w:tcW w:w="584" w:type="pct"/>
            <w:tcBorders>
              <w:left w:val="single" w:sz="4" w:space="0" w:color="auto"/>
              <w:bottom w:val="single" w:sz="4" w:space="0" w:color="auto"/>
            </w:tcBorders>
            <w:vAlign w:val="center"/>
          </w:tcPr>
          <w:p w14:paraId="37AF5329" w14:textId="77777777" w:rsidR="00AB47B5" w:rsidRPr="00E77500" w:rsidRDefault="00282056" w:rsidP="00282056">
            <w:pPr>
              <w:pStyle w:val="TX-TableText"/>
              <w:jc w:val="center"/>
              <w:rPr>
                <w:highlight w:val="yellow"/>
              </w:rPr>
            </w:pPr>
            <w:r>
              <w:rPr>
                <w:highlight w:val="yellow"/>
              </w:rPr>
              <w:t>563</w:t>
            </w:r>
          </w:p>
        </w:tc>
        <w:tc>
          <w:tcPr>
            <w:tcW w:w="579" w:type="pct"/>
            <w:tcBorders>
              <w:bottom w:val="single" w:sz="4" w:space="0" w:color="auto"/>
            </w:tcBorders>
            <w:vAlign w:val="center"/>
          </w:tcPr>
          <w:p w14:paraId="5C161A0B" w14:textId="77777777" w:rsidR="00AB47B5" w:rsidRPr="00E77500" w:rsidRDefault="00282056" w:rsidP="00282056">
            <w:pPr>
              <w:pStyle w:val="TX-TableText"/>
              <w:ind w:right="80"/>
              <w:jc w:val="center"/>
              <w:rPr>
                <w:highlight w:val="yellow"/>
              </w:rPr>
            </w:pPr>
            <w:r>
              <w:rPr>
                <w:highlight w:val="yellow"/>
              </w:rPr>
              <w:t>578</w:t>
            </w:r>
          </w:p>
        </w:tc>
        <w:tc>
          <w:tcPr>
            <w:tcW w:w="579" w:type="pct"/>
            <w:tcBorders>
              <w:bottom w:val="single" w:sz="4" w:space="0" w:color="auto"/>
            </w:tcBorders>
            <w:vAlign w:val="center"/>
          </w:tcPr>
          <w:p w14:paraId="56F20324" w14:textId="77777777" w:rsidR="00AB47B5" w:rsidRPr="00E77500" w:rsidRDefault="00282056" w:rsidP="00282056">
            <w:pPr>
              <w:pStyle w:val="TX-TableText"/>
              <w:ind w:right="-29"/>
              <w:jc w:val="center"/>
              <w:rPr>
                <w:highlight w:val="yellow"/>
              </w:rPr>
            </w:pPr>
            <w:r>
              <w:rPr>
                <w:highlight w:val="yellow"/>
              </w:rPr>
              <w:t>484</w:t>
            </w:r>
          </w:p>
        </w:tc>
        <w:tc>
          <w:tcPr>
            <w:tcW w:w="678" w:type="pct"/>
            <w:tcBorders>
              <w:bottom w:val="single" w:sz="4" w:space="0" w:color="auto"/>
            </w:tcBorders>
            <w:vAlign w:val="center"/>
          </w:tcPr>
          <w:p w14:paraId="1D6F728B" w14:textId="77777777" w:rsidR="00AB47B5" w:rsidRPr="00E77500" w:rsidRDefault="00AB47B5" w:rsidP="00282056">
            <w:pPr>
              <w:pStyle w:val="TX-TableText"/>
              <w:ind w:right="335"/>
              <w:jc w:val="center"/>
              <w:rPr>
                <w:highlight w:val="yellow"/>
              </w:rPr>
            </w:pPr>
            <w:r w:rsidRPr="00E77500">
              <w:rPr>
                <w:highlight w:val="yellow"/>
              </w:rPr>
              <w:t>4</w:t>
            </w:r>
            <w:r w:rsidR="00282056">
              <w:rPr>
                <w:highlight w:val="yellow"/>
              </w:rPr>
              <w:t>1</w:t>
            </w:r>
          </w:p>
        </w:tc>
      </w:tr>
    </w:tbl>
    <w:p w14:paraId="6314839E" w14:textId="77777777" w:rsidR="00CE0C10" w:rsidRDefault="004021E7" w:rsidP="00282056">
      <w:pPr>
        <w:pStyle w:val="L1-FlLSp12"/>
        <w:tabs>
          <w:tab w:val="clear" w:pos="1152"/>
          <w:tab w:val="left" w:pos="270"/>
        </w:tabs>
        <w:spacing w:line="480" w:lineRule="auto"/>
        <w:rPr>
          <w:spacing w:val="-2"/>
          <w:sz w:val="24"/>
          <w:szCs w:val="24"/>
        </w:rPr>
      </w:pPr>
      <w:r w:rsidRPr="00FF5B9D">
        <w:rPr>
          <w:vertAlign w:val="superscript"/>
        </w:rPr>
        <w:t>1</w:t>
      </w:r>
      <w:r w:rsidRPr="00FF5B9D">
        <w:rPr>
          <w:vertAlign w:val="superscript"/>
        </w:rPr>
        <w:tab/>
      </w:r>
      <w:r w:rsidRPr="00FF5B9D">
        <w:t xml:space="preserve">Calculated from HINTS </w:t>
      </w:r>
      <w:r>
        <w:t>IV cycle 4</w:t>
      </w:r>
      <w:r w:rsidRPr="00FF5B9D">
        <w:t xml:space="preserve"> data</w:t>
      </w:r>
    </w:p>
    <w:p w14:paraId="250A2EA6" w14:textId="77777777" w:rsidR="00802896" w:rsidRDefault="00963AD0" w:rsidP="00802896">
      <w:pPr>
        <w:tabs>
          <w:tab w:val="left" w:pos="1152"/>
        </w:tabs>
        <w:spacing w:line="360" w:lineRule="atLeast"/>
        <w:jc w:val="center"/>
        <w:rPr>
          <w:szCs w:val="22"/>
          <w:highlight w:val="yellow"/>
        </w:rPr>
      </w:pPr>
      <w:r>
        <w:rPr>
          <w:szCs w:val="22"/>
          <w:highlight w:val="yellow"/>
        </w:rPr>
        <w:br w:type="page"/>
      </w:r>
    </w:p>
    <w:p w14:paraId="12AC5F83" w14:textId="77777777" w:rsidR="00E65CEB" w:rsidRPr="00802896" w:rsidRDefault="00CE0C10" w:rsidP="00802896">
      <w:pPr>
        <w:tabs>
          <w:tab w:val="left" w:pos="1152"/>
        </w:tabs>
        <w:spacing w:line="360" w:lineRule="atLeast"/>
        <w:jc w:val="center"/>
        <w:rPr>
          <w:szCs w:val="22"/>
          <w:highlight w:val="yellow"/>
        </w:rPr>
      </w:pPr>
      <w:r w:rsidRPr="00802896">
        <w:rPr>
          <w:szCs w:val="22"/>
          <w:highlight w:val="yellow"/>
        </w:rPr>
        <w:lastRenderedPageBreak/>
        <w:t>Table B2-7</w:t>
      </w:r>
      <w:r w:rsidR="00E65CEB" w:rsidRPr="00802896">
        <w:rPr>
          <w:szCs w:val="22"/>
          <w:highlight w:val="yellow"/>
        </w:rPr>
        <w:t xml:space="preserve">. </w:t>
      </w:r>
      <w:r w:rsidR="00E65CEB" w:rsidRPr="00802896">
        <w:rPr>
          <w:szCs w:val="22"/>
          <w:highlight w:val="yellow"/>
        </w:rPr>
        <w:tab/>
        <w:t>Expected number of completes by stratum and analysis domains of interest</w:t>
      </w:r>
    </w:p>
    <w:tbl>
      <w:tblPr>
        <w:tblW w:w="3211" w:type="pct"/>
        <w:jc w:val="center"/>
        <w:tblCellMar>
          <w:left w:w="0" w:type="dxa"/>
          <w:right w:w="0" w:type="dxa"/>
        </w:tblCellMar>
        <w:tblLook w:val="0000" w:firstRow="0" w:lastRow="0" w:firstColumn="0" w:lastColumn="0" w:noHBand="0" w:noVBand="0"/>
      </w:tblPr>
      <w:tblGrid>
        <w:gridCol w:w="1879"/>
        <w:gridCol w:w="2105"/>
        <w:gridCol w:w="2027"/>
      </w:tblGrid>
      <w:tr w:rsidR="00CE0C10" w:rsidRPr="00E50D4E" w14:paraId="0D1957EC" w14:textId="77777777" w:rsidTr="0077697D">
        <w:trPr>
          <w:jc w:val="center"/>
        </w:trPr>
        <w:tc>
          <w:tcPr>
            <w:tcW w:w="1563" w:type="pct"/>
            <w:tcBorders>
              <w:top w:val="single" w:sz="4" w:space="0" w:color="auto"/>
              <w:bottom w:val="single" w:sz="4" w:space="0" w:color="auto"/>
            </w:tcBorders>
            <w:shd w:val="clear" w:color="auto" w:fill="A6A6A6"/>
            <w:vAlign w:val="center"/>
          </w:tcPr>
          <w:p w14:paraId="79D8E9D2" w14:textId="77777777" w:rsidR="00CE0C10" w:rsidRPr="00802896" w:rsidRDefault="00CE0C10" w:rsidP="00802896">
            <w:pPr>
              <w:pStyle w:val="TH-TableHeading"/>
            </w:pPr>
            <w:r w:rsidRPr="00802896">
              <w:t>Stratum</w:t>
            </w:r>
          </w:p>
          <w:p w14:paraId="118F1733" w14:textId="77777777" w:rsidR="00CE0C10" w:rsidRPr="00802896" w:rsidRDefault="00CE0C10" w:rsidP="00802896">
            <w:pPr>
              <w:pStyle w:val="TH-TableHeading"/>
            </w:pPr>
            <w:r w:rsidRPr="00802896">
              <w:t>(smoking rate)</w:t>
            </w:r>
          </w:p>
        </w:tc>
        <w:tc>
          <w:tcPr>
            <w:tcW w:w="1751" w:type="pct"/>
            <w:tcBorders>
              <w:top w:val="single" w:sz="4" w:space="0" w:color="auto"/>
              <w:bottom w:val="single" w:sz="4" w:space="0" w:color="auto"/>
            </w:tcBorders>
            <w:shd w:val="clear" w:color="auto" w:fill="A6A6A6"/>
            <w:vAlign w:val="center"/>
          </w:tcPr>
          <w:p w14:paraId="3979C762" w14:textId="77777777" w:rsidR="00CE0C10" w:rsidRPr="00802896" w:rsidRDefault="00CE0C10" w:rsidP="00802896">
            <w:pPr>
              <w:pStyle w:val="TH-TableHeading"/>
            </w:pPr>
            <w:r w:rsidRPr="00802896">
              <w:t xml:space="preserve">Proportion of </w:t>
            </w:r>
            <w:r w:rsidRPr="00802896">
              <w:br/>
              <w:t>stratum (percent)</w:t>
            </w:r>
          </w:p>
        </w:tc>
        <w:tc>
          <w:tcPr>
            <w:tcW w:w="1687" w:type="pct"/>
            <w:tcBorders>
              <w:top w:val="single" w:sz="4" w:space="0" w:color="auto"/>
              <w:bottom w:val="single" w:sz="4" w:space="0" w:color="auto"/>
            </w:tcBorders>
            <w:shd w:val="clear" w:color="auto" w:fill="A6A6A6"/>
            <w:vAlign w:val="center"/>
          </w:tcPr>
          <w:p w14:paraId="0FE2DBDD" w14:textId="77777777" w:rsidR="00CE0C10" w:rsidRPr="00802896" w:rsidRDefault="00CE0C10" w:rsidP="00802896">
            <w:pPr>
              <w:pStyle w:val="TH-TableHeading"/>
            </w:pPr>
            <w:r w:rsidRPr="00802896">
              <w:t>Expected Number of Current Smokers</w:t>
            </w:r>
          </w:p>
        </w:tc>
      </w:tr>
      <w:tr w:rsidR="00CE0C10" w:rsidRPr="00E50D4E" w14:paraId="3BB77D5B" w14:textId="77777777" w:rsidTr="00CD52A6">
        <w:trPr>
          <w:trHeight w:val="255"/>
          <w:jc w:val="center"/>
        </w:trPr>
        <w:tc>
          <w:tcPr>
            <w:tcW w:w="1563" w:type="pct"/>
            <w:tcBorders>
              <w:top w:val="single" w:sz="4" w:space="0" w:color="auto"/>
            </w:tcBorders>
          </w:tcPr>
          <w:p w14:paraId="204EB9C6" w14:textId="77777777" w:rsidR="00CE0C10" w:rsidRPr="00802896" w:rsidRDefault="00CE0C10" w:rsidP="0077697D">
            <w:pPr>
              <w:jc w:val="center"/>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high</w:t>
            </w:r>
          </w:p>
        </w:tc>
        <w:tc>
          <w:tcPr>
            <w:tcW w:w="1751" w:type="pct"/>
            <w:tcBorders>
              <w:top w:val="single" w:sz="4" w:space="0" w:color="auto"/>
            </w:tcBorders>
            <w:shd w:val="clear" w:color="auto" w:fill="auto"/>
            <w:noWrap/>
            <w:vAlign w:val="center"/>
          </w:tcPr>
          <w:p w14:paraId="0739ADE3" w14:textId="77777777" w:rsidR="00CE0C10" w:rsidRPr="00802896" w:rsidRDefault="00CE0C10" w:rsidP="00CE0C10">
            <w:pPr>
              <w:tabs>
                <w:tab w:val="decimal" w:pos="1339"/>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25.0</w:t>
            </w:r>
          </w:p>
        </w:tc>
        <w:tc>
          <w:tcPr>
            <w:tcW w:w="1687" w:type="pct"/>
            <w:tcBorders>
              <w:top w:val="single" w:sz="4" w:space="0" w:color="auto"/>
            </w:tcBorders>
            <w:shd w:val="clear" w:color="auto" w:fill="auto"/>
            <w:noWrap/>
            <w:vAlign w:val="center"/>
          </w:tcPr>
          <w:p w14:paraId="4AD07F7B" w14:textId="77777777" w:rsidR="00CE0C10" w:rsidRPr="00802896" w:rsidRDefault="00CE0C10" w:rsidP="00CE0C10">
            <w:pPr>
              <w:tabs>
                <w:tab w:val="decimal" w:pos="1372"/>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141</w:t>
            </w:r>
          </w:p>
        </w:tc>
      </w:tr>
      <w:tr w:rsidR="00CE0C10" w:rsidRPr="00E50D4E" w14:paraId="1A9E3B12" w14:textId="77777777" w:rsidTr="00CD52A6">
        <w:trPr>
          <w:trHeight w:val="255"/>
          <w:jc w:val="center"/>
        </w:trPr>
        <w:tc>
          <w:tcPr>
            <w:tcW w:w="1563" w:type="pct"/>
          </w:tcPr>
          <w:p w14:paraId="0950E693" w14:textId="77777777" w:rsidR="00CE0C10" w:rsidRPr="00802896" w:rsidRDefault="00CE0C10" w:rsidP="0077697D">
            <w:pPr>
              <w:jc w:val="center"/>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medium-high</w:t>
            </w:r>
          </w:p>
        </w:tc>
        <w:tc>
          <w:tcPr>
            <w:tcW w:w="1751" w:type="pct"/>
            <w:shd w:val="clear" w:color="auto" w:fill="auto"/>
            <w:noWrap/>
            <w:vAlign w:val="center"/>
          </w:tcPr>
          <w:p w14:paraId="7FAA590F" w14:textId="77777777" w:rsidR="00CE0C10" w:rsidRPr="00802896" w:rsidRDefault="00CE0C10" w:rsidP="00CE0C10">
            <w:pPr>
              <w:tabs>
                <w:tab w:val="decimal" w:pos="1339"/>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21.6</w:t>
            </w:r>
          </w:p>
        </w:tc>
        <w:tc>
          <w:tcPr>
            <w:tcW w:w="1687" w:type="pct"/>
            <w:shd w:val="clear" w:color="auto" w:fill="auto"/>
            <w:noWrap/>
            <w:vAlign w:val="center"/>
          </w:tcPr>
          <w:p w14:paraId="4527957A" w14:textId="77777777" w:rsidR="00CE0C10" w:rsidRPr="00802896" w:rsidRDefault="00CE0C10" w:rsidP="00CE0C10">
            <w:pPr>
              <w:tabs>
                <w:tab w:val="decimal" w:pos="1372"/>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125</w:t>
            </w:r>
          </w:p>
        </w:tc>
      </w:tr>
      <w:tr w:rsidR="00CE0C10" w:rsidRPr="00E50D4E" w14:paraId="0E53C653" w14:textId="77777777" w:rsidTr="00CD52A6">
        <w:trPr>
          <w:trHeight w:val="255"/>
          <w:jc w:val="center"/>
        </w:trPr>
        <w:tc>
          <w:tcPr>
            <w:tcW w:w="1563" w:type="pct"/>
          </w:tcPr>
          <w:p w14:paraId="434CDB89" w14:textId="77777777" w:rsidR="00CE0C10" w:rsidRPr="00802896" w:rsidRDefault="00CE0C10" w:rsidP="0077697D">
            <w:pPr>
              <w:jc w:val="center"/>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medium-low</w:t>
            </w:r>
          </w:p>
        </w:tc>
        <w:tc>
          <w:tcPr>
            <w:tcW w:w="1751" w:type="pct"/>
            <w:shd w:val="clear" w:color="auto" w:fill="auto"/>
            <w:noWrap/>
            <w:vAlign w:val="center"/>
          </w:tcPr>
          <w:p w14:paraId="768EE0DF" w14:textId="77777777" w:rsidR="00CE0C10" w:rsidRPr="00802896" w:rsidRDefault="00CE0C10" w:rsidP="00CE0C10">
            <w:pPr>
              <w:tabs>
                <w:tab w:val="decimal" w:pos="1339"/>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10.9</w:t>
            </w:r>
          </w:p>
        </w:tc>
        <w:tc>
          <w:tcPr>
            <w:tcW w:w="1687" w:type="pct"/>
            <w:shd w:val="clear" w:color="auto" w:fill="auto"/>
            <w:noWrap/>
            <w:vAlign w:val="center"/>
          </w:tcPr>
          <w:p w14:paraId="6255BD80" w14:textId="77777777" w:rsidR="00CE0C10" w:rsidRPr="00802896" w:rsidRDefault="00CE0C10" w:rsidP="00CE0C10">
            <w:pPr>
              <w:tabs>
                <w:tab w:val="decimal" w:pos="1372"/>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53</w:t>
            </w:r>
          </w:p>
        </w:tc>
      </w:tr>
      <w:tr w:rsidR="00CE0C10" w:rsidRPr="00E50D4E" w14:paraId="3D4DA70B" w14:textId="77777777" w:rsidTr="00CD52A6">
        <w:trPr>
          <w:trHeight w:val="255"/>
          <w:jc w:val="center"/>
        </w:trPr>
        <w:tc>
          <w:tcPr>
            <w:tcW w:w="1563" w:type="pct"/>
          </w:tcPr>
          <w:p w14:paraId="3EEC0411" w14:textId="77777777" w:rsidR="00CE0C10" w:rsidRPr="00802896" w:rsidRDefault="00CE0C10" w:rsidP="0077697D">
            <w:pPr>
              <w:jc w:val="center"/>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low</w:t>
            </w:r>
          </w:p>
        </w:tc>
        <w:tc>
          <w:tcPr>
            <w:tcW w:w="1751" w:type="pct"/>
            <w:shd w:val="clear" w:color="auto" w:fill="auto"/>
            <w:noWrap/>
            <w:vAlign w:val="center"/>
          </w:tcPr>
          <w:p w14:paraId="7F64D691" w14:textId="77777777" w:rsidR="00CE0C10" w:rsidRPr="00802896" w:rsidRDefault="00CE0C10" w:rsidP="00CE0C10">
            <w:pPr>
              <w:tabs>
                <w:tab w:val="decimal" w:pos="1339"/>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7.1</w:t>
            </w:r>
          </w:p>
        </w:tc>
        <w:tc>
          <w:tcPr>
            <w:tcW w:w="1687" w:type="pct"/>
            <w:shd w:val="clear" w:color="auto" w:fill="auto"/>
            <w:noWrap/>
            <w:vAlign w:val="center"/>
          </w:tcPr>
          <w:p w14:paraId="5A886313" w14:textId="77777777" w:rsidR="00CE0C10" w:rsidRPr="00802896" w:rsidRDefault="00CE0C10" w:rsidP="00CE0C10">
            <w:pPr>
              <w:tabs>
                <w:tab w:val="decimal" w:pos="1372"/>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3</w:t>
            </w:r>
          </w:p>
        </w:tc>
      </w:tr>
      <w:tr w:rsidR="00CE0C10" w:rsidRPr="00E50D4E" w14:paraId="64290B87" w14:textId="77777777" w:rsidTr="00CD52A6">
        <w:trPr>
          <w:trHeight w:val="255"/>
          <w:jc w:val="center"/>
        </w:trPr>
        <w:tc>
          <w:tcPr>
            <w:tcW w:w="1563" w:type="pct"/>
            <w:tcBorders>
              <w:bottom w:val="single" w:sz="4" w:space="0" w:color="auto"/>
            </w:tcBorders>
          </w:tcPr>
          <w:p w14:paraId="670E3459" w14:textId="77777777" w:rsidR="00CE0C10" w:rsidRPr="00802896" w:rsidRDefault="00802896" w:rsidP="0077697D">
            <w:pPr>
              <w:jc w:val="center"/>
              <w:rPr>
                <w:rFonts w:ascii="Franklin Gothic Medium" w:eastAsia="Calibri" w:hAnsi="Franklin Gothic Medium"/>
                <w:sz w:val="20"/>
                <w:highlight w:val="yellow"/>
              </w:rPr>
            </w:pPr>
            <w:r>
              <w:rPr>
                <w:rFonts w:ascii="Franklin Gothic Medium" w:eastAsia="Calibri" w:hAnsi="Franklin Gothic Medium"/>
                <w:sz w:val="20"/>
                <w:highlight w:val="yellow"/>
              </w:rPr>
              <w:t>All</w:t>
            </w:r>
          </w:p>
        </w:tc>
        <w:tc>
          <w:tcPr>
            <w:tcW w:w="1751" w:type="pct"/>
            <w:tcBorders>
              <w:bottom w:val="single" w:sz="4" w:space="0" w:color="auto"/>
            </w:tcBorders>
            <w:shd w:val="clear" w:color="auto" w:fill="auto"/>
            <w:noWrap/>
            <w:vAlign w:val="center"/>
          </w:tcPr>
          <w:p w14:paraId="26FB34FE" w14:textId="77777777" w:rsidR="00CE0C10" w:rsidRPr="00802896" w:rsidRDefault="00CE0C10" w:rsidP="00CE0C10">
            <w:pPr>
              <w:tabs>
                <w:tab w:val="decimal" w:pos="1339"/>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14.9</w:t>
            </w:r>
          </w:p>
        </w:tc>
        <w:tc>
          <w:tcPr>
            <w:tcW w:w="1687" w:type="pct"/>
            <w:tcBorders>
              <w:bottom w:val="single" w:sz="4" w:space="0" w:color="auto"/>
            </w:tcBorders>
            <w:shd w:val="clear" w:color="auto" w:fill="auto"/>
            <w:noWrap/>
            <w:vAlign w:val="center"/>
          </w:tcPr>
          <w:p w14:paraId="0E2CB504" w14:textId="77777777" w:rsidR="00CE0C10" w:rsidRPr="00802896" w:rsidRDefault="00CE0C10" w:rsidP="00CE0C10">
            <w:pPr>
              <w:tabs>
                <w:tab w:val="decimal" w:pos="1372"/>
              </w:tabs>
              <w:rPr>
                <w:rFonts w:ascii="Franklin Gothic Medium" w:eastAsia="Calibri" w:hAnsi="Franklin Gothic Medium"/>
                <w:sz w:val="20"/>
                <w:highlight w:val="yellow"/>
              </w:rPr>
            </w:pPr>
            <w:r w:rsidRPr="00802896">
              <w:rPr>
                <w:rFonts w:ascii="Franklin Gothic Medium" w:eastAsia="Calibri" w:hAnsi="Franklin Gothic Medium"/>
                <w:sz w:val="20"/>
                <w:highlight w:val="yellow"/>
              </w:rPr>
              <w:t>321</w:t>
            </w:r>
          </w:p>
        </w:tc>
      </w:tr>
    </w:tbl>
    <w:p w14:paraId="15AC3946" w14:textId="77777777" w:rsidR="00E65CEB" w:rsidRPr="00E50D4E" w:rsidRDefault="00E65CEB" w:rsidP="00E65CEB">
      <w:pPr>
        <w:tabs>
          <w:tab w:val="left" w:pos="1152"/>
        </w:tabs>
        <w:spacing w:line="360" w:lineRule="atLeast"/>
        <w:rPr>
          <w:sz w:val="24"/>
          <w:szCs w:val="24"/>
        </w:rPr>
      </w:pPr>
    </w:p>
    <w:p w14:paraId="0B1DF63E" w14:textId="77777777" w:rsidR="00E65CEB" w:rsidRPr="00E50D4E" w:rsidRDefault="00E65CEB" w:rsidP="00E65CEB">
      <w:pPr>
        <w:tabs>
          <w:tab w:val="left" w:pos="1152"/>
        </w:tabs>
        <w:spacing w:line="40" w:lineRule="exact"/>
        <w:rPr>
          <w:sz w:val="24"/>
          <w:szCs w:val="24"/>
        </w:rPr>
      </w:pPr>
    </w:p>
    <w:p w14:paraId="177C6AC3" w14:textId="77777777" w:rsidR="00E65CEB" w:rsidRPr="00E50D4E" w:rsidRDefault="00E65CEB" w:rsidP="00E65CEB">
      <w:pPr>
        <w:tabs>
          <w:tab w:val="left" w:pos="1152"/>
        </w:tabs>
        <w:spacing w:line="120" w:lineRule="exact"/>
        <w:rPr>
          <w:sz w:val="24"/>
          <w:szCs w:val="24"/>
        </w:rPr>
      </w:pPr>
    </w:p>
    <w:p w14:paraId="1B188432" w14:textId="77777777" w:rsidR="001B5E26" w:rsidRPr="00FF5B9D" w:rsidRDefault="001B5E26" w:rsidP="00323423">
      <w:pPr>
        <w:pStyle w:val="Heading2"/>
        <w:spacing w:after="0" w:line="480" w:lineRule="auto"/>
      </w:pPr>
      <w:r w:rsidRPr="00FF5B9D">
        <w:t>Data Collection Procedures</w:t>
      </w:r>
      <w:bookmarkEnd w:id="29"/>
    </w:p>
    <w:p w14:paraId="16944556" w14:textId="77777777" w:rsidR="001B5E26" w:rsidRPr="00FF5B9D" w:rsidRDefault="001B5E26" w:rsidP="00323423">
      <w:pPr>
        <w:pStyle w:val="L1-FlLSp12"/>
        <w:spacing w:line="480" w:lineRule="auto"/>
      </w:pPr>
      <w:r w:rsidRPr="00FF5B9D">
        <w:t xml:space="preserve">Each data collection cycle </w:t>
      </w:r>
      <w:r w:rsidR="00DF3532" w:rsidRPr="00E719FE">
        <w:rPr>
          <w:highlight w:val="yellow"/>
        </w:rPr>
        <w:t>as well as the pilot</w:t>
      </w:r>
      <w:r w:rsidR="00DF3532">
        <w:t xml:space="preserve"> </w:t>
      </w:r>
      <w:r w:rsidRPr="00FF5B9D">
        <w:t xml:space="preserve">will follow a standard mailing protocol.  All households in the sample will receive a packet requesting that one </w:t>
      </w:r>
      <w:r w:rsidR="00AC28B5">
        <w:t>questionnaire</w:t>
      </w:r>
      <w:r w:rsidRPr="00FF5B9D">
        <w:t xml:space="preserve"> be completed and returned in the postage-paid return envelope. A $2 incentive will also be included with the mailing. All mailed materials will be marked</w:t>
      </w:r>
      <w:r w:rsidR="00AC28B5">
        <w:t xml:space="preserve"> “Do Not Forward.” If no survey has</w:t>
      </w:r>
      <w:r w:rsidRPr="00FF5B9D">
        <w:t xml:space="preserve"> been received from a household within 2 weeks of the mailing of the instruments, a reminder postcard will be sent to the household. If no surveys have been received within 2 weeks of the mailing of the reminder postcard, </w:t>
      </w:r>
      <w:r w:rsidR="00AC28B5">
        <w:t xml:space="preserve">a second mailing will </w:t>
      </w:r>
      <w:r w:rsidRPr="00FF5B9D">
        <w:t xml:space="preserve">be </w:t>
      </w:r>
      <w:r w:rsidR="00AC28B5">
        <w:t xml:space="preserve">sent.  </w:t>
      </w:r>
      <w:r w:rsidR="00AC28B5" w:rsidRPr="00AC28B5">
        <w:rPr>
          <w:highlight w:val="yellow"/>
        </w:rPr>
        <w:t>A third mailing will be sent to households that do not respond to the first two mailings</w:t>
      </w:r>
      <w:r w:rsidR="00AC28B5">
        <w:t xml:space="preserve">.  </w:t>
      </w:r>
      <w:r w:rsidRPr="00FF5B9D">
        <w:t xml:space="preserve">Please see </w:t>
      </w:r>
      <w:r w:rsidRPr="00963AD0">
        <w:rPr>
          <w:b/>
        </w:rPr>
        <w:t>Appendix</w:t>
      </w:r>
      <w:r w:rsidR="00BD352D" w:rsidRPr="00963AD0">
        <w:rPr>
          <w:b/>
        </w:rPr>
        <w:t xml:space="preserve"> </w:t>
      </w:r>
      <w:r w:rsidR="00963AD0" w:rsidRPr="00963AD0">
        <w:rPr>
          <w:b/>
        </w:rPr>
        <w:t>B</w:t>
      </w:r>
      <w:r w:rsidRPr="00FF5B9D">
        <w:t xml:space="preserve"> for copies of the cover letters and postcard.</w:t>
      </w:r>
    </w:p>
    <w:p w14:paraId="5134BF8B" w14:textId="77777777" w:rsidR="00F52DAF" w:rsidRDefault="00F52DAF" w:rsidP="00323423">
      <w:pPr>
        <w:pStyle w:val="L1-FlLSp12"/>
        <w:spacing w:line="480" w:lineRule="auto"/>
      </w:pPr>
    </w:p>
    <w:p w14:paraId="6FA52663" w14:textId="77777777" w:rsidR="001B5E26" w:rsidRPr="00FF5B9D" w:rsidRDefault="001B5E26" w:rsidP="00323423">
      <w:pPr>
        <w:pStyle w:val="L1-FlLSp12"/>
        <w:spacing w:line="480" w:lineRule="auto"/>
      </w:pPr>
      <w:r w:rsidRPr="00FF5B9D">
        <w:t xml:space="preserve">Once a household has returned </w:t>
      </w:r>
      <w:r w:rsidR="00AC28B5">
        <w:t>a questionnaire</w:t>
      </w:r>
      <w:r w:rsidRPr="00FF5B9D">
        <w:t xml:space="preserve">, it will not receive further mailings. If a package is returned as nondeliverable, the household will be removed from future mailings.   </w:t>
      </w:r>
    </w:p>
    <w:p w14:paraId="2DBE9D93" w14:textId="77777777" w:rsidR="001B5E26" w:rsidRPr="00FF5B9D" w:rsidRDefault="001B5E26" w:rsidP="00323423">
      <w:pPr>
        <w:pStyle w:val="L1-FlLSp12"/>
        <w:spacing w:line="480" w:lineRule="auto"/>
      </w:pPr>
    </w:p>
    <w:p w14:paraId="04AFE2C1" w14:textId="77777777" w:rsidR="001B5E26" w:rsidRPr="00FF5B9D" w:rsidRDefault="001B5E26" w:rsidP="00323423">
      <w:pPr>
        <w:pStyle w:val="L1-FlLSp12"/>
        <w:spacing w:line="480" w:lineRule="auto"/>
        <w:rPr>
          <w:rFonts w:ascii="Garamond" w:hAnsi="Garamond"/>
          <w:szCs w:val="24"/>
        </w:rPr>
      </w:pPr>
      <w:r w:rsidRPr="00FF5B9D">
        <w:rPr>
          <w:b/>
          <w:szCs w:val="24"/>
        </w:rPr>
        <w:t xml:space="preserve">Helpdesk Assistance.  </w:t>
      </w:r>
      <w:r w:rsidRPr="00FF5B9D">
        <w:rPr>
          <w:szCs w:val="24"/>
        </w:rPr>
        <w:t>Respondents will be provided with two toll-free numbers to reach project staff. The primary toll-free number will be provided on all letters and instruments for respondents to call and ask questions about the study or request additional/replacement questionnaires. The other number will be monitored by Spanish-speaking project staff to allow Spanish-speaking respondents to ask questions or request a mailing of the materials in Spanish.  All English materials will include reference to the Spanish toll-free number.</w:t>
      </w:r>
    </w:p>
    <w:p w14:paraId="6A9AAB20" w14:textId="77777777" w:rsidR="001B5E26" w:rsidRPr="00FF5B9D" w:rsidRDefault="001B5E26" w:rsidP="00323423">
      <w:pPr>
        <w:pStyle w:val="L1-FlLSp12"/>
        <w:spacing w:line="480" w:lineRule="auto"/>
      </w:pPr>
    </w:p>
    <w:p w14:paraId="4AA3E07D" w14:textId="77777777" w:rsidR="001B5E26" w:rsidRPr="00FF5B9D" w:rsidRDefault="001B5E26" w:rsidP="00323423">
      <w:pPr>
        <w:pStyle w:val="L1-FlLSp12"/>
        <w:spacing w:line="480" w:lineRule="auto"/>
        <w:rPr>
          <w:szCs w:val="24"/>
        </w:rPr>
      </w:pPr>
      <w:r w:rsidRPr="00FF5B9D">
        <w:rPr>
          <w:b/>
          <w:szCs w:val="24"/>
        </w:rPr>
        <w:lastRenderedPageBreak/>
        <w:t xml:space="preserve">Monitoring.  </w:t>
      </w:r>
      <w:r w:rsidRPr="00FF5B9D">
        <w:rPr>
          <w:szCs w:val="24"/>
        </w:rPr>
        <w:t>A series of production and management reports will be generated daily and weekly during the field period. These reports will provide information on response rates, cooperation rates, and problems encountered during the course of data collection. Reports tracking the data collection process, documenting problems encountered, and offering resolutions or necessary revisions to the process will be prepared on a weekly basis during the field period.</w:t>
      </w:r>
    </w:p>
    <w:p w14:paraId="0BE7EA8A" w14:textId="77777777" w:rsidR="001B5E26" w:rsidRPr="00FF5B9D" w:rsidRDefault="001B5E26" w:rsidP="00323423">
      <w:pPr>
        <w:pStyle w:val="L1-FlLSp12"/>
        <w:spacing w:line="480" w:lineRule="auto"/>
        <w:rPr>
          <w:b/>
          <w:szCs w:val="24"/>
        </w:rPr>
      </w:pPr>
    </w:p>
    <w:p w14:paraId="5B1D5C6A" w14:textId="77777777" w:rsidR="001B5E26" w:rsidRPr="00FF5B9D" w:rsidRDefault="001B5E26" w:rsidP="00323423">
      <w:pPr>
        <w:pStyle w:val="L1-FlLSp12"/>
        <w:spacing w:line="480" w:lineRule="auto"/>
        <w:rPr>
          <w:szCs w:val="24"/>
        </w:rPr>
      </w:pPr>
      <w:r w:rsidRPr="00FF5B9D">
        <w:rPr>
          <w:b/>
          <w:szCs w:val="24"/>
        </w:rPr>
        <w:t xml:space="preserve">Scanning.  </w:t>
      </w:r>
      <w:r w:rsidRPr="00FF5B9D">
        <w:rPr>
          <w:szCs w:val="24"/>
        </w:rPr>
        <w:t xml:space="preserve">Returned hard-copy forms will be scanned using high-speed scanners. Receipt and scan staff will follow written project procedures developed for the handling of incoming hard-copy forms. A supervisor will review any forms that require special handling, for example, if any are too damaged to be scanned as returned. </w:t>
      </w:r>
    </w:p>
    <w:p w14:paraId="106F35C3" w14:textId="77777777" w:rsidR="001B5E26" w:rsidRPr="00FF5B9D" w:rsidRDefault="001B5E26" w:rsidP="00323423">
      <w:pPr>
        <w:pStyle w:val="L1-FlLSp12"/>
        <w:spacing w:line="480" w:lineRule="auto"/>
        <w:rPr>
          <w:b/>
          <w:szCs w:val="24"/>
        </w:rPr>
      </w:pPr>
    </w:p>
    <w:p w14:paraId="156E38DC" w14:textId="77777777" w:rsidR="001B5E26" w:rsidRPr="00FF5B9D" w:rsidRDefault="001B5E26" w:rsidP="00323423">
      <w:pPr>
        <w:pStyle w:val="Heading2"/>
        <w:spacing w:after="0" w:line="480" w:lineRule="auto"/>
      </w:pPr>
      <w:bookmarkStart w:id="30" w:name="_Toc445805573"/>
      <w:r w:rsidRPr="00FF5B9D">
        <w:t>Estimation</w:t>
      </w:r>
      <w:bookmarkEnd w:id="30"/>
      <w:r w:rsidRPr="00FF5B9D">
        <w:t xml:space="preserve"> </w:t>
      </w:r>
    </w:p>
    <w:p w14:paraId="4087FA2F" w14:textId="77777777" w:rsidR="00CC3718" w:rsidRPr="00FF5B9D" w:rsidRDefault="001B5E26" w:rsidP="00955A6C">
      <w:pPr>
        <w:pStyle w:val="L1-FlLSp12"/>
        <w:spacing w:line="480" w:lineRule="auto"/>
      </w:pPr>
      <w:bookmarkStart w:id="31" w:name="_Toc74729157"/>
      <w:bookmarkStart w:id="32" w:name="_Toc532621575"/>
      <w:bookmarkStart w:id="33" w:name="_Toc69879217"/>
      <w:bookmarkStart w:id="34" w:name="_Toc74729159"/>
      <w:bookmarkEnd w:id="6"/>
      <w:r w:rsidRPr="00FF5B9D">
        <w:t>Sample weights and replicate weights will be calculated for each data collection cycle</w:t>
      </w:r>
      <w:r w:rsidR="00BF2302">
        <w:t xml:space="preserve"> </w:t>
      </w:r>
      <w:r w:rsidR="00BF2302" w:rsidRPr="00BF2302">
        <w:rPr>
          <w:highlight w:val="yellow"/>
        </w:rPr>
        <w:t>and for the pilot study</w:t>
      </w:r>
      <w:r w:rsidRPr="00FF5B9D">
        <w:t xml:space="preserve">. Sample weights will permit data users to calculate nationally representative estimates of the population of interest--that is, the adult (18+) non-institutionalized population in the United States--from the collected data. Replicate weights will allow users to compute standard errors for the estimates from the collected data. </w:t>
      </w:r>
      <w:r w:rsidR="001E2829" w:rsidRPr="00993552">
        <w:rPr>
          <w:highlight w:val="yellow"/>
        </w:rPr>
        <w:t>To analyze data across cycles, data analysts can combine the sample and replicate weights by using the proc</w:t>
      </w:r>
      <w:r w:rsidR="00963AD0">
        <w:rPr>
          <w:highlight w:val="yellow"/>
        </w:rPr>
        <w:t>edure documented in the report (</w:t>
      </w:r>
      <w:r w:rsidR="001E2829" w:rsidRPr="00993552">
        <w:rPr>
          <w:highlight w:val="yellow"/>
        </w:rPr>
        <w:t>Rizzo, et</w:t>
      </w:r>
      <w:r w:rsidR="00963AD0">
        <w:rPr>
          <w:highlight w:val="yellow"/>
        </w:rPr>
        <w:t>.al. 2008)</w:t>
      </w:r>
      <w:r w:rsidR="001E2829" w:rsidRPr="00993552">
        <w:rPr>
          <w:highlight w:val="yellow"/>
        </w:rPr>
        <w:t>, which describes how to analyze integrated data from the 2003 and 2005 HINTS surveys</w:t>
      </w:r>
      <w:r w:rsidR="00C13158" w:rsidRPr="00993552">
        <w:rPr>
          <w:highlight w:val="yellow"/>
        </w:rPr>
        <w:t>. Although this report describes integrating across years, the methodology applies to integrating across data collection cycles as well.</w:t>
      </w:r>
    </w:p>
    <w:p w14:paraId="3B95A1A2" w14:textId="77777777" w:rsidR="001B5E26" w:rsidRPr="00FF5B9D" w:rsidRDefault="001B5E26" w:rsidP="004E2437">
      <w:pPr>
        <w:pStyle w:val="L1-FlLSp12"/>
        <w:keepNext/>
      </w:pPr>
    </w:p>
    <w:p w14:paraId="7666A568" w14:textId="77777777" w:rsidR="001B5E26" w:rsidRPr="00FF5B9D" w:rsidRDefault="001B5E26" w:rsidP="00323423">
      <w:pPr>
        <w:pStyle w:val="L1-FlLSp12"/>
        <w:spacing w:line="480" w:lineRule="auto"/>
      </w:pPr>
      <w:r w:rsidRPr="00FF5B9D">
        <w:t xml:space="preserve">The goal of weighting is to correct the final estimates for nonresponse and noncoverage biases. </w:t>
      </w:r>
      <w:r w:rsidR="00BF2302" w:rsidRPr="00BF2302">
        <w:rPr>
          <w:highlight w:val="yellow"/>
        </w:rPr>
        <w:t xml:space="preserve">The same weighting procedure will be used for each data collection </w:t>
      </w:r>
      <w:r w:rsidR="00CD52A6">
        <w:rPr>
          <w:highlight w:val="yellow"/>
        </w:rPr>
        <w:t>cycle</w:t>
      </w:r>
      <w:r w:rsidR="00BF2302" w:rsidRPr="00BF2302">
        <w:rPr>
          <w:highlight w:val="yellow"/>
        </w:rPr>
        <w:t xml:space="preserve"> and for the pilot study.</w:t>
      </w:r>
      <w:r w:rsidR="00BF2302">
        <w:t xml:space="preserve"> </w:t>
      </w:r>
      <w:r w:rsidRPr="00FF5B9D">
        <w:t>Weighting will consist of the following steps:</w:t>
      </w:r>
    </w:p>
    <w:p w14:paraId="5AE473A7" w14:textId="77777777" w:rsidR="001B5E26" w:rsidRPr="00FF5B9D" w:rsidRDefault="001B5E26" w:rsidP="00323423">
      <w:pPr>
        <w:pStyle w:val="N1-1stBullet"/>
        <w:numPr>
          <w:ilvl w:val="0"/>
          <w:numId w:val="11"/>
        </w:numPr>
        <w:spacing w:after="0" w:line="480" w:lineRule="auto"/>
        <w:jc w:val="left"/>
      </w:pPr>
      <w:r w:rsidRPr="00FF5B9D">
        <w:t>Calculating household-level base weights;</w:t>
      </w:r>
    </w:p>
    <w:p w14:paraId="0935A4AA" w14:textId="77777777" w:rsidR="001B5E26" w:rsidRPr="00FF5B9D" w:rsidRDefault="001B5E26" w:rsidP="00323423">
      <w:pPr>
        <w:pStyle w:val="N1-1stBullet"/>
        <w:numPr>
          <w:ilvl w:val="0"/>
          <w:numId w:val="11"/>
        </w:numPr>
        <w:spacing w:after="0" w:line="480" w:lineRule="auto"/>
        <w:jc w:val="left"/>
      </w:pPr>
      <w:r w:rsidRPr="00FF5B9D">
        <w:t>Adjusting for multiple ways that a household can receive mail;</w:t>
      </w:r>
    </w:p>
    <w:p w14:paraId="69FABCD0" w14:textId="77777777" w:rsidR="001B5E26" w:rsidRPr="00FF5B9D" w:rsidRDefault="001B5E26" w:rsidP="00323423">
      <w:pPr>
        <w:pStyle w:val="N1-1stBullet"/>
        <w:numPr>
          <w:ilvl w:val="0"/>
          <w:numId w:val="11"/>
        </w:numPr>
        <w:spacing w:after="0" w:line="480" w:lineRule="auto"/>
        <w:jc w:val="left"/>
      </w:pPr>
      <w:r w:rsidRPr="00FF5B9D">
        <w:lastRenderedPageBreak/>
        <w:t>Adjusting for household nonresponse;</w:t>
      </w:r>
    </w:p>
    <w:p w14:paraId="532A5419" w14:textId="77777777" w:rsidR="001B5E26" w:rsidRPr="00FF5B9D" w:rsidRDefault="001B5E26" w:rsidP="00323423">
      <w:pPr>
        <w:pStyle w:val="N1-1stBullet"/>
        <w:numPr>
          <w:ilvl w:val="0"/>
          <w:numId w:val="11"/>
        </w:numPr>
        <w:spacing w:after="0" w:line="480" w:lineRule="auto"/>
        <w:jc w:val="left"/>
      </w:pPr>
      <w:r w:rsidRPr="00FF5B9D">
        <w:t>Calculating person-level initial weights;</w:t>
      </w:r>
    </w:p>
    <w:p w14:paraId="19E92970" w14:textId="77777777" w:rsidR="00955A6C" w:rsidRPr="00FF5B9D" w:rsidRDefault="001B5E26" w:rsidP="00955A6C">
      <w:pPr>
        <w:pStyle w:val="N1-1stBullet"/>
        <w:numPr>
          <w:ilvl w:val="0"/>
          <w:numId w:val="11"/>
        </w:numPr>
        <w:spacing w:after="0" w:line="480" w:lineRule="auto"/>
        <w:jc w:val="left"/>
      </w:pPr>
      <w:r w:rsidRPr="00FF5B9D">
        <w:t>Calibrating the weights to population counts (also known as control totals).</w:t>
      </w:r>
    </w:p>
    <w:p w14:paraId="20E765D0" w14:textId="77777777" w:rsidR="00955A6C" w:rsidRDefault="00955A6C" w:rsidP="00323423">
      <w:pPr>
        <w:pStyle w:val="L1-FlLSp12"/>
        <w:spacing w:line="480" w:lineRule="auto"/>
      </w:pPr>
    </w:p>
    <w:p w14:paraId="683991E9" w14:textId="77777777" w:rsidR="001B5E26" w:rsidRPr="00FF5B9D" w:rsidRDefault="001B5E26" w:rsidP="00323423">
      <w:pPr>
        <w:pStyle w:val="L1-FlLSp12"/>
        <w:spacing w:line="480" w:lineRule="auto"/>
      </w:pPr>
      <w:r w:rsidRPr="00FF5B9D">
        <w:t xml:space="preserve">The initial step in calculating weights is to attach a household-level base weight to each record in the file. The household base weight is the reciprocal of the probability of selecting the household for the survey. Note that if two different addresses would have led to the same household – for example, if a household receives mail via both a street address and a post office box – that household has twice the chance of selection of a household with only one address (and should therefore receive half the normal weight). Thus, an initial adjustment will be made to the base weights of households that have multiple ways of receiving mail (as determined by the answers to a survey question about this). </w:t>
      </w:r>
    </w:p>
    <w:p w14:paraId="039F7E13" w14:textId="77777777" w:rsidR="001B5E26" w:rsidRPr="00FF5B9D" w:rsidRDefault="001B5E26" w:rsidP="00323423">
      <w:pPr>
        <w:pStyle w:val="L1-FlLSp12"/>
        <w:spacing w:line="480" w:lineRule="auto"/>
      </w:pPr>
    </w:p>
    <w:p w14:paraId="18B45DFF" w14:textId="77777777" w:rsidR="001B5E26" w:rsidRPr="00FF5B9D" w:rsidRDefault="001B5E26" w:rsidP="00323423">
      <w:pPr>
        <w:pStyle w:val="L1-FlLSp12"/>
        <w:spacing w:line="480" w:lineRule="auto"/>
      </w:pPr>
      <w:r w:rsidRPr="00FF5B9D">
        <w:t>Next, adjustments for household nonresponse will be made within adjustment cells defined by characteristics that are known for all households in the survey, such as the sampling stratum, U.S. Census Bureau region and, as recommended by Norman and Sigman (2009), the United States Post Office classification of a household’s type of mail delivery. A nonresponse adjustment factor will be calculated for each cell as the ratio of the sum of household weights for all eligible households to the sum of the household weights for all responding households. The nonresponse adjustment factor will then be applied to the household weight of each responding household. In this way, the weights of the responding households are “weighted up” to represent the full set of responding and nonresponding households in the adjustment cell.</w:t>
      </w:r>
    </w:p>
    <w:p w14:paraId="5A86B0DD" w14:textId="77777777" w:rsidR="001B5E26" w:rsidRPr="00FF5B9D" w:rsidRDefault="001B5E26" w:rsidP="00323423">
      <w:pPr>
        <w:pStyle w:val="L1-FlLSp12"/>
        <w:spacing w:line="480" w:lineRule="auto"/>
      </w:pPr>
    </w:p>
    <w:p w14:paraId="7C3BF515" w14:textId="77777777" w:rsidR="001B5E26" w:rsidRPr="00FF5B9D" w:rsidRDefault="001B5E26" w:rsidP="00323423">
      <w:pPr>
        <w:pStyle w:val="L1-FlLSp12"/>
        <w:spacing w:line="480" w:lineRule="auto"/>
      </w:pPr>
      <w:r w:rsidRPr="00FF5B9D">
        <w:t xml:space="preserve">Each sampled adult in responding households will be assigned an initial person-level weight. The initial person-level weight is calculated by multiplying the nonresponse-adjusted household weight by the reciprocal of the sample person’s within-household probability of selection. </w:t>
      </w:r>
      <w:r w:rsidR="00955A6C">
        <w:t xml:space="preserve">Since </w:t>
      </w:r>
      <w:r w:rsidRPr="00FF5B9D">
        <w:t xml:space="preserve">only one adult is selected from a household, the initial weight for the sampled adult is equal to the nonresponse-adjusted </w:t>
      </w:r>
      <w:r w:rsidRPr="00FF5B9D">
        <w:lastRenderedPageBreak/>
        <w:t>weight times the number of eligible adults in that household. For example, if a household contains three adults and only one adult was selected, the initial weight for the selected adult is equal to the nonresponse-adjusted household weight times three.</w:t>
      </w:r>
    </w:p>
    <w:p w14:paraId="23362EED" w14:textId="77777777" w:rsidR="001B5E26" w:rsidRPr="00FF5B9D" w:rsidRDefault="001B5E26" w:rsidP="00323423">
      <w:pPr>
        <w:pStyle w:val="L1-FlLSp12"/>
        <w:spacing w:line="480" w:lineRule="auto"/>
      </w:pPr>
    </w:p>
    <w:p w14:paraId="70B2FD28" w14:textId="77777777" w:rsidR="001B5E26" w:rsidRPr="00FF5B9D" w:rsidRDefault="001B5E26" w:rsidP="00323423">
      <w:pPr>
        <w:pStyle w:val="L1-FlLSp12"/>
        <w:spacing w:line="480" w:lineRule="auto"/>
      </w:pPr>
      <w:r w:rsidRPr="00FF5B9D">
        <w:t>Finally, the person-level weights will be adjusted so that weighted counts from the survey match known national totals for selected demographic and health-related variables. The demographic variables will include age, gender, race/ethnicity, and educational attainment. The health-related variables will include health insurance status and cancer diagnoses. This is the same s</w:t>
      </w:r>
      <w:r w:rsidR="005A0C49">
        <w:t>et of variables used for HINTS III and IV</w:t>
      </w:r>
      <w:r w:rsidRPr="00FF5B9D">
        <w:t xml:space="preserve">. The American Community Survey will be the source of the control totals for demographic variables, and the National Health Information Survey will be the source of control totals for health-related variables. If the survey data differ across categories of one or more of the calibration variables, then calibrating the weights in this way can reduce the variance of resulting estimates. More importantly, calibration will help to compensate for any noncoverage of the address frame, such as for rural areas with simplified addresses that cannot be used for sampling, or for nonresponse bias that is not adjusted for by the nonresponse </w:t>
      </w:r>
      <w:r w:rsidRPr="00AC28B5">
        <w:t xml:space="preserve">adjustment procedures performed prior to calibration. As was done for the HINTS </w:t>
      </w:r>
      <w:r w:rsidR="005A0C49">
        <w:t>IV</w:t>
      </w:r>
      <w:r w:rsidRPr="00AC28B5">
        <w:t xml:space="preserve"> weighting, </w:t>
      </w:r>
      <w:r w:rsidR="00357DA8" w:rsidRPr="00AC28B5">
        <w:t xml:space="preserve">the calibration adjustments will be carried out using a </w:t>
      </w:r>
      <w:r w:rsidRPr="00AC28B5">
        <w:t xml:space="preserve">raking </w:t>
      </w:r>
      <w:r w:rsidR="00357DA8" w:rsidRPr="00AC28B5">
        <w:t>procedure.</w:t>
      </w:r>
      <w:r w:rsidR="00357DA8">
        <w:t xml:space="preserve"> </w:t>
      </w:r>
    </w:p>
    <w:p w14:paraId="1DA6D72D" w14:textId="77777777" w:rsidR="001B5E26" w:rsidRPr="00FF5B9D" w:rsidRDefault="001B5E26" w:rsidP="00323423">
      <w:pPr>
        <w:pStyle w:val="L1-FlLSp12"/>
        <w:spacing w:line="480" w:lineRule="auto"/>
      </w:pPr>
    </w:p>
    <w:p w14:paraId="2499A5B4" w14:textId="77777777" w:rsidR="001B5E26" w:rsidRPr="00FF5B9D" w:rsidRDefault="001B5E26" w:rsidP="00323423">
      <w:pPr>
        <w:pStyle w:val="L1-FlLSp12"/>
        <w:spacing w:line="480" w:lineRule="auto"/>
      </w:pPr>
      <w:r w:rsidRPr="00FF5B9D">
        <w:t xml:space="preserve">For each set of sample weights, a set of replicate weights will also be created to allow users to compute variances of survey estimates and to conduct inferential statistical analyses. Replication methods work by dividing the sample into subsamples (also referred to as replicates) that mirror the sample design. A weight is calculated for each replicate using the same procedures as used for the sampling weight. That is, the nonresponse and calibration adjustments will be replicated so the jackknife variance estimator correctly accounts for these adjustments. The survey estimate that is calculated for each replicate and variation among the subsample replicates is then used to estimate the variance </w:t>
      </w:r>
      <w:r w:rsidR="005A0C49">
        <w:t>for the survey estimates. HINTS V</w:t>
      </w:r>
      <w:r w:rsidRPr="00FF5B9D">
        <w:t xml:space="preserve"> will generate replicate weights using the jackknife procedure, in which sampled households are formed into groups reflecting the sample design and each replicate weight corresponding to dropping one </w:t>
      </w:r>
      <w:r w:rsidRPr="00FF5B9D">
        <w:lastRenderedPageBreak/>
        <w:t xml:space="preserve">group. The replicate weights can be used with a software package, such as WesVar, SUDAAN, STATA or SAS, to produce consistent variance estimators for totals, means, ratios, regression coefficients, logistic regression coefficients, etc. </w:t>
      </w:r>
    </w:p>
    <w:p w14:paraId="3576A164" w14:textId="77777777" w:rsidR="001B5E26" w:rsidRPr="00FF5B9D" w:rsidRDefault="001B5E26" w:rsidP="00323423">
      <w:pPr>
        <w:pStyle w:val="L1-FlLSp12"/>
        <w:spacing w:line="480" w:lineRule="auto"/>
      </w:pPr>
    </w:p>
    <w:p w14:paraId="231A393E" w14:textId="77777777" w:rsidR="001B5E26" w:rsidRPr="00FF5B9D" w:rsidRDefault="001B5E26" w:rsidP="00323423">
      <w:pPr>
        <w:pStyle w:val="L1-FlLSp12"/>
        <w:spacing w:line="480" w:lineRule="auto"/>
      </w:pPr>
      <w:r w:rsidRPr="00FF5B9D">
        <w:t>In case users are interested in calculating variances using the software package like SUDAAN or SPSS which uses linearization variance estimation procedures, the necessary stratification information will be made available as well.</w:t>
      </w:r>
    </w:p>
    <w:p w14:paraId="4012D70A" w14:textId="77777777" w:rsidR="001B5E26" w:rsidRPr="00FF5B9D" w:rsidRDefault="001B5E26" w:rsidP="00323423">
      <w:pPr>
        <w:pStyle w:val="P1-StandPara"/>
      </w:pPr>
    </w:p>
    <w:p w14:paraId="2DD07A78" w14:textId="77777777" w:rsidR="001B5E26" w:rsidRPr="00FF5B9D" w:rsidRDefault="001B5E26" w:rsidP="00323423">
      <w:pPr>
        <w:pStyle w:val="Heading1"/>
        <w:spacing w:after="0" w:line="480" w:lineRule="auto"/>
      </w:pPr>
      <w:bookmarkStart w:id="35" w:name="_Toc445805574"/>
      <w:r w:rsidRPr="00FF5B9D">
        <w:t>B.3</w:t>
      </w:r>
      <w:r w:rsidRPr="00FF5B9D">
        <w:tab/>
        <w:t>Methods to Maximize Response Rates and Address Nonresponse</w:t>
      </w:r>
      <w:bookmarkEnd w:id="31"/>
      <w:bookmarkEnd w:id="35"/>
      <w:r w:rsidRPr="00FF5B9D">
        <w:t xml:space="preserve"> </w:t>
      </w:r>
    </w:p>
    <w:p w14:paraId="31F70D49" w14:textId="77777777" w:rsidR="001B5E26" w:rsidRPr="00FF5B9D" w:rsidRDefault="001B5E26" w:rsidP="00323423">
      <w:pPr>
        <w:pStyle w:val="P1-StandPara"/>
        <w:ind w:firstLine="0"/>
      </w:pPr>
      <w:r w:rsidRPr="00FF5B9D">
        <w:t xml:space="preserve">To compensate for nonresponse and coverage, the estimates will be adjusted for nonresponse and will be poststratified to national totals for age, gender, race/ethnicity, education, health insurance status and cancer diagnosis.  This same set of variables </w:t>
      </w:r>
      <w:r w:rsidR="005A0C49">
        <w:t>was used for HINTS IV</w:t>
      </w:r>
      <w:r w:rsidRPr="00FF5B9D">
        <w:t>.  The national totals for health insurance status and cancer diagnosis will be taken from the National Health Interview Survey.  These are used based on the observation from prior HINTS surveys that non-respondents tend to be healthier than respondents (Cantor, 2009).</w:t>
      </w:r>
      <w:r w:rsidR="00557968" w:rsidRPr="00FF5B9D">
        <w:t xml:space="preserve">  Post survey analysis will examine the characteristics of respondents by the relative timing of the returns.  For example, methodologists will compare respondent characteristics of early returns received soon after the first mailing compared to those responding near the end of the data collection period to assess the extent to which the mailing strategy successfully engaged the cooperation of different demographic groups. </w:t>
      </w:r>
    </w:p>
    <w:p w14:paraId="6DC56C21" w14:textId="77777777" w:rsidR="001B5E26" w:rsidRPr="00FF5B9D" w:rsidRDefault="001B5E26" w:rsidP="00323423">
      <w:pPr>
        <w:pStyle w:val="P1-StandPara"/>
      </w:pPr>
    </w:p>
    <w:p w14:paraId="49D21A2F" w14:textId="77777777" w:rsidR="001B5E26" w:rsidRPr="00FF5B9D" w:rsidRDefault="001B5E26" w:rsidP="00323423">
      <w:pPr>
        <w:pStyle w:val="P1-StandPara"/>
        <w:ind w:firstLine="0"/>
      </w:pPr>
      <w:r w:rsidRPr="00FF5B9D">
        <w:t>Steps to minimize nonresponse are built into the mail study protocol. As mentioned earlier, the study will take proactive measures to help ensure that high response rate goals are met. These include the following:</w:t>
      </w:r>
    </w:p>
    <w:p w14:paraId="1C436201" w14:textId="77777777" w:rsidR="001B5E26" w:rsidRPr="00FF5B9D" w:rsidRDefault="001B5E26" w:rsidP="001B5E26">
      <w:pPr>
        <w:pStyle w:val="SL-FlLftSgl"/>
      </w:pPr>
    </w:p>
    <w:p w14:paraId="60138D8A" w14:textId="77777777" w:rsidR="001B5E26" w:rsidRPr="00AC28B5" w:rsidRDefault="001B5E26" w:rsidP="001B5E26">
      <w:pPr>
        <w:pStyle w:val="N2-2ndBullet"/>
        <w:rPr>
          <w:highlight w:val="yellow"/>
        </w:rPr>
      </w:pPr>
      <w:r w:rsidRPr="00FF5B9D">
        <w:rPr>
          <w:b/>
        </w:rPr>
        <w:t>Multiple Followup</w:t>
      </w:r>
      <w:r w:rsidR="00AC28B5">
        <w:rPr>
          <w:b/>
        </w:rPr>
        <w:t>s</w:t>
      </w:r>
      <w:r w:rsidRPr="00FF5B9D">
        <w:rPr>
          <w:b/>
        </w:rPr>
        <w:t>.</w:t>
      </w:r>
      <w:r w:rsidRPr="00FF5B9D">
        <w:t xml:space="preserve"> If a survey is not received from a designated household 2 weeks after they are sent, a postcard reminder will be sent. If a survey has not been received 2 w</w:t>
      </w:r>
      <w:r w:rsidR="00AC28B5">
        <w:t>eeks after the postcard, a second</w:t>
      </w:r>
      <w:r w:rsidRPr="00FF5B9D">
        <w:t xml:space="preserve"> remailing of the surveys will be sent</w:t>
      </w:r>
      <w:r w:rsidR="00AC28B5">
        <w:t xml:space="preserve"> using Priority Mail</w:t>
      </w:r>
      <w:r w:rsidRPr="00FF5B9D">
        <w:t xml:space="preserve">. </w:t>
      </w:r>
      <w:r w:rsidR="00AC28B5" w:rsidRPr="00AC28B5">
        <w:rPr>
          <w:highlight w:val="yellow"/>
        </w:rPr>
        <w:t>If a survey is still not received, a third survey will be sent.</w:t>
      </w:r>
    </w:p>
    <w:p w14:paraId="6929C46B" w14:textId="77777777" w:rsidR="001B5E26" w:rsidRPr="00FF5B9D" w:rsidRDefault="001B5E26" w:rsidP="001B5E26">
      <w:pPr>
        <w:pStyle w:val="N2-2ndBullet"/>
      </w:pPr>
      <w:r w:rsidRPr="00FF5B9D">
        <w:rPr>
          <w:b/>
        </w:rPr>
        <w:lastRenderedPageBreak/>
        <w:t>Use of $2 incentive.</w:t>
      </w:r>
      <w:r w:rsidRPr="00FF5B9D">
        <w:t xml:space="preserve"> As discussed in Part A, we will include a $2 incentive when the questionnaire is mailed to the household.  Prior experiments on HINTS have shown this to have an impact on response rates.</w:t>
      </w:r>
    </w:p>
    <w:p w14:paraId="02611C2F" w14:textId="77777777" w:rsidR="001B5E26" w:rsidRPr="00FF5B9D" w:rsidRDefault="001B5E26" w:rsidP="00AC28B5">
      <w:pPr>
        <w:pStyle w:val="P1-StandPara"/>
        <w:ind w:firstLine="0"/>
      </w:pPr>
      <w:r w:rsidRPr="00FF5B9D">
        <w:t xml:space="preserve">These procedures to minimize </w:t>
      </w:r>
      <w:r w:rsidRPr="00AC28B5">
        <w:t xml:space="preserve">nonresponse were used in </w:t>
      </w:r>
      <w:r w:rsidR="005A0C49">
        <w:rPr>
          <w:highlight w:val="yellow"/>
        </w:rPr>
        <w:t>HINTS IV</w:t>
      </w:r>
      <w:r w:rsidRPr="00AC28B5">
        <w:rPr>
          <w:highlight w:val="yellow"/>
        </w:rPr>
        <w:t xml:space="preserve"> and produced response rate</w:t>
      </w:r>
      <w:r w:rsidR="00AC28B5" w:rsidRPr="00AC28B5">
        <w:rPr>
          <w:highlight w:val="yellow"/>
        </w:rPr>
        <w:t>s of  35-40</w:t>
      </w:r>
      <w:r w:rsidRPr="00AC28B5">
        <w:rPr>
          <w:highlight w:val="yellow"/>
        </w:rPr>
        <w:t>%</w:t>
      </w:r>
      <w:r w:rsidRPr="00AC28B5">
        <w:rPr>
          <w:rStyle w:val="FootnoteReference"/>
          <w:highlight w:val="yellow"/>
        </w:rPr>
        <w:footnoteReference w:id="2"/>
      </w:r>
      <w:r w:rsidRPr="00AC28B5">
        <w:rPr>
          <w:highlight w:val="yellow"/>
        </w:rPr>
        <w:t>.</w:t>
      </w:r>
      <w:r w:rsidR="00AC28B5">
        <w:t xml:space="preserve">  </w:t>
      </w:r>
    </w:p>
    <w:p w14:paraId="6282EC59" w14:textId="77777777" w:rsidR="001B5E26" w:rsidRPr="00FF5B9D" w:rsidRDefault="001B5E26" w:rsidP="00323423">
      <w:pPr>
        <w:pStyle w:val="Heading2"/>
        <w:spacing w:after="0" w:line="480" w:lineRule="auto"/>
      </w:pPr>
      <w:bookmarkStart w:id="36" w:name="_Toc445805575"/>
      <w:r w:rsidRPr="00FF5B9D">
        <w:t>Addressing Nonresponse</w:t>
      </w:r>
      <w:bookmarkEnd w:id="36"/>
      <w:r w:rsidRPr="00FF5B9D">
        <w:t xml:space="preserve"> </w:t>
      </w:r>
    </w:p>
    <w:p w14:paraId="53B1F1CB" w14:textId="77777777" w:rsidR="001B5E26" w:rsidRPr="00FF5B9D" w:rsidRDefault="001B5E26" w:rsidP="00323423">
      <w:pPr>
        <w:pStyle w:val="P1-StandPara"/>
        <w:ind w:firstLine="0"/>
      </w:pPr>
      <w:bookmarkStart w:id="37" w:name="_Toc459172840"/>
      <w:bookmarkStart w:id="38" w:name="_Toc532621574"/>
      <w:bookmarkStart w:id="39" w:name="_Toc74729158"/>
      <w:r w:rsidRPr="00FF5B9D">
        <w:t xml:space="preserve">Sample weights will be provided for each completed interview to allow for unbiased estimation of national percentages. The sample weights are products of the base weight, nonresponse adjustments, and a poststratification adjustment. The </w:t>
      </w:r>
      <w:r w:rsidRPr="00FF5B9D">
        <w:rPr>
          <w:i/>
        </w:rPr>
        <w:t>base weight</w:t>
      </w:r>
      <w:r w:rsidRPr="00FF5B9D">
        <w:t xml:space="preserve"> is the reciprocal of the probability of selection of each sampled adult. The </w:t>
      </w:r>
      <w:r w:rsidRPr="00FF5B9D">
        <w:rPr>
          <w:i/>
        </w:rPr>
        <w:t>nonresponse adjustments</w:t>
      </w:r>
      <w:r w:rsidRPr="00FF5B9D">
        <w:t xml:space="preserve"> are designed to reduce the potential bias caused by differences between the responding and nonresponding population and are equal to the reciprocals of weighted response rates within carefully selected response cells. The </w:t>
      </w:r>
      <w:r w:rsidRPr="00FF5B9D">
        <w:rPr>
          <w:i/>
        </w:rPr>
        <w:t>poststratification adjustment</w:t>
      </w:r>
      <w:r w:rsidRPr="00FF5B9D">
        <w:t xml:space="preserve"> modifies the nonresponse-adjusted person-level weights to the most recent ACS totals of adults by race/ethnicity, age, region of the country, and other demographic factors. This adjustment has the effect of reducing variance. </w:t>
      </w:r>
    </w:p>
    <w:p w14:paraId="6C95D2F5" w14:textId="77777777" w:rsidR="001B5E26" w:rsidRPr="00FF5B9D" w:rsidRDefault="001B5E26" w:rsidP="00323423">
      <w:pPr>
        <w:pStyle w:val="P1-StandPara"/>
        <w:rPr>
          <w:szCs w:val="22"/>
        </w:rPr>
      </w:pPr>
    </w:p>
    <w:p w14:paraId="4ACAF584" w14:textId="77777777" w:rsidR="001B5E26" w:rsidRPr="00FF5B9D" w:rsidRDefault="001B5E26" w:rsidP="00323423">
      <w:pPr>
        <w:pStyle w:val="Heading1"/>
        <w:spacing w:after="0" w:line="480" w:lineRule="auto"/>
      </w:pPr>
      <w:bookmarkStart w:id="40" w:name="_Toc445805576"/>
      <w:r w:rsidRPr="00FF5B9D">
        <w:t>B.4</w:t>
      </w:r>
      <w:r w:rsidRPr="00FF5B9D">
        <w:tab/>
        <w:t>Test of Procedures or Methods to be Undertaken</w:t>
      </w:r>
      <w:bookmarkEnd w:id="37"/>
      <w:bookmarkEnd w:id="38"/>
      <w:bookmarkEnd w:id="39"/>
      <w:r w:rsidRPr="00FF5B9D">
        <w:t xml:space="preserve"> Proposal</w:t>
      </w:r>
      <w:bookmarkEnd w:id="40"/>
    </w:p>
    <w:p w14:paraId="6739B42C" w14:textId="77777777" w:rsidR="001B5E26" w:rsidRPr="00FF5B9D" w:rsidRDefault="003721C3" w:rsidP="003721C3">
      <w:pPr>
        <w:pStyle w:val="P1-StandPara"/>
        <w:ind w:firstLine="0"/>
      </w:pPr>
      <w:r w:rsidRPr="003721C3">
        <w:rPr>
          <w:highlight w:val="yellow"/>
        </w:rPr>
        <w:t>HINTS has traditionally included methodological substudies to guide future d</w:t>
      </w:r>
      <w:r w:rsidR="005A0C49">
        <w:rPr>
          <w:highlight w:val="yellow"/>
        </w:rPr>
        <w:t>ata collection efforts.  HINTS IV</w:t>
      </w:r>
      <w:r w:rsidRPr="003721C3">
        <w:rPr>
          <w:highlight w:val="yellow"/>
        </w:rPr>
        <w:t xml:space="preserve"> conducted substudies on within-household respondent selection, survey cover variations, survey question formatting options, and multiple variations on the mailing of Spanish materials to potentially Spanis</w:t>
      </w:r>
      <w:r w:rsidR="005A0C49">
        <w:rPr>
          <w:highlight w:val="yellow"/>
        </w:rPr>
        <w:t>h-speaking households.   HINTS V</w:t>
      </w:r>
      <w:r w:rsidRPr="003721C3">
        <w:rPr>
          <w:highlight w:val="yellow"/>
        </w:rPr>
        <w:t xml:space="preserve"> will likely include methodological substudies as part of each cycle of data col</w:t>
      </w:r>
      <w:r w:rsidR="005A0C49">
        <w:rPr>
          <w:highlight w:val="yellow"/>
        </w:rPr>
        <w:t>lection.  For example, HINTS V</w:t>
      </w:r>
      <w:r>
        <w:rPr>
          <w:highlight w:val="yellow"/>
        </w:rPr>
        <w:t xml:space="preserve"> may</w:t>
      </w:r>
      <w:r w:rsidR="001B5E26" w:rsidRPr="003721C3">
        <w:rPr>
          <w:highlight w:val="yellow"/>
        </w:rPr>
        <w:t xml:space="preserve"> consider testing two or more variations of questionnaire items.</w:t>
      </w:r>
      <w:r w:rsidR="001B5E26" w:rsidRPr="00FF5B9D">
        <w:t xml:space="preserve">  The objective is to improve reliability and validity of the data, as well as to simplify questions to reduce burden.  We illustrate below examples of questionnaire design issues that would be amenable to a field experiment. This list is not meant to be either definitive or exhaustive. It is </w:t>
      </w:r>
      <w:r w:rsidR="001B5E26" w:rsidRPr="00FF5B9D">
        <w:lastRenderedPageBreak/>
        <w:t>intended to provide concrete illustrations of how field experiments could be used to advance the HINTS research agenda.  At the time the OMB package is submitted for particular cycles, the specific experiments that are planned will be submitted.</w:t>
      </w:r>
    </w:p>
    <w:p w14:paraId="2BC1F96A" w14:textId="77777777" w:rsidR="001B5E26" w:rsidRPr="00FF5B9D" w:rsidRDefault="001B5E26" w:rsidP="001B5E26">
      <w:pPr>
        <w:pStyle w:val="N1-1stBullet"/>
        <w:tabs>
          <w:tab w:val="num" w:pos="1152"/>
        </w:tabs>
        <w:jc w:val="left"/>
      </w:pPr>
      <w:r w:rsidRPr="00FF5B9D">
        <w:rPr>
          <w:b/>
        </w:rPr>
        <w:t>-</w:t>
      </w:r>
      <w:r w:rsidRPr="00FF5B9D">
        <w:rPr>
          <w:b/>
        </w:rPr>
        <w:tab/>
        <w:t>Question Wording.</w:t>
      </w:r>
      <w:r w:rsidRPr="00FF5B9D">
        <w:t xml:space="preserve"> For any type of self-administered questionnaire, there is a tension between being precise and keeping items simple. Precision usually requires providing more conditions and definitions to the respondent. One possible type of experiment would be to compare alternative wordings, one using precise terminology and the other using more simplified language. </w:t>
      </w:r>
    </w:p>
    <w:p w14:paraId="4B8A33E5" w14:textId="77777777" w:rsidR="001B5E26" w:rsidRPr="00FF5B9D" w:rsidRDefault="001B5E26" w:rsidP="001B5E26">
      <w:pPr>
        <w:pStyle w:val="N1-1stBullet"/>
        <w:ind w:firstLine="0"/>
      </w:pPr>
      <w:r w:rsidRPr="00FF5B9D">
        <w:t xml:space="preserve">We expect that HINTS will be developing new items related to knowledge, attitudes and behaviors related to health communications. For example, development of scales related to opinions about different cancer communication methods, using a series of items might be created, with alternative wordings resulting from the initial questionnaire development process. these alternatives could be compared in a field test. </w:t>
      </w:r>
    </w:p>
    <w:p w14:paraId="0FF5B09C" w14:textId="77777777" w:rsidR="001B5E26" w:rsidRPr="00FF5B9D" w:rsidRDefault="001B5E26" w:rsidP="001B5E26">
      <w:pPr>
        <w:pStyle w:val="N1-1stBullet"/>
        <w:tabs>
          <w:tab w:val="num" w:pos="1152"/>
        </w:tabs>
        <w:jc w:val="left"/>
      </w:pPr>
      <w:r w:rsidRPr="00FF5B9D">
        <w:rPr>
          <w:b/>
        </w:rPr>
        <w:t>-</w:t>
      </w:r>
      <w:r w:rsidRPr="00FF5B9D">
        <w:rPr>
          <w:b/>
        </w:rPr>
        <w:tab/>
        <w:t xml:space="preserve">Open vs. Closed-ended Questions. </w:t>
      </w:r>
      <w:r w:rsidR="00FC447C" w:rsidRPr="00FF5B9D">
        <w:t>HINT</w:t>
      </w:r>
      <w:r w:rsidR="003721C3">
        <w:t xml:space="preserve">S has usually </w:t>
      </w:r>
      <w:r w:rsidRPr="00FF5B9D">
        <w:t>contained a number of questions that included a relatively long list of response alternatives, including where individuals went for health information, what type of cancer the person had, an</w:t>
      </w:r>
      <w:r w:rsidR="003721C3">
        <w:t>d hearing of cancer tests</w:t>
      </w:r>
      <w:r w:rsidRPr="00FF5B9D">
        <w:t xml:space="preserve">. Similarly, </w:t>
      </w:r>
      <w:r w:rsidR="00FC447C" w:rsidRPr="00FF5B9D">
        <w:t>HIN</w:t>
      </w:r>
      <w:r w:rsidR="003721C3">
        <w:t>TS has</w:t>
      </w:r>
      <w:r w:rsidRPr="00FF5B9D">
        <w:t xml:space="preserve"> included items with ordinal response categories that asked “how long ago” or “when in the f</w:t>
      </w:r>
      <w:r w:rsidR="003721C3">
        <w:t xml:space="preserve">uture” something (might) happen.  </w:t>
      </w:r>
      <w:r w:rsidRPr="00FF5B9D">
        <w:t>The form of these response alternatives may have an effect on estimates (Schwarz, et al, 1985).</w:t>
      </w:r>
    </w:p>
    <w:p w14:paraId="5F851109" w14:textId="77777777" w:rsidR="001B5E26" w:rsidRPr="00FF5B9D" w:rsidRDefault="001B5E26" w:rsidP="001B5E26">
      <w:pPr>
        <w:pStyle w:val="N1-1stBullet"/>
        <w:tabs>
          <w:tab w:val="num" w:pos="1152"/>
        </w:tabs>
        <w:jc w:val="left"/>
      </w:pPr>
      <w:r w:rsidRPr="00FF5B9D">
        <w:rPr>
          <w:b/>
        </w:rPr>
        <w:t>-</w:t>
      </w:r>
      <w:r w:rsidRPr="00FF5B9D">
        <w:rPr>
          <w:b/>
        </w:rPr>
        <w:tab/>
        <w:t>Use and Placement of Definitions.</w:t>
      </w:r>
      <w:r w:rsidRPr="00FF5B9D">
        <w:t xml:space="preserve"> Inevitably, there are technical terms or concepts that cannot be communicated by the question itself. On </w:t>
      </w:r>
      <w:r w:rsidR="005A0C49">
        <w:t>HINTS IV</w:t>
      </w:r>
      <w:r w:rsidRPr="00FF5B9D">
        <w:t xml:space="preserve">, for example, the nutrition section included highly visible definitions of the serving sizes. </w:t>
      </w:r>
      <w:r w:rsidR="005A0C49">
        <w:t>On HINTS III</w:t>
      </w:r>
      <w:r w:rsidR="003721C3">
        <w:t>, d</w:t>
      </w:r>
      <w:r w:rsidRPr="00FF5B9D">
        <w:t>efinitions were provided for stool blood occult tests, sigmoidoscopy and colonoscopy. Alternative forms and displays for these definitions could be tested to measure if respondents are using them.</w:t>
      </w:r>
    </w:p>
    <w:p w14:paraId="0EEB613C" w14:textId="77777777" w:rsidR="001B5E26" w:rsidRPr="00FF5B9D" w:rsidRDefault="001B5E26" w:rsidP="001B5E26">
      <w:pPr>
        <w:pStyle w:val="N1-1stBullet"/>
        <w:tabs>
          <w:tab w:val="num" w:pos="1152"/>
        </w:tabs>
        <w:jc w:val="left"/>
      </w:pPr>
      <w:r w:rsidRPr="00FF5B9D">
        <w:rPr>
          <w:b/>
        </w:rPr>
        <w:t>-</w:t>
      </w:r>
      <w:r w:rsidRPr="00FF5B9D">
        <w:rPr>
          <w:b/>
        </w:rPr>
        <w:tab/>
        <w:t>Context and Order Effects.</w:t>
      </w:r>
      <w:r w:rsidRPr="00FF5B9D">
        <w:t xml:space="preserve"> Many of the items included on HINTS are attitudes, subjective assessments and estimates of “factual” items that are difficult to define (e.g., awareness; communication activities). These items are particularly subject to order and context effects (Tourangeau, et al., 2000). Experimentation might include testing for these types of effects on key HINTS items. With different combinations of items on different questionnaires, it might be important to measure if these have effects on the measures.</w:t>
      </w:r>
    </w:p>
    <w:bookmarkEnd w:id="32"/>
    <w:bookmarkEnd w:id="33"/>
    <w:bookmarkEnd w:id="34"/>
    <w:p w14:paraId="76FE01E7" w14:textId="77777777" w:rsidR="00DF3532" w:rsidRPr="00E719FE" w:rsidRDefault="00E719FE" w:rsidP="00E719FE">
      <w:pPr>
        <w:pStyle w:val="P1-StandPara"/>
        <w:ind w:firstLine="0"/>
      </w:pPr>
      <w:r w:rsidRPr="00E719FE">
        <w:rPr>
          <w:highlight w:val="yellow"/>
        </w:rPr>
        <w:t>As described above, HINTS is also planning to conduct a pilot study of a sampling procedure designed to identify smokers.  The results of this pilot will inform future HINTS sampling plans.</w:t>
      </w:r>
    </w:p>
    <w:p w14:paraId="099BE339" w14:textId="77777777" w:rsidR="00E719FE" w:rsidRPr="00E719FE" w:rsidRDefault="00E719FE" w:rsidP="00E719FE">
      <w:pPr>
        <w:pStyle w:val="P1-StandPara"/>
        <w:ind w:firstLine="0"/>
      </w:pPr>
    </w:p>
    <w:p w14:paraId="3C68AF30" w14:textId="77777777" w:rsidR="001B5E26" w:rsidRPr="00FF5B9D" w:rsidRDefault="001B5E26" w:rsidP="00323423">
      <w:pPr>
        <w:pStyle w:val="Heading1"/>
        <w:spacing w:after="0" w:line="480" w:lineRule="auto"/>
      </w:pPr>
      <w:bookmarkStart w:id="41" w:name="_Toc445805578"/>
      <w:r w:rsidRPr="00FF5B9D">
        <w:lastRenderedPageBreak/>
        <w:t>B.5</w:t>
      </w:r>
      <w:r w:rsidRPr="00FF5B9D">
        <w:tab/>
        <w:t>Individuals Consulted on Statistical Aspects and/or Analyzing Data</w:t>
      </w:r>
      <w:bookmarkEnd w:id="41"/>
    </w:p>
    <w:p w14:paraId="1715A818" w14:textId="77777777" w:rsidR="001B5E26" w:rsidRPr="00FF5B9D" w:rsidRDefault="001B5E26" w:rsidP="005223F5">
      <w:pPr>
        <w:pStyle w:val="P1-StandPara"/>
        <w:ind w:firstLine="0"/>
      </w:pPr>
      <w:r w:rsidRPr="005A0C49">
        <w:t xml:space="preserve">A number </w:t>
      </w:r>
      <w:r w:rsidR="00CB7F0C">
        <w:t>of individuals both within</w:t>
      </w:r>
      <w:r w:rsidRPr="005A0C49">
        <w:t xml:space="preserve"> NCI </w:t>
      </w:r>
      <w:r w:rsidR="00CB7F0C">
        <w:t xml:space="preserve">and from other agencies/organizations </w:t>
      </w:r>
      <w:r w:rsidRPr="005A0C49">
        <w:t>were critical in developing the research plan, the conceptual framework, survey questions, and sampling strategies underlying HINTS. These individuals, who will also be involved in analysis, included:</w:t>
      </w:r>
    </w:p>
    <w:p w14:paraId="34DE6A86" w14:textId="77777777" w:rsidR="00CB7F0C" w:rsidRPr="00CB7F0C" w:rsidRDefault="00CB7F0C" w:rsidP="00CB7F0C">
      <w:pPr>
        <w:pStyle w:val="SL-FlLftSgl"/>
        <w:jc w:val="left"/>
        <w:rPr>
          <w:b/>
        </w:rPr>
      </w:pPr>
      <w:r w:rsidRPr="00CB7F0C">
        <w:rPr>
          <w:b/>
        </w:rPr>
        <w:t>NCI</w:t>
      </w:r>
    </w:p>
    <w:p w14:paraId="53A96D4C" w14:textId="77777777" w:rsidR="00CB7F0C" w:rsidRDefault="00CB7F0C" w:rsidP="00CB7F0C">
      <w:pPr>
        <w:pStyle w:val="SL-FlLftSgl"/>
        <w:jc w:val="left"/>
      </w:pPr>
    </w:p>
    <w:p w14:paraId="25D2D58D" w14:textId="77777777" w:rsidR="002D3AC9" w:rsidRPr="00963AD0" w:rsidRDefault="002D3AC9" w:rsidP="002D3AC9">
      <w:pPr>
        <w:jc w:val="left"/>
        <w:rPr>
          <w:szCs w:val="22"/>
        </w:rPr>
      </w:pPr>
      <w:r w:rsidRPr="00963AD0">
        <w:rPr>
          <w:szCs w:val="22"/>
        </w:rPr>
        <w:t>Erik M. Augustson, Ph.D., MPH</w:t>
      </w:r>
    </w:p>
    <w:p w14:paraId="24574D01" w14:textId="77777777" w:rsidR="002D3AC9" w:rsidRPr="00963AD0" w:rsidRDefault="002D3AC9" w:rsidP="002D3AC9">
      <w:pPr>
        <w:jc w:val="left"/>
        <w:rPr>
          <w:szCs w:val="22"/>
        </w:rPr>
      </w:pPr>
      <w:r w:rsidRPr="00963AD0">
        <w:rPr>
          <w:szCs w:val="22"/>
        </w:rPr>
        <w:t>Tobacco Control Research Branch</w:t>
      </w:r>
    </w:p>
    <w:p w14:paraId="4431DD7B" w14:textId="77777777" w:rsidR="002D3AC9" w:rsidRPr="00963AD0" w:rsidRDefault="002D3AC9" w:rsidP="002D3AC9">
      <w:pPr>
        <w:jc w:val="left"/>
        <w:rPr>
          <w:szCs w:val="22"/>
        </w:rPr>
      </w:pPr>
      <w:r w:rsidRPr="00963AD0">
        <w:rPr>
          <w:szCs w:val="22"/>
        </w:rPr>
        <w:t>240-276-6774</w:t>
      </w:r>
    </w:p>
    <w:p w14:paraId="480A816A" w14:textId="77777777" w:rsidR="002D3AC9" w:rsidRPr="00963AD0" w:rsidRDefault="002D3AC9" w:rsidP="002D3AC9">
      <w:pPr>
        <w:jc w:val="left"/>
        <w:rPr>
          <w:szCs w:val="22"/>
        </w:rPr>
      </w:pPr>
    </w:p>
    <w:p w14:paraId="56138F28" w14:textId="77777777" w:rsidR="002D3AC9" w:rsidRPr="00963AD0" w:rsidRDefault="002D3AC9" w:rsidP="002D3AC9">
      <w:pPr>
        <w:jc w:val="left"/>
        <w:rPr>
          <w:szCs w:val="22"/>
        </w:rPr>
      </w:pPr>
      <w:r w:rsidRPr="00963AD0">
        <w:rPr>
          <w:szCs w:val="22"/>
        </w:rPr>
        <w:t>Kelly Blake, ScD</w:t>
      </w:r>
    </w:p>
    <w:p w14:paraId="4767CE98" w14:textId="77777777" w:rsidR="002D3AC9" w:rsidRPr="00963AD0" w:rsidRDefault="002D3AC9" w:rsidP="002D3AC9">
      <w:pPr>
        <w:jc w:val="left"/>
        <w:rPr>
          <w:szCs w:val="22"/>
        </w:rPr>
      </w:pPr>
      <w:r w:rsidRPr="00963AD0">
        <w:rPr>
          <w:szCs w:val="22"/>
        </w:rPr>
        <w:t>Health Communication and Informatics Research Branch</w:t>
      </w:r>
    </w:p>
    <w:p w14:paraId="746D679F" w14:textId="77777777" w:rsidR="002D3AC9" w:rsidRPr="00963AD0" w:rsidRDefault="002D3AC9" w:rsidP="002D3AC9">
      <w:pPr>
        <w:jc w:val="left"/>
        <w:rPr>
          <w:szCs w:val="22"/>
        </w:rPr>
      </w:pPr>
      <w:r w:rsidRPr="00963AD0">
        <w:rPr>
          <w:szCs w:val="22"/>
        </w:rPr>
        <w:t>240-276-6839</w:t>
      </w:r>
    </w:p>
    <w:p w14:paraId="242D26C4" w14:textId="77777777" w:rsidR="002D3AC9" w:rsidRPr="00963AD0" w:rsidRDefault="002D3AC9" w:rsidP="002D3AC9">
      <w:pPr>
        <w:jc w:val="left"/>
        <w:rPr>
          <w:szCs w:val="22"/>
        </w:rPr>
      </w:pPr>
    </w:p>
    <w:p w14:paraId="7334E52C" w14:textId="77777777" w:rsidR="002D3AC9" w:rsidRPr="00963AD0" w:rsidRDefault="002D3AC9" w:rsidP="002D3AC9">
      <w:pPr>
        <w:jc w:val="left"/>
        <w:rPr>
          <w:szCs w:val="22"/>
        </w:rPr>
      </w:pPr>
      <w:r w:rsidRPr="00963AD0">
        <w:rPr>
          <w:szCs w:val="22"/>
        </w:rPr>
        <w:t>Sylvia Chou, PhD, MPH</w:t>
      </w:r>
    </w:p>
    <w:p w14:paraId="4F48BD1F" w14:textId="77777777" w:rsidR="002D3AC9" w:rsidRPr="00963AD0" w:rsidRDefault="002D3AC9" w:rsidP="002D3AC9">
      <w:pPr>
        <w:jc w:val="left"/>
        <w:rPr>
          <w:szCs w:val="22"/>
        </w:rPr>
      </w:pPr>
      <w:r w:rsidRPr="00963AD0">
        <w:rPr>
          <w:szCs w:val="22"/>
        </w:rPr>
        <w:t>Health Communication and Informatics Research Branch</w:t>
      </w:r>
    </w:p>
    <w:p w14:paraId="348C3D15" w14:textId="77777777" w:rsidR="002D3AC9" w:rsidRPr="00963AD0" w:rsidRDefault="002D3AC9" w:rsidP="002D3AC9">
      <w:pPr>
        <w:jc w:val="left"/>
        <w:rPr>
          <w:szCs w:val="22"/>
        </w:rPr>
      </w:pPr>
      <w:r w:rsidRPr="00963AD0">
        <w:rPr>
          <w:szCs w:val="22"/>
        </w:rPr>
        <w:t>240-276-6954</w:t>
      </w:r>
    </w:p>
    <w:p w14:paraId="03101AE9" w14:textId="77777777" w:rsidR="002D3AC9" w:rsidRPr="00963AD0" w:rsidRDefault="002D3AC9" w:rsidP="002D3AC9">
      <w:pPr>
        <w:jc w:val="left"/>
        <w:rPr>
          <w:szCs w:val="22"/>
        </w:rPr>
      </w:pPr>
    </w:p>
    <w:p w14:paraId="1BE50CAD" w14:textId="77777777" w:rsidR="002D3AC9" w:rsidRPr="00963AD0" w:rsidRDefault="002D3AC9" w:rsidP="002D3AC9">
      <w:pPr>
        <w:jc w:val="left"/>
        <w:rPr>
          <w:szCs w:val="22"/>
        </w:rPr>
      </w:pPr>
      <w:r w:rsidRPr="00963AD0">
        <w:rPr>
          <w:szCs w:val="22"/>
        </w:rPr>
        <w:t>Robert T. Croyle, Ph.D.</w:t>
      </w:r>
    </w:p>
    <w:p w14:paraId="3D240CE3" w14:textId="77777777" w:rsidR="002D3AC9" w:rsidRPr="00963AD0" w:rsidRDefault="002D3AC9" w:rsidP="002D3AC9">
      <w:pPr>
        <w:jc w:val="left"/>
        <w:rPr>
          <w:szCs w:val="22"/>
        </w:rPr>
      </w:pPr>
      <w:r w:rsidRPr="00963AD0">
        <w:rPr>
          <w:szCs w:val="22"/>
        </w:rPr>
        <w:t>Director, Division of Cancer Control and Population Sciences</w:t>
      </w:r>
    </w:p>
    <w:p w14:paraId="2B0F283F" w14:textId="77777777" w:rsidR="002D3AC9" w:rsidRPr="00963AD0" w:rsidRDefault="002D3AC9" w:rsidP="002D3AC9">
      <w:pPr>
        <w:ind w:left="360" w:hanging="360"/>
        <w:jc w:val="left"/>
        <w:rPr>
          <w:szCs w:val="22"/>
        </w:rPr>
      </w:pPr>
      <w:r w:rsidRPr="00963AD0">
        <w:rPr>
          <w:szCs w:val="22"/>
        </w:rPr>
        <w:t>240-276-6690</w:t>
      </w:r>
    </w:p>
    <w:p w14:paraId="7F87D32C" w14:textId="77777777" w:rsidR="002D3AC9" w:rsidRPr="00963AD0" w:rsidRDefault="002D3AC9" w:rsidP="002D3AC9">
      <w:pPr>
        <w:ind w:left="360" w:hanging="360"/>
        <w:jc w:val="left"/>
        <w:rPr>
          <w:szCs w:val="22"/>
        </w:rPr>
      </w:pPr>
    </w:p>
    <w:p w14:paraId="18BD3A78" w14:textId="77777777" w:rsidR="002D3AC9" w:rsidRPr="00963AD0" w:rsidRDefault="002D3AC9" w:rsidP="002D3AC9">
      <w:pPr>
        <w:jc w:val="left"/>
        <w:rPr>
          <w:szCs w:val="22"/>
        </w:rPr>
      </w:pPr>
      <w:r w:rsidRPr="00963AD0">
        <w:rPr>
          <w:szCs w:val="22"/>
        </w:rPr>
        <w:t>Bradford W. Hesse, Ph.D.</w:t>
      </w:r>
    </w:p>
    <w:p w14:paraId="2E78CE42" w14:textId="77777777" w:rsidR="002D3AC9" w:rsidRPr="00963AD0" w:rsidRDefault="002D3AC9" w:rsidP="002D3AC9">
      <w:pPr>
        <w:jc w:val="left"/>
        <w:rPr>
          <w:szCs w:val="22"/>
        </w:rPr>
      </w:pPr>
      <w:r w:rsidRPr="00963AD0">
        <w:rPr>
          <w:szCs w:val="22"/>
        </w:rPr>
        <w:t>HINTS Project Officer</w:t>
      </w:r>
    </w:p>
    <w:p w14:paraId="6B8D8A72" w14:textId="77777777" w:rsidR="002D3AC9" w:rsidRPr="00963AD0" w:rsidRDefault="002D3AC9" w:rsidP="002D3AC9">
      <w:pPr>
        <w:jc w:val="left"/>
        <w:rPr>
          <w:szCs w:val="22"/>
        </w:rPr>
      </w:pPr>
      <w:r w:rsidRPr="00963AD0">
        <w:rPr>
          <w:szCs w:val="22"/>
        </w:rPr>
        <w:t>Chief, Health Communication and Informatics Research Branch</w:t>
      </w:r>
    </w:p>
    <w:p w14:paraId="30053AC4" w14:textId="77777777" w:rsidR="002D3AC9" w:rsidRPr="00963AD0" w:rsidRDefault="002D3AC9" w:rsidP="002D3AC9">
      <w:pPr>
        <w:jc w:val="left"/>
        <w:rPr>
          <w:szCs w:val="22"/>
        </w:rPr>
      </w:pPr>
      <w:r w:rsidRPr="00963AD0">
        <w:rPr>
          <w:szCs w:val="22"/>
        </w:rPr>
        <w:t>240-276-6721</w:t>
      </w:r>
    </w:p>
    <w:p w14:paraId="53AC34B6" w14:textId="77777777" w:rsidR="002D3AC9" w:rsidRPr="00963AD0" w:rsidRDefault="002D3AC9" w:rsidP="002D3AC9">
      <w:pPr>
        <w:jc w:val="left"/>
        <w:rPr>
          <w:szCs w:val="22"/>
        </w:rPr>
      </w:pPr>
    </w:p>
    <w:p w14:paraId="106F1D36" w14:textId="77777777" w:rsidR="002D3AC9" w:rsidRPr="00963AD0" w:rsidRDefault="002D3AC9" w:rsidP="002D3AC9">
      <w:pPr>
        <w:jc w:val="left"/>
        <w:rPr>
          <w:szCs w:val="22"/>
        </w:rPr>
      </w:pPr>
      <w:r w:rsidRPr="00963AD0">
        <w:rPr>
          <w:szCs w:val="22"/>
        </w:rPr>
        <w:t>Annette Kaufman, PhD, MPH</w:t>
      </w:r>
    </w:p>
    <w:p w14:paraId="11C05419" w14:textId="77777777" w:rsidR="002D3AC9" w:rsidRPr="00963AD0" w:rsidRDefault="002D3AC9" w:rsidP="002D3AC9">
      <w:pPr>
        <w:jc w:val="left"/>
        <w:rPr>
          <w:szCs w:val="22"/>
        </w:rPr>
      </w:pPr>
      <w:r w:rsidRPr="00963AD0">
        <w:rPr>
          <w:szCs w:val="22"/>
        </w:rPr>
        <w:t>Tobacco Control Research Branch</w:t>
      </w:r>
    </w:p>
    <w:p w14:paraId="1A66EE65" w14:textId="77777777" w:rsidR="002D3AC9" w:rsidRPr="00963AD0" w:rsidRDefault="002D3AC9" w:rsidP="002D3AC9">
      <w:pPr>
        <w:jc w:val="left"/>
        <w:rPr>
          <w:szCs w:val="22"/>
        </w:rPr>
      </w:pPr>
      <w:r w:rsidRPr="00963AD0">
        <w:rPr>
          <w:szCs w:val="22"/>
        </w:rPr>
        <w:t>240-276-6706</w:t>
      </w:r>
    </w:p>
    <w:p w14:paraId="79D44BB7" w14:textId="77777777" w:rsidR="002D3AC9" w:rsidRPr="00963AD0" w:rsidRDefault="002D3AC9" w:rsidP="002D3AC9">
      <w:pPr>
        <w:jc w:val="left"/>
        <w:rPr>
          <w:szCs w:val="22"/>
        </w:rPr>
      </w:pPr>
    </w:p>
    <w:p w14:paraId="6069A011" w14:textId="77777777" w:rsidR="002D3AC9" w:rsidRPr="00963AD0" w:rsidRDefault="002D3AC9" w:rsidP="002D3AC9">
      <w:pPr>
        <w:jc w:val="left"/>
        <w:rPr>
          <w:szCs w:val="22"/>
        </w:rPr>
      </w:pPr>
      <w:r w:rsidRPr="00963AD0">
        <w:rPr>
          <w:szCs w:val="22"/>
        </w:rPr>
        <w:t>William Klein, PhD</w:t>
      </w:r>
    </w:p>
    <w:p w14:paraId="4F2E9E4A" w14:textId="77777777" w:rsidR="002D3AC9" w:rsidRPr="00963AD0" w:rsidRDefault="002D3AC9" w:rsidP="002D3AC9">
      <w:pPr>
        <w:jc w:val="left"/>
        <w:rPr>
          <w:szCs w:val="22"/>
        </w:rPr>
      </w:pPr>
      <w:r w:rsidRPr="00963AD0">
        <w:rPr>
          <w:szCs w:val="22"/>
        </w:rPr>
        <w:t>Associate Director, Behavioral Research Program</w:t>
      </w:r>
    </w:p>
    <w:p w14:paraId="4A7B6F39" w14:textId="77777777" w:rsidR="002D3AC9" w:rsidRPr="00963AD0" w:rsidRDefault="002D3AC9" w:rsidP="002D3AC9">
      <w:pPr>
        <w:jc w:val="left"/>
        <w:rPr>
          <w:szCs w:val="22"/>
        </w:rPr>
      </w:pPr>
      <w:r w:rsidRPr="00963AD0">
        <w:rPr>
          <w:szCs w:val="22"/>
        </w:rPr>
        <w:t>240-276-6972</w:t>
      </w:r>
    </w:p>
    <w:p w14:paraId="7C66BE96" w14:textId="77777777" w:rsidR="002D3AC9" w:rsidRPr="00963AD0" w:rsidRDefault="002D3AC9" w:rsidP="002D3AC9">
      <w:pPr>
        <w:jc w:val="left"/>
        <w:rPr>
          <w:szCs w:val="22"/>
        </w:rPr>
      </w:pPr>
    </w:p>
    <w:p w14:paraId="0CAA7B61" w14:textId="77777777" w:rsidR="002D3AC9" w:rsidRPr="00963AD0" w:rsidRDefault="002D3AC9" w:rsidP="002D3AC9">
      <w:pPr>
        <w:jc w:val="left"/>
        <w:rPr>
          <w:szCs w:val="22"/>
        </w:rPr>
      </w:pPr>
      <w:r w:rsidRPr="00963AD0">
        <w:rPr>
          <w:szCs w:val="22"/>
        </w:rPr>
        <w:t>Benmei Liu, PhD</w:t>
      </w:r>
    </w:p>
    <w:p w14:paraId="034BE786" w14:textId="77777777" w:rsidR="002D3AC9" w:rsidRPr="00963AD0" w:rsidRDefault="002D3AC9" w:rsidP="002D3AC9">
      <w:pPr>
        <w:jc w:val="left"/>
        <w:rPr>
          <w:szCs w:val="22"/>
        </w:rPr>
      </w:pPr>
      <w:r w:rsidRPr="00963AD0">
        <w:rPr>
          <w:szCs w:val="22"/>
        </w:rPr>
        <w:t>Statistical Methodology and Applications Branch</w:t>
      </w:r>
    </w:p>
    <w:p w14:paraId="11FDA466" w14:textId="77777777" w:rsidR="002D3AC9" w:rsidRPr="00963AD0" w:rsidRDefault="002D3AC9" w:rsidP="002D3AC9">
      <w:pPr>
        <w:jc w:val="left"/>
        <w:rPr>
          <w:szCs w:val="22"/>
        </w:rPr>
      </w:pPr>
      <w:r w:rsidRPr="00963AD0">
        <w:rPr>
          <w:szCs w:val="22"/>
        </w:rPr>
        <w:t>240-276-6718</w:t>
      </w:r>
    </w:p>
    <w:p w14:paraId="4A9890AF" w14:textId="77777777" w:rsidR="002D3AC9" w:rsidRPr="00963AD0" w:rsidRDefault="002D3AC9" w:rsidP="002D3AC9">
      <w:pPr>
        <w:jc w:val="left"/>
        <w:rPr>
          <w:szCs w:val="22"/>
        </w:rPr>
      </w:pPr>
    </w:p>
    <w:p w14:paraId="59F359D2" w14:textId="77777777" w:rsidR="002D3AC9" w:rsidRPr="00963AD0" w:rsidRDefault="002D3AC9" w:rsidP="002D3AC9">
      <w:pPr>
        <w:jc w:val="left"/>
        <w:rPr>
          <w:szCs w:val="22"/>
        </w:rPr>
      </w:pPr>
      <w:r w:rsidRPr="00963AD0">
        <w:rPr>
          <w:szCs w:val="22"/>
        </w:rPr>
        <w:t>Richard P. Moser, Ph.D.</w:t>
      </w:r>
    </w:p>
    <w:p w14:paraId="67C9BBBB" w14:textId="77777777" w:rsidR="002D3AC9" w:rsidRPr="00963AD0" w:rsidRDefault="002D3AC9" w:rsidP="002D3AC9">
      <w:pPr>
        <w:jc w:val="left"/>
        <w:rPr>
          <w:szCs w:val="22"/>
        </w:rPr>
      </w:pPr>
      <w:r w:rsidRPr="00963AD0">
        <w:rPr>
          <w:szCs w:val="22"/>
        </w:rPr>
        <w:t>Science of Research and Technology Branch</w:t>
      </w:r>
    </w:p>
    <w:p w14:paraId="4133EB19" w14:textId="77777777" w:rsidR="002D3AC9" w:rsidRPr="00963AD0" w:rsidRDefault="002D3AC9" w:rsidP="002D3AC9">
      <w:pPr>
        <w:jc w:val="left"/>
        <w:rPr>
          <w:szCs w:val="22"/>
        </w:rPr>
      </w:pPr>
      <w:r w:rsidRPr="00963AD0">
        <w:rPr>
          <w:szCs w:val="22"/>
        </w:rPr>
        <w:t>240-276-6915</w:t>
      </w:r>
    </w:p>
    <w:p w14:paraId="7FCEE2B6" w14:textId="77777777" w:rsidR="002D3AC9" w:rsidRPr="00963AD0" w:rsidRDefault="002D3AC9" w:rsidP="002D3AC9">
      <w:pPr>
        <w:jc w:val="left"/>
        <w:rPr>
          <w:szCs w:val="22"/>
        </w:rPr>
      </w:pPr>
    </w:p>
    <w:p w14:paraId="3EDC6F01" w14:textId="77777777" w:rsidR="002D3AC9" w:rsidRPr="00963AD0" w:rsidRDefault="002D3AC9" w:rsidP="002D3AC9">
      <w:pPr>
        <w:jc w:val="left"/>
        <w:rPr>
          <w:szCs w:val="22"/>
        </w:rPr>
      </w:pPr>
      <w:r w:rsidRPr="00963AD0">
        <w:rPr>
          <w:szCs w:val="22"/>
        </w:rPr>
        <w:t>Gordon Willis, PhD</w:t>
      </w:r>
    </w:p>
    <w:p w14:paraId="299B6231" w14:textId="77777777" w:rsidR="002D3AC9" w:rsidRPr="00963AD0" w:rsidRDefault="002D3AC9" w:rsidP="002D3AC9">
      <w:pPr>
        <w:jc w:val="left"/>
        <w:rPr>
          <w:szCs w:val="22"/>
        </w:rPr>
      </w:pPr>
      <w:r w:rsidRPr="00963AD0">
        <w:rPr>
          <w:szCs w:val="22"/>
        </w:rPr>
        <w:t>Applied Research Program</w:t>
      </w:r>
    </w:p>
    <w:p w14:paraId="4912A9B2" w14:textId="77777777" w:rsidR="002D3AC9" w:rsidRPr="00963AD0" w:rsidRDefault="002D3AC9" w:rsidP="002D3AC9">
      <w:pPr>
        <w:jc w:val="left"/>
        <w:rPr>
          <w:szCs w:val="22"/>
        </w:rPr>
      </w:pPr>
      <w:r w:rsidRPr="00963AD0">
        <w:rPr>
          <w:szCs w:val="22"/>
        </w:rPr>
        <w:t>240-276-6788</w:t>
      </w:r>
    </w:p>
    <w:p w14:paraId="6C04FED5" w14:textId="77777777" w:rsidR="002D3AC9" w:rsidRPr="00963AD0" w:rsidRDefault="002D3AC9" w:rsidP="002D3AC9">
      <w:pPr>
        <w:jc w:val="left"/>
        <w:rPr>
          <w:szCs w:val="22"/>
        </w:rPr>
      </w:pPr>
    </w:p>
    <w:p w14:paraId="16B1242C" w14:textId="77777777" w:rsidR="00CB7F0C" w:rsidRPr="00963AD0" w:rsidRDefault="00CB7F0C" w:rsidP="002D3AC9">
      <w:pPr>
        <w:spacing w:line="240" w:lineRule="auto"/>
        <w:jc w:val="left"/>
        <w:rPr>
          <w:b/>
          <w:szCs w:val="22"/>
        </w:rPr>
      </w:pPr>
    </w:p>
    <w:p w14:paraId="24C569F4" w14:textId="77777777" w:rsidR="00CB7F0C" w:rsidRPr="00963AD0" w:rsidRDefault="00CB7F0C" w:rsidP="00CB7F0C">
      <w:pPr>
        <w:pStyle w:val="SL-FlLftSgl"/>
        <w:jc w:val="left"/>
        <w:rPr>
          <w:b/>
          <w:szCs w:val="22"/>
        </w:rPr>
      </w:pPr>
      <w:r w:rsidRPr="00963AD0">
        <w:rPr>
          <w:b/>
          <w:szCs w:val="22"/>
        </w:rPr>
        <w:t>Other government agencies:</w:t>
      </w:r>
    </w:p>
    <w:p w14:paraId="447E716F" w14:textId="77777777" w:rsidR="00CB7F0C" w:rsidRPr="00963AD0" w:rsidRDefault="00CB7F0C" w:rsidP="00CB7F0C">
      <w:pPr>
        <w:pStyle w:val="SL-FlLftSgl"/>
        <w:jc w:val="left"/>
        <w:rPr>
          <w:szCs w:val="22"/>
        </w:rPr>
      </w:pPr>
    </w:p>
    <w:p w14:paraId="41D28737" w14:textId="77777777" w:rsidR="002D3AC9" w:rsidRPr="00963AD0" w:rsidRDefault="002D3AC9" w:rsidP="002D3AC9">
      <w:pPr>
        <w:pStyle w:val="SL-FlLftSgl"/>
        <w:jc w:val="left"/>
        <w:rPr>
          <w:szCs w:val="22"/>
        </w:rPr>
      </w:pPr>
      <w:r w:rsidRPr="00963AD0">
        <w:rPr>
          <w:szCs w:val="22"/>
        </w:rPr>
        <w:t>Vaishali Patel, PhD MPH</w:t>
      </w:r>
    </w:p>
    <w:p w14:paraId="449A254B" w14:textId="77777777" w:rsidR="002D3AC9" w:rsidRPr="00963AD0" w:rsidRDefault="002D3AC9" w:rsidP="002D3AC9">
      <w:pPr>
        <w:pStyle w:val="SL-FlLftSgl"/>
        <w:jc w:val="left"/>
        <w:rPr>
          <w:szCs w:val="22"/>
        </w:rPr>
      </w:pPr>
      <w:r w:rsidRPr="00963AD0">
        <w:rPr>
          <w:szCs w:val="22"/>
        </w:rPr>
        <w:t>Office of Planning, Evaluation &amp; Analysis</w:t>
      </w:r>
    </w:p>
    <w:p w14:paraId="68957FB1" w14:textId="77777777" w:rsidR="002D3AC9" w:rsidRPr="00963AD0" w:rsidRDefault="002D3AC9" w:rsidP="002D3AC9">
      <w:pPr>
        <w:pStyle w:val="SL-FlLftSgl"/>
        <w:jc w:val="left"/>
        <w:rPr>
          <w:szCs w:val="22"/>
        </w:rPr>
      </w:pPr>
      <w:r w:rsidRPr="00963AD0">
        <w:rPr>
          <w:szCs w:val="22"/>
        </w:rPr>
        <w:t>Office of the National Coordinator</w:t>
      </w:r>
    </w:p>
    <w:p w14:paraId="4A509426" w14:textId="77777777" w:rsidR="002D3AC9" w:rsidRPr="00963AD0" w:rsidRDefault="002D3AC9" w:rsidP="002D3AC9">
      <w:pPr>
        <w:pStyle w:val="SL-FlLftSgl"/>
        <w:jc w:val="left"/>
        <w:rPr>
          <w:szCs w:val="22"/>
        </w:rPr>
      </w:pPr>
      <w:r w:rsidRPr="00963AD0">
        <w:rPr>
          <w:szCs w:val="22"/>
        </w:rPr>
        <w:t>Department of Health and Human Services</w:t>
      </w:r>
    </w:p>
    <w:p w14:paraId="10505065" w14:textId="77777777" w:rsidR="002D3AC9" w:rsidRPr="00963AD0" w:rsidRDefault="002D3AC9" w:rsidP="002D3AC9">
      <w:pPr>
        <w:pStyle w:val="SL-FlLftSgl"/>
        <w:jc w:val="left"/>
        <w:rPr>
          <w:szCs w:val="22"/>
        </w:rPr>
      </w:pPr>
      <w:r w:rsidRPr="00963AD0">
        <w:rPr>
          <w:szCs w:val="22"/>
        </w:rPr>
        <w:t>202-603-1239</w:t>
      </w:r>
    </w:p>
    <w:p w14:paraId="7428FD51" w14:textId="77777777" w:rsidR="00CB7F0C" w:rsidRPr="00963AD0" w:rsidRDefault="00CB7F0C" w:rsidP="00CB7F0C">
      <w:pPr>
        <w:pStyle w:val="SL-FlLftSgl"/>
        <w:jc w:val="left"/>
        <w:rPr>
          <w:szCs w:val="22"/>
        </w:rPr>
      </w:pPr>
    </w:p>
    <w:p w14:paraId="638B0954" w14:textId="77777777" w:rsidR="002D3AC9" w:rsidRPr="00963AD0" w:rsidRDefault="002D3AC9" w:rsidP="002D3AC9">
      <w:pPr>
        <w:jc w:val="left"/>
        <w:rPr>
          <w:szCs w:val="22"/>
        </w:rPr>
      </w:pPr>
      <w:r w:rsidRPr="00963AD0">
        <w:rPr>
          <w:szCs w:val="22"/>
        </w:rPr>
        <w:t>David Portnoy PhD, MPH</w:t>
      </w:r>
    </w:p>
    <w:p w14:paraId="67F1D3EC" w14:textId="77777777" w:rsidR="002D3AC9" w:rsidRPr="00963AD0" w:rsidRDefault="002D3AC9" w:rsidP="002D3AC9">
      <w:pPr>
        <w:jc w:val="left"/>
        <w:rPr>
          <w:szCs w:val="22"/>
        </w:rPr>
      </w:pPr>
      <w:r w:rsidRPr="00963AD0">
        <w:rPr>
          <w:szCs w:val="22"/>
        </w:rPr>
        <w:t>Center for Tobacco Products</w:t>
      </w:r>
    </w:p>
    <w:p w14:paraId="435C00F7" w14:textId="77777777" w:rsidR="002D3AC9" w:rsidRPr="00963AD0" w:rsidRDefault="002D3AC9" w:rsidP="002D3AC9">
      <w:pPr>
        <w:jc w:val="left"/>
        <w:rPr>
          <w:szCs w:val="22"/>
        </w:rPr>
      </w:pPr>
      <w:r w:rsidRPr="00963AD0">
        <w:rPr>
          <w:szCs w:val="22"/>
        </w:rPr>
        <w:t>Food and Drug Administration</w:t>
      </w:r>
    </w:p>
    <w:p w14:paraId="3B9DE3B7" w14:textId="77777777" w:rsidR="002D3AC9" w:rsidRPr="00963AD0" w:rsidRDefault="002D3AC9" w:rsidP="002D3AC9">
      <w:pPr>
        <w:jc w:val="left"/>
        <w:rPr>
          <w:szCs w:val="22"/>
        </w:rPr>
      </w:pPr>
      <w:r w:rsidRPr="00963AD0">
        <w:rPr>
          <w:szCs w:val="22"/>
        </w:rPr>
        <w:t>301-796-9298</w:t>
      </w:r>
    </w:p>
    <w:p w14:paraId="3335B11B" w14:textId="77777777" w:rsidR="00CB7F0C" w:rsidRPr="00963AD0" w:rsidRDefault="00CB7F0C" w:rsidP="00CB7F0C">
      <w:pPr>
        <w:pStyle w:val="SL-FlLftSgl"/>
        <w:jc w:val="left"/>
        <w:rPr>
          <w:szCs w:val="22"/>
        </w:rPr>
      </w:pPr>
    </w:p>
    <w:p w14:paraId="2DD8398B" w14:textId="77777777" w:rsidR="00D323C2" w:rsidRPr="00963AD0" w:rsidRDefault="00D323C2" w:rsidP="00CB7F0C">
      <w:pPr>
        <w:pStyle w:val="SL-FlLftSgl"/>
        <w:jc w:val="left"/>
        <w:rPr>
          <w:b/>
          <w:szCs w:val="22"/>
        </w:rPr>
      </w:pPr>
    </w:p>
    <w:p w14:paraId="5B245014" w14:textId="77777777" w:rsidR="00CB7F0C" w:rsidRPr="00963AD0" w:rsidRDefault="00CB7F0C" w:rsidP="00CB7F0C">
      <w:pPr>
        <w:pStyle w:val="SL-FlLftSgl"/>
        <w:jc w:val="left"/>
        <w:rPr>
          <w:b/>
          <w:szCs w:val="22"/>
        </w:rPr>
      </w:pPr>
      <w:r w:rsidRPr="00963AD0">
        <w:rPr>
          <w:b/>
          <w:szCs w:val="22"/>
        </w:rPr>
        <w:t>Private Organizations:</w:t>
      </w:r>
    </w:p>
    <w:p w14:paraId="1B20ED27" w14:textId="77777777" w:rsidR="00CB7F0C" w:rsidRPr="00963AD0" w:rsidRDefault="00CB7F0C" w:rsidP="00CB7F0C">
      <w:pPr>
        <w:pStyle w:val="SL-FlLftSgl"/>
        <w:jc w:val="left"/>
        <w:rPr>
          <w:szCs w:val="22"/>
        </w:rPr>
      </w:pPr>
    </w:p>
    <w:p w14:paraId="5936BB7F" w14:textId="77777777" w:rsidR="00D323C2" w:rsidRPr="00963AD0" w:rsidRDefault="00D323C2" w:rsidP="00D323C2">
      <w:pPr>
        <w:pStyle w:val="SL-FlLftSgl"/>
        <w:jc w:val="left"/>
        <w:rPr>
          <w:szCs w:val="22"/>
        </w:rPr>
      </w:pPr>
      <w:r w:rsidRPr="00963AD0">
        <w:rPr>
          <w:szCs w:val="22"/>
        </w:rPr>
        <w:t>Lila J. Finney Rutten, Ph.D., M.P.H.</w:t>
      </w:r>
    </w:p>
    <w:p w14:paraId="23C3D82C" w14:textId="77777777" w:rsidR="002D3AC9" w:rsidRPr="00963AD0" w:rsidRDefault="002D3AC9" w:rsidP="00E533E9">
      <w:pPr>
        <w:pStyle w:val="SL-FlLftSgl"/>
        <w:jc w:val="left"/>
        <w:rPr>
          <w:szCs w:val="22"/>
        </w:rPr>
      </w:pPr>
      <w:r w:rsidRPr="00963AD0">
        <w:rPr>
          <w:szCs w:val="22"/>
        </w:rPr>
        <w:t xml:space="preserve">Division of Epidemiology </w:t>
      </w:r>
    </w:p>
    <w:p w14:paraId="2B48CC14" w14:textId="77777777" w:rsidR="002D3AC9" w:rsidRPr="00963AD0" w:rsidRDefault="002D3AC9" w:rsidP="00E533E9">
      <w:pPr>
        <w:pStyle w:val="SL-FlLftSgl"/>
        <w:jc w:val="left"/>
        <w:rPr>
          <w:szCs w:val="22"/>
        </w:rPr>
      </w:pPr>
      <w:r w:rsidRPr="00963AD0">
        <w:rPr>
          <w:szCs w:val="22"/>
        </w:rPr>
        <w:t xml:space="preserve">Mayo </w:t>
      </w:r>
      <w:r w:rsidR="00E533E9" w:rsidRPr="00963AD0">
        <w:rPr>
          <w:szCs w:val="22"/>
        </w:rPr>
        <w:t>Clinic</w:t>
      </w:r>
    </w:p>
    <w:p w14:paraId="22C9E8AB" w14:textId="77777777" w:rsidR="00E533E9" w:rsidRPr="00963AD0" w:rsidRDefault="00E533E9" w:rsidP="00E533E9">
      <w:pPr>
        <w:pStyle w:val="SL-FlLftSgl"/>
        <w:jc w:val="left"/>
        <w:rPr>
          <w:szCs w:val="22"/>
        </w:rPr>
      </w:pPr>
      <w:r w:rsidRPr="00963AD0">
        <w:rPr>
          <w:szCs w:val="22"/>
        </w:rPr>
        <w:t>507-293-2341</w:t>
      </w:r>
    </w:p>
    <w:p w14:paraId="36EFB3F3" w14:textId="77777777" w:rsidR="00E533E9" w:rsidRPr="00963AD0" w:rsidRDefault="00E533E9" w:rsidP="00E533E9">
      <w:pPr>
        <w:pStyle w:val="SL-FlLftSgl"/>
        <w:jc w:val="left"/>
        <w:rPr>
          <w:szCs w:val="22"/>
        </w:rPr>
      </w:pPr>
    </w:p>
    <w:p w14:paraId="24D7443A" w14:textId="77777777" w:rsidR="00CB7F0C" w:rsidRPr="00963AD0" w:rsidRDefault="00CB7F0C" w:rsidP="00CB7F0C">
      <w:pPr>
        <w:pStyle w:val="SL-FlLftSgl"/>
        <w:jc w:val="left"/>
        <w:rPr>
          <w:szCs w:val="22"/>
        </w:rPr>
      </w:pPr>
      <w:r w:rsidRPr="00963AD0">
        <w:rPr>
          <w:szCs w:val="22"/>
        </w:rPr>
        <w:t>Alexandra Greenberg</w:t>
      </w:r>
    </w:p>
    <w:p w14:paraId="71611B77" w14:textId="77777777" w:rsidR="00E533E9" w:rsidRPr="00963AD0" w:rsidRDefault="00E533E9" w:rsidP="00E533E9">
      <w:pPr>
        <w:pStyle w:val="SL-FlLftSgl"/>
        <w:jc w:val="left"/>
        <w:rPr>
          <w:szCs w:val="22"/>
        </w:rPr>
      </w:pPr>
      <w:r w:rsidRPr="00963AD0">
        <w:rPr>
          <w:szCs w:val="22"/>
        </w:rPr>
        <w:t xml:space="preserve">Division of Epidemiology </w:t>
      </w:r>
    </w:p>
    <w:p w14:paraId="35679F7D" w14:textId="77777777" w:rsidR="00E533E9" w:rsidRPr="00963AD0" w:rsidRDefault="00E533E9" w:rsidP="00E533E9">
      <w:pPr>
        <w:pStyle w:val="SL-FlLftSgl"/>
        <w:jc w:val="left"/>
        <w:rPr>
          <w:szCs w:val="22"/>
        </w:rPr>
      </w:pPr>
      <w:r w:rsidRPr="00963AD0">
        <w:rPr>
          <w:szCs w:val="22"/>
        </w:rPr>
        <w:t>Mayo Clinic</w:t>
      </w:r>
    </w:p>
    <w:p w14:paraId="635E509B" w14:textId="77777777" w:rsidR="00D323C2" w:rsidRPr="00963AD0" w:rsidRDefault="00D323C2" w:rsidP="00D323C2">
      <w:pPr>
        <w:pStyle w:val="SL-FlLftSgl"/>
        <w:jc w:val="left"/>
        <w:rPr>
          <w:szCs w:val="22"/>
        </w:rPr>
      </w:pPr>
    </w:p>
    <w:p w14:paraId="34472E1D" w14:textId="77777777" w:rsidR="00CB7F0C" w:rsidRPr="00963AD0" w:rsidRDefault="00592F94" w:rsidP="00592F94">
      <w:pPr>
        <w:pStyle w:val="SL-FlLftSgl"/>
        <w:jc w:val="left"/>
        <w:rPr>
          <w:szCs w:val="22"/>
        </w:rPr>
      </w:pPr>
      <w:r w:rsidRPr="00963AD0">
        <w:rPr>
          <w:szCs w:val="22"/>
        </w:rPr>
        <w:t>Mark Savage</w:t>
      </w:r>
      <w:r w:rsidRPr="00963AD0">
        <w:rPr>
          <w:szCs w:val="22"/>
        </w:rPr>
        <w:br/>
        <w:t>National Partnership for Women &amp; Families</w:t>
      </w:r>
      <w:r w:rsidRPr="00963AD0">
        <w:rPr>
          <w:szCs w:val="22"/>
        </w:rPr>
        <w:br/>
        <w:t>202-986-2600</w:t>
      </w:r>
      <w:r w:rsidRPr="00963AD0">
        <w:rPr>
          <w:szCs w:val="22"/>
        </w:rPr>
        <w:br/>
      </w:r>
    </w:p>
    <w:p w14:paraId="216C0A54" w14:textId="77777777" w:rsidR="00151DC3" w:rsidRDefault="00151DC3" w:rsidP="005A0C49">
      <w:pPr>
        <w:pStyle w:val="P1-StandPara"/>
        <w:ind w:firstLine="0"/>
        <w:rPr>
          <w:b/>
          <w:szCs w:val="22"/>
        </w:rPr>
      </w:pPr>
    </w:p>
    <w:p w14:paraId="29C0E647" w14:textId="059432C3" w:rsidR="001B5E26" w:rsidRPr="00963AD0" w:rsidRDefault="001B5E26" w:rsidP="005A0C49">
      <w:pPr>
        <w:pStyle w:val="P1-StandPara"/>
        <w:ind w:firstLine="0"/>
        <w:rPr>
          <w:szCs w:val="22"/>
        </w:rPr>
      </w:pPr>
      <w:r w:rsidRPr="00963AD0">
        <w:rPr>
          <w:b/>
          <w:szCs w:val="22"/>
        </w:rPr>
        <w:t>Westat.</w:t>
      </w:r>
      <w:r w:rsidRPr="00963AD0">
        <w:rPr>
          <w:szCs w:val="22"/>
        </w:rPr>
        <w:t xml:space="preserve">  The contractor conducting the data collection is Westat.  The Westat employees who were consulted on statistical aspects of the design are:</w:t>
      </w:r>
    </w:p>
    <w:p w14:paraId="684F002A" w14:textId="77777777" w:rsidR="002D3AC9" w:rsidRPr="00963AD0" w:rsidRDefault="002D3AC9" w:rsidP="002D3AC9">
      <w:pPr>
        <w:pStyle w:val="SL-FlLftSgl"/>
        <w:jc w:val="left"/>
        <w:rPr>
          <w:szCs w:val="22"/>
        </w:rPr>
      </w:pPr>
      <w:r w:rsidRPr="00963AD0">
        <w:rPr>
          <w:szCs w:val="22"/>
        </w:rPr>
        <w:t>David Cantor, Ph.D.</w:t>
      </w:r>
    </w:p>
    <w:p w14:paraId="39C64B50" w14:textId="77777777" w:rsidR="002D3AC9" w:rsidRPr="00963AD0" w:rsidRDefault="002D3AC9" w:rsidP="002D3AC9">
      <w:pPr>
        <w:pStyle w:val="SL-FlLftSgl"/>
        <w:jc w:val="left"/>
        <w:rPr>
          <w:szCs w:val="22"/>
        </w:rPr>
      </w:pPr>
      <w:r w:rsidRPr="00963AD0">
        <w:rPr>
          <w:szCs w:val="22"/>
        </w:rPr>
        <w:t>Principal Investigator</w:t>
      </w:r>
    </w:p>
    <w:p w14:paraId="0743FFCD" w14:textId="77777777" w:rsidR="002D3AC9" w:rsidRPr="00963AD0" w:rsidRDefault="00592F94" w:rsidP="002D3AC9">
      <w:pPr>
        <w:pStyle w:val="P1-StandPara"/>
        <w:ind w:firstLine="0"/>
        <w:rPr>
          <w:szCs w:val="22"/>
        </w:rPr>
      </w:pPr>
      <w:r w:rsidRPr="00963AD0">
        <w:rPr>
          <w:szCs w:val="22"/>
        </w:rPr>
        <w:t>301-</w:t>
      </w:r>
      <w:r w:rsidR="002D3AC9" w:rsidRPr="00963AD0">
        <w:rPr>
          <w:szCs w:val="22"/>
        </w:rPr>
        <w:t>294-2080</w:t>
      </w:r>
    </w:p>
    <w:p w14:paraId="56B916BD" w14:textId="77777777" w:rsidR="002D3AC9" w:rsidRPr="00963AD0" w:rsidRDefault="002D3AC9" w:rsidP="002D3AC9">
      <w:pPr>
        <w:pStyle w:val="SL-FlLftSgl"/>
        <w:jc w:val="left"/>
        <w:rPr>
          <w:szCs w:val="22"/>
        </w:rPr>
      </w:pPr>
      <w:r w:rsidRPr="00963AD0">
        <w:rPr>
          <w:szCs w:val="22"/>
        </w:rPr>
        <w:t>Terisa Davis, M.P.H.</w:t>
      </w:r>
    </w:p>
    <w:p w14:paraId="15AA4481" w14:textId="77777777" w:rsidR="002D3AC9" w:rsidRPr="00963AD0" w:rsidRDefault="002D3AC9" w:rsidP="002D3AC9">
      <w:pPr>
        <w:pStyle w:val="SL-FlLftSgl"/>
        <w:jc w:val="left"/>
        <w:rPr>
          <w:szCs w:val="22"/>
        </w:rPr>
      </w:pPr>
      <w:r w:rsidRPr="00963AD0">
        <w:rPr>
          <w:szCs w:val="22"/>
        </w:rPr>
        <w:t>Project Director</w:t>
      </w:r>
    </w:p>
    <w:p w14:paraId="4012B54C" w14:textId="77777777" w:rsidR="002D3AC9" w:rsidRPr="00963AD0" w:rsidRDefault="00592F94" w:rsidP="002D3AC9">
      <w:pPr>
        <w:pStyle w:val="P1-StandPara"/>
        <w:ind w:firstLine="0"/>
        <w:rPr>
          <w:szCs w:val="22"/>
        </w:rPr>
      </w:pPr>
      <w:r w:rsidRPr="00963AD0">
        <w:rPr>
          <w:szCs w:val="22"/>
        </w:rPr>
        <w:t>301-</w:t>
      </w:r>
      <w:r w:rsidR="002D3AC9" w:rsidRPr="00963AD0">
        <w:rPr>
          <w:szCs w:val="22"/>
        </w:rPr>
        <w:t>294-2864</w:t>
      </w:r>
    </w:p>
    <w:p w14:paraId="28C1F370" w14:textId="77777777" w:rsidR="002D3AC9" w:rsidRPr="00963AD0" w:rsidRDefault="002D3AC9" w:rsidP="002D3AC9">
      <w:pPr>
        <w:pStyle w:val="SL-FlLftSgl"/>
        <w:jc w:val="left"/>
        <w:rPr>
          <w:szCs w:val="22"/>
        </w:rPr>
      </w:pPr>
      <w:r w:rsidRPr="00963AD0">
        <w:rPr>
          <w:szCs w:val="22"/>
        </w:rPr>
        <w:t>Lloyd Hicks, M.S.</w:t>
      </w:r>
    </w:p>
    <w:p w14:paraId="33A4C676" w14:textId="77777777" w:rsidR="002D3AC9" w:rsidRPr="00963AD0" w:rsidRDefault="002D3AC9" w:rsidP="002D3AC9">
      <w:pPr>
        <w:pStyle w:val="SL-FlLftSgl"/>
        <w:jc w:val="left"/>
        <w:rPr>
          <w:szCs w:val="22"/>
        </w:rPr>
      </w:pPr>
      <w:r w:rsidRPr="00963AD0">
        <w:rPr>
          <w:szCs w:val="22"/>
        </w:rPr>
        <w:t>Sampling Statistician</w:t>
      </w:r>
    </w:p>
    <w:p w14:paraId="535E6E3D" w14:textId="77777777" w:rsidR="002D3AC9" w:rsidRPr="00963AD0" w:rsidRDefault="00592F94" w:rsidP="002D3AC9">
      <w:pPr>
        <w:pStyle w:val="P1-StandPara"/>
        <w:ind w:firstLine="0"/>
        <w:rPr>
          <w:szCs w:val="22"/>
        </w:rPr>
      </w:pPr>
      <w:r w:rsidRPr="00963AD0">
        <w:rPr>
          <w:szCs w:val="22"/>
        </w:rPr>
        <w:t>301-</w:t>
      </w:r>
      <w:r w:rsidR="002D3AC9" w:rsidRPr="00963AD0">
        <w:rPr>
          <w:szCs w:val="22"/>
        </w:rPr>
        <w:t>610-4960</w:t>
      </w:r>
    </w:p>
    <w:p w14:paraId="68B7FE0A" w14:textId="77777777" w:rsidR="002D3AC9" w:rsidRPr="00963AD0" w:rsidRDefault="002D3AC9" w:rsidP="002D3AC9">
      <w:pPr>
        <w:pStyle w:val="SL-FlLftSgl"/>
        <w:jc w:val="left"/>
        <w:rPr>
          <w:szCs w:val="22"/>
        </w:rPr>
      </w:pPr>
      <w:r w:rsidRPr="00963AD0">
        <w:rPr>
          <w:szCs w:val="22"/>
        </w:rPr>
        <w:t>Aaron Maitland, Ph.D.</w:t>
      </w:r>
    </w:p>
    <w:p w14:paraId="7599A457" w14:textId="77777777" w:rsidR="002D3AC9" w:rsidRPr="00963AD0" w:rsidRDefault="00C6347C" w:rsidP="002D3AC9">
      <w:pPr>
        <w:pStyle w:val="SL-FlLftSgl"/>
        <w:jc w:val="left"/>
        <w:rPr>
          <w:szCs w:val="22"/>
        </w:rPr>
      </w:pPr>
      <w:r w:rsidRPr="00963AD0">
        <w:rPr>
          <w:szCs w:val="22"/>
        </w:rPr>
        <w:t xml:space="preserve">Survey </w:t>
      </w:r>
      <w:r w:rsidR="002D3AC9" w:rsidRPr="00963AD0">
        <w:rPr>
          <w:szCs w:val="22"/>
        </w:rPr>
        <w:t>Methodologist</w:t>
      </w:r>
    </w:p>
    <w:p w14:paraId="5233EF46" w14:textId="48D507CA" w:rsidR="00FC447C" w:rsidRPr="00192EFA" w:rsidRDefault="00592F94" w:rsidP="00151DC3">
      <w:pPr>
        <w:pStyle w:val="P1-StandPara"/>
        <w:ind w:firstLine="0"/>
        <w:rPr>
          <w:szCs w:val="22"/>
        </w:rPr>
      </w:pPr>
      <w:r w:rsidRPr="00963AD0">
        <w:rPr>
          <w:szCs w:val="22"/>
        </w:rPr>
        <w:t>301-</w:t>
      </w:r>
      <w:r w:rsidR="002D3AC9" w:rsidRPr="00963AD0">
        <w:rPr>
          <w:szCs w:val="22"/>
        </w:rPr>
        <w:t>251-2299</w:t>
      </w:r>
    </w:p>
    <w:sectPr w:rsidR="00FC447C" w:rsidRPr="00192EFA" w:rsidSect="00B9657C">
      <w:footerReference w:type="default" r:id="rId1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79D8E" w14:textId="77777777" w:rsidR="001B06BB" w:rsidRDefault="001B06BB" w:rsidP="00FC447C">
      <w:pPr>
        <w:spacing w:line="240" w:lineRule="auto"/>
      </w:pPr>
      <w:r>
        <w:separator/>
      </w:r>
    </w:p>
  </w:endnote>
  <w:endnote w:type="continuationSeparator" w:id="0">
    <w:p w14:paraId="3F18716F" w14:textId="77777777" w:rsidR="001B06BB" w:rsidRDefault="001B06BB" w:rsidP="00FC4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6696" w14:textId="77777777" w:rsidR="00123D63" w:rsidRDefault="00123D63" w:rsidP="00E41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C10">
      <w:rPr>
        <w:rStyle w:val="PageNumber"/>
        <w:noProof/>
      </w:rPr>
      <w:t>14</w:t>
    </w:r>
    <w:r>
      <w:rPr>
        <w:rStyle w:val="PageNumber"/>
      </w:rPr>
      <w:fldChar w:fldCharType="end"/>
    </w:r>
  </w:p>
  <w:p w14:paraId="4ED75CC9" w14:textId="77777777" w:rsidR="00123D63" w:rsidRDefault="00123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E6B3" w14:textId="77777777" w:rsidR="00123D63" w:rsidRPr="001A132D" w:rsidRDefault="00123D63" w:rsidP="00A35B8F">
    <w:pPr>
      <w:pStyle w:val="Footer"/>
      <w:jc w:val="center"/>
      <w:rPr>
        <w:color w:val="FF0000"/>
        <w:sz w:val="20"/>
      </w:rPr>
    </w:pPr>
    <w:r w:rsidRPr="001A132D">
      <w:rPr>
        <w:color w:val="FF0000"/>
        <w:sz w:val="20"/>
      </w:rPr>
      <w:t>NCI’s Office of Management Analysis and Assessment (OMAA)</w:t>
    </w:r>
  </w:p>
  <w:p w14:paraId="39346042" w14:textId="77777777" w:rsidR="00123D63" w:rsidRDefault="00123D63"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14:paraId="295D87CA" w14:textId="77777777" w:rsidR="00123D63" w:rsidRPr="00A35B8F" w:rsidRDefault="00123D63" w:rsidP="00A35B8F">
    <w:pPr>
      <w:pStyle w:val="Footer"/>
      <w:jc w:val="center"/>
      <w:rPr>
        <w:color w:val="FF0000"/>
        <w:sz w:val="20"/>
      </w:rPr>
    </w:pPr>
    <w:r>
      <w:rPr>
        <w:color w:val="FF0000"/>
        <w:sz w:val="20"/>
      </w:rPr>
      <w:t>Last Upd</w:t>
    </w:r>
    <w:r w:rsidRPr="001A132D">
      <w:rPr>
        <w:color w:val="FF0000"/>
        <w:sz w:val="20"/>
      </w:rPr>
      <w:t xml:space="preserve">ated </w:t>
    </w:r>
    <w:r>
      <w:rPr>
        <w:color w:val="FF0000"/>
        <w:sz w:val="20"/>
      </w:rPr>
      <w:t>7-7</w:t>
    </w:r>
    <w:r w:rsidRPr="001A132D">
      <w:rPr>
        <w:color w:val="FF0000"/>
        <w:sz w:val="20"/>
      </w:rPr>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271E" w14:textId="4F701777" w:rsidR="00123D63" w:rsidRDefault="00123D63">
    <w:pPr>
      <w:pStyle w:val="Footer"/>
      <w:jc w:val="center"/>
    </w:pPr>
    <w:r>
      <w:fldChar w:fldCharType="begin"/>
    </w:r>
    <w:r>
      <w:instrText xml:space="preserve"> PAGE  \* roman  \* MERGEFORMAT </w:instrText>
    </w:r>
    <w:r>
      <w:fldChar w:fldCharType="separate"/>
    </w:r>
    <w:r w:rsidR="00E232EA">
      <w:rPr>
        <w:noProof/>
      </w:rPr>
      <w:t>ii</w:t>
    </w:r>
    <w:r>
      <w:fldChar w:fldCharType="end"/>
    </w:r>
  </w:p>
  <w:p w14:paraId="5DEB7D11" w14:textId="77777777" w:rsidR="00123D63" w:rsidRDefault="00123D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B501" w14:textId="3BE378D4" w:rsidR="00123D63" w:rsidRDefault="00123D63">
    <w:pPr>
      <w:pStyle w:val="Footer"/>
      <w:jc w:val="center"/>
    </w:pPr>
    <w:r>
      <w:fldChar w:fldCharType="begin"/>
    </w:r>
    <w:r>
      <w:instrText xml:space="preserve"> PAGE  \* Arabic  \* MERGEFORMAT </w:instrText>
    </w:r>
    <w:r>
      <w:fldChar w:fldCharType="separate"/>
    </w:r>
    <w:r w:rsidR="00E232EA">
      <w:rPr>
        <w:noProof/>
      </w:rPr>
      <w:t>1</w:t>
    </w:r>
    <w:r>
      <w:fldChar w:fldCharType="end"/>
    </w:r>
  </w:p>
  <w:p w14:paraId="75F1943E" w14:textId="77777777" w:rsidR="00123D63" w:rsidRDefault="00123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97844" w14:textId="77777777" w:rsidR="001B06BB" w:rsidRDefault="001B06BB" w:rsidP="00FC447C">
      <w:pPr>
        <w:spacing w:line="240" w:lineRule="auto"/>
      </w:pPr>
      <w:r>
        <w:separator/>
      </w:r>
    </w:p>
  </w:footnote>
  <w:footnote w:type="continuationSeparator" w:id="0">
    <w:p w14:paraId="3D87991D" w14:textId="77777777" w:rsidR="001B06BB" w:rsidRDefault="001B06BB" w:rsidP="00FC447C">
      <w:pPr>
        <w:spacing w:line="240" w:lineRule="auto"/>
      </w:pPr>
      <w:r>
        <w:continuationSeparator/>
      </w:r>
    </w:p>
  </w:footnote>
  <w:footnote w:id="1">
    <w:p w14:paraId="75DC67B2" w14:textId="77777777" w:rsidR="00DF380D" w:rsidRDefault="00DF380D" w:rsidP="00DF380D">
      <w:pPr>
        <w:pStyle w:val="FootnoteText"/>
      </w:pPr>
      <w:r w:rsidRPr="001A6089">
        <w:rPr>
          <w:rStyle w:val="FootnoteReference"/>
          <w:highlight w:val="yellow"/>
        </w:rPr>
        <w:footnoteRef/>
      </w:r>
      <w:r w:rsidRPr="001A6089">
        <w:rPr>
          <w:highlight w:val="yellow"/>
        </w:rPr>
        <w:t>The county-level smoking rates are based on the 2003 BRFSS small area estimates adjusted by the ratio of the 2011 to the 2003 Behavioral Risk Factor Surveillance System (BRFSS) state smoking rates so that when county rates are aggregated to the state level they are in agreement with the 2011 BRFSS state-level smoking estimates.</w:t>
      </w:r>
    </w:p>
  </w:footnote>
  <w:footnote w:id="2">
    <w:p w14:paraId="23830489" w14:textId="77777777" w:rsidR="00123D63" w:rsidRDefault="00123D63" w:rsidP="001B5E26">
      <w:pPr>
        <w:pStyle w:val="FootnoteText"/>
      </w:pPr>
      <w:r>
        <w:rPr>
          <w:rStyle w:val="FootnoteReference"/>
        </w:rPr>
        <w:footnoteRef/>
      </w:r>
      <w:r>
        <w:t xml:space="preserve"> </w:t>
      </w:r>
      <w:r w:rsidRPr="00C13F55">
        <w:t>The response rate</w:t>
      </w:r>
      <w:r w:rsidR="005A0C49">
        <w:t>s were</w:t>
      </w:r>
      <w:r w:rsidRPr="00C13F55">
        <w:t xml:space="preserve"> based on the AAPOR formula that counts partial interviews as completes and includes interviews, non-interviews and all eligible unknown cases in the denominator (RR2, AAPOR).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A2B"/>
    <w:multiLevelType w:val="hybridMultilevel"/>
    <w:tmpl w:val="7B3886EE"/>
    <w:lvl w:ilvl="0" w:tplc="054226E4">
      <w:start w:val="1"/>
      <w:numFmt w:val="decimal"/>
      <w:lvlText w:val="%1."/>
      <w:lvlJc w:val="left"/>
      <w:pPr>
        <w:tabs>
          <w:tab w:val="num" w:pos="1152"/>
        </w:tabs>
        <w:ind w:left="1152" w:hanging="576"/>
      </w:pPr>
      <w:rPr>
        <w:rFont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85F50"/>
    <w:multiLevelType w:val="hybridMultilevel"/>
    <w:tmpl w:val="97B8FEA8"/>
    <w:lvl w:ilvl="0" w:tplc="FFFFFFFF">
      <w:start w:val="1"/>
      <w:numFmt w:val="decimal"/>
      <w:lvlText w:val="%1."/>
      <w:lvlJc w:val="left"/>
      <w:pPr>
        <w:tabs>
          <w:tab w:val="num" w:pos="1152"/>
        </w:tabs>
        <w:ind w:left="1152" w:hanging="576"/>
      </w:pPr>
      <w:rPr>
        <w:rFonts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8"/>
  </w:num>
  <w:num w:numId="6">
    <w:abstractNumId w:val="10"/>
  </w:num>
  <w:num w:numId="7">
    <w:abstractNumId w:val="7"/>
  </w:num>
  <w:num w:numId="8">
    <w:abstractNumId w:val="2"/>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3NjMyNjE2NDExNLFQ0lEKTi0uzszPAykwqgUAy5dR5iwAAAA="/>
  </w:docVars>
  <w:rsids>
    <w:rsidRoot w:val="009D271A"/>
    <w:rsid w:val="0000485E"/>
    <w:rsid w:val="000058FA"/>
    <w:rsid w:val="00007CA4"/>
    <w:rsid w:val="0001163D"/>
    <w:rsid w:val="000123B1"/>
    <w:rsid w:val="00012B52"/>
    <w:rsid w:val="00012C2D"/>
    <w:rsid w:val="00021732"/>
    <w:rsid w:val="00021DEA"/>
    <w:rsid w:val="00025BCF"/>
    <w:rsid w:val="00030615"/>
    <w:rsid w:val="00034658"/>
    <w:rsid w:val="0003571F"/>
    <w:rsid w:val="000403A5"/>
    <w:rsid w:val="0004184D"/>
    <w:rsid w:val="000439D0"/>
    <w:rsid w:val="000473C0"/>
    <w:rsid w:val="00050343"/>
    <w:rsid w:val="00050963"/>
    <w:rsid w:val="00050A76"/>
    <w:rsid w:val="00051AA2"/>
    <w:rsid w:val="00055962"/>
    <w:rsid w:val="00057024"/>
    <w:rsid w:val="00060A0E"/>
    <w:rsid w:val="00061D4D"/>
    <w:rsid w:val="00064417"/>
    <w:rsid w:val="00065E07"/>
    <w:rsid w:val="000664D8"/>
    <w:rsid w:val="00072CF4"/>
    <w:rsid w:val="00080FF0"/>
    <w:rsid w:val="00082414"/>
    <w:rsid w:val="00082E9D"/>
    <w:rsid w:val="000872F1"/>
    <w:rsid w:val="0009524F"/>
    <w:rsid w:val="0009593F"/>
    <w:rsid w:val="000962BB"/>
    <w:rsid w:val="000A0F5A"/>
    <w:rsid w:val="000A3FD5"/>
    <w:rsid w:val="000A74D4"/>
    <w:rsid w:val="000B0BFB"/>
    <w:rsid w:val="000B2376"/>
    <w:rsid w:val="000B4A20"/>
    <w:rsid w:val="000C0603"/>
    <w:rsid w:val="000C1347"/>
    <w:rsid w:val="000C2334"/>
    <w:rsid w:val="000C4E01"/>
    <w:rsid w:val="000D1FAE"/>
    <w:rsid w:val="000D3827"/>
    <w:rsid w:val="000E2584"/>
    <w:rsid w:val="000E2DA2"/>
    <w:rsid w:val="000E2F5A"/>
    <w:rsid w:val="000E32A7"/>
    <w:rsid w:val="000E4FA8"/>
    <w:rsid w:val="000E77AB"/>
    <w:rsid w:val="000F0AC8"/>
    <w:rsid w:val="000F44FE"/>
    <w:rsid w:val="000F5741"/>
    <w:rsid w:val="00100910"/>
    <w:rsid w:val="00101F91"/>
    <w:rsid w:val="0010655B"/>
    <w:rsid w:val="00107489"/>
    <w:rsid w:val="001102A3"/>
    <w:rsid w:val="00111A68"/>
    <w:rsid w:val="00113664"/>
    <w:rsid w:val="00113E23"/>
    <w:rsid w:val="001228F5"/>
    <w:rsid w:val="00123D63"/>
    <w:rsid w:val="00126AA4"/>
    <w:rsid w:val="0013061F"/>
    <w:rsid w:val="00131E43"/>
    <w:rsid w:val="001329A5"/>
    <w:rsid w:val="00132C52"/>
    <w:rsid w:val="00137289"/>
    <w:rsid w:val="001421B7"/>
    <w:rsid w:val="00151979"/>
    <w:rsid w:val="00151D20"/>
    <w:rsid w:val="00151DC3"/>
    <w:rsid w:val="00155FAC"/>
    <w:rsid w:val="001566CB"/>
    <w:rsid w:val="001639FC"/>
    <w:rsid w:val="0016464B"/>
    <w:rsid w:val="0016566A"/>
    <w:rsid w:val="0016788C"/>
    <w:rsid w:val="00173F86"/>
    <w:rsid w:val="00174240"/>
    <w:rsid w:val="00175022"/>
    <w:rsid w:val="001758BA"/>
    <w:rsid w:val="00176515"/>
    <w:rsid w:val="0017769B"/>
    <w:rsid w:val="00181FF8"/>
    <w:rsid w:val="00182CDE"/>
    <w:rsid w:val="00185BBE"/>
    <w:rsid w:val="00190815"/>
    <w:rsid w:val="00191D79"/>
    <w:rsid w:val="00192B2A"/>
    <w:rsid w:val="00192CC4"/>
    <w:rsid w:val="00192EFA"/>
    <w:rsid w:val="00196479"/>
    <w:rsid w:val="00196E71"/>
    <w:rsid w:val="001A3258"/>
    <w:rsid w:val="001A3887"/>
    <w:rsid w:val="001B06BB"/>
    <w:rsid w:val="001B1A9D"/>
    <w:rsid w:val="001B1E35"/>
    <w:rsid w:val="001B5E26"/>
    <w:rsid w:val="001C0969"/>
    <w:rsid w:val="001C170D"/>
    <w:rsid w:val="001C1D33"/>
    <w:rsid w:val="001C66F6"/>
    <w:rsid w:val="001D091A"/>
    <w:rsid w:val="001D22EB"/>
    <w:rsid w:val="001D677B"/>
    <w:rsid w:val="001D7C3D"/>
    <w:rsid w:val="001D7CD8"/>
    <w:rsid w:val="001E2829"/>
    <w:rsid w:val="001E2BF6"/>
    <w:rsid w:val="001E36E4"/>
    <w:rsid w:val="001E40B3"/>
    <w:rsid w:val="001E4E1E"/>
    <w:rsid w:val="001F4053"/>
    <w:rsid w:val="002023C6"/>
    <w:rsid w:val="002030D9"/>
    <w:rsid w:val="00203FA2"/>
    <w:rsid w:val="00205257"/>
    <w:rsid w:val="00216261"/>
    <w:rsid w:val="00220991"/>
    <w:rsid w:val="0022166E"/>
    <w:rsid w:val="00222B05"/>
    <w:rsid w:val="00224360"/>
    <w:rsid w:val="00224DD0"/>
    <w:rsid w:val="00226916"/>
    <w:rsid w:val="002310B1"/>
    <w:rsid w:val="00240B0B"/>
    <w:rsid w:val="00240CB4"/>
    <w:rsid w:val="002505DA"/>
    <w:rsid w:val="002524FA"/>
    <w:rsid w:val="00257144"/>
    <w:rsid w:val="002609D1"/>
    <w:rsid w:val="002664B4"/>
    <w:rsid w:val="002738AC"/>
    <w:rsid w:val="00273ACD"/>
    <w:rsid w:val="00274CAA"/>
    <w:rsid w:val="00280A5E"/>
    <w:rsid w:val="00282056"/>
    <w:rsid w:val="002855C2"/>
    <w:rsid w:val="00286148"/>
    <w:rsid w:val="00293E14"/>
    <w:rsid w:val="00297352"/>
    <w:rsid w:val="002A1F4A"/>
    <w:rsid w:val="002B56E0"/>
    <w:rsid w:val="002B7481"/>
    <w:rsid w:val="002B7D57"/>
    <w:rsid w:val="002C38FB"/>
    <w:rsid w:val="002D2F64"/>
    <w:rsid w:val="002D3950"/>
    <w:rsid w:val="002D3AC9"/>
    <w:rsid w:val="002D6322"/>
    <w:rsid w:val="002E0034"/>
    <w:rsid w:val="002F2BAB"/>
    <w:rsid w:val="00302C88"/>
    <w:rsid w:val="00303459"/>
    <w:rsid w:val="00304D02"/>
    <w:rsid w:val="003117A3"/>
    <w:rsid w:val="00313488"/>
    <w:rsid w:val="00314DC8"/>
    <w:rsid w:val="0031557E"/>
    <w:rsid w:val="003165FC"/>
    <w:rsid w:val="00321EEB"/>
    <w:rsid w:val="00323423"/>
    <w:rsid w:val="00323DBB"/>
    <w:rsid w:val="00332ED8"/>
    <w:rsid w:val="00335C36"/>
    <w:rsid w:val="00336508"/>
    <w:rsid w:val="00341780"/>
    <w:rsid w:val="00350E31"/>
    <w:rsid w:val="003515B1"/>
    <w:rsid w:val="00352C28"/>
    <w:rsid w:val="00357DA8"/>
    <w:rsid w:val="00361B78"/>
    <w:rsid w:val="00361FF7"/>
    <w:rsid w:val="00365783"/>
    <w:rsid w:val="00367CA9"/>
    <w:rsid w:val="003721C3"/>
    <w:rsid w:val="00377746"/>
    <w:rsid w:val="00382830"/>
    <w:rsid w:val="003837CC"/>
    <w:rsid w:val="00384416"/>
    <w:rsid w:val="0039241E"/>
    <w:rsid w:val="00393D79"/>
    <w:rsid w:val="003A0609"/>
    <w:rsid w:val="003A2B38"/>
    <w:rsid w:val="003B1A8C"/>
    <w:rsid w:val="003B1FA6"/>
    <w:rsid w:val="003B254D"/>
    <w:rsid w:val="003B2D2B"/>
    <w:rsid w:val="003B300E"/>
    <w:rsid w:val="003B4591"/>
    <w:rsid w:val="003B62C7"/>
    <w:rsid w:val="003C122E"/>
    <w:rsid w:val="003C1CC8"/>
    <w:rsid w:val="003C51B9"/>
    <w:rsid w:val="003C5DB0"/>
    <w:rsid w:val="003C6CE5"/>
    <w:rsid w:val="003D3A1B"/>
    <w:rsid w:val="003D43FE"/>
    <w:rsid w:val="003D6F2A"/>
    <w:rsid w:val="003D7068"/>
    <w:rsid w:val="003E215E"/>
    <w:rsid w:val="003E2CFF"/>
    <w:rsid w:val="003E3864"/>
    <w:rsid w:val="003F249F"/>
    <w:rsid w:val="003F2A60"/>
    <w:rsid w:val="003F533D"/>
    <w:rsid w:val="003F74DE"/>
    <w:rsid w:val="004021E7"/>
    <w:rsid w:val="004104C1"/>
    <w:rsid w:val="00412D21"/>
    <w:rsid w:val="0041707B"/>
    <w:rsid w:val="00417E1C"/>
    <w:rsid w:val="004239FD"/>
    <w:rsid w:val="00435130"/>
    <w:rsid w:val="00435409"/>
    <w:rsid w:val="0043758A"/>
    <w:rsid w:val="004428F8"/>
    <w:rsid w:val="00444AAA"/>
    <w:rsid w:val="00446906"/>
    <w:rsid w:val="00450B53"/>
    <w:rsid w:val="00454AD7"/>
    <w:rsid w:val="0045688D"/>
    <w:rsid w:val="00456DC1"/>
    <w:rsid w:val="00462082"/>
    <w:rsid w:val="0046455C"/>
    <w:rsid w:val="00464594"/>
    <w:rsid w:val="00464BAA"/>
    <w:rsid w:val="00474822"/>
    <w:rsid w:val="00477FAE"/>
    <w:rsid w:val="004872C8"/>
    <w:rsid w:val="00487A75"/>
    <w:rsid w:val="00490492"/>
    <w:rsid w:val="00490EDB"/>
    <w:rsid w:val="00494CDE"/>
    <w:rsid w:val="0049539F"/>
    <w:rsid w:val="0049779D"/>
    <w:rsid w:val="004A047B"/>
    <w:rsid w:val="004B2456"/>
    <w:rsid w:val="004B307E"/>
    <w:rsid w:val="004B60BC"/>
    <w:rsid w:val="004D21B8"/>
    <w:rsid w:val="004D3570"/>
    <w:rsid w:val="004D37E3"/>
    <w:rsid w:val="004D3EA3"/>
    <w:rsid w:val="004E2437"/>
    <w:rsid w:val="004E60EB"/>
    <w:rsid w:val="004F23B1"/>
    <w:rsid w:val="004F2451"/>
    <w:rsid w:val="004F5031"/>
    <w:rsid w:val="004F659A"/>
    <w:rsid w:val="00501AA2"/>
    <w:rsid w:val="00506972"/>
    <w:rsid w:val="00514F96"/>
    <w:rsid w:val="005156C0"/>
    <w:rsid w:val="005223F5"/>
    <w:rsid w:val="0053452B"/>
    <w:rsid w:val="00534B19"/>
    <w:rsid w:val="00543FA2"/>
    <w:rsid w:val="00544AA0"/>
    <w:rsid w:val="00545320"/>
    <w:rsid w:val="00547A9E"/>
    <w:rsid w:val="00551B43"/>
    <w:rsid w:val="00556A12"/>
    <w:rsid w:val="00557968"/>
    <w:rsid w:val="00564A1E"/>
    <w:rsid w:val="00565FF4"/>
    <w:rsid w:val="00572297"/>
    <w:rsid w:val="0057594E"/>
    <w:rsid w:val="00577186"/>
    <w:rsid w:val="0057736B"/>
    <w:rsid w:val="00581B65"/>
    <w:rsid w:val="00592061"/>
    <w:rsid w:val="005923DA"/>
    <w:rsid w:val="00592F94"/>
    <w:rsid w:val="00595BE8"/>
    <w:rsid w:val="005969B4"/>
    <w:rsid w:val="00597E48"/>
    <w:rsid w:val="005A0C49"/>
    <w:rsid w:val="005A269C"/>
    <w:rsid w:val="005A4E54"/>
    <w:rsid w:val="005A4E64"/>
    <w:rsid w:val="005A6322"/>
    <w:rsid w:val="005B2AC4"/>
    <w:rsid w:val="005C01B9"/>
    <w:rsid w:val="005C1A8C"/>
    <w:rsid w:val="005C1F7E"/>
    <w:rsid w:val="005C5489"/>
    <w:rsid w:val="005C58E9"/>
    <w:rsid w:val="005C631B"/>
    <w:rsid w:val="005D0639"/>
    <w:rsid w:val="005D1A6A"/>
    <w:rsid w:val="005D2BF6"/>
    <w:rsid w:val="005D78D8"/>
    <w:rsid w:val="005E3006"/>
    <w:rsid w:val="005E64E5"/>
    <w:rsid w:val="005E6E3B"/>
    <w:rsid w:val="005F7EEF"/>
    <w:rsid w:val="006019D5"/>
    <w:rsid w:val="00603383"/>
    <w:rsid w:val="00607F2B"/>
    <w:rsid w:val="00610C5F"/>
    <w:rsid w:val="00611E46"/>
    <w:rsid w:val="00613585"/>
    <w:rsid w:val="00622742"/>
    <w:rsid w:val="00622CBB"/>
    <w:rsid w:val="00623409"/>
    <w:rsid w:val="00623E1B"/>
    <w:rsid w:val="006305C5"/>
    <w:rsid w:val="00630B97"/>
    <w:rsid w:val="00632869"/>
    <w:rsid w:val="00634957"/>
    <w:rsid w:val="00634F81"/>
    <w:rsid w:val="00637B56"/>
    <w:rsid w:val="00641466"/>
    <w:rsid w:val="00642060"/>
    <w:rsid w:val="00647764"/>
    <w:rsid w:val="006502C2"/>
    <w:rsid w:val="00650729"/>
    <w:rsid w:val="00653641"/>
    <w:rsid w:val="00656EEF"/>
    <w:rsid w:val="0066035D"/>
    <w:rsid w:val="0066321D"/>
    <w:rsid w:val="006638B2"/>
    <w:rsid w:val="006642D6"/>
    <w:rsid w:val="00666DB3"/>
    <w:rsid w:val="00666DCD"/>
    <w:rsid w:val="00667330"/>
    <w:rsid w:val="006814D0"/>
    <w:rsid w:val="00685E28"/>
    <w:rsid w:val="00691493"/>
    <w:rsid w:val="006914ED"/>
    <w:rsid w:val="006A6EA7"/>
    <w:rsid w:val="006B2141"/>
    <w:rsid w:val="006B3595"/>
    <w:rsid w:val="006B5EE3"/>
    <w:rsid w:val="006B67BE"/>
    <w:rsid w:val="006B741D"/>
    <w:rsid w:val="006C10E0"/>
    <w:rsid w:val="006C16D9"/>
    <w:rsid w:val="006C50AF"/>
    <w:rsid w:val="006C5D86"/>
    <w:rsid w:val="006C7494"/>
    <w:rsid w:val="006D2A80"/>
    <w:rsid w:val="006D414E"/>
    <w:rsid w:val="006D5561"/>
    <w:rsid w:val="006D631E"/>
    <w:rsid w:val="006E5D58"/>
    <w:rsid w:val="006E6D75"/>
    <w:rsid w:val="006E7A75"/>
    <w:rsid w:val="006F14A2"/>
    <w:rsid w:val="006F17D8"/>
    <w:rsid w:val="006F1AAA"/>
    <w:rsid w:val="006F2429"/>
    <w:rsid w:val="006F2553"/>
    <w:rsid w:val="006F7960"/>
    <w:rsid w:val="007073D7"/>
    <w:rsid w:val="0071420D"/>
    <w:rsid w:val="00717A3B"/>
    <w:rsid w:val="00721271"/>
    <w:rsid w:val="00730479"/>
    <w:rsid w:val="007313A2"/>
    <w:rsid w:val="00731600"/>
    <w:rsid w:val="00732427"/>
    <w:rsid w:val="00733778"/>
    <w:rsid w:val="0073532E"/>
    <w:rsid w:val="00742F67"/>
    <w:rsid w:val="00743122"/>
    <w:rsid w:val="0074711C"/>
    <w:rsid w:val="00762B89"/>
    <w:rsid w:val="007638F5"/>
    <w:rsid w:val="00764902"/>
    <w:rsid w:val="0077000C"/>
    <w:rsid w:val="007709E8"/>
    <w:rsid w:val="007715F6"/>
    <w:rsid w:val="00773A5D"/>
    <w:rsid w:val="0077697D"/>
    <w:rsid w:val="00780582"/>
    <w:rsid w:val="007823FC"/>
    <w:rsid w:val="00783642"/>
    <w:rsid w:val="00785940"/>
    <w:rsid w:val="00786263"/>
    <w:rsid w:val="007913FA"/>
    <w:rsid w:val="00794B72"/>
    <w:rsid w:val="00794DD3"/>
    <w:rsid w:val="007952EC"/>
    <w:rsid w:val="007A05AC"/>
    <w:rsid w:val="007A1935"/>
    <w:rsid w:val="007A4089"/>
    <w:rsid w:val="007B0738"/>
    <w:rsid w:val="007B0E95"/>
    <w:rsid w:val="007C0865"/>
    <w:rsid w:val="007C3864"/>
    <w:rsid w:val="007C3991"/>
    <w:rsid w:val="007C3AD3"/>
    <w:rsid w:val="007D4F37"/>
    <w:rsid w:val="007E6B73"/>
    <w:rsid w:val="007F1A50"/>
    <w:rsid w:val="007F247A"/>
    <w:rsid w:val="007F4546"/>
    <w:rsid w:val="007F5DF5"/>
    <w:rsid w:val="007F717C"/>
    <w:rsid w:val="007F7579"/>
    <w:rsid w:val="00802896"/>
    <w:rsid w:val="00803856"/>
    <w:rsid w:val="00806D6B"/>
    <w:rsid w:val="0081051C"/>
    <w:rsid w:val="00812CC3"/>
    <w:rsid w:val="008170A9"/>
    <w:rsid w:val="008201A8"/>
    <w:rsid w:val="00823489"/>
    <w:rsid w:val="00823726"/>
    <w:rsid w:val="00825815"/>
    <w:rsid w:val="00826BE6"/>
    <w:rsid w:val="00833CDA"/>
    <w:rsid w:val="0083563A"/>
    <w:rsid w:val="008360EB"/>
    <w:rsid w:val="00837A66"/>
    <w:rsid w:val="008410DD"/>
    <w:rsid w:val="00841B04"/>
    <w:rsid w:val="00846F64"/>
    <w:rsid w:val="008663BA"/>
    <w:rsid w:val="008675F2"/>
    <w:rsid w:val="00873228"/>
    <w:rsid w:val="00875D95"/>
    <w:rsid w:val="008766BC"/>
    <w:rsid w:val="00877F3F"/>
    <w:rsid w:val="008806E8"/>
    <w:rsid w:val="00882387"/>
    <w:rsid w:val="00892002"/>
    <w:rsid w:val="00892F37"/>
    <w:rsid w:val="00896E5C"/>
    <w:rsid w:val="008A2C4E"/>
    <w:rsid w:val="008A5551"/>
    <w:rsid w:val="008A7FB0"/>
    <w:rsid w:val="008B2CBA"/>
    <w:rsid w:val="008B4C55"/>
    <w:rsid w:val="008B5013"/>
    <w:rsid w:val="008B5601"/>
    <w:rsid w:val="008C0217"/>
    <w:rsid w:val="008C310C"/>
    <w:rsid w:val="008C6DA9"/>
    <w:rsid w:val="008D21F0"/>
    <w:rsid w:val="008E3EBD"/>
    <w:rsid w:val="008E4D22"/>
    <w:rsid w:val="008E4DDE"/>
    <w:rsid w:val="008F4234"/>
    <w:rsid w:val="008F518F"/>
    <w:rsid w:val="00901219"/>
    <w:rsid w:val="00905009"/>
    <w:rsid w:val="009061BA"/>
    <w:rsid w:val="009076AA"/>
    <w:rsid w:val="00907B5C"/>
    <w:rsid w:val="009104A9"/>
    <w:rsid w:val="0091242C"/>
    <w:rsid w:val="009150EC"/>
    <w:rsid w:val="00915495"/>
    <w:rsid w:val="009357E2"/>
    <w:rsid w:val="00935966"/>
    <w:rsid w:val="00941322"/>
    <w:rsid w:val="00941622"/>
    <w:rsid w:val="00941ECF"/>
    <w:rsid w:val="009549CC"/>
    <w:rsid w:val="00955A6C"/>
    <w:rsid w:val="00963AD0"/>
    <w:rsid w:val="00965932"/>
    <w:rsid w:val="009730E5"/>
    <w:rsid w:val="009761E7"/>
    <w:rsid w:val="0097741A"/>
    <w:rsid w:val="00981C05"/>
    <w:rsid w:val="00983215"/>
    <w:rsid w:val="00983F70"/>
    <w:rsid w:val="009909F2"/>
    <w:rsid w:val="00993552"/>
    <w:rsid w:val="00996D06"/>
    <w:rsid w:val="009A1ED7"/>
    <w:rsid w:val="009A1F7D"/>
    <w:rsid w:val="009A557A"/>
    <w:rsid w:val="009A5C0D"/>
    <w:rsid w:val="009A77EF"/>
    <w:rsid w:val="009B4572"/>
    <w:rsid w:val="009D03C3"/>
    <w:rsid w:val="009D1B15"/>
    <w:rsid w:val="009D1EEA"/>
    <w:rsid w:val="009D271A"/>
    <w:rsid w:val="009D2B3B"/>
    <w:rsid w:val="009D3BE0"/>
    <w:rsid w:val="009D68B2"/>
    <w:rsid w:val="009E345B"/>
    <w:rsid w:val="009E3C9E"/>
    <w:rsid w:val="009E742E"/>
    <w:rsid w:val="00A0202C"/>
    <w:rsid w:val="00A027C8"/>
    <w:rsid w:val="00A101EF"/>
    <w:rsid w:val="00A11596"/>
    <w:rsid w:val="00A1269E"/>
    <w:rsid w:val="00A126B1"/>
    <w:rsid w:val="00A126DB"/>
    <w:rsid w:val="00A1320A"/>
    <w:rsid w:val="00A14736"/>
    <w:rsid w:val="00A21B37"/>
    <w:rsid w:val="00A23546"/>
    <w:rsid w:val="00A23F19"/>
    <w:rsid w:val="00A24FFF"/>
    <w:rsid w:val="00A30B23"/>
    <w:rsid w:val="00A3178F"/>
    <w:rsid w:val="00A35B8F"/>
    <w:rsid w:val="00A40D98"/>
    <w:rsid w:val="00A463DC"/>
    <w:rsid w:val="00A47F28"/>
    <w:rsid w:val="00A53C29"/>
    <w:rsid w:val="00A61391"/>
    <w:rsid w:val="00A61FBF"/>
    <w:rsid w:val="00A621AE"/>
    <w:rsid w:val="00A6437D"/>
    <w:rsid w:val="00A674BB"/>
    <w:rsid w:val="00A74ADA"/>
    <w:rsid w:val="00A76177"/>
    <w:rsid w:val="00A77049"/>
    <w:rsid w:val="00A80844"/>
    <w:rsid w:val="00A80959"/>
    <w:rsid w:val="00A82224"/>
    <w:rsid w:val="00A82719"/>
    <w:rsid w:val="00A82E69"/>
    <w:rsid w:val="00A854B6"/>
    <w:rsid w:val="00A9133D"/>
    <w:rsid w:val="00A92546"/>
    <w:rsid w:val="00AA6D09"/>
    <w:rsid w:val="00AB065F"/>
    <w:rsid w:val="00AB21A5"/>
    <w:rsid w:val="00AB47B5"/>
    <w:rsid w:val="00AB76E3"/>
    <w:rsid w:val="00AB7DC7"/>
    <w:rsid w:val="00AC28B5"/>
    <w:rsid w:val="00AC3DC3"/>
    <w:rsid w:val="00AC537B"/>
    <w:rsid w:val="00AD00A2"/>
    <w:rsid w:val="00AD2193"/>
    <w:rsid w:val="00AE40BD"/>
    <w:rsid w:val="00AF16CA"/>
    <w:rsid w:val="00AF1EA1"/>
    <w:rsid w:val="00AF3458"/>
    <w:rsid w:val="00AF5AE9"/>
    <w:rsid w:val="00AF5D14"/>
    <w:rsid w:val="00AF61D9"/>
    <w:rsid w:val="00AF7306"/>
    <w:rsid w:val="00B0066E"/>
    <w:rsid w:val="00B01857"/>
    <w:rsid w:val="00B122F3"/>
    <w:rsid w:val="00B14C82"/>
    <w:rsid w:val="00B203EB"/>
    <w:rsid w:val="00B2186A"/>
    <w:rsid w:val="00B22BA2"/>
    <w:rsid w:val="00B25FAC"/>
    <w:rsid w:val="00B260B5"/>
    <w:rsid w:val="00B305B8"/>
    <w:rsid w:val="00B36457"/>
    <w:rsid w:val="00B373EB"/>
    <w:rsid w:val="00B40F08"/>
    <w:rsid w:val="00B435A1"/>
    <w:rsid w:val="00B4793E"/>
    <w:rsid w:val="00B50ABB"/>
    <w:rsid w:val="00B53631"/>
    <w:rsid w:val="00B71500"/>
    <w:rsid w:val="00B72055"/>
    <w:rsid w:val="00B7510A"/>
    <w:rsid w:val="00B90EF0"/>
    <w:rsid w:val="00B93878"/>
    <w:rsid w:val="00B9657C"/>
    <w:rsid w:val="00B96A24"/>
    <w:rsid w:val="00B97A5D"/>
    <w:rsid w:val="00BA0CC5"/>
    <w:rsid w:val="00BA2E66"/>
    <w:rsid w:val="00BB115F"/>
    <w:rsid w:val="00BB1191"/>
    <w:rsid w:val="00BC0604"/>
    <w:rsid w:val="00BC279D"/>
    <w:rsid w:val="00BC7DE2"/>
    <w:rsid w:val="00BD0165"/>
    <w:rsid w:val="00BD0764"/>
    <w:rsid w:val="00BD352D"/>
    <w:rsid w:val="00BD765D"/>
    <w:rsid w:val="00BE07C1"/>
    <w:rsid w:val="00BE26B1"/>
    <w:rsid w:val="00BF04FE"/>
    <w:rsid w:val="00BF2302"/>
    <w:rsid w:val="00BF59A5"/>
    <w:rsid w:val="00BF7AA4"/>
    <w:rsid w:val="00C10D88"/>
    <w:rsid w:val="00C13158"/>
    <w:rsid w:val="00C223C8"/>
    <w:rsid w:val="00C243D2"/>
    <w:rsid w:val="00C25302"/>
    <w:rsid w:val="00C26947"/>
    <w:rsid w:val="00C30ABF"/>
    <w:rsid w:val="00C35E83"/>
    <w:rsid w:val="00C36EF2"/>
    <w:rsid w:val="00C44DF8"/>
    <w:rsid w:val="00C51267"/>
    <w:rsid w:val="00C51767"/>
    <w:rsid w:val="00C557F4"/>
    <w:rsid w:val="00C57768"/>
    <w:rsid w:val="00C6004D"/>
    <w:rsid w:val="00C6113B"/>
    <w:rsid w:val="00C61717"/>
    <w:rsid w:val="00C6347C"/>
    <w:rsid w:val="00C64461"/>
    <w:rsid w:val="00C748AF"/>
    <w:rsid w:val="00C80F01"/>
    <w:rsid w:val="00C8446F"/>
    <w:rsid w:val="00C860B9"/>
    <w:rsid w:val="00C8752A"/>
    <w:rsid w:val="00C902B9"/>
    <w:rsid w:val="00C97752"/>
    <w:rsid w:val="00C97FC1"/>
    <w:rsid w:val="00CA5C77"/>
    <w:rsid w:val="00CB0454"/>
    <w:rsid w:val="00CB4918"/>
    <w:rsid w:val="00CB7F0C"/>
    <w:rsid w:val="00CC19BF"/>
    <w:rsid w:val="00CC35DD"/>
    <w:rsid w:val="00CC3718"/>
    <w:rsid w:val="00CD52A6"/>
    <w:rsid w:val="00CE0C10"/>
    <w:rsid w:val="00CE1E66"/>
    <w:rsid w:val="00CE40A1"/>
    <w:rsid w:val="00CE563D"/>
    <w:rsid w:val="00CE62B4"/>
    <w:rsid w:val="00D01489"/>
    <w:rsid w:val="00D0260C"/>
    <w:rsid w:val="00D07E8D"/>
    <w:rsid w:val="00D123B5"/>
    <w:rsid w:val="00D16863"/>
    <w:rsid w:val="00D16EBC"/>
    <w:rsid w:val="00D17565"/>
    <w:rsid w:val="00D20FEB"/>
    <w:rsid w:val="00D23E62"/>
    <w:rsid w:val="00D25531"/>
    <w:rsid w:val="00D25B5D"/>
    <w:rsid w:val="00D323C2"/>
    <w:rsid w:val="00D32E4F"/>
    <w:rsid w:val="00D36E6A"/>
    <w:rsid w:val="00D40066"/>
    <w:rsid w:val="00D405A6"/>
    <w:rsid w:val="00D4199F"/>
    <w:rsid w:val="00D4630E"/>
    <w:rsid w:val="00D46BF3"/>
    <w:rsid w:val="00D47147"/>
    <w:rsid w:val="00D510C1"/>
    <w:rsid w:val="00D52EAC"/>
    <w:rsid w:val="00D57B20"/>
    <w:rsid w:val="00D66183"/>
    <w:rsid w:val="00D66336"/>
    <w:rsid w:val="00D67FCB"/>
    <w:rsid w:val="00D702BE"/>
    <w:rsid w:val="00D7511D"/>
    <w:rsid w:val="00D80254"/>
    <w:rsid w:val="00D804CB"/>
    <w:rsid w:val="00D9544D"/>
    <w:rsid w:val="00DA0C2B"/>
    <w:rsid w:val="00DA199F"/>
    <w:rsid w:val="00DA3C1C"/>
    <w:rsid w:val="00DA5A1B"/>
    <w:rsid w:val="00DA6E2B"/>
    <w:rsid w:val="00DB1DDC"/>
    <w:rsid w:val="00DB441D"/>
    <w:rsid w:val="00DB6703"/>
    <w:rsid w:val="00DC12BB"/>
    <w:rsid w:val="00DC4485"/>
    <w:rsid w:val="00DC6B26"/>
    <w:rsid w:val="00DC73AF"/>
    <w:rsid w:val="00DC7C6E"/>
    <w:rsid w:val="00DD42B1"/>
    <w:rsid w:val="00DD688C"/>
    <w:rsid w:val="00DE022E"/>
    <w:rsid w:val="00DE2DFB"/>
    <w:rsid w:val="00DE4C9E"/>
    <w:rsid w:val="00DF1383"/>
    <w:rsid w:val="00DF189E"/>
    <w:rsid w:val="00DF3532"/>
    <w:rsid w:val="00DF380D"/>
    <w:rsid w:val="00DF49A2"/>
    <w:rsid w:val="00E00362"/>
    <w:rsid w:val="00E011B9"/>
    <w:rsid w:val="00E11818"/>
    <w:rsid w:val="00E20436"/>
    <w:rsid w:val="00E227A1"/>
    <w:rsid w:val="00E232EA"/>
    <w:rsid w:val="00E27128"/>
    <w:rsid w:val="00E326F0"/>
    <w:rsid w:val="00E33288"/>
    <w:rsid w:val="00E41609"/>
    <w:rsid w:val="00E417A6"/>
    <w:rsid w:val="00E46146"/>
    <w:rsid w:val="00E514E5"/>
    <w:rsid w:val="00E533E9"/>
    <w:rsid w:val="00E65A1C"/>
    <w:rsid w:val="00E65CEB"/>
    <w:rsid w:val="00E6704B"/>
    <w:rsid w:val="00E719FE"/>
    <w:rsid w:val="00E74580"/>
    <w:rsid w:val="00E7463C"/>
    <w:rsid w:val="00E75435"/>
    <w:rsid w:val="00E75EAD"/>
    <w:rsid w:val="00E76829"/>
    <w:rsid w:val="00E77500"/>
    <w:rsid w:val="00E80BC5"/>
    <w:rsid w:val="00E9102C"/>
    <w:rsid w:val="00E9509F"/>
    <w:rsid w:val="00E97328"/>
    <w:rsid w:val="00E973F1"/>
    <w:rsid w:val="00EA0AB9"/>
    <w:rsid w:val="00EA6573"/>
    <w:rsid w:val="00EB6FA1"/>
    <w:rsid w:val="00EC0585"/>
    <w:rsid w:val="00EC5E32"/>
    <w:rsid w:val="00ED11DC"/>
    <w:rsid w:val="00ED6A15"/>
    <w:rsid w:val="00EE4537"/>
    <w:rsid w:val="00EF2FC2"/>
    <w:rsid w:val="00EF6057"/>
    <w:rsid w:val="00EF6140"/>
    <w:rsid w:val="00EF65EB"/>
    <w:rsid w:val="00EF66E7"/>
    <w:rsid w:val="00F043FA"/>
    <w:rsid w:val="00F173B4"/>
    <w:rsid w:val="00F31635"/>
    <w:rsid w:val="00F33AEE"/>
    <w:rsid w:val="00F33CB1"/>
    <w:rsid w:val="00F37918"/>
    <w:rsid w:val="00F42EAB"/>
    <w:rsid w:val="00F4413A"/>
    <w:rsid w:val="00F504D0"/>
    <w:rsid w:val="00F52C49"/>
    <w:rsid w:val="00F52DAF"/>
    <w:rsid w:val="00F56FF1"/>
    <w:rsid w:val="00F64652"/>
    <w:rsid w:val="00F72EF1"/>
    <w:rsid w:val="00F805C6"/>
    <w:rsid w:val="00F8417B"/>
    <w:rsid w:val="00F84A57"/>
    <w:rsid w:val="00F851AC"/>
    <w:rsid w:val="00F85916"/>
    <w:rsid w:val="00F86A17"/>
    <w:rsid w:val="00F91B23"/>
    <w:rsid w:val="00F95F11"/>
    <w:rsid w:val="00FA0424"/>
    <w:rsid w:val="00FA2730"/>
    <w:rsid w:val="00FA288C"/>
    <w:rsid w:val="00FB1BEB"/>
    <w:rsid w:val="00FC134D"/>
    <w:rsid w:val="00FC40C4"/>
    <w:rsid w:val="00FC447C"/>
    <w:rsid w:val="00FC4D57"/>
    <w:rsid w:val="00FC5F4D"/>
    <w:rsid w:val="00FD2DFF"/>
    <w:rsid w:val="00FD3A66"/>
    <w:rsid w:val="00FD5660"/>
    <w:rsid w:val="00FD58F1"/>
    <w:rsid w:val="00FD6D9B"/>
    <w:rsid w:val="00FD7844"/>
    <w:rsid w:val="00FE09F8"/>
    <w:rsid w:val="00FE3212"/>
    <w:rsid w:val="00FE666F"/>
    <w:rsid w:val="00FF1E9F"/>
    <w:rsid w:val="00FF2BA3"/>
    <w:rsid w:val="00FF5B9D"/>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1B9B884"/>
  <w15:docId w15:val="{B6D6D598-27A3-48FB-9B54-7F64BAA1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before="288" w:afterLines="120" w:after="288"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link w:val="FooterChar"/>
    <w:uiPriority w:val="99"/>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styleId="TOC5">
    <w:name w:val="toc 5"/>
    <w:basedOn w:val="Normal"/>
    <w:next w:val="Normal"/>
    <w:autoRedefine/>
    <w:uiPriority w:val="39"/>
    <w:unhideWhenUsed/>
    <w:rsid w:val="001B5E26"/>
    <w:pPr>
      <w:ind w:left="880"/>
    </w:pPr>
  </w:style>
  <w:style w:type="paragraph" w:customStyle="1" w:styleId="C2-CtrSglSp">
    <w:name w:val="C2-Ctr Sgl Sp"/>
    <w:rsid w:val="001B5E26"/>
    <w:pPr>
      <w:keepLines/>
      <w:spacing w:line="240" w:lineRule="atLeast"/>
      <w:jc w:val="center"/>
    </w:pPr>
    <w:rPr>
      <w:sz w:val="22"/>
    </w:rPr>
  </w:style>
  <w:style w:type="paragraph" w:styleId="FootnoteText">
    <w:name w:val="footnote text"/>
    <w:aliases w:val="F1"/>
    <w:link w:val="FootnoteTextChar"/>
    <w:semiHidden/>
    <w:rsid w:val="001B5E26"/>
    <w:pPr>
      <w:tabs>
        <w:tab w:val="left" w:pos="120"/>
      </w:tabs>
      <w:spacing w:before="120" w:line="200" w:lineRule="atLeast"/>
      <w:ind w:left="115" w:hanging="115"/>
      <w:jc w:val="both"/>
    </w:pPr>
    <w:rPr>
      <w:sz w:val="16"/>
    </w:rPr>
  </w:style>
  <w:style w:type="character" w:customStyle="1" w:styleId="FootnoteTextChar">
    <w:name w:val="Footnote Text Char"/>
    <w:aliases w:val="F1 Char"/>
    <w:link w:val="FootnoteText"/>
    <w:semiHidden/>
    <w:rsid w:val="001B5E26"/>
    <w:rPr>
      <w:sz w:val="16"/>
      <w:lang w:val="en-US" w:eastAsia="en-US" w:bidi="ar-SA"/>
    </w:rPr>
  </w:style>
  <w:style w:type="character" w:styleId="FootnoteReference">
    <w:name w:val="footnote reference"/>
    <w:semiHidden/>
    <w:rsid w:val="001B5E26"/>
    <w:rPr>
      <w:vertAlign w:val="superscript"/>
    </w:rPr>
  </w:style>
  <w:style w:type="paragraph" w:customStyle="1" w:styleId="N1-1stBullet">
    <w:name w:val="N1-1st Bullet"/>
    <w:basedOn w:val="Normal"/>
    <w:link w:val="N1-1stBulletChar"/>
    <w:rsid w:val="001B5E26"/>
    <w:pPr>
      <w:tabs>
        <w:tab w:val="left" w:pos="1152"/>
      </w:tabs>
      <w:spacing w:after="240"/>
      <w:ind w:left="1152" w:hanging="576"/>
    </w:pPr>
  </w:style>
  <w:style w:type="paragraph" w:customStyle="1" w:styleId="L1-FlLSp12">
    <w:name w:val="L1-FlL Sp&amp;1/2"/>
    <w:link w:val="L1-FlLSp12Char"/>
    <w:rsid w:val="001B5E26"/>
    <w:pPr>
      <w:tabs>
        <w:tab w:val="left" w:pos="1152"/>
      </w:tabs>
      <w:spacing w:line="360" w:lineRule="atLeast"/>
      <w:jc w:val="both"/>
    </w:pPr>
    <w:rPr>
      <w:sz w:val="22"/>
    </w:rPr>
  </w:style>
  <w:style w:type="paragraph" w:customStyle="1" w:styleId="N2-2ndBullet">
    <w:name w:val="N2-2nd Bullet"/>
    <w:basedOn w:val="Normal"/>
    <w:rsid w:val="001B5E26"/>
    <w:pPr>
      <w:numPr>
        <w:numId w:val="9"/>
      </w:numPr>
      <w:tabs>
        <w:tab w:val="left" w:pos="576"/>
      </w:tabs>
      <w:spacing w:after="120"/>
      <w:ind w:left="576"/>
    </w:pPr>
  </w:style>
  <w:style w:type="paragraph" w:customStyle="1" w:styleId="SL-FlLftSgl">
    <w:name w:val="SL-Fl Lft Sgl"/>
    <w:rsid w:val="001B5E26"/>
    <w:pPr>
      <w:spacing w:line="240" w:lineRule="atLeast"/>
      <w:jc w:val="both"/>
    </w:pPr>
    <w:rPr>
      <w:sz w:val="22"/>
    </w:rPr>
  </w:style>
  <w:style w:type="paragraph" w:customStyle="1" w:styleId="TT-TableTitle">
    <w:name w:val="TT-Table Title"/>
    <w:rsid w:val="001B5E26"/>
    <w:pPr>
      <w:tabs>
        <w:tab w:val="left" w:pos="1152"/>
      </w:tabs>
      <w:spacing w:line="240" w:lineRule="atLeast"/>
      <w:ind w:left="1152" w:hanging="1152"/>
    </w:pPr>
    <w:rPr>
      <w:sz w:val="22"/>
    </w:rPr>
  </w:style>
  <w:style w:type="character" w:customStyle="1" w:styleId="P1-StandParaChar">
    <w:name w:val="P1-Stand Para Char"/>
    <w:link w:val="P1-StandPara"/>
    <w:rsid w:val="001B5E26"/>
    <w:rPr>
      <w:sz w:val="22"/>
      <w:lang w:val="en-US" w:eastAsia="en-US" w:bidi="ar-SA"/>
    </w:rPr>
  </w:style>
  <w:style w:type="character" w:customStyle="1" w:styleId="L1-FlLSp12Char">
    <w:name w:val="L1-FlL Sp&amp;1/2 Char"/>
    <w:link w:val="L1-FlLSp12"/>
    <w:rsid w:val="001B5E26"/>
    <w:rPr>
      <w:sz w:val="22"/>
      <w:lang w:val="en-US" w:eastAsia="en-US" w:bidi="ar-SA"/>
    </w:rPr>
  </w:style>
  <w:style w:type="character" w:customStyle="1" w:styleId="N1-1stBulletChar">
    <w:name w:val="N1-1st Bullet Char"/>
    <w:link w:val="N1-1stBullet"/>
    <w:rsid w:val="001B5E26"/>
    <w:rPr>
      <w:sz w:val="22"/>
    </w:rPr>
  </w:style>
  <w:style w:type="paragraph" w:customStyle="1" w:styleId="TH-TableHeading">
    <w:name w:val="TH-Table Heading"/>
    <w:basedOn w:val="Heading1"/>
    <w:rsid w:val="001B5E26"/>
    <w:pPr>
      <w:tabs>
        <w:tab w:val="clear" w:pos="1152"/>
      </w:tabs>
      <w:spacing w:after="0" w:line="240" w:lineRule="atLeast"/>
      <w:ind w:left="0" w:firstLine="0"/>
      <w:jc w:val="center"/>
    </w:pPr>
    <w:rPr>
      <w:rFonts w:ascii="Franklin Gothic Medium" w:hAnsi="Franklin Gothic Medium"/>
      <w:sz w:val="20"/>
    </w:rPr>
  </w:style>
  <w:style w:type="paragraph" w:customStyle="1" w:styleId="TX-TableText">
    <w:name w:val="TX-Table Text"/>
    <w:basedOn w:val="Normal"/>
    <w:rsid w:val="001B5E26"/>
    <w:pPr>
      <w:jc w:val="left"/>
    </w:pPr>
    <w:rPr>
      <w:rFonts w:ascii="Franklin Gothic Medium" w:hAnsi="Franklin Gothic Medium"/>
      <w:sz w:val="20"/>
    </w:rPr>
  </w:style>
  <w:style w:type="table" w:styleId="TableGrid">
    <w:name w:val="Table Grid"/>
    <w:basedOn w:val="TableNormal"/>
    <w:uiPriority w:val="59"/>
    <w:rsid w:val="001B5E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FlLftBullet">
    <w:name w:val="N0-Fl Lft Bullet"/>
    <w:basedOn w:val="Normal"/>
    <w:rsid w:val="00FC447C"/>
    <w:pPr>
      <w:tabs>
        <w:tab w:val="left" w:pos="576"/>
      </w:tabs>
      <w:spacing w:after="240"/>
      <w:ind w:left="576" w:hanging="576"/>
      <w:jc w:val="left"/>
    </w:pPr>
    <w:rPr>
      <w:rFonts w:ascii="Garamond" w:hAnsi="Garamond"/>
      <w:sz w:val="24"/>
    </w:rPr>
  </w:style>
  <w:style w:type="character" w:customStyle="1" w:styleId="FooterChar">
    <w:name w:val="Footer Char"/>
    <w:link w:val="Footer"/>
    <w:uiPriority w:val="99"/>
    <w:rsid w:val="00155FAC"/>
    <w:rPr>
      <w:sz w:val="22"/>
    </w:rPr>
  </w:style>
  <w:style w:type="character" w:styleId="CommentReference">
    <w:name w:val="annotation reference"/>
    <w:semiHidden/>
    <w:unhideWhenUsed/>
    <w:rsid w:val="00257144"/>
    <w:rPr>
      <w:sz w:val="16"/>
      <w:szCs w:val="16"/>
    </w:rPr>
  </w:style>
  <w:style w:type="paragraph" w:styleId="CommentText">
    <w:name w:val="annotation text"/>
    <w:basedOn w:val="Normal"/>
    <w:link w:val="CommentTextChar"/>
    <w:semiHidden/>
    <w:unhideWhenUsed/>
    <w:rsid w:val="00257144"/>
    <w:rPr>
      <w:sz w:val="20"/>
    </w:rPr>
  </w:style>
  <w:style w:type="character" w:customStyle="1" w:styleId="CommentTextChar">
    <w:name w:val="Comment Text Char"/>
    <w:basedOn w:val="DefaultParagraphFont"/>
    <w:link w:val="CommentText"/>
    <w:uiPriority w:val="99"/>
    <w:semiHidden/>
    <w:rsid w:val="00257144"/>
  </w:style>
  <w:style w:type="paragraph" w:styleId="CommentSubject">
    <w:name w:val="annotation subject"/>
    <w:basedOn w:val="CommentText"/>
    <w:next w:val="CommentText"/>
    <w:link w:val="CommentSubjectChar"/>
    <w:uiPriority w:val="99"/>
    <w:semiHidden/>
    <w:unhideWhenUsed/>
    <w:rsid w:val="00257144"/>
    <w:rPr>
      <w:b/>
      <w:bCs/>
    </w:rPr>
  </w:style>
  <w:style w:type="character" w:customStyle="1" w:styleId="CommentSubjectChar">
    <w:name w:val="Comment Subject Char"/>
    <w:link w:val="CommentSubject"/>
    <w:uiPriority w:val="99"/>
    <w:semiHidden/>
    <w:rsid w:val="00257144"/>
    <w:rPr>
      <w:b/>
      <w:bCs/>
    </w:rPr>
  </w:style>
  <w:style w:type="paragraph" w:styleId="BalloonText">
    <w:name w:val="Balloon Text"/>
    <w:basedOn w:val="Normal"/>
    <w:link w:val="BalloonTextChar"/>
    <w:uiPriority w:val="99"/>
    <w:semiHidden/>
    <w:unhideWhenUsed/>
    <w:rsid w:val="0025714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57144"/>
    <w:rPr>
      <w:rFonts w:ascii="Tahoma" w:hAnsi="Tahoma" w:cs="Tahoma"/>
      <w:sz w:val="16"/>
      <w:szCs w:val="16"/>
    </w:rPr>
  </w:style>
  <w:style w:type="character" w:customStyle="1" w:styleId="slug-doi">
    <w:name w:val="slug-doi"/>
    <w:basedOn w:val="DefaultParagraphFont"/>
    <w:rsid w:val="00D804CB"/>
  </w:style>
  <w:style w:type="character" w:customStyle="1" w:styleId="slug-ahead-of-print-date">
    <w:name w:val="slug-ahead-of-print-date"/>
    <w:basedOn w:val="DefaultParagraphFont"/>
    <w:rsid w:val="00D804CB"/>
  </w:style>
  <w:style w:type="paragraph" w:styleId="Revision">
    <w:name w:val="Revision"/>
    <w:hidden/>
    <w:uiPriority w:val="99"/>
    <w:semiHidden/>
    <w:rsid w:val="00D52E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214">
      <w:bodyDiv w:val="1"/>
      <w:marLeft w:val="0"/>
      <w:marRight w:val="0"/>
      <w:marTop w:val="0"/>
      <w:marBottom w:val="0"/>
      <w:divBdr>
        <w:top w:val="none" w:sz="0" w:space="0" w:color="auto"/>
        <w:left w:val="none" w:sz="0" w:space="0" w:color="auto"/>
        <w:bottom w:val="none" w:sz="0" w:space="0" w:color="auto"/>
        <w:right w:val="none" w:sz="0" w:space="0" w:color="auto"/>
      </w:divBdr>
    </w:div>
    <w:div w:id="247082139">
      <w:bodyDiv w:val="1"/>
      <w:marLeft w:val="0"/>
      <w:marRight w:val="0"/>
      <w:marTop w:val="0"/>
      <w:marBottom w:val="0"/>
      <w:divBdr>
        <w:top w:val="none" w:sz="0" w:space="0" w:color="auto"/>
        <w:left w:val="none" w:sz="0" w:space="0" w:color="auto"/>
        <w:bottom w:val="none" w:sz="0" w:space="0" w:color="auto"/>
        <w:right w:val="none" w:sz="0" w:space="0" w:color="auto"/>
      </w:divBdr>
    </w:div>
    <w:div w:id="468716138">
      <w:bodyDiv w:val="1"/>
      <w:marLeft w:val="0"/>
      <w:marRight w:val="0"/>
      <w:marTop w:val="0"/>
      <w:marBottom w:val="0"/>
      <w:divBdr>
        <w:top w:val="none" w:sz="0" w:space="0" w:color="auto"/>
        <w:left w:val="none" w:sz="0" w:space="0" w:color="auto"/>
        <w:bottom w:val="none" w:sz="0" w:space="0" w:color="auto"/>
        <w:right w:val="none" w:sz="0" w:space="0" w:color="auto"/>
      </w:divBdr>
    </w:div>
    <w:div w:id="623583879">
      <w:bodyDiv w:val="1"/>
      <w:marLeft w:val="0"/>
      <w:marRight w:val="0"/>
      <w:marTop w:val="0"/>
      <w:marBottom w:val="0"/>
      <w:divBdr>
        <w:top w:val="none" w:sz="0" w:space="0" w:color="auto"/>
        <w:left w:val="none" w:sz="0" w:space="0" w:color="auto"/>
        <w:bottom w:val="none" w:sz="0" w:space="0" w:color="auto"/>
        <w:right w:val="none" w:sz="0" w:space="0" w:color="auto"/>
      </w:divBdr>
    </w:div>
    <w:div w:id="1561747406">
      <w:bodyDiv w:val="1"/>
      <w:marLeft w:val="0"/>
      <w:marRight w:val="0"/>
      <w:marTop w:val="0"/>
      <w:marBottom w:val="0"/>
      <w:divBdr>
        <w:top w:val="none" w:sz="0" w:space="0" w:color="auto"/>
        <w:left w:val="none" w:sz="0" w:space="0" w:color="auto"/>
        <w:bottom w:val="none" w:sz="0" w:space="0" w:color="auto"/>
        <w:right w:val="none" w:sz="0" w:space="0" w:color="auto"/>
      </w:divBdr>
    </w:div>
    <w:div w:id="20294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CB024-EE8D-4C87-99BD-2216B064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28584</CharactersWithSpaces>
  <SharedDoc>false</SharedDoc>
  <HLinks>
    <vt:vector size="6" baseType="variant">
      <vt:variant>
        <vt:i4>1376359</vt:i4>
      </vt:variant>
      <vt:variant>
        <vt:i4>3</vt:i4>
      </vt:variant>
      <vt:variant>
        <vt:i4>0</vt:i4>
      </vt:variant>
      <vt:variant>
        <vt:i4>5</vt:i4>
      </vt:variant>
      <vt:variant>
        <vt:lpwstr>mailto:NCI_OMB_Clearance@mail.nih.gov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Bailey, Karla (NIH/NCI) [E]</cp:lastModifiedBy>
  <cp:revision>3</cp:revision>
  <cp:lastPrinted>2016-05-05T12:06:00Z</cp:lastPrinted>
  <dcterms:created xsi:type="dcterms:W3CDTF">2016-08-16T18:10:00Z</dcterms:created>
  <dcterms:modified xsi:type="dcterms:W3CDTF">2016-08-18T15:05:00Z</dcterms:modified>
</cp:coreProperties>
</file>