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C5B37" w14:textId="6C0EAC31" w:rsidR="003D5858" w:rsidRPr="0003232D" w:rsidRDefault="009D6650" w:rsidP="00AA131B">
      <w:pPr>
        <w:spacing w:line="240" w:lineRule="auto"/>
        <w:ind w:left="0"/>
        <w:jc w:val="center"/>
        <w:rPr>
          <w:b/>
        </w:rPr>
      </w:pPr>
      <w:bookmarkStart w:id="0" w:name="_GoBack"/>
      <w:r>
        <w:rPr>
          <w:b/>
        </w:rPr>
        <w:t>Intervention Resources</w:t>
      </w:r>
      <w:r w:rsidRPr="0003232D">
        <w:rPr>
          <w:b/>
        </w:rPr>
        <w:t xml:space="preserve"> </w:t>
      </w:r>
      <w:r w:rsidR="003D5858" w:rsidRPr="0003232D">
        <w:rPr>
          <w:b/>
        </w:rPr>
        <w:t>Concept Testing</w:t>
      </w:r>
    </w:p>
    <w:bookmarkEnd w:id="0"/>
    <w:p w14:paraId="27AC5B38" w14:textId="77777777" w:rsidR="003D5858" w:rsidRPr="003D5858" w:rsidRDefault="003D5858" w:rsidP="00A07BE0">
      <w:pPr>
        <w:spacing w:line="240" w:lineRule="auto"/>
        <w:ind w:left="0"/>
      </w:pPr>
    </w:p>
    <w:p w14:paraId="27AC5B39" w14:textId="77777777" w:rsidR="003D5858" w:rsidRPr="00BA62E9" w:rsidRDefault="003D5858" w:rsidP="009D6650">
      <w:pPr>
        <w:pStyle w:val="ListParagraph"/>
        <w:numPr>
          <w:ilvl w:val="0"/>
          <w:numId w:val="29"/>
        </w:numPr>
        <w:ind w:left="360"/>
        <w:rPr>
          <w:b/>
          <w:sz w:val="24"/>
          <w:szCs w:val="24"/>
        </w:rPr>
      </w:pPr>
      <w:r w:rsidRPr="00BA62E9">
        <w:rPr>
          <w:b/>
          <w:sz w:val="24"/>
          <w:szCs w:val="24"/>
        </w:rPr>
        <w:t xml:space="preserve">Product Activity </w:t>
      </w:r>
      <w:r w:rsidR="00907974">
        <w:rPr>
          <w:b/>
          <w:sz w:val="24"/>
          <w:szCs w:val="24"/>
        </w:rPr>
        <w:t>T</w:t>
      </w:r>
      <w:r w:rsidRPr="00BA62E9">
        <w:rPr>
          <w:b/>
          <w:sz w:val="24"/>
          <w:szCs w:val="24"/>
        </w:rPr>
        <w:t xml:space="preserve">o </w:t>
      </w:r>
      <w:r w:rsidR="00907974">
        <w:rPr>
          <w:b/>
          <w:sz w:val="24"/>
          <w:szCs w:val="24"/>
        </w:rPr>
        <w:t>B</w:t>
      </w:r>
      <w:r w:rsidRPr="00BA62E9">
        <w:rPr>
          <w:b/>
          <w:sz w:val="24"/>
          <w:szCs w:val="24"/>
        </w:rPr>
        <w:t xml:space="preserve">e Assessed </w:t>
      </w:r>
    </w:p>
    <w:p w14:paraId="27AC5B3A" w14:textId="77777777" w:rsidR="003D5858" w:rsidRDefault="003D5858" w:rsidP="003D5858">
      <w:pPr>
        <w:ind w:left="0"/>
      </w:pPr>
      <w:r w:rsidRPr="00BA62E9">
        <w:t xml:space="preserve">The Substance Abuse and Mental Health </w:t>
      </w:r>
      <w:r w:rsidRPr="00B80F44">
        <w:t>Services Administration (SAMHSA), Center for Substance Abuse Prevention</w:t>
      </w:r>
      <w:r w:rsidR="00072B54" w:rsidRPr="00B80F44">
        <w:t xml:space="preserve"> (CSAP)</w:t>
      </w:r>
      <w:r w:rsidRPr="00B80F44">
        <w:t xml:space="preserve"> </w:t>
      </w:r>
      <w:r w:rsidR="00B80F44" w:rsidRPr="00B80F44">
        <w:t xml:space="preserve">and the </w:t>
      </w:r>
      <w:r w:rsidR="00B80F44" w:rsidRPr="00B80F44">
        <w:rPr>
          <w:color w:val="auto"/>
        </w:rPr>
        <w:t>Division of Pharmacologic Therapies</w:t>
      </w:r>
      <w:r w:rsidR="00B80F44" w:rsidRPr="00B80F44">
        <w:rPr>
          <w:rFonts w:cs="Arial"/>
          <w:color w:val="auto"/>
        </w:rPr>
        <w:t xml:space="preserve"> (DPT), </w:t>
      </w:r>
      <w:r w:rsidRPr="00BA62E9">
        <w:t xml:space="preserve">is requesting </w:t>
      </w:r>
      <w:r w:rsidR="001D5B47">
        <w:t>Office of Management and Budget (</w:t>
      </w:r>
      <w:r w:rsidRPr="00BA62E9">
        <w:t>OMB</w:t>
      </w:r>
      <w:r w:rsidR="001D5B47">
        <w:t>)</w:t>
      </w:r>
      <w:r w:rsidRPr="00BA62E9">
        <w:t xml:space="preserve"> approval for one new focus group tool consisting of the following:</w:t>
      </w:r>
    </w:p>
    <w:p w14:paraId="27AC5B3B" w14:textId="77777777" w:rsidR="00D67946" w:rsidRPr="00BA62E9" w:rsidRDefault="00D67946" w:rsidP="003D5858">
      <w:pPr>
        <w:ind w:left="0"/>
      </w:pPr>
    </w:p>
    <w:p w14:paraId="27AC5B3C" w14:textId="17D1ECDD" w:rsidR="003D5858" w:rsidRPr="00BA62E9" w:rsidRDefault="00EB7381" w:rsidP="003D5858">
      <w:pPr>
        <w:pStyle w:val="ListParagraph"/>
        <w:numPr>
          <w:ilvl w:val="0"/>
          <w:numId w:val="28"/>
        </w:numPr>
        <w:spacing w:after="0" w:line="271" w:lineRule="auto"/>
        <w:rPr>
          <w:sz w:val="24"/>
          <w:szCs w:val="24"/>
        </w:rPr>
      </w:pPr>
      <w:r>
        <w:rPr>
          <w:sz w:val="24"/>
          <w:szCs w:val="24"/>
        </w:rPr>
        <w:t xml:space="preserve">Intervention Resources </w:t>
      </w:r>
      <w:r w:rsidR="003D5858" w:rsidRPr="00BA62E9">
        <w:rPr>
          <w:sz w:val="24"/>
          <w:szCs w:val="24"/>
        </w:rPr>
        <w:t>Focus Group Protocol (Attachment A)</w:t>
      </w:r>
      <w:r w:rsidR="00A87BE5">
        <w:rPr>
          <w:sz w:val="24"/>
          <w:szCs w:val="24"/>
        </w:rPr>
        <w:t>;</w:t>
      </w:r>
    </w:p>
    <w:p w14:paraId="27AC5B3D" w14:textId="6B788CDC" w:rsidR="003D5858" w:rsidRPr="00BA62E9" w:rsidRDefault="00EB7381" w:rsidP="003D5858">
      <w:pPr>
        <w:pStyle w:val="ListParagraph"/>
        <w:numPr>
          <w:ilvl w:val="0"/>
          <w:numId w:val="28"/>
        </w:numPr>
        <w:spacing w:after="0" w:line="271" w:lineRule="auto"/>
        <w:rPr>
          <w:sz w:val="24"/>
          <w:szCs w:val="24"/>
        </w:rPr>
      </w:pPr>
      <w:r>
        <w:rPr>
          <w:sz w:val="24"/>
          <w:szCs w:val="24"/>
        </w:rPr>
        <w:t>Intervention Resources</w:t>
      </w:r>
      <w:r w:rsidR="00631485">
        <w:rPr>
          <w:sz w:val="24"/>
          <w:szCs w:val="24"/>
        </w:rPr>
        <w:t xml:space="preserve"> </w:t>
      </w:r>
      <w:r w:rsidR="003D5858" w:rsidRPr="00BA62E9">
        <w:rPr>
          <w:sz w:val="24"/>
          <w:szCs w:val="24"/>
        </w:rPr>
        <w:t xml:space="preserve">Focus Group </w:t>
      </w:r>
      <w:r w:rsidR="003D5858" w:rsidRPr="004207AF">
        <w:rPr>
          <w:sz w:val="24"/>
          <w:szCs w:val="24"/>
        </w:rPr>
        <w:t xml:space="preserve">Screening </w:t>
      </w:r>
      <w:r w:rsidR="004207AF">
        <w:rPr>
          <w:sz w:val="24"/>
          <w:szCs w:val="24"/>
        </w:rPr>
        <w:t xml:space="preserve">and Recruitment </w:t>
      </w:r>
      <w:r w:rsidR="00907974" w:rsidRPr="004207AF">
        <w:rPr>
          <w:sz w:val="24"/>
          <w:szCs w:val="24"/>
        </w:rPr>
        <w:t>Questionnaire</w:t>
      </w:r>
      <w:r w:rsidR="00A87BE5">
        <w:rPr>
          <w:sz w:val="24"/>
          <w:szCs w:val="24"/>
        </w:rPr>
        <w:t xml:space="preserve"> </w:t>
      </w:r>
      <w:r w:rsidR="003D5858" w:rsidRPr="00BA62E9">
        <w:rPr>
          <w:sz w:val="24"/>
          <w:szCs w:val="24"/>
        </w:rPr>
        <w:t>(Attachment B)</w:t>
      </w:r>
      <w:r w:rsidR="00A87BE5">
        <w:rPr>
          <w:sz w:val="24"/>
          <w:szCs w:val="24"/>
        </w:rPr>
        <w:t>;</w:t>
      </w:r>
    </w:p>
    <w:p w14:paraId="27AC5B3E" w14:textId="0F25BCE0" w:rsidR="003D5858" w:rsidRPr="00BA62E9" w:rsidRDefault="00EB7381" w:rsidP="003D5858">
      <w:pPr>
        <w:pStyle w:val="ListParagraph"/>
        <w:numPr>
          <w:ilvl w:val="0"/>
          <w:numId w:val="28"/>
        </w:numPr>
        <w:spacing w:after="0" w:line="271" w:lineRule="auto"/>
        <w:rPr>
          <w:sz w:val="24"/>
          <w:szCs w:val="24"/>
        </w:rPr>
      </w:pPr>
      <w:r>
        <w:rPr>
          <w:sz w:val="24"/>
          <w:szCs w:val="24"/>
        </w:rPr>
        <w:t>Intervention Resources</w:t>
      </w:r>
      <w:r w:rsidR="003E18A5">
        <w:rPr>
          <w:sz w:val="24"/>
          <w:szCs w:val="24"/>
        </w:rPr>
        <w:t xml:space="preserve"> Focus Group </w:t>
      </w:r>
      <w:r w:rsidR="00135BB5">
        <w:rPr>
          <w:sz w:val="24"/>
          <w:szCs w:val="24"/>
        </w:rPr>
        <w:t>Authorization</w:t>
      </w:r>
      <w:r w:rsidR="00135BB5" w:rsidRPr="00BA62E9">
        <w:rPr>
          <w:sz w:val="24"/>
          <w:szCs w:val="24"/>
        </w:rPr>
        <w:t xml:space="preserve"> </w:t>
      </w:r>
      <w:r w:rsidR="003D5858" w:rsidRPr="00BA62E9">
        <w:rPr>
          <w:sz w:val="24"/>
          <w:szCs w:val="24"/>
        </w:rPr>
        <w:t xml:space="preserve">and </w:t>
      </w:r>
      <w:r w:rsidR="00CA4809">
        <w:rPr>
          <w:sz w:val="24"/>
          <w:szCs w:val="24"/>
        </w:rPr>
        <w:t>Release</w:t>
      </w:r>
      <w:r w:rsidR="00CA4809" w:rsidRPr="00BA62E9">
        <w:rPr>
          <w:sz w:val="24"/>
          <w:szCs w:val="24"/>
        </w:rPr>
        <w:t xml:space="preserve"> </w:t>
      </w:r>
      <w:r w:rsidR="003D5858" w:rsidRPr="00BA62E9">
        <w:rPr>
          <w:sz w:val="24"/>
          <w:szCs w:val="24"/>
        </w:rPr>
        <w:t>(Attachment C)</w:t>
      </w:r>
      <w:r>
        <w:rPr>
          <w:sz w:val="24"/>
          <w:szCs w:val="24"/>
        </w:rPr>
        <w:t>;</w:t>
      </w:r>
    </w:p>
    <w:p w14:paraId="162BE83B" w14:textId="5F51B073" w:rsidR="008A5D5E" w:rsidRDefault="00EB7381" w:rsidP="008A5D5E">
      <w:pPr>
        <w:pStyle w:val="ListParagraph"/>
        <w:numPr>
          <w:ilvl w:val="0"/>
          <w:numId w:val="28"/>
        </w:numPr>
        <w:spacing w:after="0" w:line="271" w:lineRule="auto"/>
        <w:rPr>
          <w:sz w:val="24"/>
          <w:szCs w:val="24"/>
        </w:rPr>
      </w:pPr>
      <w:r>
        <w:rPr>
          <w:sz w:val="24"/>
          <w:szCs w:val="24"/>
        </w:rPr>
        <w:t>Intervention Resources</w:t>
      </w:r>
      <w:r w:rsidR="00CA4809">
        <w:rPr>
          <w:sz w:val="24"/>
          <w:szCs w:val="24"/>
        </w:rPr>
        <w:t xml:space="preserve"> </w:t>
      </w:r>
      <w:r w:rsidR="00CA4809" w:rsidRPr="00BA62E9">
        <w:rPr>
          <w:sz w:val="24"/>
          <w:szCs w:val="24"/>
        </w:rPr>
        <w:t>F</w:t>
      </w:r>
      <w:r w:rsidR="00CA4809">
        <w:rPr>
          <w:sz w:val="24"/>
          <w:szCs w:val="24"/>
        </w:rPr>
        <w:t xml:space="preserve">ocus </w:t>
      </w:r>
      <w:r w:rsidR="003D5858" w:rsidRPr="00BA62E9">
        <w:rPr>
          <w:sz w:val="24"/>
          <w:szCs w:val="24"/>
        </w:rPr>
        <w:t>G</w:t>
      </w:r>
      <w:r w:rsidR="00CA4809">
        <w:rPr>
          <w:sz w:val="24"/>
          <w:szCs w:val="24"/>
        </w:rPr>
        <w:t>roup</w:t>
      </w:r>
      <w:r w:rsidR="003D5858" w:rsidRPr="00BA62E9">
        <w:rPr>
          <w:sz w:val="24"/>
          <w:szCs w:val="24"/>
        </w:rPr>
        <w:t xml:space="preserve"> Facilitator Guide</w:t>
      </w:r>
      <w:r>
        <w:rPr>
          <w:sz w:val="24"/>
          <w:szCs w:val="24"/>
        </w:rPr>
        <w:t xml:space="preserve"> – Parents </w:t>
      </w:r>
      <w:r w:rsidR="004B42FE">
        <w:rPr>
          <w:sz w:val="24"/>
          <w:szCs w:val="24"/>
        </w:rPr>
        <w:t>of</w:t>
      </w:r>
      <w:r>
        <w:rPr>
          <w:sz w:val="24"/>
          <w:szCs w:val="24"/>
        </w:rPr>
        <w:t xml:space="preserve"> Active/Recovering Users </w:t>
      </w:r>
      <w:r w:rsidR="003D5858" w:rsidRPr="00BA62E9">
        <w:rPr>
          <w:sz w:val="24"/>
          <w:szCs w:val="24"/>
        </w:rPr>
        <w:t>(Attachment D)</w:t>
      </w:r>
      <w:r>
        <w:rPr>
          <w:sz w:val="24"/>
          <w:szCs w:val="24"/>
        </w:rPr>
        <w:t>;</w:t>
      </w:r>
    </w:p>
    <w:p w14:paraId="50541853" w14:textId="6790AC33" w:rsidR="008A5D5E" w:rsidRDefault="00EB7381" w:rsidP="008A5D5E">
      <w:pPr>
        <w:pStyle w:val="ListParagraph"/>
        <w:numPr>
          <w:ilvl w:val="0"/>
          <w:numId w:val="28"/>
        </w:numPr>
        <w:spacing w:after="0" w:line="271" w:lineRule="auto"/>
        <w:rPr>
          <w:sz w:val="24"/>
          <w:szCs w:val="24"/>
        </w:rPr>
      </w:pPr>
      <w:r>
        <w:rPr>
          <w:sz w:val="24"/>
          <w:szCs w:val="24"/>
        </w:rPr>
        <w:t>Intervention Resources</w:t>
      </w:r>
      <w:r w:rsidR="008A5D5E">
        <w:rPr>
          <w:sz w:val="24"/>
          <w:szCs w:val="24"/>
        </w:rPr>
        <w:t xml:space="preserve"> </w:t>
      </w:r>
      <w:r w:rsidR="008A5D5E" w:rsidRPr="00BA62E9">
        <w:rPr>
          <w:sz w:val="24"/>
          <w:szCs w:val="24"/>
        </w:rPr>
        <w:t>F</w:t>
      </w:r>
      <w:r w:rsidR="008A5D5E">
        <w:rPr>
          <w:sz w:val="24"/>
          <w:szCs w:val="24"/>
        </w:rPr>
        <w:t xml:space="preserve">ocus </w:t>
      </w:r>
      <w:r w:rsidR="008A5D5E" w:rsidRPr="00BA62E9">
        <w:rPr>
          <w:sz w:val="24"/>
          <w:szCs w:val="24"/>
        </w:rPr>
        <w:t>G</w:t>
      </w:r>
      <w:r w:rsidR="008A5D5E">
        <w:rPr>
          <w:sz w:val="24"/>
          <w:szCs w:val="24"/>
        </w:rPr>
        <w:t>roup</w:t>
      </w:r>
      <w:r w:rsidR="008A5D5E" w:rsidRPr="00BA62E9">
        <w:rPr>
          <w:sz w:val="24"/>
          <w:szCs w:val="24"/>
        </w:rPr>
        <w:t xml:space="preserve"> Facilitator Guide</w:t>
      </w:r>
      <w:r w:rsidR="008A5D5E">
        <w:rPr>
          <w:sz w:val="24"/>
          <w:szCs w:val="24"/>
        </w:rPr>
        <w:t xml:space="preserve"> </w:t>
      </w:r>
      <w:r>
        <w:rPr>
          <w:sz w:val="24"/>
          <w:szCs w:val="24"/>
        </w:rPr>
        <w:t>–</w:t>
      </w:r>
      <w:r w:rsidR="008A5D5E">
        <w:rPr>
          <w:sz w:val="24"/>
          <w:szCs w:val="24"/>
        </w:rPr>
        <w:t xml:space="preserve"> </w:t>
      </w:r>
      <w:r>
        <w:rPr>
          <w:sz w:val="24"/>
          <w:szCs w:val="24"/>
        </w:rPr>
        <w:t>Bereaved Parents</w:t>
      </w:r>
      <w:r w:rsidR="008A5D5E">
        <w:rPr>
          <w:sz w:val="24"/>
          <w:szCs w:val="24"/>
        </w:rPr>
        <w:t xml:space="preserve"> (Attachment E</w:t>
      </w:r>
      <w:r w:rsidR="008A5D5E" w:rsidRPr="00BA62E9">
        <w:rPr>
          <w:sz w:val="24"/>
          <w:szCs w:val="24"/>
        </w:rPr>
        <w:t>)</w:t>
      </w:r>
      <w:r>
        <w:rPr>
          <w:sz w:val="24"/>
          <w:szCs w:val="24"/>
        </w:rPr>
        <w:t>; and</w:t>
      </w:r>
    </w:p>
    <w:p w14:paraId="77DA0760" w14:textId="279C20F4" w:rsidR="008A5D5E" w:rsidRPr="008A5D5E" w:rsidRDefault="00EB7381" w:rsidP="008A5D5E">
      <w:pPr>
        <w:pStyle w:val="ListParagraph"/>
        <w:numPr>
          <w:ilvl w:val="0"/>
          <w:numId w:val="28"/>
        </w:numPr>
        <w:spacing w:after="0" w:line="271" w:lineRule="auto"/>
        <w:rPr>
          <w:sz w:val="24"/>
          <w:szCs w:val="24"/>
        </w:rPr>
      </w:pPr>
      <w:r>
        <w:rPr>
          <w:sz w:val="24"/>
          <w:szCs w:val="24"/>
        </w:rPr>
        <w:t>Intervention Resources</w:t>
      </w:r>
      <w:r w:rsidR="008A5D5E">
        <w:rPr>
          <w:sz w:val="24"/>
          <w:szCs w:val="24"/>
        </w:rPr>
        <w:t xml:space="preserve"> </w:t>
      </w:r>
      <w:r w:rsidR="008A5D5E" w:rsidRPr="00BA62E9">
        <w:rPr>
          <w:sz w:val="24"/>
          <w:szCs w:val="24"/>
        </w:rPr>
        <w:t>F</w:t>
      </w:r>
      <w:r w:rsidR="008A5D5E">
        <w:rPr>
          <w:sz w:val="24"/>
          <w:szCs w:val="24"/>
        </w:rPr>
        <w:t xml:space="preserve">ocus </w:t>
      </w:r>
      <w:r w:rsidR="008A5D5E" w:rsidRPr="00BA62E9">
        <w:rPr>
          <w:sz w:val="24"/>
          <w:szCs w:val="24"/>
        </w:rPr>
        <w:t>G</w:t>
      </w:r>
      <w:r w:rsidR="008A5D5E">
        <w:rPr>
          <w:sz w:val="24"/>
          <w:szCs w:val="24"/>
        </w:rPr>
        <w:t>roup</w:t>
      </w:r>
      <w:r w:rsidR="008A5D5E" w:rsidRPr="00BA62E9">
        <w:rPr>
          <w:sz w:val="24"/>
          <w:szCs w:val="24"/>
        </w:rPr>
        <w:t xml:space="preserve"> Facilitator Guide</w:t>
      </w:r>
      <w:r>
        <w:rPr>
          <w:sz w:val="24"/>
          <w:szCs w:val="24"/>
        </w:rPr>
        <w:t xml:space="preserve"> – Young Adults</w:t>
      </w:r>
      <w:r w:rsidR="008A5D5E">
        <w:rPr>
          <w:sz w:val="24"/>
          <w:szCs w:val="24"/>
        </w:rPr>
        <w:t xml:space="preserve"> (Attachment F</w:t>
      </w:r>
      <w:r w:rsidR="008A5D5E" w:rsidRPr="00BA62E9">
        <w:rPr>
          <w:sz w:val="24"/>
          <w:szCs w:val="24"/>
        </w:rPr>
        <w:t>)</w:t>
      </w:r>
    </w:p>
    <w:p w14:paraId="27AC5B40" w14:textId="77777777" w:rsidR="006F06C7" w:rsidRDefault="006F06C7" w:rsidP="00BA62E9">
      <w:pPr>
        <w:ind w:left="0"/>
        <w:rPr>
          <w:shd w:val="clear" w:color="auto" w:fill="FFFFFF"/>
        </w:rPr>
      </w:pPr>
    </w:p>
    <w:p w14:paraId="27AC5B41" w14:textId="77777777" w:rsidR="00B80F44" w:rsidRPr="000C0473" w:rsidRDefault="00043764" w:rsidP="00BA62E9">
      <w:pPr>
        <w:ind w:left="0"/>
        <w:rPr>
          <w:color w:val="FF0000"/>
          <w:shd w:val="clear" w:color="auto" w:fill="FFFFFF"/>
        </w:rPr>
      </w:pPr>
      <w:r>
        <w:t>In 2015, over 27 million people in the United States reported current use of illicit drugs or misuse of prescription drugs, and over 66 million people (nearly a quarter of the adult and adolescent population) reported binge drinking in the past month. Alcohol and drug misuse and related disorders are major public health challenges that are taking an enormous toll on individuals, families, and society.</w:t>
      </w:r>
      <w:r>
        <w:rPr>
          <w:rStyle w:val="FootnoteReference"/>
        </w:rPr>
        <w:footnoteReference w:id="1"/>
      </w:r>
      <w:r>
        <w:t xml:space="preserve"> </w:t>
      </w:r>
    </w:p>
    <w:p w14:paraId="27AC5B42" w14:textId="77777777" w:rsidR="00043764" w:rsidRDefault="00043764" w:rsidP="00043764">
      <w:pPr>
        <w:ind w:left="0"/>
        <w:rPr>
          <w:color w:val="auto"/>
        </w:rPr>
      </w:pPr>
    </w:p>
    <w:p w14:paraId="27AC5B43" w14:textId="77777777" w:rsidR="00043764" w:rsidRDefault="00043764" w:rsidP="008160BA">
      <w:pPr>
        <w:ind w:left="0"/>
      </w:pPr>
      <w:r>
        <w:t>Substance misuse can have immediate, direct consequences for health ranging from effects on heart rate and regulation of body temperature to psychotic episodes, overdose, and death. Many more people now die from alcohol and drug overdoses each year than are killed in automobile accidents.</w:t>
      </w:r>
      <w:r>
        <w:rPr>
          <w:rStyle w:val="FootnoteReference"/>
        </w:rPr>
        <w:footnoteReference w:id="2"/>
      </w:r>
      <w:r>
        <w:t xml:space="preserve">  The opioid crisis is fueling this trend with nearly 30,000 people dying due to an overdose on heroin or prescription opioids in 2014.</w:t>
      </w:r>
      <w:r>
        <w:rPr>
          <w:rStyle w:val="FootnoteReference"/>
        </w:rPr>
        <w:footnoteReference w:id="3"/>
      </w:r>
      <w:r>
        <w:t xml:space="preserve"> An additional roughly 20,000 </w:t>
      </w:r>
      <w:r w:rsidR="008160BA">
        <w:lastRenderedPageBreak/>
        <w:t>p</w:t>
      </w:r>
      <w:r>
        <w:t>eople died as a result of an unintentional overdose of alcohol, cocaine, or non-opioid prescription drugs.</w:t>
      </w:r>
      <w:r w:rsidR="002E7C50">
        <w:rPr>
          <w:rStyle w:val="FootnoteReference"/>
          <w:color w:val="auto"/>
        </w:rPr>
        <w:footnoteReference w:id="4"/>
      </w:r>
      <w:r w:rsidR="002E7C50">
        <w:t>-</w:t>
      </w:r>
      <w:r w:rsidR="007A0474">
        <w:rPr>
          <w:rStyle w:val="FootnoteReference"/>
        </w:rPr>
        <w:footnoteReference w:id="5"/>
      </w:r>
    </w:p>
    <w:p w14:paraId="27AC5B44" w14:textId="77777777" w:rsidR="008160BA" w:rsidRDefault="008160BA" w:rsidP="00043764">
      <w:pPr>
        <w:ind w:left="0"/>
      </w:pPr>
    </w:p>
    <w:p w14:paraId="27AC5B45" w14:textId="21DA7EA5" w:rsidR="007A0474" w:rsidRDefault="007A0474" w:rsidP="00043764">
      <w:pPr>
        <w:ind w:left="0"/>
      </w:pPr>
      <w:r>
        <w:t>Most Americans know someone with a substance use disorder, and many know someone who has lost or nearly lost a family member as a consequence of substance misuse. Yet, at the same time, few other medical conditions are surrounded by as much shame and misunderstanding as substance use disorders.</w:t>
      </w:r>
      <w:r w:rsidR="00EA4775">
        <w:t xml:space="preserve"> Historically, our society has treated addiction and misuse of alcohol and drugs as symptoms of moral weakness or as a willful rejection of societal norms, and these problems have been addressed primarily through the criminal justice system.  Only about 10 percent of people with a substance use disorder receive any type of spe</w:t>
      </w:r>
      <w:r w:rsidR="005A797E">
        <w:t xml:space="preserve">cialty treatment. Further, more than </w:t>
      </w:r>
      <w:r w:rsidR="00EA4775">
        <w:t>40 percent of people with a substance use disorder also have a mental health condition, yet fewer than half (48.0 percent) receive treatment for either disorder.</w:t>
      </w:r>
      <w:r w:rsidR="00EA4775">
        <w:rPr>
          <w:rStyle w:val="FootnoteReference"/>
        </w:rPr>
        <w:footnoteReference w:id="6"/>
      </w:r>
    </w:p>
    <w:p w14:paraId="27AC5B46" w14:textId="77777777" w:rsidR="00EA4775" w:rsidRDefault="00EA4775" w:rsidP="00043764">
      <w:pPr>
        <w:ind w:left="0"/>
      </w:pPr>
    </w:p>
    <w:p w14:paraId="7ADCD2C4" w14:textId="21E1B853" w:rsidR="005A797E" w:rsidRDefault="005A797E" w:rsidP="00043764">
      <w:pPr>
        <w:ind w:left="0"/>
        <w:rPr>
          <w:color w:val="auto"/>
        </w:rPr>
      </w:pPr>
      <w:r>
        <w:t xml:space="preserve">Drug overdose statistics demonstrate an alarming trend. </w:t>
      </w:r>
      <w:r w:rsidR="003E09C8">
        <w:t>In 2014, 47,055 drug overdose deaths occurred in the Uni</w:t>
      </w:r>
      <w:r>
        <w:t>ted States, with</w:t>
      </w:r>
      <w:r w:rsidR="003E09C8">
        <w:t xml:space="preserve"> 61 percent of these deaths the result of opioid use, including prescription opioids. </w:t>
      </w:r>
      <w:r>
        <w:t xml:space="preserve">The same year witnessed 17,465 overdoses from illicit drugs, including </w:t>
      </w:r>
      <w:r w:rsidR="003E09C8">
        <w:t>5,415 d</w:t>
      </w:r>
      <w:r>
        <w:t xml:space="preserve">eaths from cocaine overdose (a rate higher than the previous six years) and </w:t>
      </w:r>
      <w:r w:rsidR="003E09C8">
        <w:t>25,760 overdoses from prescription drugs.</w:t>
      </w:r>
      <w:r w:rsidR="003E09C8" w:rsidRPr="003E09C8">
        <w:rPr>
          <w:color w:val="auto"/>
        </w:rPr>
        <w:t xml:space="preserve"> </w:t>
      </w:r>
      <w:r w:rsidR="003E09C8">
        <w:rPr>
          <w:rStyle w:val="FootnoteReference"/>
          <w:color w:val="auto"/>
        </w:rPr>
        <w:footnoteReference w:id="7"/>
      </w:r>
      <w:r w:rsidR="003E09C8">
        <w:rPr>
          <w:color w:val="auto"/>
        </w:rPr>
        <w:t xml:space="preserve">  </w:t>
      </w:r>
    </w:p>
    <w:p w14:paraId="6FF1AD5B" w14:textId="77777777" w:rsidR="005A797E" w:rsidRDefault="005A797E" w:rsidP="00043764">
      <w:pPr>
        <w:ind w:left="0"/>
        <w:rPr>
          <w:color w:val="auto"/>
        </w:rPr>
      </w:pPr>
    </w:p>
    <w:p w14:paraId="27AC5B47" w14:textId="048EA8E3" w:rsidR="003E09C8" w:rsidRPr="003E09C8" w:rsidRDefault="003E09C8" w:rsidP="00043764">
      <w:pPr>
        <w:ind w:left="0"/>
        <w:rPr>
          <w:color w:val="auto"/>
        </w:rPr>
      </w:pPr>
      <w:r>
        <w:t>Drug overdose deaths also occur as a result of the illicit manufacturing and distribution of synthetic opioids, such as fentanyl, and the illegal diversion of prescription opioids. Illicit fentanyl, for example, is often combined with heroin or counterfeit prescription drugs or sold as heroin, and may be contributing to recent increases in drug overdose deaths.</w:t>
      </w:r>
      <w:r>
        <w:rPr>
          <w:rStyle w:val="FootnoteReference"/>
        </w:rPr>
        <w:footnoteReference w:id="8"/>
      </w:r>
    </w:p>
    <w:p w14:paraId="27AC5B48" w14:textId="77777777" w:rsidR="003E09C8" w:rsidRDefault="003E09C8" w:rsidP="00043764">
      <w:pPr>
        <w:ind w:left="0"/>
      </w:pPr>
    </w:p>
    <w:p w14:paraId="27AC5B49" w14:textId="304E25BD" w:rsidR="00EA4775" w:rsidRDefault="00EA4775" w:rsidP="00043764">
      <w:pPr>
        <w:ind w:left="0"/>
      </w:pPr>
      <w:r>
        <w:t xml:space="preserve">Many factors contribute to this “treatment gap,” including the inability to access or afford care, fear of shame and discrimination, and lack of screening for substance misuse and substance use disorders in general health care settings. Further, about 40 percent of individuals who know they have an alcohol or drug problem are not ready to stop using, and many others simply feel </w:t>
      </w:r>
      <w:proofErr w:type="gramStart"/>
      <w:r>
        <w:lastRenderedPageBreak/>
        <w:t>they</w:t>
      </w:r>
      <w:proofErr w:type="gramEnd"/>
      <w:r>
        <w:t xml:space="preserve"> do not have a </w:t>
      </w:r>
      <w:r w:rsidR="0054471E">
        <w:t>problem or a need for treatment,</w:t>
      </w:r>
      <w:r>
        <w:t xml:space="preserve"> which may partly be a consequence of the neurobiological changes that profoundly affect the judgment, motivation, and priorities of a person with a substance use disorder. </w:t>
      </w:r>
      <w:r>
        <w:rPr>
          <w:rStyle w:val="FootnoteReference"/>
        </w:rPr>
        <w:footnoteReference w:id="9"/>
      </w:r>
      <w:r>
        <w:t xml:space="preserve"> </w:t>
      </w:r>
    </w:p>
    <w:p w14:paraId="27AC5B4A" w14:textId="77777777" w:rsidR="002E7C50" w:rsidRDefault="002E7C50" w:rsidP="00043764">
      <w:pPr>
        <w:ind w:left="0"/>
        <w:rPr>
          <w:color w:val="auto"/>
        </w:rPr>
      </w:pPr>
    </w:p>
    <w:p w14:paraId="27AC5B4B" w14:textId="77777777" w:rsidR="00A07BE0" w:rsidRDefault="00BA62E9" w:rsidP="009D6650">
      <w:pPr>
        <w:pStyle w:val="ListParagraph"/>
        <w:numPr>
          <w:ilvl w:val="0"/>
          <w:numId w:val="29"/>
        </w:numPr>
        <w:spacing w:line="240" w:lineRule="auto"/>
        <w:ind w:left="360"/>
        <w:rPr>
          <w:b/>
          <w:sz w:val="24"/>
          <w:szCs w:val="24"/>
        </w:rPr>
      </w:pPr>
      <w:r w:rsidRPr="00BA62E9">
        <w:rPr>
          <w:b/>
          <w:sz w:val="24"/>
          <w:szCs w:val="24"/>
        </w:rPr>
        <w:t xml:space="preserve">Brief Statement of Objectives </w:t>
      </w:r>
    </w:p>
    <w:p w14:paraId="27AC5B4D" w14:textId="10AEB9C7" w:rsidR="0080679E" w:rsidRDefault="003E09C8" w:rsidP="0080679E">
      <w:pPr>
        <w:ind w:left="0"/>
        <w:rPr>
          <w:rFonts w:cs="Arial"/>
          <w:color w:val="auto"/>
        </w:rPr>
      </w:pPr>
      <w:r>
        <w:rPr>
          <w:rFonts w:cs="Arial"/>
          <w:color w:val="auto"/>
        </w:rPr>
        <w:t>In response to this situation</w:t>
      </w:r>
      <w:r w:rsidR="0054471E">
        <w:rPr>
          <w:rFonts w:cs="Arial"/>
          <w:color w:val="auto"/>
        </w:rPr>
        <w:t>,</w:t>
      </w:r>
      <w:r>
        <w:rPr>
          <w:rFonts w:cs="Arial"/>
          <w:color w:val="auto"/>
        </w:rPr>
        <w:t xml:space="preserve"> </w:t>
      </w:r>
      <w:r w:rsidR="00B80F44" w:rsidRPr="003E09C8">
        <w:rPr>
          <w:rFonts w:cs="Arial"/>
          <w:color w:val="auto"/>
        </w:rPr>
        <w:t xml:space="preserve">SAMHSA wants to </w:t>
      </w:r>
      <w:r w:rsidR="00F3169A">
        <w:rPr>
          <w:rFonts w:cs="Arial"/>
          <w:color w:val="auto"/>
        </w:rPr>
        <w:t xml:space="preserve">convene focus groups to </w:t>
      </w:r>
      <w:r w:rsidR="00B80F44" w:rsidRPr="003E09C8">
        <w:rPr>
          <w:rFonts w:cs="Arial"/>
          <w:color w:val="auto"/>
        </w:rPr>
        <w:t xml:space="preserve">develop </w:t>
      </w:r>
      <w:r w:rsidR="008E3783">
        <w:rPr>
          <w:rFonts w:cs="Arial"/>
          <w:color w:val="auto"/>
        </w:rPr>
        <w:t xml:space="preserve">and test content for two </w:t>
      </w:r>
      <w:r w:rsidR="0054471E">
        <w:rPr>
          <w:rFonts w:cs="Arial"/>
          <w:color w:val="auto"/>
        </w:rPr>
        <w:t xml:space="preserve">public educational resources. The </w:t>
      </w:r>
      <w:r w:rsidR="00F3169A">
        <w:rPr>
          <w:rFonts w:cs="Arial"/>
          <w:color w:val="auto"/>
        </w:rPr>
        <w:t>first resource will target</w:t>
      </w:r>
      <w:r w:rsidR="008E3783">
        <w:rPr>
          <w:rFonts w:cs="Arial"/>
          <w:color w:val="auto"/>
        </w:rPr>
        <w:t xml:space="preserve"> </w:t>
      </w:r>
      <w:r w:rsidR="00B80F44" w:rsidRPr="003E09C8">
        <w:rPr>
          <w:rFonts w:cs="Arial"/>
          <w:color w:val="auto"/>
        </w:rPr>
        <w:t>parents</w:t>
      </w:r>
      <w:r w:rsidR="00A94312" w:rsidRPr="003E09C8">
        <w:rPr>
          <w:rFonts w:cs="Arial"/>
          <w:color w:val="auto"/>
        </w:rPr>
        <w:t xml:space="preserve"> </w:t>
      </w:r>
      <w:r w:rsidR="008E3783">
        <w:rPr>
          <w:rFonts w:cs="Arial"/>
          <w:color w:val="auto"/>
        </w:rPr>
        <w:t>of young adults seeking</w:t>
      </w:r>
      <w:r w:rsidR="003A5078">
        <w:rPr>
          <w:rFonts w:cs="Arial"/>
          <w:color w:val="auto"/>
        </w:rPr>
        <w:t xml:space="preserve"> to prevent further escalation of their child</w:t>
      </w:r>
      <w:r w:rsidR="00F3169A">
        <w:rPr>
          <w:rFonts w:cs="Arial"/>
          <w:color w:val="auto"/>
        </w:rPr>
        <w:t>’s existing substance use</w:t>
      </w:r>
      <w:r w:rsidR="008A5D5E">
        <w:rPr>
          <w:rFonts w:cs="Arial"/>
          <w:color w:val="auto"/>
        </w:rPr>
        <w:t xml:space="preserve"> or support their children’s treatment and recovery efforts</w:t>
      </w:r>
      <w:r w:rsidR="00B80F44" w:rsidRPr="00E82AC0">
        <w:rPr>
          <w:rFonts w:cs="Arial"/>
          <w:color w:val="auto"/>
        </w:rPr>
        <w:t>.</w:t>
      </w:r>
      <w:r w:rsidR="00094812">
        <w:rPr>
          <w:rFonts w:cs="Arial"/>
          <w:color w:val="auto"/>
        </w:rPr>
        <w:t xml:space="preserve">  </w:t>
      </w:r>
      <w:r w:rsidR="008E3783">
        <w:rPr>
          <w:rFonts w:cs="Arial"/>
          <w:color w:val="auto"/>
        </w:rPr>
        <w:t>The second resource will target parents bereaved by their child’s substance use-related overdose.</w:t>
      </w:r>
      <w:r w:rsidR="00F3169A">
        <w:rPr>
          <w:rFonts w:cs="Arial"/>
          <w:color w:val="auto"/>
        </w:rPr>
        <w:t xml:space="preserve"> </w:t>
      </w:r>
      <w:r w:rsidR="008E3783">
        <w:rPr>
          <w:rFonts w:cs="Arial"/>
          <w:color w:val="auto"/>
        </w:rPr>
        <w:t>These resources</w:t>
      </w:r>
      <w:r w:rsidR="00094812">
        <w:rPr>
          <w:rFonts w:cs="Arial"/>
          <w:color w:val="auto"/>
        </w:rPr>
        <w:t xml:space="preserve"> will take into consideration not only literacy levels but also cultural competence</w:t>
      </w:r>
      <w:r w:rsidR="008E3783">
        <w:rPr>
          <w:rFonts w:cs="Arial"/>
          <w:color w:val="auto"/>
        </w:rPr>
        <w:t xml:space="preserve"> and appropriateness.</w:t>
      </w:r>
    </w:p>
    <w:p w14:paraId="27AC5B4E" w14:textId="77777777" w:rsidR="00B80F44" w:rsidRDefault="00B80F44" w:rsidP="00EB38CB">
      <w:pPr>
        <w:ind w:left="0"/>
        <w:rPr>
          <w:rFonts w:cs="Arial"/>
          <w:color w:val="CC00CC"/>
        </w:rPr>
      </w:pPr>
    </w:p>
    <w:p w14:paraId="27AC5B4F" w14:textId="0FC2C4F8" w:rsidR="00DF6E96" w:rsidRDefault="00E82AC0" w:rsidP="00EB38CB">
      <w:pPr>
        <w:ind w:left="0"/>
        <w:rPr>
          <w:color w:val="auto"/>
        </w:rPr>
      </w:pPr>
      <w:r>
        <w:t xml:space="preserve">SAMHSA </w:t>
      </w:r>
      <w:r w:rsidR="0080679E">
        <w:t xml:space="preserve">will </w:t>
      </w:r>
      <w:r>
        <w:t xml:space="preserve">garner audience reaction on </w:t>
      </w:r>
      <w:r w:rsidR="0080679E">
        <w:t xml:space="preserve">the intervention </w:t>
      </w:r>
      <w:r>
        <w:t xml:space="preserve">resource materials that address the information </w:t>
      </w:r>
      <w:r w:rsidR="0080679E">
        <w:t xml:space="preserve">and education </w:t>
      </w:r>
      <w:r>
        <w:t>gap for parents of 17-25 year olds.</w:t>
      </w:r>
      <w:r w:rsidR="008E3783">
        <w:t xml:space="preserve"> Focus groups will include</w:t>
      </w:r>
      <w:r w:rsidR="00EC055D" w:rsidRPr="00600D00">
        <w:rPr>
          <w:color w:val="auto"/>
        </w:rPr>
        <w:t xml:space="preserve"> </w:t>
      </w:r>
      <w:r w:rsidR="00EB38CB" w:rsidRPr="00600D00">
        <w:rPr>
          <w:color w:val="auto"/>
        </w:rPr>
        <w:t xml:space="preserve">representatives of the </w:t>
      </w:r>
      <w:r w:rsidR="00EC055D" w:rsidRPr="00600D00">
        <w:rPr>
          <w:color w:val="auto"/>
        </w:rPr>
        <w:t>target population</w:t>
      </w:r>
      <w:r w:rsidR="0080679E">
        <w:rPr>
          <w:color w:val="auto"/>
        </w:rPr>
        <w:t xml:space="preserve"> for this </w:t>
      </w:r>
      <w:r w:rsidR="00AD3BB7">
        <w:rPr>
          <w:color w:val="auto"/>
        </w:rPr>
        <w:t>task</w:t>
      </w:r>
      <w:r w:rsidR="0080679E">
        <w:rPr>
          <w:color w:val="auto"/>
        </w:rPr>
        <w:t xml:space="preserve"> </w:t>
      </w:r>
      <w:r w:rsidR="0080679E" w:rsidRPr="00600D00">
        <w:rPr>
          <w:color w:val="auto"/>
        </w:rPr>
        <w:t>including</w:t>
      </w:r>
      <w:r w:rsidR="00DF6E96" w:rsidRPr="00600D00">
        <w:rPr>
          <w:color w:val="auto"/>
        </w:rPr>
        <w:t xml:space="preserve">: </w:t>
      </w:r>
    </w:p>
    <w:p w14:paraId="27AC5B50" w14:textId="77777777" w:rsidR="005C74F8" w:rsidRDefault="005C74F8" w:rsidP="00EB38CB">
      <w:pPr>
        <w:ind w:left="0"/>
        <w:rPr>
          <w:color w:val="auto"/>
        </w:rPr>
      </w:pPr>
    </w:p>
    <w:p w14:paraId="27AC5B51" w14:textId="77777777" w:rsidR="005C74F8" w:rsidRPr="00600D00" w:rsidRDefault="005C74F8" w:rsidP="00EB38CB">
      <w:pPr>
        <w:ind w:left="0"/>
        <w:rPr>
          <w:color w:val="auto"/>
        </w:rPr>
      </w:pPr>
      <w:r>
        <w:rPr>
          <w:color w:val="auto"/>
        </w:rPr>
        <w:t>Primary target audience:</w:t>
      </w:r>
    </w:p>
    <w:p w14:paraId="27AC5B52" w14:textId="74EEA8D3" w:rsidR="00A94312" w:rsidRPr="00600D00" w:rsidRDefault="008A5D5E" w:rsidP="00DF6E96">
      <w:pPr>
        <w:pStyle w:val="ListParagraph"/>
        <w:numPr>
          <w:ilvl w:val="0"/>
          <w:numId w:val="38"/>
        </w:numPr>
        <w:rPr>
          <w:color w:val="auto"/>
          <w:sz w:val="24"/>
          <w:szCs w:val="24"/>
        </w:rPr>
      </w:pPr>
      <w:r>
        <w:rPr>
          <w:color w:val="auto"/>
          <w:sz w:val="24"/>
          <w:szCs w:val="24"/>
        </w:rPr>
        <w:t>Parents of young adults</w:t>
      </w:r>
      <w:r w:rsidR="00DF6E96" w:rsidRPr="00600D00">
        <w:rPr>
          <w:color w:val="auto"/>
          <w:sz w:val="24"/>
          <w:szCs w:val="24"/>
        </w:rPr>
        <w:t xml:space="preserve"> 17 to 25 years o</w:t>
      </w:r>
      <w:r w:rsidR="008E3783">
        <w:rPr>
          <w:color w:val="auto"/>
          <w:sz w:val="24"/>
          <w:szCs w:val="24"/>
        </w:rPr>
        <w:t>ld who are currently engaging in</w:t>
      </w:r>
      <w:r>
        <w:rPr>
          <w:color w:val="auto"/>
          <w:sz w:val="24"/>
          <w:szCs w:val="24"/>
        </w:rPr>
        <w:t xml:space="preserve"> or are in treatment for</w:t>
      </w:r>
      <w:r w:rsidR="008E3783">
        <w:rPr>
          <w:color w:val="auto"/>
          <w:sz w:val="24"/>
          <w:szCs w:val="24"/>
        </w:rPr>
        <w:t xml:space="preserve"> substance use</w:t>
      </w:r>
      <w:r w:rsidR="00A94312" w:rsidRPr="00600D00">
        <w:rPr>
          <w:color w:val="auto"/>
          <w:sz w:val="24"/>
          <w:szCs w:val="24"/>
        </w:rPr>
        <w:t>,</w:t>
      </w:r>
      <w:r w:rsidR="00AD3BB7">
        <w:rPr>
          <w:color w:val="auto"/>
          <w:sz w:val="24"/>
          <w:szCs w:val="24"/>
        </w:rPr>
        <w:t xml:space="preserve"> and</w:t>
      </w:r>
    </w:p>
    <w:p w14:paraId="27AC5B53" w14:textId="5854B253" w:rsidR="00DF6E96" w:rsidRDefault="00A94312" w:rsidP="00DF6E96">
      <w:pPr>
        <w:pStyle w:val="ListParagraph"/>
        <w:numPr>
          <w:ilvl w:val="0"/>
          <w:numId w:val="38"/>
        </w:numPr>
        <w:rPr>
          <w:color w:val="auto"/>
          <w:sz w:val="24"/>
          <w:szCs w:val="24"/>
        </w:rPr>
      </w:pPr>
      <w:r w:rsidRPr="00600D00">
        <w:rPr>
          <w:color w:val="auto"/>
          <w:sz w:val="24"/>
          <w:szCs w:val="24"/>
        </w:rPr>
        <w:t>Parents who have lost children</w:t>
      </w:r>
      <w:r w:rsidR="00222BAB">
        <w:rPr>
          <w:color w:val="auto"/>
          <w:sz w:val="24"/>
          <w:szCs w:val="24"/>
        </w:rPr>
        <w:t xml:space="preserve"> aged 17 to 25 years old</w:t>
      </w:r>
      <w:r w:rsidRPr="00600D00">
        <w:rPr>
          <w:color w:val="auto"/>
          <w:sz w:val="24"/>
          <w:szCs w:val="24"/>
        </w:rPr>
        <w:t xml:space="preserve"> to an overdose death</w:t>
      </w:r>
      <w:r w:rsidR="00AD3BB7">
        <w:rPr>
          <w:color w:val="auto"/>
          <w:sz w:val="24"/>
          <w:szCs w:val="24"/>
        </w:rPr>
        <w:t>.</w:t>
      </w:r>
      <w:r w:rsidRPr="00600D00">
        <w:rPr>
          <w:color w:val="auto"/>
          <w:sz w:val="24"/>
          <w:szCs w:val="24"/>
        </w:rPr>
        <w:t xml:space="preserve"> </w:t>
      </w:r>
      <w:r w:rsidR="00DF6E96" w:rsidRPr="00600D00">
        <w:rPr>
          <w:color w:val="auto"/>
          <w:sz w:val="24"/>
          <w:szCs w:val="24"/>
        </w:rPr>
        <w:t xml:space="preserve"> </w:t>
      </w:r>
    </w:p>
    <w:p w14:paraId="27AC5B54" w14:textId="77777777" w:rsidR="005C74F8" w:rsidRPr="005C74F8" w:rsidRDefault="005C74F8" w:rsidP="005C74F8">
      <w:pPr>
        <w:ind w:left="0"/>
        <w:rPr>
          <w:color w:val="auto"/>
        </w:rPr>
      </w:pPr>
      <w:r>
        <w:rPr>
          <w:color w:val="auto"/>
        </w:rPr>
        <w:t>Secondary target audience:</w:t>
      </w:r>
    </w:p>
    <w:p w14:paraId="27AC5B57" w14:textId="2E9C9F86" w:rsidR="00255843" w:rsidRPr="008E3783" w:rsidRDefault="00A94312" w:rsidP="008E3783">
      <w:pPr>
        <w:pStyle w:val="ListParagraph"/>
        <w:numPr>
          <w:ilvl w:val="0"/>
          <w:numId w:val="38"/>
        </w:numPr>
        <w:rPr>
          <w:color w:val="auto"/>
          <w:sz w:val="24"/>
          <w:szCs w:val="24"/>
        </w:rPr>
      </w:pPr>
      <w:r w:rsidRPr="00600D00">
        <w:rPr>
          <w:color w:val="auto"/>
          <w:sz w:val="24"/>
          <w:szCs w:val="24"/>
        </w:rPr>
        <w:t>Young adults from 17 to 25 who are currently using drugs or in treatment for substance use</w:t>
      </w:r>
      <w:r w:rsidR="008E3783" w:rsidRPr="008E3783">
        <w:rPr>
          <w:color w:val="auto"/>
        </w:rPr>
        <w:t>.</w:t>
      </w:r>
    </w:p>
    <w:p w14:paraId="27AC5B58" w14:textId="77777777" w:rsidR="00EC055D" w:rsidRPr="0080679E" w:rsidRDefault="00D34497" w:rsidP="00EB38CB">
      <w:pPr>
        <w:ind w:left="0"/>
        <w:rPr>
          <w:color w:val="auto"/>
        </w:rPr>
      </w:pPr>
      <w:r w:rsidRPr="0080679E">
        <w:rPr>
          <w:color w:val="auto"/>
        </w:rPr>
        <w:t>The proposed</w:t>
      </w:r>
      <w:r w:rsidR="00EB38CB" w:rsidRPr="0080679E">
        <w:rPr>
          <w:color w:val="auto"/>
        </w:rPr>
        <w:t xml:space="preserve"> </w:t>
      </w:r>
      <w:r w:rsidR="00371304" w:rsidRPr="0080679E">
        <w:rPr>
          <w:color w:val="auto"/>
        </w:rPr>
        <w:t xml:space="preserve">focus groups </w:t>
      </w:r>
      <w:r w:rsidR="00193BC7" w:rsidRPr="0080679E">
        <w:rPr>
          <w:color w:val="auto"/>
        </w:rPr>
        <w:t>will</w:t>
      </w:r>
      <w:r w:rsidR="001D5B47" w:rsidRPr="0080679E">
        <w:rPr>
          <w:color w:val="auto"/>
        </w:rPr>
        <w:t xml:space="preserve"> </w:t>
      </w:r>
      <w:r w:rsidR="00E66713" w:rsidRPr="0080679E">
        <w:rPr>
          <w:color w:val="auto"/>
        </w:rPr>
        <w:t xml:space="preserve">aim </w:t>
      </w:r>
      <w:r w:rsidR="00906174" w:rsidRPr="0080679E">
        <w:rPr>
          <w:color w:val="auto"/>
        </w:rPr>
        <w:t>to explore</w:t>
      </w:r>
      <w:r w:rsidR="00AC4BDE" w:rsidRPr="0080679E">
        <w:rPr>
          <w:color w:val="auto"/>
        </w:rPr>
        <w:t xml:space="preserve"> </w:t>
      </w:r>
      <w:r w:rsidR="00FD12AA" w:rsidRPr="0080679E">
        <w:rPr>
          <w:color w:val="auto"/>
        </w:rPr>
        <w:t xml:space="preserve">and assess </w:t>
      </w:r>
      <w:r w:rsidR="00AC4BDE" w:rsidRPr="0080679E">
        <w:rPr>
          <w:color w:val="auto"/>
        </w:rPr>
        <w:t>the following</w:t>
      </w:r>
      <w:r w:rsidR="00906174" w:rsidRPr="0080679E">
        <w:rPr>
          <w:color w:val="auto"/>
        </w:rPr>
        <w:t>:</w:t>
      </w:r>
    </w:p>
    <w:p w14:paraId="27AC5B59" w14:textId="207D8CEF" w:rsidR="00565EEE" w:rsidRPr="00AD3BB7" w:rsidRDefault="00B40EE8" w:rsidP="00EB38CB">
      <w:pPr>
        <w:pStyle w:val="ListParagraph"/>
        <w:numPr>
          <w:ilvl w:val="0"/>
          <w:numId w:val="14"/>
        </w:numPr>
        <w:spacing w:after="0" w:line="271" w:lineRule="auto"/>
        <w:rPr>
          <w:color w:val="auto"/>
          <w:sz w:val="24"/>
          <w:szCs w:val="24"/>
          <w:u w:val="single"/>
        </w:rPr>
      </w:pPr>
      <w:r>
        <w:rPr>
          <w:color w:val="auto"/>
          <w:sz w:val="24"/>
          <w:szCs w:val="24"/>
        </w:rPr>
        <w:t>Parents’ perceptions of</w:t>
      </w:r>
      <w:r w:rsidR="004875FB" w:rsidRPr="00AD3BB7">
        <w:rPr>
          <w:color w:val="auto"/>
          <w:sz w:val="24"/>
          <w:szCs w:val="24"/>
        </w:rPr>
        <w:t xml:space="preserve"> the resources, informat</w:t>
      </w:r>
      <w:r w:rsidR="008E3783">
        <w:rPr>
          <w:color w:val="auto"/>
          <w:sz w:val="24"/>
          <w:szCs w:val="24"/>
        </w:rPr>
        <w:t>ion and skills they need to engage and support</w:t>
      </w:r>
      <w:r>
        <w:rPr>
          <w:color w:val="auto"/>
          <w:sz w:val="24"/>
          <w:szCs w:val="24"/>
        </w:rPr>
        <w:t xml:space="preserve"> the recovery of</w:t>
      </w:r>
      <w:r w:rsidR="008E3783">
        <w:rPr>
          <w:color w:val="auto"/>
          <w:sz w:val="24"/>
          <w:szCs w:val="24"/>
        </w:rPr>
        <w:t xml:space="preserve"> children</w:t>
      </w:r>
      <w:r>
        <w:rPr>
          <w:color w:val="auto"/>
          <w:sz w:val="24"/>
          <w:szCs w:val="24"/>
        </w:rPr>
        <w:t xml:space="preserve"> using drugs</w:t>
      </w:r>
    </w:p>
    <w:p w14:paraId="27AC5B5A" w14:textId="602ADADF" w:rsidR="00E9556B" w:rsidRPr="00AD3BB7" w:rsidRDefault="00B40EE8" w:rsidP="00EB38CB">
      <w:pPr>
        <w:pStyle w:val="ListParagraph"/>
        <w:numPr>
          <w:ilvl w:val="0"/>
          <w:numId w:val="14"/>
        </w:numPr>
        <w:spacing w:after="0" w:line="271" w:lineRule="auto"/>
        <w:rPr>
          <w:color w:val="auto"/>
          <w:sz w:val="24"/>
          <w:szCs w:val="24"/>
          <w:u w:val="single"/>
        </w:rPr>
      </w:pPr>
      <w:r>
        <w:rPr>
          <w:color w:val="auto"/>
          <w:sz w:val="24"/>
          <w:szCs w:val="24"/>
        </w:rPr>
        <w:t xml:space="preserve">The </w:t>
      </w:r>
      <w:r w:rsidR="00565EEE" w:rsidRPr="00AD3BB7">
        <w:rPr>
          <w:color w:val="auto"/>
          <w:sz w:val="24"/>
          <w:szCs w:val="24"/>
        </w:rPr>
        <w:t>resour</w:t>
      </w:r>
      <w:r>
        <w:rPr>
          <w:color w:val="auto"/>
          <w:sz w:val="24"/>
          <w:szCs w:val="24"/>
        </w:rPr>
        <w:t xml:space="preserve">ces, information and skills parents experiencing overdose bereavement require to navigate the </w:t>
      </w:r>
      <w:r w:rsidR="00565EEE" w:rsidRPr="00AD3BB7">
        <w:rPr>
          <w:color w:val="auto"/>
          <w:sz w:val="24"/>
          <w:szCs w:val="24"/>
        </w:rPr>
        <w:t>grief process</w:t>
      </w:r>
      <w:r>
        <w:rPr>
          <w:color w:val="auto"/>
          <w:sz w:val="24"/>
          <w:szCs w:val="24"/>
        </w:rPr>
        <w:t xml:space="preserve"> and </w:t>
      </w:r>
      <w:r w:rsidR="00E9556B" w:rsidRPr="00AD3BB7">
        <w:rPr>
          <w:color w:val="auto"/>
          <w:sz w:val="24"/>
          <w:szCs w:val="24"/>
        </w:rPr>
        <w:t>ov</w:t>
      </w:r>
      <w:r>
        <w:rPr>
          <w:color w:val="auto"/>
          <w:sz w:val="24"/>
          <w:szCs w:val="24"/>
        </w:rPr>
        <w:t xml:space="preserve">ercome stigma </w:t>
      </w:r>
    </w:p>
    <w:p w14:paraId="27AC5B5B" w14:textId="4E3D0097" w:rsidR="0080679E" w:rsidRPr="004A675B" w:rsidRDefault="004A675B" w:rsidP="004A675B">
      <w:pPr>
        <w:pStyle w:val="ListParagraph"/>
        <w:numPr>
          <w:ilvl w:val="0"/>
          <w:numId w:val="14"/>
        </w:numPr>
        <w:spacing w:after="0" w:line="271" w:lineRule="auto"/>
        <w:rPr>
          <w:color w:val="auto"/>
          <w:sz w:val="24"/>
          <w:szCs w:val="24"/>
          <w:u w:val="single"/>
        </w:rPr>
      </w:pPr>
      <w:r>
        <w:rPr>
          <w:color w:val="auto"/>
          <w:sz w:val="24"/>
          <w:szCs w:val="24"/>
        </w:rPr>
        <w:t xml:space="preserve">The perceptions of young </w:t>
      </w:r>
      <w:r w:rsidR="00B40EE8">
        <w:rPr>
          <w:color w:val="auto"/>
          <w:sz w:val="24"/>
          <w:szCs w:val="24"/>
        </w:rPr>
        <w:t xml:space="preserve">adults engaged in or </w:t>
      </w:r>
      <w:r>
        <w:rPr>
          <w:color w:val="auto"/>
          <w:sz w:val="24"/>
          <w:szCs w:val="24"/>
        </w:rPr>
        <w:t>recovering</w:t>
      </w:r>
      <w:r w:rsidR="00B40EE8">
        <w:rPr>
          <w:color w:val="auto"/>
          <w:sz w:val="24"/>
          <w:szCs w:val="24"/>
        </w:rPr>
        <w:t xml:space="preserve"> from substance</w:t>
      </w:r>
      <w:r>
        <w:rPr>
          <w:color w:val="auto"/>
          <w:sz w:val="24"/>
          <w:szCs w:val="24"/>
        </w:rPr>
        <w:t xml:space="preserve"> use </w:t>
      </w:r>
      <w:r w:rsidR="00B40EE8">
        <w:rPr>
          <w:color w:val="auto"/>
          <w:sz w:val="24"/>
          <w:szCs w:val="24"/>
        </w:rPr>
        <w:t xml:space="preserve">regarding </w:t>
      </w:r>
      <w:r>
        <w:rPr>
          <w:color w:val="auto"/>
          <w:sz w:val="24"/>
          <w:szCs w:val="24"/>
        </w:rPr>
        <w:t xml:space="preserve">supportive </w:t>
      </w:r>
      <w:r w:rsidR="00D44B8D" w:rsidRPr="00AD3BB7">
        <w:rPr>
          <w:color w:val="auto"/>
          <w:sz w:val="24"/>
          <w:szCs w:val="24"/>
        </w:rPr>
        <w:t>social norms</w:t>
      </w:r>
      <w:r>
        <w:rPr>
          <w:color w:val="auto"/>
          <w:sz w:val="24"/>
          <w:szCs w:val="24"/>
        </w:rPr>
        <w:t xml:space="preserve"> and trusted sources of information as well as their </w:t>
      </w:r>
      <w:r w:rsidR="00D44B8D" w:rsidRPr="00AD3BB7">
        <w:rPr>
          <w:color w:val="auto"/>
          <w:sz w:val="24"/>
          <w:szCs w:val="24"/>
        </w:rPr>
        <w:t xml:space="preserve">lack </w:t>
      </w:r>
      <w:r>
        <w:rPr>
          <w:color w:val="auto"/>
          <w:sz w:val="24"/>
          <w:szCs w:val="24"/>
        </w:rPr>
        <w:t>of knowledge about</w:t>
      </w:r>
      <w:r w:rsidR="00D44B8D" w:rsidRPr="004A675B">
        <w:rPr>
          <w:color w:val="auto"/>
          <w:sz w:val="24"/>
          <w:szCs w:val="24"/>
        </w:rPr>
        <w:t>, or experience addressing, the negativ</w:t>
      </w:r>
      <w:r w:rsidRPr="004A675B">
        <w:rPr>
          <w:color w:val="auto"/>
          <w:sz w:val="24"/>
          <w:szCs w:val="24"/>
        </w:rPr>
        <w:t>e consequences of substance use</w:t>
      </w:r>
    </w:p>
    <w:p w14:paraId="27AC5B5C" w14:textId="4086340D" w:rsidR="00D44B8D" w:rsidRPr="00AD3BB7" w:rsidRDefault="004A675B" w:rsidP="00AD3BB7">
      <w:pPr>
        <w:pStyle w:val="ListParagraph"/>
        <w:numPr>
          <w:ilvl w:val="0"/>
          <w:numId w:val="14"/>
        </w:numPr>
        <w:rPr>
          <w:color w:val="auto"/>
          <w:sz w:val="24"/>
          <w:szCs w:val="24"/>
        </w:rPr>
      </w:pPr>
      <w:r>
        <w:rPr>
          <w:color w:val="auto"/>
          <w:sz w:val="24"/>
          <w:szCs w:val="24"/>
        </w:rPr>
        <w:t xml:space="preserve">The </w:t>
      </w:r>
      <w:r w:rsidR="00AD3BB7" w:rsidRPr="00AD3BB7">
        <w:rPr>
          <w:color w:val="auto"/>
          <w:sz w:val="24"/>
          <w:szCs w:val="24"/>
        </w:rPr>
        <w:t xml:space="preserve">relevance, </w:t>
      </w:r>
      <w:r>
        <w:rPr>
          <w:color w:val="auto"/>
          <w:sz w:val="24"/>
          <w:szCs w:val="24"/>
        </w:rPr>
        <w:t>complete</w:t>
      </w:r>
      <w:r w:rsidR="00AD3BB7" w:rsidRPr="00AD3BB7">
        <w:rPr>
          <w:color w:val="auto"/>
          <w:sz w:val="24"/>
          <w:szCs w:val="24"/>
        </w:rPr>
        <w:t xml:space="preserve">ness and </w:t>
      </w:r>
      <w:r>
        <w:rPr>
          <w:color w:val="auto"/>
          <w:sz w:val="24"/>
          <w:szCs w:val="24"/>
        </w:rPr>
        <w:t>tone</w:t>
      </w:r>
      <w:r w:rsidR="00AD3BB7" w:rsidRPr="00AD3BB7">
        <w:rPr>
          <w:color w:val="auto"/>
          <w:sz w:val="24"/>
          <w:szCs w:val="24"/>
        </w:rPr>
        <w:t xml:space="preserve"> of mock-ups of the </w:t>
      </w:r>
      <w:r>
        <w:rPr>
          <w:color w:val="auto"/>
          <w:sz w:val="24"/>
          <w:szCs w:val="24"/>
        </w:rPr>
        <w:t>proposed resource guides</w:t>
      </w:r>
      <w:r w:rsidR="00AD3BB7" w:rsidRPr="00AD3BB7">
        <w:rPr>
          <w:color w:val="auto"/>
          <w:sz w:val="24"/>
          <w:szCs w:val="24"/>
        </w:rPr>
        <w:t xml:space="preserve">  </w:t>
      </w:r>
    </w:p>
    <w:p w14:paraId="4B4B3B4C" w14:textId="2F27E7E1" w:rsidR="004A675B" w:rsidRPr="008A5D5E" w:rsidRDefault="003C7939" w:rsidP="00BA62E9">
      <w:pPr>
        <w:ind w:left="0"/>
        <w:rPr>
          <w:color w:val="auto"/>
          <w:u w:val="single"/>
        </w:rPr>
      </w:pPr>
      <w:r w:rsidRPr="00AD3BB7">
        <w:rPr>
          <w:color w:val="auto"/>
        </w:rPr>
        <w:lastRenderedPageBreak/>
        <w:t xml:space="preserve">The information obtained from the focus groups will guide </w:t>
      </w:r>
      <w:r w:rsidR="0080679E" w:rsidRPr="00AD3BB7">
        <w:rPr>
          <w:color w:val="auto"/>
        </w:rPr>
        <w:t xml:space="preserve">the </w:t>
      </w:r>
      <w:r w:rsidRPr="00AD3BB7">
        <w:rPr>
          <w:color w:val="auto"/>
        </w:rPr>
        <w:t xml:space="preserve">developers </w:t>
      </w:r>
      <w:r w:rsidR="004A675B">
        <w:rPr>
          <w:color w:val="auto"/>
        </w:rPr>
        <w:t>of the resource</w:t>
      </w:r>
      <w:r w:rsidR="00287895" w:rsidRPr="00AD3BB7">
        <w:rPr>
          <w:color w:val="auto"/>
        </w:rPr>
        <w:t xml:space="preserve"> guides </w:t>
      </w:r>
      <w:r w:rsidR="00193BC7" w:rsidRPr="00AD3BB7">
        <w:rPr>
          <w:color w:val="auto"/>
        </w:rPr>
        <w:t>as they</w:t>
      </w:r>
      <w:r w:rsidRPr="00AD3BB7">
        <w:rPr>
          <w:color w:val="auto"/>
        </w:rPr>
        <w:t xml:space="preserve"> refine </w:t>
      </w:r>
      <w:r w:rsidR="006C1763" w:rsidRPr="00AD3BB7">
        <w:rPr>
          <w:color w:val="auto"/>
        </w:rPr>
        <w:t xml:space="preserve">the </w:t>
      </w:r>
      <w:r w:rsidRPr="00AD3BB7">
        <w:rPr>
          <w:color w:val="auto"/>
        </w:rPr>
        <w:t>messaging and products to make them more relevant for the target audience</w:t>
      </w:r>
      <w:r w:rsidR="001D5B47" w:rsidRPr="00AD3BB7">
        <w:rPr>
          <w:color w:val="auto"/>
        </w:rPr>
        <w:t>s</w:t>
      </w:r>
      <w:r w:rsidRPr="00AD3BB7">
        <w:rPr>
          <w:color w:val="auto"/>
        </w:rPr>
        <w:t xml:space="preserve">. </w:t>
      </w:r>
    </w:p>
    <w:p w14:paraId="4C9244E9" w14:textId="77777777" w:rsidR="004A675B" w:rsidRPr="00AD3BB7" w:rsidRDefault="004A675B" w:rsidP="00BA62E9">
      <w:pPr>
        <w:ind w:left="0"/>
      </w:pPr>
    </w:p>
    <w:p w14:paraId="27AC5B5F" w14:textId="77777777" w:rsidR="00BA62E9" w:rsidRPr="002725D7" w:rsidRDefault="00BA62E9" w:rsidP="00D27834">
      <w:pPr>
        <w:pStyle w:val="Header"/>
        <w:numPr>
          <w:ilvl w:val="0"/>
          <w:numId w:val="29"/>
        </w:numPr>
        <w:tabs>
          <w:tab w:val="clear" w:pos="4320"/>
          <w:tab w:val="clear" w:pos="8640"/>
        </w:tabs>
        <w:ind w:left="360"/>
        <w:rPr>
          <w:rFonts w:asciiTheme="minorHAnsi" w:hAnsiTheme="minorHAnsi"/>
          <w:b/>
        </w:rPr>
      </w:pPr>
      <w:r w:rsidRPr="002725D7">
        <w:rPr>
          <w:rFonts w:asciiTheme="minorHAnsi" w:hAnsiTheme="minorHAnsi"/>
          <w:b/>
        </w:rPr>
        <w:t xml:space="preserve">Overview of Methods </w:t>
      </w:r>
      <w:r w:rsidR="008852E4">
        <w:rPr>
          <w:rFonts w:asciiTheme="minorHAnsi" w:hAnsiTheme="minorHAnsi"/>
          <w:b/>
        </w:rPr>
        <w:t>T</w:t>
      </w:r>
      <w:r w:rsidRPr="002725D7">
        <w:rPr>
          <w:rFonts w:asciiTheme="minorHAnsi" w:hAnsiTheme="minorHAnsi"/>
          <w:b/>
        </w:rPr>
        <w:t>o Collect Information</w:t>
      </w:r>
    </w:p>
    <w:p w14:paraId="27AC5B60" w14:textId="77777777" w:rsidR="00BA62E9" w:rsidRPr="002725D7" w:rsidRDefault="00BA62E9" w:rsidP="00BA62E9">
      <w:pPr>
        <w:pStyle w:val="Header"/>
        <w:tabs>
          <w:tab w:val="clear" w:pos="4320"/>
          <w:tab w:val="clear" w:pos="8640"/>
        </w:tabs>
        <w:rPr>
          <w:rFonts w:asciiTheme="minorHAnsi" w:hAnsiTheme="minorHAnsi"/>
        </w:rPr>
      </w:pPr>
    </w:p>
    <w:p w14:paraId="27AC5B61" w14:textId="77777777" w:rsidR="00371304" w:rsidRDefault="00BA62E9" w:rsidP="00BA62E9">
      <w:pPr>
        <w:pStyle w:val="Header"/>
        <w:tabs>
          <w:tab w:val="clear" w:pos="4320"/>
          <w:tab w:val="clear" w:pos="8640"/>
        </w:tabs>
        <w:rPr>
          <w:rFonts w:asciiTheme="minorHAnsi" w:hAnsiTheme="minorHAnsi"/>
        </w:rPr>
      </w:pPr>
      <w:r w:rsidRPr="002725D7">
        <w:rPr>
          <w:rFonts w:asciiTheme="minorHAnsi" w:hAnsiTheme="minorHAnsi"/>
          <w:b/>
        </w:rPr>
        <w:t>Data Collection Method</w:t>
      </w:r>
    </w:p>
    <w:p w14:paraId="27AC5B62" w14:textId="77777777" w:rsidR="00371304" w:rsidRDefault="00371304" w:rsidP="00BA62E9">
      <w:pPr>
        <w:pStyle w:val="Header"/>
        <w:tabs>
          <w:tab w:val="clear" w:pos="4320"/>
          <w:tab w:val="clear" w:pos="8640"/>
        </w:tabs>
        <w:rPr>
          <w:rFonts w:asciiTheme="minorHAnsi" w:hAnsiTheme="minorHAnsi"/>
        </w:rPr>
      </w:pPr>
    </w:p>
    <w:p w14:paraId="27AC5B63" w14:textId="5DD0F625" w:rsidR="00685CAC" w:rsidRPr="00685CAC" w:rsidRDefault="00371304" w:rsidP="00371304">
      <w:pPr>
        <w:pStyle w:val="Header"/>
        <w:tabs>
          <w:tab w:val="clear" w:pos="4320"/>
          <w:tab w:val="clear" w:pos="8640"/>
        </w:tabs>
        <w:spacing w:line="271" w:lineRule="auto"/>
        <w:rPr>
          <w:rFonts w:asciiTheme="minorHAnsi" w:hAnsiTheme="minorHAnsi"/>
        </w:rPr>
      </w:pPr>
      <w:r w:rsidRPr="00685CAC">
        <w:rPr>
          <w:rFonts w:asciiTheme="minorHAnsi" w:hAnsiTheme="minorHAnsi"/>
        </w:rPr>
        <w:t xml:space="preserve">SAMHSA is seeking to conduct </w:t>
      </w:r>
      <w:r w:rsidR="00600D00" w:rsidRPr="00685CAC">
        <w:rPr>
          <w:rFonts w:asciiTheme="minorHAnsi" w:hAnsiTheme="minorHAnsi"/>
        </w:rPr>
        <w:t>six</w:t>
      </w:r>
      <w:r w:rsidRPr="00685CAC">
        <w:rPr>
          <w:rFonts w:asciiTheme="minorHAnsi" w:hAnsiTheme="minorHAnsi"/>
        </w:rPr>
        <w:t xml:space="preserve"> focus groups </w:t>
      </w:r>
      <w:r w:rsidR="00544669" w:rsidRPr="00685CAC">
        <w:rPr>
          <w:rFonts w:asciiTheme="minorHAnsi" w:hAnsiTheme="minorHAnsi"/>
        </w:rPr>
        <w:t xml:space="preserve">in </w:t>
      </w:r>
      <w:r w:rsidR="00600D00" w:rsidRPr="00685CAC">
        <w:rPr>
          <w:rFonts w:asciiTheme="minorHAnsi" w:hAnsiTheme="minorHAnsi"/>
        </w:rPr>
        <w:t xml:space="preserve">two </w:t>
      </w:r>
      <w:r w:rsidR="00544669" w:rsidRPr="00685CAC">
        <w:rPr>
          <w:rFonts w:asciiTheme="minorHAnsi" w:hAnsiTheme="minorHAnsi"/>
        </w:rPr>
        <w:t xml:space="preserve">geographical </w:t>
      </w:r>
      <w:r w:rsidR="00DA2F58" w:rsidRPr="00685CAC">
        <w:rPr>
          <w:rFonts w:asciiTheme="minorHAnsi" w:hAnsiTheme="minorHAnsi"/>
        </w:rPr>
        <w:t>market</w:t>
      </w:r>
      <w:r w:rsidR="004A675B">
        <w:rPr>
          <w:rFonts w:asciiTheme="minorHAnsi" w:hAnsiTheme="minorHAnsi"/>
        </w:rPr>
        <w:t>s:</w:t>
      </w:r>
      <w:r w:rsidR="00600D00" w:rsidRPr="00685CAC">
        <w:rPr>
          <w:rFonts w:asciiTheme="minorHAnsi" w:hAnsiTheme="minorHAnsi"/>
        </w:rPr>
        <w:t xml:space="preserve"> three at </w:t>
      </w:r>
      <w:r w:rsidR="00DC0FC4">
        <w:rPr>
          <w:rFonts w:asciiTheme="minorHAnsi" w:hAnsiTheme="minorHAnsi"/>
        </w:rPr>
        <w:t xml:space="preserve">Richmond, Virginia, </w:t>
      </w:r>
      <w:r w:rsidR="00600D00" w:rsidRPr="00685CAC">
        <w:rPr>
          <w:rFonts w:asciiTheme="minorHAnsi" w:hAnsiTheme="minorHAnsi"/>
        </w:rPr>
        <w:t>and three at</w:t>
      </w:r>
      <w:r w:rsidR="00DC0FC4">
        <w:rPr>
          <w:rFonts w:asciiTheme="minorHAnsi" w:hAnsiTheme="minorHAnsi"/>
        </w:rPr>
        <w:t xml:space="preserve"> </w:t>
      </w:r>
      <w:r w:rsidR="00235C2A">
        <w:rPr>
          <w:rFonts w:asciiTheme="minorHAnsi" w:hAnsiTheme="minorHAnsi"/>
        </w:rPr>
        <w:t xml:space="preserve">Oklahoma City, Oklahoma, </w:t>
      </w:r>
      <w:r w:rsidR="00DA2F58" w:rsidRPr="00685CAC">
        <w:rPr>
          <w:rFonts w:asciiTheme="minorHAnsi" w:hAnsiTheme="minorHAnsi"/>
        </w:rPr>
        <w:t xml:space="preserve">with participation of </w:t>
      </w:r>
      <w:r w:rsidR="00E66713" w:rsidRPr="00685CAC">
        <w:rPr>
          <w:rFonts w:asciiTheme="minorHAnsi" w:hAnsiTheme="minorHAnsi"/>
        </w:rPr>
        <w:t xml:space="preserve">adults representing </w:t>
      </w:r>
      <w:r w:rsidR="003D6D0A" w:rsidRPr="00685CAC">
        <w:rPr>
          <w:rFonts w:asciiTheme="minorHAnsi" w:hAnsiTheme="minorHAnsi"/>
        </w:rPr>
        <w:t xml:space="preserve">diverse racial and </w:t>
      </w:r>
      <w:r w:rsidR="00DA2F58" w:rsidRPr="00685CAC">
        <w:rPr>
          <w:rFonts w:asciiTheme="minorHAnsi" w:hAnsiTheme="minorHAnsi"/>
        </w:rPr>
        <w:t>ethnic groups</w:t>
      </w:r>
      <w:r w:rsidR="00193BC7" w:rsidRPr="00685CAC">
        <w:rPr>
          <w:rFonts w:asciiTheme="minorHAnsi" w:hAnsiTheme="minorHAnsi"/>
        </w:rPr>
        <w:t xml:space="preserve"> and</w:t>
      </w:r>
      <w:r w:rsidR="003D6D0A" w:rsidRPr="00685CAC">
        <w:rPr>
          <w:rFonts w:asciiTheme="minorHAnsi" w:hAnsiTheme="minorHAnsi"/>
        </w:rPr>
        <w:t xml:space="preserve"> exhibit</w:t>
      </w:r>
      <w:r w:rsidR="00193BC7" w:rsidRPr="00685CAC">
        <w:rPr>
          <w:rFonts w:asciiTheme="minorHAnsi" w:hAnsiTheme="minorHAnsi"/>
        </w:rPr>
        <w:t>ing</w:t>
      </w:r>
      <w:r w:rsidR="003D6D0A" w:rsidRPr="00685CAC">
        <w:rPr>
          <w:rFonts w:asciiTheme="minorHAnsi" w:hAnsiTheme="minorHAnsi"/>
        </w:rPr>
        <w:t xml:space="preserve"> different socioeconomic, cultural, educational, and demographic backgrounds. </w:t>
      </w:r>
      <w:r w:rsidR="008852E4" w:rsidRPr="00685CAC">
        <w:rPr>
          <w:rFonts w:asciiTheme="minorHAnsi" w:hAnsiTheme="minorHAnsi"/>
        </w:rPr>
        <w:t xml:space="preserve"> </w:t>
      </w:r>
    </w:p>
    <w:p w14:paraId="27AC5B64" w14:textId="77777777" w:rsidR="00685CAC" w:rsidRPr="00685CAC" w:rsidRDefault="00685CAC" w:rsidP="00371304">
      <w:pPr>
        <w:pStyle w:val="Header"/>
        <w:tabs>
          <w:tab w:val="clear" w:pos="4320"/>
          <w:tab w:val="clear" w:pos="8640"/>
        </w:tabs>
        <w:spacing w:line="271" w:lineRule="auto"/>
        <w:rPr>
          <w:rFonts w:asciiTheme="minorHAnsi" w:hAnsiTheme="minorHAnsi"/>
        </w:rPr>
      </w:pPr>
    </w:p>
    <w:p w14:paraId="27AC5B65" w14:textId="4F72B6DF" w:rsidR="00287895" w:rsidRPr="002777C2" w:rsidRDefault="003D6D0A" w:rsidP="00371304">
      <w:pPr>
        <w:pStyle w:val="Header"/>
        <w:tabs>
          <w:tab w:val="clear" w:pos="4320"/>
          <w:tab w:val="clear" w:pos="8640"/>
        </w:tabs>
        <w:spacing w:line="271" w:lineRule="auto"/>
        <w:rPr>
          <w:rFonts w:asciiTheme="minorHAnsi" w:hAnsiTheme="minorHAnsi"/>
        </w:rPr>
      </w:pPr>
      <w:r w:rsidRPr="00685CAC">
        <w:rPr>
          <w:rFonts w:asciiTheme="minorHAnsi" w:hAnsiTheme="minorHAnsi"/>
        </w:rPr>
        <w:t>T</w:t>
      </w:r>
      <w:r w:rsidR="00063A80">
        <w:rPr>
          <w:rFonts w:asciiTheme="minorHAnsi" w:hAnsiTheme="minorHAnsi"/>
        </w:rPr>
        <w:t>his effort</w:t>
      </w:r>
      <w:r w:rsidR="00014442" w:rsidRPr="00685CAC">
        <w:rPr>
          <w:rFonts w:asciiTheme="minorHAnsi" w:hAnsiTheme="minorHAnsi"/>
        </w:rPr>
        <w:t xml:space="preserve"> </w:t>
      </w:r>
      <w:r w:rsidR="00F836E3" w:rsidRPr="00685CAC">
        <w:rPr>
          <w:rFonts w:asciiTheme="minorHAnsi" w:hAnsiTheme="minorHAnsi"/>
        </w:rPr>
        <w:t xml:space="preserve">will assess </w:t>
      </w:r>
      <w:r w:rsidR="0034111A" w:rsidRPr="00685CAC">
        <w:rPr>
          <w:rFonts w:asciiTheme="minorHAnsi" w:hAnsiTheme="minorHAnsi"/>
        </w:rPr>
        <w:t xml:space="preserve">variables </w:t>
      </w:r>
      <w:r w:rsidRPr="00685CAC">
        <w:rPr>
          <w:rFonts w:asciiTheme="minorHAnsi" w:hAnsiTheme="minorHAnsi"/>
        </w:rPr>
        <w:t xml:space="preserve">such </w:t>
      </w:r>
      <w:r w:rsidR="0034111A" w:rsidRPr="00685CAC">
        <w:rPr>
          <w:rFonts w:asciiTheme="minorHAnsi" w:hAnsiTheme="minorHAnsi"/>
        </w:rPr>
        <w:t>as</w:t>
      </w:r>
      <w:r w:rsidR="00287895">
        <w:rPr>
          <w:rFonts w:asciiTheme="minorHAnsi" w:hAnsiTheme="minorHAnsi"/>
        </w:rPr>
        <w:t>:</w:t>
      </w:r>
      <w:r w:rsidR="0034111A" w:rsidRPr="00685CAC">
        <w:rPr>
          <w:rFonts w:asciiTheme="minorHAnsi" w:hAnsiTheme="minorHAnsi"/>
        </w:rPr>
        <w:t xml:space="preserve"> </w:t>
      </w:r>
      <w:r w:rsidR="007F198B" w:rsidRPr="007F198B">
        <w:rPr>
          <w:rFonts w:asciiTheme="minorHAnsi" w:hAnsiTheme="minorHAnsi" w:cstheme="minorHAnsi"/>
        </w:rPr>
        <w:t>comprehension, readability, appeal, relevance, effectiveness and identification of the written information</w:t>
      </w:r>
      <w:r w:rsidR="007F198B">
        <w:rPr>
          <w:rFonts w:asciiTheme="minorHAnsi" w:hAnsiTheme="minorHAnsi" w:cstheme="minorHAnsi"/>
        </w:rPr>
        <w:t>. The resource guide will address the following potential topics</w:t>
      </w:r>
      <w:r w:rsidR="007F198B" w:rsidRPr="002777C2">
        <w:rPr>
          <w:rFonts w:asciiTheme="minorHAnsi" w:hAnsiTheme="minorHAnsi" w:cstheme="minorHAnsi"/>
        </w:rPr>
        <w:t xml:space="preserve">: </w:t>
      </w:r>
      <w:r w:rsidR="00781A59" w:rsidRPr="002777C2">
        <w:rPr>
          <w:rFonts w:asciiTheme="minorHAnsi" w:hAnsiTheme="minorHAnsi"/>
        </w:rPr>
        <w:t xml:space="preserve">identification of </w:t>
      </w:r>
      <w:r w:rsidR="00287895" w:rsidRPr="002777C2">
        <w:rPr>
          <w:rFonts w:asciiTheme="minorHAnsi" w:hAnsiTheme="minorHAnsi"/>
        </w:rPr>
        <w:t>information gaps</w:t>
      </w:r>
      <w:r w:rsidR="007F198B" w:rsidRPr="002777C2">
        <w:rPr>
          <w:rFonts w:asciiTheme="minorHAnsi" w:hAnsiTheme="minorHAnsi"/>
        </w:rPr>
        <w:t xml:space="preserve"> related </w:t>
      </w:r>
      <w:r w:rsidR="004A675B">
        <w:rPr>
          <w:rFonts w:asciiTheme="minorHAnsi" w:hAnsiTheme="minorHAnsi"/>
        </w:rPr>
        <w:t xml:space="preserve">to </w:t>
      </w:r>
      <w:r w:rsidR="007F198B" w:rsidRPr="002777C2">
        <w:rPr>
          <w:rFonts w:asciiTheme="minorHAnsi" w:hAnsiTheme="minorHAnsi"/>
        </w:rPr>
        <w:t>opioid substance use, treatment and overdose bereavement</w:t>
      </w:r>
      <w:r w:rsidR="004C43F0">
        <w:rPr>
          <w:rFonts w:asciiTheme="minorHAnsi" w:hAnsiTheme="minorHAnsi"/>
        </w:rPr>
        <w:t xml:space="preserve">; parents and family’s needs for information and resources, including </w:t>
      </w:r>
      <w:r w:rsidR="007F198B" w:rsidRPr="002777C2">
        <w:rPr>
          <w:rFonts w:asciiTheme="minorHAnsi" w:hAnsiTheme="minorHAnsi"/>
        </w:rPr>
        <w:t>overcoming stigma and coping skills; and risk and protective factors</w:t>
      </w:r>
      <w:r w:rsidR="002777C2" w:rsidRPr="002777C2">
        <w:rPr>
          <w:rFonts w:asciiTheme="minorHAnsi" w:hAnsiTheme="minorHAnsi"/>
        </w:rPr>
        <w:t>.</w:t>
      </w:r>
      <w:r w:rsidR="00781A59" w:rsidRPr="002777C2">
        <w:rPr>
          <w:rFonts w:asciiTheme="minorHAnsi" w:hAnsiTheme="minorHAnsi"/>
        </w:rPr>
        <w:t xml:space="preserve"> </w:t>
      </w:r>
    </w:p>
    <w:p w14:paraId="27AC5B66" w14:textId="77777777" w:rsidR="00781A59" w:rsidRPr="002777C2" w:rsidRDefault="00781A59" w:rsidP="00371304">
      <w:pPr>
        <w:pStyle w:val="Header"/>
        <w:tabs>
          <w:tab w:val="clear" w:pos="4320"/>
          <w:tab w:val="clear" w:pos="8640"/>
        </w:tabs>
        <w:spacing w:line="271" w:lineRule="auto"/>
        <w:rPr>
          <w:rFonts w:asciiTheme="minorHAnsi" w:hAnsiTheme="minorHAnsi"/>
        </w:rPr>
      </w:pPr>
    </w:p>
    <w:p w14:paraId="27AC5B67" w14:textId="10BFB16C" w:rsidR="00371304" w:rsidRPr="00685CAC" w:rsidRDefault="009D71CA" w:rsidP="00371304">
      <w:pPr>
        <w:pStyle w:val="Header"/>
        <w:tabs>
          <w:tab w:val="clear" w:pos="4320"/>
          <w:tab w:val="clear" w:pos="8640"/>
        </w:tabs>
        <w:spacing w:line="271" w:lineRule="auto"/>
        <w:rPr>
          <w:rFonts w:asciiTheme="minorHAnsi" w:hAnsiTheme="minorHAnsi"/>
        </w:rPr>
      </w:pPr>
      <w:r w:rsidRPr="00685CAC">
        <w:rPr>
          <w:rFonts w:asciiTheme="minorHAnsi" w:hAnsiTheme="minorHAnsi"/>
        </w:rPr>
        <w:t xml:space="preserve">Each focus group will be </w:t>
      </w:r>
      <w:r w:rsidR="00685CAC" w:rsidRPr="00685CAC">
        <w:rPr>
          <w:rFonts w:asciiTheme="minorHAnsi" w:hAnsiTheme="minorHAnsi"/>
        </w:rPr>
        <w:t>9</w:t>
      </w:r>
      <w:r w:rsidRPr="00685CAC">
        <w:rPr>
          <w:rFonts w:asciiTheme="minorHAnsi" w:hAnsiTheme="minorHAnsi"/>
        </w:rPr>
        <w:t xml:space="preserve">0 </w:t>
      </w:r>
      <w:r w:rsidR="00371304" w:rsidRPr="00685CAC">
        <w:rPr>
          <w:rFonts w:asciiTheme="minorHAnsi" w:hAnsiTheme="minorHAnsi"/>
        </w:rPr>
        <w:t xml:space="preserve">minutes long. </w:t>
      </w:r>
      <w:r w:rsidR="008852E4" w:rsidRPr="00685CAC">
        <w:rPr>
          <w:rFonts w:asciiTheme="minorHAnsi" w:hAnsiTheme="minorHAnsi"/>
        </w:rPr>
        <w:t xml:space="preserve"> </w:t>
      </w:r>
      <w:r w:rsidR="00371304" w:rsidRPr="00685CAC">
        <w:rPr>
          <w:rFonts w:asciiTheme="minorHAnsi" w:hAnsiTheme="minorHAnsi"/>
        </w:rPr>
        <w:t>The time breakdown for each focus group is</w:t>
      </w:r>
      <w:r w:rsidR="004C43F0">
        <w:rPr>
          <w:rFonts w:asciiTheme="minorHAnsi" w:hAnsiTheme="minorHAnsi"/>
        </w:rPr>
        <w:t xml:space="preserve"> as follows</w:t>
      </w:r>
      <w:r w:rsidR="00371304" w:rsidRPr="00685CAC">
        <w:rPr>
          <w:rFonts w:asciiTheme="minorHAnsi" w:hAnsiTheme="minorHAnsi"/>
        </w:rPr>
        <w:t>:</w:t>
      </w:r>
    </w:p>
    <w:p w14:paraId="27AC5B68" w14:textId="77777777" w:rsidR="00371304" w:rsidRPr="009D6650" w:rsidRDefault="00371304" w:rsidP="00371304">
      <w:pPr>
        <w:pStyle w:val="Header"/>
        <w:tabs>
          <w:tab w:val="clear" w:pos="4320"/>
          <w:tab w:val="clear" w:pos="8640"/>
        </w:tabs>
        <w:spacing w:line="271" w:lineRule="auto"/>
        <w:rPr>
          <w:rFonts w:asciiTheme="minorHAnsi" w:hAnsiTheme="minorHAnsi"/>
          <w:color w:val="7030A0"/>
        </w:rPr>
      </w:pPr>
    </w:p>
    <w:p w14:paraId="27AC5B69" w14:textId="2506401F" w:rsidR="00371304" w:rsidRPr="00685CAC" w:rsidRDefault="00ED277A" w:rsidP="00371304">
      <w:pPr>
        <w:pStyle w:val="Header"/>
        <w:numPr>
          <w:ilvl w:val="0"/>
          <w:numId w:val="31"/>
        </w:numPr>
        <w:tabs>
          <w:tab w:val="clear" w:pos="4320"/>
          <w:tab w:val="clear" w:pos="8640"/>
        </w:tabs>
        <w:spacing w:line="271" w:lineRule="auto"/>
        <w:rPr>
          <w:rFonts w:asciiTheme="minorHAnsi" w:hAnsiTheme="minorHAnsi"/>
        </w:rPr>
      </w:pPr>
      <w:r w:rsidRPr="00685CAC">
        <w:rPr>
          <w:rFonts w:asciiTheme="minorHAnsi" w:hAnsiTheme="minorHAnsi"/>
        </w:rPr>
        <w:t>0.8</w:t>
      </w:r>
      <w:r w:rsidR="009D71CA" w:rsidRPr="00685CAC">
        <w:rPr>
          <w:rFonts w:asciiTheme="minorHAnsi" w:hAnsiTheme="minorHAnsi"/>
        </w:rPr>
        <w:t xml:space="preserve"> </w:t>
      </w:r>
      <w:r w:rsidR="00371304" w:rsidRPr="00685CAC">
        <w:rPr>
          <w:rFonts w:asciiTheme="minorHAnsi" w:hAnsiTheme="minorHAnsi"/>
        </w:rPr>
        <w:t>minute</w:t>
      </w:r>
      <w:r w:rsidR="004C43F0">
        <w:rPr>
          <w:rFonts w:asciiTheme="minorHAnsi" w:hAnsiTheme="minorHAnsi"/>
        </w:rPr>
        <w:t>s</w:t>
      </w:r>
      <w:r w:rsidR="00371304" w:rsidRPr="00685CAC">
        <w:rPr>
          <w:rFonts w:asciiTheme="minorHAnsi" w:hAnsiTheme="minorHAnsi"/>
        </w:rPr>
        <w:t xml:space="preserve"> to prescreen potential participants</w:t>
      </w:r>
      <w:r w:rsidR="008852E4" w:rsidRPr="00685CAC">
        <w:rPr>
          <w:rFonts w:asciiTheme="minorHAnsi" w:hAnsiTheme="minorHAnsi"/>
        </w:rPr>
        <w:t xml:space="preserve">; and </w:t>
      </w:r>
    </w:p>
    <w:p w14:paraId="27AC5B6A" w14:textId="77777777" w:rsidR="00371304" w:rsidRPr="00685CAC" w:rsidRDefault="00685CAC" w:rsidP="00371304">
      <w:pPr>
        <w:pStyle w:val="Header"/>
        <w:numPr>
          <w:ilvl w:val="0"/>
          <w:numId w:val="31"/>
        </w:numPr>
        <w:tabs>
          <w:tab w:val="clear" w:pos="4320"/>
          <w:tab w:val="clear" w:pos="8640"/>
        </w:tabs>
        <w:spacing w:line="271" w:lineRule="auto"/>
        <w:rPr>
          <w:rFonts w:asciiTheme="minorHAnsi" w:hAnsiTheme="minorHAnsi"/>
        </w:rPr>
      </w:pPr>
      <w:r w:rsidRPr="00685CAC">
        <w:rPr>
          <w:rFonts w:asciiTheme="minorHAnsi" w:hAnsiTheme="minorHAnsi"/>
        </w:rPr>
        <w:t>90</w:t>
      </w:r>
      <w:r w:rsidR="00F07BEE" w:rsidRPr="00685CAC">
        <w:rPr>
          <w:rFonts w:asciiTheme="minorHAnsi" w:hAnsiTheme="minorHAnsi"/>
        </w:rPr>
        <w:t xml:space="preserve"> minutes</w:t>
      </w:r>
      <w:r w:rsidR="00371304" w:rsidRPr="00685CAC">
        <w:rPr>
          <w:rFonts w:asciiTheme="minorHAnsi" w:hAnsiTheme="minorHAnsi"/>
        </w:rPr>
        <w:t xml:space="preserve"> to read and sign consent forms and </w:t>
      </w:r>
      <w:r w:rsidR="008852E4" w:rsidRPr="00685CAC">
        <w:rPr>
          <w:rFonts w:asciiTheme="minorHAnsi" w:hAnsiTheme="minorHAnsi"/>
        </w:rPr>
        <w:t xml:space="preserve">to </w:t>
      </w:r>
      <w:r w:rsidR="00371304" w:rsidRPr="00685CAC">
        <w:rPr>
          <w:rFonts w:asciiTheme="minorHAnsi" w:hAnsiTheme="minorHAnsi"/>
        </w:rPr>
        <w:t xml:space="preserve">participate in </w:t>
      </w:r>
      <w:r w:rsidR="008852E4" w:rsidRPr="00685CAC">
        <w:rPr>
          <w:rFonts w:asciiTheme="minorHAnsi" w:hAnsiTheme="minorHAnsi"/>
        </w:rPr>
        <w:t xml:space="preserve">the </w:t>
      </w:r>
      <w:r w:rsidR="00371304" w:rsidRPr="00685CAC">
        <w:rPr>
          <w:rFonts w:asciiTheme="minorHAnsi" w:hAnsiTheme="minorHAnsi"/>
        </w:rPr>
        <w:t>introduction, guidelines, and group discussion</w:t>
      </w:r>
      <w:r w:rsidR="008569E8" w:rsidRPr="00685CAC">
        <w:rPr>
          <w:rFonts w:asciiTheme="minorHAnsi" w:hAnsiTheme="minorHAnsi"/>
        </w:rPr>
        <w:t>.</w:t>
      </w:r>
    </w:p>
    <w:p w14:paraId="27AC5B6B" w14:textId="77777777" w:rsidR="009D71CA" w:rsidRPr="009D6650" w:rsidRDefault="00371304" w:rsidP="00371304">
      <w:pPr>
        <w:pStyle w:val="Header"/>
        <w:tabs>
          <w:tab w:val="clear" w:pos="4320"/>
          <w:tab w:val="clear" w:pos="8640"/>
        </w:tabs>
        <w:spacing w:line="271" w:lineRule="auto"/>
        <w:rPr>
          <w:rFonts w:asciiTheme="minorHAnsi" w:hAnsiTheme="minorHAnsi"/>
          <w:color w:val="7030A0"/>
        </w:rPr>
      </w:pPr>
      <w:r w:rsidRPr="009D6650">
        <w:rPr>
          <w:rFonts w:asciiTheme="minorHAnsi" w:hAnsiTheme="minorHAnsi"/>
          <w:color w:val="7030A0"/>
        </w:rPr>
        <w:t xml:space="preserve"> </w:t>
      </w:r>
    </w:p>
    <w:p w14:paraId="27AC5B6C" w14:textId="06E07FB4" w:rsidR="00371304" w:rsidRPr="00685CAC" w:rsidRDefault="00371304" w:rsidP="00371304">
      <w:pPr>
        <w:pStyle w:val="Header"/>
        <w:tabs>
          <w:tab w:val="clear" w:pos="4320"/>
          <w:tab w:val="clear" w:pos="8640"/>
        </w:tabs>
        <w:spacing w:line="271" w:lineRule="auto"/>
        <w:rPr>
          <w:rFonts w:asciiTheme="minorHAnsi" w:hAnsiTheme="minorHAnsi"/>
        </w:rPr>
      </w:pPr>
      <w:r w:rsidRPr="00685CAC">
        <w:rPr>
          <w:rFonts w:asciiTheme="minorHAnsi" w:hAnsiTheme="minorHAnsi"/>
        </w:rPr>
        <w:t xml:space="preserve">SAMHSA will provide </w:t>
      </w:r>
      <w:r w:rsidR="008852E4" w:rsidRPr="00685CAC">
        <w:rPr>
          <w:rFonts w:asciiTheme="minorHAnsi" w:hAnsiTheme="minorHAnsi"/>
        </w:rPr>
        <w:t xml:space="preserve">a </w:t>
      </w:r>
      <w:r w:rsidRPr="00685CAC">
        <w:rPr>
          <w:rFonts w:asciiTheme="minorHAnsi" w:hAnsiTheme="minorHAnsi"/>
        </w:rPr>
        <w:t xml:space="preserve">screening </w:t>
      </w:r>
      <w:r w:rsidR="00670241" w:rsidRPr="00685CAC">
        <w:rPr>
          <w:rFonts w:asciiTheme="minorHAnsi" w:hAnsiTheme="minorHAnsi"/>
        </w:rPr>
        <w:t xml:space="preserve">and recruitment </w:t>
      </w:r>
      <w:r w:rsidRPr="00685CAC">
        <w:rPr>
          <w:rFonts w:asciiTheme="minorHAnsi" w:hAnsiTheme="minorHAnsi"/>
        </w:rPr>
        <w:t>questionnaire to vendors to use in recruiting the focus group participants.</w:t>
      </w:r>
      <w:r w:rsidR="001D5B47" w:rsidRPr="00685CAC">
        <w:rPr>
          <w:rFonts w:asciiTheme="minorHAnsi" w:hAnsiTheme="minorHAnsi"/>
        </w:rPr>
        <w:t xml:space="preserve"> </w:t>
      </w:r>
      <w:r w:rsidR="008852E4" w:rsidRPr="00685CAC">
        <w:rPr>
          <w:rFonts w:asciiTheme="minorHAnsi" w:hAnsiTheme="minorHAnsi"/>
        </w:rPr>
        <w:t xml:space="preserve"> </w:t>
      </w:r>
      <w:r w:rsidRPr="00685CAC">
        <w:rPr>
          <w:rFonts w:asciiTheme="minorHAnsi" w:hAnsiTheme="minorHAnsi"/>
        </w:rPr>
        <w:t xml:space="preserve">This </w:t>
      </w:r>
      <w:r w:rsidR="008852E4" w:rsidRPr="00685CAC">
        <w:rPr>
          <w:rFonts w:asciiTheme="minorHAnsi" w:hAnsiTheme="minorHAnsi"/>
        </w:rPr>
        <w:t xml:space="preserve">questionnaire </w:t>
      </w:r>
      <w:r w:rsidRPr="00685CAC">
        <w:rPr>
          <w:rFonts w:asciiTheme="minorHAnsi" w:hAnsiTheme="minorHAnsi"/>
        </w:rPr>
        <w:t>ensures the individuals participating in each group will meet the needs of the study.</w:t>
      </w:r>
      <w:r w:rsidR="008852E4" w:rsidRPr="00685CAC">
        <w:rPr>
          <w:rFonts w:asciiTheme="minorHAnsi" w:hAnsiTheme="minorHAnsi"/>
        </w:rPr>
        <w:t xml:space="preserve"> </w:t>
      </w:r>
      <w:r w:rsidRPr="00685CAC">
        <w:rPr>
          <w:rFonts w:asciiTheme="minorHAnsi" w:hAnsiTheme="minorHAnsi"/>
        </w:rPr>
        <w:t xml:space="preserve"> SAMHSA will also provide guidance on timing and setup for the groups and work with its vendors to meet or adjust the logistical requirements as needed.</w:t>
      </w:r>
    </w:p>
    <w:p w14:paraId="27AC5B6D" w14:textId="77777777" w:rsidR="00371304" w:rsidRDefault="00371304" w:rsidP="00BA62E9">
      <w:pPr>
        <w:pStyle w:val="Header"/>
        <w:tabs>
          <w:tab w:val="clear" w:pos="4320"/>
          <w:tab w:val="clear" w:pos="8640"/>
        </w:tabs>
        <w:rPr>
          <w:rFonts w:asciiTheme="minorHAnsi" w:hAnsiTheme="minorHAnsi"/>
        </w:rPr>
      </w:pPr>
    </w:p>
    <w:p w14:paraId="27AC5B6E" w14:textId="77777777" w:rsidR="00BA62E9" w:rsidRDefault="00BA62E9" w:rsidP="00BA62E9">
      <w:pPr>
        <w:pStyle w:val="Header"/>
        <w:tabs>
          <w:tab w:val="clear" w:pos="4320"/>
          <w:tab w:val="clear" w:pos="8640"/>
        </w:tabs>
        <w:rPr>
          <w:rFonts w:asciiTheme="minorHAnsi" w:hAnsiTheme="minorHAnsi"/>
          <w:b/>
        </w:rPr>
      </w:pPr>
      <w:r w:rsidRPr="002725D7">
        <w:rPr>
          <w:rFonts w:asciiTheme="minorHAnsi" w:hAnsiTheme="minorHAnsi"/>
          <w:b/>
        </w:rPr>
        <w:t>Identif</w:t>
      </w:r>
      <w:r w:rsidR="0088397A">
        <w:rPr>
          <w:rFonts w:asciiTheme="minorHAnsi" w:hAnsiTheme="minorHAnsi"/>
          <w:b/>
        </w:rPr>
        <w:t>ication of</w:t>
      </w:r>
      <w:r w:rsidRPr="002725D7">
        <w:rPr>
          <w:rFonts w:asciiTheme="minorHAnsi" w:hAnsiTheme="minorHAnsi"/>
          <w:b/>
        </w:rPr>
        <w:t xml:space="preserve"> </w:t>
      </w:r>
      <w:r w:rsidR="00193BC7">
        <w:rPr>
          <w:rFonts w:asciiTheme="minorHAnsi" w:hAnsiTheme="minorHAnsi"/>
          <w:b/>
        </w:rPr>
        <w:t>R</w:t>
      </w:r>
      <w:r w:rsidRPr="002725D7">
        <w:rPr>
          <w:rFonts w:asciiTheme="minorHAnsi" w:hAnsiTheme="minorHAnsi"/>
          <w:b/>
        </w:rPr>
        <w:t xml:space="preserve">espondents and </w:t>
      </w:r>
      <w:r w:rsidR="00193BC7">
        <w:rPr>
          <w:rFonts w:asciiTheme="minorHAnsi" w:hAnsiTheme="minorHAnsi"/>
          <w:b/>
        </w:rPr>
        <w:t>P</w:t>
      </w:r>
      <w:r w:rsidRPr="002725D7">
        <w:rPr>
          <w:rFonts w:asciiTheme="minorHAnsi" w:hAnsiTheme="minorHAnsi"/>
          <w:b/>
        </w:rPr>
        <w:t>rovi</w:t>
      </w:r>
      <w:r w:rsidR="0088397A">
        <w:rPr>
          <w:rFonts w:asciiTheme="minorHAnsi" w:hAnsiTheme="minorHAnsi"/>
          <w:b/>
        </w:rPr>
        <w:t>sion</w:t>
      </w:r>
      <w:r w:rsidRPr="002725D7">
        <w:rPr>
          <w:rFonts w:asciiTheme="minorHAnsi" w:hAnsiTheme="minorHAnsi"/>
          <w:b/>
        </w:rPr>
        <w:t xml:space="preserve"> </w:t>
      </w:r>
      <w:r w:rsidR="0088397A">
        <w:rPr>
          <w:rFonts w:asciiTheme="minorHAnsi" w:hAnsiTheme="minorHAnsi"/>
          <w:b/>
        </w:rPr>
        <w:t xml:space="preserve">of </w:t>
      </w:r>
      <w:r w:rsidR="00193BC7">
        <w:rPr>
          <w:rFonts w:asciiTheme="minorHAnsi" w:hAnsiTheme="minorHAnsi"/>
          <w:b/>
        </w:rPr>
        <w:t>I</w:t>
      </w:r>
      <w:r w:rsidRPr="002725D7">
        <w:rPr>
          <w:rFonts w:asciiTheme="minorHAnsi" w:hAnsiTheme="minorHAnsi"/>
          <w:b/>
        </w:rPr>
        <w:t>ncentives</w:t>
      </w:r>
    </w:p>
    <w:p w14:paraId="27AC5B6F" w14:textId="77777777" w:rsidR="001466B8" w:rsidRPr="000C0473" w:rsidRDefault="001466B8" w:rsidP="00BA62E9">
      <w:pPr>
        <w:pStyle w:val="Header"/>
        <w:tabs>
          <w:tab w:val="clear" w:pos="4320"/>
          <w:tab w:val="clear" w:pos="8640"/>
        </w:tabs>
        <w:rPr>
          <w:rFonts w:asciiTheme="minorHAnsi" w:hAnsiTheme="minorHAnsi"/>
          <w:b/>
        </w:rPr>
      </w:pPr>
    </w:p>
    <w:p w14:paraId="27AC5B70" w14:textId="51449D14" w:rsidR="001466B8" w:rsidRDefault="001466B8" w:rsidP="00544669">
      <w:pPr>
        <w:pStyle w:val="Header"/>
        <w:tabs>
          <w:tab w:val="clear" w:pos="4320"/>
          <w:tab w:val="clear" w:pos="8640"/>
        </w:tabs>
        <w:spacing w:line="271" w:lineRule="auto"/>
        <w:rPr>
          <w:rFonts w:asciiTheme="minorHAnsi" w:hAnsiTheme="minorHAnsi"/>
        </w:rPr>
      </w:pPr>
      <w:r w:rsidRPr="000C0473">
        <w:rPr>
          <w:rFonts w:asciiTheme="minorHAnsi" w:hAnsiTheme="minorHAnsi"/>
        </w:rPr>
        <w:t xml:space="preserve">SAMHSA is looking </w:t>
      </w:r>
      <w:r w:rsidR="00193BC7" w:rsidRPr="000C0473">
        <w:rPr>
          <w:rFonts w:asciiTheme="minorHAnsi" w:hAnsiTheme="minorHAnsi"/>
        </w:rPr>
        <w:t xml:space="preserve">for </w:t>
      </w:r>
      <w:r w:rsidRPr="000C0473">
        <w:rPr>
          <w:rFonts w:asciiTheme="minorHAnsi" w:hAnsiTheme="minorHAnsi"/>
        </w:rPr>
        <w:t xml:space="preserve">a total of </w:t>
      </w:r>
      <w:r w:rsidR="007E4380">
        <w:rPr>
          <w:rFonts w:asciiTheme="minorHAnsi" w:hAnsiTheme="minorHAnsi"/>
        </w:rPr>
        <w:t>60</w:t>
      </w:r>
      <w:r w:rsidRPr="000C0473">
        <w:rPr>
          <w:rFonts w:asciiTheme="minorHAnsi" w:hAnsiTheme="minorHAnsi"/>
        </w:rPr>
        <w:t xml:space="preserve"> potential participants </w:t>
      </w:r>
      <w:r w:rsidR="00BF17B2" w:rsidRPr="000C0473">
        <w:rPr>
          <w:rFonts w:asciiTheme="minorHAnsi" w:hAnsiTheme="minorHAnsi"/>
        </w:rPr>
        <w:t xml:space="preserve">who </w:t>
      </w:r>
      <w:r w:rsidRPr="000C0473">
        <w:rPr>
          <w:rFonts w:asciiTheme="minorHAnsi" w:hAnsiTheme="minorHAnsi"/>
        </w:rPr>
        <w:t>will be prescreen</w:t>
      </w:r>
      <w:r w:rsidR="007E4380">
        <w:rPr>
          <w:rFonts w:asciiTheme="minorHAnsi" w:hAnsiTheme="minorHAnsi"/>
        </w:rPr>
        <w:t>ed prior to the focus groups (10</w:t>
      </w:r>
      <w:r w:rsidRPr="000C0473">
        <w:rPr>
          <w:rFonts w:asciiTheme="minorHAnsi" w:hAnsiTheme="minorHAnsi"/>
        </w:rPr>
        <w:t xml:space="preserve"> potential participants per focus group). </w:t>
      </w:r>
      <w:r w:rsidR="008852E4" w:rsidRPr="000C0473">
        <w:rPr>
          <w:rFonts w:asciiTheme="minorHAnsi" w:hAnsiTheme="minorHAnsi"/>
        </w:rPr>
        <w:t xml:space="preserve"> </w:t>
      </w:r>
      <w:r w:rsidRPr="000C0473">
        <w:rPr>
          <w:rFonts w:asciiTheme="minorHAnsi" w:hAnsiTheme="minorHAnsi"/>
        </w:rPr>
        <w:t xml:space="preserve">Out of the </w:t>
      </w:r>
      <w:r w:rsidR="007E4380">
        <w:rPr>
          <w:rFonts w:asciiTheme="minorHAnsi" w:hAnsiTheme="minorHAnsi"/>
        </w:rPr>
        <w:t>60</w:t>
      </w:r>
      <w:r w:rsidRPr="000C0473">
        <w:rPr>
          <w:rFonts w:asciiTheme="minorHAnsi" w:hAnsiTheme="minorHAnsi"/>
        </w:rPr>
        <w:t xml:space="preserve"> prescreened potential participants, </w:t>
      </w:r>
      <w:r w:rsidR="007E4380">
        <w:rPr>
          <w:rFonts w:asciiTheme="minorHAnsi" w:hAnsiTheme="minorHAnsi"/>
        </w:rPr>
        <w:t>48</w:t>
      </w:r>
      <w:r w:rsidRPr="000C0473">
        <w:rPr>
          <w:rFonts w:asciiTheme="minorHAnsi" w:hAnsiTheme="minorHAnsi"/>
        </w:rPr>
        <w:t xml:space="preserve"> will be recruited and divided into </w:t>
      </w:r>
      <w:r w:rsidR="000C0473" w:rsidRPr="000C0473">
        <w:rPr>
          <w:rFonts w:asciiTheme="minorHAnsi" w:hAnsiTheme="minorHAnsi"/>
        </w:rPr>
        <w:t>six</w:t>
      </w:r>
      <w:r w:rsidR="007E4380">
        <w:rPr>
          <w:rFonts w:asciiTheme="minorHAnsi" w:hAnsiTheme="minorHAnsi"/>
        </w:rPr>
        <w:t xml:space="preserve"> groups of 8</w:t>
      </w:r>
      <w:r w:rsidRPr="000C0473">
        <w:rPr>
          <w:rFonts w:asciiTheme="minorHAnsi" w:hAnsiTheme="minorHAnsi"/>
        </w:rPr>
        <w:t xml:space="preserve"> to participate in the </w:t>
      </w:r>
      <w:r w:rsidR="000C0473" w:rsidRPr="000C0473">
        <w:rPr>
          <w:rFonts w:asciiTheme="minorHAnsi" w:hAnsiTheme="minorHAnsi"/>
        </w:rPr>
        <w:t>90</w:t>
      </w:r>
      <w:r w:rsidRPr="000C0473">
        <w:rPr>
          <w:rFonts w:asciiTheme="minorHAnsi" w:hAnsiTheme="minorHAnsi"/>
        </w:rPr>
        <w:t xml:space="preserve">-minute focus group sessions. </w:t>
      </w:r>
    </w:p>
    <w:p w14:paraId="27AC5B73" w14:textId="4126BAEB" w:rsidR="00287895" w:rsidRPr="00287895" w:rsidRDefault="00287895" w:rsidP="00544669">
      <w:pPr>
        <w:pStyle w:val="Header"/>
        <w:tabs>
          <w:tab w:val="clear" w:pos="4320"/>
          <w:tab w:val="clear" w:pos="8640"/>
        </w:tabs>
        <w:spacing w:line="271" w:lineRule="auto"/>
        <w:rPr>
          <w:rFonts w:asciiTheme="minorHAnsi" w:hAnsiTheme="minorHAnsi"/>
          <w:color w:val="FF0000"/>
        </w:rPr>
      </w:pPr>
    </w:p>
    <w:p w14:paraId="27AC5B74" w14:textId="77777777" w:rsidR="001466B8" w:rsidRPr="000C0473" w:rsidRDefault="001466B8" w:rsidP="001466B8">
      <w:pPr>
        <w:pStyle w:val="Header"/>
        <w:tabs>
          <w:tab w:val="clear" w:pos="4320"/>
          <w:tab w:val="clear" w:pos="8640"/>
        </w:tabs>
        <w:spacing w:line="271" w:lineRule="auto"/>
        <w:rPr>
          <w:rFonts w:asciiTheme="minorHAnsi" w:hAnsiTheme="minorHAnsi"/>
        </w:rPr>
      </w:pPr>
      <w:r w:rsidRPr="000C0473">
        <w:rPr>
          <w:rFonts w:asciiTheme="minorHAnsi" w:hAnsiTheme="minorHAnsi"/>
        </w:rPr>
        <w:t xml:space="preserve">Participant recruitment will be based on the results of a screening questionnaire to be applied </w:t>
      </w:r>
      <w:r w:rsidRPr="000C0473">
        <w:rPr>
          <w:rFonts w:asciiTheme="minorHAnsi" w:hAnsiTheme="minorHAnsi"/>
        </w:rPr>
        <w:lastRenderedPageBreak/>
        <w:t>by</w:t>
      </w:r>
      <w:r w:rsidR="00D27834" w:rsidRPr="000C0473">
        <w:rPr>
          <w:rFonts w:asciiTheme="minorHAnsi" w:hAnsiTheme="minorHAnsi"/>
        </w:rPr>
        <w:t xml:space="preserve"> </w:t>
      </w:r>
      <w:proofErr w:type="spellStart"/>
      <w:r w:rsidR="00D27834" w:rsidRPr="000C0473">
        <w:rPr>
          <w:rFonts w:asciiTheme="minorHAnsi" w:hAnsiTheme="minorHAnsi"/>
        </w:rPr>
        <w:t>EurekaFacts</w:t>
      </w:r>
      <w:proofErr w:type="spellEnd"/>
      <w:r w:rsidR="008569E8" w:rsidRPr="000C0473">
        <w:rPr>
          <w:rFonts w:asciiTheme="minorHAnsi" w:hAnsiTheme="minorHAnsi"/>
        </w:rPr>
        <w:t>, a</w:t>
      </w:r>
      <w:r w:rsidR="00193BC7" w:rsidRPr="000C0473">
        <w:rPr>
          <w:rFonts w:asciiTheme="minorHAnsi" w:hAnsiTheme="minorHAnsi"/>
        </w:rPr>
        <w:t>s well as</w:t>
      </w:r>
      <w:r w:rsidR="008569E8" w:rsidRPr="000C0473">
        <w:rPr>
          <w:rFonts w:asciiTheme="minorHAnsi" w:hAnsiTheme="minorHAnsi"/>
        </w:rPr>
        <w:t xml:space="preserve"> close monitoring </w:t>
      </w:r>
      <w:r w:rsidR="00544669" w:rsidRPr="000C0473">
        <w:rPr>
          <w:rFonts w:asciiTheme="minorHAnsi" w:hAnsiTheme="minorHAnsi"/>
        </w:rPr>
        <w:t xml:space="preserve">by </w:t>
      </w:r>
      <w:r w:rsidR="008569E8" w:rsidRPr="000C0473">
        <w:rPr>
          <w:rFonts w:asciiTheme="minorHAnsi" w:hAnsiTheme="minorHAnsi"/>
        </w:rPr>
        <w:t>Synergy</w:t>
      </w:r>
      <w:r w:rsidR="002E5808" w:rsidRPr="000C0473">
        <w:rPr>
          <w:rFonts w:asciiTheme="minorHAnsi" w:hAnsiTheme="minorHAnsi"/>
        </w:rPr>
        <w:t xml:space="preserve"> Enterprises, Inc.</w:t>
      </w:r>
      <w:r w:rsidR="008569E8" w:rsidRPr="000C0473">
        <w:rPr>
          <w:rFonts w:asciiTheme="minorHAnsi" w:hAnsiTheme="minorHAnsi"/>
        </w:rPr>
        <w:t xml:space="preserve">’s staff to </w:t>
      </w:r>
      <w:r w:rsidR="00544669" w:rsidRPr="000C0473">
        <w:rPr>
          <w:rFonts w:asciiTheme="minorHAnsi" w:hAnsiTheme="minorHAnsi"/>
        </w:rPr>
        <w:t xml:space="preserve">gather groups with the appropriate profiles </w:t>
      </w:r>
      <w:r w:rsidR="00183705" w:rsidRPr="000C0473">
        <w:rPr>
          <w:rFonts w:asciiTheme="minorHAnsi" w:hAnsiTheme="minorHAnsi"/>
        </w:rPr>
        <w:t>bas</w:t>
      </w:r>
      <w:r w:rsidR="00544669" w:rsidRPr="000C0473">
        <w:rPr>
          <w:rFonts w:asciiTheme="minorHAnsi" w:hAnsiTheme="minorHAnsi"/>
        </w:rPr>
        <w:t xml:space="preserve">ed </w:t>
      </w:r>
      <w:r w:rsidR="00E753FC" w:rsidRPr="000C0473">
        <w:rPr>
          <w:rFonts w:asciiTheme="minorHAnsi" w:hAnsiTheme="minorHAnsi"/>
        </w:rPr>
        <w:t xml:space="preserve">on the selection criteria.  </w:t>
      </w:r>
      <w:r w:rsidR="00970C90" w:rsidRPr="000C0473">
        <w:rPr>
          <w:rFonts w:asciiTheme="minorHAnsi" w:hAnsiTheme="minorHAnsi"/>
        </w:rPr>
        <w:t xml:space="preserve">The following </w:t>
      </w:r>
      <w:r w:rsidR="006C1763" w:rsidRPr="000C0473">
        <w:rPr>
          <w:rFonts w:asciiTheme="minorHAnsi" w:hAnsiTheme="minorHAnsi"/>
        </w:rPr>
        <w:t>procedures will be followed:</w:t>
      </w:r>
      <w:r w:rsidR="00970C90" w:rsidRPr="000C0473">
        <w:rPr>
          <w:rFonts w:asciiTheme="minorHAnsi" w:hAnsiTheme="minorHAnsi"/>
        </w:rPr>
        <w:t xml:space="preserve">  </w:t>
      </w:r>
    </w:p>
    <w:p w14:paraId="27AC5B75" w14:textId="77777777" w:rsidR="001466B8" w:rsidRPr="000C0473" w:rsidRDefault="001466B8" w:rsidP="001466B8">
      <w:pPr>
        <w:pStyle w:val="Header"/>
        <w:numPr>
          <w:ilvl w:val="0"/>
          <w:numId w:val="32"/>
        </w:numPr>
        <w:tabs>
          <w:tab w:val="clear" w:pos="4320"/>
          <w:tab w:val="clear" w:pos="8640"/>
        </w:tabs>
        <w:spacing w:line="271" w:lineRule="auto"/>
        <w:rPr>
          <w:rFonts w:asciiTheme="minorHAnsi" w:hAnsiTheme="minorHAnsi"/>
        </w:rPr>
      </w:pPr>
      <w:r w:rsidRPr="000C0473">
        <w:rPr>
          <w:rFonts w:asciiTheme="minorHAnsi" w:hAnsiTheme="minorHAnsi"/>
        </w:rPr>
        <w:t xml:space="preserve">Focus groups will </w:t>
      </w:r>
      <w:r w:rsidR="00235C2A">
        <w:rPr>
          <w:rFonts w:asciiTheme="minorHAnsi" w:hAnsiTheme="minorHAnsi"/>
        </w:rPr>
        <w:t xml:space="preserve">be conducted </w:t>
      </w:r>
      <w:r w:rsidRPr="000C0473">
        <w:rPr>
          <w:rFonts w:asciiTheme="minorHAnsi" w:hAnsiTheme="minorHAnsi"/>
        </w:rPr>
        <w:t>based on potential participants</w:t>
      </w:r>
      <w:r w:rsidR="00C55070" w:rsidRPr="000C0473">
        <w:rPr>
          <w:rFonts w:asciiTheme="minorHAnsi" w:hAnsiTheme="minorHAnsi"/>
        </w:rPr>
        <w:t>’</w:t>
      </w:r>
      <w:r w:rsidRPr="000C0473">
        <w:rPr>
          <w:rFonts w:asciiTheme="minorHAnsi" w:hAnsiTheme="minorHAnsi"/>
        </w:rPr>
        <w:t xml:space="preserve"> availability</w:t>
      </w:r>
      <w:r w:rsidR="00235C2A">
        <w:rPr>
          <w:rFonts w:asciiTheme="minorHAnsi" w:hAnsiTheme="minorHAnsi"/>
        </w:rPr>
        <w:t>, explored via screening questionnaire</w:t>
      </w:r>
    </w:p>
    <w:p w14:paraId="27AC5B76" w14:textId="77777777" w:rsidR="001466B8" w:rsidRPr="000C0473" w:rsidRDefault="001466B8" w:rsidP="001466B8">
      <w:pPr>
        <w:pStyle w:val="Header"/>
        <w:numPr>
          <w:ilvl w:val="0"/>
          <w:numId w:val="32"/>
        </w:numPr>
        <w:tabs>
          <w:tab w:val="clear" w:pos="4320"/>
          <w:tab w:val="clear" w:pos="8640"/>
        </w:tabs>
        <w:spacing w:line="271" w:lineRule="auto"/>
        <w:rPr>
          <w:rFonts w:asciiTheme="minorHAnsi" w:hAnsiTheme="minorHAnsi"/>
        </w:rPr>
      </w:pPr>
      <w:r w:rsidRPr="000C0473">
        <w:rPr>
          <w:rFonts w:asciiTheme="minorHAnsi" w:hAnsiTheme="minorHAnsi"/>
        </w:rPr>
        <w:t>At the beginning of each session, participants will complete a</w:t>
      </w:r>
      <w:r w:rsidR="003012A6" w:rsidRPr="000C0473">
        <w:rPr>
          <w:rFonts w:asciiTheme="minorHAnsi" w:hAnsiTheme="minorHAnsi"/>
        </w:rPr>
        <w:t>n</w:t>
      </w:r>
      <w:r w:rsidRPr="000C0473">
        <w:rPr>
          <w:rFonts w:asciiTheme="minorHAnsi" w:hAnsiTheme="minorHAnsi"/>
        </w:rPr>
        <w:t xml:space="preserve"> </w:t>
      </w:r>
      <w:r w:rsidR="0028538B" w:rsidRPr="000C0473">
        <w:rPr>
          <w:rFonts w:asciiTheme="minorHAnsi" w:hAnsiTheme="minorHAnsi"/>
        </w:rPr>
        <w:t>authorization/</w:t>
      </w:r>
      <w:r w:rsidRPr="000C0473">
        <w:rPr>
          <w:rFonts w:asciiTheme="minorHAnsi" w:hAnsiTheme="minorHAnsi"/>
        </w:rPr>
        <w:t>release form of use of the information provided</w:t>
      </w:r>
      <w:r w:rsidR="0028538B" w:rsidRPr="000C0473">
        <w:rPr>
          <w:rFonts w:asciiTheme="minorHAnsi" w:hAnsiTheme="minorHAnsi"/>
        </w:rPr>
        <w:t>; and</w:t>
      </w:r>
      <w:r w:rsidRPr="000C0473">
        <w:rPr>
          <w:rFonts w:asciiTheme="minorHAnsi" w:hAnsiTheme="minorHAnsi"/>
        </w:rPr>
        <w:t xml:space="preserve"> </w:t>
      </w:r>
    </w:p>
    <w:p w14:paraId="27AC5B77" w14:textId="6C06A474" w:rsidR="001466B8" w:rsidRPr="000C0473" w:rsidRDefault="004C43F0" w:rsidP="001466B8">
      <w:pPr>
        <w:pStyle w:val="Header"/>
        <w:numPr>
          <w:ilvl w:val="0"/>
          <w:numId w:val="32"/>
        </w:numPr>
        <w:tabs>
          <w:tab w:val="clear" w:pos="4320"/>
          <w:tab w:val="clear" w:pos="8640"/>
        </w:tabs>
        <w:spacing w:line="271" w:lineRule="auto"/>
        <w:rPr>
          <w:rFonts w:asciiTheme="minorHAnsi" w:hAnsiTheme="minorHAnsi"/>
        </w:rPr>
      </w:pPr>
      <w:r>
        <w:rPr>
          <w:rFonts w:asciiTheme="minorHAnsi" w:hAnsiTheme="minorHAnsi"/>
        </w:rPr>
        <w:t>To incentivize</w:t>
      </w:r>
      <w:r w:rsidR="001466B8" w:rsidRPr="000C0473">
        <w:rPr>
          <w:rFonts w:asciiTheme="minorHAnsi" w:hAnsiTheme="minorHAnsi"/>
        </w:rPr>
        <w:t xml:space="preserve"> participants and reduce recruiting time and cost, SAMHSA will offer participants a $50 gift card. </w:t>
      </w:r>
    </w:p>
    <w:p w14:paraId="27AC5B78" w14:textId="77777777" w:rsidR="001466B8" w:rsidRPr="002725D7" w:rsidRDefault="001466B8" w:rsidP="00BA62E9">
      <w:pPr>
        <w:pStyle w:val="Header"/>
        <w:tabs>
          <w:tab w:val="clear" w:pos="4320"/>
          <w:tab w:val="clear" w:pos="8640"/>
        </w:tabs>
        <w:rPr>
          <w:rFonts w:asciiTheme="minorHAnsi" w:hAnsiTheme="minorHAnsi"/>
        </w:rPr>
      </w:pPr>
    </w:p>
    <w:p w14:paraId="27AC5B79" w14:textId="77777777" w:rsidR="00BA62E9" w:rsidRDefault="00BA62E9" w:rsidP="00BA62E9">
      <w:pPr>
        <w:pStyle w:val="Header"/>
        <w:tabs>
          <w:tab w:val="clear" w:pos="4320"/>
          <w:tab w:val="clear" w:pos="8640"/>
        </w:tabs>
        <w:rPr>
          <w:rFonts w:asciiTheme="minorHAnsi" w:hAnsiTheme="minorHAnsi"/>
          <w:b/>
        </w:rPr>
      </w:pPr>
      <w:r w:rsidRPr="002725D7">
        <w:rPr>
          <w:rFonts w:asciiTheme="minorHAnsi" w:hAnsiTheme="minorHAnsi"/>
          <w:b/>
        </w:rPr>
        <w:t>Frequency of Data Collection</w:t>
      </w:r>
    </w:p>
    <w:p w14:paraId="27AC5B7A" w14:textId="77777777" w:rsidR="00F836E3" w:rsidRDefault="00F836E3" w:rsidP="00BA62E9">
      <w:pPr>
        <w:pStyle w:val="Header"/>
        <w:tabs>
          <w:tab w:val="clear" w:pos="4320"/>
          <w:tab w:val="clear" w:pos="8640"/>
        </w:tabs>
        <w:rPr>
          <w:rFonts w:asciiTheme="minorHAnsi" w:hAnsiTheme="minorHAnsi"/>
          <w:b/>
        </w:rPr>
      </w:pPr>
    </w:p>
    <w:p w14:paraId="27AC5B7B" w14:textId="77777777" w:rsidR="00F836E3" w:rsidRPr="000C0473" w:rsidRDefault="00F836E3" w:rsidP="00F836E3">
      <w:pPr>
        <w:pStyle w:val="Header"/>
        <w:tabs>
          <w:tab w:val="clear" w:pos="4320"/>
          <w:tab w:val="clear" w:pos="8640"/>
        </w:tabs>
        <w:spacing w:line="271" w:lineRule="auto"/>
        <w:rPr>
          <w:rFonts w:asciiTheme="minorHAnsi" w:hAnsiTheme="minorHAnsi"/>
        </w:rPr>
      </w:pPr>
      <w:r w:rsidRPr="000C0473">
        <w:rPr>
          <w:rFonts w:asciiTheme="minorHAnsi" w:hAnsiTheme="minorHAnsi"/>
        </w:rPr>
        <w:t xml:space="preserve">SAMHSA is seeking to conduct the proposed </w:t>
      </w:r>
      <w:r w:rsidR="00AD3BB7">
        <w:rPr>
          <w:rFonts w:asciiTheme="minorHAnsi" w:hAnsiTheme="minorHAnsi"/>
        </w:rPr>
        <w:t xml:space="preserve">six </w:t>
      </w:r>
      <w:r w:rsidRPr="000C0473">
        <w:rPr>
          <w:rFonts w:asciiTheme="minorHAnsi" w:hAnsiTheme="minorHAnsi"/>
        </w:rPr>
        <w:t>focus groups one time</w:t>
      </w:r>
      <w:r w:rsidR="00183705" w:rsidRPr="000C0473">
        <w:rPr>
          <w:rFonts w:asciiTheme="minorHAnsi" w:hAnsiTheme="minorHAnsi"/>
        </w:rPr>
        <w:t xml:space="preserve"> only</w:t>
      </w:r>
      <w:r w:rsidRPr="000C0473">
        <w:rPr>
          <w:rFonts w:asciiTheme="minorHAnsi" w:hAnsiTheme="minorHAnsi"/>
        </w:rPr>
        <w:t xml:space="preserve">. </w:t>
      </w:r>
      <w:r w:rsidR="00970C90" w:rsidRPr="000C0473">
        <w:rPr>
          <w:rFonts w:asciiTheme="minorHAnsi" w:hAnsiTheme="minorHAnsi"/>
        </w:rPr>
        <w:t xml:space="preserve"> </w:t>
      </w:r>
      <w:r w:rsidRPr="000C0473">
        <w:rPr>
          <w:rFonts w:asciiTheme="minorHAnsi" w:hAnsiTheme="minorHAnsi"/>
        </w:rPr>
        <w:t xml:space="preserve">Each focus group will be </w:t>
      </w:r>
      <w:r w:rsidR="000C0473" w:rsidRPr="000C0473">
        <w:rPr>
          <w:rFonts w:asciiTheme="minorHAnsi" w:hAnsiTheme="minorHAnsi"/>
        </w:rPr>
        <w:t>90</w:t>
      </w:r>
      <w:r w:rsidRPr="000C0473">
        <w:rPr>
          <w:rFonts w:asciiTheme="minorHAnsi" w:hAnsiTheme="minorHAnsi"/>
        </w:rPr>
        <w:t xml:space="preserve"> minutes long</w:t>
      </w:r>
      <w:r w:rsidR="00970C90" w:rsidRPr="000C0473">
        <w:rPr>
          <w:rFonts w:asciiTheme="minorHAnsi" w:hAnsiTheme="minorHAnsi"/>
        </w:rPr>
        <w:t>,</w:t>
      </w:r>
      <w:r w:rsidRPr="000C0473">
        <w:rPr>
          <w:rFonts w:asciiTheme="minorHAnsi" w:hAnsiTheme="minorHAnsi"/>
        </w:rPr>
        <w:t xml:space="preserve"> and respondents will be asked to provide feedback to the pretest materials. </w:t>
      </w:r>
      <w:r w:rsidR="00906889" w:rsidRPr="000C0473">
        <w:rPr>
          <w:rFonts w:asciiTheme="minorHAnsi" w:hAnsiTheme="minorHAnsi"/>
        </w:rPr>
        <w:t xml:space="preserve"> </w:t>
      </w:r>
      <w:r w:rsidRPr="000C0473">
        <w:rPr>
          <w:rFonts w:asciiTheme="minorHAnsi" w:hAnsiTheme="minorHAnsi"/>
        </w:rPr>
        <w:t xml:space="preserve">The moderator will ensure </w:t>
      </w:r>
      <w:r w:rsidR="00183705" w:rsidRPr="000C0473">
        <w:rPr>
          <w:rFonts w:asciiTheme="minorHAnsi" w:hAnsiTheme="minorHAnsi"/>
        </w:rPr>
        <w:t xml:space="preserve">that </w:t>
      </w:r>
      <w:r w:rsidRPr="000C0473">
        <w:rPr>
          <w:rFonts w:asciiTheme="minorHAnsi" w:hAnsiTheme="minorHAnsi"/>
        </w:rPr>
        <w:t xml:space="preserve">all participants have an equal amount of time to participate. </w:t>
      </w:r>
    </w:p>
    <w:p w14:paraId="27AC5B7C" w14:textId="77777777" w:rsidR="00F836E3" w:rsidRDefault="00F836E3" w:rsidP="00BA62E9">
      <w:pPr>
        <w:pStyle w:val="Header"/>
        <w:tabs>
          <w:tab w:val="clear" w:pos="4320"/>
          <w:tab w:val="clear" w:pos="8640"/>
        </w:tabs>
        <w:rPr>
          <w:rFonts w:asciiTheme="minorHAnsi" w:hAnsiTheme="minorHAnsi"/>
          <w:b/>
        </w:rPr>
      </w:pPr>
    </w:p>
    <w:p w14:paraId="27AC5B7D" w14:textId="77777777" w:rsidR="00146116" w:rsidRDefault="00BA62E9" w:rsidP="00146116">
      <w:pPr>
        <w:ind w:left="0"/>
        <w:rPr>
          <w:b/>
        </w:rPr>
      </w:pPr>
      <w:r w:rsidRPr="002725D7">
        <w:rPr>
          <w:b/>
        </w:rPr>
        <w:t>Methods for Identifying Duplication</w:t>
      </w:r>
    </w:p>
    <w:p w14:paraId="27AC5B7E" w14:textId="77777777" w:rsidR="00F836E3" w:rsidRDefault="00F836E3" w:rsidP="00146116">
      <w:pPr>
        <w:ind w:left="0"/>
        <w:rPr>
          <w:b/>
        </w:rPr>
      </w:pPr>
    </w:p>
    <w:p w14:paraId="27AC5B7F" w14:textId="3325992B" w:rsidR="00F836E3" w:rsidRPr="000C0473" w:rsidRDefault="00F836E3" w:rsidP="00F836E3">
      <w:pPr>
        <w:ind w:left="0"/>
        <w:rPr>
          <w:rFonts w:cstheme="minorHAnsi"/>
          <w:color w:val="auto"/>
        </w:rPr>
      </w:pPr>
      <w:r w:rsidRPr="000C0473">
        <w:rPr>
          <w:rFonts w:cstheme="minorHAnsi"/>
          <w:color w:val="auto"/>
        </w:rPr>
        <w:t xml:space="preserve">The information needed is specific to the </w:t>
      </w:r>
      <w:r w:rsidR="00235C2A">
        <w:rPr>
          <w:rFonts w:cstheme="minorHAnsi"/>
          <w:color w:val="auto"/>
        </w:rPr>
        <w:t>Inte</w:t>
      </w:r>
      <w:r w:rsidR="004C43F0">
        <w:rPr>
          <w:rFonts w:cstheme="minorHAnsi"/>
          <w:color w:val="auto"/>
        </w:rPr>
        <w:t>rvention Resources Guides’ task</w:t>
      </w:r>
      <w:r w:rsidR="00235C2A">
        <w:rPr>
          <w:rFonts w:cstheme="minorHAnsi"/>
          <w:color w:val="auto"/>
        </w:rPr>
        <w:t xml:space="preserve"> </w:t>
      </w:r>
      <w:r w:rsidRPr="000C0473">
        <w:rPr>
          <w:rFonts w:cstheme="minorHAnsi"/>
          <w:color w:val="auto"/>
        </w:rPr>
        <w:t>and is not collected anywhere else.</w:t>
      </w:r>
    </w:p>
    <w:p w14:paraId="27AC5B80" w14:textId="77777777" w:rsidR="00F836E3" w:rsidRDefault="00F836E3" w:rsidP="00146116">
      <w:pPr>
        <w:ind w:left="0"/>
        <w:rPr>
          <w:b/>
        </w:rPr>
      </w:pPr>
    </w:p>
    <w:p w14:paraId="27AC5B81" w14:textId="77777777" w:rsidR="00BA62E9" w:rsidRPr="00371304" w:rsidRDefault="00BA62E9" w:rsidP="009D6650">
      <w:pPr>
        <w:pStyle w:val="ListParagraph"/>
        <w:numPr>
          <w:ilvl w:val="0"/>
          <w:numId w:val="29"/>
        </w:numPr>
        <w:ind w:left="360"/>
        <w:rPr>
          <w:sz w:val="24"/>
          <w:szCs w:val="24"/>
        </w:rPr>
      </w:pPr>
      <w:r w:rsidRPr="00371304">
        <w:rPr>
          <w:b/>
          <w:sz w:val="24"/>
          <w:szCs w:val="24"/>
        </w:rPr>
        <w:t>Annualized Response Burden Estimate</w:t>
      </w:r>
    </w:p>
    <w:p w14:paraId="27AC5B82" w14:textId="739115BE" w:rsidR="00BA62E9" w:rsidRPr="00D67946" w:rsidRDefault="00BA62E9" w:rsidP="00BA62E9">
      <w:pPr>
        <w:keepNext/>
        <w:keepLines/>
        <w:ind w:left="90"/>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51"/>
        <w:gridCol w:w="1261"/>
        <w:gridCol w:w="1171"/>
        <w:gridCol w:w="1078"/>
        <w:gridCol w:w="825"/>
        <w:gridCol w:w="1065"/>
        <w:gridCol w:w="1277"/>
      </w:tblGrid>
      <w:tr w:rsidR="00D437AC" w:rsidRPr="002725D7" w14:paraId="27AC5B8C" w14:textId="77777777" w:rsidTr="00D437AC">
        <w:trPr>
          <w:trHeight w:val="1637"/>
        </w:trPr>
        <w:tc>
          <w:tcPr>
            <w:tcW w:w="808" w:type="pct"/>
            <w:shd w:val="clear" w:color="auto" w:fill="F2F2F2" w:themeFill="background1" w:themeFillShade="F2"/>
          </w:tcPr>
          <w:p w14:paraId="27AC5B83" w14:textId="77777777" w:rsidR="00BA62E9" w:rsidRPr="007C4B3D" w:rsidRDefault="00BA62E9" w:rsidP="00A86A27">
            <w:pPr>
              <w:ind w:left="0"/>
              <w:rPr>
                <w:b/>
                <w:sz w:val="20"/>
                <w:szCs w:val="20"/>
              </w:rPr>
            </w:pPr>
            <w:r w:rsidRPr="007C4B3D">
              <w:rPr>
                <w:b/>
                <w:sz w:val="20"/>
                <w:szCs w:val="20"/>
              </w:rPr>
              <w:t>Participant</w:t>
            </w:r>
          </w:p>
        </w:tc>
        <w:tc>
          <w:tcPr>
            <w:tcW w:w="705" w:type="pct"/>
            <w:shd w:val="clear" w:color="auto" w:fill="F2F2F2" w:themeFill="background1" w:themeFillShade="F2"/>
          </w:tcPr>
          <w:p w14:paraId="27AC5B84" w14:textId="77777777" w:rsidR="00BA62E9" w:rsidRPr="007C4B3D" w:rsidRDefault="00BA62E9" w:rsidP="00906889">
            <w:pPr>
              <w:ind w:left="0"/>
              <w:rPr>
                <w:b/>
                <w:sz w:val="20"/>
                <w:szCs w:val="20"/>
              </w:rPr>
            </w:pPr>
            <w:r w:rsidRPr="00DD2B5B">
              <w:rPr>
                <w:b/>
                <w:sz w:val="20"/>
                <w:szCs w:val="20"/>
              </w:rPr>
              <w:t>N</w:t>
            </w:r>
            <w:r w:rsidR="00906889">
              <w:rPr>
                <w:b/>
                <w:sz w:val="20"/>
                <w:szCs w:val="20"/>
              </w:rPr>
              <w:t>umber</w:t>
            </w:r>
            <w:r w:rsidRPr="00DD2B5B">
              <w:rPr>
                <w:b/>
                <w:sz w:val="20"/>
                <w:szCs w:val="20"/>
              </w:rPr>
              <w:t xml:space="preserve"> of </w:t>
            </w:r>
            <w:r w:rsidR="00906889">
              <w:rPr>
                <w:b/>
                <w:sz w:val="20"/>
                <w:szCs w:val="20"/>
              </w:rPr>
              <w:t>R</w:t>
            </w:r>
            <w:r w:rsidRPr="00DD2B5B">
              <w:rPr>
                <w:b/>
                <w:sz w:val="20"/>
                <w:szCs w:val="20"/>
              </w:rPr>
              <w:t>espondents</w:t>
            </w:r>
          </w:p>
        </w:tc>
        <w:tc>
          <w:tcPr>
            <w:tcW w:w="658" w:type="pct"/>
            <w:shd w:val="clear" w:color="auto" w:fill="F2F2F2" w:themeFill="background1" w:themeFillShade="F2"/>
          </w:tcPr>
          <w:p w14:paraId="27AC5B85" w14:textId="77777777" w:rsidR="00BA62E9" w:rsidRPr="007C4B3D" w:rsidRDefault="00BA62E9" w:rsidP="00906889">
            <w:pPr>
              <w:ind w:left="0"/>
              <w:rPr>
                <w:b/>
                <w:sz w:val="20"/>
                <w:szCs w:val="20"/>
              </w:rPr>
            </w:pPr>
            <w:r w:rsidRPr="007C4B3D">
              <w:rPr>
                <w:b/>
                <w:sz w:val="20"/>
                <w:szCs w:val="20"/>
              </w:rPr>
              <w:t>Response</w:t>
            </w:r>
            <w:r w:rsidR="00A86A27" w:rsidRPr="007C4B3D">
              <w:rPr>
                <w:b/>
                <w:sz w:val="20"/>
                <w:szCs w:val="20"/>
              </w:rPr>
              <w:t>s</w:t>
            </w:r>
            <w:r w:rsidRPr="007C4B3D">
              <w:rPr>
                <w:b/>
                <w:sz w:val="20"/>
                <w:szCs w:val="20"/>
              </w:rPr>
              <w:t xml:space="preserve"> per </w:t>
            </w:r>
            <w:r w:rsidR="00906889">
              <w:rPr>
                <w:b/>
                <w:sz w:val="20"/>
                <w:szCs w:val="20"/>
              </w:rPr>
              <w:t>R</w:t>
            </w:r>
            <w:r w:rsidRPr="007C4B3D">
              <w:rPr>
                <w:b/>
                <w:sz w:val="20"/>
                <w:szCs w:val="20"/>
              </w:rPr>
              <w:t>espondent</w:t>
            </w:r>
          </w:p>
        </w:tc>
        <w:tc>
          <w:tcPr>
            <w:tcW w:w="611" w:type="pct"/>
            <w:shd w:val="clear" w:color="auto" w:fill="F2F2F2" w:themeFill="background1" w:themeFillShade="F2"/>
          </w:tcPr>
          <w:p w14:paraId="27AC5B86" w14:textId="77777777" w:rsidR="00BA62E9" w:rsidRPr="007C4B3D" w:rsidRDefault="00BA62E9" w:rsidP="00A86A27">
            <w:pPr>
              <w:ind w:left="0"/>
              <w:rPr>
                <w:b/>
                <w:sz w:val="20"/>
                <w:szCs w:val="20"/>
              </w:rPr>
            </w:pPr>
            <w:r w:rsidRPr="007C4B3D">
              <w:rPr>
                <w:b/>
                <w:sz w:val="20"/>
                <w:szCs w:val="20"/>
              </w:rPr>
              <w:t xml:space="preserve">Total </w:t>
            </w:r>
            <w:r w:rsidR="00906889">
              <w:rPr>
                <w:b/>
                <w:sz w:val="20"/>
                <w:szCs w:val="20"/>
              </w:rPr>
              <w:t>N</w:t>
            </w:r>
            <w:r w:rsidRPr="007C4B3D">
              <w:rPr>
                <w:b/>
                <w:sz w:val="20"/>
                <w:szCs w:val="20"/>
              </w:rPr>
              <w:t xml:space="preserve">umber of </w:t>
            </w:r>
            <w:r w:rsidR="00906889">
              <w:rPr>
                <w:b/>
                <w:sz w:val="20"/>
                <w:szCs w:val="20"/>
              </w:rPr>
              <w:t>R</w:t>
            </w:r>
            <w:r w:rsidR="00906889" w:rsidRPr="007C4B3D">
              <w:rPr>
                <w:b/>
                <w:sz w:val="20"/>
                <w:szCs w:val="20"/>
              </w:rPr>
              <w:t xml:space="preserve">esponses </w:t>
            </w:r>
          </w:p>
          <w:p w14:paraId="27AC5B87" w14:textId="77777777" w:rsidR="00BA62E9" w:rsidRPr="007C4B3D" w:rsidRDefault="00BA62E9" w:rsidP="003D1364">
            <w:pPr>
              <w:rPr>
                <w:b/>
                <w:sz w:val="20"/>
                <w:szCs w:val="20"/>
              </w:rPr>
            </w:pPr>
          </w:p>
        </w:tc>
        <w:tc>
          <w:tcPr>
            <w:tcW w:w="563" w:type="pct"/>
            <w:shd w:val="clear" w:color="auto" w:fill="F2F2F2" w:themeFill="background1" w:themeFillShade="F2"/>
          </w:tcPr>
          <w:p w14:paraId="27AC5B88" w14:textId="77777777" w:rsidR="00BA62E9" w:rsidRPr="007C4B3D" w:rsidRDefault="00BA62E9" w:rsidP="00906889">
            <w:pPr>
              <w:ind w:left="0"/>
              <w:rPr>
                <w:b/>
                <w:sz w:val="20"/>
                <w:szCs w:val="20"/>
              </w:rPr>
            </w:pPr>
            <w:r w:rsidRPr="007C4B3D">
              <w:rPr>
                <w:b/>
                <w:sz w:val="20"/>
                <w:szCs w:val="20"/>
              </w:rPr>
              <w:t xml:space="preserve">Hours per </w:t>
            </w:r>
            <w:r w:rsidR="00906889">
              <w:rPr>
                <w:b/>
                <w:sz w:val="20"/>
                <w:szCs w:val="20"/>
              </w:rPr>
              <w:t>R</w:t>
            </w:r>
            <w:r w:rsidRPr="007C4B3D">
              <w:rPr>
                <w:b/>
                <w:sz w:val="20"/>
                <w:szCs w:val="20"/>
              </w:rPr>
              <w:t>esponse</w:t>
            </w:r>
          </w:p>
        </w:tc>
        <w:tc>
          <w:tcPr>
            <w:tcW w:w="431" w:type="pct"/>
            <w:shd w:val="clear" w:color="auto" w:fill="F2F2F2" w:themeFill="background1" w:themeFillShade="F2"/>
          </w:tcPr>
          <w:p w14:paraId="27AC5B89" w14:textId="77777777" w:rsidR="00BA62E9" w:rsidRPr="007C4B3D" w:rsidRDefault="00BA62E9" w:rsidP="00906889">
            <w:pPr>
              <w:ind w:left="0"/>
              <w:rPr>
                <w:b/>
                <w:sz w:val="20"/>
                <w:szCs w:val="20"/>
              </w:rPr>
            </w:pPr>
            <w:r w:rsidRPr="007C4B3D">
              <w:rPr>
                <w:b/>
                <w:sz w:val="20"/>
                <w:szCs w:val="20"/>
              </w:rPr>
              <w:t xml:space="preserve">Total </w:t>
            </w:r>
            <w:r w:rsidR="00906889">
              <w:rPr>
                <w:b/>
                <w:sz w:val="20"/>
                <w:szCs w:val="20"/>
              </w:rPr>
              <w:t>H</w:t>
            </w:r>
            <w:r w:rsidRPr="007C4B3D">
              <w:rPr>
                <w:b/>
                <w:sz w:val="20"/>
                <w:szCs w:val="20"/>
              </w:rPr>
              <w:t xml:space="preserve">our </w:t>
            </w:r>
            <w:r w:rsidR="00906889">
              <w:rPr>
                <w:b/>
                <w:sz w:val="20"/>
                <w:szCs w:val="20"/>
              </w:rPr>
              <w:t>B</w:t>
            </w:r>
            <w:r w:rsidRPr="007C4B3D">
              <w:rPr>
                <w:b/>
                <w:sz w:val="20"/>
                <w:szCs w:val="20"/>
              </w:rPr>
              <w:t>urden</w:t>
            </w:r>
          </w:p>
        </w:tc>
        <w:tc>
          <w:tcPr>
            <w:tcW w:w="556" w:type="pct"/>
            <w:shd w:val="clear" w:color="auto" w:fill="F2F2F2" w:themeFill="background1" w:themeFillShade="F2"/>
          </w:tcPr>
          <w:p w14:paraId="27AC5B8A" w14:textId="77777777" w:rsidR="00BA62E9" w:rsidRPr="007C4B3D" w:rsidRDefault="00BA62E9" w:rsidP="00906889">
            <w:pPr>
              <w:ind w:left="0"/>
              <w:rPr>
                <w:b/>
                <w:sz w:val="20"/>
                <w:szCs w:val="20"/>
              </w:rPr>
            </w:pPr>
            <w:r w:rsidRPr="007C4B3D">
              <w:rPr>
                <w:b/>
                <w:sz w:val="20"/>
                <w:szCs w:val="20"/>
              </w:rPr>
              <w:t xml:space="preserve">Wage per </w:t>
            </w:r>
            <w:r w:rsidR="00906889">
              <w:rPr>
                <w:b/>
                <w:sz w:val="20"/>
                <w:szCs w:val="20"/>
              </w:rPr>
              <w:t>H</w:t>
            </w:r>
            <w:r w:rsidRPr="007C4B3D">
              <w:rPr>
                <w:b/>
                <w:sz w:val="20"/>
                <w:szCs w:val="20"/>
              </w:rPr>
              <w:t>our</w:t>
            </w:r>
          </w:p>
        </w:tc>
        <w:tc>
          <w:tcPr>
            <w:tcW w:w="667" w:type="pct"/>
            <w:shd w:val="clear" w:color="auto" w:fill="F2F2F2" w:themeFill="background1" w:themeFillShade="F2"/>
          </w:tcPr>
          <w:p w14:paraId="27AC5B8B" w14:textId="77777777" w:rsidR="00BA62E9" w:rsidRPr="007C4B3D" w:rsidRDefault="00BA62E9" w:rsidP="00906889">
            <w:pPr>
              <w:ind w:left="0"/>
              <w:rPr>
                <w:b/>
                <w:sz w:val="20"/>
                <w:szCs w:val="20"/>
              </w:rPr>
            </w:pPr>
            <w:r w:rsidRPr="007C4B3D">
              <w:rPr>
                <w:b/>
                <w:sz w:val="20"/>
                <w:szCs w:val="20"/>
              </w:rPr>
              <w:t xml:space="preserve">Total </w:t>
            </w:r>
            <w:r w:rsidR="00906889">
              <w:rPr>
                <w:b/>
                <w:sz w:val="20"/>
                <w:szCs w:val="20"/>
              </w:rPr>
              <w:t>H</w:t>
            </w:r>
            <w:r w:rsidRPr="007C4B3D">
              <w:rPr>
                <w:b/>
                <w:sz w:val="20"/>
                <w:szCs w:val="20"/>
              </w:rPr>
              <w:t xml:space="preserve">our </w:t>
            </w:r>
            <w:r w:rsidR="00906889">
              <w:rPr>
                <w:b/>
                <w:sz w:val="20"/>
                <w:szCs w:val="20"/>
              </w:rPr>
              <w:t>C</w:t>
            </w:r>
            <w:r w:rsidRPr="007C4B3D">
              <w:rPr>
                <w:b/>
                <w:sz w:val="20"/>
                <w:szCs w:val="20"/>
              </w:rPr>
              <w:t>ost</w:t>
            </w:r>
          </w:p>
        </w:tc>
      </w:tr>
      <w:tr w:rsidR="00F27401" w:rsidRPr="002725D7" w14:paraId="27AC5B95" w14:textId="77777777" w:rsidTr="009D6650">
        <w:trPr>
          <w:trHeight w:val="274"/>
        </w:trPr>
        <w:tc>
          <w:tcPr>
            <w:tcW w:w="808" w:type="pct"/>
          </w:tcPr>
          <w:p w14:paraId="27AC5B8D" w14:textId="77777777" w:rsidR="00BA62E9" w:rsidRPr="00A920E3" w:rsidRDefault="00BA62E9" w:rsidP="00F27401">
            <w:pPr>
              <w:ind w:left="0"/>
              <w:rPr>
                <w:color w:val="auto"/>
              </w:rPr>
            </w:pPr>
            <w:r w:rsidRPr="00A920E3">
              <w:rPr>
                <w:color w:val="auto"/>
              </w:rPr>
              <w:t>Individuals (</w:t>
            </w:r>
            <w:r w:rsidR="00F27401" w:rsidRPr="00A920E3">
              <w:rPr>
                <w:color w:val="auto"/>
              </w:rPr>
              <w:t>s</w:t>
            </w:r>
            <w:r w:rsidRPr="00A920E3">
              <w:rPr>
                <w:color w:val="auto"/>
              </w:rPr>
              <w:t>creening call</w:t>
            </w:r>
            <w:r w:rsidR="00A86A27" w:rsidRPr="00A920E3">
              <w:rPr>
                <w:color w:val="auto"/>
              </w:rPr>
              <w:t xml:space="preserve"> </w:t>
            </w:r>
            <w:r w:rsidRPr="00A920E3">
              <w:rPr>
                <w:color w:val="auto"/>
              </w:rPr>
              <w:t>to participate)</w:t>
            </w:r>
          </w:p>
        </w:tc>
        <w:tc>
          <w:tcPr>
            <w:tcW w:w="705" w:type="pct"/>
          </w:tcPr>
          <w:p w14:paraId="27AC5B8E" w14:textId="5FD56E1A" w:rsidR="00BA62E9" w:rsidRPr="00A920E3" w:rsidRDefault="007E4380" w:rsidP="003538C5">
            <w:pPr>
              <w:ind w:left="0"/>
              <w:rPr>
                <w:color w:val="auto"/>
              </w:rPr>
            </w:pPr>
            <w:r>
              <w:rPr>
                <w:color w:val="auto"/>
              </w:rPr>
              <w:t>60</w:t>
            </w:r>
          </w:p>
        </w:tc>
        <w:tc>
          <w:tcPr>
            <w:tcW w:w="658" w:type="pct"/>
          </w:tcPr>
          <w:p w14:paraId="27AC5B8F" w14:textId="77777777" w:rsidR="00BA62E9" w:rsidRPr="00A920E3" w:rsidRDefault="00BA62E9" w:rsidP="00A86A27">
            <w:pPr>
              <w:ind w:left="0"/>
              <w:rPr>
                <w:color w:val="auto"/>
              </w:rPr>
            </w:pPr>
            <w:r w:rsidRPr="00A920E3">
              <w:rPr>
                <w:color w:val="auto"/>
              </w:rPr>
              <w:t>1</w:t>
            </w:r>
          </w:p>
        </w:tc>
        <w:tc>
          <w:tcPr>
            <w:tcW w:w="611" w:type="pct"/>
          </w:tcPr>
          <w:p w14:paraId="27AC5B90" w14:textId="1E25DD3F" w:rsidR="00BA62E9" w:rsidRPr="00A920E3" w:rsidRDefault="007E4380" w:rsidP="003538C5">
            <w:pPr>
              <w:ind w:left="0"/>
              <w:rPr>
                <w:color w:val="auto"/>
              </w:rPr>
            </w:pPr>
            <w:r>
              <w:rPr>
                <w:color w:val="auto"/>
              </w:rPr>
              <w:t>60</w:t>
            </w:r>
          </w:p>
        </w:tc>
        <w:tc>
          <w:tcPr>
            <w:tcW w:w="563" w:type="pct"/>
          </w:tcPr>
          <w:p w14:paraId="27AC5B91" w14:textId="77777777" w:rsidR="00BA62E9" w:rsidRPr="00A920E3" w:rsidRDefault="00BA62E9" w:rsidP="00A86A27">
            <w:pPr>
              <w:ind w:left="0"/>
              <w:rPr>
                <w:color w:val="auto"/>
              </w:rPr>
            </w:pPr>
            <w:r w:rsidRPr="00A920E3">
              <w:rPr>
                <w:color w:val="auto"/>
              </w:rPr>
              <w:t xml:space="preserve">.08 </w:t>
            </w:r>
          </w:p>
        </w:tc>
        <w:tc>
          <w:tcPr>
            <w:tcW w:w="431" w:type="pct"/>
          </w:tcPr>
          <w:p w14:paraId="27AC5B92" w14:textId="13E9A1D9" w:rsidR="00BA62E9" w:rsidRPr="00A920E3" w:rsidRDefault="00BA62E9" w:rsidP="003538C5">
            <w:pPr>
              <w:ind w:left="0"/>
              <w:rPr>
                <w:color w:val="auto"/>
              </w:rPr>
            </w:pPr>
            <w:r w:rsidRPr="00A920E3">
              <w:rPr>
                <w:color w:val="auto"/>
              </w:rPr>
              <w:t xml:space="preserve"> </w:t>
            </w:r>
            <w:r w:rsidR="007E4380">
              <w:rPr>
                <w:color w:val="auto"/>
              </w:rPr>
              <w:t>4.80</w:t>
            </w:r>
          </w:p>
        </w:tc>
        <w:tc>
          <w:tcPr>
            <w:tcW w:w="556" w:type="pct"/>
          </w:tcPr>
          <w:p w14:paraId="27AC5B93" w14:textId="77777777" w:rsidR="00BA62E9" w:rsidRPr="00A920E3" w:rsidRDefault="00BA62E9" w:rsidP="00A86A27">
            <w:pPr>
              <w:ind w:left="0"/>
              <w:rPr>
                <w:color w:val="auto"/>
              </w:rPr>
            </w:pPr>
            <w:r w:rsidRPr="00A920E3">
              <w:rPr>
                <w:color w:val="auto"/>
              </w:rPr>
              <w:t>0</w:t>
            </w:r>
          </w:p>
        </w:tc>
        <w:tc>
          <w:tcPr>
            <w:tcW w:w="667" w:type="pct"/>
          </w:tcPr>
          <w:p w14:paraId="27AC5B94" w14:textId="77777777" w:rsidR="00BA62E9" w:rsidRPr="00A920E3" w:rsidRDefault="00BA62E9" w:rsidP="00A86A27">
            <w:pPr>
              <w:ind w:left="0"/>
              <w:rPr>
                <w:color w:val="auto"/>
                <w:highlight w:val="yellow"/>
              </w:rPr>
            </w:pPr>
            <w:r w:rsidRPr="00A920E3">
              <w:rPr>
                <w:color w:val="auto"/>
              </w:rPr>
              <w:t>0</w:t>
            </w:r>
          </w:p>
        </w:tc>
      </w:tr>
      <w:tr w:rsidR="00F27401" w:rsidRPr="002725D7" w14:paraId="27AC5B9E" w14:textId="77777777" w:rsidTr="009D6650">
        <w:trPr>
          <w:trHeight w:val="274"/>
        </w:trPr>
        <w:tc>
          <w:tcPr>
            <w:tcW w:w="808" w:type="pct"/>
          </w:tcPr>
          <w:p w14:paraId="27AC5B96" w14:textId="77777777" w:rsidR="00BA62E9" w:rsidRPr="00A920E3" w:rsidRDefault="00BA62E9" w:rsidP="009D6650">
            <w:pPr>
              <w:ind w:left="0"/>
              <w:rPr>
                <w:color w:val="auto"/>
              </w:rPr>
            </w:pPr>
            <w:r w:rsidRPr="00A920E3">
              <w:rPr>
                <w:color w:val="auto"/>
              </w:rPr>
              <w:t>Individuals (</w:t>
            </w:r>
            <w:r w:rsidR="00F27401" w:rsidRPr="00A920E3">
              <w:rPr>
                <w:color w:val="auto"/>
              </w:rPr>
              <w:t>f</w:t>
            </w:r>
            <w:r w:rsidRPr="00A920E3">
              <w:rPr>
                <w:color w:val="auto"/>
              </w:rPr>
              <w:t xml:space="preserve">ocus </w:t>
            </w:r>
            <w:r w:rsidR="00F27401" w:rsidRPr="00A920E3">
              <w:rPr>
                <w:color w:val="auto"/>
              </w:rPr>
              <w:t>g</w:t>
            </w:r>
            <w:r w:rsidRPr="00A920E3">
              <w:rPr>
                <w:color w:val="auto"/>
              </w:rPr>
              <w:t>roup participation)</w:t>
            </w:r>
          </w:p>
        </w:tc>
        <w:tc>
          <w:tcPr>
            <w:tcW w:w="705" w:type="pct"/>
          </w:tcPr>
          <w:p w14:paraId="27AC5B97" w14:textId="7B4B8541" w:rsidR="00BA62E9" w:rsidRPr="00A920E3" w:rsidRDefault="007E4380" w:rsidP="003538C5">
            <w:pPr>
              <w:ind w:left="0"/>
              <w:jc w:val="both"/>
              <w:rPr>
                <w:color w:val="auto"/>
              </w:rPr>
            </w:pPr>
            <w:r>
              <w:rPr>
                <w:color w:val="auto"/>
              </w:rPr>
              <w:t>48</w:t>
            </w:r>
          </w:p>
        </w:tc>
        <w:tc>
          <w:tcPr>
            <w:tcW w:w="658" w:type="pct"/>
          </w:tcPr>
          <w:p w14:paraId="27AC5B98" w14:textId="77777777" w:rsidR="00BA62E9" w:rsidRPr="00A920E3" w:rsidRDefault="00BA62E9" w:rsidP="00A86A27">
            <w:pPr>
              <w:ind w:left="0"/>
              <w:jc w:val="both"/>
              <w:rPr>
                <w:color w:val="auto"/>
              </w:rPr>
            </w:pPr>
            <w:r w:rsidRPr="00A920E3">
              <w:rPr>
                <w:color w:val="auto"/>
              </w:rPr>
              <w:t>1</w:t>
            </w:r>
          </w:p>
        </w:tc>
        <w:tc>
          <w:tcPr>
            <w:tcW w:w="611" w:type="pct"/>
          </w:tcPr>
          <w:p w14:paraId="27AC5B99" w14:textId="795E7A78" w:rsidR="00BA62E9" w:rsidRPr="00A920E3" w:rsidRDefault="007E4380" w:rsidP="003538C5">
            <w:pPr>
              <w:ind w:left="0"/>
              <w:jc w:val="both"/>
              <w:rPr>
                <w:color w:val="auto"/>
              </w:rPr>
            </w:pPr>
            <w:r>
              <w:rPr>
                <w:color w:val="auto"/>
              </w:rPr>
              <w:t>48</w:t>
            </w:r>
          </w:p>
        </w:tc>
        <w:tc>
          <w:tcPr>
            <w:tcW w:w="563" w:type="pct"/>
          </w:tcPr>
          <w:p w14:paraId="27AC5B9A" w14:textId="77777777" w:rsidR="00BA62E9" w:rsidRPr="00A920E3" w:rsidRDefault="003538C5" w:rsidP="003538C5">
            <w:pPr>
              <w:ind w:left="0"/>
              <w:jc w:val="both"/>
              <w:rPr>
                <w:color w:val="auto"/>
              </w:rPr>
            </w:pPr>
            <w:r w:rsidRPr="00A920E3">
              <w:rPr>
                <w:color w:val="auto"/>
              </w:rPr>
              <w:t>1.5</w:t>
            </w:r>
            <w:r w:rsidR="00BA62E9" w:rsidRPr="00A920E3">
              <w:rPr>
                <w:color w:val="auto"/>
              </w:rPr>
              <w:t xml:space="preserve"> </w:t>
            </w:r>
          </w:p>
        </w:tc>
        <w:tc>
          <w:tcPr>
            <w:tcW w:w="431" w:type="pct"/>
          </w:tcPr>
          <w:p w14:paraId="27AC5B9B" w14:textId="020B2F49" w:rsidR="00BA62E9" w:rsidRPr="00A920E3" w:rsidRDefault="007E4380" w:rsidP="003538C5">
            <w:pPr>
              <w:ind w:left="0"/>
              <w:jc w:val="both"/>
              <w:rPr>
                <w:color w:val="auto"/>
              </w:rPr>
            </w:pPr>
            <w:r>
              <w:rPr>
                <w:color w:val="auto"/>
              </w:rPr>
              <w:t>72</w:t>
            </w:r>
          </w:p>
        </w:tc>
        <w:tc>
          <w:tcPr>
            <w:tcW w:w="556" w:type="pct"/>
          </w:tcPr>
          <w:p w14:paraId="27AC5B9C" w14:textId="77777777" w:rsidR="00BA62E9" w:rsidRPr="00A920E3" w:rsidRDefault="00BA62E9" w:rsidP="00A86A27">
            <w:pPr>
              <w:ind w:left="0"/>
              <w:jc w:val="both"/>
              <w:rPr>
                <w:color w:val="auto"/>
              </w:rPr>
            </w:pPr>
            <w:r w:rsidRPr="00A920E3">
              <w:rPr>
                <w:color w:val="auto"/>
              </w:rPr>
              <w:t>$35.00</w:t>
            </w:r>
          </w:p>
        </w:tc>
        <w:tc>
          <w:tcPr>
            <w:tcW w:w="667" w:type="pct"/>
          </w:tcPr>
          <w:p w14:paraId="27AC5B9D" w14:textId="199B0528" w:rsidR="00BA62E9" w:rsidRPr="00A920E3" w:rsidRDefault="00BA62E9" w:rsidP="003538C5">
            <w:pPr>
              <w:ind w:left="0"/>
              <w:jc w:val="both"/>
              <w:rPr>
                <w:color w:val="auto"/>
              </w:rPr>
            </w:pPr>
            <w:r w:rsidRPr="00A920E3">
              <w:rPr>
                <w:color w:val="auto"/>
              </w:rPr>
              <w:t>$</w:t>
            </w:r>
            <w:r w:rsidR="007E4380">
              <w:rPr>
                <w:color w:val="auto"/>
              </w:rPr>
              <w:t>2,520</w:t>
            </w:r>
            <w:r w:rsidRPr="00A920E3">
              <w:rPr>
                <w:color w:val="auto"/>
              </w:rPr>
              <w:t>.00</w:t>
            </w:r>
          </w:p>
        </w:tc>
      </w:tr>
      <w:tr w:rsidR="00F27401" w:rsidRPr="00371304" w14:paraId="27AC5BA7" w14:textId="77777777" w:rsidTr="009D6650">
        <w:trPr>
          <w:trHeight w:val="289"/>
        </w:trPr>
        <w:tc>
          <w:tcPr>
            <w:tcW w:w="808" w:type="pct"/>
          </w:tcPr>
          <w:p w14:paraId="27AC5B9F" w14:textId="77777777" w:rsidR="00BA62E9" w:rsidRPr="00A920E3" w:rsidRDefault="00BA62E9" w:rsidP="00A86A27">
            <w:pPr>
              <w:ind w:left="0"/>
              <w:rPr>
                <w:b/>
                <w:color w:val="auto"/>
              </w:rPr>
            </w:pPr>
            <w:r w:rsidRPr="00A920E3">
              <w:rPr>
                <w:b/>
                <w:color w:val="auto"/>
              </w:rPr>
              <w:t>Totals</w:t>
            </w:r>
          </w:p>
        </w:tc>
        <w:tc>
          <w:tcPr>
            <w:tcW w:w="705" w:type="pct"/>
          </w:tcPr>
          <w:p w14:paraId="27AC5BA0" w14:textId="4CBABE46" w:rsidR="00BA62E9" w:rsidRPr="00A920E3" w:rsidRDefault="00063A80" w:rsidP="003538C5">
            <w:pPr>
              <w:ind w:left="0"/>
              <w:rPr>
                <w:b/>
                <w:color w:val="auto"/>
              </w:rPr>
            </w:pPr>
            <w:r>
              <w:rPr>
                <w:b/>
                <w:color w:val="auto"/>
              </w:rPr>
              <w:t>60</w:t>
            </w:r>
          </w:p>
        </w:tc>
        <w:tc>
          <w:tcPr>
            <w:tcW w:w="658" w:type="pct"/>
          </w:tcPr>
          <w:p w14:paraId="27AC5BA1" w14:textId="77777777" w:rsidR="00BA62E9" w:rsidRPr="00A920E3" w:rsidRDefault="00BA62E9" w:rsidP="003D1364">
            <w:pPr>
              <w:rPr>
                <w:color w:val="auto"/>
              </w:rPr>
            </w:pPr>
          </w:p>
        </w:tc>
        <w:tc>
          <w:tcPr>
            <w:tcW w:w="611" w:type="pct"/>
          </w:tcPr>
          <w:p w14:paraId="27AC5BA2" w14:textId="6601524A" w:rsidR="00BA62E9" w:rsidRPr="00063A80" w:rsidRDefault="00063A80" w:rsidP="003538C5">
            <w:pPr>
              <w:ind w:left="0"/>
              <w:rPr>
                <w:b/>
                <w:color w:val="auto"/>
              </w:rPr>
            </w:pPr>
            <w:r w:rsidRPr="00063A80">
              <w:rPr>
                <w:b/>
                <w:color w:val="auto"/>
              </w:rPr>
              <w:t>108</w:t>
            </w:r>
          </w:p>
        </w:tc>
        <w:tc>
          <w:tcPr>
            <w:tcW w:w="563" w:type="pct"/>
          </w:tcPr>
          <w:p w14:paraId="27AC5BA3" w14:textId="77777777" w:rsidR="00BA62E9" w:rsidRPr="00A920E3" w:rsidRDefault="00BA62E9" w:rsidP="003D1364">
            <w:pPr>
              <w:rPr>
                <w:b/>
                <w:color w:val="auto"/>
              </w:rPr>
            </w:pPr>
          </w:p>
        </w:tc>
        <w:tc>
          <w:tcPr>
            <w:tcW w:w="431" w:type="pct"/>
          </w:tcPr>
          <w:p w14:paraId="27AC5BA4" w14:textId="05D8BE2C" w:rsidR="00BA62E9" w:rsidRPr="00A920E3" w:rsidRDefault="003538C5" w:rsidP="003538C5">
            <w:pPr>
              <w:ind w:left="0"/>
              <w:rPr>
                <w:b/>
                <w:color w:val="auto"/>
              </w:rPr>
            </w:pPr>
            <w:r w:rsidRPr="00A920E3">
              <w:rPr>
                <w:b/>
                <w:color w:val="auto"/>
              </w:rPr>
              <w:t>76</w:t>
            </w:r>
            <w:r w:rsidR="007E4380">
              <w:rPr>
                <w:b/>
                <w:color w:val="auto"/>
              </w:rPr>
              <w:t>.80</w:t>
            </w:r>
          </w:p>
        </w:tc>
        <w:tc>
          <w:tcPr>
            <w:tcW w:w="556" w:type="pct"/>
          </w:tcPr>
          <w:p w14:paraId="27AC5BA5" w14:textId="77777777" w:rsidR="00BA62E9" w:rsidRPr="00A920E3" w:rsidRDefault="00BA62E9" w:rsidP="003D1364">
            <w:pPr>
              <w:rPr>
                <w:b/>
                <w:color w:val="auto"/>
              </w:rPr>
            </w:pPr>
          </w:p>
        </w:tc>
        <w:tc>
          <w:tcPr>
            <w:tcW w:w="667" w:type="pct"/>
          </w:tcPr>
          <w:p w14:paraId="27AC5BA6" w14:textId="326AF9EE" w:rsidR="00BA62E9" w:rsidRPr="00A920E3" w:rsidRDefault="00BA62E9" w:rsidP="003538C5">
            <w:pPr>
              <w:ind w:left="0"/>
              <w:rPr>
                <w:b/>
                <w:color w:val="auto"/>
              </w:rPr>
            </w:pPr>
            <w:r w:rsidRPr="00A920E3">
              <w:rPr>
                <w:b/>
                <w:color w:val="auto"/>
              </w:rPr>
              <w:t>$</w:t>
            </w:r>
            <w:r w:rsidR="007E4380">
              <w:rPr>
                <w:b/>
                <w:color w:val="auto"/>
              </w:rPr>
              <w:t>2</w:t>
            </w:r>
            <w:r w:rsidR="00D437AC" w:rsidRPr="00A920E3">
              <w:rPr>
                <w:b/>
                <w:color w:val="auto"/>
              </w:rPr>
              <w:t>,</w:t>
            </w:r>
            <w:r w:rsidR="007E4380">
              <w:rPr>
                <w:b/>
                <w:color w:val="auto"/>
              </w:rPr>
              <w:t>520</w:t>
            </w:r>
            <w:r w:rsidR="003538C5" w:rsidRPr="00A920E3">
              <w:rPr>
                <w:b/>
                <w:color w:val="auto"/>
              </w:rPr>
              <w:t>.00</w:t>
            </w:r>
          </w:p>
        </w:tc>
      </w:tr>
    </w:tbl>
    <w:p w14:paraId="27AC5BA8" w14:textId="77777777" w:rsidR="00BA62E9" w:rsidRDefault="00BA62E9" w:rsidP="00A86A27">
      <w:pPr>
        <w:pStyle w:val="ListParagraph"/>
        <w:keepNext/>
        <w:keepLines/>
        <w:ind w:left="450"/>
        <w:rPr>
          <w:b/>
          <w:sz w:val="24"/>
          <w:szCs w:val="24"/>
        </w:rPr>
      </w:pPr>
    </w:p>
    <w:p w14:paraId="27AC5BA9" w14:textId="77777777" w:rsidR="003538C5" w:rsidRPr="00A920E3" w:rsidRDefault="00BA62E9" w:rsidP="004E0D16">
      <w:pPr>
        <w:ind w:left="0"/>
        <w:rPr>
          <w:color w:val="auto"/>
        </w:rPr>
      </w:pPr>
      <w:r w:rsidRPr="00A920E3">
        <w:rPr>
          <w:color w:val="auto"/>
        </w:rPr>
        <w:t xml:space="preserve">The estimated annualized cost to respondents for the proposed data collection activities is </w:t>
      </w:r>
    </w:p>
    <w:p w14:paraId="27AC5BAA" w14:textId="10F33CA9" w:rsidR="00BA62E9" w:rsidRPr="00A920E3" w:rsidRDefault="00BA62E9" w:rsidP="004E0D16">
      <w:pPr>
        <w:ind w:left="0"/>
        <w:rPr>
          <w:color w:val="auto"/>
        </w:rPr>
      </w:pPr>
      <w:proofErr w:type="gramStart"/>
      <w:r w:rsidRPr="00A920E3">
        <w:rPr>
          <w:color w:val="auto"/>
        </w:rPr>
        <w:t>$</w:t>
      </w:r>
      <w:r w:rsidR="007E4380">
        <w:rPr>
          <w:color w:val="auto"/>
        </w:rPr>
        <w:t>2,520</w:t>
      </w:r>
      <w:r w:rsidRPr="00A920E3">
        <w:rPr>
          <w:color w:val="auto"/>
        </w:rPr>
        <w:t>.00</w:t>
      </w:r>
      <w:r w:rsidR="00A920E3">
        <w:rPr>
          <w:color w:val="auto"/>
        </w:rPr>
        <w:t>.</w:t>
      </w:r>
      <w:proofErr w:type="gramEnd"/>
      <w:r w:rsidR="00A920E3" w:rsidRPr="00A920E3">
        <w:rPr>
          <w:color w:val="auto"/>
        </w:rPr>
        <w:t xml:space="preserve"> </w:t>
      </w:r>
      <w:r w:rsidRPr="00A920E3">
        <w:rPr>
          <w:color w:val="auto"/>
        </w:rPr>
        <w:t xml:space="preserve"> </w:t>
      </w:r>
      <w:r w:rsidR="00034DF1" w:rsidRPr="00A920E3">
        <w:rPr>
          <w:color w:val="auto"/>
        </w:rPr>
        <w:t xml:space="preserve"> </w:t>
      </w:r>
      <w:r w:rsidRPr="00A920E3">
        <w:rPr>
          <w:color w:val="auto"/>
        </w:rPr>
        <w:t xml:space="preserve">For the purposes of estimating annual cost, it is assumed that the participants will participate once. </w:t>
      </w:r>
      <w:r w:rsidR="00560BCB" w:rsidRPr="00A920E3">
        <w:rPr>
          <w:color w:val="auto"/>
        </w:rPr>
        <w:t xml:space="preserve"> </w:t>
      </w:r>
      <w:r w:rsidRPr="00A920E3">
        <w:rPr>
          <w:color w:val="auto"/>
        </w:rPr>
        <w:t xml:space="preserve">The average burden was estimated on </w:t>
      </w:r>
      <w:r w:rsidR="00560BCB" w:rsidRPr="00A920E3">
        <w:rPr>
          <w:color w:val="auto"/>
        </w:rPr>
        <w:t xml:space="preserve">the basis of </w:t>
      </w:r>
      <w:r w:rsidR="00183705" w:rsidRPr="00A920E3">
        <w:rPr>
          <w:color w:val="auto"/>
        </w:rPr>
        <w:t xml:space="preserve">an </w:t>
      </w:r>
      <w:r w:rsidRPr="00A920E3">
        <w:rPr>
          <w:color w:val="auto"/>
        </w:rPr>
        <w:t xml:space="preserve">independent review of the focus groups by the contractor and </w:t>
      </w:r>
      <w:r w:rsidR="00183705" w:rsidRPr="00A920E3">
        <w:rPr>
          <w:color w:val="auto"/>
        </w:rPr>
        <w:t>f</w:t>
      </w:r>
      <w:r w:rsidRPr="00A920E3">
        <w:rPr>
          <w:color w:val="auto"/>
        </w:rPr>
        <w:t xml:space="preserve">ederal staff. </w:t>
      </w:r>
    </w:p>
    <w:p w14:paraId="5F1108B6" w14:textId="70D3CAC8" w:rsidR="00EB7381" w:rsidRDefault="00EB7381" w:rsidP="00A86A27">
      <w:pPr>
        <w:ind w:left="0"/>
        <w:rPr>
          <w:rFonts w:eastAsiaTheme="minorEastAsia"/>
          <w:b/>
          <w:color w:val="7030A0"/>
        </w:rPr>
      </w:pPr>
    </w:p>
    <w:p w14:paraId="27AC5BD6" w14:textId="15CFC6F9" w:rsidR="00BA62E9" w:rsidRPr="00F10328" w:rsidRDefault="00BA62E9" w:rsidP="00A86A27">
      <w:pPr>
        <w:ind w:left="0"/>
        <w:rPr>
          <w:color w:val="FF0000"/>
        </w:rPr>
      </w:pPr>
      <w:r w:rsidRPr="00371304">
        <w:rPr>
          <w:b/>
        </w:rPr>
        <w:t>Estimates of Annualized Cost to the Government</w:t>
      </w:r>
      <w:r w:rsidR="00F10328">
        <w:rPr>
          <w:b/>
        </w:rPr>
        <w:t xml:space="preserve"> </w:t>
      </w:r>
    </w:p>
    <w:p w14:paraId="27AC5BD7" w14:textId="77777777" w:rsidR="00BA62E9" w:rsidRPr="00371304" w:rsidRDefault="00BA62E9" w:rsidP="00A86A27">
      <w:pPr>
        <w:ind w:left="0"/>
      </w:pPr>
    </w:p>
    <w:p w14:paraId="27AC5BD8" w14:textId="77777777" w:rsidR="00834B36" w:rsidRPr="00A920E3" w:rsidRDefault="00BA62E9" w:rsidP="00A86A27">
      <w:pPr>
        <w:pStyle w:val="Body"/>
        <w:spacing w:before="0" w:line="271" w:lineRule="auto"/>
        <w:rPr>
          <w:rFonts w:asciiTheme="minorHAnsi" w:hAnsiTheme="minorHAnsi"/>
          <w:b/>
          <w:color w:val="FF0000"/>
          <w:szCs w:val="24"/>
        </w:rPr>
      </w:pPr>
      <w:r w:rsidRPr="00A920E3">
        <w:rPr>
          <w:rFonts w:asciiTheme="minorHAnsi" w:hAnsiTheme="minorHAnsi"/>
          <w:szCs w:val="24"/>
        </w:rPr>
        <w:t>The estimated annualized cost to the government for the proposed data collection activities is $25,376</w:t>
      </w:r>
      <w:r w:rsidR="00560BCB" w:rsidRPr="00A920E3">
        <w:rPr>
          <w:rFonts w:asciiTheme="minorHAnsi" w:hAnsiTheme="minorHAnsi"/>
          <w:szCs w:val="24"/>
        </w:rPr>
        <w:t>.00</w:t>
      </w:r>
      <w:r w:rsidRPr="00A920E3">
        <w:rPr>
          <w:rFonts w:asciiTheme="minorHAnsi" w:hAnsiTheme="minorHAnsi"/>
          <w:szCs w:val="24"/>
        </w:rPr>
        <w:t xml:space="preserve"> and includes the cost to the contract as well as the </w:t>
      </w:r>
      <w:r w:rsidR="00560BCB" w:rsidRPr="00A920E3">
        <w:rPr>
          <w:rFonts w:asciiTheme="minorHAnsi" w:hAnsiTheme="minorHAnsi"/>
          <w:szCs w:val="24"/>
        </w:rPr>
        <w:t>Government Printing Office (</w:t>
      </w:r>
      <w:r w:rsidRPr="00A920E3">
        <w:rPr>
          <w:rFonts w:asciiTheme="minorHAnsi" w:hAnsiTheme="minorHAnsi"/>
          <w:szCs w:val="24"/>
        </w:rPr>
        <w:t>GPO</w:t>
      </w:r>
      <w:r w:rsidR="00560BCB" w:rsidRPr="00A920E3">
        <w:rPr>
          <w:rFonts w:asciiTheme="minorHAnsi" w:hAnsiTheme="minorHAnsi"/>
          <w:szCs w:val="24"/>
        </w:rPr>
        <w:t>)</w:t>
      </w:r>
      <w:r w:rsidRPr="00A920E3">
        <w:rPr>
          <w:rFonts w:asciiTheme="minorHAnsi" w:hAnsiTheme="minorHAnsi"/>
          <w:szCs w:val="24"/>
        </w:rPr>
        <w:t xml:space="preserve"> cost. </w:t>
      </w:r>
    </w:p>
    <w:tbl>
      <w:tblPr>
        <w:tblpPr w:leftFromText="180" w:rightFromText="180" w:vertAnchor="text" w:horzAnchor="margin" w:tblpY="180"/>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21"/>
        <w:gridCol w:w="1329"/>
        <w:gridCol w:w="1530"/>
        <w:gridCol w:w="1890"/>
        <w:gridCol w:w="1980"/>
      </w:tblGrid>
      <w:tr w:rsidR="00A920E3" w:rsidRPr="00A920E3" w14:paraId="27AC5BDE" w14:textId="77777777" w:rsidTr="003D1364">
        <w:trPr>
          <w:trHeight w:val="513"/>
          <w:tblHeader/>
        </w:trPr>
        <w:tc>
          <w:tcPr>
            <w:tcW w:w="2621" w:type="dxa"/>
            <w:shd w:val="clear" w:color="auto" w:fill="F2F2F2" w:themeFill="background1" w:themeFillShade="F2"/>
          </w:tcPr>
          <w:p w14:paraId="27AC5BD9" w14:textId="77777777" w:rsidR="00BA62E9" w:rsidRPr="00063A80" w:rsidRDefault="00BA62E9" w:rsidP="009D6650">
            <w:pPr>
              <w:ind w:left="0"/>
              <w:rPr>
                <w:b/>
                <w:color w:val="auto"/>
                <w:sz w:val="20"/>
                <w:szCs w:val="20"/>
              </w:rPr>
            </w:pPr>
            <w:r w:rsidRPr="00063A80">
              <w:rPr>
                <w:b/>
                <w:color w:val="auto"/>
                <w:sz w:val="20"/>
                <w:szCs w:val="20"/>
              </w:rPr>
              <w:t>Position</w:t>
            </w:r>
          </w:p>
        </w:tc>
        <w:tc>
          <w:tcPr>
            <w:tcW w:w="1329" w:type="dxa"/>
            <w:shd w:val="clear" w:color="auto" w:fill="F2F2F2" w:themeFill="background1" w:themeFillShade="F2"/>
          </w:tcPr>
          <w:p w14:paraId="27AC5BDA" w14:textId="77777777" w:rsidR="00BA62E9" w:rsidRPr="00063A80" w:rsidRDefault="00BA62E9" w:rsidP="009D6650">
            <w:pPr>
              <w:ind w:left="0"/>
              <w:rPr>
                <w:b/>
                <w:color w:val="auto"/>
                <w:sz w:val="20"/>
                <w:szCs w:val="20"/>
              </w:rPr>
            </w:pPr>
            <w:r w:rsidRPr="00063A80">
              <w:rPr>
                <w:b/>
                <w:color w:val="auto"/>
                <w:sz w:val="20"/>
                <w:szCs w:val="20"/>
              </w:rPr>
              <w:t xml:space="preserve">Percent </w:t>
            </w:r>
            <w:r w:rsidR="004C501A" w:rsidRPr="00063A80">
              <w:rPr>
                <w:b/>
                <w:color w:val="auto"/>
                <w:sz w:val="20"/>
                <w:szCs w:val="20"/>
              </w:rPr>
              <w:t>Full-Time Equivalent</w:t>
            </w:r>
          </w:p>
        </w:tc>
        <w:tc>
          <w:tcPr>
            <w:tcW w:w="1530" w:type="dxa"/>
            <w:shd w:val="clear" w:color="auto" w:fill="F2F2F2" w:themeFill="background1" w:themeFillShade="F2"/>
          </w:tcPr>
          <w:p w14:paraId="27AC5BDB" w14:textId="77777777" w:rsidR="00BA62E9" w:rsidRPr="00063A80" w:rsidRDefault="00BA62E9" w:rsidP="009D6650">
            <w:pPr>
              <w:ind w:left="0"/>
              <w:rPr>
                <w:b/>
                <w:color w:val="auto"/>
                <w:sz w:val="20"/>
                <w:szCs w:val="20"/>
              </w:rPr>
            </w:pPr>
            <w:r w:rsidRPr="00063A80">
              <w:rPr>
                <w:b/>
                <w:color w:val="auto"/>
                <w:sz w:val="20"/>
                <w:szCs w:val="20"/>
              </w:rPr>
              <w:t xml:space="preserve">Annual </w:t>
            </w:r>
            <w:r w:rsidR="00B270F2" w:rsidRPr="00063A80">
              <w:rPr>
                <w:b/>
                <w:color w:val="auto"/>
                <w:sz w:val="20"/>
                <w:szCs w:val="20"/>
              </w:rPr>
              <w:t>H</w:t>
            </w:r>
            <w:r w:rsidRPr="00063A80">
              <w:rPr>
                <w:b/>
                <w:color w:val="auto"/>
                <w:sz w:val="20"/>
                <w:szCs w:val="20"/>
              </w:rPr>
              <w:t>ours</w:t>
            </w:r>
          </w:p>
        </w:tc>
        <w:tc>
          <w:tcPr>
            <w:tcW w:w="1890" w:type="dxa"/>
            <w:shd w:val="clear" w:color="auto" w:fill="F2F2F2" w:themeFill="background1" w:themeFillShade="F2"/>
          </w:tcPr>
          <w:p w14:paraId="27AC5BDC" w14:textId="77777777" w:rsidR="00BA62E9" w:rsidRPr="00063A80" w:rsidRDefault="00BA62E9" w:rsidP="009D6650">
            <w:pPr>
              <w:ind w:left="0"/>
              <w:rPr>
                <w:b/>
                <w:color w:val="auto"/>
                <w:sz w:val="20"/>
                <w:szCs w:val="20"/>
              </w:rPr>
            </w:pPr>
            <w:r w:rsidRPr="00063A80">
              <w:rPr>
                <w:b/>
                <w:color w:val="auto"/>
                <w:sz w:val="20"/>
                <w:szCs w:val="20"/>
              </w:rPr>
              <w:t>Rate</w:t>
            </w:r>
          </w:p>
        </w:tc>
        <w:tc>
          <w:tcPr>
            <w:tcW w:w="1980" w:type="dxa"/>
            <w:shd w:val="clear" w:color="auto" w:fill="F2F2F2" w:themeFill="background1" w:themeFillShade="F2"/>
          </w:tcPr>
          <w:p w14:paraId="27AC5BDD" w14:textId="77777777" w:rsidR="00BA62E9" w:rsidRPr="00063A80" w:rsidRDefault="00BA62E9" w:rsidP="009D6650">
            <w:pPr>
              <w:ind w:left="0"/>
              <w:rPr>
                <w:b/>
                <w:color w:val="auto"/>
                <w:sz w:val="20"/>
                <w:szCs w:val="20"/>
              </w:rPr>
            </w:pPr>
            <w:r w:rsidRPr="00063A80">
              <w:rPr>
                <w:b/>
                <w:color w:val="auto"/>
                <w:sz w:val="20"/>
                <w:szCs w:val="20"/>
              </w:rPr>
              <w:t>Total Annual Cost</w:t>
            </w:r>
          </w:p>
        </w:tc>
      </w:tr>
      <w:tr w:rsidR="00A920E3" w:rsidRPr="00A920E3" w14:paraId="27AC5BE4" w14:textId="77777777" w:rsidTr="003D1364">
        <w:trPr>
          <w:trHeight w:val="63"/>
        </w:trPr>
        <w:tc>
          <w:tcPr>
            <w:tcW w:w="2621" w:type="dxa"/>
            <w:shd w:val="clear" w:color="auto" w:fill="auto"/>
          </w:tcPr>
          <w:p w14:paraId="27AC5BDF" w14:textId="77777777" w:rsidR="00BA62E9" w:rsidRPr="00063A80" w:rsidRDefault="00BA62E9" w:rsidP="009D6650">
            <w:pPr>
              <w:ind w:left="0"/>
              <w:rPr>
                <w:color w:val="auto"/>
              </w:rPr>
            </w:pPr>
            <w:r w:rsidRPr="00063A80">
              <w:rPr>
                <w:color w:val="auto"/>
              </w:rPr>
              <w:t>CSAP GPO</w:t>
            </w:r>
          </w:p>
        </w:tc>
        <w:tc>
          <w:tcPr>
            <w:tcW w:w="1329" w:type="dxa"/>
            <w:shd w:val="clear" w:color="auto" w:fill="auto"/>
          </w:tcPr>
          <w:p w14:paraId="27AC5BE0" w14:textId="77777777" w:rsidR="00BA62E9" w:rsidRPr="00063A80" w:rsidRDefault="00BA62E9" w:rsidP="003D1364">
            <w:pPr>
              <w:jc w:val="both"/>
              <w:rPr>
                <w:color w:val="auto"/>
              </w:rPr>
            </w:pPr>
          </w:p>
        </w:tc>
        <w:tc>
          <w:tcPr>
            <w:tcW w:w="1530" w:type="dxa"/>
            <w:shd w:val="clear" w:color="auto" w:fill="auto"/>
          </w:tcPr>
          <w:p w14:paraId="27AC5BE1" w14:textId="77777777" w:rsidR="00BA62E9" w:rsidRPr="00063A80" w:rsidRDefault="00BA62E9" w:rsidP="00A86A27">
            <w:pPr>
              <w:ind w:left="0"/>
              <w:jc w:val="both"/>
              <w:rPr>
                <w:color w:val="auto"/>
              </w:rPr>
            </w:pPr>
            <w:r w:rsidRPr="00063A80">
              <w:rPr>
                <w:color w:val="auto"/>
              </w:rPr>
              <w:t>40</w:t>
            </w:r>
          </w:p>
        </w:tc>
        <w:tc>
          <w:tcPr>
            <w:tcW w:w="1890" w:type="dxa"/>
            <w:shd w:val="clear" w:color="auto" w:fill="auto"/>
          </w:tcPr>
          <w:p w14:paraId="27AC5BE2" w14:textId="77777777" w:rsidR="00BA62E9" w:rsidRPr="00063A80" w:rsidRDefault="00BA62E9" w:rsidP="00834B36">
            <w:pPr>
              <w:ind w:left="0"/>
              <w:jc w:val="both"/>
              <w:rPr>
                <w:color w:val="auto"/>
              </w:rPr>
            </w:pPr>
            <w:r w:rsidRPr="00063A80">
              <w:rPr>
                <w:color w:val="auto"/>
              </w:rPr>
              <w:t>$59.40/h</w:t>
            </w:r>
            <w:r w:rsidR="00834B36" w:rsidRPr="00063A80">
              <w:rPr>
                <w:color w:val="auto"/>
              </w:rPr>
              <w:t>our</w:t>
            </w:r>
          </w:p>
        </w:tc>
        <w:tc>
          <w:tcPr>
            <w:tcW w:w="1980" w:type="dxa"/>
            <w:shd w:val="clear" w:color="auto" w:fill="auto"/>
          </w:tcPr>
          <w:p w14:paraId="27AC5BE3" w14:textId="77777777" w:rsidR="00BA62E9" w:rsidRPr="00063A80" w:rsidRDefault="00BA62E9" w:rsidP="00A86A27">
            <w:pPr>
              <w:ind w:left="0"/>
              <w:jc w:val="both"/>
              <w:rPr>
                <w:color w:val="auto"/>
              </w:rPr>
            </w:pPr>
            <w:r w:rsidRPr="00063A80">
              <w:rPr>
                <w:color w:val="auto"/>
              </w:rPr>
              <w:t>$2,376</w:t>
            </w:r>
            <w:r w:rsidR="009A259E" w:rsidRPr="00063A80">
              <w:rPr>
                <w:color w:val="auto"/>
              </w:rPr>
              <w:t>.00</w:t>
            </w:r>
          </w:p>
        </w:tc>
      </w:tr>
      <w:tr w:rsidR="00A920E3" w:rsidRPr="00A920E3" w14:paraId="27AC5BEA" w14:textId="77777777" w:rsidTr="003D1364">
        <w:trPr>
          <w:trHeight w:val="330"/>
        </w:trPr>
        <w:tc>
          <w:tcPr>
            <w:tcW w:w="2621" w:type="dxa"/>
            <w:shd w:val="clear" w:color="auto" w:fill="auto"/>
          </w:tcPr>
          <w:p w14:paraId="27AC5BE5" w14:textId="77777777" w:rsidR="00BA62E9" w:rsidRPr="00063A80" w:rsidRDefault="00BA62E9" w:rsidP="009D6650">
            <w:pPr>
              <w:ind w:left="0"/>
              <w:rPr>
                <w:color w:val="auto"/>
              </w:rPr>
            </w:pPr>
            <w:r w:rsidRPr="00063A80">
              <w:rPr>
                <w:color w:val="auto"/>
              </w:rPr>
              <w:t>Contractor(s)</w:t>
            </w:r>
            <w:r w:rsidR="009A259E" w:rsidRPr="00063A80">
              <w:rPr>
                <w:rFonts w:cstheme="minorHAnsi"/>
                <w:color w:val="auto"/>
              </w:rPr>
              <w:t>—</w:t>
            </w:r>
            <w:r w:rsidR="00252E8D" w:rsidRPr="00063A80">
              <w:rPr>
                <w:color w:val="auto"/>
              </w:rPr>
              <w:t xml:space="preserve">National Outreach, Public Education and Engagement Initiatives </w:t>
            </w:r>
            <w:r w:rsidRPr="00063A80">
              <w:rPr>
                <w:color w:val="auto"/>
              </w:rPr>
              <w:t xml:space="preserve"> Contract</w:t>
            </w:r>
          </w:p>
        </w:tc>
        <w:tc>
          <w:tcPr>
            <w:tcW w:w="1329" w:type="dxa"/>
            <w:shd w:val="clear" w:color="auto" w:fill="auto"/>
          </w:tcPr>
          <w:p w14:paraId="27AC5BE6" w14:textId="77777777" w:rsidR="00BA62E9" w:rsidRPr="00063A80" w:rsidRDefault="00BA62E9" w:rsidP="003D1364">
            <w:pPr>
              <w:jc w:val="both"/>
              <w:rPr>
                <w:color w:val="auto"/>
              </w:rPr>
            </w:pPr>
          </w:p>
        </w:tc>
        <w:tc>
          <w:tcPr>
            <w:tcW w:w="1530" w:type="dxa"/>
            <w:shd w:val="clear" w:color="auto" w:fill="auto"/>
          </w:tcPr>
          <w:p w14:paraId="27AC5BE7" w14:textId="77777777" w:rsidR="00BA62E9" w:rsidRPr="00063A80" w:rsidRDefault="00BA62E9" w:rsidP="00A86A27">
            <w:pPr>
              <w:ind w:left="0"/>
              <w:jc w:val="both"/>
              <w:rPr>
                <w:color w:val="auto"/>
              </w:rPr>
            </w:pPr>
            <w:r w:rsidRPr="00063A80">
              <w:rPr>
                <w:color w:val="auto"/>
              </w:rPr>
              <w:t>n/a</w:t>
            </w:r>
          </w:p>
        </w:tc>
        <w:tc>
          <w:tcPr>
            <w:tcW w:w="1890" w:type="dxa"/>
            <w:shd w:val="clear" w:color="auto" w:fill="auto"/>
          </w:tcPr>
          <w:p w14:paraId="27AC5BE8" w14:textId="77777777" w:rsidR="00BA62E9" w:rsidRPr="00063A80" w:rsidRDefault="00BA62E9" w:rsidP="00A86A27">
            <w:pPr>
              <w:ind w:left="0"/>
              <w:jc w:val="both"/>
              <w:rPr>
                <w:color w:val="auto"/>
              </w:rPr>
            </w:pPr>
            <w:r w:rsidRPr="00063A80">
              <w:rPr>
                <w:color w:val="auto"/>
              </w:rPr>
              <w:t>n/a</w:t>
            </w:r>
          </w:p>
        </w:tc>
        <w:tc>
          <w:tcPr>
            <w:tcW w:w="1980" w:type="dxa"/>
            <w:shd w:val="clear" w:color="auto" w:fill="auto"/>
          </w:tcPr>
          <w:p w14:paraId="27AC5BE9" w14:textId="77777777" w:rsidR="00BA62E9" w:rsidRPr="00063A80" w:rsidRDefault="00BA62E9" w:rsidP="00A86A27">
            <w:pPr>
              <w:ind w:left="0"/>
              <w:jc w:val="both"/>
              <w:rPr>
                <w:color w:val="auto"/>
              </w:rPr>
            </w:pPr>
            <w:r w:rsidRPr="00063A80">
              <w:rPr>
                <w:color w:val="auto"/>
              </w:rPr>
              <w:t>$23,000</w:t>
            </w:r>
            <w:r w:rsidR="009A259E" w:rsidRPr="00063A80">
              <w:rPr>
                <w:color w:val="auto"/>
              </w:rPr>
              <w:t>.00</w:t>
            </w:r>
            <w:r w:rsidRPr="00063A80">
              <w:rPr>
                <w:color w:val="auto"/>
              </w:rPr>
              <w:t xml:space="preserve"> </w:t>
            </w:r>
          </w:p>
        </w:tc>
      </w:tr>
      <w:tr w:rsidR="00A920E3" w:rsidRPr="00A920E3" w14:paraId="27AC5BF0" w14:textId="77777777" w:rsidTr="003D1364">
        <w:trPr>
          <w:trHeight w:val="345"/>
        </w:trPr>
        <w:tc>
          <w:tcPr>
            <w:tcW w:w="2621" w:type="dxa"/>
            <w:shd w:val="clear" w:color="auto" w:fill="F2F2F2" w:themeFill="background1" w:themeFillShade="F2"/>
          </w:tcPr>
          <w:p w14:paraId="27AC5BEB" w14:textId="77777777" w:rsidR="00BA62E9" w:rsidRPr="00063A80" w:rsidRDefault="00BA62E9" w:rsidP="00A86A27">
            <w:pPr>
              <w:ind w:left="0"/>
              <w:jc w:val="both"/>
              <w:rPr>
                <w:color w:val="auto"/>
              </w:rPr>
            </w:pPr>
            <w:r w:rsidRPr="00063A80">
              <w:rPr>
                <w:b/>
                <w:bCs/>
                <w:color w:val="auto"/>
              </w:rPr>
              <w:t>Totals</w:t>
            </w:r>
          </w:p>
        </w:tc>
        <w:tc>
          <w:tcPr>
            <w:tcW w:w="1329" w:type="dxa"/>
            <w:shd w:val="clear" w:color="auto" w:fill="F2F2F2" w:themeFill="background1" w:themeFillShade="F2"/>
          </w:tcPr>
          <w:p w14:paraId="27AC5BEC" w14:textId="77777777" w:rsidR="00BA62E9" w:rsidRPr="00063A80" w:rsidRDefault="00BA62E9" w:rsidP="00A86A27">
            <w:pPr>
              <w:ind w:left="0"/>
              <w:jc w:val="both"/>
              <w:rPr>
                <w:b/>
                <w:bCs/>
                <w:i/>
                <w:color w:val="auto"/>
              </w:rPr>
            </w:pPr>
            <w:r w:rsidRPr="00063A80">
              <w:rPr>
                <w:b/>
                <w:bCs/>
                <w:i/>
                <w:color w:val="auto"/>
              </w:rPr>
              <w:t>varies</w:t>
            </w:r>
          </w:p>
        </w:tc>
        <w:tc>
          <w:tcPr>
            <w:tcW w:w="1530" w:type="dxa"/>
            <w:shd w:val="clear" w:color="auto" w:fill="F2F2F2" w:themeFill="background1" w:themeFillShade="F2"/>
          </w:tcPr>
          <w:p w14:paraId="27AC5BED" w14:textId="77777777" w:rsidR="00BA62E9" w:rsidRPr="00063A80" w:rsidRDefault="00BA62E9" w:rsidP="00A86A27">
            <w:pPr>
              <w:ind w:left="0"/>
              <w:jc w:val="both"/>
              <w:rPr>
                <w:b/>
                <w:bCs/>
                <w:i/>
                <w:color w:val="auto"/>
              </w:rPr>
            </w:pPr>
            <w:r w:rsidRPr="00063A80">
              <w:rPr>
                <w:b/>
                <w:bCs/>
                <w:i/>
                <w:color w:val="auto"/>
              </w:rPr>
              <w:t>varies</w:t>
            </w:r>
          </w:p>
        </w:tc>
        <w:tc>
          <w:tcPr>
            <w:tcW w:w="1890" w:type="dxa"/>
            <w:shd w:val="clear" w:color="auto" w:fill="F2F2F2" w:themeFill="background1" w:themeFillShade="F2"/>
          </w:tcPr>
          <w:p w14:paraId="27AC5BEE" w14:textId="77777777" w:rsidR="00BA62E9" w:rsidRPr="00063A80" w:rsidRDefault="00BA62E9" w:rsidP="00A86A27">
            <w:pPr>
              <w:ind w:left="0"/>
              <w:jc w:val="both"/>
              <w:rPr>
                <w:b/>
                <w:bCs/>
                <w:i/>
                <w:color w:val="auto"/>
              </w:rPr>
            </w:pPr>
            <w:r w:rsidRPr="00063A80">
              <w:rPr>
                <w:b/>
                <w:bCs/>
                <w:i/>
                <w:color w:val="auto"/>
              </w:rPr>
              <w:t>varies</w:t>
            </w:r>
          </w:p>
        </w:tc>
        <w:tc>
          <w:tcPr>
            <w:tcW w:w="1980" w:type="dxa"/>
            <w:shd w:val="clear" w:color="auto" w:fill="F2F2F2" w:themeFill="background1" w:themeFillShade="F2"/>
          </w:tcPr>
          <w:p w14:paraId="27AC5BEF" w14:textId="77777777" w:rsidR="00BA62E9" w:rsidRPr="00063A80" w:rsidRDefault="00BA62E9" w:rsidP="00A86A27">
            <w:pPr>
              <w:ind w:left="0"/>
              <w:jc w:val="both"/>
              <w:rPr>
                <w:b/>
                <w:bCs/>
                <w:color w:val="auto"/>
              </w:rPr>
            </w:pPr>
            <w:r w:rsidRPr="00063A80">
              <w:rPr>
                <w:b/>
                <w:bCs/>
                <w:color w:val="auto"/>
              </w:rPr>
              <w:t>$25,376</w:t>
            </w:r>
            <w:r w:rsidR="00834B36" w:rsidRPr="00063A80">
              <w:rPr>
                <w:b/>
                <w:bCs/>
                <w:color w:val="auto"/>
              </w:rPr>
              <w:t>.00</w:t>
            </w:r>
          </w:p>
        </w:tc>
      </w:tr>
    </w:tbl>
    <w:p w14:paraId="27AC5BF1" w14:textId="77777777" w:rsidR="00BA62E9" w:rsidRPr="00A920E3" w:rsidRDefault="00BA62E9" w:rsidP="00BA62E9">
      <w:pPr>
        <w:ind w:left="90"/>
        <w:rPr>
          <w:color w:val="FF0000"/>
        </w:rPr>
      </w:pPr>
    </w:p>
    <w:p w14:paraId="27AC5BF2" w14:textId="77777777" w:rsidR="00BA62E9" w:rsidRPr="00371304" w:rsidRDefault="00BA62E9" w:rsidP="00A86A27">
      <w:pPr>
        <w:pStyle w:val="ListParagraph"/>
        <w:ind w:left="450"/>
        <w:rPr>
          <w:sz w:val="24"/>
          <w:szCs w:val="24"/>
        </w:rPr>
      </w:pPr>
    </w:p>
    <w:p w14:paraId="27AC5BF3" w14:textId="77777777" w:rsidR="00A86A27" w:rsidRPr="00371304" w:rsidRDefault="00A86A27" w:rsidP="00D27834">
      <w:pPr>
        <w:pStyle w:val="ListParagraph"/>
        <w:numPr>
          <w:ilvl w:val="0"/>
          <w:numId w:val="29"/>
        </w:numPr>
        <w:ind w:left="360"/>
        <w:rPr>
          <w:sz w:val="24"/>
          <w:szCs w:val="24"/>
        </w:rPr>
      </w:pPr>
      <w:r w:rsidRPr="00371304">
        <w:rPr>
          <w:b/>
          <w:sz w:val="24"/>
          <w:szCs w:val="24"/>
        </w:rPr>
        <w:t xml:space="preserve">Methods </w:t>
      </w:r>
      <w:r w:rsidR="00D47FA3">
        <w:rPr>
          <w:b/>
          <w:sz w:val="24"/>
          <w:szCs w:val="24"/>
        </w:rPr>
        <w:t>U</w:t>
      </w:r>
      <w:r w:rsidRPr="00371304">
        <w:rPr>
          <w:b/>
          <w:sz w:val="24"/>
          <w:szCs w:val="24"/>
        </w:rPr>
        <w:t xml:space="preserve">sed </w:t>
      </w:r>
      <w:r w:rsidR="00834B36">
        <w:rPr>
          <w:b/>
          <w:sz w:val="24"/>
          <w:szCs w:val="24"/>
        </w:rPr>
        <w:t>T</w:t>
      </w:r>
      <w:r w:rsidRPr="00371304">
        <w:rPr>
          <w:b/>
          <w:sz w:val="24"/>
          <w:szCs w:val="24"/>
        </w:rPr>
        <w:t xml:space="preserve">o </w:t>
      </w:r>
      <w:r w:rsidR="00D47FA3">
        <w:rPr>
          <w:b/>
          <w:sz w:val="24"/>
          <w:szCs w:val="24"/>
        </w:rPr>
        <w:t>D</w:t>
      </w:r>
      <w:r w:rsidRPr="00371304">
        <w:rPr>
          <w:b/>
          <w:sz w:val="24"/>
          <w:szCs w:val="24"/>
        </w:rPr>
        <w:t xml:space="preserve">evelop the </w:t>
      </w:r>
      <w:r w:rsidR="00D47FA3">
        <w:rPr>
          <w:b/>
          <w:sz w:val="24"/>
          <w:szCs w:val="24"/>
        </w:rPr>
        <w:t>Q</w:t>
      </w:r>
      <w:r w:rsidRPr="00371304">
        <w:rPr>
          <w:b/>
          <w:sz w:val="24"/>
          <w:szCs w:val="24"/>
        </w:rPr>
        <w:t>uestions</w:t>
      </w:r>
    </w:p>
    <w:p w14:paraId="27AC5BF4" w14:textId="77777777" w:rsidR="00A86A27" w:rsidRPr="00F10328" w:rsidRDefault="00A86A27" w:rsidP="00A86A27">
      <w:pPr>
        <w:ind w:left="0"/>
        <w:rPr>
          <w:bCs/>
          <w:color w:val="auto"/>
        </w:rPr>
      </w:pPr>
      <w:r w:rsidRPr="00D67946">
        <w:rPr>
          <w:color w:val="auto"/>
        </w:rPr>
        <w:t xml:space="preserve">Questions similar to those in the </w:t>
      </w:r>
      <w:r w:rsidR="000728DC" w:rsidRPr="00D67946">
        <w:rPr>
          <w:color w:val="auto"/>
        </w:rPr>
        <w:t xml:space="preserve">facilitator </w:t>
      </w:r>
      <w:r w:rsidRPr="00D67946">
        <w:rPr>
          <w:color w:val="auto"/>
        </w:rPr>
        <w:t xml:space="preserve">guide have been asked </w:t>
      </w:r>
      <w:r w:rsidR="00183705" w:rsidRPr="00D67946">
        <w:rPr>
          <w:color w:val="auto"/>
        </w:rPr>
        <w:t>of</w:t>
      </w:r>
      <w:r w:rsidRPr="00D67946">
        <w:rPr>
          <w:color w:val="auto"/>
        </w:rPr>
        <w:t xml:space="preserve"> participants from focus </w:t>
      </w:r>
      <w:r w:rsidRPr="00F10328">
        <w:rPr>
          <w:color w:val="auto"/>
        </w:rPr>
        <w:t xml:space="preserve">groups for concept testing to assess </w:t>
      </w:r>
      <w:r w:rsidR="00183705" w:rsidRPr="00F10328">
        <w:rPr>
          <w:color w:val="auto"/>
        </w:rPr>
        <w:t xml:space="preserve">the </w:t>
      </w:r>
      <w:r w:rsidRPr="00F10328">
        <w:rPr>
          <w:bCs/>
          <w:color w:val="auto"/>
        </w:rPr>
        <w:t>relevance and effectiveness of the campaign materials.</w:t>
      </w:r>
      <w:r w:rsidR="00781A59" w:rsidRPr="00F10328">
        <w:rPr>
          <w:bCs/>
          <w:color w:val="auto"/>
        </w:rPr>
        <w:t xml:space="preserve"> </w:t>
      </w:r>
    </w:p>
    <w:p w14:paraId="27AC5BF5" w14:textId="3C443A5C" w:rsidR="00F10328" w:rsidRPr="00F10328" w:rsidRDefault="00F10328" w:rsidP="00A86A27">
      <w:pPr>
        <w:ind w:left="0"/>
        <w:rPr>
          <w:color w:val="auto"/>
        </w:rPr>
      </w:pPr>
      <w:r w:rsidRPr="00F10328">
        <w:rPr>
          <w:bCs/>
          <w:color w:val="auto"/>
        </w:rPr>
        <w:t>Some questions</w:t>
      </w:r>
      <w:r w:rsidR="00AD3BB7">
        <w:rPr>
          <w:bCs/>
          <w:color w:val="auto"/>
        </w:rPr>
        <w:t xml:space="preserve"> </w:t>
      </w:r>
      <w:r w:rsidRPr="00F10328">
        <w:rPr>
          <w:bCs/>
          <w:color w:val="auto"/>
        </w:rPr>
        <w:t xml:space="preserve">from formative </w:t>
      </w:r>
      <w:r w:rsidR="00063A80">
        <w:rPr>
          <w:bCs/>
          <w:color w:val="auto"/>
        </w:rPr>
        <w:t xml:space="preserve">assessments </w:t>
      </w:r>
      <w:r w:rsidRPr="00F10328">
        <w:rPr>
          <w:bCs/>
          <w:color w:val="auto"/>
        </w:rPr>
        <w:t>have not been asked before.</w:t>
      </w:r>
    </w:p>
    <w:p w14:paraId="27AC5BF6" w14:textId="77777777" w:rsidR="00A86A27" w:rsidRPr="009D6650" w:rsidRDefault="00A86A27" w:rsidP="00A86A27">
      <w:pPr>
        <w:ind w:left="0"/>
        <w:rPr>
          <w:b/>
          <w:color w:val="7030A0"/>
        </w:rPr>
      </w:pPr>
    </w:p>
    <w:p w14:paraId="27AC5BF7" w14:textId="77777777" w:rsidR="00A86A27" w:rsidRPr="00371304" w:rsidRDefault="00A86A27" w:rsidP="00A86A27">
      <w:pPr>
        <w:pStyle w:val="ListParagraph"/>
        <w:ind w:left="0"/>
        <w:rPr>
          <w:sz w:val="24"/>
          <w:szCs w:val="24"/>
        </w:rPr>
      </w:pPr>
      <w:r w:rsidRPr="00371304">
        <w:rPr>
          <w:b/>
          <w:sz w:val="24"/>
          <w:szCs w:val="24"/>
        </w:rPr>
        <w:t xml:space="preserve">F. Consultants </w:t>
      </w:r>
      <w:r w:rsidR="00834B36">
        <w:rPr>
          <w:b/>
          <w:sz w:val="24"/>
          <w:szCs w:val="24"/>
        </w:rPr>
        <w:t>W</w:t>
      </w:r>
      <w:r w:rsidR="007C4B3D">
        <w:rPr>
          <w:b/>
          <w:sz w:val="24"/>
          <w:szCs w:val="24"/>
        </w:rPr>
        <w:t>ithin</w:t>
      </w:r>
      <w:r w:rsidRPr="00371304">
        <w:rPr>
          <w:b/>
          <w:sz w:val="24"/>
          <w:szCs w:val="24"/>
        </w:rPr>
        <w:t xml:space="preserve"> </w:t>
      </w:r>
      <w:r w:rsidR="00834B36">
        <w:rPr>
          <w:b/>
          <w:sz w:val="24"/>
          <w:szCs w:val="24"/>
        </w:rPr>
        <w:t xml:space="preserve">and Outside </w:t>
      </w:r>
      <w:r w:rsidRPr="00371304">
        <w:rPr>
          <w:b/>
          <w:sz w:val="24"/>
          <w:szCs w:val="24"/>
        </w:rPr>
        <w:t xml:space="preserve">SAMHSA </w:t>
      </w:r>
    </w:p>
    <w:p w14:paraId="27AC5BF8" w14:textId="77777777" w:rsidR="00A86A27" w:rsidRPr="00371304" w:rsidRDefault="00A86A27" w:rsidP="00A86A27">
      <w:pPr>
        <w:pStyle w:val="ListParagraph"/>
        <w:ind w:left="0"/>
        <w:rPr>
          <w:sz w:val="24"/>
          <w:szCs w:val="24"/>
        </w:rPr>
      </w:pPr>
    </w:p>
    <w:p w14:paraId="27AC5BF9" w14:textId="77777777" w:rsidR="00A86A27" w:rsidRPr="00A920E3" w:rsidRDefault="00A86A27" w:rsidP="00A86A27">
      <w:pPr>
        <w:pStyle w:val="ListParagraph"/>
        <w:spacing w:line="271" w:lineRule="auto"/>
        <w:ind w:left="0"/>
        <w:rPr>
          <w:color w:val="auto"/>
          <w:sz w:val="24"/>
          <w:szCs w:val="24"/>
        </w:rPr>
      </w:pPr>
      <w:r w:rsidRPr="00A920E3">
        <w:rPr>
          <w:color w:val="auto"/>
          <w:sz w:val="24"/>
          <w:szCs w:val="24"/>
        </w:rPr>
        <w:t xml:space="preserve">The common measures here for OMB approval are the result of lengthy consultation and discussion among SAMHSA personnel and contract representatives. </w:t>
      </w:r>
      <w:r w:rsidR="002E5808" w:rsidRPr="00A920E3">
        <w:rPr>
          <w:color w:val="auto"/>
          <w:sz w:val="24"/>
          <w:szCs w:val="24"/>
        </w:rPr>
        <w:t xml:space="preserve"> </w:t>
      </w:r>
      <w:r w:rsidRPr="00A920E3">
        <w:rPr>
          <w:color w:val="auto"/>
          <w:sz w:val="24"/>
          <w:szCs w:val="24"/>
        </w:rPr>
        <w:t xml:space="preserve">The final selection of these measures was made by SAMHSA senior officials. </w:t>
      </w:r>
    </w:p>
    <w:p w14:paraId="27AC5BFA" w14:textId="77777777" w:rsidR="00A86A27" w:rsidRPr="009D6650" w:rsidRDefault="00A86A27" w:rsidP="00A86A27">
      <w:pPr>
        <w:pStyle w:val="ListParagraph"/>
        <w:spacing w:line="271" w:lineRule="auto"/>
        <w:ind w:left="0"/>
        <w:rPr>
          <w:color w:val="7030A0"/>
          <w:sz w:val="24"/>
          <w:szCs w:val="24"/>
        </w:rPr>
      </w:pPr>
    </w:p>
    <w:p w14:paraId="27AC5BFB" w14:textId="77777777" w:rsidR="00A86A27" w:rsidRPr="00A920E3" w:rsidRDefault="00A86A27" w:rsidP="00A86A27">
      <w:pPr>
        <w:pStyle w:val="ListParagraph"/>
        <w:ind w:left="0"/>
        <w:rPr>
          <w:b/>
          <w:color w:val="auto"/>
          <w:sz w:val="24"/>
          <w:szCs w:val="24"/>
          <w:u w:val="single"/>
        </w:rPr>
      </w:pPr>
      <w:r w:rsidRPr="00A920E3">
        <w:rPr>
          <w:i/>
          <w:color w:val="auto"/>
          <w:sz w:val="24"/>
          <w:szCs w:val="24"/>
          <w:u w:val="single"/>
        </w:rPr>
        <w:t>Project Officer</w:t>
      </w:r>
    </w:p>
    <w:p w14:paraId="27AC5BFE" w14:textId="1FD08251" w:rsidR="00A86A27" w:rsidRPr="00A920E3" w:rsidRDefault="00A86A27" w:rsidP="00A86A27">
      <w:pPr>
        <w:pStyle w:val="ListParagraph"/>
        <w:spacing w:line="271" w:lineRule="auto"/>
        <w:ind w:left="0"/>
        <w:rPr>
          <w:color w:val="auto"/>
          <w:sz w:val="24"/>
          <w:szCs w:val="24"/>
        </w:rPr>
      </w:pPr>
    </w:p>
    <w:p w14:paraId="27AC5BFF" w14:textId="3225D362" w:rsidR="00A920E3" w:rsidRPr="00F10328" w:rsidRDefault="00A86A27" w:rsidP="00A920E3">
      <w:pPr>
        <w:pStyle w:val="ListParagraph"/>
        <w:spacing w:line="271" w:lineRule="auto"/>
        <w:ind w:left="0"/>
        <w:rPr>
          <w:color w:val="FF0000"/>
          <w:sz w:val="24"/>
          <w:szCs w:val="24"/>
        </w:rPr>
      </w:pPr>
      <w:r w:rsidRPr="00A920E3">
        <w:rPr>
          <w:color w:val="auto"/>
          <w:sz w:val="24"/>
          <w:szCs w:val="24"/>
        </w:rPr>
        <w:lastRenderedPageBreak/>
        <w:t>Contractor/Project</w:t>
      </w:r>
      <w:r w:rsidR="00D301C1" w:rsidRPr="00A920E3">
        <w:rPr>
          <w:color w:val="auto"/>
          <w:sz w:val="24"/>
          <w:szCs w:val="24"/>
        </w:rPr>
        <w:t xml:space="preserve">: </w:t>
      </w:r>
      <w:r w:rsidR="002E5808" w:rsidRPr="00A920E3">
        <w:rPr>
          <w:color w:val="auto"/>
          <w:sz w:val="24"/>
          <w:szCs w:val="24"/>
        </w:rPr>
        <w:t xml:space="preserve"> </w:t>
      </w:r>
      <w:r w:rsidR="00D52568" w:rsidRPr="004B42FE">
        <w:rPr>
          <w:color w:val="auto"/>
          <w:sz w:val="24"/>
          <w:szCs w:val="24"/>
        </w:rPr>
        <w:t>Elaine Rahbar</w:t>
      </w:r>
      <w:r w:rsidR="004B42FE">
        <w:rPr>
          <w:color w:val="auto"/>
          <w:sz w:val="24"/>
          <w:szCs w:val="24"/>
        </w:rPr>
        <w:t>, Communications Division Director,</w:t>
      </w:r>
      <w:r w:rsidR="00A920E3" w:rsidRPr="004B42FE">
        <w:rPr>
          <w:color w:val="auto"/>
          <w:sz w:val="24"/>
          <w:szCs w:val="24"/>
        </w:rPr>
        <w:t xml:space="preserve"> </w:t>
      </w:r>
      <w:r w:rsidRPr="00A920E3">
        <w:rPr>
          <w:color w:val="auto"/>
          <w:sz w:val="24"/>
          <w:szCs w:val="24"/>
        </w:rPr>
        <w:t>Synergy Enterprises, Inc.</w:t>
      </w:r>
      <w:r w:rsidR="004B42FE">
        <w:rPr>
          <w:color w:val="auto"/>
          <w:sz w:val="24"/>
          <w:szCs w:val="24"/>
        </w:rPr>
        <w:t xml:space="preserve"> Phone: (240) 485-3606</w:t>
      </w:r>
    </w:p>
    <w:p w14:paraId="27AC5C00" w14:textId="203B3857" w:rsidR="00A86A27" w:rsidRPr="009D6650" w:rsidRDefault="00A86A27" w:rsidP="00A920E3">
      <w:pPr>
        <w:pStyle w:val="ListParagraph"/>
        <w:spacing w:line="271" w:lineRule="auto"/>
        <w:ind w:left="0"/>
        <w:rPr>
          <w:color w:val="7030A0"/>
          <w:sz w:val="24"/>
          <w:szCs w:val="24"/>
        </w:rPr>
      </w:pPr>
    </w:p>
    <w:p w14:paraId="27AC5C01" w14:textId="77777777" w:rsidR="00A86A27" w:rsidRPr="00A920E3" w:rsidRDefault="00A86A27" w:rsidP="00A86A27">
      <w:pPr>
        <w:pStyle w:val="ListParagraph"/>
        <w:ind w:left="0"/>
        <w:rPr>
          <w:b/>
          <w:color w:val="auto"/>
          <w:sz w:val="24"/>
          <w:szCs w:val="24"/>
        </w:rPr>
      </w:pPr>
      <w:r w:rsidRPr="00A920E3">
        <w:rPr>
          <w:b/>
          <w:color w:val="auto"/>
          <w:sz w:val="24"/>
          <w:szCs w:val="24"/>
        </w:rPr>
        <w:t>List of Attachments:</w:t>
      </w:r>
    </w:p>
    <w:p w14:paraId="27AC5C02" w14:textId="77777777" w:rsidR="008569E8" w:rsidRPr="00A920E3" w:rsidRDefault="008569E8" w:rsidP="00A86A27">
      <w:pPr>
        <w:pStyle w:val="ListParagraph"/>
        <w:ind w:left="0"/>
        <w:rPr>
          <w:color w:val="auto"/>
          <w:sz w:val="24"/>
          <w:szCs w:val="24"/>
        </w:rPr>
      </w:pPr>
    </w:p>
    <w:p w14:paraId="57A716AF" w14:textId="77777777" w:rsidR="00EB7381" w:rsidRPr="00BA62E9" w:rsidRDefault="00EB7381" w:rsidP="00EB7381">
      <w:pPr>
        <w:pStyle w:val="ListParagraph"/>
        <w:numPr>
          <w:ilvl w:val="0"/>
          <w:numId w:val="28"/>
        </w:numPr>
        <w:spacing w:after="0" w:line="271" w:lineRule="auto"/>
        <w:rPr>
          <w:sz w:val="24"/>
          <w:szCs w:val="24"/>
        </w:rPr>
      </w:pPr>
      <w:r>
        <w:rPr>
          <w:sz w:val="24"/>
          <w:szCs w:val="24"/>
        </w:rPr>
        <w:t xml:space="preserve">Intervention Resources </w:t>
      </w:r>
      <w:r w:rsidRPr="00BA62E9">
        <w:rPr>
          <w:sz w:val="24"/>
          <w:szCs w:val="24"/>
        </w:rPr>
        <w:t>Focus Group Protocol (Attachment A)</w:t>
      </w:r>
      <w:r>
        <w:rPr>
          <w:sz w:val="24"/>
          <w:szCs w:val="24"/>
        </w:rPr>
        <w:t>;</w:t>
      </w:r>
    </w:p>
    <w:p w14:paraId="401E15C2" w14:textId="77777777" w:rsidR="00EB7381" w:rsidRPr="00BA62E9" w:rsidRDefault="00EB7381" w:rsidP="00EB7381">
      <w:pPr>
        <w:pStyle w:val="ListParagraph"/>
        <w:numPr>
          <w:ilvl w:val="0"/>
          <w:numId w:val="28"/>
        </w:numPr>
        <w:spacing w:after="0" w:line="271" w:lineRule="auto"/>
        <w:rPr>
          <w:sz w:val="24"/>
          <w:szCs w:val="24"/>
        </w:rPr>
      </w:pPr>
      <w:r>
        <w:rPr>
          <w:sz w:val="24"/>
          <w:szCs w:val="24"/>
        </w:rPr>
        <w:t xml:space="preserve">Intervention Resources </w:t>
      </w:r>
      <w:r w:rsidRPr="00BA62E9">
        <w:rPr>
          <w:sz w:val="24"/>
          <w:szCs w:val="24"/>
        </w:rPr>
        <w:t xml:space="preserve">Focus Group </w:t>
      </w:r>
      <w:r w:rsidRPr="004207AF">
        <w:rPr>
          <w:sz w:val="24"/>
          <w:szCs w:val="24"/>
        </w:rPr>
        <w:t xml:space="preserve">Screening </w:t>
      </w:r>
      <w:r>
        <w:rPr>
          <w:sz w:val="24"/>
          <w:szCs w:val="24"/>
        </w:rPr>
        <w:t xml:space="preserve">and Recruitment </w:t>
      </w:r>
      <w:r w:rsidRPr="004207AF">
        <w:rPr>
          <w:sz w:val="24"/>
          <w:szCs w:val="24"/>
        </w:rPr>
        <w:t>Questionnaire</w:t>
      </w:r>
      <w:r>
        <w:rPr>
          <w:sz w:val="24"/>
          <w:szCs w:val="24"/>
        </w:rPr>
        <w:t xml:space="preserve"> </w:t>
      </w:r>
      <w:r w:rsidRPr="00BA62E9">
        <w:rPr>
          <w:sz w:val="24"/>
          <w:szCs w:val="24"/>
        </w:rPr>
        <w:t>(Attachment B)</w:t>
      </w:r>
      <w:r>
        <w:rPr>
          <w:sz w:val="24"/>
          <w:szCs w:val="24"/>
        </w:rPr>
        <w:t>;</w:t>
      </w:r>
    </w:p>
    <w:p w14:paraId="5D3599AD" w14:textId="77777777" w:rsidR="00EB7381" w:rsidRPr="00BA62E9" w:rsidRDefault="00EB7381" w:rsidP="00EB7381">
      <w:pPr>
        <w:pStyle w:val="ListParagraph"/>
        <w:numPr>
          <w:ilvl w:val="0"/>
          <w:numId w:val="28"/>
        </w:numPr>
        <w:spacing w:after="0" w:line="271" w:lineRule="auto"/>
        <w:rPr>
          <w:sz w:val="24"/>
          <w:szCs w:val="24"/>
        </w:rPr>
      </w:pPr>
      <w:r>
        <w:rPr>
          <w:sz w:val="24"/>
          <w:szCs w:val="24"/>
        </w:rPr>
        <w:t>Intervention Resources Focus Group Authorization</w:t>
      </w:r>
      <w:r w:rsidRPr="00BA62E9">
        <w:rPr>
          <w:sz w:val="24"/>
          <w:szCs w:val="24"/>
        </w:rPr>
        <w:t xml:space="preserve"> and </w:t>
      </w:r>
      <w:r>
        <w:rPr>
          <w:sz w:val="24"/>
          <w:szCs w:val="24"/>
        </w:rPr>
        <w:t>Release</w:t>
      </w:r>
      <w:r w:rsidRPr="00BA62E9">
        <w:rPr>
          <w:sz w:val="24"/>
          <w:szCs w:val="24"/>
        </w:rPr>
        <w:t xml:space="preserve"> (Attachment C)</w:t>
      </w:r>
      <w:r>
        <w:rPr>
          <w:sz w:val="24"/>
          <w:szCs w:val="24"/>
        </w:rPr>
        <w:t>;</w:t>
      </w:r>
    </w:p>
    <w:p w14:paraId="6C5578C2" w14:textId="77777777" w:rsidR="00EB7381" w:rsidRDefault="00EB7381" w:rsidP="00EB7381">
      <w:pPr>
        <w:pStyle w:val="ListParagraph"/>
        <w:numPr>
          <w:ilvl w:val="0"/>
          <w:numId w:val="28"/>
        </w:numPr>
        <w:spacing w:after="0" w:line="271" w:lineRule="auto"/>
        <w:rPr>
          <w:sz w:val="24"/>
          <w:szCs w:val="24"/>
        </w:rPr>
      </w:pPr>
      <w:r>
        <w:rPr>
          <w:sz w:val="24"/>
          <w:szCs w:val="24"/>
        </w:rPr>
        <w:t xml:space="preserve">Intervention Resources </w:t>
      </w:r>
      <w:r w:rsidRPr="00BA62E9">
        <w:rPr>
          <w:sz w:val="24"/>
          <w:szCs w:val="24"/>
        </w:rPr>
        <w:t>F</w:t>
      </w:r>
      <w:r>
        <w:rPr>
          <w:sz w:val="24"/>
          <w:szCs w:val="24"/>
        </w:rPr>
        <w:t xml:space="preserve">ocus </w:t>
      </w:r>
      <w:r w:rsidRPr="00BA62E9">
        <w:rPr>
          <w:sz w:val="24"/>
          <w:szCs w:val="24"/>
        </w:rPr>
        <w:t>G</w:t>
      </w:r>
      <w:r>
        <w:rPr>
          <w:sz w:val="24"/>
          <w:szCs w:val="24"/>
        </w:rPr>
        <w:t>roup</w:t>
      </w:r>
      <w:r w:rsidRPr="00BA62E9">
        <w:rPr>
          <w:sz w:val="24"/>
          <w:szCs w:val="24"/>
        </w:rPr>
        <w:t xml:space="preserve"> Facilitator Guide</w:t>
      </w:r>
      <w:r>
        <w:rPr>
          <w:sz w:val="24"/>
          <w:szCs w:val="24"/>
        </w:rPr>
        <w:t xml:space="preserve"> – Parents of Active/Recovering Users </w:t>
      </w:r>
      <w:r w:rsidRPr="00BA62E9">
        <w:rPr>
          <w:sz w:val="24"/>
          <w:szCs w:val="24"/>
        </w:rPr>
        <w:t>(Attachment D)</w:t>
      </w:r>
      <w:r>
        <w:rPr>
          <w:sz w:val="24"/>
          <w:szCs w:val="24"/>
        </w:rPr>
        <w:t>;</w:t>
      </w:r>
    </w:p>
    <w:p w14:paraId="26068E6F" w14:textId="77777777" w:rsidR="00EB7381" w:rsidRDefault="00EB7381" w:rsidP="00EB7381">
      <w:pPr>
        <w:pStyle w:val="ListParagraph"/>
        <w:numPr>
          <w:ilvl w:val="0"/>
          <w:numId w:val="28"/>
        </w:numPr>
        <w:spacing w:after="0" w:line="271" w:lineRule="auto"/>
        <w:rPr>
          <w:sz w:val="24"/>
          <w:szCs w:val="24"/>
        </w:rPr>
      </w:pPr>
      <w:r>
        <w:rPr>
          <w:sz w:val="24"/>
          <w:szCs w:val="24"/>
        </w:rPr>
        <w:t xml:space="preserve">Intervention Resources </w:t>
      </w:r>
      <w:r w:rsidRPr="00BA62E9">
        <w:rPr>
          <w:sz w:val="24"/>
          <w:szCs w:val="24"/>
        </w:rPr>
        <w:t>F</w:t>
      </w:r>
      <w:r>
        <w:rPr>
          <w:sz w:val="24"/>
          <w:szCs w:val="24"/>
        </w:rPr>
        <w:t xml:space="preserve">ocus </w:t>
      </w:r>
      <w:r w:rsidRPr="00BA62E9">
        <w:rPr>
          <w:sz w:val="24"/>
          <w:szCs w:val="24"/>
        </w:rPr>
        <w:t>G</w:t>
      </w:r>
      <w:r>
        <w:rPr>
          <w:sz w:val="24"/>
          <w:szCs w:val="24"/>
        </w:rPr>
        <w:t>roup</w:t>
      </w:r>
      <w:r w:rsidRPr="00BA62E9">
        <w:rPr>
          <w:sz w:val="24"/>
          <w:szCs w:val="24"/>
        </w:rPr>
        <w:t xml:space="preserve"> Facilitator Guide</w:t>
      </w:r>
      <w:r>
        <w:rPr>
          <w:sz w:val="24"/>
          <w:szCs w:val="24"/>
        </w:rPr>
        <w:t xml:space="preserve"> – Bereaved Parents (Attachment E</w:t>
      </w:r>
      <w:r w:rsidRPr="00BA62E9">
        <w:rPr>
          <w:sz w:val="24"/>
          <w:szCs w:val="24"/>
        </w:rPr>
        <w:t>)</w:t>
      </w:r>
      <w:r>
        <w:rPr>
          <w:sz w:val="24"/>
          <w:szCs w:val="24"/>
        </w:rPr>
        <w:t>; and</w:t>
      </w:r>
    </w:p>
    <w:p w14:paraId="6492F7C9" w14:textId="77777777" w:rsidR="00EB7381" w:rsidRPr="008A5D5E" w:rsidRDefault="00EB7381" w:rsidP="00EB7381">
      <w:pPr>
        <w:pStyle w:val="ListParagraph"/>
        <w:numPr>
          <w:ilvl w:val="0"/>
          <w:numId w:val="28"/>
        </w:numPr>
        <w:spacing w:after="0" w:line="271" w:lineRule="auto"/>
        <w:rPr>
          <w:sz w:val="24"/>
          <w:szCs w:val="24"/>
        </w:rPr>
      </w:pPr>
      <w:r>
        <w:rPr>
          <w:sz w:val="24"/>
          <w:szCs w:val="24"/>
        </w:rPr>
        <w:t xml:space="preserve">Intervention Resources </w:t>
      </w:r>
      <w:r w:rsidRPr="00BA62E9">
        <w:rPr>
          <w:sz w:val="24"/>
          <w:szCs w:val="24"/>
        </w:rPr>
        <w:t>F</w:t>
      </w:r>
      <w:r>
        <w:rPr>
          <w:sz w:val="24"/>
          <w:szCs w:val="24"/>
        </w:rPr>
        <w:t xml:space="preserve">ocus </w:t>
      </w:r>
      <w:r w:rsidRPr="00BA62E9">
        <w:rPr>
          <w:sz w:val="24"/>
          <w:szCs w:val="24"/>
        </w:rPr>
        <w:t>G</w:t>
      </w:r>
      <w:r>
        <w:rPr>
          <w:sz w:val="24"/>
          <w:szCs w:val="24"/>
        </w:rPr>
        <w:t>roup</w:t>
      </w:r>
      <w:r w:rsidRPr="00BA62E9">
        <w:rPr>
          <w:sz w:val="24"/>
          <w:szCs w:val="24"/>
        </w:rPr>
        <w:t xml:space="preserve"> Facilitator Guide</w:t>
      </w:r>
      <w:r>
        <w:rPr>
          <w:sz w:val="24"/>
          <w:szCs w:val="24"/>
        </w:rPr>
        <w:t xml:space="preserve"> – Young Adults (Attachment F</w:t>
      </w:r>
      <w:r w:rsidRPr="00BA62E9">
        <w:rPr>
          <w:sz w:val="24"/>
          <w:szCs w:val="24"/>
        </w:rPr>
        <w:t>)</w:t>
      </w:r>
    </w:p>
    <w:p w14:paraId="27AC5C07" w14:textId="77777777" w:rsidR="00014539" w:rsidRPr="00A920E3" w:rsidRDefault="00014539" w:rsidP="003D6D0A">
      <w:pPr>
        <w:ind w:left="0"/>
        <w:rPr>
          <w:color w:val="auto"/>
        </w:rPr>
      </w:pPr>
    </w:p>
    <w:sectPr w:rsidR="00014539" w:rsidRPr="00A920E3" w:rsidSect="007503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C5C0A" w14:textId="77777777" w:rsidR="00D92A56" w:rsidRDefault="00D92A56" w:rsidP="00043764">
      <w:pPr>
        <w:spacing w:line="240" w:lineRule="auto"/>
      </w:pPr>
      <w:r>
        <w:separator/>
      </w:r>
    </w:p>
  </w:endnote>
  <w:endnote w:type="continuationSeparator" w:id="0">
    <w:p w14:paraId="27AC5C0B" w14:textId="77777777" w:rsidR="00D92A56" w:rsidRDefault="00D92A56" w:rsidP="00043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rimson Text">
    <w:altName w:val="Crimson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985739"/>
      <w:docPartObj>
        <w:docPartGallery w:val="Page Numbers (Bottom of Page)"/>
        <w:docPartUnique/>
      </w:docPartObj>
    </w:sdtPr>
    <w:sdtEndPr>
      <w:rPr>
        <w:noProof/>
      </w:rPr>
    </w:sdtEndPr>
    <w:sdtContent>
      <w:p w14:paraId="51B110DF" w14:textId="0793EF21" w:rsidR="00482F8A" w:rsidRDefault="00482F8A">
        <w:pPr>
          <w:pStyle w:val="Footer"/>
          <w:jc w:val="right"/>
        </w:pPr>
        <w:r>
          <w:fldChar w:fldCharType="begin"/>
        </w:r>
        <w:r>
          <w:instrText xml:space="preserve"> PAGE   \* MERGEFORMAT </w:instrText>
        </w:r>
        <w:r>
          <w:fldChar w:fldCharType="separate"/>
        </w:r>
        <w:r w:rsidR="00AA131B">
          <w:rPr>
            <w:noProof/>
          </w:rPr>
          <w:t>1</w:t>
        </w:r>
        <w:r>
          <w:rPr>
            <w:noProof/>
          </w:rPr>
          <w:fldChar w:fldCharType="end"/>
        </w:r>
      </w:p>
    </w:sdtContent>
  </w:sdt>
  <w:p w14:paraId="32AE585C" w14:textId="77777777" w:rsidR="00482F8A" w:rsidRDefault="00482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C5C08" w14:textId="77777777" w:rsidR="00D92A56" w:rsidRDefault="00D92A56" w:rsidP="00043764">
      <w:pPr>
        <w:spacing w:line="240" w:lineRule="auto"/>
      </w:pPr>
      <w:r>
        <w:separator/>
      </w:r>
    </w:p>
  </w:footnote>
  <w:footnote w:type="continuationSeparator" w:id="0">
    <w:p w14:paraId="27AC5C09" w14:textId="77777777" w:rsidR="00D92A56" w:rsidRDefault="00D92A56" w:rsidP="00043764">
      <w:pPr>
        <w:spacing w:line="240" w:lineRule="auto"/>
      </w:pPr>
      <w:r>
        <w:continuationSeparator/>
      </w:r>
    </w:p>
  </w:footnote>
  <w:footnote w:id="1">
    <w:p w14:paraId="27AC5C0C" w14:textId="77777777" w:rsidR="00043764" w:rsidRPr="003E09C8" w:rsidRDefault="00043764" w:rsidP="003E09C8">
      <w:pPr>
        <w:pStyle w:val="FootnoteText"/>
        <w:ind w:left="0"/>
        <w:rPr>
          <w:rFonts w:cs="Crimson Text"/>
          <w:sz w:val="18"/>
          <w:szCs w:val="18"/>
        </w:rPr>
      </w:pPr>
      <w:r w:rsidRPr="003E09C8">
        <w:rPr>
          <w:rStyle w:val="FootnoteReference"/>
          <w:sz w:val="18"/>
          <w:szCs w:val="18"/>
        </w:rPr>
        <w:footnoteRef/>
      </w:r>
      <w:r w:rsidRPr="003E09C8">
        <w:rPr>
          <w:sz w:val="18"/>
          <w:szCs w:val="18"/>
        </w:rPr>
        <w:t xml:space="preserve"> </w:t>
      </w:r>
      <w:r w:rsidRPr="003E09C8">
        <w:rPr>
          <w:rFonts w:cs="Crimson Text"/>
          <w:sz w:val="18"/>
          <w:szCs w:val="18"/>
        </w:rPr>
        <w:t xml:space="preserve">U.S. Department of Health and Human Services (HHS), Office of the Surgeon General, </w:t>
      </w:r>
      <w:r w:rsidRPr="003E09C8">
        <w:rPr>
          <w:rFonts w:cs="Crimson Text"/>
          <w:i/>
          <w:iCs/>
          <w:sz w:val="18"/>
          <w:szCs w:val="18"/>
        </w:rPr>
        <w:t>F</w:t>
      </w:r>
      <w:r w:rsidRPr="003E09C8">
        <w:rPr>
          <w:rStyle w:val="A4"/>
          <w:sz w:val="18"/>
          <w:szCs w:val="18"/>
        </w:rPr>
        <w:t>acing Addiction in America: The Surgeon General’s Report on Alcohol, Drugs, and Health</w:t>
      </w:r>
      <w:r w:rsidRPr="003E09C8">
        <w:rPr>
          <w:rFonts w:cs="Crimson Text"/>
          <w:sz w:val="18"/>
          <w:szCs w:val="18"/>
        </w:rPr>
        <w:t>. Washington, DC: HHS, November 2016.</w:t>
      </w:r>
    </w:p>
    <w:p w14:paraId="27AC5C0D" w14:textId="77777777" w:rsidR="00043764" w:rsidRPr="003E09C8" w:rsidRDefault="00043764" w:rsidP="003E09C8">
      <w:pPr>
        <w:pStyle w:val="FootnoteText"/>
        <w:ind w:left="0"/>
        <w:rPr>
          <w:sz w:val="18"/>
          <w:szCs w:val="18"/>
        </w:rPr>
      </w:pPr>
    </w:p>
  </w:footnote>
  <w:footnote w:id="2">
    <w:p w14:paraId="27AC5C0E" w14:textId="77777777" w:rsidR="002E7C50" w:rsidRPr="003E09C8" w:rsidRDefault="00043764" w:rsidP="003E09C8">
      <w:pPr>
        <w:pStyle w:val="FootnoteText"/>
        <w:ind w:left="0"/>
        <w:rPr>
          <w:sz w:val="18"/>
          <w:szCs w:val="18"/>
        </w:rPr>
      </w:pPr>
      <w:r w:rsidRPr="003E09C8">
        <w:rPr>
          <w:rStyle w:val="FootnoteReference"/>
          <w:sz w:val="18"/>
          <w:szCs w:val="18"/>
        </w:rPr>
        <w:footnoteRef/>
      </w:r>
      <w:r w:rsidRPr="003E09C8">
        <w:rPr>
          <w:sz w:val="18"/>
          <w:szCs w:val="18"/>
        </w:rPr>
        <w:t xml:space="preserve"> </w:t>
      </w:r>
      <w:proofErr w:type="gramStart"/>
      <w:r w:rsidR="002E7C50" w:rsidRPr="003E09C8">
        <w:rPr>
          <w:sz w:val="18"/>
          <w:szCs w:val="18"/>
        </w:rPr>
        <w:t>Centers for Disease Control and Prevention.</w:t>
      </w:r>
      <w:proofErr w:type="gramEnd"/>
      <w:r w:rsidR="002E7C50" w:rsidRPr="003E09C8">
        <w:rPr>
          <w:sz w:val="18"/>
          <w:szCs w:val="18"/>
        </w:rPr>
        <w:t xml:space="preserve"> </w:t>
      </w:r>
      <w:proofErr w:type="gramStart"/>
      <w:r w:rsidR="002E7C50" w:rsidRPr="003E09C8">
        <w:rPr>
          <w:sz w:val="18"/>
          <w:szCs w:val="18"/>
        </w:rPr>
        <w:t>(2015). Alcohol poisoning deaths.</w:t>
      </w:r>
      <w:proofErr w:type="gramEnd"/>
      <w:r w:rsidR="002E7C50" w:rsidRPr="003E09C8">
        <w:rPr>
          <w:sz w:val="18"/>
          <w:szCs w:val="18"/>
        </w:rPr>
        <w:t xml:space="preserve"> Vital signs: Alcohol poisoning kills six people each day. </w:t>
      </w:r>
      <w:proofErr w:type="gramStart"/>
      <w:r w:rsidR="002E7C50" w:rsidRPr="003E09C8">
        <w:rPr>
          <w:sz w:val="18"/>
          <w:szCs w:val="18"/>
        </w:rPr>
        <w:t xml:space="preserve">Retrieved from http://www.cdc.gov/media/ </w:t>
      </w:r>
      <w:proofErr w:type="spellStart"/>
      <w:r w:rsidR="002E7C50" w:rsidRPr="003E09C8">
        <w:rPr>
          <w:sz w:val="18"/>
          <w:szCs w:val="18"/>
        </w:rPr>
        <w:t>dpk</w:t>
      </w:r>
      <w:proofErr w:type="spellEnd"/>
      <w:r w:rsidR="002E7C50" w:rsidRPr="003E09C8">
        <w:rPr>
          <w:sz w:val="18"/>
          <w:szCs w:val="18"/>
        </w:rPr>
        <w:t>/2015/dpk-vs-alcohol-poisoning.html.</w:t>
      </w:r>
      <w:proofErr w:type="gramEnd"/>
      <w:r w:rsidR="002E7C50" w:rsidRPr="003E09C8">
        <w:rPr>
          <w:sz w:val="18"/>
          <w:szCs w:val="18"/>
        </w:rPr>
        <w:t xml:space="preserve"> </w:t>
      </w:r>
      <w:proofErr w:type="gramStart"/>
      <w:r w:rsidR="002E7C50" w:rsidRPr="003E09C8">
        <w:rPr>
          <w:sz w:val="18"/>
          <w:szCs w:val="18"/>
        </w:rPr>
        <w:t>Accessed on April 6, 2016.</w:t>
      </w:r>
      <w:proofErr w:type="gramEnd"/>
      <w:r w:rsidR="002E7C50" w:rsidRPr="003E09C8">
        <w:rPr>
          <w:sz w:val="18"/>
          <w:szCs w:val="18"/>
        </w:rPr>
        <w:t xml:space="preserve"> </w:t>
      </w:r>
    </w:p>
    <w:p w14:paraId="27AC5C0F" w14:textId="77777777" w:rsidR="00043764" w:rsidRPr="003E09C8" w:rsidRDefault="007A0474" w:rsidP="003E09C8">
      <w:pPr>
        <w:pStyle w:val="FootnoteText"/>
        <w:ind w:left="0"/>
        <w:rPr>
          <w:sz w:val="18"/>
          <w:szCs w:val="18"/>
        </w:rPr>
      </w:pPr>
      <w:r w:rsidRPr="003E09C8">
        <w:rPr>
          <w:sz w:val="18"/>
          <w:szCs w:val="18"/>
        </w:rPr>
        <w:t xml:space="preserve"> </w:t>
      </w:r>
    </w:p>
  </w:footnote>
  <w:footnote w:id="3">
    <w:p w14:paraId="27AC5C10" w14:textId="77777777" w:rsidR="007A0474" w:rsidRPr="003E09C8" w:rsidRDefault="00043764" w:rsidP="003E09C8">
      <w:pPr>
        <w:pStyle w:val="FootnoteText"/>
        <w:ind w:left="0"/>
        <w:rPr>
          <w:sz w:val="18"/>
          <w:szCs w:val="18"/>
        </w:rPr>
      </w:pPr>
      <w:r w:rsidRPr="003E09C8">
        <w:rPr>
          <w:rStyle w:val="FootnoteReference"/>
          <w:sz w:val="18"/>
          <w:szCs w:val="18"/>
        </w:rPr>
        <w:footnoteRef/>
      </w:r>
      <w:r w:rsidRPr="003E09C8">
        <w:rPr>
          <w:sz w:val="18"/>
          <w:szCs w:val="18"/>
        </w:rPr>
        <w:t xml:space="preserve"> </w:t>
      </w:r>
      <w:proofErr w:type="gramStart"/>
      <w:r w:rsidR="007A0474" w:rsidRPr="003E09C8">
        <w:rPr>
          <w:sz w:val="18"/>
          <w:szCs w:val="18"/>
        </w:rPr>
        <w:t>National Institute on Drug Abuse.</w:t>
      </w:r>
      <w:proofErr w:type="gramEnd"/>
      <w:r w:rsidR="007A0474" w:rsidRPr="003E09C8">
        <w:rPr>
          <w:sz w:val="18"/>
          <w:szCs w:val="18"/>
        </w:rPr>
        <w:t xml:space="preserve"> (2015). Overdose death rates. </w:t>
      </w:r>
      <w:proofErr w:type="gramStart"/>
      <w:r w:rsidR="007A0474" w:rsidRPr="003E09C8">
        <w:rPr>
          <w:sz w:val="18"/>
          <w:szCs w:val="18"/>
        </w:rPr>
        <w:t>Retrieved from http://www.</w:t>
      </w:r>
      <w:proofErr w:type="gramEnd"/>
      <w:r w:rsidR="007A0474" w:rsidRPr="003E09C8">
        <w:rPr>
          <w:sz w:val="18"/>
          <w:szCs w:val="18"/>
        </w:rPr>
        <w:t xml:space="preserve"> drugabuse.gov/related-topics/trends-statistics/overdose-death-rates. Accessed on January 25, 2016</w:t>
      </w:r>
    </w:p>
    <w:p w14:paraId="27AC5C11" w14:textId="77777777" w:rsidR="00043764" w:rsidRPr="003E09C8" w:rsidRDefault="00043764" w:rsidP="003E09C8">
      <w:pPr>
        <w:pStyle w:val="FootnoteText"/>
        <w:ind w:left="-720"/>
        <w:rPr>
          <w:sz w:val="18"/>
          <w:szCs w:val="18"/>
        </w:rPr>
      </w:pPr>
    </w:p>
  </w:footnote>
  <w:footnote w:id="4">
    <w:p w14:paraId="27AC5C12" w14:textId="77777777" w:rsidR="007A0474" w:rsidRPr="003E09C8" w:rsidRDefault="002E7C50" w:rsidP="003E09C8">
      <w:pPr>
        <w:pStyle w:val="FootnoteText"/>
        <w:ind w:left="0"/>
        <w:rPr>
          <w:sz w:val="18"/>
          <w:szCs w:val="18"/>
        </w:rPr>
      </w:pPr>
      <w:r w:rsidRPr="003E09C8">
        <w:rPr>
          <w:rStyle w:val="FootnoteReference"/>
          <w:sz w:val="18"/>
          <w:szCs w:val="18"/>
        </w:rPr>
        <w:footnoteRef/>
      </w:r>
      <w:r w:rsidRPr="003E09C8">
        <w:rPr>
          <w:sz w:val="18"/>
          <w:szCs w:val="18"/>
        </w:rPr>
        <w:t xml:space="preserve"> </w:t>
      </w:r>
      <w:proofErr w:type="gramStart"/>
      <w:r w:rsidR="007A0474" w:rsidRPr="003E09C8">
        <w:rPr>
          <w:sz w:val="18"/>
          <w:szCs w:val="18"/>
        </w:rPr>
        <w:t xml:space="preserve">Rudd, R. A., </w:t>
      </w:r>
      <w:proofErr w:type="spellStart"/>
      <w:r w:rsidR="007A0474" w:rsidRPr="003E09C8">
        <w:rPr>
          <w:sz w:val="18"/>
          <w:szCs w:val="18"/>
        </w:rPr>
        <w:t>Aleshire</w:t>
      </w:r>
      <w:proofErr w:type="spellEnd"/>
      <w:r w:rsidR="007A0474" w:rsidRPr="003E09C8">
        <w:rPr>
          <w:sz w:val="18"/>
          <w:szCs w:val="18"/>
        </w:rPr>
        <w:t xml:space="preserve">, N., </w:t>
      </w:r>
      <w:proofErr w:type="spellStart"/>
      <w:r w:rsidR="007A0474" w:rsidRPr="003E09C8">
        <w:rPr>
          <w:sz w:val="18"/>
          <w:szCs w:val="18"/>
        </w:rPr>
        <w:t>Zibbel</w:t>
      </w:r>
      <w:proofErr w:type="spellEnd"/>
      <w:r w:rsidR="007A0474" w:rsidRPr="003E09C8">
        <w:rPr>
          <w:sz w:val="18"/>
          <w:szCs w:val="18"/>
        </w:rPr>
        <w:t>, J. E., &amp; Gladden, R. M. (2016).</w:t>
      </w:r>
      <w:proofErr w:type="gramEnd"/>
      <w:r w:rsidR="007A0474" w:rsidRPr="003E09C8">
        <w:rPr>
          <w:sz w:val="18"/>
          <w:szCs w:val="18"/>
        </w:rPr>
        <w:t xml:space="preserve"> Increases in drug and opioid overdose deaths — United States, 2000–2014. MMWR, 64(50), 1378-1382. </w:t>
      </w:r>
    </w:p>
    <w:p w14:paraId="27AC5C13" w14:textId="77777777" w:rsidR="002E7C50" w:rsidRDefault="002E7C50">
      <w:pPr>
        <w:pStyle w:val="FootnoteText"/>
      </w:pPr>
    </w:p>
  </w:footnote>
  <w:footnote w:id="5">
    <w:p w14:paraId="27AC5C14" w14:textId="77777777" w:rsidR="007A0474" w:rsidRPr="003E09C8" w:rsidRDefault="007A0474" w:rsidP="003E09C8">
      <w:pPr>
        <w:pStyle w:val="FootnoteText"/>
        <w:ind w:left="0"/>
        <w:rPr>
          <w:sz w:val="18"/>
          <w:szCs w:val="18"/>
        </w:rPr>
      </w:pPr>
      <w:r>
        <w:rPr>
          <w:rStyle w:val="FootnoteReference"/>
        </w:rPr>
        <w:footnoteRef/>
      </w:r>
      <w:r>
        <w:t xml:space="preserve"> </w:t>
      </w:r>
      <w:proofErr w:type="gramStart"/>
      <w:r w:rsidRPr="003E09C8">
        <w:rPr>
          <w:sz w:val="18"/>
          <w:szCs w:val="18"/>
        </w:rPr>
        <w:t>Centers for Disease Control and Prevention.</w:t>
      </w:r>
      <w:proofErr w:type="gramEnd"/>
      <w:r w:rsidRPr="003E09C8">
        <w:rPr>
          <w:sz w:val="18"/>
          <w:szCs w:val="18"/>
        </w:rPr>
        <w:t xml:space="preserve"> (2016). CDC Wonder: Multiple cause of death 1999 - 2014. </w:t>
      </w:r>
      <w:proofErr w:type="gramStart"/>
      <w:r w:rsidRPr="003E09C8">
        <w:rPr>
          <w:sz w:val="18"/>
          <w:szCs w:val="18"/>
        </w:rPr>
        <w:t>Retrieved from http://wonder.cdc.gov/wonder/help/mcd.html.</w:t>
      </w:r>
      <w:proofErr w:type="gramEnd"/>
      <w:r w:rsidRPr="003E09C8">
        <w:rPr>
          <w:sz w:val="18"/>
          <w:szCs w:val="18"/>
        </w:rPr>
        <w:t xml:space="preserve"> Accessed on May 17, 2016</w:t>
      </w:r>
    </w:p>
    <w:p w14:paraId="27AC5C15" w14:textId="77777777" w:rsidR="00EA4775" w:rsidRPr="003E09C8" w:rsidRDefault="00EA4775" w:rsidP="003E09C8">
      <w:pPr>
        <w:pStyle w:val="FootnoteText"/>
        <w:ind w:left="0"/>
        <w:rPr>
          <w:sz w:val="18"/>
          <w:szCs w:val="18"/>
        </w:rPr>
      </w:pPr>
    </w:p>
  </w:footnote>
  <w:footnote w:id="6">
    <w:p w14:paraId="27AC5C16" w14:textId="77777777" w:rsidR="00EA4775" w:rsidRPr="003E09C8" w:rsidRDefault="00EA4775" w:rsidP="003E09C8">
      <w:pPr>
        <w:pStyle w:val="FootnoteText"/>
        <w:ind w:left="0"/>
        <w:rPr>
          <w:sz w:val="18"/>
          <w:szCs w:val="18"/>
        </w:rPr>
      </w:pPr>
      <w:r w:rsidRPr="003E09C8">
        <w:rPr>
          <w:rStyle w:val="FootnoteReference"/>
          <w:sz w:val="18"/>
          <w:szCs w:val="18"/>
        </w:rPr>
        <w:footnoteRef/>
      </w:r>
      <w:r w:rsidRPr="003E09C8">
        <w:rPr>
          <w:sz w:val="18"/>
          <w:szCs w:val="18"/>
        </w:rPr>
        <w:t xml:space="preserve"> </w:t>
      </w:r>
      <w:proofErr w:type="gramStart"/>
      <w:r w:rsidRPr="003E09C8">
        <w:rPr>
          <w:sz w:val="18"/>
          <w:szCs w:val="18"/>
        </w:rPr>
        <w:t>Center for Behavioral Health Statistics and Quality.</w:t>
      </w:r>
      <w:proofErr w:type="gramEnd"/>
      <w:r w:rsidRPr="003E09C8">
        <w:rPr>
          <w:sz w:val="18"/>
          <w:szCs w:val="18"/>
        </w:rPr>
        <w:t xml:space="preserve"> (2016). Results from the 2015 National Survey on Drug Use and Health: Detailed tables. Rockville, MD: Substance Abuse and Mental Health Services Administration.</w:t>
      </w:r>
    </w:p>
    <w:p w14:paraId="27AC5C17" w14:textId="77777777" w:rsidR="00EA4775" w:rsidRPr="003E09C8" w:rsidRDefault="00EA4775" w:rsidP="003E09C8">
      <w:pPr>
        <w:pStyle w:val="FootnoteText"/>
        <w:ind w:left="0"/>
        <w:rPr>
          <w:sz w:val="18"/>
          <w:szCs w:val="18"/>
        </w:rPr>
      </w:pPr>
    </w:p>
  </w:footnote>
  <w:footnote w:id="7">
    <w:p w14:paraId="27AC5C1A" w14:textId="77777777" w:rsidR="003E09C8" w:rsidRPr="003E09C8" w:rsidRDefault="003E09C8" w:rsidP="003E09C8">
      <w:pPr>
        <w:pStyle w:val="FootnoteText"/>
        <w:ind w:left="0"/>
        <w:rPr>
          <w:sz w:val="18"/>
          <w:szCs w:val="18"/>
        </w:rPr>
      </w:pPr>
      <w:r w:rsidRPr="003E09C8">
        <w:rPr>
          <w:rStyle w:val="FootnoteReference"/>
          <w:sz w:val="18"/>
          <w:szCs w:val="18"/>
        </w:rPr>
        <w:footnoteRef/>
      </w:r>
      <w:r w:rsidRPr="003E09C8">
        <w:rPr>
          <w:sz w:val="18"/>
          <w:szCs w:val="18"/>
        </w:rPr>
        <w:t xml:space="preserve"> </w:t>
      </w:r>
      <w:proofErr w:type="gramStart"/>
      <w:r w:rsidRPr="003E09C8">
        <w:rPr>
          <w:sz w:val="18"/>
          <w:szCs w:val="18"/>
        </w:rPr>
        <w:t>Centers for Disease Control and Prevention.</w:t>
      </w:r>
      <w:proofErr w:type="gramEnd"/>
      <w:r w:rsidRPr="003E09C8">
        <w:rPr>
          <w:sz w:val="18"/>
          <w:szCs w:val="18"/>
        </w:rPr>
        <w:t xml:space="preserve"> (2016). CDC Wonder: Multiple cause of death 1999 - 2014. </w:t>
      </w:r>
      <w:proofErr w:type="gramStart"/>
      <w:r w:rsidRPr="003E09C8">
        <w:rPr>
          <w:sz w:val="18"/>
          <w:szCs w:val="18"/>
        </w:rPr>
        <w:t>Retrieved from http://wonder.cdc.gov/wonder/help/mcd.html.</w:t>
      </w:r>
      <w:proofErr w:type="gramEnd"/>
      <w:r w:rsidRPr="003E09C8">
        <w:rPr>
          <w:sz w:val="18"/>
          <w:szCs w:val="18"/>
        </w:rPr>
        <w:t xml:space="preserve"> </w:t>
      </w:r>
      <w:proofErr w:type="gramStart"/>
      <w:r w:rsidRPr="003E09C8">
        <w:rPr>
          <w:sz w:val="18"/>
          <w:szCs w:val="18"/>
        </w:rPr>
        <w:t>Accessed on May 17, 2016.</w:t>
      </w:r>
      <w:proofErr w:type="gramEnd"/>
      <w:r w:rsidRPr="003E09C8">
        <w:rPr>
          <w:sz w:val="18"/>
          <w:szCs w:val="18"/>
        </w:rPr>
        <w:t xml:space="preserve"> 49. Drug Enforcement Administration. (2016). </w:t>
      </w:r>
    </w:p>
  </w:footnote>
  <w:footnote w:id="8">
    <w:p w14:paraId="27AC5C1B" w14:textId="77777777" w:rsidR="003E09C8" w:rsidRPr="003E09C8" w:rsidRDefault="003E09C8" w:rsidP="003E09C8">
      <w:pPr>
        <w:pStyle w:val="FootnoteText"/>
        <w:ind w:left="0"/>
        <w:rPr>
          <w:sz w:val="18"/>
          <w:szCs w:val="18"/>
        </w:rPr>
      </w:pPr>
    </w:p>
    <w:p w14:paraId="27AC5C1C" w14:textId="77777777" w:rsidR="003E09C8" w:rsidRPr="003E09C8" w:rsidRDefault="003E09C8" w:rsidP="003E09C8">
      <w:pPr>
        <w:pStyle w:val="FootnoteText"/>
        <w:ind w:left="0"/>
        <w:rPr>
          <w:sz w:val="18"/>
          <w:szCs w:val="18"/>
        </w:rPr>
      </w:pPr>
      <w:r w:rsidRPr="003E09C8">
        <w:rPr>
          <w:rStyle w:val="FootnoteReference"/>
          <w:sz w:val="18"/>
          <w:szCs w:val="18"/>
        </w:rPr>
        <w:footnoteRef/>
      </w:r>
      <w:r w:rsidRPr="003E09C8">
        <w:rPr>
          <w:sz w:val="18"/>
          <w:szCs w:val="18"/>
        </w:rPr>
        <w:t xml:space="preserve"> DEA Report: Counterfeit pills fueling U.S. fentanyl and opioid crisis: Problems resulting from abuse of opioid drugs continue to grow. </w:t>
      </w:r>
      <w:proofErr w:type="gramStart"/>
      <w:r w:rsidRPr="003E09C8">
        <w:rPr>
          <w:sz w:val="18"/>
          <w:szCs w:val="18"/>
        </w:rPr>
        <w:t>Retrieved from https://www.dea.gov/divisions/hq/2016/hq072216.shtml.</w:t>
      </w:r>
      <w:proofErr w:type="gramEnd"/>
      <w:r w:rsidRPr="003E09C8">
        <w:rPr>
          <w:sz w:val="18"/>
          <w:szCs w:val="18"/>
        </w:rPr>
        <w:t xml:space="preserve"> </w:t>
      </w:r>
      <w:proofErr w:type="gramStart"/>
      <w:r w:rsidRPr="003E09C8">
        <w:rPr>
          <w:sz w:val="18"/>
          <w:szCs w:val="18"/>
        </w:rPr>
        <w:t>Accessed on August 16, 2016.</w:t>
      </w:r>
      <w:proofErr w:type="gramEnd"/>
    </w:p>
    <w:p w14:paraId="27AC5C1D" w14:textId="77777777" w:rsidR="003E09C8" w:rsidRPr="003E09C8" w:rsidRDefault="003E09C8" w:rsidP="003E09C8">
      <w:pPr>
        <w:pStyle w:val="FootnoteText"/>
        <w:ind w:left="0"/>
        <w:rPr>
          <w:sz w:val="18"/>
          <w:szCs w:val="18"/>
        </w:rPr>
      </w:pPr>
    </w:p>
  </w:footnote>
  <w:footnote w:id="9">
    <w:p w14:paraId="27AC5C1E" w14:textId="77777777" w:rsidR="00EA4775" w:rsidRDefault="00EA4775" w:rsidP="00E82AC0">
      <w:pPr>
        <w:pStyle w:val="FootnoteText"/>
        <w:ind w:left="0"/>
      </w:pPr>
      <w:r>
        <w:rPr>
          <w:rStyle w:val="FootnoteReference"/>
        </w:rPr>
        <w:footnoteRef/>
      </w:r>
      <w:r>
        <w:t xml:space="preserve"> </w:t>
      </w:r>
      <w:proofErr w:type="gramStart"/>
      <w:r>
        <w:t>Center for Behavioral Health Statistics and Quality.</w:t>
      </w:r>
      <w:proofErr w:type="gramEnd"/>
      <w:r>
        <w:t xml:space="preserve"> (2016). Results from the 2015 National Survey on Drug Use and Health: Detailed tables. Rockville, MD: Substance Abuse and Mental Health Services Administration.</w:t>
      </w:r>
    </w:p>
    <w:p w14:paraId="27AC5C1F" w14:textId="77777777" w:rsidR="00EA4775" w:rsidRDefault="00EA477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986"/>
    <w:multiLevelType w:val="hybridMultilevel"/>
    <w:tmpl w:val="ADDC4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657BBE"/>
    <w:multiLevelType w:val="hybridMultilevel"/>
    <w:tmpl w:val="941C7168"/>
    <w:lvl w:ilvl="0" w:tplc="704C9D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C5B66"/>
    <w:multiLevelType w:val="hybridMultilevel"/>
    <w:tmpl w:val="5FB2B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77AB1"/>
    <w:multiLevelType w:val="hybridMultilevel"/>
    <w:tmpl w:val="512C7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964CC4"/>
    <w:multiLevelType w:val="hybridMultilevel"/>
    <w:tmpl w:val="DD56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3AA1ADD"/>
    <w:multiLevelType w:val="hybridMultilevel"/>
    <w:tmpl w:val="73C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A6BA9"/>
    <w:multiLevelType w:val="hybridMultilevel"/>
    <w:tmpl w:val="709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869B6"/>
    <w:multiLevelType w:val="hybridMultilevel"/>
    <w:tmpl w:val="65AA7F78"/>
    <w:lvl w:ilvl="0" w:tplc="B4D28554">
      <w:start w:val="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DA15EF1"/>
    <w:multiLevelType w:val="hybridMultilevel"/>
    <w:tmpl w:val="34DEA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F37A37"/>
    <w:multiLevelType w:val="hybridMultilevel"/>
    <w:tmpl w:val="07BE6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8924E0"/>
    <w:multiLevelType w:val="hybridMultilevel"/>
    <w:tmpl w:val="C3F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1E4608"/>
    <w:multiLevelType w:val="hybridMultilevel"/>
    <w:tmpl w:val="DF266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9159D"/>
    <w:multiLevelType w:val="hybridMultilevel"/>
    <w:tmpl w:val="A35A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D595C"/>
    <w:multiLevelType w:val="hybridMultilevel"/>
    <w:tmpl w:val="AE4663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71557B7"/>
    <w:multiLevelType w:val="hybridMultilevel"/>
    <w:tmpl w:val="DBCE29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BE7F90"/>
    <w:multiLevelType w:val="hybridMultilevel"/>
    <w:tmpl w:val="614039B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51084"/>
    <w:multiLevelType w:val="hybridMultilevel"/>
    <w:tmpl w:val="B8D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4F6F93"/>
    <w:multiLevelType w:val="hybridMultilevel"/>
    <w:tmpl w:val="5100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90469"/>
    <w:multiLevelType w:val="hybridMultilevel"/>
    <w:tmpl w:val="CB3C4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AE03E4"/>
    <w:multiLevelType w:val="hybridMultilevel"/>
    <w:tmpl w:val="D2523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2E04EB"/>
    <w:multiLevelType w:val="hybridMultilevel"/>
    <w:tmpl w:val="46EC4C1C"/>
    <w:lvl w:ilvl="0" w:tplc="04090005">
      <w:start w:val="1"/>
      <w:numFmt w:val="bullet"/>
      <w:lvlText w:val=""/>
      <w:lvlJc w:val="left"/>
      <w:pPr>
        <w:ind w:left="1800" w:hanging="360"/>
      </w:pPr>
      <w:rPr>
        <w:rFonts w:ascii="Wingdings" w:hAnsi="Wingdings" w:hint="default"/>
      </w:rPr>
    </w:lvl>
    <w:lvl w:ilvl="1" w:tplc="2F1E13AE">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C761E"/>
    <w:multiLevelType w:val="hybridMultilevel"/>
    <w:tmpl w:val="5D028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57AF1"/>
    <w:multiLevelType w:val="hybridMultilevel"/>
    <w:tmpl w:val="76A66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4D533D27"/>
    <w:multiLevelType w:val="hybridMultilevel"/>
    <w:tmpl w:val="26AE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365E1"/>
    <w:multiLevelType w:val="hybridMultilevel"/>
    <w:tmpl w:val="3C5E3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233857"/>
    <w:multiLevelType w:val="hybridMultilevel"/>
    <w:tmpl w:val="4CD8576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13154D"/>
    <w:multiLevelType w:val="hybridMultilevel"/>
    <w:tmpl w:val="FC561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E21D9"/>
    <w:multiLevelType w:val="multilevel"/>
    <w:tmpl w:val="F8CE8CE8"/>
    <w:lvl w:ilvl="0">
      <w:start w:val="1"/>
      <w:numFmt w:val="bullet"/>
      <w:lvlText w:val=""/>
      <w:lvlJc w:val="left"/>
      <w:pPr>
        <w:tabs>
          <w:tab w:val="num" w:pos="720"/>
        </w:tabs>
        <w:ind w:left="720" w:hanging="360"/>
      </w:pPr>
      <w:rPr>
        <w:rFonts w:ascii="Symbol" w:hAnsi="Symbol" w:hint="default"/>
        <w:sz w:val="20"/>
      </w:rPr>
    </w:lvl>
    <w:lvl w:ilvl="1">
      <w:start w:val="10"/>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11797F"/>
    <w:multiLevelType w:val="multilevel"/>
    <w:tmpl w:val="7B3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D67A20"/>
    <w:multiLevelType w:val="hybridMultilevel"/>
    <w:tmpl w:val="BE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E3FE5"/>
    <w:multiLevelType w:val="hybridMultilevel"/>
    <w:tmpl w:val="287A4BEE"/>
    <w:lvl w:ilvl="0" w:tplc="6D8E710E">
      <w:start w:val="1"/>
      <w:numFmt w:val="upperLetter"/>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92121B"/>
    <w:multiLevelType w:val="multilevel"/>
    <w:tmpl w:val="AF90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E6755C"/>
    <w:multiLevelType w:val="hybridMultilevel"/>
    <w:tmpl w:val="1C92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E4689"/>
    <w:multiLevelType w:val="multilevel"/>
    <w:tmpl w:val="9862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243F6A"/>
    <w:multiLevelType w:val="hybridMultilevel"/>
    <w:tmpl w:val="35602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920A66"/>
    <w:multiLevelType w:val="hybridMultilevel"/>
    <w:tmpl w:val="8260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1C1B9E"/>
    <w:multiLevelType w:val="multilevel"/>
    <w:tmpl w:val="7052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5F7AB2"/>
    <w:multiLevelType w:val="hybridMultilevel"/>
    <w:tmpl w:val="C822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34"/>
  </w:num>
  <w:num w:numId="5">
    <w:abstractNumId w:val="3"/>
  </w:num>
  <w:num w:numId="6">
    <w:abstractNumId w:val="8"/>
  </w:num>
  <w:num w:numId="7">
    <w:abstractNumId w:val="9"/>
  </w:num>
  <w:num w:numId="8">
    <w:abstractNumId w:val="23"/>
  </w:num>
  <w:num w:numId="9">
    <w:abstractNumId w:val="32"/>
  </w:num>
  <w:num w:numId="10">
    <w:abstractNumId w:val="35"/>
  </w:num>
  <w:num w:numId="11">
    <w:abstractNumId w:val="28"/>
  </w:num>
  <w:num w:numId="12">
    <w:abstractNumId w:val="36"/>
  </w:num>
  <w:num w:numId="13">
    <w:abstractNumId w:val="27"/>
  </w:num>
  <w:num w:numId="14">
    <w:abstractNumId w:val="15"/>
  </w:num>
  <w:num w:numId="15">
    <w:abstractNumId w:val="22"/>
  </w:num>
  <w:num w:numId="16">
    <w:abstractNumId w:val="6"/>
  </w:num>
  <w:num w:numId="17">
    <w:abstractNumId w:val="20"/>
  </w:num>
  <w:num w:numId="18">
    <w:abstractNumId w:val="4"/>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num>
  <w:num w:numId="23">
    <w:abstractNumId w:val="12"/>
  </w:num>
  <w:num w:numId="24">
    <w:abstractNumId w:val="29"/>
  </w:num>
  <w:num w:numId="25">
    <w:abstractNumId w:val="24"/>
  </w:num>
  <w:num w:numId="26">
    <w:abstractNumId w:val="19"/>
  </w:num>
  <w:num w:numId="27">
    <w:abstractNumId w:val="14"/>
  </w:num>
  <w:num w:numId="28">
    <w:abstractNumId w:val="17"/>
  </w:num>
  <w:num w:numId="29">
    <w:abstractNumId w:val="30"/>
  </w:num>
  <w:num w:numId="30">
    <w:abstractNumId w:val="7"/>
  </w:num>
  <w:num w:numId="31">
    <w:abstractNumId w:val="10"/>
  </w:num>
  <w:num w:numId="32">
    <w:abstractNumId w:val="16"/>
  </w:num>
  <w:num w:numId="33">
    <w:abstractNumId w:val="37"/>
  </w:num>
  <w:num w:numId="34">
    <w:abstractNumId w:val="11"/>
  </w:num>
  <w:num w:numId="35">
    <w:abstractNumId w:val="5"/>
  </w:num>
  <w:num w:numId="36">
    <w:abstractNumId w:val="31"/>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E0"/>
    <w:rsid w:val="0000597E"/>
    <w:rsid w:val="00014442"/>
    <w:rsid w:val="00014539"/>
    <w:rsid w:val="00016820"/>
    <w:rsid w:val="00023AED"/>
    <w:rsid w:val="0003232D"/>
    <w:rsid w:val="00034DF1"/>
    <w:rsid w:val="00043764"/>
    <w:rsid w:val="00063A80"/>
    <w:rsid w:val="000728DC"/>
    <w:rsid w:val="00072B54"/>
    <w:rsid w:val="00094812"/>
    <w:rsid w:val="000A15C6"/>
    <w:rsid w:val="000C0473"/>
    <w:rsid w:val="000D1FF2"/>
    <w:rsid w:val="000E027A"/>
    <w:rsid w:val="000F14D4"/>
    <w:rsid w:val="0011422F"/>
    <w:rsid w:val="00115ECF"/>
    <w:rsid w:val="00135BB5"/>
    <w:rsid w:val="00143DB5"/>
    <w:rsid w:val="00146116"/>
    <w:rsid w:val="001466B8"/>
    <w:rsid w:val="00152600"/>
    <w:rsid w:val="001651B7"/>
    <w:rsid w:val="00175430"/>
    <w:rsid w:val="00175B36"/>
    <w:rsid w:val="00183705"/>
    <w:rsid w:val="00192DC6"/>
    <w:rsid w:val="00193BC7"/>
    <w:rsid w:val="001A29BF"/>
    <w:rsid w:val="001B309E"/>
    <w:rsid w:val="001D0F27"/>
    <w:rsid w:val="001D4786"/>
    <w:rsid w:val="001D5B47"/>
    <w:rsid w:val="001E3904"/>
    <w:rsid w:val="001F6BF8"/>
    <w:rsid w:val="00204ECA"/>
    <w:rsid w:val="00222163"/>
    <w:rsid w:val="00222BAB"/>
    <w:rsid w:val="00235C2A"/>
    <w:rsid w:val="00252E8D"/>
    <w:rsid w:val="00255843"/>
    <w:rsid w:val="002777C2"/>
    <w:rsid w:val="0028538B"/>
    <w:rsid w:val="00287895"/>
    <w:rsid w:val="002B344C"/>
    <w:rsid w:val="002C4CDD"/>
    <w:rsid w:val="002E5808"/>
    <w:rsid w:val="002E7C50"/>
    <w:rsid w:val="003012A6"/>
    <w:rsid w:val="0034111A"/>
    <w:rsid w:val="003538C5"/>
    <w:rsid w:val="00354BB1"/>
    <w:rsid w:val="00356910"/>
    <w:rsid w:val="00371304"/>
    <w:rsid w:val="003719AE"/>
    <w:rsid w:val="00390EE2"/>
    <w:rsid w:val="003918BD"/>
    <w:rsid w:val="003A5078"/>
    <w:rsid w:val="003B61AD"/>
    <w:rsid w:val="003B64BA"/>
    <w:rsid w:val="003C7939"/>
    <w:rsid w:val="003D5858"/>
    <w:rsid w:val="003D6D0A"/>
    <w:rsid w:val="003E09C8"/>
    <w:rsid w:val="003E18A5"/>
    <w:rsid w:val="00410FA6"/>
    <w:rsid w:val="00411EF8"/>
    <w:rsid w:val="00416CE6"/>
    <w:rsid w:val="004207AF"/>
    <w:rsid w:val="004559DF"/>
    <w:rsid w:val="00464B29"/>
    <w:rsid w:val="00470586"/>
    <w:rsid w:val="00474FF2"/>
    <w:rsid w:val="00482F8A"/>
    <w:rsid w:val="004875FB"/>
    <w:rsid w:val="004A040A"/>
    <w:rsid w:val="004A675B"/>
    <w:rsid w:val="004B400A"/>
    <w:rsid w:val="004B42FE"/>
    <w:rsid w:val="004C41B1"/>
    <w:rsid w:val="004C43F0"/>
    <w:rsid w:val="004C501A"/>
    <w:rsid w:val="004D57AE"/>
    <w:rsid w:val="004E0D16"/>
    <w:rsid w:val="004E390D"/>
    <w:rsid w:val="005014EB"/>
    <w:rsid w:val="005066D2"/>
    <w:rsid w:val="00544669"/>
    <w:rsid w:val="0054471E"/>
    <w:rsid w:val="00560BCB"/>
    <w:rsid w:val="00565EEE"/>
    <w:rsid w:val="0057161D"/>
    <w:rsid w:val="0058095D"/>
    <w:rsid w:val="0058105C"/>
    <w:rsid w:val="005A797E"/>
    <w:rsid w:val="005C74F8"/>
    <w:rsid w:val="00600D00"/>
    <w:rsid w:val="00607DC7"/>
    <w:rsid w:val="006308C2"/>
    <w:rsid w:val="00631485"/>
    <w:rsid w:val="00670241"/>
    <w:rsid w:val="00677D0D"/>
    <w:rsid w:val="00685CAC"/>
    <w:rsid w:val="006C1763"/>
    <w:rsid w:val="006C18A8"/>
    <w:rsid w:val="006D0C8F"/>
    <w:rsid w:val="006F06C7"/>
    <w:rsid w:val="006F24C6"/>
    <w:rsid w:val="006F6525"/>
    <w:rsid w:val="0070368F"/>
    <w:rsid w:val="00705D81"/>
    <w:rsid w:val="00716A32"/>
    <w:rsid w:val="007503D8"/>
    <w:rsid w:val="00781A59"/>
    <w:rsid w:val="007A0474"/>
    <w:rsid w:val="007A3B1F"/>
    <w:rsid w:val="007C4B3D"/>
    <w:rsid w:val="007C6DB2"/>
    <w:rsid w:val="007C716C"/>
    <w:rsid w:val="007E4380"/>
    <w:rsid w:val="007F198B"/>
    <w:rsid w:val="007F275E"/>
    <w:rsid w:val="008011D4"/>
    <w:rsid w:val="0080130A"/>
    <w:rsid w:val="0080679E"/>
    <w:rsid w:val="008160BA"/>
    <w:rsid w:val="00817B1A"/>
    <w:rsid w:val="00817F80"/>
    <w:rsid w:val="00834B36"/>
    <w:rsid w:val="008569E8"/>
    <w:rsid w:val="00872246"/>
    <w:rsid w:val="0088397A"/>
    <w:rsid w:val="008852E4"/>
    <w:rsid w:val="00892C6E"/>
    <w:rsid w:val="0089713C"/>
    <w:rsid w:val="008A5D5E"/>
    <w:rsid w:val="008C3084"/>
    <w:rsid w:val="008E3783"/>
    <w:rsid w:val="008E3EB3"/>
    <w:rsid w:val="008F5380"/>
    <w:rsid w:val="008F55AB"/>
    <w:rsid w:val="00906174"/>
    <w:rsid w:val="00906889"/>
    <w:rsid w:val="00907974"/>
    <w:rsid w:val="00932889"/>
    <w:rsid w:val="00945214"/>
    <w:rsid w:val="00970C90"/>
    <w:rsid w:val="00982109"/>
    <w:rsid w:val="009A259E"/>
    <w:rsid w:val="009A26C0"/>
    <w:rsid w:val="009A729E"/>
    <w:rsid w:val="009D44A4"/>
    <w:rsid w:val="009D62B3"/>
    <w:rsid w:val="009D6650"/>
    <w:rsid w:val="009D71CA"/>
    <w:rsid w:val="009E2A80"/>
    <w:rsid w:val="009F55FC"/>
    <w:rsid w:val="00A07BE0"/>
    <w:rsid w:val="00A24EA6"/>
    <w:rsid w:val="00A30780"/>
    <w:rsid w:val="00A519AF"/>
    <w:rsid w:val="00A562A5"/>
    <w:rsid w:val="00A57D3A"/>
    <w:rsid w:val="00A646EE"/>
    <w:rsid w:val="00A86A27"/>
    <w:rsid w:val="00A87BE5"/>
    <w:rsid w:val="00A90475"/>
    <w:rsid w:val="00A920E3"/>
    <w:rsid w:val="00A93963"/>
    <w:rsid w:val="00A94312"/>
    <w:rsid w:val="00A97354"/>
    <w:rsid w:val="00AA131B"/>
    <w:rsid w:val="00AB70FE"/>
    <w:rsid w:val="00AB7198"/>
    <w:rsid w:val="00AC4BDE"/>
    <w:rsid w:val="00AD3BB7"/>
    <w:rsid w:val="00B1438A"/>
    <w:rsid w:val="00B14C05"/>
    <w:rsid w:val="00B200F2"/>
    <w:rsid w:val="00B270F2"/>
    <w:rsid w:val="00B40EE8"/>
    <w:rsid w:val="00B47299"/>
    <w:rsid w:val="00B625FD"/>
    <w:rsid w:val="00B717B9"/>
    <w:rsid w:val="00B80F44"/>
    <w:rsid w:val="00B96ABA"/>
    <w:rsid w:val="00BA62E9"/>
    <w:rsid w:val="00BE2308"/>
    <w:rsid w:val="00BF17B2"/>
    <w:rsid w:val="00C071BE"/>
    <w:rsid w:val="00C2284E"/>
    <w:rsid w:val="00C32127"/>
    <w:rsid w:val="00C53136"/>
    <w:rsid w:val="00C55070"/>
    <w:rsid w:val="00C94DA1"/>
    <w:rsid w:val="00CA4809"/>
    <w:rsid w:val="00CB698B"/>
    <w:rsid w:val="00CC15CF"/>
    <w:rsid w:val="00CC55DE"/>
    <w:rsid w:val="00D0190A"/>
    <w:rsid w:val="00D173F3"/>
    <w:rsid w:val="00D27834"/>
    <w:rsid w:val="00D301C1"/>
    <w:rsid w:val="00D34497"/>
    <w:rsid w:val="00D437AC"/>
    <w:rsid w:val="00D44B8D"/>
    <w:rsid w:val="00D47FA3"/>
    <w:rsid w:val="00D52568"/>
    <w:rsid w:val="00D67946"/>
    <w:rsid w:val="00D72EC4"/>
    <w:rsid w:val="00D87F36"/>
    <w:rsid w:val="00D92A56"/>
    <w:rsid w:val="00D95700"/>
    <w:rsid w:val="00DA2F58"/>
    <w:rsid w:val="00DB341B"/>
    <w:rsid w:val="00DB6FA0"/>
    <w:rsid w:val="00DC0FC4"/>
    <w:rsid w:val="00DD2B5B"/>
    <w:rsid w:val="00DE2677"/>
    <w:rsid w:val="00DF00D8"/>
    <w:rsid w:val="00DF6E96"/>
    <w:rsid w:val="00E0158A"/>
    <w:rsid w:val="00E41BB7"/>
    <w:rsid w:val="00E46DF0"/>
    <w:rsid w:val="00E66713"/>
    <w:rsid w:val="00E669DD"/>
    <w:rsid w:val="00E753FC"/>
    <w:rsid w:val="00E82576"/>
    <w:rsid w:val="00E82AC0"/>
    <w:rsid w:val="00E9556B"/>
    <w:rsid w:val="00E9693E"/>
    <w:rsid w:val="00EA4775"/>
    <w:rsid w:val="00EB34E1"/>
    <w:rsid w:val="00EB38CB"/>
    <w:rsid w:val="00EB4431"/>
    <w:rsid w:val="00EB7381"/>
    <w:rsid w:val="00EC055D"/>
    <w:rsid w:val="00ED277A"/>
    <w:rsid w:val="00EF42CA"/>
    <w:rsid w:val="00F05C05"/>
    <w:rsid w:val="00F07BEE"/>
    <w:rsid w:val="00F10328"/>
    <w:rsid w:val="00F27401"/>
    <w:rsid w:val="00F3169A"/>
    <w:rsid w:val="00F52A4C"/>
    <w:rsid w:val="00F71FF4"/>
    <w:rsid w:val="00F824EE"/>
    <w:rsid w:val="00F836E3"/>
    <w:rsid w:val="00FC3F30"/>
    <w:rsid w:val="00FD11D7"/>
    <w:rsid w:val="00FD12AA"/>
    <w:rsid w:val="00FD560C"/>
    <w:rsid w:val="00FF2BFE"/>
    <w:rsid w:val="00FF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ahoma"/>
        <w:color w:val="000000"/>
        <w:sz w:val="24"/>
        <w:szCs w:val="24"/>
        <w:lang w:val="en-US" w:eastAsia="en-US" w:bidi="ar-SA"/>
      </w:rPr>
    </w:rPrDefault>
    <w:pPrDefault>
      <w:pPr>
        <w:spacing w:line="271"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5430"/>
    <w:pPr>
      <w:keepNext/>
      <w:spacing w:before="240" w:after="60" w:line="240" w:lineRule="auto"/>
      <w:ind w:left="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75430"/>
    <w:pPr>
      <w:keepNext/>
      <w:spacing w:before="240" w:after="60" w:line="240" w:lineRule="auto"/>
      <w:ind w:left="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E0"/>
    <w:pPr>
      <w:spacing w:after="160" w:line="259" w:lineRule="auto"/>
      <w:contextualSpacing/>
    </w:pPr>
    <w:rPr>
      <w:rFonts w:eastAsiaTheme="minorEastAsia"/>
      <w:sz w:val="22"/>
      <w:szCs w:val="22"/>
    </w:rPr>
  </w:style>
  <w:style w:type="character" w:customStyle="1" w:styleId="Heading1Char">
    <w:name w:val="Heading 1 Char"/>
    <w:basedOn w:val="DefaultParagraphFont"/>
    <w:link w:val="Heading1"/>
    <w:rsid w:val="00175430"/>
    <w:rPr>
      <w:rFonts w:ascii="Arial" w:eastAsia="Times New Roman" w:hAnsi="Arial" w:cs="Arial"/>
      <w:b/>
      <w:bCs/>
      <w:kern w:val="32"/>
      <w:sz w:val="32"/>
      <w:szCs w:val="32"/>
    </w:rPr>
  </w:style>
  <w:style w:type="character" w:customStyle="1" w:styleId="Heading2Char">
    <w:name w:val="Heading 2 Char"/>
    <w:basedOn w:val="DefaultParagraphFont"/>
    <w:link w:val="Heading2"/>
    <w:rsid w:val="00175430"/>
    <w:rPr>
      <w:rFonts w:ascii="Arial" w:eastAsia="Times New Roman" w:hAnsi="Arial" w:cs="Arial"/>
      <w:b/>
      <w:bCs/>
      <w:i/>
      <w:iCs/>
      <w:sz w:val="28"/>
      <w:szCs w:val="28"/>
    </w:rPr>
  </w:style>
  <w:style w:type="paragraph" w:styleId="CommentText">
    <w:name w:val="annotation text"/>
    <w:basedOn w:val="Normal"/>
    <w:link w:val="CommentTextChar"/>
    <w:uiPriority w:val="99"/>
    <w:rsid w:val="00175430"/>
    <w:pPr>
      <w:spacing w:line="240" w:lineRule="auto"/>
      <w:ind w:left="0"/>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rsid w:val="00175430"/>
    <w:rPr>
      <w:rFonts w:ascii="Times New Roman" w:eastAsia="Times New Roman" w:hAnsi="Times New Roman"/>
      <w:sz w:val="20"/>
      <w:szCs w:val="20"/>
      <w:lang w:val="en-GB"/>
    </w:rPr>
  </w:style>
  <w:style w:type="character" w:customStyle="1" w:styleId="apple-converted-space">
    <w:name w:val="apple-converted-space"/>
    <w:basedOn w:val="DefaultParagraphFont"/>
    <w:rsid w:val="003719AE"/>
  </w:style>
  <w:style w:type="paragraph" w:styleId="NormalWeb">
    <w:name w:val="Normal (Web)"/>
    <w:basedOn w:val="Normal"/>
    <w:uiPriority w:val="99"/>
    <w:unhideWhenUsed/>
    <w:rsid w:val="003719AE"/>
    <w:pPr>
      <w:spacing w:before="100" w:beforeAutospacing="1" w:after="100" w:afterAutospacing="1" w:line="240" w:lineRule="auto"/>
      <w:ind w:left="0"/>
    </w:pPr>
    <w:rPr>
      <w:rFonts w:ascii="Times New Roman" w:eastAsia="Times New Roman" w:hAnsi="Times New Roman"/>
    </w:rPr>
  </w:style>
  <w:style w:type="character" w:styleId="Hyperlink">
    <w:name w:val="Hyperlink"/>
    <w:basedOn w:val="DefaultParagraphFont"/>
    <w:uiPriority w:val="99"/>
    <w:unhideWhenUsed/>
    <w:rsid w:val="003719AE"/>
    <w:rPr>
      <w:color w:val="0000FF" w:themeColor="hyperlink"/>
      <w:u w:val="single"/>
    </w:rPr>
  </w:style>
  <w:style w:type="character" w:styleId="Strong">
    <w:name w:val="Strong"/>
    <w:basedOn w:val="DefaultParagraphFont"/>
    <w:uiPriority w:val="22"/>
    <w:qFormat/>
    <w:rsid w:val="003719AE"/>
    <w:rPr>
      <w:b/>
      <w:bCs/>
    </w:rPr>
  </w:style>
  <w:style w:type="character" w:styleId="Emphasis">
    <w:name w:val="Emphasis"/>
    <w:basedOn w:val="DefaultParagraphFont"/>
    <w:uiPriority w:val="20"/>
    <w:qFormat/>
    <w:rsid w:val="003719AE"/>
    <w:rPr>
      <w:i/>
      <w:iCs/>
    </w:rPr>
  </w:style>
  <w:style w:type="paragraph" w:styleId="BalloonText">
    <w:name w:val="Balloon Text"/>
    <w:basedOn w:val="Normal"/>
    <w:link w:val="BalloonTextChar"/>
    <w:uiPriority w:val="99"/>
    <w:semiHidden/>
    <w:unhideWhenUsed/>
    <w:rsid w:val="000E027A"/>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E027A"/>
    <w:rPr>
      <w:rFonts w:ascii="Tahoma" w:hAnsi="Tahoma" w:cs="Tahoma"/>
      <w:sz w:val="16"/>
      <w:szCs w:val="16"/>
    </w:rPr>
  </w:style>
  <w:style w:type="paragraph" w:customStyle="1" w:styleId="bodytext">
    <w:name w:val="bodytext"/>
    <w:basedOn w:val="Normal"/>
    <w:rsid w:val="00222163"/>
    <w:pPr>
      <w:spacing w:before="100" w:beforeAutospacing="1" w:after="100" w:afterAutospacing="1" w:line="240" w:lineRule="auto"/>
      <w:ind w:left="0"/>
    </w:pPr>
    <w:rPr>
      <w:rFonts w:ascii="Times New Roman" w:eastAsia="Times New Roman" w:hAnsi="Times New Roman" w:cs="Times New Roman"/>
    </w:rPr>
  </w:style>
  <w:style w:type="table" w:styleId="TableGrid">
    <w:name w:val="Table Grid"/>
    <w:basedOn w:val="TableNormal"/>
    <w:uiPriority w:val="59"/>
    <w:rsid w:val="005810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6910"/>
    <w:rPr>
      <w:color w:val="800080" w:themeColor="followedHyperlink"/>
      <w:u w:val="single"/>
    </w:rPr>
  </w:style>
  <w:style w:type="paragraph" w:styleId="Header">
    <w:name w:val="header"/>
    <w:basedOn w:val="Normal"/>
    <w:link w:val="HeaderChar"/>
    <w:rsid w:val="00BA62E9"/>
    <w:pPr>
      <w:widowControl w:val="0"/>
      <w:tabs>
        <w:tab w:val="center" w:pos="4320"/>
        <w:tab w:val="right" w:pos="8640"/>
      </w:tabs>
      <w:spacing w:line="240" w:lineRule="auto"/>
      <w:ind w:left="0"/>
    </w:pPr>
    <w:rPr>
      <w:rFonts w:ascii="Times New Roman" w:eastAsia="Times New Roman" w:hAnsi="Times New Roman" w:cs="Times New Roman"/>
      <w:snapToGrid w:val="0"/>
      <w:color w:val="auto"/>
    </w:rPr>
  </w:style>
  <w:style w:type="character" w:customStyle="1" w:styleId="HeaderChar">
    <w:name w:val="Header Char"/>
    <w:basedOn w:val="DefaultParagraphFont"/>
    <w:link w:val="Header"/>
    <w:uiPriority w:val="99"/>
    <w:rsid w:val="00BA62E9"/>
    <w:rPr>
      <w:rFonts w:ascii="Times New Roman" w:eastAsia="Times New Roman" w:hAnsi="Times New Roman" w:cs="Times New Roman"/>
      <w:snapToGrid w:val="0"/>
      <w:color w:val="auto"/>
    </w:rPr>
  </w:style>
  <w:style w:type="paragraph" w:customStyle="1" w:styleId="Body">
    <w:name w:val="Body"/>
    <w:basedOn w:val="Normal"/>
    <w:rsid w:val="00BA62E9"/>
    <w:pPr>
      <w:spacing w:before="120" w:after="120" w:line="360" w:lineRule="auto"/>
      <w:ind w:left="0"/>
    </w:pPr>
    <w:rPr>
      <w:rFonts w:ascii="Arial" w:eastAsia="Times New Roman" w:hAnsi="Arial" w:cs="Times New Roman"/>
      <w:color w:val="auto"/>
      <w:szCs w:val="20"/>
    </w:rPr>
  </w:style>
  <w:style w:type="character" w:customStyle="1" w:styleId="a">
    <w:name w:val="_"/>
    <w:basedOn w:val="DefaultParagraphFont"/>
    <w:rsid w:val="00192DC6"/>
  </w:style>
  <w:style w:type="character" w:customStyle="1" w:styleId="ff8">
    <w:name w:val="ff8"/>
    <w:basedOn w:val="DefaultParagraphFont"/>
    <w:rsid w:val="00192DC6"/>
  </w:style>
  <w:style w:type="character" w:customStyle="1" w:styleId="ff2">
    <w:name w:val="ff2"/>
    <w:basedOn w:val="DefaultParagraphFont"/>
    <w:rsid w:val="00192DC6"/>
  </w:style>
  <w:style w:type="character" w:customStyle="1" w:styleId="ffc">
    <w:name w:val="ffc"/>
    <w:basedOn w:val="DefaultParagraphFont"/>
    <w:rsid w:val="00192DC6"/>
  </w:style>
  <w:style w:type="character" w:customStyle="1" w:styleId="lsd">
    <w:name w:val="lsd"/>
    <w:basedOn w:val="DefaultParagraphFont"/>
    <w:rsid w:val="00192DC6"/>
  </w:style>
  <w:style w:type="character" w:styleId="CommentReference">
    <w:name w:val="annotation reference"/>
    <w:basedOn w:val="DefaultParagraphFont"/>
    <w:uiPriority w:val="99"/>
    <w:semiHidden/>
    <w:unhideWhenUsed/>
    <w:rsid w:val="009D62B3"/>
    <w:rPr>
      <w:sz w:val="16"/>
      <w:szCs w:val="16"/>
    </w:rPr>
  </w:style>
  <w:style w:type="paragraph" w:styleId="CommentSubject">
    <w:name w:val="annotation subject"/>
    <w:basedOn w:val="CommentText"/>
    <w:next w:val="CommentText"/>
    <w:link w:val="CommentSubjectChar"/>
    <w:uiPriority w:val="99"/>
    <w:semiHidden/>
    <w:unhideWhenUsed/>
    <w:rsid w:val="00072B54"/>
    <w:pPr>
      <w:ind w:left="720"/>
    </w:pPr>
    <w:rPr>
      <w:rFonts w:asciiTheme="minorHAnsi" w:eastAsiaTheme="minorHAnsi" w:hAnsiTheme="minorHAnsi"/>
      <w:b/>
      <w:bCs/>
      <w:lang w:val="en-US"/>
    </w:rPr>
  </w:style>
  <w:style w:type="character" w:customStyle="1" w:styleId="CommentSubjectChar">
    <w:name w:val="Comment Subject Char"/>
    <w:basedOn w:val="CommentTextChar"/>
    <w:link w:val="CommentSubject"/>
    <w:uiPriority w:val="99"/>
    <w:semiHidden/>
    <w:rsid w:val="00072B54"/>
    <w:rPr>
      <w:rFonts w:ascii="Times New Roman" w:eastAsia="Times New Roman" w:hAnsi="Times New Roman"/>
      <w:b/>
      <w:bCs/>
      <w:sz w:val="20"/>
      <w:szCs w:val="20"/>
      <w:lang w:val="en-GB"/>
    </w:rPr>
  </w:style>
  <w:style w:type="paragraph" w:styleId="Revision">
    <w:name w:val="Revision"/>
    <w:hidden/>
    <w:uiPriority w:val="99"/>
    <w:semiHidden/>
    <w:rsid w:val="006308C2"/>
    <w:pPr>
      <w:spacing w:line="240" w:lineRule="auto"/>
      <w:ind w:left="0"/>
    </w:pPr>
  </w:style>
  <w:style w:type="paragraph" w:styleId="PlainText">
    <w:name w:val="Plain Text"/>
    <w:basedOn w:val="Normal"/>
    <w:link w:val="PlainTextChar"/>
    <w:uiPriority w:val="99"/>
    <w:unhideWhenUsed/>
    <w:rsid w:val="00B80F44"/>
    <w:pPr>
      <w:spacing w:line="240" w:lineRule="auto"/>
      <w:ind w:left="0"/>
    </w:pPr>
    <w:rPr>
      <w:rFonts w:ascii="Arial Narrow" w:hAnsi="Arial Narrow" w:cs="Times New Roman"/>
      <w:color w:val="auto"/>
      <w:sz w:val="22"/>
      <w:szCs w:val="22"/>
    </w:rPr>
  </w:style>
  <w:style w:type="character" w:customStyle="1" w:styleId="PlainTextChar">
    <w:name w:val="Plain Text Char"/>
    <w:basedOn w:val="DefaultParagraphFont"/>
    <w:link w:val="PlainText"/>
    <w:uiPriority w:val="99"/>
    <w:rsid w:val="00B80F44"/>
    <w:rPr>
      <w:rFonts w:ascii="Arial Narrow" w:hAnsi="Arial Narrow" w:cs="Times New Roman"/>
      <w:color w:val="auto"/>
      <w:sz w:val="22"/>
      <w:szCs w:val="22"/>
    </w:rPr>
  </w:style>
  <w:style w:type="paragraph" w:styleId="FootnoteText">
    <w:name w:val="footnote text"/>
    <w:basedOn w:val="Normal"/>
    <w:link w:val="FootnoteTextChar"/>
    <w:uiPriority w:val="99"/>
    <w:semiHidden/>
    <w:unhideWhenUsed/>
    <w:rsid w:val="00043764"/>
    <w:pPr>
      <w:spacing w:line="240" w:lineRule="auto"/>
    </w:pPr>
    <w:rPr>
      <w:sz w:val="20"/>
      <w:szCs w:val="20"/>
    </w:rPr>
  </w:style>
  <w:style w:type="character" w:customStyle="1" w:styleId="FootnoteTextChar">
    <w:name w:val="Footnote Text Char"/>
    <w:basedOn w:val="DefaultParagraphFont"/>
    <w:link w:val="FootnoteText"/>
    <w:uiPriority w:val="99"/>
    <w:semiHidden/>
    <w:rsid w:val="00043764"/>
    <w:rPr>
      <w:sz w:val="20"/>
      <w:szCs w:val="20"/>
    </w:rPr>
  </w:style>
  <w:style w:type="character" w:styleId="FootnoteReference">
    <w:name w:val="footnote reference"/>
    <w:basedOn w:val="DefaultParagraphFont"/>
    <w:uiPriority w:val="99"/>
    <w:semiHidden/>
    <w:unhideWhenUsed/>
    <w:rsid w:val="00043764"/>
    <w:rPr>
      <w:vertAlign w:val="superscript"/>
    </w:rPr>
  </w:style>
  <w:style w:type="character" w:customStyle="1" w:styleId="A4">
    <w:name w:val="A4"/>
    <w:uiPriority w:val="99"/>
    <w:rsid w:val="00043764"/>
    <w:rPr>
      <w:rFonts w:cs="Crimson Text"/>
      <w:i/>
      <w:iCs/>
      <w:sz w:val="20"/>
      <w:szCs w:val="20"/>
    </w:rPr>
  </w:style>
  <w:style w:type="paragraph" w:styleId="Footer">
    <w:name w:val="footer"/>
    <w:basedOn w:val="Normal"/>
    <w:link w:val="FooterChar"/>
    <w:uiPriority w:val="99"/>
    <w:unhideWhenUsed/>
    <w:rsid w:val="00482F8A"/>
    <w:pPr>
      <w:tabs>
        <w:tab w:val="center" w:pos="4680"/>
        <w:tab w:val="right" w:pos="9360"/>
      </w:tabs>
      <w:spacing w:line="240" w:lineRule="auto"/>
    </w:pPr>
  </w:style>
  <w:style w:type="character" w:customStyle="1" w:styleId="FooterChar">
    <w:name w:val="Footer Char"/>
    <w:basedOn w:val="DefaultParagraphFont"/>
    <w:link w:val="Footer"/>
    <w:uiPriority w:val="99"/>
    <w:rsid w:val="00482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ahoma"/>
        <w:color w:val="000000"/>
        <w:sz w:val="24"/>
        <w:szCs w:val="24"/>
        <w:lang w:val="en-US" w:eastAsia="en-US" w:bidi="ar-SA"/>
      </w:rPr>
    </w:rPrDefault>
    <w:pPrDefault>
      <w:pPr>
        <w:spacing w:line="271"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5430"/>
    <w:pPr>
      <w:keepNext/>
      <w:spacing w:before="240" w:after="60" w:line="240" w:lineRule="auto"/>
      <w:ind w:left="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75430"/>
    <w:pPr>
      <w:keepNext/>
      <w:spacing w:before="240" w:after="60" w:line="240" w:lineRule="auto"/>
      <w:ind w:left="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E0"/>
    <w:pPr>
      <w:spacing w:after="160" w:line="259" w:lineRule="auto"/>
      <w:contextualSpacing/>
    </w:pPr>
    <w:rPr>
      <w:rFonts w:eastAsiaTheme="minorEastAsia"/>
      <w:sz w:val="22"/>
      <w:szCs w:val="22"/>
    </w:rPr>
  </w:style>
  <w:style w:type="character" w:customStyle="1" w:styleId="Heading1Char">
    <w:name w:val="Heading 1 Char"/>
    <w:basedOn w:val="DefaultParagraphFont"/>
    <w:link w:val="Heading1"/>
    <w:rsid w:val="00175430"/>
    <w:rPr>
      <w:rFonts w:ascii="Arial" w:eastAsia="Times New Roman" w:hAnsi="Arial" w:cs="Arial"/>
      <w:b/>
      <w:bCs/>
      <w:kern w:val="32"/>
      <w:sz w:val="32"/>
      <w:szCs w:val="32"/>
    </w:rPr>
  </w:style>
  <w:style w:type="character" w:customStyle="1" w:styleId="Heading2Char">
    <w:name w:val="Heading 2 Char"/>
    <w:basedOn w:val="DefaultParagraphFont"/>
    <w:link w:val="Heading2"/>
    <w:rsid w:val="00175430"/>
    <w:rPr>
      <w:rFonts w:ascii="Arial" w:eastAsia="Times New Roman" w:hAnsi="Arial" w:cs="Arial"/>
      <w:b/>
      <w:bCs/>
      <w:i/>
      <w:iCs/>
      <w:sz w:val="28"/>
      <w:szCs w:val="28"/>
    </w:rPr>
  </w:style>
  <w:style w:type="paragraph" w:styleId="CommentText">
    <w:name w:val="annotation text"/>
    <w:basedOn w:val="Normal"/>
    <w:link w:val="CommentTextChar"/>
    <w:uiPriority w:val="99"/>
    <w:rsid w:val="00175430"/>
    <w:pPr>
      <w:spacing w:line="240" w:lineRule="auto"/>
      <w:ind w:left="0"/>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rsid w:val="00175430"/>
    <w:rPr>
      <w:rFonts w:ascii="Times New Roman" w:eastAsia="Times New Roman" w:hAnsi="Times New Roman"/>
      <w:sz w:val="20"/>
      <w:szCs w:val="20"/>
      <w:lang w:val="en-GB"/>
    </w:rPr>
  </w:style>
  <w:style w:type="character" w:customStyle="1" w:styleId="apple-converted-space">
    <w:name w:val="apple-converted-space"/>
    <w:basedOn w:val="DefaultParagraphFont"/>
    <w:rsid w:val="003719AE"/>
  </w:style>
  <w:style w:type="paragraph" w:styleId="NormalWeb">
    <w:name w:val="Normal (Web)"/>
    <w:basedOn w:val="Normal"/>
    <w:uiPriority w:val="99"/>
    <w:unhideWhenUsed/>
    <w:rsid w:val="003719AE"/>
    <w:pPr>
      <w:spacing w:before="100" w:beforeAutospacing="1" w:after="100" w:afterAutospacing="1" w:line="240" w:lineRule="auto"/>
      <w:ind w:left="0"/>
    </w:pPr>
    <w:rPr>
      <w:rFonts w:ascii="Times New Roman" w:eastAsia="Times New Roman" w:hAnsi="Times New Roman"/>
    </w:rPr>
  </w:style>
  <w:style w:type="character" w:styleId="Hyperlink">
    <w:name w:val="Hyperlink"/>
    <w:basedOn w:val="DefaultParagraphFont"/>
    <w:uiPriority w:val="99"/>
    <w:unhideWhenUsed/>
    <w:rsid w:val="003719AE"/>
    <w:rPr>
      <w:color w:val="0000FF" w:themeColor="hyperlink"/>
      <w:u w:val="single"/>
    </w:rPr>
  </w:style>
  <w:style w:type="character" w:styleId="Strong">
    <w:name w:val="Strong"/>
    <w:basedOn w:val="DefaultParagraphFont"/>
    <w:uiPriority w:val="22"/>
    <w:qFormat/>
    <w:rsid w:val="003719AE"/>
    <w:rPr>
      <w:b/>
      <w:bCs/>
    </w:rPr>
  </w:style>
  <w:style w:type="character" w:styleId="Emphasis">
    <w:name w:val="Emphasis"/>
    <w:basedOn w:val="DefaultParagraphFont"/>
    <w:uiPriority w:val="20"/>
    <w:qFormat/>
    <w:rsid w:val="003719AE"/>
    <w:rPr>
      <w:i/>
      <w:iCs/>
    </w:rPr>
  </w:style>
  <w:style w:type="paragraph" w:styleId="BalloonText">
    <w:name w:val="Balloon Text"/>
    <w:basedOn w:val="Normal"/>
    <w:link w:val="BalloonTextChar"/>
    <w:uiPriority w:val="99"/>
    <w:semiHidden/>
    <w:unhideWhenUsed/>
    <w:rsid w:val="000E027A"/>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E027A"/>
    <w:rPr>
      <w:rFonts w:ascii="Tahoma" w:hAnsi="Tahoma" w:cs="Tahoma"/>
      <w:sz w:val="16"/>
      <w:szCs w:val="16"/>
    </w:rPr>
  </w:style>
  <w:style w:type="paragraph" w:customStyle="1" w:styleId="bodytext">
    <w:name w:val="bodytext"/>
    <w:basedOn w:val="Normal"/>
    <w:rsid w:val="00222163"/>
    <w:pPr>
      <w:spacing w:before="100" w:beforeAutospacing="1" w:after="100" w:afterAutospacing="1" w:line="240" w:lineRule="auto"/>
      <w:ind w:left="0"/>
    </w:pPr>
    <w:rPr>
      <w:rFonts w:ascii="Times New Roman" w:eastAsia="Times New Roman" w:hAnsi="Times New Roman" w:cs="Times New Roman"/>
    </w:rPr>
  </w:style>
  <w:style w:type="table" w:styleId="TableGrid">
    <w:name w:val="Table Grid"/>
    <w:basedOn w:val="TableNormal"/>
    <w:uiPriority w:val="59"/>
    <w:rsid w:val="005810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6910"/>
    <w:rPr>
      <w:color w:val="800080" w:themeColor="followedHyperlink"/>
      <w:u w:val="single"/>
    </w:rPr>
  </w:style>
  <w:style w:type="paragraph" w:styleId="Header">
    <w:name w:val="header"/>
    <w:basedOn w:val="Normal"/>
    <w:link w:val="HeaderChar"/>
    <w:rsid w:val="00BA62E9"/>
    <w:pPr>
      <w:widowControl w:val="0"/>
      <w:tabs>
        <w:tab w:val="center" w:pos="4320"/>
        <w:tab w:val="right" w:pos="8640"/>
      </w:tabs>
      <w:spacing w:line="240" w:lineRule="auto"/>
      <w:ind w:left="0"/>
    </w:pPr>
    <w:rPr>
      <w:rFonts w:ascii="Times New Roman" w:eastAsia="Times New Roman" w:hAnsi="Times New Roman" w:cs="Times New Roman"/>
      <w:snapToGrid w:val="0"/>
      <w:color w:val="auto"/>
    </w:rPr>
  </w:style>
  <w:style w:type="character" w:customStyle="1" w:styleId="HeaderChar">
    <w:name w:val="Header Char"/>
    <w:basedOn w:val="DefaultParagraphFont"/>
    <w:link w:val="Header"/>
    <w:uiPriority w:val="99"/>
    <w:rsid w:val="00BA62E9"/>
    <w:rPr>
      <w:rFonts w:ascii="Times New Roman" w:eastAsia="Times New Roman" w:hAnsi="Times New Roman" w:cs="Times New Roman"/>
      <w:snapToGrid w:val="0"/>
      <w:color w:val="auto"/>
    </w:rPr>
  </w:style>
  <w:style w:type="paragraph" w:customStyle="1" w:styleId="Body">
    <w:name w:val="Body"/>
    <w:basedOn w:val="Normal"/>
    <w:rsid w:val="00BA62E9"/>
    <w:pPr>
      <w:spacing w:before="120" w:after="120" w:line="360" w:lineRule="auto"/>
      <w:ind w:left="0"/>
    </w:pPr>
    <w:rPr>
      <w:rFonts w:ascii="Arial" w:eastAsia="Times New Roman" w:hAnsi="Arial" w:cs="Times New Roman"/>
      <w:color w:val="auto"/>
      <w:szCs w:val="20"/>
    </w:rPr>
  </w:style>
  <w:style w:type="character" w:customStyle="1" w:styleId="a">
    <w:name w:val="_"/>
    <w:basedOn w:val="DefaultParagraphFont"/>
    <w:rsid w:val="00192DC6"/>
  </w:style>
  <w:style w:type="character" w:customStyle="1" w:styleId="ff8">
    <w:name w:val="ff8"/>
    <w:basedOn w:val="DefaultParagraphFont"/>
    <w:rsid w:val="00192DC6"/>
  </w:style>
  <w:style w:type="character" w:customStyle="1" w:styleId="ff2">
    <w:name w:val="ff2"/>
    <w:basedOn w:val="DefaultParagraphFont"/>
    <w:rsid w:val="00192DC6"/>
  </w:style>
  <w:style w:type="character" w:customStyle="1" w:styleId="ffc">
    <w:name w:val="ffc"/>
    <w:basedOn w:val="DefaultParagraphFont"/>
    <w:rsid w:val="00192DC6"/>
  </w:style>
  <w:style w:type="character" w:customStyle="1" w:styleId="lsd">
    <w:name w:val="lsd"/>
    <w:basedOn w:val="DefaultParagraphFont"/>
    <w:rsid w:val="00192DC6"/>
  </w:style>
  <w:style w:type="character" w:styleId="CommentReference">
    <w:name w:val="annotation reference"/>
    <w:basedOn w:val="DefaultParagraphFont"/>
    <w:uiPriority w:val="99"/>
    <w:semiHidden/>
    <w:unhideWhenUsed/>
    <w:rsid w:val="009D62B3"/>
    <w:rPr>
      <w:sz w:val="16"/>
      <w:szCs w:val="16"/>
    </w:rPr>
  </w:style>
  <w:style w:type="paragraph" w:styleId="CommentSubject">
    <w:name w:val="annotation subject"/>
    <w:basedOn w:val="CommentText"/>
    <w:next w:val="CommentText"/>
    <w:link w:val="CommentSubjectChar"/>
    <w:uiPriority w:val="99"/>
    <w:semiHidden/>
    <w:unhideWhenUsed/>
    <w:rsid w:val="00072B54"/>
    <w:pPr>
      <w:ind w:left="720"/>
    </w:pPr>
    <w:rPr>
      <w:rFonts w:asciiTheme="minorHAnsi" w:eastAsiaTheme="minorHAnsi" w:hAnsiTheme="minorHAnsi"/>
      <w:b/>
      <w:bCs/>
      <w:lang w:val="en-US"/>
    </w:rPr>
  </w:style>
  <w:style w:type="character" w:customStyle="1" w:styleId="CommentSubjectChar">
    <w:name w:val="Comment Subject Char"/>
    <w:basedOn w:val="CommentTextChar"/>
    <w:link w:val="CommentSubject"/>
    <w:uiPriority w:val="99"/>
    <w:semiHidden/>
    <w:rsid w:val="00072B54"/>
    <w:rPr>
      <w:rFonts w:ascii="Times New Roman" w:eastAsia="Times New Roman" w:hAnsi="Times New Roman"/>
      <w:b/>
      <w:bCs/>
      <w:sz w:val="20"/>
      <w:szCs w:val="20"/>
      <w:lang w:val="en-GB"/>
    </w:rPr>
  </w:style>
  <w:style w:type="paragraph" w:styleId="Revision">
    <w:name w:val="Revision"/>
    <w:hidden/>
    <w:uiPriority w:val="99"/>
    <w:semiHidden/>
    <w:rsid w:val="006308C2"/>
    <w:pPr>
      <w:spacing w:line="240" w:lineRule="auto"/>
      <w:ind w:left="0"/>
    </w:pPr>
  </w:style>
  <w:style w:type="paragraph" w:styleId="PlainText">
    <w:name w:val="Plain Text"/>
    <w:basedOn w:val="Normal"/>
    <w:link w:val="PlainTextChar"/>
    <w:uiPriority w:val="99"/>
    <w:unhideWhenUsed/>
    <w:rsid w:val="00B80F44"/>
    <w:pPr>
      <w:spacing w:line="240" w:lineRule="auto"/>
      <w:ind w:left="0"/>
    </w:pPr>
    <w:rPr>
      <w:rFonts w:ascii="Arial Narrow" w:hAnsi="Arial Narrow" w:cs="Times New Roman"/>
      <w:color w:val="auto"/>
      <w:sz w:val="22"/>
      <w:szCs w:val="22"/>
    </w:rPr>
  </w:style>
  <w:style w:type="character" w:customStyle="1" w:styleId="PlainTextChar">
    <w:name w:val="Plain Text Char"/>
    <w:basedOn w:val="DefaultParagraphFont"/>
    <w:link w:val="PlainText"/>
    <w:uiPriority w:val="99"/>
    <w:rsid w:val="00B80F44"/>
    <w:rPr>
      <w:rFonts w:ascii="Arial Narrow" w:hAnsi="Arial Narrow" w:cs="Times New Roman"/>
      <w:color w:val="auto"/>
      <w:sz w:val="22"/>
      <w:szCs w:val="22"/>
    </w:rPr>
  </w:style>
  <w:style w:type="paragraph" w:styleId="FootnoteText">
    <w:name w:val="footnote text"/>
    <w:basedOn w:val="Normal"/>
    <w:link w:val="FootnoteTextChar"/>
    <w:uiPriority w:val="99"/>
    <w:semiHidden/>
    <w:unhideWhenUsed/>
    <w:rsid w:val="00043764"/>
    <w:pPr>
      <w:spacing w:line="240" w:lineRule="auto"/>
    </w:pPr>
    <w:rPr>
      <w:sz w:val="20"/>
      <w:szCs w:val="20"/>
    </w:rPr>
  </w:style>
  <w:style w:type="character" w:customStyle="1" w:styleId="FootnoteTextChar">
    <w:name w:val="Footnote Text Char"/>
    <w:basedOn w:val="DefaultParagraphFont"/>
    <w:link w:val="FootnoteText"/>
    <w:uiPriority w:val="99"/>
    <w:semiHidden/>
    <w:rsid w:val="00043764"/>
    <w:rPr>
      <w:sz w:val="20"/>
      <w:szCs w:val="20"/>
    </w:rPr>
  </w:style>
  <w:style w:type="character" w:styleId="FootnoteReference">
    <w:name w:val="footnote reference"/>
    <w:basedOn w:val="DefaultParagraphFont"/>
    <w:uiPriority w:val="99"/>
    <w:semiHidden/>
    <w:unhideWhenUsed/>
    <w:rsid w:val="00043764"/>
    <w:rPr>
      <w:vertAlign w:val="superscript"/>
    </w:rPr>
  </w:style>
  <w:style w:type="character" w:customStyle="1" w:styleId="A4">
    <w:name w:val="A4"/>
    <w:uiPriority w:val="99"/>
    <w:rsid w:val="00043764"/>
    <w:rPr>
      <w:rFonts w:cs="Crimson Text"/>
      <w:i/>
      <w:iCs/>
      <w:sz w:val="20"/>
      <w:szCs w:val="20"/>
    </w:rPr>
  </w:style>
  <w:style w:type="paragraph" w:styleId="Footer">
    <w:name w:val="footer"/>
    <w:basedOn w:val="Normal"/>
    <w:link w:val="FooterChar"/>
    <w:uiPriority w:val="99"/>
    <w:unhideWhenUsed/>
    <w:rsid w:val="00482F8A"/>
    <w:pPr>
      <w:tabs>
        <w:tab w:val="center" w:pos="4680"/>
        <w:tab w:val="right" w:pos="9360"/>
      </w:tabs>
      <w:spacing w:line="240" w:lineRule="auto"/>
    </w:pPr>
  </w:style>
  <w:style w:type="character" w:customStyle="1" w:styleId="FooterChar">
    <w:name w:val="Footer Char"/>
    <w:basedOn w:val="DefaultParagraphFont"/>
    <w:link w:val="Footer"/>
    <w:uiPriority w:val="99"/>
    <w:rsid w:val="0048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346">
      <w:bodyDiv w:val="1"/>
      <w:marLeft w:val="0"/>
      <w:marRight w:val="0"/>
      <w:marTop w:val="0"/>
      <w:marBottom w:val="0"/>
      <w:divBdr>
        <w:top w:val="none" w:sz="0" w:space="0" w:color="auto"/>
        <w:left w:val="none" w:sz="0" w:space="0" w:color="auto"/>
        <w:bottom w:val="none" w:sz="0" w:space="0" w:color="auto"/>
        <w:right w:val="none" w:sz="0" w:space="0" w:color="auto"/>
      </w:divBdr>
      <w:divsChild>
        <w:div w:id="1346129317">
          <w:marLeft w:val="0"/>
          <w:marRight w:val="0"/>
          <w:marTop w:val="210"/>
          <w:marBottom w:val="210"/>
          <w:divBdr>
            <w:top w:val="none" w:sz="0" w:space="0" w:color="auto"/>
            <w:left w:val="none" w:sz="0" w:space="0" w:color="auto"/>
            <w:bottom w:val="none" w:sz="0" w:space="0" w:color="auto"/>
            <w:right w:val="none" w:sz="0" w:space="0" w:color="auto"/>
          </w:divBdr>
          <w:divsChild>
            <w:div w:id="525682415">
              <w:marLeft w:val="0"/>
              <w:marRight w:val="0"/>
              <w:marTop w:val="0"/>
              <w:marBottom w:val="0"/>
              <w:divBdr>
                <w:top w:val="none" w:sz="0" w:space="0" w:color="auto"/>
                <w:left w:val="none" w:sz="0" w:space="0" w:color="auto"/>
                <w:bottom w:val="none" w:sz="0" w:space="0" w:color="auto"/>
                <w:right w:val="none" w:sz="0" w:space="0" w:color="auto"/>
              </w:divBdr>
              <w:divsChild>
                <w:div w:id="127212709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438794255">
          <w:marLeft w:val="0"/>
          <w:marRight w:val="0"/>
          <w:marTop w:val="0"/>
          <w:marBottom w:val="0"/>
          <w:divBdr>
            <w:top w:val="none" w:sz="0" w:space="0" w:color="auto"/>
            <w:left w:val="none" w:sz="0" w:space="0" w:color="auto"/>
            <w:bottom w:val="none" w:sz="0" w:space="0" w:color="auto"/>
            <w:right w:val="none" w:sz="0" w:space="0" w:color="auto"/>
          </w:divBdr>
          <w:divsChild>
            <w:div w:id="1755543047">
              <w:marLeft w:val="0"/>
              <w:marRight w:val="0"/>
              <w:marTop w:val="0"/>
              <w:marBottom w:val="0"/>
              <w:divBdr>
                <w:top w:val="none" w:sz="0" w:space="0" w:color="auto"/>
                <w:left w:val="none" w:sz="0" w:space="0" w:color="auto"/>
                <w:bottom w:val="none" w:sz="0" w:space="0" w:color="auto"/>
                <w:right w:val="none" w:sz="0" w:space="0" w:color="auto"/>
              </w:divBdr>
              <w:divsChild>
                <w:div w:id="5979170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60714661">
      <w:bodyDiv w:val="1"/>
      <w:marLeft w:val="0"/>
      <w:marRight w:val="0"/>
      <w:marTop w:val="0"/>
      <w:marBottom w:val="0"/>
      <w:divBdr>
        <w:top w:val="none" w:sz="0" w:space="0" w:color="auto"/>
        <w:left w:val="none" w:sz="0" w:space="0" w:color="auto"/>
        <w:bottom w:val="none" w:sz="0" w:space="0" w:color="auto"/>
        <w:right w:val="none" w:sz="0" w:space="0" w:color="auto"/>
      </w:divBdr>
    </w:div>
    <w:div w:id="390688670">
      <w:bodyDiv w:val="1"/>
      <w:marLeft w:val="0"/>
      <w:marRight w:val="0"/>
      <w:marTop w:val="0"/>
      <w:marBottom w:val="0"/>
      <w:divBdr>
        <w:top w:val="none" w:sz="0" w:space="0" w:color="auto"/>
        <w:left w:val="none" w:sz="0" w:space="0" w:color="auto"/>
        <w:bottom w:val="none" w:sz="0" w:space="0" w:color="auto"/>
        <w:right w:val="none" w:sz="0" w:space="0" w:color="auto"/>
      </w:divBdr>
    </w:div>
    <w:div w:id="484014493">
      <w:bodyDiv w:val="1"/>
      <w:marLeft w:val="0"/>
      <w:marRight w:val="0"/>
      <w:marTop w:val="0"/>
      <w:marBottom w:val="0"/>
      <w:divBdr>
        <w:top w:val="none" w:sz="0" w:space="0" w:color="auto"/>
        <w:left w:val="none" w:sz="0" w:space="0" w:color="auto"/>
        <w:bottom w:val="none" w:sz="0" w:space="0" w:color="auto"/>
        <w:right w:val="none" w:sz="0" w:space="0" w:color="auto"/>
      </w:divBdr>
    </w:div>
    <w:div w:id="637801332">
      <w:bodyDiv w:val="1"/>
      <w:marLeft w:val="0"/>
      <w:marRight w:val="0"/>
      <w:marTop w:val="0"/>
      <w:marBottom w:val="0"/>
      <w:divBdr>
        <w:top w:val="none" w:sz="0" w:space="0" w:color="auto"/>
        <w:left w:val="none" w:sz="0" w:space="0" w:color="auto"/>
        <w:bottom w:val="none" w:sz="0" w:space="0" w:color="auto"/>
        <w:right w:val="none" w:sz="0" w:space="0" w:color="auto"/>
      </w:divBdr>
    </w:div>
    <w:div w:id="922765605">
      <w:bodyDiv w:val="1"/>
      <w:marLeft w:val="0"/>
      <w:marRight w:val="0"/>
      <w:marTop w:val="0"/>
      <w:marBottom w:val="0"/>
      <w:divBdr>
        <w:top w:val="none" w:sz="0" w:space="0" w:color="auto"/>
        <w:left w:val="none" w:sz="0" w:space="0" w:color="auto"/>
        <w:bottom w:val="none" w:sz="0" w:space="0" w:color="auto"/>
        <w:right w:val="none" w:sz="0" w:space="0" w:color="auto"/>
      </w:divBdr>
    </w:div>
    <w:div w:id="930547995">
      <w:bodyDiv w:val="1"/>
      <w:marLeft w:val="0"/>
      <w:marRight w:val="0"/>
      <w:marTop w:val="0"/>
      <w:marBottom w:val="0"/>
      <w:divBdr>
        <w:top w:val="none" w:sz="0" w:space="0" w:color="auto"/>
        <w:left w:val="none" w:sz="0" w:space="0" w:color="auto"/>
        <w:bottom w:val="none" w:sz="0" w:space="0" w:color="auto"/>
        <w:right w:val="none" w:sz="0" w:space="0" w:color="auto"/>
      </w:divBdr>
    </w:div>
    <w:div w:id="1057509117">
      <w:bodyDiv w:val="1"/>
      <w:marLeft w:val="0"/>
      <w:marRight w:val="0"/>
      <w:marTop w:val="0"/>
      <w:marBottom w:val="0"/>
      <w:divBdr>
        <w:top w:val="none" w:sz="0" w:space="0" w:color="auto"/>
        <w:left w:val="none" w:sz="0" w:space="0" w:color="auto"/>
        <w:bottom w:val="none" w:sz="0" w:space="0" w:color="auto"/>
        <w:right w:val="none" w:sz="0" w:space="0" w:color="auto"/>
      </w:divBdr>
    </w:div>
    <w:div w:id="1060176643">
      <w:bodyDiv w:val="1"/>
      <w:marLeft w:val="0"/>
      <w:marRight w:val="0"/>
      <w:marTop w:val="0"/>
      <w:marBottom w:val="0"/>
      <w:divBdr>
        <w:top w:val="none" w:sz="0" w:space="0" w:color="auto"/>
        <w:left w:val="none" w:sz="0" w:space="0" w:color="auto"/>
        <w:bottom w:val="none" w:sz="0" w:space="0" w:color="auto"/>
        <w:right w:val="none" w:sz="0" w:space="0" w:color="auto"/>
      </w:divBdr>
    </w:div>
    <w:div w:id="1459294525">
      <w:bodyDiv w:val="1"/>
      <w:marLeft w:val="0"/>
      <w:marRight w:val="0"/>
      <w:marTop w:val="0"/>
      <w:marBottom w:val="0"/>
      <w:divBdr>
        <w:top w:val="none" w:sz="0" w:space="0" w:color="auto"/>
        <w:left w:val="none" w:sz="0" w:space="0" w:color="auto"/>
        <w:bottom w:val="none" w:sz="0" w:space="0" w:color="auto"/>
        <w:right w:val="none" w:sz="0" w:space="0" w:color="auto"/>
      </w:divBdr>
    </w:div>
    <w:div w:id="1524248232">
      <w:bodyDiv w:val="1"/>
      <w:marLeft w:val="0"/>
      <w:marRight w:val="0"/>
      <w:marTop w:val="0"/>
      <w:marBottom w:val="0"/>
      <w:divBdr>
        <w:top w:val="none" w:sz="0" w:space="0" w:color="auto"/>
        <w:left w:val="none" w:sz="0" w:space="0" w:color="auto"/>
        <w:bottom w:val="none" w:sz="0" w:space="0" w:color="auto"/>
        <w:right w:val="none" w:sz="0" w:space="0" w:color="auto"/>
      </w:divBdr>
    </w:div>
    <w:div w:id="1538733857">
      <w:bodyDiv w:val="1"/>
      <w:marLeft w:val="0"/>
      <w:marRight w:val="0"/>
      <w:marTop w:val="0"/>
      <w:marBottom w:val="0"/>
      <w:divBdr>
        <w:top w:val="none" w:sz="0" w:space="0" w:color="auto"/>
        <w:left w:val="none" w:sz="0" w:space="0" w:color="auto"/>
        <w:bottom w:val="none" w:sz="0" w:space="0" w:color="auto"/>
        <w:right w:val="none" w:sz="0" w:space="0" w:color="auto"/>
      </w:divBdr>
    </w:div>
    <w:div w:id="1599944330">
      <w:bodyDiv w:val="1"/>
      <w:marLeft w:val="0"/>
      <w:marRight w:val="0"/>
      <w:marTop w:val="0"/>
      <w:marBottom w:val="0"/>
      <w:divBdr>
        <w:top w:val="none" w:sz="0" w:space="0" w:color="auto"/>
        <w:left w:val="none" w:sz="0" w:space="0" w:color="auto"/>
        <w:bottom w:val="none" w:sz="0" w:space="0" w:color="auto"/>
        <w:right w:val="none" w:sz="0" w:space="0" w:color="auto"/>
      </w:divBdr>
    </w:div>
    <w:div w:id="1706104148">
      <w:bodyDiv w:val="1"/>
      <w:marLeft w:val="0"/>
      <w:marRight w:val="0"/>
      <w:marTop w:val="0"/>
      <w:marBottom w:val="0"/>
      <w:divBdr>
        <w:top w:val="none" w:sz="0" w:space="0" w:color="auto"/>
        <w:left w:val="none" w:sz="0" w:space="0" w:color="auto"/>
        <w:bottom w:val="none" w:sz="0" w:space="0" w:color="auto"/>
        <w:right w:val="none" w:sz="0" w:space="0" w:color="auto"/>
      </w:divBdr>
    </w:div>
    <w:div w:id="17841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4C6E-6DD4-4E52-8B5B-10BF4F1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Pinzon</dc:creator>
  <cp:lastModifiedBy>Windows User</cp:lastModifiedBy>
  <cp:revision>3</cp:revision>
  <cp:lastPrinted>2016-10-26T19:17:00Z</cp:lastPrinted>
  <dcterms:created xsi:type="dcterms:W3CDTF">2016-12-22T14:15:00Z</dcterms:created>
  <dcterms:modified xsi:type="dcterms:W3CDTF">2016-12-22T16:17:00Z</dcterms:modified>
</cp:coreProperties>
</file>