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B7D75" w14:textId="77777777" w:rsidR="005E089D" w:rsidRDefault="005E089D" w:rsidP="0007645C">
      <w:pPr>
        <w:jc w:val="center"/>
      </w:pPr>
      <w:r>
        <w:rPr>
          <w:b/>
          <w:i/>
          <w:sz w:val="32"/>
        </w:rPr>
        <w:t>Supporting Statement for Paperwork Reduction Act Submissions</w:t>
      </w:r>
    </w:p>
    <w:p w14:paraId="2B98C9D9" w14:textId="77777777" w:rsidR="005E089D" w:rsidRDefault="005E089D" w:rsidP="0007645C">
      <w:pPr>
        <w:jc w:val="center"/>
      </w:pPr>
    </w:p>
    <w:p w14:paraId="1F84433B" w14:textId="77777777" w:rsidR="00514B7E" w:rsidRDefault="00E11D38" w:rsidP="0007645C">
      <w:pPr>
        <w:pStyle w:val="Heading1"/>
        <w:rPr>
          <w:szCs w:val="24"/>
        </w:rPr>
      </w:pPr>
      <w:r w:rsidRPr="000B50DF">
        <w:rPr>
          <w:szCs w:val="24"/>
        </w:rPr>
        <w:t>Waiver Application for Providers and Suppliers Subject to an Enrollment Moratorium</w:t>
      </w:r>
    </w:p>
    <w:p w14:paraId="3013E728" w14:textId="75970AB1" w:rsidR="005E089D" w:rsidRDefault="00514B7E" w:rsidP="0007645C">
      <w:pPr>
        <w:pStyle w:val="Heading1"/>
      </w:pPr>
      <w:r>
        <w:rPr>
          <w:szCs w:val="24"/>
        </w:rPr>
        <w:t>(CMS-10629/OMB: 0938-NEW)</w:t>
      </w:r>
    </w:p>
    <w:p w14:paraId="0697B044" w14:textId="77777777" w:rsidR="005E089D" w:rsidRDefault="005E089D" w:rsidP="0007645C">
      <w:pPr>
        <w:jc w:val="both"/>
      </w:pPr>
    </w:p>
    <w:p w14:paraId="0451E62A" w14:textId="77777777" w:rsidR="00052C33" w:rsidRDefault="00052C33" w:rsidP="0007645C">
      <w:pPr>
        <w:jc w:val="both"/>
      </w:pPr>
    </w:p>
    <w:p w14:paraId="54F79B58" w14:textId="77777777" w:rsidR="005E089D" w:rsidRDefault="005E089D" w:rsidP="0007645C">
      <w:pPr>
        <w:pStyle w:val="Heading2"/>
        <w:jc w:val="both"/>
      </w:pPr>
      <w:r>
        <w:t>BACKGROUND</w:t>
      </w:r>
    </w:p>
    <w:p w14:paraId="3A0F60C0" w14:textId="77777777" w:rsidR="000026A7" w:rsidRDefault="000026A7" w:rsidP="0007645C"/>
    <w:p w14:paraId="7AFF8129" w14:textId="232D650B" w:rsidR="00684FB1" w:rsidRPr="00590D95" w:rsidRDefault="00684FB1" w:rsidP="0007645C">
      <w:pPr>
        <w:rPr>
          <w:color w:val="000000"/>
          <w:szCs w:val="24"/>
        </w:rPr>
      </w:pPr>
      <w:r>
        <w:rPr>
          <w:color w:val="000000"/>
          <w:szCs w:val="24"/>
        </w:rPr>
        <w:t>On July </w:t>
      </w:r>
      <w:r w:rsidRPr="00590D95">
        <w:rPr>
          <w:color w:val="000000"/>
          <w:szCs w:val="24"/>
        </w:rPr>
        <w:t>30,</w:t>
      </w:r>
      <w:r>
        <w:rPr>
          <w:color w:val="000000"/>
          <w:szCs w:val="24"/>
        </w:rPr>
        <w:t> </w:t>
      </w:r>
      <w:r w:rsidRPr="00590D95">
        <w:rPr>
          <w:color w:val="000000"/>
          <w:szCs w:val="24"/>
        </w:rPr>
        <w:t xml:space="preserve">2013, </w:t>
      </w:r>
      <w:r>
        <w:rPr>
          <w:color w:val="000000"/>
          <w:szCs w:val="24"/>
        </w:rPr>
        <w:t xml:space="preserve">CMS implemented moratoria </w:t>
      </w:r>
      <w:r w:rsidRPr="00590D95">
        <w:rPr>
          <w:color w:val="000000"/>
          <w:szCs w:val="24"/>
        </w:rPr>
        <w:t xml:space="preserve">to prevent enrollment of new </w:t>
      </w:r>
      <w:r>
        <w:rPr>
          <w:color w:val="000000"/>
          <w:szCs w:val="24"/>
        </w:rPr>
        <w:t>home health agencies (</w:t>
      </w:r>
      <w:r w:rsidRPr="00590D95">
        <w:rPr>
          <w:color w:val="000000"/>
          <w:szCs w:val="24"/>
        </w:rPr>
        <w:t>HHAs</w:t>
      </w:r>
      <w:r>
        <w:rPr>
          <w:color w:val="000000"/>
          <w:szCs w:val="24"/>
        </w:rPr>
        <w:t>)</w:t>
      </w:r>
      <w:r w:rsidRPr="00590D95">
        <w:rPr>
          <w:color w:val="000000"/>
          <w:szCs w:val="24"/>
        </w:rPr>
        <w:t xml:space="preserve"> in the Chicago, </w:t>
      </w:r>
      <w:r>
        <w:rPr>
          <w:color w:val="000000"/>
          <w:szCs w:val="24"/>
        </w:rPr>
        <w:t xml:space="preserve">Illinois </w:t>
      </w:r>
      <w:r w:rsidRPr="00590D95">
        <w:rPr>
          <w:color w:val="000000"/>
          <w:szCs w:val="24"/>
        </w:rPr>
        <w:t xml:space="preserve">and Miami, </w:t>
      </w:r>
      <w:r>
        <w:rPr>
          <w:color w:val="000000"/>
          <w:szCs w:val="24"/>
        </w:rPr>
        <w:t>Florida</w:t>
      </w:r>
      <w:r w:rsidRPr="00590D95">
        <w:rPr>
          <w:color w:val="000000"/>
          <w:szCs w:val="24"/>
        </w:rPr>
        <w:t xml:space="preserve"> areas, as well as Part B ground ambulance suppliers in the Houston, Texas area.  CMS exercised this authority again on January 30, 2014, to extend the existing moratoria and expand them to include HHAs in </w:t>
      </w:r>
      <w:r>
        <w:rPr>
          <w:color w:val="000000"/>
          <w:szCs w:val="24"/>
        </w:rPr>
        <w:t>the metropolitan areas of</w:t>
      </w:r>
      <w:r w:rsidRPr="00590D95">
        <w:rPr>
          <w:color w:val="000000"/>
          <w:szCs w:val="24"/>
        </w:rPr>
        <w:t xml:space="preserve"> Fort Lauderdale, Florida</w:t>
      </w:r>
      <w:r>
        <w:rPr>
          <w:color w:val="000000"/>
          <w:szCs w:val="24"/>
        </w:rPr>
        <w:t>;</w:t>
      </w:r>
      <w:r w:rsidRPr="00590D95">
        <w:rPr>
          <w:color w:val="000000"/>
          <w:szCs w:val="24"/>
        </w:rPr>
        <w:t xml:space="preserve"> Detroit, Michigan</w:t>
      </w:r>
      <w:r>
        <w:rPr>
          <w:color w:val="000000"/>
          <w:szCs w:val="24"/>
        </w:rPr>
        <w:t>;</w:t>
      </w:r>
      <w:r w:rsidRPr="00590D95">
        <w:rPr>
          <w:color w:val="000000"/>
          <w:szCs w:val="24"/>
        </w:rPr>
        <w:t xml:space="preserve"> Houston, Texas</w:t>
      </w:r>
      <w:r>
        <w:rPr>
          <w:color w:val="000000"/>
          <w:szCs w:val="24"/>
        </w:rPr>
        <w:t>;</w:t>
      </w:r>
      <w:r w:rsidRPr="00590D95">
        <w:rPr>
          <w:color w:val="000000"/>
          <w:szCs w:val="24"/>
        </w:rPr>
        <w:t xml:space="preserve"> and Dallas, Texas</w:t>
      </w:r>
      <w:r>
        <w:rPr>
          <w:color w:val="000000"/>
          <w:szCs w:val="24"/>
        </w:rPr>
        <w:t>,</w:t>
      </w:r>
      <w:r w:rsidRPr="00590D95">
        <w:rPr>
          <w:color w:val="000000"/>
          <w:szCs w:val="24"/>
        </w:rPr>
        <w:t xml:space="preserve"> as well as Part B ground ambulance suppliers in Philadelphia, Pennsylvania and nearby New Jersey counties.  The moratoria have since been extended at </w:t>
      </w:r>
      <w:r>
        <w:rPr>
          <w:color w:val="000000"/>
          <w:szCs w:val="24"/>
        </w:rPr>
        <w:t>6</w:t>
      </w:r>
      <w:r>
        <w:rPr>
          <w:color w:val="000000"/>
          <w:szCs w:val="24"/>
        </w:rPr>
        <w:noBreakHyphen/>
      </w:r>
      <w:r w:rsidRPr="00590D95">
        <w:rPr>
          <w:color w:val="000000"/>
          <w:szCs w:val="24"/>
        </w:rPr>
        <w:t>month intervals and to date, remain in place in all of the above-mentioned locations.</w:t>
      </w:r>
    </w:p>
    <w:p w14:paraId="370AF2D0" w14:textId="77777777" w:rsidR="00684FB1" w:rsidRDefault="00684FB1" w:rsidP="0007645C">
      <w:pPr>
        <w:rPr>
          <w:color w:val="000000"/>
          <w:szCs w:val="24"/>
        </w:rPr>
      </w:pPr>
    </w:p>
    <w:p w14:paraId="3A11E536" w14:textId="77777777" w:rsidR="00684FB1" w:rsidRPr="00590D95" w:rsidRDefault="00684FB1" w:rsidP="0007645C">
      <w:pPr>
        <w:rPr>
          <w:color w:val="000000"/>
          <w:szCs w:val="24"/>
        </w:rPr>
      </w:pPr>
      <w:r w:rsidRPr="00590D95">
        <w:rPr>
          <w:color w:val="000000"/>
          <w:szCs w:val="24"/>
        </w:rPr>
        <w:t xml:space="preserve">Since implementation of the moratoria, CMS has been able to evaluate the </w:t>
      </w:r>
      <w:r>
        <w:rPr>
          <w:color w:val="000000"/>
          <w:szCs w:val="24"/>
        </w:rPr>
        <w:t xml:space="preserve">moratoria </w:t>
      </w:r>
      <w:r w:rsidRPr="00590D95">
        <w:rPr>
          <w:color w:val="000000"/>
          <w:szCs w:val="24"/>
        </w:rPr>
        <w:t>and identif</w:t>
      </w:r>
      <w:r>
        <w:rPr>
          <w:color w:val="000000"/>
          <w:szCs w:val="24"/>
        </w:rPr>
        <w:t>ied</w:t>
      </w:r>
      <w:r w:rsidRPr="00590D95">
        <w:rPr>
          <w:color w:val="000000"/>
          <w:szCs w:val="24"/>
        </w:rPr>
        <w:t xml:space="preserve"> several </w:t>
      </w:r>
      <w:r>
        <w:rPr>
          <w:color w:val="000000"/>
          <w:szCs w:val="24"/>
        </w:rPr>
        <w:t>o</w:t>
      </w:r>
      <w:r w:rsidR="00057A10">
        <w:rPr>
          <w:color w:val="000000"/>
          <w:szCs w:val="24"/>
        </w:rPr>
        <w:t>perational concerns</w:t>
      </w:r>
      <w:r w:rsidRPr="00590D95">
        <w:rPr>
          <w:color w:val="000000"/>
          <w:szCs w:val="24"/>
        </w:rPr>
        <w:t xml:space="preserve">.  Because the current moratoria are geographically defined by county, they do not prohibit providers and suppliers from opening </w:t>
      </w:r>
      <w:r>
        <w:rPr>
          <w:color w:val="000000"/>
          <w:szCs w:val="24"/>
        </w:rPr>
        <w:t>new</w:t>
      </w:r>
      <w:r w:rsidRPr="00590D95">
        <w:rPr>
          <w:color w:val="000000"/>
          <w:szCs w:val="24"/>
        </w:rPr>
        <w:t xml:space="preserve"> location</w:t>
      </w:r>
      <w:r>
        <w:rPr>
          <w:color w:val="000000"/>
          <w:szCs w:val="24"/>
        </w:rPr>
        <w:t>s</w:t>
      </w:r>
      <w:r w:rsidRPr="00590D95">
        <w:rPr>
          <w:color w:val="000000"/>
          <w:szCs w:val="24"/>
        </w:rPr>
        <w:t xml:space="preserve"> or </w:t>
      </w:r>
      <w:r>
        <w:rPr>
          <w:color w:val="000000"/>
          <w:szCs w:val="24"/>
        </w:rPr>
        <w:t>creating a new enrollment and moving it into</w:t>
      </w:r>
      <w:r w:rsidRPr="00590D95">
        <w:rPr>
          <w:color w:val="000000"/>
          <w:szCs w:val="24"/>
        </w:rPr>
        <w:t xml:space="preserve"> a moratori</w:t>
      </w:r>
      <w:r>
        <w:rPr>
          <w:color w:val="000000"/>
          <w:szCs w:val="24"/>
        </w:rPr>
        <w:t>um</w:t>
      </w:r>
      <w:r w:rsidRPr="00590D95">
        <w:rPr>
          <w:color w:val="000000"/>
          <w:szCs w:val="24"/>
        </w:rPr>
        <w:t xml:space="preserve"> area.  Moreover, CMS </w:t>
      </w:r>
      <w:r>
        <w:rPr>
          <w:color w:val="000000"/>
          <w:szCs w:val="24"/>
        </w:rPr>
        <w:t>is</w:t>
      </w:r>
      <w:r w:rsidRPr="00590D95">
        <w:rPr>
          <w:color w:val="000000"/>
          <w:szCs w:val="24"/>
        </w:rPr>
        <w:t xml:space="preserve"> unable to prevent existing providers and suppliers from outside of a moratoria area from servicing beneficiaries within that area.  In fact, CMS has </w:t>
      </w:r>
      <w:r>
        <w:rPr>
          <w:color w:val="000000"/>
          <w:szCs w:val="24"/>
        </w:rPr>
        <w:t>analyzed data showing that</w:t>
      </w:r>
      <w:r w:rsidRPr="00590D95">
        <w:rPr>
          <w:color w:val="000000"/>
          <w:szCs w:val="24"/>
        </w:rPr>
        <w:t xml:space="preserve"> providers</w:t>
      </w:r>
      <w:r w:rsidRPr="00590D95">
        <w:rPr>
          <w:noProof/>
          <w:color w:val="000000"/>
          <w:szCs w:val="24"/>
        </w:rPr>
        <w:t xml:space="preserve"> and suppliers</w:t>
      </w:r>
      <w:r w:rsidRPr="00590D95">
        <w:rPr>
          <w:color w:val="000000"/>
          <w:szCs w:val="24"/>
        </w:rPr>
        <w:t xml:space="preserve"> who are located several hundred miles outside of a moratorium area are billing for </w:t>
      </w:r>
      <w:r w:rsidRPr="00590D95">
        <w:rPr>
          <w:noProof/>
          <w:color w:val="000000"/>
          <w:szCs w:val="24"/>
        </w:rPr>
        <w:t xml:space="preserve">services provided to </w:t>
      </w:r>
      <w:r w:rsidRPr="00590D95">
        <w:rPr>
          <w:color w:val="000000"/>
          <w:szCs w:val="24"/>
        </w:rPr>
        <w:t xml:space="preserve">beneficiaries located within that </w:t>
      </w:r>
      <w:r>
        <w:rPr>
          <w:color w:val="000000"/>
          <w:szCs w:val="24"/>
        </w:rPr>
        <w:t>moratorium</w:t>
      </w:r>
      <w:r w:rsidRPr="00590D95">
        <w:rPr>
          <w:color w:val="000000"/>
          <w:szCs w:val="24"/>
        </w:rPr>
        <w:t xml:space="preserve"> area.</w:t>
      </w:r>
      <w:r>
        <w:rPr>
          <w:color w:val="000000"/>
          <w:szCs w:val="24"/>
        </w:rPr>
        <w:t xml:space="preserve">  </w:t>
      </w:r>
      <w:r w:rsidRPr="00557005">
        <w:t xml:space="preserve"> </w:t>
      </w:r>
      <w:r w:rsidRPr="00557005">
        <w:rPr>
          <w:szCs w:val="24"/>
        </w:rPr>
        <w:t xml:space="preserve">The ability of providers and suppliers to circumvent the moratoria undermines the effectiveness of the moratoria in protecting the integrity of the </w:t>
      </w:r>
      <w:r>
        <w:rPr>
          <w:szCs w:val="24"/>
        </w:rPr>
        <w:t>Medicare, Medicaid, and CHIP</w:t>
      </w:r>
      <w:r w:rsidRPr="00557005">
        <w:rPr>
          <w:szCs w:val="24"/>
        </w:rPr>
        <w:t xml:space="preserve"> program</w:t>
      </w:r>
      <w:r>
        <w:rPr>
          <w:szCs w:val="24"/>
        </w:rPr>
        <w:t>s</w:t>
      </w:r>
      <w:r w:rsidRPr="00557005">
        <w:rPr>
          <w:szCs w:val="24"/>
        </w:rPr>
        <w:t>.</w:t>
      </w:r>
    </w:p>
    <w:p w14:paraId="5B9325AD" w14:textId="77777777" w:rsidR="00684FB1" w:rsidRDefault="00684FB1" w:rsidP="0007645C">
      <w:pPr>
        <w:rPr>
          <w:szCs w:val="24"/>
        </w:rPr>
      </w:pPr>
    </w:p>
    <w:p w14:paraId="37194E9E" w14:textId="77777777" w:rsidR="00684FB1" w:rsidRDefault="00684FB1" w:rsidP="0007645C">
      <w:pPr>
        <w:rPr>
          <w:szCs w:val="24"/>
        </w:rPr>
      </w:pPr>
      <w:r>
        <w:rPr>
          <w:szCs w:val="24"/>
        </w:rPr>
        <w:t xml:space="preserve">In order to mitigate the vulnerabilities that have been observed in the current moratoria, CMS is expanding the moratoria on </w:t>
      </w:r>
      <w:r w:rsidRPr="00964A3B">
        <w:rPr>
          <w:szCs w:val="24"/>
        </w:rPr>
        <w:t>Medicare Part B, Medicaid</w:t>
      </w:r>
      <w:r>
        <w:rPr>
          <w:szCs w:val="24"/>
        </w:rPr>
        <w:t>,</w:t>
      </w:r>
      <w:r w:rsidRPr="00964A3B">
        <w:rPr>
          <w:szCs w:val="24"/>
        </w:rPr>
        <w:t xml:space="preserve"> and CHIP non-emergency ambulance suppliers and Medicare, Medicaid</w:t>
      </w:r>
      <w:r>
        <w:rPr>
          <w:szCs w:val="24"/>
        </w:rPr>
        <w:t>,</w:t>
      </w:r>
      <w:r w:rsidRPr="00964A3B">
        <w:rPr>
          <w:szCs w:val="24"/>
        </w:rPr>
        <w:t xml:space="preserve"> and CHIP HHA providers to statewide</w:t>
      </w:r>
      <w:r>
        <w:rPr>
          <w:szCs w:val="24"/>
        </w:rPr>
        <w:t xml:space="preserve"> as announced in a Federal Register document which posted on July 29, 2016.</w:t>
      </w:r>
    </w:p>
    <w:p w14:paraId="60E9C509" w14:textId="77777777" w:rsidR="00684FB1" w:rsidRDefault="00684FB1" w:rsidP="0007645C">
      <w:pPr>
        <w:rPr>
          <w:szCs w:val="24"/>
        </w:rPr>
      </w:pPr>
    </w:p>
    <w:p w14:paraId="0338C89C" w14:textId="067A1B7F" w:rsidR="00FD0BDD" w:rsidRPr="000439E5" w:rsidRDefault="00FD0BDD" w:rsidP="0007645C">
      <w:pPr>
        <w:rPr>
          <w:color w:val="000000"/>
          <w:szCs w:val="24"/>
        </w:rPr>
      </w:pPr>
      <w:r w:rsidRPr="00B4544F">
        <w:rPr>
          <w:szCs w:val="24"/>
        </w:rPr>
        <w:t>T</w:t>
      </w:r>
      <w:r w:rsidR="00CB6F80" w:rsidRPr="00B4544F">
        <w:rPr>
          <w:szCs w:val="24"/>
        </w:rPr>
        <w:t xml:space="preserve">he Provider </w:t>
      </w:r>
      <w:r w:rsidR="00644E0D" w:rsidRPr="00B4544F">
        <w:rPr>
          <w:szCs w:val="24"/>
        </w:rPr>
        <w:t xml:space="preserve">Enrollment Moratoria </w:t>
      </w:r>
      <w:r w:rsidR="00CB6F80" w:rsidRPr="00B4544F">
        <w:rPr>
          <w:szCs w:val="24"/>
        </w:rPr>
        <w:t>Access Waiver</w:t>
      </w:r>
      <w:r w:rsidRPr="00B4544F">
        <w:rPr>
          <w:szCs w:val="24"/>
        </w:rPr>
        <w:t xml:space="preserve"> demonstration will support an expansion to state-wide moratoria </w:t>
      </w:r>
      <w:r w:rsidR="00B4544F" w:rsidRPr="00B4544F">
        <w:rPr>
          <w:szCs w:val="24"/>
        </w:rPr>
        <w:t>(81 FR 51120)</w:t>
      </w:r>
      <w:r w:rsidR="00EC22EC" w:rsidRPr="00B4544F">
        <w:rPr>
          <w:szCs w:val="24"/>
        </w:rPr>
        <w:t xml:space="preserve"> </w:t>
      </w:r>
      <w:r w:rsidRPr="00B4544F">
        <w:rPr>
          <w:szCs w:val="24"/>
        </w:rPr>
        <w:t xml:space="preserve">by addressing the </w:t>
      </w:r>
      <w:r w:rsidRPr="00B4544F">
        <w:rPr>
          <w:color w:val="000000"/>
          <w:szCs w:val="24"/>
        </w:rPr>
        <w:t xml:space="preserve">operational concerns that have surfaced throughout the moratoria and providing </w:t>
      </w:r>
      <w:r w:rsidRPr="00B4544F">
        <w:rPr>
          <w:szCs w:val="24"/>
        </w:rPr>
        <w:t>possible exceptions to the moratoria</w:t>
      </w:r>
      <w:r w:rsidRPr="00B4544F">
        <w:rPr>
          <w:color w:val="000000"/>
          <w:szCs w:val="24"/>
        </w:rPr>
        <w:t xml:space="preserve"> to ensure that beneficiary access to care is not adversely impacted.  Authorization of an exception w</w:t>
      </w:r>
      <w:r w:rsidRPr="00B4544F">
        <w:rPr>
          <w:szCs w:val="24"/>
        </w:rPr>
        <w:t>ould be based primarily</w:t>
      </w:r>
      <w:r w:rsidRPr="00B4544F">
        <w:rPr>
          <w:rStyle w:val="CommentReference"/>
          <w:szCs w:val="24"/>
        </w:rPr>
        <w:t xml:space="preserve"> </w:t>
      </w:r>
      <w:r w:rsidRPr="00B4544F">
        <w:rPr>
          <w:szCs w:val="24"/>
        </w:rPr>
        <w:t>on beneficiary access to care but would also depend upon passing the enhanced screening measures</w:t>
      </w:r>
      <w:r w:rsidR="00EC22EC" w:rsidRPr="00B4544F">
        <w:rPr>
          <w:szCs w:val="24"/>
        </w:rPr>
        <w:t xml:space="preserve"> which are discussed in (</w:t>
      </w:r>
      <w:r w:rsidR="00B4544F" w:rsidRPr="00B4544F">
        <w:rPr>
          <w:szCs w:val="24"/>
        </w:rPr>
        <w:t>81 FR 51120)</w:t>
      </w:r>
      <w:r w:rsidRPr="00B4544F">
        <w:rPr>
          <w:szCs w:val="24"/>
        </w:rPr>
        <w:t>.</w:t>
      </w:r>
      <w:r w:rsidRPr="000439E5">
        <w:rPr>
          <w:szCs w:val="24"/>
        </w:rPr>
        <w:t xml:space="preserve">  The demonstration includes a provision </w:t>
      </w:r>
      <w:r w:rsidR="00DD14BA">
        <w:rPr>
          <w:szCs w:val="24"/>
        </w:rPr>
        <w:t xml:space="preserve">that will </w:t>
      </w:r>
      <w:r w:rsidRPr="000439E5">
        <w:rPr>
          <w:szCs w:val="24"/>
        </w:rPr>
        <w:t>restrict</w:t>
      </w:r>
      <w:r w:rsidR="00DD14BA">
        <w:rPr>
          <w:szCs w:val="24"/>
        </w:rPr>
        <w:t xml:space="preserve"> the</w:t>
      </w:r>
      <w:r w:rsidRPr="000439E5">
        <w:rPr>
          <w:szCs w:val="24"/>
        </w:rPr>
        <w:t xml:space="preserve"> </w:t>
      </w:r>
      <w:r w:rsidR="00FC2427">
        <w:rPr>
          <w:szCs w:val="24"/>
        </w:rPr>
        <w:t xml:space="preserve">billing of </w:t>
      </w:r>
      <w:r w:rsidRPr="000439E5">
        <w:rPr>
          <w:szCs w:val="24"/>
        </w:rPr>
        <w:t>newly enrolling providers to a specific county-based geographical area, based on beneficiary need.  Under the proposed demonstration, and 1879 (a)(2) and (b) of the Social Security Act,</w:t>
      </w:r>
      <w:r w:rsidRPr="000439E5">
        <w:rPr>
          <w:color w:val="000000"/>
          <w:szCs w:val="24"/>
        </w:rPr>
        <w:t xml:space="preserve"> claims outside of the provider’s or supplier’s service area will be denied and the provider or supplier may not bill beneficiaries for services outside of the approved service area.  This will</w:t>
      </w:r>
      <w:r w:rsidRPr="000439E5">
        <w:rPr>
          <w:szCs w:val="24"/>
        </w:rPr>
        <w:t xml:space="preserve"> limit financial liability of Medicare </w:t>
      </w:r>
      <w:r w:rsidRPr="000439E5">
        <w:rPr>
          <w:bCs/>
          <w:szCs w:val="24"/>
        </w:rPr>
        <w:t xml:space="preserve">beneficiaries </w:t>
      </w:r>
      <w:r w:rsidRPr="000439E5">
        <w:rPr>
          <w:szCs w:val="24"/>
        </w:rPr>
        <w:t xml:space="preserve">and protect them from </w:t>
      </w:r>
      <w:r w:rsidRPr="000439E5">
        <w:rPr>
          <w:bCs/>
          <w:szCs w:val="24"/>
        </w:rPr>
        <w:t>costs</w:t>
      </w:r>
      <w:r w:rsidRPr="000439E5">
        <w:rPr>
          <w:szCs w:val="24"/>
        </w:rPr>
        <w:t xml:space="preserve"> associated with claims submitted by providers and suppliers who are not eligible to provide services in that geographic location.  Additionally, providers seeking to enroll as part </w:t>
      </w:r>
      <w:r w:rsidRPr="000439E5">
        <w:rPr>
          <w:szCs w:val="24"/>
        </w:rPr>
        <w:lastRenderedPageBreak/>
        <w:t>of the demonstration will be subject to heightened screening requirements.</w:t>
      </w:r>
      <w:r w:rsidRPr="000439E5">
        <w:rPr>
          <w:color w:val="000000"/>
          <w:szCs w:val="24"/>
        </w:rPr>
        <w:t xml:space="preserve">  </w:t>
      </w:r>
    </w:p>
    <w:p w14:paraId="3474B016" w14:textId="77777777" w:rsidR="000B50DF" w:rsidRDefault="000B50DF" w:rsidP="0007645C"/>
    <w:p w14:paraId="5B38A011" w14:textId="5D4DD885" w:rsidR="00C12B8D" w:rsidRPr="00C12B8D" w:rsidRDefault="000B50DF" w:rsidP="0007645C">
      <w:r>
        <w:t xml:space="preserve">The </w:t>
      </w:r>
      <w:r w:rsidR="00CB6F80">
        <w:t xml:space="preserve">Provider </w:t>
      </w:r>
      <w:r w:rsidR="00644E0D">
        <w:t xml:space="preserve">Enrollment Moratoria </w:t>
      </w:r>
      <w:r w:rsidR="00CB6F80">
        <w:t>Access Waiver Application</w:t>
      </w:r>
      <w:r>
        <w:t>, named the “</w:t>
      </w:r>
      <w:r w:rsidRPr="000B50DF">
        <w:rPr>
          <w:szCs w:val="24"/>
        </w:rPr>
        <w:t>Waiver Application for Providers and Suppliers Subject to an Enrollment Moratorium</w:t>
      </w:r>
      <w:r>
        <w:rPr>
          <w:szCs w:val="24"/>
        </w:rPr>
        <w:t>” has been created to collect</w:t>
      </w:r>
      <w:r w:rsidR="00FD0BDD">
        <w:rPr>
          <w:szCs w:val="24"/>
        </w:rPr>
        <w:t xml:space="preserve"> that data,</w:t>
      </w:r>
      <w:r w:rsidR="00DB68C4">
        <w:rPr>
          <w:szCs w:val="24"/>
        </w:rPr>
        <w:t xml:space="preserve"> which will be completed by providers and suppliers to apply for a waiver in Moratoria locations.</w:t>
      </w:r>
    </w:p>
    <w:p w14:paraId="26619DB2" w14:textId="77777777" w:rsidR="00C83D25" w:rsidRDefault="00C83D25" w:rsidP="0007645C">
      <w:pPr>
        <w:pStyle w:val="Heading3"/>
      </w:pPr>
      <w:r>
        <w:t xml:space="preserve">Goals of the </w:t>
      </w:r>
      <w:r w:rsidR="000B50DF">
        <w:t>enrollment form</w:t>
      </w:r>
    </w:p>
    <w:p w14:paraId="09EB7043" w14:textId="77777777" w:rsidR="00175486" w:rsidRDefault="00175486" w:rsidP="0007645C"/>
    <w:p w14:paraId="283E6F77" w14:textId="77777777" w:rsidR="006825B5" w:rsidRDefault="000B50DF" w:rsidP="0007645C">
      <w:r>
        <w:t xml:space="preserve">The goal of </w:t>
      </w:r>
      <w:r w:rsidR="00E11D38">
        <w:t xml:space="preserve">the </w:t>
      </w:r>
      <w:r w:rsidR="00F71A28" w:rsidRPr="000B50DF">
        <w:rPr>
          <w:szCs w:val="24"/>
        </w:rPr>
        <w:t>Waiver Application for Providers and Suppliers Subject to an Enrollment Moratorium</w:t>
      </w:r>
      <w:r w:rsidR="00CB6F80">
        <w:t xml:space="preserve"> </w:t>
      </w:r>
      <w:r>
        <w:t>is to provide a uniform appli</w:t>
      </w:r>
      <w:r w:rsidR="008E57CA">
        <w:t xml:space="preserve">cation process that all </w:t>
      </w:r>
      <w:r w:rsidR="00DB68C4">
        <w:t>providers and suppliers</w:t>
      </w:r>
      <w:r>
        <w:t xml:space="preserve"> may follow so that CMS is able to administer the </w:t>
      </w:r>
      <w:r w:rsidR="00EC22EC">
        <w:t xml:space="preserve">Medicare, </w:t>
      </w:r>
      <w:r w:rsidR="00E11D38">
        <w:t xml:space="preserve">Medicaid or Children’s Health Insurance Program moratorium </w:t>
      </w:r>
      <w:r>
        <w:t>process in a standardized and repeatable manner</w:t>
      </w:r>
      <w:r w:rsidRPr="00FD0BDD">
        <w:t>.</w:t>
      </w:r>
      <w:r w:rsidR="001F2D82" w:rsidRPr="00FD0BDD">
        <w:t xml:space="preserve">  This form creates a standardized process so that </w:t>
      </w:r>
      <w:r w:rsidR="00EC22EC">
        <w:t xml:space="preserve">decisions to grant exceptions from the </w:t>
      </w:r>
      <w:r w:rsidR="001F2D82" w:rsidRPr="00FD0BDD">
        <w:t>moratoria are being made with the same criteria each time.</w:t>
      </w:r>
    </w:p>
    <w:p w14:paraId="7E46F9C0" w14:textId="77777777" w:rsidR="00614370" w:rsidRDefault="00614370" w:rsidP="0007645C"/>
    <w:p w14:paraId="03E82C92" w14:textId="0E785EE1" w:rsidR="00614370" w:rsidRPr="00E47A0C" w:rsidRDefault="00614370" w:rsidP="0007645C">
      <w:r>
        <w:t>The demonstration Federal Register document</w:t>
      </w:r>
      <w:r w:rsidR="009D6DE4">
        <w:t xml:space="preserve"> (CMS-6073-N)</w:t>
      </w:r>
      <w:r>
        <w:t xml:space="preserve"> is posting on July 29</w:t>
      </w:r>
      <w:r w:rsidR="00C333EA">
        <w:t>,</w:t>
      </w:r>
      <w:r>
        <w:t xml:space="preserve"> 2016.  Because CMS does not have a current form approved that will allow us to address access to care issues in the moratoria areas, we are requesting </w:t>
      </w:r>
      <w:r w:rsidR="009D6DE4">
        <w:t xml:space="preserve">expedited OMB approval with an abbreviated emergency two-week comment period which will begin on the date of display (July 29, 2016).  </w:t>
      </w:r>
      <w:r w:rsidR="00DF4C52">
        <w:t>Without the ability to collect access to care information immediately as well screening information, we will be unable to implement the demonstration authority which allows us to accommodate access to care issues, which could result in serious beneficiary access to care concerns.  OMB will review the form after the two-week comment period and if approved, it will be valid for no more than 6 months.</w:t>
      </w:r>
      <w:r w:rsidR="00135D0A">
        <w:t xml:space="preserve">  </w:t>
      </w:r>
      <w:r w:rsidR="009D6DE4">
        <w:t>CMS will publish a 60-day Federal Register notice immediately following approval of the emergency OMB request.</w:t>
      </w:r>
    </w:p>
    <w:p w14:paraId="65F06F50" w14:textId="77777777" w:rsidR="00C12B8D" w:rsidRDefault="00C12B8D" w:rsidP="0007645C">
      <w:pPr>
        <w:rPr>
          <w:b/>
          <w:u w:val="single"/>
        </w:rPr>
      </w:pPr>
    </w:p>
    <w:p w14:paraId="53EB4579" w14:textId="77777777" w:rsidR="005E089D" w:rsidRDefault="005E089D" w:rsidP="0007645C">
      <w:pPr>
        <w:rPr>
          <w:b/>
          <w:u w:val="single"/>
        </w:rPr>
      </w:pPr>
      <w:r>
        <w:rPr>
          <w:b/>
          <w:u w:val="single"/>
        </w:rPr>
        <w:t>JUSTIFICATION</w:t>
      </w:r>
    </w:p>
    <w:p w14:paraId="03D52500" w14:textId="77777777" w:rsidR="005E089D" w:rsidRDefault="005E089D" w:rsidP="0007645C"/>
    <w:p w14:paraId="22F93603" w14:textId="77777777" w:rsidR="005E089D" w:rsidRPr="00E47A0C" w:rsidRDefault="005E089D" w:rsidP="0007645C">
      <w:pPr>
        <w:pStyle w:val="1"/>
        <w:numPr>
          <w:ilvl w:val="0"/>
          <w:numId w:val="5"/>
        </w:numPr>
        <w:tabs>
          <w:tab w:val="left" w:pos="-1440"/>
        </w:tabs>
        <w:rPr>
          <w:u w:val="single"/>
        </w:rPr>
      </w:pPr>
      <w:r w:rsidRPr="00E47A0C">
        <w:rPr>
          <w:u w:val="single"/>
        </w:rPr>
        <w:t>Need and Legal Basis</w:t>
      </w:r>
    </w:p>
    <w:p w14:paraId="4D99CFBB" w14:textId="77777777" w:rsidR="005E089D" w:rsidRDefault="005E089D" w:rsidP="0007645C"/>
    <w:p w14:paraId="20C30D15" w14:textId="77777777" w:rsidR="00D41DA4" w:rsidRDefault="00462FE6" w:rsidP="0007645C">
      <w:pPr>
        <w:rPr>
          <w:szCs w:val="24"/>
        </w:rPr>
      </w:pPr>
      <w:r w:rsidRPr="000439E5">
        <w:rPr>
          <w:szCs w:val="24"/>
        </w:rPr>
        <w:t>This demonstration, in conjunction with an expansion of the existing provider enrollment moratoria, will allow CMS to mitigate known vulnerabilities within the existing moratoria and will lead to increased investigations of fraud.  Section 402(a)(l)(J) of the Social Security Amendments of 1967 (42 U.S.C. 1395b-l(a)(l)(J)) permits the Secretary to "develop or demonstrate improved methods for the investigation and prosecution of fraud in the provision of care or services under the health programs established by the Social Security Act."</w:t>
      </w:r>
      <w:r w:rsidR="00DD14BA">
        <w:rPr>
          <w:szCs w:val="24"/>
        </w:rPr>
        <w:t xml:space="preserve">  In addition to the development and demonstration of improved methods for investigations, CMS will utilize this demonstration to </w:t>
      </w:r>
      <w:r w:rsidR="00057A10">
        <w:rPr>
          <w:szCs w:val="24"/>
        </w:rPr>
        <w:t>address</w:t>
      </w:r>
      <w:r w:rsidR="00DD14BA">
        <w:rPr>
          <w:szCs w:val="24"/>
        </w:rPr>
        <w:t xml:space="preserve"> beneficiary access to care</w:t>
      </w:r>
      <w:r w:rsidR="00057A10">
        <w:rPr>
          <w:szCs w:val="24"/>
        </w:rPr>
        <w:t xml:space="preserve"> issues</w:t>
      </w:r>
      <w:r w:rsidR="00DD14BA">
        <w:rPr>
          <w:szCs w:val="24"/>
        </w:rPr>
        <w:t>.</w:t>
      </w:r>
    </w:p>
    <w:p w14:paraId="75D9916D" w14:textId="77777777" w:rsidR="00462FE6" w:rsidRDefault="00462FE6" w:rsidP="0007645C"/>
    <w:p w14:paraId="36AD08A5" w14:textId="77777777" w:rsidR="005E089D" w:rsidRPr="00E47A0C" w:rsidRDefault="00E47A0C" w:rsidP="0007645C">
      <w:pPr>
        <w:numPr>
          <w:ilvl w:val="0"/>
          <w:numId w:val="5"/>
        </w:numPr>
        <w:tabs>
          <w:tab w:val="left" w:pos="-1440"/>
        </w:tabs>
        <w:rPr>
          <w:u w:val="single"/>
        </w:rPr>
      </w:pPr>
      <w:r>
        <w:rPr>
          <w:u w:val="single"/>
        </w:rPr>
        <w:t>Information Users</w:t>
      </w:r>
    </w:p>
    <w:p w14:paraId="27317A22" w14:textId="77777777" w:rsidR="005E089D" w:rsidRDefault="005E089D" w:rsidP="0007645C">
      <w:pPr>
        <w:pStyle w:val="Header"/>
        <w:tabs>
          <w:tab w:val="clear" w:pos="4320"/>
          <w:tab w:val="clear" w:pos="8640"/>
        </w:tabs>
      </w:pPr>
    </w:p>
    <w:p w14:paraId="30273C2D" w14:textId="77777777" w:rsidR="005E089D" w:rsidRPr="00E47A0C" w:rsidRDefault="00462FE6" w:rsidP="0007645C">
      <w:pPr>
        <w:pStyle w:val="Header"/>
        <w:tabs>
          <w:tab w:val="clear" w:pos="4320"/>
          <w:tab w:val="clear" w:pos="8640"/>
        </w:tabs>
      </w:pPr>
      <w:r>
        <w:t xml:space="preserve">The form may be used by </w:t>
      </w:r>
      <w:r w:rsidR="00450D66">
        <w:t xml:space="preserve">newly enrolling </w:t>
      </w:r>
      <w:r w:rsidR="004F77DD">
        <w:t>Part B Non-Emergency Ground Ambulance Suppliers and Home Health Agenc</w:t>
      </w:r>
      <w:r w:rsidR="00450D66">
        <w:t>y Providers</w:t>
      </w:r>
      <w:r w:rsidR="004F77DD">
        <w:t xml:space="preserve"> in Moratoria Designated Geographic Locations</w:t>
      </w:r>
      <w:r w:rsidR="00450D66">
        <w:t xml:space="preserve">, seeking a waiver </w:t>
      </w:r>
      <w:r w:rsidR="002E00CB">
        <w:t>for enrollment.</w:t>
      </w:r>
    </w:p>
    <w:p w14:paraId="6C3C4B4F" w14:textId="77777777" w:rsidR="00E46C19" w:rsidRDefault="00E46C19" w:rsidP="0007645C"/>
    <w:p w14:paraId="6022020B" w14:textId="77777777" w:rsidR="005E089D" w:rsidRPr="00E47A0C" w:rsidRDefault="00E47A0C" w:rsidP="0007645C">
      <w:pPr>
        <w:numPr>
          <w:ilvl w:val="0"/>
          <w:numId w:val="5"/>
        </w:numPr>
        <w:tabs>
          <w:tab w:val="left" w:pos="-1440"/>
        </w:tabs>
        <w:rPr>
          <w:u w:val="single"/>
        </w:rPr>
      </w:pPr>
      <w:r>
        <w:rPr>
          <w:u w:val="single"/>
        </w:rPr>
        <w:t xml:space="preserve">Use of </w:t>
      </w:r>
      <w:r w:rsidR="005E089D" w:rsidRPr="00E47A0C">
        <w:rPr>
          <w:u w:val="single"/>
        </w:rPr>
        <w:t>Information Techn</w:t>
      </w:r>
      <w:r>
        <w:rPr>
          <w:u w:val="single"/>
        </w:rPr>
        <w:t>ology</w:t>
      </w:r>
    </w:p>
    <w:p w14:paraId="13B55304" w14:textId="77777777" w:rsidR="00175486" w:rsidRDefault="00175486" w:rsidP="0007645C">
      <w:pPr>
        <w:pStyle w:val="Header"/>
        <w:tabs>
          <w:tab w:val="clear" w:pos="4320"/>
          <w:tab w:val="clear" w:pos="8640"/>
        </w:tabs>
      </w:pPr>
    </w:p>
    <w:p w14:paraId="2E3E6CF6" w14:textId="77777777" w:rsidR="00541CAD" w:rsidRPr="00E47A0C" w:rsidRDefault="001101E9" w:rsidP="0007645C">
      <w:r w:rsidRPr="00FD0BDD">
        <w:t xml:space="preserve">This form lends itself to </w:t>
      </w:r>
      <w:r w:rsidR="00004C42" w:rsidRPr="00FD0BDD">
        <w:t xml:space="preserve">email or </w:t>
      </w:r>
      <w:r w:rsidRPr="00FD0BDD">
        <w:t>hardcopy submission</w:t>
      </w:r>
      <w:r w:rsidR="00673252" w:rsidRPr="00FD0BDD">
        <w:t xml:space="preserve"> ONLY</w:t>
      </w:r>
      <w:r w:rsidRPr="00FD0BDD">
        <w:t>.</w:t>
      </w:r>
      <w:r w:rsidR="00673252" w:rsidRPr="00FD0BDD">
        <w:t xml:space="preserve">  </w:t>
      </w:r>
      <w:r w:rsidR="00004C42" w:rsidRPr="00FD0BDD">
        <w:t xml:space="preserve">The form may be emailed to </w:t>
      </w:r>
      <w:hyperlink r:id="rId8" w:history="1">
        <w:r w:rsidR="00004C42" w:rsidRPr="00FD0BDD">
          <w:rPr>
            <w:rStyle w:val="Hyperlink"/>
          </w:rPr>
          <w:t>providerenrollmentmoratoria@cms.gov</w:t>
        </w:r>
      </w:hyperlink>
      <w:r w:rsidR="00004C42" w:rsidRPr="00FD0BDD">
        <w:t xml:space="preserve"> and p</w:t>
      </w:r>
      <w:r w:rsidR="00541CAD" w:rsidRPr="00FD0BDD">
        <w:t>aper submissions will be mailed to CMS Central Office, Center for Program Integrity.</w:t>
      </w:r>
      <w:r w:rsidR="00541CAD">
        <w:t xml:space="preserve"> </w:t>
      </w:r>
      <w:r w:rsidR="00DD14BA">
        <w:t>CMS is also requiring that providers and suppliers submitting the enrollment wavier form also submit CMS-855</w:t>
      </w:r>
      <w:r w:rsidR="00057A10">
        <w:t xml:space="preserve"> by email</w:t>
      </w:r>
      <w:r w:rsidR="00DD14BA">
        <w:t>. The purpose of this request is to limit the amount of additional information that we are requiring on the waiver application.</w:t>
      </w:r>
    </w:p>
    <w:p w14:paraId="2BE6EF29" w14:textId="77777777" w:rsidR="005E089D" w:rsidRDefault="005E089D" w:rsidP="0007645C"/>
    <w:p w14:paraId="5571D0E9" w14:textId="77777777" w:rsidR="00E47A0C" w:rsidRPr="00E47A0C" w:rsidRDefault="00E47A0C" w:rsidP="0007645C">
      <w:pPr>
        <w:numPr>
          <w:ilvl w:val="0"/>
          <w:numId w:val="5"/>
        </w:numPr>
        <w:tabs>
          <w:tab w:val="left" w:pos="-1440"/>
        </w:tabs>
        <w:rPr>
          <w:u w:val="single"/>
        </w:rPr>
      </w:pPr>
      <w:r w:rsidRPr="00E47A0C">
        <w:rPr>
          <w:u w:val="single"/>
        </w:rPr>
        <w:t>Duplication of Efforts</w:t>
      </w:r>
    </w:p>
    <w:p w14:paraId="0A684C65" w14:textId="77777777" w:rsidR="005E089D" w:rsidRDefault="005E089D" w:rsidP="0007645C"/>
    <w:p w14:paraId="5E4778AF" w14:textId="77777777" w:rsidR="005E089D" w:rsidRPr="00E47A0C" w:rsidRDefault="00644F69" w:rsidP="0007645C">
      <w:r w:rsidRPr="001101E9">
        <w:t>There is no duplicative information collection instrument or process.</w:t>
      </w:r>
    </w:p>
    <w:p w14:paraId="76EDC20A" w14:textId="77777777" w:rsidR="00644F69" w:rsidRDefault="00644F69" w:rsidP="0007645C"/>
    <w:p w14:paraId="1A39EC20" w14:textId="77777777" w:rsidR="005E089D" w:rsidRPr="00E47A0C" w:rsidRDefault="005E089D" w:rsidP="0007645C">
      <w:pPr>
        <w:numPr>
          <w:ilvl w:val="0"/>
          <w:numId w:val="5"/>
        </w:numPr>
        <w:rPr>
          <w:u w:val="single"/>
        </w:rPr>
      </w:pPr>
      <w:r w:rsidRPr="00E47A0C">
        <w:rPr>
          <w:u w:val="single"/>
        </w:rPr>
        <w:t>Small Business</w:t>
      </w:r>
    </w:p>
    <w:p w14:paraId="3B245015" w14:textId="77777777" w:rsidR="005E089D" w:rsidRPr="00F5561A" w:rsidRDefault="005E089D" w:rsidP="0007645C"/>
    <w:p w14:paraId="7B2101E7" w14:textId="77777777" w:rsidR="005E089D" w:rsidRPr="00E47A0C" w:rsidRDefault="005E089D" w:rsidP="0007645C">
      <w:r w:rsidRPr="001101E9">
        <w:t>Th</w:t>
      </w:r>
      <w:r w:rsidR="00BD775F" w:rsidRPr="001101E9">
        <w:t>is</w:t>
      </w:r>
      <w:r w:rsidRPr="001101E9">
        <w:t xml:space="preserve"> form </w:t>
      </w:r>
      <w:r w:rsidR="001101E9">
        <w:t>may</w:t>
      </w:r>
      <w:r w:rsidRPr="001101E9">
        <w:t xml:space="preserve"> affect small businesses; however, </w:t>
      </w:r>
      <w:r w:rsidR="001101E9">
        <w:t>CMS does not have the regulatory authority to exclude small business from state-implemented moratoria</w:t>
      </w:r>
      <w:r w:rsidR="00DD14BA">
        <w:t>, nor does CMS have the authority to require the submission of less information in order to reduce the burden to small business</w:t>
      </w:r>
      <w:r w:rsidR="001101E9">
        <w:t>.</w:t>
      </w:r>
    </w:p>
    <w:p w14:paraId="3C52F7AD" w14:textId="77777777" w:rsidR="0033707D" w:rsidRPr="00F5561A" w:rsidRDefault="0033707D" w:rsidP="0007645C"/>
    <w:p w14:paraId="55F46BF5" w14:textId="77777777" w:rsidR="005E089D" w:rsidRPr="00E47A0C" w:rsidRDefault="00E47A0C" w:rsidP="0007645C">
      <w:pPr>
        <w:numPr>
          <w:ilvl w:val="0"/>
          <w:numId w:val="5"/>
        </w:numPr>
        <w:tabs>
          <w:tab w:val="left" w:pos="-1440"/>
        </w:tabs>
        <w:rPr>
          <w:u w:val="single"/>
        </w:rPr>
      </w:pPr>
      <w:r>
        <w:rPr>
          <w:u w:val="single"/>
        </w:rPr>
        <w:t>Less Frequent Collection</w:t>
      </w:r>
    </w:p>
    <w:p w14:paraId="1CDE741E" w14:textId="77777777" w:rsidR="005E089D" w:rsidRDefault="005E089D" w:rsidP="0007645C"/>
    <w:p w14:paraId="1D195BC5" w14:textId="3ADC9B2E" w:rsidR="005E089D" w:rsidRPr="00E47A0C" w:rsidRDefault="00F5561A" w:rsidP="0007645C">
      <w:r w:rsidRPr="001101E9">
        <w:t xml:space="preserve">This information is </w:t>
      </w:r>
      <w:r w:rsidR="001101E9" w:rsidRPr="001101E9">
        <w:t>collected on an as needed basis, as defined by state Medicaid and CHIP programs.</w:t>
      </w:r>
    </w:p>
    <w:p w14:paraId="70E2693C" w14:textId="77777777" w:rsidR="005E089D" w:rsidRDefault="005E089D" w:rsidP="0007645C"/>
    <w:p w14:paraId="38EC0661" w14:textId="77777777" w:rsidR="005E089D" w:rsidRPr="00E47A0C" w:rsidRDefault="005E089D" w:rsidP="0007645C">
      <w:pPr>
        <w:numPr>
          <w:ilvl w:val="0"/>
          <w:numId w:val="5"/>
        </w:numPr>
        <w:rPr>
          <w:u w:val="single"/>
        </w:rPr>
      </w:pPr>
      <w:r w:rsidRPr="00E47A0C">
        <w:rPr>
          <w:u w:val="single"/>
        </w:rPr>
        <w:t>Special Circumstances</w:t>
      </w:r>
    </w:p>
    <w:p w14:paraId="51BD7A26" w14:textId="77777777" w:rsidR="005E089D" w:rsidRDefault="005E089D" w:rsidP="0007645C"/>
    <w:p w14:paraId="6D03E582" w14:textId="77777777" w:rsidR="001F2D82" w:rsidRDefault="005E089D" w:rsidP="0007645C">
      <w:r w:rsidRPr="00CA2DC1">
        <w:t>Th</w:t>
      </w:r>
      <w:r w:rsidR="000B57DC" w:rsidRPr="00CA2DC1">
        <w:t>is is a spec</w:t>
      </w:r>
      <w:r w:rsidR="00FE0B49" w:rsidRPr="00CA2DC1">
        <w:t>ial circumstance</w:t>
      </w:r>
      <w:r w:rsidR="000B57DC" w:rsidRPr="00CA2DC1">
        <w:t xml:space="preserve"> because</w:t>
      </w:r>
      <w:r w:rsidR="001F4172" w:rsidRPr="00CA2DC1">
        <w:t xml:space="preserve"> t</w:t>
      </w:r>
      <w:r w:rsidR="001F2D82" w:rsidRPr="00CA2DC1">
        <w:t xml:space="preserve">his form </w:t>
      </w:r>
      <w:r w:rsidR="001F4172" w:rsidRPr="00CA2DC1">
        <w:t xml:space="preserve">only </w:t>
      </w:r>
      <w:r w:rsidR="001F2D82" w:rsidRPr="00CA2DC1">
        <w:t xml:space="preserve">lends itself to email or hardcopy submission.  The form can be requested via the email </w:t>
      </w:r>
      <w:hyperlink r:id="rId9" w:history="1">
        <w:r w:rsidR="001F2D82" w:rsidRPr="00CA2DC1">
          <w:rPr>
            <w:rStyle w:val="Hyperlink"/>
          </w:rPr>
          <w:t>providerenrollmentmoratoria@cms.gov</w:t>
        </w:r>
      </w:hyperlink>
      <w:r w:rsidR="001F2D82" w:rsidRPr="00CA2DC1">
        <w:t>, completed, and emailed back to the same address or mailed back in a paper submission to CMS Central Office, Center for Program Integrity.</w:t>
      </w:r>
    </w:p>
    <w:p w14:paraId="4988A709" w14:textId="77777777" w:rsidR="001F2D82" w:rsidRDefault="001F2D82" w:rsidP="0007645C"/>
    <w:p w14:paraId="1A7CD306" w14:textId="77777777" w:rsidR="00E47A0C" w:rsidRPr="00E47A0C" w:rsidRDefault="00E47A0C" w:rsidP="0007645C">
      <w:pPr>
        <w:numPr>
          <w:ilvl w:val="0"/>
          <w:numId w:val="5"/>
        </w:numPr>
        <w:tabs>
          <w:tab w:val="left" w:pos="-1440"/>
        </w:tabs>
        <w:rPr>
          <w:u w:val="single"/>
        </w:rPr>
      </w:pPr>
      <w:r w:rsidRPr="00E47A0C">
        <w:rPr>
          <w:u w:val="single"/>
        </w:rPr>
        <w:t>Federal Register Notice/Outside Consultation</w:t>
      </w:r>
    </w:p>
    <w:p w14:paraId="41B83CFC" w14:textId="77777777" w:rsidR="009D6DE4" w:rsidRDefault="009D6DE4" w:rsidP="0007645C"/>
    <w:p w14:paraId="5408650A" w14:textId="6D952F1E" w:rsidR="00450D66" w:rsidRPr="00DD14BA" w:rsidRDefault="00BB0A74" w:rsidP="0007645C">
      <w:r w:rsidRPr="00447C83">
        <w:t>A</w:t>
      </w:r>
      <w:r w:rsidR="00EE5059" w:rsidRPr="00447C83">
        <w:t xml:space="preserve"> </w:t>
      </w:r>
      <w:r w:rsidR="009D6DE4">
        <w:t xml:space="preserve">Notice (CMS-6073-N) is </w:t>
      </w:r>
      <w:r w:rsidR="00B4544F">
        <w:t xml:space="preserve">displayed at the </w:t>
      </w:r>
      <w:r w:rsidR="0007645C">
        <w:t>Office of the Federal Register</w:t>
      </w:r>
      <w:r w:rsidR="00B4544F">
        <w:t xml:space="preserve"> on July 29, 2016</w:t>
      </w:r>
      <w:r w:rsidR="0007645C">
        <w:t xml:space="preserve">.  </w:t>
      </w:r>
      <w:r w:rsidR="00B4544F">
        <w:t xml:space="preserve">The notice published on August 2, 2016.  </w:t>
      </w:r>
      <w:r w:rsidR="0007645C">
        <w:t xml:space="preserve">The notice </w:t>
      </w:r>
      <w:r w:rsidR="00B4544F">
        <w:t xml:space="preserve">announced </w:t>
      </w:r>
      <w:r w:rsidR="009D6DE4">
        <w:t xml:space="preserve">an emergency comment period.  The two-week comment period will begin from the date of </w:t>
      </w:r>
      <w:r w:rsidR="0007645C">
        <w:t>display.</w:t>
      </w:r>
      <w:r w:rsidR="009D6DE4">
        <w:t xml:space="preserve">   </w:t>
      </w:r>
      <w:r w:rsidR="00450D66" w:rsidRPr="00DD14BA">
        <w:t xml:space="preserve">No individuals outside the </w:t>
      </w:r>
      <w:bookmarkStart w:id="0" w:name="_GoBack"/>
      <w:bookmarkEnd w:id="0"/>
      <w:r w:rsidR="00450D66" w:rsidRPr="00DD14BA">
        <w:t>Agency were consulted on either the data collection or analysis associated with this collection activity.</w:t>
      </w:r>
    </w:p>
    <w:p w14:paraId="1A2664F3" w14:textId="77777777" w:rsidR="005E089D" w:rsidRDefault="005E089D" w:rsidP="0007645C"/>
    <w:p w14:paraId="4DFB76C6" w14:textId="77777777" w:rsidR="00E47A0C" w:rsidRPr="00E47A0C" w:rsidRDefault="00E47A0C" w:rsidP="0007645C">
      <w:pPr>
        <w:numPr>
          <w:ilvl w:val="0"/>
          <w:numId w:val="5"/>
        </w:numPr>
        <w:tabs>
          <w:tab w:val="left" w:pos="-1440"/>
        </w:tabs>
        <w:rPr>
          <w:u w:val="single"/>
        </w:rPr>
      </w:pPr>
      <w:r w:rsidRPr="00E47A0C">
        <w:rPr>
          <w:u w:val="single"/>
        </w:rPr>
        <w:t>Payment/Gift to Respondents</w:t>
      </w:r>
    </w:p>
    <w:p w14:paraId="4308621F" w14:textId="77777777" w:rsidR="005E089D" w:rsidRDefault="005E089D" w:rsidP="0007645C"/>
    <w:p w14:paraId="33A91116" w14:textId="77777777" w:rsidR="005E089D" w:rsidRPr="00E47A0C" w:rsidRDefault="00BB0A74" w:rsidP="0007645C">
      <w:r>
        <w:t>No payments or gifts will be provided to respondents.</w:t>
      </w:r>
    </w:p>
    <w:p w14:paraId="780139F4" w14:textId="77777777" w:rsidR="005E089D" w:rsidRDefault="005E089D" w:rsidP="0007645C"/>
    <w:p w14:paraId="621931FC" w14:textId="77777777" w:rsidR="005E089D" w:rsidRPr="00D82FD2" w:rsidRDefault="005E089D" w:rsidP="0007645C">
      <w:pPr>
        <w:numPr>
          <w:ilvl w:val="0"/>
          <w:numId w:val="5"/>
        </w:numPr>
        <w:rPr>
          <w:u w:val="single"/>
        </w:rPr>
      </w:pPr>
      <w:r w:rsidRPr="00D82FD2">
        <w:rPr>
          <w:u w:val="single"/>
        </w:rPr>
        <w:t>Confidentiality</w:t>
      </w:r>
    </w:p>
    <w:p w14:paraId="7B9F838F" w14:textId="77777777" w:rsidR="005E089D" w:rsidRDefault="005E089D" w:rsidP="0007645C"/>
    <w:p w14:paraId="3186FE2F" w14:textId="77777777" w:rsidR="005E089D" w:rsidRPr="00D82FD2" w:rsidRDefault="00C46526" w:rsidP="0007645C">
      <w:r w:rsidRPr="006C6ECC">
        <w:t xml:space="preserve">CMS will comply with all </w:t>
      </w:r>
      <w:r w:rsidR="005E089D" w:rsidRPr="006C6ECC">
        <w:t>Privacy Act</w:t>
      </w:r>
      <w:r w:rsidRPr="006C6ECC">
        <w:t xml:space="preserve">, Freedom of Information laws and regulations that apply to this collection.  </w:t>
      </w:r>
      <w:r w:rsidR="005E089D" w:rsidRPr="006C6ECC">
        <w:t>Privileged or confidential commercial or financial information is protected from public disclosure by Federal law 5 U.S.C. 522(b)(4) and Executive Order 12600.</w:t>
      </w:r>
    </w:p>
    <w:p w14:paraId="22D22705" w14:textId="77777777" w:rsidR="00052C33" w:rsidRDefault="00052C33" w:rsidP="0007645C"/>
    <w:p w14:paraId="732FAB67" w14:textId="77777777" w:rsidR="005E089D" w:rsidRPr="00D82FD2" w:rsidRDefault="005E089D" w:rsidP="0007645C">
      <w:pPr>
        <w:numPr>
          <w:ilvl w:val="0"/>
          <w:numId w:val="5"/>
        </w:numPr>
        <w:tabs>
          <w:tab w:val="left" w:pos="-1440"/>
        </w:tabs>
        <w:rPr>
          <w:u w:val="single"/>
        </w:rPr>
      </w:pPr>
      <w:r w:rsidRPr="00D82FD2">
        <w:rPr>
          <w:u w:val="single"/>
        </w:rPr>
        <w:t>Sensitive Questions</w:t>
      </w:r>
    </w:p>
    <w:p w14:paraId="06CF7E4A" w14:textId="77777777" w:rsidR="009127DB" w:rsidRDefault="009127DB" w:rsidP="000764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12C97B3" w14:textId="77777777" w:rsidR="00450D66" w:rsidRPr="002E00CB" w:rsidRDefault="00450D66" w:rsidP="0007645C">
      <w:pPr>
        <w:pStyle w:val="CommentText"/>
        <w:rPr>
          <w:sz w:val="24"/>
          <w:szCs w:val="24"/>
        </w:rPr>
      </w:pPr>
      <w:r w:rsidRPr="002E00CB">
        <w:rPr>
          <w:sz w:val="24"/>
          <w:szCs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3FFE5A65" w14:textId="77777777" w:rsidR="005E089D" w:rsidRDefault="005E089D" w:rsidP="0007645C"/>
    <w:p w14:paraId="1BDEA145" w14:textId="77777777" w:rsidR="00D82FD2" w:rsidRPr="00D82FD2" w:rsidRDefault="00D82FD2" w:rsidP="0007645C">
      <w:pPr>
        <w:numPr>
          <w:ilvl w:val="0"/>
          <w:numId w:val="5"/>
        </w:numPr>
        <w:rPr>
          <w:u w:val="single"/>
        </w:rPr>
      </w:pPr>
      <w:r w:rsidRPr="00D82FD2">
        <w:rPr>
          <w:u w:val="single"/>
        </w:rPr>
        <w:t>Burden Estimate (Hours and Wages)</w:t>
      </w:r>
    </w:p>
    <w:p w14:paraId="46DD9FF8" w14:textId="77777777" w:rsidR="005E089D" w:rsidRPr="006D65A3" w:rsidRDefault="005E089D" w:rsidP="0007645C">
      <w:pPr>
        <w:rPr>
          <w:sz w:val="16"/>
          <w:szCs w:val="16"/>
        </w:rPr>
      </w:pPr>
    </w:p>
    <w:p w14:paraId="3F4EC702" w14:textId="77777777" w:rsidR="00D82FD2" w:rsidRDefault="00D82FD2" w:rsidP="0007645C"/>
    <w:p w14:paraId="4C35705E" w14:textId="3C3A0B74" w:rsidR="00D82FD2" w:rsidRPr="007D08AF" w:rsidRDefault="00D82FD2" w:rsidP="0007645C">
      <w:pPr>
        <w:rPr>
          <w:u w:val="single"/>
        </w:rPr>
      </w:pPr>
      <w:r w:rsidRPr="007D08AF">
        <w:t xml:space="preserve">A.  </w:t>
      </w:r>
      <w:r w:rsidRPr="007D08AF">
        <w:rPr>
          <w:u w:val="single"/>
        </w:rPr>
        <w:t>Paperwork Burden Estimate (hours)</w:t>
      </w:r>
    </w:p>
    <w:p w14:paraId="39249B6B" w14:textId="77777777" w:rsidR="00D82FD2" w:rsidRPr="007D08AF" w:rsidRDefault="00D82FD2" w:rsidP="0007645C"/>
    <w:p w14:paraId="4C6B2678" w14:textId="77777777" w:rsidR="00834627" w:rsidRDefault="004F77DD" w:rsidP="0007645C">
      <w:r>
        <w:t>The provider</w:t>
      </w:r>
      <w:r w:rsidR="006C6ECC" w:rsidRPr="007D08AF">
        <w:t xml:space="preserve"> </w:t>
      </w:r>
      <w:r>
        <w:t xml:space="preserve">and supplier </w:t>
      </w:r>
      <w:r w:rsidR="006C6ECC" w:rsidRPr="007D08AF">
        <w:t xml:space="preserve">burden associated with completion of this form is estimated at </w:t>
      </w:r>
      <w:r w:rsidR="005476DC">
        <w:t xml:space="preserve">six </w:t>
      </w:r>
      <w:r w:rsidR="006C6ECC" w:rsidRPr="007D08AF">
        <w:t>hours per form</w:t>
      </w:r>
      <w:r w:rsidR="00834627">
        <w:t>.  This</w:t>
      </w:r>
      <w:r w:rsidR="006C6ECC" w:rsidRPr="007D08AF">
        <w:t xml:space="preserve"> will include </w:t>
      </w:r>
      <w:r w:rsidR="00834627">
        <w:t>the following time burden per form:</w:t>
      </w:r>
    </w:p>
    <w:p w14:paraId="45AFB830" w14:textId="77777777" w:rsidR="00834627" w:rsidRPr="00057A10" w:rsidRDefault="00834627" w:rsidP="0007645C">
      <w:pPr>
        <w:rPr>
          <w:szCs w:val="24"/>
        </w:rPr>
      </w:pPr>
    </w:p>
    <w:p w14:paraId="0139E72D" w14:textId="77777777" w:rsidR="00834627" w:rsidRPr="00057A10" w:rsidRDefault="00834627" w:rsidP="0007645C">
      <w:pPr>
        <w:pStyle w:val="ListParagraph"/>
        <w:numPr>
          <w:ilvl w:val="0"/>
          <w:numId w:val="41"/>
        </w:numPr>
        <w:rPr>
          <w:rFonts w:ascii="Times New Roman" w:hAnsi="Times New Roman"/>
          <w:sz w:val="24"/>
          <w:szCs w:val="24"/>
        </w:rPr>
      </w:pPr>
      <w:r w:rsidRPr="00057A10">
        <w:rPr>
          <w:rFonts w:ascii="Times New Roman" w:hAnsi="Times New Roman"/>
          <w:sz w:val="24"/>
          <w:szCs w:val="24"/>
        </w:rPr>
        <w:t>2 hours for completion of fingerprint-based criminal background check (FCBC)</w:t>
      </w:r>
    </w:p>
    <w:p w14:paraId="256665BE" w14:textId="77777777" w:rsidR="00834627" w:rsidRPr="00057A10" w:rsidRDefault="00834627" w:rsidP="0007645C">
      <w:pPr>
        <w:pStyle w:val="ListParagraph"/>
        <w:numPr>
          <w:ilvl w:val="0"/>
          <w:numId w:val="41"/>
        </w:numPr>
        <w:rPr>
          <w:rFonts w:ascii="Times New Roman" w:hAnsi="Times New Roman"/>
          <w:sz w:val="24"/>
          <w:szCs w:val="24"/>
        </w:rPr>
      </w:pPr>
      <w:r w:rsidRPr="00057A10">
        <w:rPr>
          <w:rFonts w:ascii="Times New Roman" w:hAnsi="Times New Roman"/>
          <w:sz w:val="24"/>
          <w:szCs w:val="24"/>
        </w:rPr>
        <w:t>2 hours for completion of access to care assessment</w:t>
      </w:r>
    </w:p>
    <w:p w14:paraId="6459ECEF" w14:textId="77777777" w:rsidR="00834627" w:rsidRPr="00057A10" w:rsidRDefault="00834627" w:rsidP="0007645C">
      <w:pPr>
        <w:pStyle w:val="ListParagraph"/>
        <w:numPr>
          <w:ilvl w:val="0"/>
          <w:numId w:val="41"/>
        </w:numPr>
        <w:rPr>
          <w:rFonts w:ascii="Times New Roman" w:hAnsi="Times New Roman"/>
          <w:sz w:val="24"/>
          <w:szCs w:val="24"/>
        </w:rPr>
      </w:pPr>
      <w:r w:rsidRPr="00057A10">
        <w:rPr>
          <w:rFonts w:ascii="Times New Roman" w:hAnsi="Times New Roman"/>
          <w:sz w:val="24"/>
          <w:szCs w:val="24"/>
        </w:rPr>
        <w:t>1.5 hours for completion of form</w:t>
      </w:r>
    </w:p>
    <w:p w14:paraId="68E37A08" w14:textId="77777777" w:rsidR="00834627" w:rsidRPr="00057A10" w:rsidRDefault="00834627" w:rsidP="0007645C">
      <w:pPr>
        <w:pStyle w:val="ListParagraph"/>
        <w:numPr>
          <w:ilvl w:val="0"/>
          <w:numId w:val="41"/>
        </w:numPr>
        <w:rPr>
          <w:rFonts w:ascii="Times New Roman" w:hAnsi="Times New Roman"/>
          <w:sz w:val="24"/>
          <w:szCs w:val="24"/>
        </w:rPr>
      </w:pPr>
      <w:r w:rsidRPr="00057A10">
        <w:rPr>
          <w:rFonts w:ascii="Times New Roman" w:hAnsi="Times New Roman"/>
          <w:sz w:val="24"/>
          <w:szCs w:val="24"/>
        </w:rPr>
        <w:t>0.5 hours for completion of other miscellaneous administrative activities</w:t>
      </w:r>
    </w:p>
    <w:p w14:paraId="79CD67F5" w14:textId="77777777" w:rsidR="00834627" w:rsidRPr="00057A10" w:rsidRDefault="00834627" w:rsidP="0007645C">
      <w:pPr>
        <w:rPr>
          <w:szCs w:val="24"/>
        </w:rPr>
      </w:pPr>
    </w:p>
    <w:p w14:paraId="581A2726" w14:textId="48E9B4A4" w:rsidR="00834627" w:rsidRDefault="00834627" w:rsidP="0007645C">
      <w:pPr>
        <w:rPr>
          <w:rStyle w:val="Hyperlink"/>
          <w:szCs w:val="24"/>
        </w:rPr>
      </w:pPr>
      <w:r>
        <w:t xml:space="preserve">There will be variation to this estimate based on proximity to a fingerprinting offices as well as the complexity of the data that the provider or suppliers elects to submit.  </w:t>
      </w:r>
      <w:r w:rsidR="00DF4C52">
        <w:rPr>
          <w:szCs w:val="24"/>
        </w:rPr>
        <w:t xml:space="preserve">To assist with completion of access to care assessment, </w:t>
      </w:r>
      <w:r>
        <w:t xml:space="preserve">CMS has HHA and ambulance saturation data available at </w:t>
      </w:r>
      <w:hyperlink r:id="rId10" w:history="1">
        <w:r w:rsidRPr="00590D95">
          <w:rPr>
            <w:rStyle w:val="Hyperlink"/>
            <w:szCs w:val="24"/>
          </w:rPr>
          <w:t>https://www.cms.gov/Newsroom/MediaReleaseDatabase/Fact-sheets/2016-Fact-sheets-items/2016-02-22.html</w:t>
        </w:r>
      </w:hyperlink>
      <w:r>
        <w:rPr>
          <w:rStyle w:val="Hyperlink"/>
          <w:szCs w:val="24"/>
        </w:rPr>
        <w:t>.</w:t>
      </w:r>
    </w:p>
    <w:p w14:paraId="7E5CD476" w14:textId="77777777" w:rsidR="00E1187B" w:rsidRDefault="00E1187B" w:rsidP="0007645C"/>
    <w:p w14:paraId="4A4FB624" w14:textId="2CA33904" w:rsidR="006C6ECC" w:rsidRPr="007D08AF" w:rsidRDefault="000816D3" w:rsidP="0007645C">
      <w:r>
        <w:t xml:space="preserve">CMS </w:t>
      </w:r>
      <w:r w:rsidR="00055BA1">
        <w:t>expect</w:t>
      </w:r>
      <w:r>
        <w:t>s</w:t>
      </w:r>
      <w:r w:rsidR="00055BA1">
        <w:t xml:space="preserve"> an estimate of 800 new applicants</w:t>
      </w:r>
      <w:r w:rsidR="002346C0" w:rsidRPr="00A97897">
        <w:rPr>
          <w:rStyle w:val="FootnoteReference"/>
          <w:vertAlign w:val="superscript"/>
        </w:rPr>
        <w:footnoteReference w:id="1"/>
      </w:r>
      <w:r w:rsidR="002346C0">
        <w:t xml:space="preserve"> r</w:t>
      </w:r>
      <w:r w:rsidR="00055BA1">
        <w:t>equesting waiver for a total of 4</w:t>
      </w:r>
      <w:r w:rsidR="008336FE">
        <w:t>,</w:t>
      </w:r>
      <w:r w:rsidR="00055BA1">
        <w:t xml:space="preserve">800 burden hours annually. </w:t>
      </w:r>
      <w:r w:rsidR="00834627">
        <w:t>Additionally, the provider will have the additional burden associated with completion of the CMS-855, which is required for enrollment into Medicare.</w:t>
      </w:r>
      <w:r w:rsidR="00CF45E0">
        <w:t xml:space="preserve"> This burden is covered under OMB control number 0938-0685.</w:t>
      </w:r>
    </w:p>
    <w:p w14:paraId="6F0B65E8" w14:textId="77777777" w:rsidR="00E1187B" w:rsidRDefault="00E1187B" w:rsidP="0007645C"/>
    <w:p w14:paraId="04B0A36B" w14:textId="1DB58B7B" w:rsidR="006C6ECC" w:rsidRPr="007D08AF" w:rsidRDefault="00E1187B" w:rsidP="0007645C">
      <w:r w:rsidRPr="007D08AF">
        <w:t xml:space="preserve">A.  </w:t>
      </w:r>
      <w:r w:rsidRPr="007D08AF">
        <w:rPr>
          <w:u w:val="single"/>
        </w:rPr>
        <w:t>Paperwork Burden Estimate (</w:t>
      </w:r>
      <w:r>
        <w:rPr>
          <w:u w:val="single"/>
        </w:rPr>
        <w:t>cost</w:t>
      </w:r>
      <w:r w:rsidRPr="007D08AF">
        <w:rPr>
          <w:u w:val="single"/>
        </w:rPr>
        <w:t>)</w:t>
      </w:r>
      <w:r w:rsidR="00C91B74" w:rsidRPr="007D08AF" w:rsidDel="00C91B74">
        <w:rPr>
          <w:u w:val="single"/>
        </w:rPr>
        <w:t xml:space="preserve"> </w:t>
      </w:r>
    </w:p>
    <w:p w14:paraId="0779FC44" w14:textId="6D8A0A89" w:rsidR="008336FE" w:rsidRPr="008336FE" w:rsidRDefault="006C6ECC" w:rsidP="0007645C">
      <w:r>
        <w:t xml:space="preserve">This </w:t>
      </w:r>
      <w:r w:rsidR="004F77DD">
        <w:t>form will be completed by provider and suppliers seeking a waiver to enroll in a Moratoria area</w:t>
      </w:r>
      <w:r>
        <w:t xml:space="preserve">.  </w:t>
      </w:r>
      <w:r w:rsidR="00284E1D">
        <w:t xml:space="preserve">The cost burden is estimated at </w:t>
      </w:r>
      <w:r w:rsidR="008336FE">
        <w:t>$26.00 (</w:t>
      </w:r>
      <w:r w:rsidR="00284E1D">
        <w:t>$13.00</w:t>
      </w:r>
      <w:r w:rsidR="008336FE">
        <w:t xml:space="preserve"> base pay)</w:t>
      </w:r>
      <w:r w:rsidR="00284E1D">
        <w:t xml:space="preserve"> an hour for </w:t>
      </w:r>
      <w:r w:rsidR="00524C41">
        <w:t>completion of access to care analysis and miscellaneous administrative activities</w:t>
      </w:r>
      <w:r w:rsidR="00284E1D">
        <w:t xml:space="preserve">, totaling </w:t>
      </w:r>
      <w:r w:rsidR="00F75FCA">
        <w:t>$65.00</w:t>
      </w:r>
      <w:r w:rsidR="00284E1D">
        <w:t xml:space="preserve"> per application</w:t>
      </w:r>
      <w:r w:rsidR="002E4677">
        <w:t xml:space="preserve">, equaling </w:t>
      </w:r>
      <w:r w:rsidR="003748F5">
        <w:t>$52,000</w:t>
      </w:r>
      <w:r w:rsidR="002E4677">
        <w:t xml:space="preserve"> annually</w:t>
      </w:r>
      <w:r w:rsidR="00A22A79" w:rsidRPr="006C6ECC">
        <w:t>.</w:t>
      </w:r>
      <w:r w:rsidR="00284E1D">
        <w:t xml:space="preserve">  </w:t>
      </w:r>
      <w:r w:rsidR="00524C41">
        <w:t xml:space="preserve">The cost burden is estimated at $178.70 ($89.35 base pay) an hour for the owner to obtain fingerprints </w:t>
      </w:r>
      <w:r w:rsidR="003748F5">
        <w:t xml:space="preserve">and waiver form </w:t>
      </w:r>
      <w:r w:rsidR="00524C41">
        <w:t xml:space="preserve">totaling </w:t>
      </w:r>
      <w:r w:rsidR="003748F5">
        <w:t>$625.45</w:t>
      </w:r>
      <w:r w:rsidR="00524C41">
        <w:t xml:space="preserve"> per application</w:t>
      </w:r>
      <w:r w:rsidR="002E4677">
        <w:t xml:space="preserve">, equaling </w:t>
      </w:r>
      <w:r w:rsidR="003748F5">
        <w:t>$500,360</w:t>
      </w:r>
      <w:r w:rsidR="002E4677">
        <w:t xml:space="preserve"> annually</w:t>
      </w:r>
      <w:r w:rsidR="002E4677" w:rsidRPr="006C6ECC">
        <w:t>.</w:t>
      </w:r>
      <w:r w:rsidR="00524C41">
        <w:t xml:space="preserve">  </w:t>
      </w:r>
      <w:r w:rsidR="00524C41" w:rsidRPr="008336FE">
        <w:t xml:space="preserve">Estimated annual burden for 800 newly enrolling applicants totals </w:t>
      </w:r>
      <w:r w:rsidR="003748F5">
        <w:t>$552,360</w:t>
      </w:r>
      <w:r w:rsidR="00524C41">
        <w:t>.</w:t>
      </w:r>
      <w:r w:rsidR="008336FE">
        <w:t>To derive average costs,</w:t>
      </w:r>
      <w:r w:rsidR="002E00CB">
        <w:t xml:space="preserve"> </w:t>
      </w:r>
      <w:r w:rsidR="008336FE">
        <w:t>we used date from the Bureau of Labor Statistics’ May 2015 National Occupational Employment and Wage Estimates (</w:t>
      </w:r>
      <w:hyperlink r:id="rId11" w:anchor="31-0000" w:history="1">
        <w:r w:rsidR="008336FE" w:rsidRPr="008336FE">
          <w:rPr>
            <w:rStyle w:val="Hyperlink"/>
          </w:rPr>
          <w:t>http://www.bls.gov/oes/current/oes_nat.htm#31-0000</w:t>
        </w:r>
      </w:hyperlink>
      <w:r w:rsidR="008336FE" w:rsidRPr="008336FE">
        <w:t xml:space="preserve"> for healthcare support occupations</w:t>
      </w:r>
      <w:r w:rsidR="00524C41">
        <w:t xml:space="preserve"> and </w:t>
      </w:r>
      <w:hyperlink r:id="rId12" w:history="1">
        <w:r w:rsidR="002E4677" w:rsidRPr="009D39CE">
          <w:rPr>
            <w:rStyle w:val="Hyperlink"/>
          </w:rPr>
          <w:t>http://www.bls.gov/oes/current/oes111011.htm</w:t>
        </w:r>
      </w:hyperlink>
      <w:r w:rsidR="002E4677">
        <w:t xml:space="preserve"> </w:t>
      </w:r>
      <w:r w:rsidR="00524C41">
        <w:t>for chief executives</w:t>
      </w:r>
      <w:r w:rsidR="008336FE" w:rsidRPr="008336FE">
        <w:t>.</w:t>
      </w:r>
      <w:r w:rsidR="008336FE">
        <w:t>)</w:t>
      </w:r>
      <w:r w:rsidR="008336FE" w:rsidRPr="008336FE">
        <w:t xml:space="preserve">  </w:t>
      </w:r>
      <w:r w:rsidR="008336FE">
        <w:t>Hourly wage rates include the costs of fringe benefits (calculated at 100 percent of salary) and the adjusted hourly wage.</w:t>
      </w:r>
      <w:r w:rsidR="008336FE" w:rsidRPr="008336FE">
        <w:t> </w:t>
      </w:r>
    </w:p>
    <w:p w14:paraId="6DCF7F9D" w14:textId="77777777" w:rsidR="00EE6F9A" w:rsidRPr="008E041E" w:rsidRDefault="00EE6F9A" w:rsidP="0007645C">
      <w:pPr>
        <w:rPr>
          <w:sz w:val="16"/>
          <w:szCs w:val="16"/>
        </w:rPr>
      </w:pPr>
    </w:p>
    <w:p w14:paraId="4C5F8BBE" w14:textId="77777777" w:rsidR="005E089D" w:rsidRPr="00D82FD2" w:rsidRDefault="00D82FD2" w:rsidP="0007645C">
      <w:pPr>
        <w:numPr>
          <w:ilvl w:val="0"/>
          <w:numId w:val="5"/>
        </w:numPr>
        <w:tabs>
          <w:tab w:val="left" w:pos="-1440"/>
        </w:tabs>
        <w:rPr>
          <w:u w:val="single"/>
        </w:rPr>
      </w:pPr>
      <w:r w:rsidRPr="00D82FD2">
        <w:rPr>
          <w:u w:val="single"/>
        </w:rPr>
        <w:t xml:space="preserve">Capital </w:t>
      </w:r>
      <w:r w:rsidR="005E089D" w:rsidRPr="00D82FD2">
        <w:rPr>
          <w:u w:val="single"/>
        </w:rPr>
        <w:t>Cost</w:t>
      </w:r>
    </w:p>
    <w:p w14:paraId="0880CC79" w14:textId="77777777" w:rsidR="005E089D" w:rsidRPr="008E041E" w:rsidRDefault="005E089D" w:rsidP="0007645C">
      <w:pPr>
        <w:pStyle w:val="Header"/>
        <w:tabs>
          <w:tab w:val="clear" w:pos="4320"/>
          <w:tab w:val="clear" w:pos="8640"/>
        </w:tabs>
        <w:rPr>
          <w:sz w:val="16"/>
          <w:szCs w:val="16"/>
        </w:rPr>
      </w:pPr>
    </w:p>
    <w:p w14:paraId="5030E645" w14:textId="77777777" w:rsidR="005E089D" w:rsidRPr="00D82FD2" w:rsidRDefault="005E089D" w:rsidP="0007645C">
      <w:r w:rsidRPr="006C6ECC">
        <w:t xml:space="preserve">There </w:t>
      </w:r>
      <w:r w:rsidR="00C12B8D" w:rsidRPr="006C6ECC">
        <w:t>is</w:t>
      </w:r>
      <w:r w:rsidRPr="006C6ECC">
        <w:t xml:space="preserve"> no capital cost associated with this collection.</w:t>
      </w:r>
    </w:p>
    <w:p w14:paraId="7EFEB443" w14:textId="77777777" w:rsidR="005E089D" w:rsidRPr="008E041E" w:rsidRDefault="005E089D" w:rsidP="0007645C">
      <w:pPr>
        <w:rPr>
          <w:sz w:val="16"/>
          <w:szCs w:val="16"/>
        </w:rPr>
      </w:pPr>
    </w:p>
    <w:p w14:paraId="0C566E52" w14:textId="77777777" w:rsidR="005E089D" w:rsidRPr="00D82FD2" w:rsidRDefault="005E089D" w:rsidP="0007645C">
      <w:pPr>
        <w:pStyle w:val="Header"/>
        <w:numPr>
          <w:ilvl w:val="0"/>
          <w:numId w:val="5"/>
        </w:numPr>
        <w:tabs>
          <w:tab w:val="clear" w:pos="4320"/>
          <w:tab w:val="clear" w:pos="8640"/>
        </w:tabs>
        <w:rPr>
          <w:u w:val="single"/>
        </w:rPr>
      </w:pPr>
      <w:r w:rsidRPr="00D82FD2">
        <w:rPr>
          <w:u w:val="single"/>
        </w:rPr>
        <w:t>Cost to Federal Government</w:t>
      </w:r>
    </w:p>
    <w:p w14:paraId="6AD2FC8E" w14:textId="77777777" w:rsidR="005E089D" w:rsidRPr="008E041E" w:rsidRDefault="005E089D" w:rsidP="0007645C">
      <w:pPr>
        <w:rPr>
          <w:sz w:val="16"/>
          <w:szCs w:val="16"/>
          <w:u w:val="single"/>
        </w:rPr>
      </w:pPr>
    </w:p>
    <w:p w14:paraId="3B2FB957" w14:textId="77777777" w:rsidR="005E089D" w:rsidRPr="00D82FD2" w:rsidRDefault="002B6E22" w:rsidP="0007645C">
      <w:r w:rsidRPr="006C6ECC">
        <w:t>There is no additional cost to the Federal government.  Applications will be processed in the normal course of Federal duties.</w:t>
      </w:r>
    </w:p>
    <w:p w14:paraId="30E60BDC" w14:textId="77777777" w:rsidR="002B6E22" w:rsidRPr="008E041E" w:rsidRDefault="002B6E22" w:rsidP="0007645C">
      <w:pPr>
        <w:rPr>
          <w:sz w:val="16"/>
          <w:szCs w:val="16"/>
        </w:rPr>
      </w:pPr>
    </w:p>
    <w:p w14:paraId="0461B4D1" w14:textId="77777777" w:rsidR="005E089D" w:rsidRDefault="005E089D" w:rsidP="0007645C">
      <w:pPr>
        <w:numPr>
          <w:ilvl w:val="0"/>
          <w:numId w:val="5"/>
        </w:numPr>
        <w:tabs>
          <w:tab w:val="left" w:pos="-1440"/>
        </w:tabs>
        <w:rPr>
          <w:u w:val="single"/>
        </w:rPr>
      </w:pPr>
      <w:r w:rsidRPr="00D82FD2">
        <w:rPr>
          <w:u w:val="single"/>
        </w:rPr>
        <w:t xml:space="preserve">Changes </w:t>
      </w:r>
      <w:r w:rsidR="00D82FD2">
        <w:rPr>
          <w:u w:val="single"/>
        </w:rPr>
        <w:t>to</w:t>
      </w:r>
      <w:r w:rsidRPr="00D82FD2">
        <w:rPr>
          <w:u w:val="single"/>
        </w:rPr>
        <w:t xml:space="preserve"> Burden</w:t>
      </w:r>
    </w:p>
    <w:p w14:paraId="33626AC0" w14:textId="77777777" w:rsidR="00817915" w:rsidRDefault="00817915" w:rsidP="0007645C">
      <w:pPr>
        <w:tabs>
          <w:tab w:val="left" w:pos="-1440"/>
        </w:tabs>
        <w:rPr>
          <w:u w:val="single"/>
        </w:rPr>
      </w:pPr>
    </w:p>
    <w:p w14:paraId="61A623C3" w14:textId="77777777" w:rsidR="00817915" w:rsidRPr="00817915" w:rsidRDefault="002F03A3" w:rsidP="0007645C">
      <w:pPr>
        <w:tabs>
          <w:tab w:val="left" w:pos="-1440"/>
        </w:tabs>
      </w:pPr>
      <w:r>
        <w:t>This is a new collection of information.</w:t>
      </w:r>
    </w:p>
    <w:p w14:paraId="3DB6CBC7" w14:textId="77777777" w:rsidR="000153B1" w:rsidRPr="008E041E" w:rsidRDefault="000153B1" w:rsidP="0007645C">
      <w:pPr>
        <w:tabs>
          <w:tab w:val="left" w:pos="-1440"/>
        </w:tabs>
        <w:rPr>
          <w:i/>
          <w:sz w:val="16"/>
          <w:szCs w:val="16"/>
        </w:rPr>
      </w:pPr>
    </w:p>
    <w:p w14:paraId="28B46643" w14:textId="77777777" w:rsidR="00D82FD2" w:rsidRPr="00365185" w:rsidRDefault="00D82FD2" w:rsidP="0007645C">
      <w:pPr>
        <w:numPr>
          <w:ilvl w:val="0"/>
          <w:numId w:val="5"/>
        </w:numPr>
        <w:tabs>
          <w:tab w:val="left" w:pos="-1440"/>
        </w:tabs>
        <w:rPr>
          <w:u w:val="single"/>
        </w:rPr>
      </w:pPr>
      <w:r w:rsidRPr="00365185">
        <w:rPr>
          <w:u w:val="single"/>
        </w:rPr>
        <w:t>Publication/Tabulation</w:t>
      </w:r>
      <w:r>
        <w:rPr>
          <w:u w:val="single"/>
        </w:rPr>
        <w:t xml:space="preserve"> </w:t>
      </w:r>
      <w:r w:rsidRPr="00365185">
        <w:rPr>
          <w:u w:val="single"/>
        </w:rPr>
        <w:t>Dates</w:t>
      </w:r>
    </w:p>
    <w:p w14:paraId="2BC3F16E" w14:textId="77777777" w:rsidR="005E089D" w:rsidRPr="008E041E" w:rsidRDefault="005E089D" w:rsidP="0007645C">
      <w:pPr>
        <w:rPr>
          <w:sz w:val="16"/>
          <w:szCs w:val="16"/>
        </w:rPr>
      </w:pPr>
    </w:p>
    <w:p w14:paraId="1711E1AE" w14:textId="77777777" w:rsidR="002F03A3" w:rsidRPr="002F03A3" w:rsidRDefault="002F03A3" w:rsidP="0007645C">
      <w:r w:rsidRPr="002F03A3">
        <w:t xml:space="preserve"> There are no plans to publish or tabulate the information collected.</w:t>
      </w:r>
    </w:p>
    <w:p w14:paraId="6923C478" w14:textId="77777777" w:rsidR="005E089D" w:rsidRPr="008E041E" w:rsidRDefault="005E089D" w:rsidP="0007645C">
      <w:pPr>
        <w:rPr>
          <w:sz w:val="16"/>
          <w:szCs w:val="16"/>
        </w:rPr>
      </w:pPr>
    </w:p>
    <w:p w14:paraId="1C351E91" w14:textId="77777777" w:rsidR="005E089D" w:rsidRPr="00D82FD2" w:rsidRDefault="005E089D" w:rsidP="0007645C">
      <w:pPr>
        <w:numPr>
          <w:ilvl w:val="0"/>
          <w:numId w:val="5"/>
        </w:numPr>
        <w:rPr>
          <w:u w:val="single"/>
        </w:rPr>
      </w:pPr>
      <w:r w:rsidRPr="00D82FD2">
        <w:rPr>
          <w:u w:val="single"/>
        </w:rPr>
        <w:t>Expiration Date</w:t>
      </w:r>
    </w:p>
    <w:p w14:paraId="3CE25487" w14:textId="77777777" w:rsidR="005E089D" w:rsidRPr="008E041E" w:rsidRDefault="005E089D" w:rsidP="0007645C">
      <w:pPr>
        <w:rPr>
          <w:sz w:val="16"/>
          <w:szCs w:val="16"/>
        </w:rPr>
      </w:pPr>
    </w:p>
    <w:p w14:paraId="51D18D31" w14:textId="77777777" w:rsidR="005E089D" w:rsidRPr="008E041E" w:rsidRDefault="00BB0A74" w:rsidP="0007645C">
      <w:pPr>
        <w:rPr>
          <w:sz w:val="16"/>
          <w:szCs w:val="16"/>
        </w:rPr>
      </w:pPr>
      <w:r>
        <w:t>The expiration date and OMB control number will be displayed on each data collection form.</w:t>
      </w:r>
    </w:p>
    <w:p w14:paraId="6F227BF2" w14:textId="77777777" w:rsidR="0080379B" w:rsidRPr="00D82FD2" w:rsidRDefault="0080379B" w:rsidP="00050F64"/>
    <w:sectPr w:rsidR="0080379B" w:rsidRPr="00D82FD2" w:rsidSect="00B942A3">
      <w:footerReference w:type="even" r:id="rId13"/>
      <w:footerReference w:type="default" r:id="rId14"/>
      <w:endnotePr>
        <w:numFmt w:val="decimal"/>
      </w:endnotePr>
      <w:type w:val="continuous"/>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5360A" w14:textId="77777777" w:rsidR="00266035" w:rsidRDefault="00266035">
      <w:r>
        <w:separator/>
      </w:r>
    </w:p>
  </w:endnote>
  <w:endnote w:type="continuationSeparator" w:id="0">
    <w:p w14:paraId="101AA86D" w14:textId="77777777" w:rsidR="00266035" w:rsidRDefault="0026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EF468" w14:textId="77777777" w:rsidR="00A22A79" w:rsidRDefault="004D61D8">
    <w:pPr>
      <w:pStyle w:val="Footer"/>
      <w:framePr w:wrap="around" w:vAnchor="text" w:hAnchor="margin" w:xAlign="center" w:y="1"/>
      <w:rPr>
        <w:rStyle w:val="PageNumber"/>
      </w:rPr>
    </w:pPr>
    <w:r>
      <w:rPr>
        <w:rStyle w:val="PageNumber"/>
      </w:rPr>
      <w:fldChar w:fldCharType="begin"/>
    </w:r>
    <w:r w:rsidR="00A22A79">
      <w:rPr>
        <w:rStyle w:val="PageNumber"/>
      </w:rPr>
      <w:instrText xml:space="preserve">PAGE  </w:instrText>
    </w:r>
    <w:r>
      <w:rPr>
        <w:rStyle w:val="PageNumber"/>
      </w:rPr>
      <w:fldChar w:fldCharType="separate"/>
    </w:r>
    <w:r w:rsidR="00A22A79">
      <w:rPr>
        <w:rStyle w:val="PageNumber"/>
        <w:noProof/>
      </w:rPr>
      <w:t>7</w:t>
    </w:r>
    <w:r>
      <w:rPr>
        <w:rStyle w:val="PageNumber"/>
      </w:rPr>
      <w:fldChar w:fldCharType="end"/>
    </w:r>
  </w:p>
  <w:p w14:paraId="1A43150C" w14:textId="77777777" w:rsidR="00A22A79" w:rsidRDefault="00A22A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633A2" w14:textId="77777777" w:rsidR="00A22A79" w:rsidRDefault="00A22A79">
    <w:pPr>
      <w:pStyle w:val="Footer"/>
    </w:pPr>
    <w:r>
      <w:tab/>
    </w:r>
    <w:r>
      <w:tab/>
      <w:t xml:space="preserve">Page </w:t>
    </w:r>
    <w:r w:rsidR="004D61D8">
      <w:rPr>
        <w:rStyle w:val="PageNumber"/>
      </w:rPr>
      <w:fldChar w:fldCharType="begin"/>
    </w:r>
    <w:r>
      <w:rPr>
        <w:rStyle w:val="PageNumber"/>
      </w:rPr>
      <w:instrText xml:space="preserve"> PAGE </w:instrText>
    </w:r>
    <w:r w:rsidR="004D61D8">
      <w:rPr>
        <w:rStyle w:val="PageNumber"/>
      </w:rPr>
      <w:fldChar w:fldCharType="separate"/>
    </w:r>
    <w:r w:rsidR="00B4544F">
      <w:rPr>
        <w:rStyle w:val="PageNumber"/>
        <w:noProof/>
      </w:rPr>
      <w:t>2</w:t>
    </w:r>
    <w:r w:rsidR="004D61D8">
      <w:rPr>
        <w:rStyle w:val="PageNumber"/>
      </w:rPr>
      <w:fldChar w:fldCharType="end"/>
    </w:r>
    <w:r>
      <w:rPr>
        <w:rStyle w:val="PageNumber"/>
      </w:rPr>
      <w:t xml:space="preserve"> of </w:t>
    </w:r>
    <w:r w:rsidR="004D61D8">
      <w:rPr>
        <w:rStyle w:val="PageNumber"/>
      </w:rPr>
      <w:fldChar w:fldCharType="begin"/>
    </w:r>
    <w:r>
      <w:rPr>
        <w:rStyle w:val="PageNumber"/>
      </w:rPr>
      <w:instrText xml:space="preserve"> NUMPAGES </w:instrText>
    </w:r>
    <w:r w:rsidR="004D61D8">
      <w:rPr>
        <w:rStyle w:val="PageNumber"/>
      </w:rPr>
      <w:fldChar w:fldCharType="separate"/>
    </w:r>
    <w:r w:rsidR="00B4544F">
      <w:rPr>
        <w:rStyle w:val="PageNumber"/>
        <w:noProof/>
      </w:rPr>
      <w:t>5</w:t>
    </w:r>
    <w:r w:rsidR="004D61D8">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810FF" w14:textId="77777777" w:rsidR="00266035" w:rsidRDefault="00266035">
      <w:r>
        <w:separator/>
      </w:r>
    </w:p>
  </w:footnote>
  <w:footnote w:type="continuationSeparator" w:id="0">
    <w:p w14:paraId="002A3379" w14:textId="77777777" w:rsidR="00266035" w:rsidRDefault="00266035">
      <w:r>
        <w:continuationSeparator/>
      </w:r>
    </w:p>
  </w:footnote>
  <w:footnote w:id="1">
    <w:p w14:paraId="0486DA6E" w14:textId="77777777" w:rsidR="002346C0" w:rsidRPr="002346C0" w:rsidRDefault="002346C0" w:rsidP="002346C0">
      <w:pPr>
        <w:pStyle w:val="FootnoteText"/>
      </w:pPr>
      <w:r w:rsidRPr="00A97897">
        <w:rPr>
          <w:rStyle w:val="FootnoteReference"/>
          <w:vertAlign w:val="superscript"/>
        </w:rPr>
        <w:footnoteRef/>
      </w:r>
      <w:r w:rsidRPr="002346C0">
        <w:t>800 applicants is an estimate based upon the number of new enrollments plus the number of denials due to moratoria in all moratoria states.</w:t>
      </w:r>
    </w:p>
    <w:p w14:paraId="447665B5" w14:textId="77777777" w:rsidR="002346C0" w:rsidRDefault="002346C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1"/>
      <w:lvlText w:val="%1."/>
      <w:lvlJc w:val="left"/>
      <w:pPr>
        <w:tabs>
          <w:tab w:val="num" w:pos="720"/>
        </w:tabs>
      </w:pPr>
      <w:rPr>
        <w:rFonts w:ascii="Times New Roman" w:hAnsi="Times New Roman"/>
        <w:i/>
        <w:sz w:val="24"/>
      </w:rPr>
    </w:lvl>
  </w:abstractNum>
  <w:abstractNum w:abstractNumId="1"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9467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B45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7246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A914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1D6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463867"/>
    <w:multiLevelType w:val="hybridMultilevel"/>
    <w:tmpl w:val="A48E4E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F73A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8262BA"/>
    <w:multiLevelType w:val="hybridMultilevel"/>
    <w:tmpl w:val="A8762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B4B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756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5247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0917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ED3ABD"/>
    <w:multiLevelType w:val="hybridMultilevel"/>
    <w:tmpl w:val="0DB42116"/>
    <w:lvl w:ilvl="0" w:tplc="BB9E3628">
      <w:start w:val="4"/>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7A34D39"/>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16" w15:restartNumberingAfterBreak="0">
    <w:nsid w:val="28A75B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984E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D607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664325"/>
    <w:multiLevelType w:val="hybridMultilevel"/>
    <w:tmpl w:val="42261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B000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C887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0972F83"/>
    <w:multiLevelType w:val="hybridMultilevel"/>
    <w:tmpl w:val="EF24C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D43A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B67D3F"/>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25" w15:restartNumberingAfterBreak="0">
    <w:nsid w:val="4CC44C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B14555"/>
    <w:multiLevelType w:val="hybridMultilevel"/>
    <w:tmpl w:val="4B4AEC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A71FED"/>
    <w:multiLevelType w:val="hybridMultilevel"/>
    <w:tmpl w:val="0648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47333"/>
    <w:multiLevelType w:val="singleLevel"/>
    <w:tmpl w:val="A3825516"/>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9" w15:restartNumberingAfterBreak="0">
    <w:nsid w:val="4F9A0A53"/>
    <w:multiLevelType w:val="singleLevel"/>
    <w:tmpl w:val="1AC20BF6"/>
    <w:lvl w:ilvl="0">
      <w:start w:val="2"/>
      <w:numFmt w:val="upperLetter"/>
      <w:lvlText w:val="%1."/>
      <w:lvlJc w:val="left"/>
      <w:pPr>
        <w:tabs>
          <w:tab w:val="num" w:pos="360"/>
        </w:tabs>
        <w:ind w:left="360" w:hanging="360"/>
      </w:pPr>
      <w:rPr>
        <w:rFonts w:ascii="Times New Roman" w:hAnsi="Times New Roman" w:hint="default"/>
        <w:b/>
        <w:i w:val="0"/>
        <w:sz w:val="24"/>
      </w:rPr>
    </w:lvl>
  </w:abstractNum>
  <w:abstractNum w:abstractNumId="30" w15:restartNumberingAfterBreak="0">
    <w:nsid w:val="518057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5A2F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9E5E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603376"/>
    <w:multiLevelType w:val="hybridMultilevel"/>
    <w:tmpl w:val="F112F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AD57F0"/>
    <w:multiLevelType w:val="hybridMultilevel"/>
    <w:tmpl w:val="ABF66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6122FE"/>
    <w:multiLevelType w:val="hybridMultilevel"/>
    <w:tmpl w:val="6CF693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2911E0"/>
    <w:multiLevelType w:val="singleLevel"/>
    <w:tmpl w:val="337ED4EA"/>
    <w:lvl w:ilvl="0">
      <w:start w:val="1"/>
      <w:numFmt w:val="upperLetter"/>
      <w:pStyle w:val="Heading2"/>
      <w:lvlText w:val="%1."/>
      <w:lvlJc w:val="left"/>
      <w:pPr>
        <w:tabs>
          <w:tab w:val="num" w:pos="360"/>
        </w:tabs>
        <w:ind w:left="360" w:hanging="360"/>
      </w:pPr>
      <w:rPr>
        <w:rFonts w:ascii="Times New Roman" w:hAnsi="Times New Roman" w:hint="default"/>
        <w:b/>
        <w:i w:val="0"/>
        <w:sz w:val="24"/>
      </w:rPr>
    </w:lvl>
  </w:abstractNum>
  <w:abstractNum w:abstractNumId="37" w15:restartNumberingAfterBreak="0">
    <w:nsid w:val="657A4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3B7F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C23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7F8421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 w:ilvl="0">
        <w:start w:val="1"/>
        <w:numFmt w:val="decimal"/>
        <w:pStyle w:val="1"/>
        <w:lvlText w:val="%1."/>
        <w:lvlJc w:val="left"/>
      </w:lvl>
    </w:lvlOverride>
  </w:num>
  <w:num w:numId="2">
    <w:abstractNumId w:val="36"/>
  </w:num>
  <w:num w:numId="3">
    <w:abstractNumId w:val="15"/>
  </w:num>
  <w:num w:numId="4">
    <w:abstractNumId w:val="29"/>
  </w:num>
  <w:num w:numId="5">
    <w:abstractNumId w:val="28"/>
  </w:num>
  <w:num w:numId="6">
    <w:abstractNumId w:val="24"/>
  </w:num>
  <w:num w:numId="7">
    <w:abstractNumId w:val="17"/>
  </w:num>
  <w:num w:numId="8">
    <w:abstractNumId w:val="11"/>
  </w:num>
  <w:num w:numId="9">
    <w:abstractNumId w:val="4"/>
  </w:num>
  <w:num w:numId="10">
    <w:abstractNumId w:val="18"/>
  </w:num>
  <w:num w:numId="11">
    <w:abstractNumId w:val="8"/>
  </w:num>
  <w:num w:numId="12">
    <w:abstractNumId w:val="31"/>
  </w:num>
  <w:num w:numId="13">
    <w:abstractNumId w:val="39"/>
  </w:num>
  <w:num w:numId="14">
    <w:abstractNumId w:val="20"/>
  </w:num>
  <w:num w:numId="15">
    <w:abstractNumId w:val="32"/>
  </w:num>
  <w:num w:numId="16">
    <w:abstractNumId w:val="37"/>
  </w:num>
  <w:num w:numId="17">
    <w:abstractNumId w:val="25"/>
  </w:num>
  <w:num w:numId="18">
    <w:abstractNumId w:val="5"/>
  </w:num>
  <w:num w:numId="19">
    <w:abstractNumId w:val="21"/>
  </w:num>
  <w:num w:numId="20">
    <w:abstractNumId w:val="6"/>
  </w:num>
  <w:num w:numId="21">
    <w:abstractNumId w:val="13"/>
  </w:num>
  <w:num w:numId="22">
    <w:abstractNumId w:val="38"/>
  </w:num>
  <w:num w:numId="23">
    <w:abstractNumId w:val="2"/>
  </w:num>
  <w:num w:numId="24">
    <w:abstractNumId w:val="23"/>
  </w:num>
  <w:num w:numId="25">
    <w:abstractNumId w:val="40"/>
  </w:num>
  <w:num w:numId="26">
    <w:abstractNumId w:val="12"/>
  </w:num>
  <w:num w:numId="27">
    <w:abstractNumId w:val="3"/>
  </w:num>
  <w:num w:numId="28">
    <w:abstractNumId w:val="30"/>
  </w:num>
  <w:num w:numId="29">
    <w:abstractNumId w:val="10"/>
  </w:num>
  <w:num w:numId="30">
    <w:abstractNumId w:val="16"/>
  </w:num>
  <w:num w:numId="31">
    <w:abstractNumId w:val="7"/>
  </w:num>
  <w:num w:numId="32">
    <w:abstractNumId w:val="19"/>
  </w:num>
  <w:num w:numId="33">
    <w:abstractNumId w:val="22"/>
  </w:num>
  <w:num w:numId="34">
    <w:abstractNumId w:val="34"/>
  </w:num>
  <w:num w:numId="35">
    <w:abstractNumId w:val="14"/>
  </w:num>
  <w:num w:numId="36">
    <w:abstractNumId w:val="36"/>
    <w:lvlOverride w:ilvl="0">
      <w:startOverride w:val="4"/>
    </w:lvlOverride>
  </w:num>
  <w:num w:numId="37">
    <w:abstractNumId w:val="35"/>
  </w:num>
  <w:num w:numId="38">
    <w:abstractNumId w:val="27"/>
  </w:num>
  <w:num w:numId="39">
    <w:abstractNumId w:val="26"/>
  </w:num>
  <w:num w:numId="40">
    <w:abstractNumId w:val="33"/>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89"/>
    <w:rsid w:val="000008B2"/>
    <w:rsid w:val="000026A7"/>
    <w:rsid w:val="00004C42"/>
    <w:rsid w:val="000153B1"/>
    <w:rsid w:val="00025597"/>
    <w:rsid w:val="0003063D"/>
    <w:rsid w:val="00037464"/>
    <w:rsid w:val="0005005D"/>
    <w:rsid w:val="00050F64"/>
    <w:rsid w:val="00051222"/>
    <w:rsid w:val="00051C19"/>
    <w:rsid w:val="00052C33"/>
    <w:rsid w:val="00055BA1"/>
    <w:rsid w:val="00057A10"/>
    <w:rsid w:val="00070622"/>
    <w:rsid w:val="00072270"/>
    <w:rsid w:val="0007645C"/>
    <w:rsid w:val="00080963"/>
    <w:rsid w:val="000816D3"/>
    <w:rsid w:val="00087EF4"/>
    <w:rsid w:val="00092712"/>
    <w:rsid w:val="000B50DF"/>
    <w:rsid w:val="000B57DC"/>
    <w:rsid w:val="000B77A3"/>
    <w:rsid w:val="000D2089"/>
    <w:rsid w:val="000D278C"/>
    <w:rsid w:val="000D383B"/>
    <w:rsid w:val="000D7EA6"/>
    <w:rsid w:val="000D7FBE"/>
    <w:rsid w:val="000E1214"/>
    <w:rsid w:val="000E14E0"/>
    <w:rsid w:val="000E5007"/>
    <w:rsid w:val="000E7A57"/>
    <w:rsid w:val="001016C4"/>
    <w:rsid w:val="001029EC"/>
    <w:rsid w:val="00104FB6"/>
    <w:rsid w:val="00107123"/>
    <w:rsid w:val="001101E9"/>
    <w:rsid w:val="00127F36"/>
    <w:rsid w:val="0013278C"/>
    <w:rsid w:val="00135D0A"/>
    <w:rsid w:val="00135EF9"/>
    <w:rsid w:val="001465E9"/>
    <w:rsid w:val="00155447"/>
    <w:rsid w:val="00157644"/>
    <w:rsid w:val="001622CB"/>
    <w:rsid w:val="001714E6"/>
    <w:rsid w:val="00175486"/>
    <w:rsid w:val="00195F53"/>
    <w:rsid w:val="001B46AE"/>
    <w:rsid w:val="001C1FE0"/>
    <w:rsid w:val="001C2806"/>
    <w:rsid w:val="001C5606"/>
    <w:rsid w:val="001F2D82"/>
    <w:rsid w:val="001F4172"/>
    <w:rsid w:val="0020480A"/>
    <w:rsid w:val="00220C81"/>
    <w:rsid w:val="00230610"/>
    <w:rsid w:val="00231595"/>
    <w:rsid w:val="002346C0"/>
    <w:rsid w:val="00240B9E"/>
    <w:rsid w:val="00251895"/>
    <w:rsid w:val="00262689"/>
    <w:rsid w:val="00266035"/>
    <w:rsid w:val="00283AD5"/>
    <w:rsid w:val="00284E1D"/>
    <w:rsid w:val="00292E63"/>
    <w:rsid w:val="002A3EBC"/>
    <w:rsid w:val="002A7EF1"/>
    <w:rsid w:val="002B0B2F"/>
    <w:rsid w:val="002B6E22"/>
    <w:rsid w:val="002D20FB"/>
    <w:rsid w:val="002D3B5C"/>
    <w:rsid w:val="002E00CB"/>
    <w:rsid w:val="002E08A1"/>
    <w:rsid w:val="002E44DA"/>
    <w:rsid w:val="002E4677"/>
    <w:rsid w:val="002F03A3"/>
    <w:rsid w:val="002F4607"/>
    <w:rsid w:val="002F75B7"/>
    <w:rsid w:val="00304E24"/>
    <w:rsid w:val="00312C37"/>
    <w:rsid w:val="00316079"/>
    <w:rsid w:val="003271EF"/>
    <w:rsid w:val="0033519B"/>
    <w:rsid w:val="0033707D"/>
    <w:rsid w:val="0034742F"/>
    <w:rsid w:val="00352423"/>
    <w:rsid w:val="0036142A"/>
    <w:rsid w:val="003713E0"/>
    <w:rsid w:val="0037414A"/>
    <w:rsid w:val="003748F5"/>
    <w:rsid w:val="00382D50"/>
    <w:rsid w:val="003B38A5"/>
    <w:rsid w:val="003C6E54"/>
    <w:rsid w:val="003D01A1"/>
    <w:rsid w:val="003E049A"/>
    <w:rsid w:val="003E75E1"/>
    <w:rsid w:val="003F49C1"/>
    <w:rsid w:val="003F5EA4"/>
    <w:rsid w:val="0040464B"/>
    <w:rsid w:val="004109C5"/>
    <w:rsid w:val="00414116"/>
    <w:rsid w:val="0041658C"/>
    <w:rsid w:val="00437BA3"/>
    <w:rsid w:val="00447C83"/>
    <w:rsid w:val="00450D66"/>
    <w:rsid w:val="00462FE6"/>
    <w:rsid w:val="0046369C"/>
    <w:rsid w:val="00463869"/>
    <w:rsid w:val="00472BF3"/>
    <w:rsid w:val="004824A6"/>
    <w:rsid w:val="00491808"/>
    <w:rsid w:val="004A7AC2"/>
    <w:rsid w:val="004B0625"/>
    <w:rsid w:val="004B56BB"/>
    <w:rsid w:val="004B6563"/>
    <w:rsid w:val="004B6C27"/>
    <w:rsid w:val="004D61D8"/>
    <w:rsid w:val="004E7CE1"/>
    <w:rsid w:val="004F3D03"/>
    <w:rsid w:val="004F77DD"/>
    <w:rsid w:val="005000AD"/>
    <w:rsid w:val="00505941"/>
    <w:rsid w:val="00513FF9"/>
    <w:rsid w:val="00514B7E"/>
    <w:rsid w:val="00522A24"/>
    <w:rsid w:val="005239BC"/>
    <w:rsid w:val="00524C41"/>
    <w:rsid w:val="00525163"/>
    <w:rsid w:val="0052584D"/>
    <w:rsid w:val="0052718A"/>
    <w:rsid w:val="00535A9C"/>
    <w:rsid w:val="00540F24"/>
    <w:rsid w:val="00541CAD"/>
    <w:rsid w:val="00543030"/>
    <w:rsid w:val="0054670F"/>
    <w:rsid w:val="005476DC"/>
    <w:rsid w:val="005702F2"/>
    <w:rsid w:val="005716E0"/>
    <w:rsid w:val="00571897"/>
    <w:rsid w:val="005734E4"/>
    <w:rsid w:val="00580693"/>
    <w:rsid w:val="00594D82"/>
    <w:rsid w:val="005A1073"/>
    <w:rsid w:val="005A317E"/>
    <w:rsid w:val="005A6FCF"/>
    <w:rsid w:val="005B0473"/>
    <w:rsid w:val="005B48D5"/>
    <w:rsid w:val="005D4AB5"/>
    <w:rsid w:val="005E089D"/>
    <w:rsid w:val="005E54EC"/>
    <w:rsid w:val="005E6F90"/>
    <w:rsid w:val="005F4331"/>
    <w:rsid w:val="00610BB2"/>
    <w:rsid w:val="00614370"/>
    <w:rsid w:val="006345A2"/>
    <w:rsid w:val="00634C87"/>
    <w:rsid w:val="0064331F"/>
    <w:rsid w:val="0064366C"/>
    <w:rsid w:val="00644347"/>
    <w:rsid w:val="00644E0D"/>
    <w:rsid w:val="00644F69"/>
    <w:rsid w:val="00654664"/>
    <w:rsid w:val="00673252"/>
    <w:rsid w:val="006825B5"/>
    <w:rsid w:val="00684FB1"/>
    <w:rsid w:val="00695A23"/>
    <w:rsid w:val="00696C59"/>
    <w:rsid w:val="006C5815"/>
    <w:rsid w:val="006C6ECC"/>
    <w:rsid w:val="006D09AE"/>
    <w:rsid w:val="006D65A3"/>
    <w:rsid w:val="006E39CE"/>
    <w:rsid w:val="007036AC"/>
    <w:rsid w:val="00735D9A"/>
    <w:rsid w:val="00745EC7"/>
    <w:rsid w:val="00752065"/>
    <w:rsid w:val="00752C12"/>
    <w:rsid w:val="00756C9E"/>
    <w:rsid w:val="00775AF8"/>
    <w:rsid w:val="007913C1"/>
    <w:rsid w:val="007C64A4"/>
    <w:rsid w:val="007D08AF"/>
    <w:rsid w:val="007D12A5"/>
    <w:rsid w:val="007D4D56"/>
    <w:rsid w:val="007E0FDB"/>
    <w:rsid w:val="007F0F1E"/>
    <w:rsid w:val="007F3087"/>
    <w:rsid w:val="007F49B4"/>
    <w:rsid w:val="007F5EED"/>
    <w:rsid w:val="007F612F"/>
    <w:rsid w:val="008024C4"/>
    <w:rsid w:val="0080379B"/>
    <w:rsid w:val="00814BB1"/>
    <w:rsid w:val="00817915"/>
    <w:rsid w:val="00826FA8"/>
    <w:rsid w:val="008304A3"/>
    <w:rsid w:val="00832498"/>
    <w:rsid w:val="0083285A"/>
    <w:rsid w:val="008336FE"/>
    <w:rsid w:val="00834627"/>
    <w:rsid w:val="00860B8F"/>
    <w:rsid w:val="008627ED"/>
    <w:rsid w:val="0086317F"/>
    <w:rsid w:val="00880D55"/>
    <w:rsid w:val="0089346E"/>
    <w:rsid w:val="00894BB3"/>
    <w:rsid w:val="008A1CB3"/>
    <w:rsid w:val="008B67CE"/>
    <w:rsid w:val="008B7416"/>
    <w:rsid w:val="008C5741"/>
    <w:rsid w:val="008C6A3A"/>
    <w:rsid w:val="008C711D"/>
    <w:rsid w:val="008D743D"/>
    <w:rsid w:val="008E041E"/>
    <w:rsid w:val="008E2D79"/>
    <w:rsid w:val="008E3401"/>
    <w:rsid w:val="008E57CA"/>
    <w:rsid w:val="008F6E7A"/>
    <w:rsid w:val="008F7919"/>
    <w:rsid w:val="009105DF"/>
    <w:rsid w:val="009127DB"/>
    <w:rsid w:val="00915AAA"/>
    <w:rsid w:val="00917995"/>
    <w:rsid w:val="009267CD"/>
    <w:rsid w:val="0094193C"/>
    <w:rsid w:val="009436D5"/>
    <w:rsid w:val="00944544"/>
    <w:rsid w:val="0094658E"/>
    <w:rsid w:val="00962847"/>
    <w:rsid w:val="0097665F"/>
    <w:rsid w:val="009818FF"/>
    <w:rsid w:val="00996FB5"/>
    <w:rsid w:val="009976E5"/>
    <w:rsid w:val="009D6DE4"/>
    <w:rsid w:val="009F7989"/>
    <w:rsid w:val="00A02B4D"/>
    <w:rsid w:val="00A07745"/>
    <w:rsid w:val="00A11127"/>
    <w:rsid w:val="00A22A79"/>
    <w:rsid w:val="00A25EA3"/>
    <w:rsid w:val="00A26F28"/>
    <w:rsid w:val="00A27201"/>
    <w:rsid w:val="00A435B8"/>
    <w:rsid w:val="00A5428F"/>
    <w:rsid w:val="00A5463A"/>
    <w:rsid w:val="00A6755F"/>
    <w:rsid w:val="00A76983"/>
    <w:rsid w:val="00A80BA1"/>
    <w:rsid w:val="00A96199"/>
    <w:rsid w:val="00A96A3C"/>
    <w:rsid w:val="00A97897"/>
    <w:rsid w:val="00AA39F2"/>
    <w:rsid w:val="00AA77A3"/>
    <w:rsid w:val="00AD5278"/>
    <w:rsid w:val="00AE073D"/>
    <w:rsid w:val="00AF1287"/>
    <w:rsid w:val="00AF16B8"/>
    <w:rsid w:val="00AF432A"/>
    <w:rsid w:val="00AF5645"/>
    <w:rsid w:val="00AF666E"/>
    <w:rsid w:val="00B06552"/>
    <w:rsid w:val="00B07D7C"/>
    <w:rsid w:val="00B15B3B"/>
    <w:rsid w:val="00B15F12"/>
    <w:rsid w:val="00B21716"/>
    <w:rsid w:val="00B24CD2"/>
    <w:rsid w:val="00B24CF3"/>
    <w:rsid w:val="00B25368"/>
    <w:rsid w:val="00B4544F"/>
    <w:rsid w:val="00B46D44"/>
    <w:rsid w:val="00B72868"/>
    <w:rsid w:val="00B73977"/>
    <w:rsid w:val="00B754F8"/>
    <w:rsid w:val="00B84170"/>
    <w:rsid w:val="00B87DDA"/>
    <w:rsid w:val="00B942A3"/>
    <w:rsid w:val="00BA5BD0"/>
    <w:rsid w:val="00BB0A74"/>
    <w:rsid w:val="00BB5E5F"/>
    <w:rsid w:val="00BC2CF6"/>
    <w:rsid w:val="00BC3395"/>
    <w:rsid w:val="00BC589E"/>
    <w:rsid w:val="00BD5F97"/>
    <w:rsid w:val="00BD775F"/>
    <w:rsid w:val="00BE0628"/>
    <w:rsid w:val="00BE0DF5"/>
    <w:rsid w:val="00BE3CEB"/>
    <w:rsid w:val="00BF1D02"/>
    <w:rsid w:val="00C06C7E"/>
    <w:rsid w:val="00C10D6F"/>
    <w:rsid w:val="00C12B8D"/>
    <w:rsid w:val="00C14AB6"/>
    <w:rsid w:val="00C16EA8"/>
    <w:rsid w:val="00C241A1"/>
    <w:rsid w:val="00C24523"/>
    <w:rsid w:val="00C333EA"/>
    <w:rsid w:val="00C46526"/>
    <w:rsid w:val="00C54577"/>
    <w:rsid w:val="00C55639"/>
    <w:rsid w:val="00C57644"/>
    <w:rsid w:val="00C80785"/>
    <w:rsid w:val="00C83D25"/>
    <w:rsid w:val="00C91B74"/>
    <w:rsid w:val="00CA2D95"/>
    <w:rsid w:val="00CA2DC1"/>
    <w:rsid w:val="00CB1437"/>
    <w:rsid w:val="00CB6F80"/>
    <w:rsid w:val="00CB732A"/>
    <w:rsid w:val="00CC0037"/>
    <w:rsid w:val="00CC66C1"/>
    <w:rsid w:val="00CC69E7"/>
    <w:rsid w:val="00CE6C9B"/>
    <w:rsid w:val="00CF45E0"/>
    <w:rsid w:val="00D212DE"/>
    <w:rsid w:val="00D22FEF"/>
    <w:rsid w:val="00D41DA4"/>
    <w:rsid w:val="00D43D81"/>
    <w:rsid w:val="00D80DDE"/>
    <w:rsid w:val="00D82FD2"/>
    <w:rsid w:val="00D93DAB"/>
    <w:rsid w:val="00DA00ED"/>
    <w:rsid w:val="00DA0C28"/>
    <w:rsid w:val="00DA1CD5"/>
    <w:rsid w:val="00DA2175"/>
    <w:rsid w:val="00DB1F35"/>
    <w:rsid w:val="00DB68C4"/>
    <w:rsid w:val="00DC02E4"/>
    <w:rsid w:val="00DC0A9C"/>
    <w:rsid w:val="00DD0717"/>
    <w:rsid w:val="00DD14BA"/>
    <w:rsid w:val="00DD2C02"/>
    <w:rsid w:val="00DD4DB2"/>
    <w:rsid w:val="00DE12EB"/>
    <w:rsid w:val="00DF13D5"/>
    <w:rsid w:val="00DF4C52"/>
    <w:rsid w:val="00DF51A5"/>
    <w:rsid w:val="00E01BF4"/>
    <w:rsid w:val="00E03E6F"/>
    <w:rsid w:val="00E06DDB"/>
    <w:rsid w:val="00E1187B"/>
    <w:rsid w:val="00E11D38"/>
    <w:rsid w:val="00E16C8E"/>
    <w:rsid w:val="00E20D0A"/>
    <w:rsid w:val="00E36584"/>
    <w:rsid w:val="00E46C19"/>
    <w:rsid w:val="00E47A0C"/>
    <w:rsid w:val="00E66CDF"/>
    <w:rsid w:val="00E7672F"/>
    <w:rsid w:val="00E76B5F"/>
    <w:rsid w:val="00E94C18"/>
    <w:rsid w:val="00EA633B"/>
    <w:rsid w:val="00EC22EC"/>
    <w:rsid w:val="00ED73EC"/>
    <w:rsid w:val="00EE5059"/>
    <w:rsid w:val="00EE6F9A"/>
    <w:rsid w:val="00F218D8"/>
    <w:rsid w:val="00F23910"/>
    <w:rsid w:val="00F27CCE"/>
    <w:rsid w:val="00F37E4E"/>
    <w:rsid w:val="00F46C13"/>
    <w:rsid w:val="00F5561A"/>
    <w:rsid w:val="00F64F03"/>
    <w:rsid w:val="00F66A84"/>
    <w:rsid w:val="00F67AAD"/>
    <w:rsid w:val="00F71A28"/>
    <w:rsid w:val="00F75FCA"/>
    <w:rsid w:val="00F87F2C"/>
    <w:rsid w:val="00FA0668"/>
    <w:rsid w:val="00FB232E"/>
    <w:rsid w:val="00FC2427"/>
    <w:rsid w:val="00FD0750"/>
    <w:rsid w:val="00FD0BDD"/>
    <w:rsid w:val="00FE0B49"/>
    <w:rsid w:val="00FE1224"/>
    <w:rsid w:val="00FE453B"/>
    <w:rsid w:val="00FE4925"/>
    <w:rsid w:val="00FE55D2"/>
    <w:rsid w:val="00FF0A67"/>
    <w:rsid w:val="00FF0D2F"/>
    <w:rsid w:val="00FF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A7E58"/>
  <w15:docId w15:val="{48861BB2-85AC-4FE2-82C1-F78DF37A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2A3"/>
    <w:pPr>
      <w:widowControl w:val="0"/>
    </w:pPr>
    <w:rPr>
      <w:snapToGrid w:val="0"/>
      <w:sz w:val="24"/>
    </w:rPr>
  </w:style>
  <w:style w:type="paragraph" w:styleId="Heading1">
    <w:name w:val="heading 1"/>
    <w:basedOn w:val="Normal"/>
    <w:next w:val="Normal"/>
    <w:qFormat/>
    <w:rsid w:val="00B942A3"/>
    <w:pPr>
      <w:keepNext/>
      <w:tabs>
        <w:tab w:val="center" w:pos="4680"/>
      </w:tabs>
      <w:jc w:val="center"/>
      <w:outlineLvl w:val="0"/>
    </w:pPr>
    <w:rPr>
      <w:i/>
    </w:rPr>
  </w:style>
  <w:style w:type="paragraph" w:styleId="Heading2">
    <w:name w:val="heading 2"/>
    <w:basedOn w:val="Normal"/>
    <w:next w:val="Normal"/>
    <w:qFormat/>
    <w:rsid w:val="00B942A3"/>
    <w:pPr>
      <w:keepNext/>
      <w:numPr>
        <w:numId w:val="2"/>
      </w:numPr>
      <w:tabs>
        <w:tab w:val="left" w:pos="-1440"/>
      </w:tabs>
      <w:outlineLvl w:val="1"/>
    </w:pPr>
    <w:rPr>
      <w:b/>
      <w:u w:val="single"/>
    </w:rPr>
  </w:style>
  <w:style w:type="paragraph" w:styleId="Heading3">
    <w:name w:val="heading 3"/>
    <w:basedOn w:val="Normal"/>
    <w:next w:val="Normal"/>
    <w:qFormat/>
    <w:rsid w:val="00B942A3"/>
    <w:pPr>
      <w:keepNext/>
      <w:outlineLvl w:val="2"/>
    </w:pPr>
    <w:rPr>
      <w:b/>
    </w:rPr>
  </w:style>
  <w:style w:type="paragraph" w:styleId="Heading4">
    <w:name w:val="heading 4"/>
    <w:basedOn w:val="Normal"/>
    <w:next w:val="Normal"/>
    <w:qFormat/>
    <w:rsid w:val="00B942A3"/>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42A3"/>
  </w:style>
  <w:style w:type="paragraph" w:customStyle="1" w:styleId="1">
    <w:name w:val="1"/>
    <w:aliases w:val="2,3"/>
    <w:basedOn w:val="Normal"/>
    <w:rsid w:val="00B942A3"/>
    <w:pPr>
      <w:numPr>
        <w:numId w:val="1"/>
      </w:numPr>
      <w:ind w:left="720" w:hanging="720"/>
    </w:pPr>
  </w:style>
  <w:style w:type="paragraph" w:styleId="Header">
    <w:name w:val="header"/>
    <w:basedOn w:val="Normal"/>
    <w:rsid w:val="00B942A3"/>
    <w:pPr>
      <w:tabs>
        <w:tab w:val="center" w:pos="4320"/>
        <w:tab w:val="right" w:pos="8640"/>
      </w:tabs>
    </w:pPr>
  </w:style>
  <w:style w:type="paragraph" w:styleId="Footer">
    <w:name w:val="footer"/>
    <w:basedOn w:val="Normal"/>
    <w:rsid w:val="00B942A3"/>
    <w:pPr>
      <w:tabs>
        <w:tab w:val="center" w:pos="4320"/>
        <w:tab w:val="right" w:pos="8640"/>
      </w:tabs>
    </w:pPr>
  </w:style>
  <w:style w:type="character" w:styleId="PageNumber">
    <w:name w:val="page number"/>
    <w:basedOn w:val="DefaultParagraphFont"/>
    <w:rsid w:val="00B942A3"/>
  </w:style>
  <w:style w:type="paragraph" w:styleId="BalloonText">
    <w:name w:val="Balloon Text"/>
    <w:basedOn w:val="Normal"/>
    <w:semiHidden/>
    <w:rsid w:val="00C57644"/>
    <w:rPr>
      <w:rFonts w:ascii="Tahoma" w:hAnsi="Tahoma" w:cs="Tahoma"/>
      <w:sz w:val="16"/>
      <w:szCs w:val="16"/>
    </w:rPr>
  </w:style>
  <w:style w:type="paragraph" w:styleId="HTMLPreformatted">
    <w:name w:val="HTML Preformatted"/>
    <w:basedOn w:val="Normal"/>
    <w:rsid w:val="00E06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ListParagraph">
    <w:name w:val="List Paragraph"/>
    <w:basedOn w:val="Normal"/>
    <w:uiPriority w:val="34"/>
    <w:qFormat/>
    <w:rsid w:val="00B754F8"/>
    <w:pPr>
      <w:widowControl/>
      <w:ind w:left="720"/>
    </w:pPr>
    <w:rPr>
      <w:rFonts w:ascii="Calibri" w:eastAsia="Calibri" w:hAnsi="Calibri"/>
      <w:snapToGrid/>
      <w:sz w:val="22"/>
      <w:szCs w:val="22"/>
    </w:rPr>
  </w:style>
  <w:style w:type="character" w:customStyle="1" w:styleId="sectno">
    <w:name w:val="sectno"/>
    <w:basedOn w:val="DefaultParagraphFont"/>
    <w:rsid w:val="001C2806"/>
  </w:style>
  <w:style w:type="character" w:customStyle="1" w:styleId="subject">
    <w:name w:val="subject"/>
    <w:basedOn w:val="DefaultParagraphFont"/>
    <w:rsid w:val="001C2806"/>
  </w:style>
  <w:style w:type="character" w:customStyle="1" w:styleId="ptext-25">
    <w:name w:val="ptext-25"/>
    <w:basedOn w:val="DefaultParagraphFont"/>
    <w:rsid w:val="001C2806"/>
  </w:style>
  <w:style w:type="character" w:styleId="Hyperlink">
    <w:name w:val="Hyperlink"/>
    <w:basedOn w:val="DefaultParagraphFont"/>
    <w:unhideWhenUsed/>
    <w:rsid w:val="003B38A5"/>
    <w:rPr>
      <w:color w:val="0000FF" w:themeColor="hyperlink"/>
      <w:u w:val="single"/>
    </w:rPr>
  </w:style>
  <w:style w:type="character" w:styleId="CommentReference">
    <w:name w:val="annotation reference"/>
    <w:basedOn w:val="DefaultParagraphFont"/>
    <w:uiPriority w:val="99"/>
    <w:unhideWhenUsed/>
    <w:rsid w:val="006C5815"/>
    <w:rPr>
      <w:sz w:val="16"/>
      <w:szCs w:val="16"/>
    </w:rPr>
  </w:style>
  <w:style w:type="paragraph" w:styleId="CommentText">
    <w:name w:val="annotation text"/>
    <w:basedOn w:val="Normal"/>
    <w:link w:val="CommentTextChar"/>
    <w:semiHidden/>
    <w:unhideWhenUsed/>
    <w:rsid w:val="006C5815"/>
    <w:rPr>
      <w:sz w:val="20"/>
    </w:rPr>
  </w:style>
  <w:style w:type="character" w:customStyle="1" w:styleId="CommentTextChar">
    <w:name w:val="Comment Text Char"/>
    <w:basedOn w:val="DefaultParagraphFont"/>
    <w:link w:val="CommentText"/>
    <w:semiHidden/>
    <w:rsid w:val="006C5815"/>
    <w:rPr>
      <w:snapToGrid w:val="0"/>
    </w:rPr>
  </w:style>
  <w:style w:type="paragraph" w:styleId="CommentSubject">
    <w:name w:val="annotation subject"/>
    <w:basedOn w:val="CommentText"/>
    <w:next w:val="CommentText"/>
    <w:link w:val="CommentSubjectChar"/>
    <w:semiHidden/>
    <w:unhideWhenUsed/>
    <w:rsid w:val="006C5815"/>
    <w:rPr>
      <w:b/>
      <w:bCs/>
    </w:rPr>
  </w:style>
  <w:style w:type="character" w:customStyle="1" w:styleId="CommentSubjectChar">
    <w:name w:val="Comment Subject Char"/>
    <w:basedOn w:val="CommentTextChar"/>
    <w:link w:val="CommentSubject"/>
    <w:semiHidden/>
    <w:rsid w:val="006C5815"/>
    <w:rPr>
      <w:b/>
      <w:bCs/>
      <w:snapToGrid w:val="0"/>
    </w:rPr>
  </w:style>
  <w:style w:type="character" w:styleId="FollowedHyperlink">
    <w:name w:val="FollowedHyperlink"/>
    <w:basedOn w:val="DefaultParagraphFont"/>
    <w:semiHidden/>
    <w:unhideWhenUsed/>
    <w:rsid w:val="008E57CA"/>
    <w:rPr>
      <w:color w:val="800080" w:themeColor="followedHyperlink"/>
      <w:u w:val="single"/>
    </w:rPr>
  </w:style>
  <w:style w:type="paragraph" w:styleId="NormalWeb">
    <w:name w:val="Normal (Web)"/>
    <w:basedOn w:val="Normal"/>
    <w:semiHidden/>
    <w:unhideWhenUsed/>
    <w:rsid w:val="002F03A3"/>
    <w:rPr>
      <w:szCs w:val="24"/>
    </w:rPr>
  </w:style>
  <w:style w:type="paragraph" w:styleId="EndnoteText">
    <w:name w:val="endnote text"/>
    <w:basedOn w:val="Normal"/>
    <w:link w:val="EndnoteTextChar"/>
    <w:semiHidden/>
    <w:unhideWhenUsed/>
    <w:rsid w:val="002346C0"/>
    <w:rPr>
      <w:sz w:val="20"/>
    </w:rPr>
  </w:style>
  <w:style w:type="character" w:customStyle="1" w:styleId="EndnoteTextChar">
    <w:name w:val="Endnote Text Char"/>
    <w:basedOn w:val="DefaultParagraphFont"/>
    <w:link w:val="EndnoteText"/>
    <w:semiHidden/>
    <w:rsid w:val="002346C0"/>
    <w:rPr>
      <w:snapToGrid w:val="0"/>
    </w:rPr>
  </w:style>
  <w:style w:type="character" w:styleId="EndnoteReference">
    <w:name w:val="endnote reference"/>
    <w:basedOn w:val="DefaultParagraphFont"/>
    <w:semiHidden/>
    <w:unhideWhenUsed/>
    <w:rsid w:val="002346C0"/>
    <w:rPr>
      <w:vertAlign w:val="superscript"/>
    </w:rPr>
  </w:style>
  <w:style w:type="paragraph" w:styleId="FootnoteText">
    <w:name w:val="footnote text"/>
    <w:basedOn w:val="Normal"/>
    <w:link w:val="FootnoteTextChar"/>
    <w:semiHidden/>
    <w:unhideWhenUsed/>
    <w:rsid w:val="002346C0"/>
    <w:rPr>
      <w:sz w:val="20"/>
    </w:rPr>
  </w:style>
  <w:style w:type="character" w:customStyle="1" w:styleId="FootnoteTextChar">
    <w:name w:val="Footnote Text Char"/>
    <w:basedOn w:val="DefaultParagraphFont"/>
    <w:link w:val="FootnoteText"/>
    <w:semiHidden/>
    <w:rsid w:val="002346C0"/>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975516">
      <w:bodyDiv w:val="1"/>
      <w:marLeft w:val="0"/>
      <w:marRight w:val="0"/>
      <w:marTop w:val="0"/>
      <w:marBottom w:val="0"/>
      <w:divBdr>
        <w:top w:val="none" w:sz="0" w:space="0" w:color="auto"/>
        <w:left w:val="none" w:sz="0" w:space="0" w:color="auto"/>
        <w:bottom w:val="none" w:sz="0" w:space="0" w:color="auto"/>
        <w:right w:val="none" w:sz="0" w:space="0" w:color="auto"/>
      </w:divBdr>
    </w:div>
    <w:div w:id="390882539">
      <w:bodyDiv w:val="1"/>
      <w:marLeft w:val="0"/>
      <w:marRight w:val="0"/>
      <w:marTop w:val="0"/>
      <w:marBottom w:val="0"/>
      <w:divBdr>
        <w:top w:val="none" w:sz="0" w:space="0" w:color="auto"/>
        <w:left w:val="none" w:sz="0" w:space="0" w:color="auto"/>
        <w:bottom w:val="none" w:sz="0" w:space="0" w:color="auto"/>
        <w:right w:val="none" w:sz="0" w:space="0" w:color="auto"/>
      </w:divBdr>
    </w:div>
    <w:div w:id="1661930968">
      <w:bodyDiv w:val="1"/>
      <w:marLeft w:val="0"/>
      <w:marRight w:val="0"/>
      <w:marTop w:val="0"/>
      <w:marBottom w:val="0"/>
      <w:divBdr>
        <w:top w:val="none" w:sz="0" w:space="0" w:color="auto"/>
        <w:left w:val="none" w:sz="0" w:space="0" w:color="auto"/>
        <w:bottom w:val="none" w:sz="0" w:space="0" w:color="auto"/>
        <w:right w:val="none" w:sz="0" w:space="0" w:color="auto"/>
      </w:divBdr>
    </w:div>
    <w:div w:id="1973634254">
      <w:bodyDiv w:val="1"/>
      <w:marLeft w:val="0"/>
      <w:marRight w:val="0"/>
      <w:marTop w:val="0"/>
      <w:marBottom w:val="0"/>
      <w:divBdr>
        <w:top w:val="none" w:sz="0" w:space="0" w:color="auto"/>
        <w:left w:val="none" w:sz="0" w:space="0" w:color="auto"/>
        <w:bottom w:val="none" w:sz="0" w:space="0" w:color="auto"/>
        <w:right w:val="none" w:sz="0" w:space="0" w:color="auto"/>
      </w:divBdr>
    </w:div>
    <w:div w:id="20423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viderenrollmentmoratoria@cm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11101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ms.gov/Newsroom/MediaReleaseDatabase/Fact-sheets/2016-Fact-sheets-items/2016-02-22.html" TargetMode="External"/><Relationship Id="rId4" Type="http://schemas.openxmlformats.org/officeDocument/2006/relationships/settings" Target="settings.xml"/><Relationship Id="rId9" Type="http://schemas.openxmlformats.org/officeDocument/2006/relationships/hyperlink" Target="mailto:providerenrollmentmoratoria@cm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DF333-C7AE-4899-A064-D81CB22CE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1665</Words>
  <Characters>9947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HCFA</Company>
  <LinksUpToDate>false</LinksUpToDate>
  <CharactersWithSpaces>11589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WILLIAM PARHAM</cp:lastModifiedBy>
  <cp:revision>2</cp:revision>
  <cp:lastPrinted>2016-07-22T20:01:00Z</cp:lastPrinted>
  <dcterms:created xsi:type="dcterms:W3CDTF">2016-08-03T18:23:00Z</dcterms:created>
  <dcterms:modified xsi:type="dcterms:W3CDTF">2016-08-03T18:23:00Z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-1941663311</vt:i4>
  </property>
  <property fmtid="{D5CDD505-2E9C-101B-9397-08002B2CF9AE}" pid="4" name="_EmailSubject">
    <vt:lpwstr>UPDATE - CPI Emergency Request</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2054388069</vt:i4>
  </property>
</Properties>
</file>