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B2FC" w14:textId="77777777" w:rsidR="00285035" w:rsidRPr="000E176C" w:rsidRDefault="00285035" w:rsidP="000E176C">
      <w:pPr>
        <w:pStyle w:val="BodyText"/>
        <w:rPr>
          <w:b/>
          <w:bCs/>
        </w:rPr>
      </w:pPr>
      <w:r w:rsidRPr="000E176C">
        <w:rPr>
          <w:b/>
          <w:bCs/>
        </w:rPr>
        <w:t>Supporting Statement – Part A</w:t>
      </w:r>
    </w:p>
    <w:p w14:paraId="49B5B2FD" w14:textId="582C98F1" w:rsidR="000E176C" w:rsidRPr="000E176C" w:rsidRDefault="00FF6DB8" w:rsidP="000E176C">
      <w:pPr>
        <w:pStyle w:val="BodyText"/>
        <w:rPr>
          <w:b/>
          <w:bCs/>
        </w:rPr>
      </w:pPr>
      <w:r w:rsidRPr="000E176C">
        <w:rPr>
          <w:b/>
          <w:bCs/>
        </w:rPr>
        <w:t xml:space="preserve">Revised and New </w:t>
      </w:r>
      <w:r w:rsidR="00285035" w:rsidRPr="000E176C">
        <w:rPr>
          <w:b/>
          <w:bCs/>
        </w:rPr>
        <w:t>Proced</w:t>
      </w:r>
      <w:r w:rsidR="006C0103" w:rsidRPr="000E176C">
        <w:rPr>
          <w:b/>
          <w:bCs/>
        </w:rPr>
        <w:t>ural Requirements for the FY</w:t>
      </w:r>
      <w:r w:rsidR="004061BA" w:rsidRPr="000E176C">
        <w:rPr>
          <w:b/>
          <w:bCs/>
        </w:rPr>
        <w:t xml:space="preserve"> </w:t>
      </w:r>
      <w:r w:rsidR="000D201C" w:rsidRPr="000E176C">
        <w:rPr>
          <w:b/>
          <w:bCs/>
        </w:rPr>
        <w:t>201</w:t>
      </w:r>
      <w:r w:rsidR="000D201C">
        <w:rPr>
          <w:b/>
          <w:bCs/>
        </w:rPr>
        <w:t>7</w:t>
      </w:r>
      <w:r w:rsidR="000D201C" w:rsidRPr="000E176C">
        <w:rPr>
          <w:b/>
          <w:bCs/>
        </w:rPr>
        <w:t xml:space="preserve"> </w:t>
      </w:r>
      <w:r w:rsidR="00285035" w:rsidRPr="000E176C">
        <w:rPr>
          <w:b/>
          <w:bCs/>
        </w:rPr>
        <w:t>Inpatient Psychiatric Facility</w:t>
      </w:r>
    </w:p>
    <w:p w14:paraId="49B5B2FE" w14:textId="77777777" w:rsidR="00285035" w:rsidRPr="000E176C" w:rsidRDefault="00285035" w:rsidP="000E176C">
      <w:pPr>
        <w:pStyle w:val="BodyText"/>
        <w:rPr>
          <w:b/>
          <w:bCs/>
        </w:rPr>
      </w:pPr>
      <w:r w:rsidRPr="000E176C">
        <w:rPr>
          <w:b/>
          <w:bCs/>
        </w:rPr>
        <w:t xml:space="preserve">Quality Reporting </w:t>
      </w:r>
      <w:r w:rsidR="005873F2" w:rsidRPr="000E176C">
        <w:rPr>
          <w:b/>
          <w:bCs/>
        </w:rPr>
        <w:t xml:space="preserve">(IPFQR) </w:t>
      </w:r>
      <w:r w:rsidRPr="000E176C">
        <w:rPr>
          <w:b/>
          <w:bCs/>
        </w:rPr>
        <w:t>Program</w:t>
      </w:r>
    </w:p>
    <w:p w14:paraId="49B5B2FF" w14:textId="24831F29" w:rsidR="000E176C" w:rsidRDefault="000E176C" w:rsidP="000E176C">
      <w:pPr>
        <w:pStyle w:val="BodyText"/>
        <w:rPr>
          <w:b/>
          <w:bCs/>
        </w:rPr>
      </w:pPr>
      <w:r w:rsidRPr="000E176C">
        <w:rPr>
          <w:b/>
          <w:bCs/>
        </w:rPr>
        <w:t>CMS-10432, O</w:t>
      </w:r>
      <w:r w:rsidR="002172E4">
        <w:rPr>
          <w:b/>
          <w:bCs/>
        </w:rPr>
        <w:t>MB</w:t>
      </w:r>
      <w:r w:rsidRPr="000E176C">
        <w:rPr>
          <w:b/>
          <w:bCs/>
        </w:rPr>
        <w:t xml:space="preserve"> 0938-1171</w:t>
      </w:r>
    </w:p>
    <w:p w14:paraId="29986D4D" w14:textId="77777777" w:rsidR="00337D3A" w:rsidRDefault="00337D3A" w:rsidP="000E176C">
      <w:pPr>
        <w:pStyle w:val="BodyText"/>
        <w:rPr>
          <w:b/>
          <w:bCs/>
        </w:rPr>
      </w:pPr>
    </w:p>
    <w:p w14:paraId="49B5B300" w14:textId="101200BA" w:rsidR="000E176C" w:rsidRPr="00337D3A" w:rsidRDefault="00337D3A" w:rsidP="00337D3A">
      <w:pPr>
        <w:pStyle w:val="BodyText"/>
        <w:jc w:val="left"/>
        <w:rPr>
          <w:bCs/>
        </w:rPr>
      </w:pPr>
      <w:r w:rsidRPr="00337D3A">
        <w:rPr>
          <w:bCs/>
        </w:rPr>
        <w:t>This</w:t>
      </w:r>
      <w:r w:rsidR="00F65FF4">
        <w:rPr>
          <w:bCs/>
        </w:rPr>
        <w:t xml:space="preserve"> package is associated with the </w:t>
      </w:r>
      <w:r w:rsidR="003D7D3C">
        <w:rPr>
          <w:bCs/>
        </w:rPr>
        <w:t xml:space="preserve">August </w:t>
      </w:r>
      <w:r w:rsidR="00CB47EA">
        <w:rPr>
          <w:bCs/>
        </w:rPr>
        <w:t>22</w:t>
      </w:r>
      <w:r w:rsidR="003D7D3C">
        <w:rPr>
          <w:bCs/>
        </w:rPr>
        <w:t>, 2016 final rule: CMS-1655-F, RIN-0938-</w:t>
      </w:r>
      <w:r w:rsidR="00CB47EA">
        <w:rPr>
          <w:bCs/>
        </w:rPr>
        <w:t>AS77</w:t>
      </w:r>
      <w:r w:rsidR="003D7D3C">
        <w:rPr>
          <w:bCs/>
        </w:rPr>
        <w:t>.</w:t>
      </w:r>
    </w:p>
    <w:p w14:paraId="49B5B301" w14:textId="77777777" w:rsidR="00285035" w:rsidRPr="00337D3A" w:rsidRDefault="00285035" w:rsidP="00337D3A">
      <w:pPr>
        <w:pStyle w:val="BodyText"/>
        <w:jc w:val="left"/>
        <w:rPr>
          <w:u w:val="single"/>
        </w:rPr>
      </w:pPr>
    </w:p>
    <w:p w14:paraId="49B5B302" w14:textId="77777777" w:rsidR="00285035" w:rsidRPr="000E176C" w:rsidRDefault="00285035" w:rsidP="000E176C">
      <w:pPr>
        <w:pStyle w:val="Heading1"/>
        <w:numPr>
          <w:ilvl w:val="0"/>
          <w:numId w:val="0"/>
        </w:numPr>
        <w:rPr>
          <w:b/>
          <w:u w:val="none"/>
        </w:rPr>
      </w:pPr>
      <w:r w:rsidRPr="000E176C">
        <w:rPr>
          <w:b/>
          <w:u w:val="none"/>
        </w:rPr>
        <w:t>Background</w:t>
      </w:r>
    </w:p>
    <w:p w14:paraId="49B5B303" w14:textId="77777777" w:rsidR="00285035" w:rsidRPr="00AD0DDE" w:rsidRDefault="00285035" w:rsidP="000E176C"/>
    <w:p w14:paraId="49B5B304" w14:textId="453E6D6A" w:rsidR="00285035" w:rsidRPr="00AD0DDE" w:rsidRDefault="00285035" w:rsidP="00285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0DDE">
        <w:t>Pursuant to section 1886(s)(4) of the Social Security Act, as amended by sections 3401 and 10322 of the Affordable Care Act</w:t>
      </w:r>
      <w:r w:rsidR="00544EE8">
        <w:t xml:space="preserve"> (ACA)</w:t>
      </w:r>
      <w:r w:rsidRPr="00AD0DDE">
        <w:t xml:space="preserve">, starting in </w:t>
      </w:r>
      <w:r w:rsidR="00A52654">
        <w:t>fiscal year (</w:t>
      </w:r>
      <w:r w:rsidRPr="00AD0DDE">
        <w:t>FY</w:t>
      </w:r>
      <w:r w:rsidR="00A52654">
        <w:t>)</w:t>
      </w:r>
      <w:r w:rsidRPr="00AD0DDE">
        <w:t xml:space="preserve"> 2014, and for subsequent </w:t>
      </w:r>
      <w:r w:rsidR="005756A1">
        <w:t>FYs</w:t>
      </w:r>
      <w:r w:rsidRPr="00AD0DDE">
        <w:t xml:space="preserve">, </w:t>
      </w:r>
      <w:r w:rsidR="006C0103">
        <w:t>I</w:t>
      </w:r>
      <w:r w:rsidRPr="00AD0DDE">
        <w:t xml:space="preserve">npatient </w:t>
      </w:r>
      <w:r w:rsidR="006C0103">
        <w:t>P</w:t>
      </w:r>
      <w:r w:rsidRPr="00AD0DDE">
        <w:t xml:space="preserve">sychiatric </w:t>
      </w:r>
      <w:r w:rsidR="006C0103">
        <w:t>F</w:t>
      </w:r>
      <w:r w:rsidRPr="00AD0DDE">
        <w:t xml:space="preserve">acilities (IPF) shall submit pre-defined quality measures to </w:t>
      </w:r>
      <w:r w:rsidR="00094AC1">
        <w:t>the Centers for Medicare &amp;</w:t>
      </w:r>
      <w:r w:rsidR="006C0103">
        <w:t xml:space="preserve"> Medicaid Services (CMS)</w:t>
      </w:r>
      <w:r w:rsidRPr="00AD0DDE">
        <w:t xml:space="preserve">. </w:t>
      </w:r>
      <w:r w:rsidR="00544EE8" w:rsidRPr="00AD0DDE">
        <w:t xml:space="preserve"> </w:t>
      </w:r>
      <w:r w:rsidRPr="00AD0DDE">
        <w:t xml:space="preserve">IPFs </w:t>
      </w:r>
      <w:r w:rsidR="007B0DE8">
        <w:t>that fail</w:t>
      </w:r>
      <w:r w:rsidRPr="00AD0DDE">
        <w:t xml:space="preserve"> to report on the selected quality measures </w:t>
      </w:r>
      <w:r w:rsidR="00A52654">
        <w:t xml:space="preserve">and comply with other administrative requirements </w:t>
      </w:r>
      <w:r w:rsidRPr="00AD0DDE">
        <w:t xml:space="preserve">will have their IPF </w:t>
      </w:r>
      <w:r w:rsidR="00A52654">
        <w:t>prospective payment system (</w:t>
      </w:r>
      <w:r w:rsidRPr="00AD0DDE">
        <w:t>PPS</w:t>
      </w:r>
      <w:r w:rsidR="00A52654">
        <w:t>)</w:t>
      </w:r>
      <w:r w:rsidRPr="00AD0DDE">
        <w:t xml:space="preserve"> payment updates reduced by 2.0 percentage points. </w:t>
      </w:r>
      <w:r w:rsidR="005918DA">
        <w:t xml:space="preserve"> </w:t>
      </w:r>
      <w:r w:rsidRPr="00AD0DDE">
        <w:t xml:space="preserve">To comply with the statutory mandate, we are </w:t>
      </w:r>
      <w:r w:rsidR="009C4392">
        <w:t>updating</w:t>
      </w:r>
      <w:r w:rsidR="009C4392" w:rsidRPr="00AD0DDE">
        <w:t xml:space="preserve"> </w:t>
      </w:r>
      <w:r w:rsidRPr="00AD0DDE">
        <w:t xml:space="preserve">the Inpatient Psychiatric </w:t>
      </w:r>
      <w:r w:rsidR="006C0103">
        <w:t xml:space="preserve">Facilities </w:t>
      </w:r>
      <w:r w:rsidRPr="00AD0DDE">
        <w:t>Quality Reporting (IPFQR) Program</w:t>
      </w:r>
      <w:r w:rsidR="009C4392">
        <w:t xml:space="preserve"> for </w:t>
      </w:r>
      <w:r w:rsidR="0077106B">
        <w:t>FY 201</w:t>
      </w:r>
      <w:r w:rsidR="00F65FF4">
        <w:t>9</w:t>
      </w:r>
      <w:r w:rsidR="009C4392">
        <w:t>.</w:t>
      </w:r>
      <w:r w:rsidRPr="00AD0DDE">
        <w:t xml:space="preserve">  </w:t>
      </w:r>
      <w:r w:rsidR="00AF5617">
        <w:t xml:space="preserve">This package addresses the increase in burden associated with addition </w:t>
      </w:r>
      <w:r w:rsidR="0001645B">
        <w:t xml:space="preserve">in the FY 2017 IPPS/LTCH PPS final rule </w:t>
      </w:r>
      <w:r w:rsidR="00AF5617">
        <w:t xml:space="preserve">of the SUB-3 Alcohol &amp; Other Drug Use Disorder Treatment Provided or Offered and Discharge and SUB-3a Alcohol &amp; Other Drug Use Disorder Treatment at Discharge measure beginning with FY 2019 payment determination.    </w:t>
      </w:r>
    </w:p>
    <w:p w14:paraId="70995CCD" w14:textId="77777777" w:rsidR="0094437B" w:rsidRDefault="0094437B" w:rsidP="00285035"/>
    <w:p w14:paraId="49B5B370" w14:textId="77777777" w:rsidR="00285035" w:rsidRPr="00094AC1" w:rsidRDefault="00285035" w:rsidP="00094AC1">
      <w:pPr>
        <w:pStyle w:val="Heading1"/>
        <w:numPr>
          <w:ilvl w:val="0"/>
          <w:numId w:val="2"/>
        </w:numPr>
        <w:ind w:left="360"/>
        <w:rPr>
          <w:b/>
          <w:sz w:val="26"/>
          <w:szCs w:val="26"/>
          <w:u w:val="none"/>
        </w:rPr>
      </w:pPr>
      <w:r w:rsidRPr="00094AC1">
        <w:rPr>
          <w:b/>
          <w:sz w:val="26"/>
          <w:szCs w:val="26"/>
          <w:u w:val="none"/>
        </w:rPr>
        <w:t>Justification</w:t>
      </w:r>
    </w:p>
    <w:p w14:paraId="49B5B371" w14:textId="77777777" w:rsidR="00285035" w:rsidRPr="00AD0DDE" w:rsidRDefault="00285035" w:rsidP="00285035"/>
    <w:p w14:paraId="49B5B372" w14:textId="77777777" w:rsidR="00285035" w:rsidRPr="00AD0DDE" w:rsidRDefault="00285035" w:rsidP="00285035">
      <w:pPr>
        <w:pStyle w:val="ListParagraph"/>
        <w:numPr>
          <w:ilvl w:val="1"/>
          <w:numId w:val="2"/>
        </w:numPr>
        <w:rPr>
          <w:b/>
        </w:rPr>
      </w:pPr>
      <w:r w:rsidRPr="00AD0DDE">
        <w:rPr>
          <w:b/>
        </w:rPr>
        <w:t>Need and Legal Basis</w:t>
      </w:r>
    </w:p>
    <w:p w14:paraId="49B5B373" w14:textId="77777777" w:rsidR="00285035" w:rsidRPr="00AD0DDE" w:rsidRDefault="00285035" w:rsidP="00285035">
      <w:pPr>
        <w:pStyle w:val="ListParagraph"/>
        <w:ind w:left="1890"/>
        <w:rPr>
          <w:b/>
          <w:u w:val="single"/>
        </w:rPr>
      </w:pPr>
    </w:p>
    <w:p w14:paraId="49B5B374" w14:textId="65376B33" w:rsidR="00285035" w:rsidRDefault="00285035" w:rsidP="002850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 xml:space="preserve">Section 1886(s)(4)(C) of the Act requires that, for FY 2014 (October 1, 2013 through September 30, 2014) and each subsequent </w:t>
      </w:r>
      <w:r w:rsidR="00AC6250">
        <w:t>FY</w:t>
      </w:r>
      <w:r w:rsidRPr="00AD0DDE">
        <w:t xml:space="preserve">, each psychiatric hospital and psychiatric unit shall submit to the Secretary data on quality measures as specified by the Secretary. </w:t>
      </w:r>
      <w:r w:rsidR="005918DA">
        <w:t xml:space="preserve"> </w:t>
      </w:r>
      <w:r w:rsidRPr="00AD0DDE">
        <w:t>Such data shall be submitted in a form and manner, and at a time, specified by the Secretary.</w:t>
      </w:r>
    </w:p>
    <w:p w14:paraId="08B06371" w14:textId="1A9BDD6F" w:rsidR="003D7D3C" w:rsidRPr="00AD0DDE" w:rsidRDefault="003D7D3C" w:rsidP="002850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3D7D3C">
        <w:t>The following is a list of measures included in the IPFQR Program and a brief explanation of their inclusion in this program.</w:t>
      </w:r>
    </w:p>
    <w:p w14:paraId="4E4BEAC1" w14:textId="1A187918" w:rsidR="0094437B" w:rsidRPr="00454F84" w:rsidRDefault="0094437B" w:rsidP="00454F84">
      <w:pPr>
        <w:pStyle w:val="ListParagraph"/>
        <w:numPr>
          <w:ilvl w:val="0"/>
          <w:numId w:val="20"/>
        </w:numPr>
        <w:ind w:left="360"/>
        <w:rPr>
          <w:iCs/>
        </w:rPr>
      </w:pPr>
      <w:r w:rsidRPr="00454F84">
        <w:rPr>
          <w:iCs/>
        </w:rPr>
        <w:t xml:space="preserve">The </w:t>
      </w:r>
      <w:r w:rsidR="003D7D3C">
        <w:rPr>
          <w:iCs/>
        </w:rPr>
        <w:t>Hospital-Based Inpatient Psychiatric Services (</w:t>
      </w:r>
      <w:r w:rsidRPr="00454F84">
        <w:rPr>
          <w:iCs/>
        </w:rPr>
        <w:t>HBIPS</w:t>
      </w:r>
      <w:r w:rsidR="003D7D3C">
        <w:rPr>
          <w:iCs/>
        </w:rPr>
        <w:t>)</w:t>
      </w:r>
      <w:r w:rsidRPr="00454F84">
        <w:rPr>
          <w:iCs/>
        </w:rPr>
        <w:t xml:space="preserve"> measures were chosen because </w:t>
      </w:r>
      <w:r w:rsidR="00196197" w:rsidRPr="00454F84">
        <w:rPr>
          <w:iCs/>
        </w:rPr>
        <w:t>The Joint Commission (</w:t>
      </w:r>
      <w:r w:rsidRPr="00454F84">
        <w:rPr>
          <w:iCs/>
        </w:rPr>
        <w:t>TJC</w:t>
      </w:r>
      <w:r w:rsidR="00196197" w:rsidRPr="00454F84">
        <w:rPr>
          <w:iCs/>
        </w:rPr>
        <w:t>)</w:t>
      </w:r>
      <w:r w:rsidRPr="00454F84">
        <w:rPr>
          <w:iCs/>
        </w:rPr>
        <w:t xml:space="preserve"> has utilized them for </w:t>
      </w:r>
      <w:r w:rsidR="006A56BE" w:rsidRPr="00454F84">
        <w:rPr>
          <w:iCs/>
        </w:rPr>
        <w:t xml:space="preserve">several </w:t>
      </w:r>
      <w:r w:rsidRPr="00454F84">
        <w:rPr>
          <w:iCs/>
        </w:rPr>
        <w:t>years to evaluate and assess related quality of care in their member IPFs.  CMS determined that these same measures, and the data collection definitions that have been tested and proven to improve quality of care and to identify areas of need for quality of care improvement, are valuable within all CMS-certified IPFs.</w:t>
      </w:r>
      <w:r w:rsidRPr="00AD0DDE">
        <w:t xml:space="preserve"> </w:t>
      </w:r>
      <w:r>
        <w:t xml:space="preserve"> </w:t>
      </w:r>
      <w:r w:rsidR="003D7D3C">
        <w:t xml:space="preserve">CMS continues to require reporting on three of these measures (HBIPS-2, HBIPS-3, and HBIPS-5).  </w:t>
      </w:r>
      <w:r w:rsidRPr="00AD0DDE">
        <w:t>Documentation on the TJC website at the link below provides details to show how reporting on the</w:t>
      </w:r>
      <w:r>
        <w:t>se</w:t>
      </w:r>
      <w:r w:rsidRPr="00AD0DDE">
        <w:t xml:space="preserve"> measures has brought attention to the actions necessary to improve the care provided related to the measures. </w:t>
      </w:r>
      <w:hyperlink r:id="rId8" w:history="1">
        <w:r w:rsidRPr="00934A99">
          <w:rPr>
            <w:rStyle w:val="Hyperlink"/>
            <w:iCs/>
          </w:rPr>
          <w:t>http://www.jointcommission.org/assets/1/6/TJC_Annual_Report_2011_9_13_11_.pdf</w:t>
        </w:r>
      </w:hyperlink>
      <w:r w:rsidRPr="00454F84">
        <w:rPr>
          <w:iCs/>
        </w:rPr>
        <w:t>.</w:t>
      </w:r>
    </w:p>
    <w:p w14:paraId="5179D79D" w14:textId="77777777" w:rsidR="0094437B" w:rsidRPr="00D9592F" w:rsidRDefault="0094437B" w:rsidP="0094437B"/>
    <w:p w14:paraId="4A517248" w14:textId="7FD5010D" w:rsidR="0094437B" w:rsidRPr="00D9592F" w:rsidRDefault="0094437B" w:rsidP="0094437B">
      <w:pPr>
        <w:pStyle w:val="ListParagraph"/>
        <w:numPr>
          <w:ilvl w:val="0"/>
          <w:numId w:val="13"/>
        </w:numPr>
        <w:ind w:left="360"/>
      </w:pPr>
      <w:r w:rsidRPr="00D71D28">
        <w:t xml:space="preserve">The </w:t>
      </w:r>
      <w:r w:rsidRPr="002505ED">
        <w:t>SUB-1</w:t>
      </w:r>
      <w:r w:rsidR="005756A1">
        <w:t xml:space="preserve">, </w:t>
      </w:r>
      <w:r>
        <w:t>SUB-2 and SUB-2a</w:t>
      </w:r>
      <w:r w:rsidR="005756A1">
        <w:t xml:space="preserve">, </w:t>
      </w:r>
      <w:r w:rsidR="00F65FF4">
        <w:t>and SUB-3 and SUB-3a</w:t>
      </w:r>
      <w:r>
        <w:t xml:space="preserve"> </w:t>
      </w:r>
      <w:r w:rsidRPr="002505ED">
        <w:t>measure</w:t>
      </w:r>
      <w:r>
        <w:t>s are</w:t>
      </w:r>
      <w:r w:rsidRPr="00D9592F">
        <w:t xml:space="preserve"> specified by TJC to evaluate and assess quality of care for inpatient hospitals. </w:t>
      </w:r>
      <w:r>
        <w:t xml:space="preserve"> </w:t>
      </w:r>
      <w:r w:rsidRPr="00D9592F">
        <w:t xml:space="preserve">CMS has determined that </w:t>
      </w:r>
      <w:r>
        <w:t xml:space="preserve">these </w:t>
      </w:r>
      <w:r>
        <w:lastRenderedPageBreak/>
        <w:t>measures</w:t>
      </w:r>
      <w:r w:rsidRPr="00D9592F">
        <w:t xml:space="preserve"> relate to important aspects of the </w:t>
      </w:r>
      <w:r w:rsidR="006A56BE">
        <w:t>National Quality Strategy (</w:t>
      </w:r>
      <w:r w:rsidRPr="00D9592F">
        <w:t>NQS</w:t>
      </w:r>
      <w:r w:rsidR="006A56BE">
        <w:t>)</w:t>
      </w:r>
      <w:r w:rsidRPr="00D9592F">
        <w:t>, and that th</w:t>
      </w:r>
      <w:r w:rsidR="006A56BE">
        <w:t>ese</w:t>
      </w:r>
      <w:r w:rsidRPr="00D9592F">
        <w:t xml:space="preserve"> measure</w:t>
      </w:r>
      <w:r w:rsidR="006A56BE">
        <w:t>s</w:t>
      </w:r>
      <w:r w:rsidRPr="00D9592F">
        <w:t xml:space="preserve"> will help to improve quality of care and the patient-centered aspect of care across multiple settings. </w:t>
      </w:r>
      <w:r>
        <w:t xml:space="preserve"> </w:t>
      </w:r>
      <w:r w:rsidR="003D7D3C">
        <w:t xml:space="preserve">In this ICR CMS is adding the SUB-3 and SUB-3a measure for </w:t>
      </w:r>
      <w:r w:rsidR="006A799D">
        <w:t>F</w:t>
      </w:r>
      <w:r w:rsidR="003D7D3C">
        <w:t xml:space="preserve">Y 2019 and subsequent years, SUB-1 as well as SUB-2 and SUB-2a were previously adopted and are continuing in the program.  </w:t>
      </w:r>
      <w:r w:rsidRPr="00D9592F">
        <w:t>Documentation on the TJC website at the link below provides details on the specification of th</w:t>
      </w:r>
      <w:r w:rsidR="00AC6250">
        <w:t>ese</w:t>
      </w:r>
      <w:r w:rsidRPr="00D9592F">
        <w:t xml:space="preserve"> measure</w:t>
      </w:r>
      <w:r w:rsidR="00AC6250">
        <w:t>s</w:t>
      </w:r>
      <w:r w:rsidRPr="00D9592F">
        <w:t>.</w:t>
      </w:r>
    </w:p>
    <w:p w14:paraId="319A229A" w14:textId="76046A40" w:rsidR="0094437B" w:rsidRPr="00D9592F" w:rsidRDefault="004A77B0" w:rsidP="00454F84">
      <w:pPr>
        <w:ind w:left="360"/>
      </w:pPr>
      <w:hyperlink r:id="rId9" w:history="1">
        <w:r w:rsidR="005756A1" w:rsidRPr="00934A99">
          <w:rPr>
            <w:rStyle w:val="Hyperlink"/>
          </w:rPr>
          <w:t>http://www.jointcommission.org/specifications_manual_for_national_hospital_inpatient_quality_measures.aspx</w:t>
        </w:r>
      </w:hyperlink>
      <w:r w:rsidR="0094437B" w:rsidRPr="00A977D0">
        <w:rPr>
          <w:color w:val="1F497D"/>
        </w:rPr>
        <w:t>.</w:t>
      </w:r>
      <w:r w:rsidR="0094437B" w:rsidRPr="00EC6F5A">
        <w:rPr>
          <w:color w:val="1F497D"/>
        </w:rPr>
        <w:t> </w:t>
      </w:r>
    </w:p>
    <w:p w14:paraId="012E3DC0" w14:textId="77777777" w:rsidR="0094437B" w:rsidRDefault="0094437B" w:rsidP="0094437B"/>
    <w:p w14:paraId="3145E158" w14:textId="5B8D74EE" w:rsidR="0094437B" w:rsidRPr="00AC6250" w:rsidRDefault="0094437B" w:rsidP="0094437B">
      <w:pPr>
        <w:pStyle w:val="ListParagraph"/>
        <w:numPr>
          <w:ilvl w:val="0"/>
          <w:numId w:val="13"/>
        </w:numPr>
        <w:ind w:left="360"/>
        <w:rPr>
          <w:rStyle w:val="Hyperlink"/>
          <w:color w:val="auto"/>
          <w:u w:val="none"/>
        </w:rPr>
      </w:pPr>
      <w:r w:rsidRPr="00D9592F">
        <w:t xml:space="preserve">The </w:t>
      </w:r>
      <w:r>
        <w:t>FUH m</w:t>
      </w:r>
      <w:r w:rsidRPr="001C011A">
        <w:t>easure was identified as a high-</w:t>
      </w:r>
      <w:r w:rsidRPr="002C5A1A">
        <w:t xml:space="preserve">impact measure for improving care for the vulnerable dual eligible population. </w:t>
      </w:r>
      <w:r>
        <w:t xml:space="preserve"> </w:t>
      </w:r>
      <w:r w:rsidRPr="002C5A1A">
        <w:t xml:space="preserve">This </w:t>
      </w:r>
      <w:r w:rsidR="006A56BE">
        <w:t>National Quality Forum (</w:t>
      </w:r>
      <w:r w:rsidRPr="002C5A1A">
        <w:t>NQF</w:t>
      </w:r>
      <w:r w:rsidR="006A56BE">
        <w:t>)</w:t>
      </w:r>
      <w:r w:rsidRPr="002C5A1A">
        <w:t>-endorsed measure addresses several principles of the NQS</w:t>
      </w:r>
      <w:r>
        <w:t>,</w:t>
      </w:r>
      <w:r w:rsidRPr="002C5A1A">
        <w:t xml:space="preserve"> while focusing on the person</w:t>
      </w:r>
      <w:r w:rsidRPr="00700735">
        <w:t xml:space="preserve">-centered episode of care. </w:t>
      </w:r>
      <w:r>
        <w:t xml:space="preserve"> </w:t>
      </w:r>
      <w:r w:rsidRPr="00700735">
        <w:t>Information regarding this measure, including evidence of its impact, can be found at the link below.</w:t>
      </w:r>
      <w:r w:rsidR="00AC6250">
        <w:t xml:space="preserve"> </w:t>
      </w:r>
      <w:hyperlink r:id="rId10" w:history="1">
        <w:r w:rsidRPr="00AC6250">
          <w:rPr>
            <w:rStyle w:val="Hyperlink"/>
            <w:color w:val="0000CC"/>
          </w:rPr>
          <w:t>http://www.qualityforum.org/WorkArea/linkit.aspx?LinkIdentifier=id&amp;ItemID=70617</w:t>
        </w:r>
      </w:hyperlink>
    </w:p>
    <w:p w14:paraId="6E4AC35B" w14:textId="77777777" w:rsidR="00AC6250" w:rsidRDefault="00AC6250" w:rsidP="00AC6250">
      <w:pPr>
        <w:pStyle w:val="ListParagraph"/>
        <w:autoSpaceDE w:val="0"/>
        <w:autoSpaceDN w:val="0"/>
        <w:adjustRightInd w:val="0"/>
        <w:ind w:left="360"/>
        <w:rPr>
          <w:rFonts w:eastAsia="Calibri" w:cs="Calibri"/>
        </w:rPr>
      </w:pPr>
    </w:p>
    <w:p w14:paraId="7525D98F" w14:textId="6CACC521" w:rsidR="0094437B" w:rsidRPr="0094437B" w:rsidRDefault="0094437B" w:rsidP="0094437B">
      <w:pPr>
        <w:pStyle w:val="ListParagraph"/>
        <w:numPr>
          <w:ilvl w:val="0"/>
          <w:numId w:val="13"/>
        </w:numPr>
        <w:autoSpaceDE w:val="0"/>
        <w:autoSpaceDN w:val="0"/>
        <w:adjustRightInd w:val="0"/>
        <w:ind w:left="360"/>
        <w:rPr>
          <w:rFonts w:eastAsia="Calibri" w:cs="Calibri"/>
        </w:rPr>
      </w:pPr>
      <w:r w:rsidRPr="0094437B">
        <w:rPr>
          <w:rFonts w:eastAsia="Calibri" w:cs="Calibri"/>
        </w:rPr>
        <w:t xml:space="preserve">The Assessment of Patient Experience of Care measure was chosen because it will begin to provide information on a NQS priority area that was </w:t>
      </w:r>
      <w:r w:rsidR="006A56BE">
        <w:rPr>
          <w:rFonts w:eastAsia="Calibri" w:cs="Calibri"/>
        </w:rPr>
        <w:t xml:space="preserve">previously </w:t>
      </w:r>
      <w:r w:rsidRPr="0094437B">
        <w:rPr>
          <w:rFonts w:eastAsia="Calibri" w:cs="Calibri"/>
        </w:rPr>
        <w:t xml:space="preserve">unaddressed in the IPFQR </w:t>
      </w:r>
      <w:r w:rsidR="006A56BE">
        <w:rPr>
          <w:rFonts w:eastAsia="Calibri" w:cs="Calibri"/>
        </w:rPr>
        <w:t>P</w:t>
      </w:r>
      <w:r w:rsidR="006A56BE" w:rsidRPr="0094437B">
        <w:rPr>
          <w:rFonts w:eastAsia="Calibri" w:cs="Calibri"/>
        </w:rPr>
        <w:t>rogram</w:t>
      </w:r>
      <w:r w:rsidRPr="0094437B">
        <w:rPr>
          <w:rFonts w:eastAsia="Calibri" w:cs="Calibri"/>
        </w:rPr>
        <w:t xml:space="preserve">, namely, </w:t>
      </w:r>
      <w:r w:rsidR="006610F3">
        <w:rPr>
          <w:rFonts w:eastAsia="Calibri" w:cs="Calibri"/>
        </w:rPr>
        <w:t>ensuring that each person and family is engaged as partners in their care</w:t>
      </w:r>
      <w:r w:rsidRPr="0094437B">
        <w:rPr>
          <w:rFonts w:eastAsia="Calibri" w:cs="Calibri"/>
        </w:rPr>
        <w:t>.</w:t>
      </w:r>
    </w:p>
    <w:p w14:paraId="481849E5" w14:textId="77777777" w:rsidR="0094437B" w:rsidRDefault="0094437B" w:rsidP="0094437B">
      <w:pPr>
        <w:autoSpaceDE w:val="0"/>
        <w:autoSpaceDN w:val="0"/>
        <w:adjustRightInd w:val="0"/>
        <w:rPr>
          <w:rFonts w:eastAsia="Calibri" w:cs="Calibri"/>
        </w:rPr>
      </w:pPr>
    </w:p>
    <w:p w14:paraId="66D7B546" w14:textId="77777777" w:rsidR="0094437B" w:rsidRPr="0094437B" w:rsidRDefault="0094437B" w:rsidP="0094437B">
      <w:pPr>
        <w:pStyle w:val="ListParagraph"/>
        <w:numPr>
          <w:ilvl w:val="0"/>
          <w:numId w:val="13"/>
        </w:numPr>
        <w:autoSpaceDE w:val="0"/>
        <w:autoSpaceDN w:val="0"/>
        <w:adjustRightInd w:val="0"/>
        <w:ind w:left="360"/>
        <w:rPr>
          <w:rFonts w:eastAsia="Calibri" w:cs="Calibri"/>
        </w:rPr>
      </w:pPr>
      <w:r w:rsidRPr="0094437B">
        <w:rPr>
          <w:rFonts w:eastAsia="Calibri" w:cs="Calibri"/>
        </w:rPr>
        <w:t xml:space="preserve">The Use of an Electronic Health Record measure provides important information about an element of IPF service delivery shown to be associated with the delivery of quality care.  It also provides useful information to consumers and others in choosing among different facilities.  Moreover, this measure supports the exchange of health information across care partners and during transitions of care, which is a priority area for a number of Department of Health &amp; Human Services (HHS) initiatives. </w:t>
      </w:r>
    </w:p>
    <w:p w14:paraId="7C522B86" w14:textId="77777777" w:rsidR="0094437B" w:rsidRDefault="0094437B" w:rsidP="0094437B">
      <w:pPr>
        <w:autoSpaceDE w:val="0"/>
        <w:autoSpaceDN w:val="0"/>
        <w:adjustRightInd w:val="0"/>
        <w:rPr>
          <w:rFonts w:eastAsia="Calibri" w:cs="Calibri"/>
        </w:rPr>
      </w:pPr>
    </w:p>
    <w:p w14:paraId="775C9F80" w14:textId="03EF498B" w:rsidR="0094437B" w:rsidRPr="0094437B" w:rsidRDefault="0094437B" w:rsidP="006A1A44">
      <w:pPr>
        <w:pStyle w:val="ListParagraph"/>
        <w:numPr>
          <w:ilvl w:val="0"/>
          <w:numId w:val="13"/>
        </w:numPr>
        <w:autoSpaceDE w:val="0"/>
        <w:autoSpaceDN w:val="0"/>
        <w:adjustRightInd w:val="0"/>
        <w:ind w:left="360"/>
        <w:rPr>
          <w:rFonts w:eastAsia="Calibri" w:cs="Calibri"/>
        </w:rPr>
      </w:pPr>
      <w:r w:rsidRPr="0094437B">
        <w:rPr>
          <w:rFonts w:eastAsia="Calibri" w:cs="Calibri"/>
        </w:rPr>
        <w:t xml:space="preserve">The IMM-2 measure provides information on influenza vaccination in IPFs.  Similarly, the </w:t>
      </w:r>
      <w:r w:rsidRPr="006C6D39">
        <w:t>Influenza Vaccination Coverage Among Healthcare Personnel</w:t>
      </w:r>
      <w:r>
        <w:t xml:space="preserve"> measure provides information on influenza vaccination among healthcare personnel (HCP) in IPFs.  </w:t>
      </w:r>
      <w:r w:rsidRPr="0094437B">
        <w:rPr>
          <w:rFonts w:eastAsia="Calibri" w:cs="Calibri"/>
        </w:rPr>
        <w:t xml:space="preserve">Improvements in influenza vaccination can reduce unnecessary hospitalizations and secondary complications.  Together, therefore, these measures provide useful information for both IPFs and consumers alike on the quality of care provided in specific facilities.  </w:t>
      </w:r>
      <w:r w:rsidR="00A13627">
        <w:rPr>
          <w:rFonts w:eastAsia="Calibri" w:cs="Calibri"/>
        </w:rPr>
        <w:t xml:space="preserve">The forms for </w:t>
      </w:r>
      <w:r w:rsidR="00A13627" w:rsidRPr="0094437B">
        <w:rPr>
          <w:rFonts w:eastAsia="Calibri" w:cs="Calibri"/>
        </w:rPr>
        <w:t xml:space="preserve">the </w:t>
      </w:r>
      <w:r w:rsidR="00A13627" w:rsidRPr="006C6D39">
        <w:t>Influenza Vaccination Coverage Among Healthcare Personnel</w:t>
      </w:r>
      <w:r w:rsidR="00A13627">
        <w:t xml:space="preserve"> measure are maintained by the Centers for Disease Control and Prevention and can be found </w:t>
      </w:r>
      <w:r w:rsidR="00881B5B">
        <w:t xml:space="preserve">at </w:t>
      </w:r>
      <w:r w:rsidR="00ED160C" w:rsidRPr="00F65FF4">
        <w:rPr>
          <w:rStyle w:val="Hyperlink"/>
          <w:color w:val="0000CC"/>
        </w:rPr>
        <w:t>http://www.cdc.gov/vaccines/hcp.htm</w:t>
      </w:r>
      <w:r w:rsidR="00ED160C">
        <w:t>.</w:t>
      </w:r>
    </w:p>
    <w:p w14:paraId="375FDA07" w14:textId="77777777" w:rsidR="0094437B" w:rsidRDefault="0094437B" w:rsidP="0094437B">
      <w:pPr>
        <w:autoSpaceDE w:val="0"/>
        <w:autoSpaceDN w:val="0"/>
        <w:adjustRightInd w:val="0"/>
        <w:rPr>
          <w:rFonts w:eastAsia="Calibri" w:cs="Calibri"/>
        </w:rPr>
      </w:pPr>
    </w:p>
    <w:p w14:paraId="139E037A" w14:textId="32B32569" w:rsidR="006A56BE" w:rsidRDefault="0094437B" w:rsidP="00881B5B">
      <w:pPr>
        <w:pStyle w:val="ListParagraph"/>
        <w:numPr>
          <w:ilvl w:val="0"/>
          <w:numId w:val="13"/>
        </w:numPr>
        <w:autoSpaceDE w:val="0"/>
        <w:autoSpaceDN w:val="0"/>
        <w:adjustRightInd w:val="0"/>
        <w:ind w:left="360"/>
        <w:rPr>
          <w:rFonts w:eastAsia="Calibri" w:cs="Calibri"/>
        </w:rPr>
      </w:pPr>
      <w:r w:rsidRPr="0094437B">
        <w:rPr>
          <w:rFonts w:eastAsia="Calibri" w:cs="Calibri"/>
        </w:rPr>
        <w:t>The TOB-1, TOB-2 and TOB-2a, and TOB-3 and TOB-3a measures provide information on tobacco use screening, and tobacco use treatment provided or offered and tobacco use treatment, including at discharge.  Tobacco use is an especially important issue for persons with mental illness or substance abuse disorders, and timely tobacco dependence interventions for patients using tobacco can significantly reduce the risk of suffering from tobacco-related disease, as well as provide improved health outcomes for those already suffering from a tobacco-related disease.  Inclusion of these measures encourages the uptake of tobacco cessation treatment and its attendant benefits, while also affording consumers and others useful information in choosing among different facilities.</w:t>
      </w:r>
      <w:r w:rsidR="00881B5B">
        <w:rPr>
          <w:rFonts w:eastAsia="Calibri" w:cs="Calibri"/>
        </w:rPr>
        <w:t xml:space="preserve">  The specifications for these measures can be found in the Hospital Inpatient Quality Measures Specifications Manual found at </w:t>
      </w:r>
      <w:hyperlink r:id="rId11" w:history="1">
        <w:r w:rsidR="00881B5B" w:rsidRPr="00881B5B">
          <w:rPr>
            <w:rStyle w:val="Hyperlink"/>
            <w:rFonts w:eastAsia="Calibri" w:cs="Calibri"/>
          </w:rPr>
          <w:t>http://www.jointcommission.org/assets/1/6/HIQR_Jan2015_v4_4a_1_EXE.zip</w:t>
        </w:r>
      </w:hyperlink>
    </w:p>
    <w:p w14:paraId="1BBBEDC9" w14:textId="77777777" w:rsidR="006A56BE" w:rsidRPr="0094437B" w:rsidRDefault="006A56BE" w:rsidP="006A1A44">
      <w:pPr>
        <w:pStyle w:val="ListParagraph"/>
        <w:autoSpaceDE w:val="0"/>
        <w:autoSpaceDN w:val="0"/>
        <w:adjustRightInd w:val="0"/>
        <w:ind w:left="360"/>
        <w:rPr>
          <w:rFonts w:eastAsia="Calibri" w:cs="Calibri"/>
        </w:rPr>
      </w:pPr>
    </w:p>
    <w:p w14:paraId="352A8641" w14:textId="30CB4D3A" w:rsidR="0094437B" w:rsidRDefault="0094437B" w:rsidP="006A1A44">
      <w:pPr>
        <w:pStyle w:val="ListParagraph"/>
        <w:numPr>
          <w:ilvl w:val="0"/>
          <w:numId w:val="13"/>
        </w:numPr>
        <w:autoSpaceDE w:val="0"/>
        <w:autoSpaceDN w:val="0"/>
        <w:adjustRightInd w:val="0"/>
        <w:ind w:left="360"/>
        <w:rPr>
          <w:rStyle w:val="Hyperlink"/>
          <w:bCs/>
        </w:rPr>
      </w:pPr>
      <w:r w:rsidRPr="0094437B">
        <w:rPr>
          <w:rFonts w:eastAsia="Calibri"/>
        </w:rPr>
        <w:t xml:space="preserve">The </w:t>
      </w:r>
      <w:r>
        <w:t>T</w:t>
      </w:r>
      <w:r w:rsidRPr="00CC0FA3">
        <w:t>ransition Record with Specified Elements Received by Discharged</w:t>
      </w:r>
      <w:r>
        <w:t xml:space="preserve"> P</w:t>
      </w:r>
      <w:r w:rsidRPr="00CC0FA3">
        <w:t>atients (Discharges from an Inpatient Facility to Home/Self Care or</w:t>
      </w:r>
      <w:r>
        <w:t xml:space="preserve"> </w:t>
      </w:r>
      <w:r w:rsidRPr="00CC0FA3">
        <w:t>Any Other Site of Care)</w:t>
      </w:r>
      <w:r>
        <w:t xml:space="preserve"> measure </w:t>
      </w:r>
      <w:r w:rsidRPr="0094437B">
        <w:rPr>
          <w:bCs/>
        </w:rPr>
        <w:t xml:space="preserve">seeks to overcome gaps in care transitions caused by inadequate information that lead to avoidable adverse events and cost CMS approximately $15 billion due to avoidable patient readmissions.  </w:t>
      </w:r>
      <w:r>
        <w:rPr>
          <w:rFonts w:eastAsia="Calibri"/>
        </w:rPr>
        <w:t>P</w:t>
      </w:r>
      <w:r w:rsidRPr="00FC3862">
        <w:rPr>
          <w:rFonts w:eastAsia="Calibri"/>
        </w:rPr>
        <w:t xml:space="preserve">ublic reporting of this measure </w:t>
      </w:r>
      <w:r w:rsidR="006A799D" w:rsidRPr="00FC3862">
        <w:rPr>
          <w:rFonts w:eastAsia="Calibri"/>
        </w:rPr>
        <w:t>w</w:t>
      </w:r>
      <w:r w:rsidR="006A799D">
        <w:rPr>
          <w:rFonts w:eastAsia="Calibri"/>
        </w:rPr>
        <w:t>ill</w:t>
      </w:r>
      <w:r w:rsidR="006A799D" w:rsidRPr="00FC3862">
        <w:rPr>
          <w:rFonts w:eastAsia="Calibri"/>
        </w:rPr>
        <w:t xml:space="preserve"> </w:t>
      </w:r>
      <w:r w:rsidRPr="00FC3862">
        <w:rPr>
          <w:rFonts w:eastAsia="Calibri"/>
        </w:rPr>
        <w:t xml:space="preserve">afford </w:t>
      </w:r>
      <w:r w:rsidRPr="00FC3862">
        <w:t xml:space="preserve">consumers and their families or caregivers useful information in choosing among different facilities and </w:t>
      </w:r>
      <w:r w:rsidR="006A799D" w:rsidRPr="00FC3862">
        <w:t>w</w:t>
      </w:r>
      <w:r w:rsidR="006A799D">
        <w:t>ill</w:t>
      </w:r>
      <w:r w:rsidR="006A799D" w:rsidRPr="00FC3862">
        <w:t xml:space="preserve"> </w:t>
      </w:r>
      <w:r w:rsidRPr="00FC3862">
        <w:t xml:space="preserve">promote our </w:t>
      </w:r>
      <w:r w:rsidR="006A56BE">
        <w:t>NQS</w:t>
      </w:r>
      <w:r w:rsidRPr="00FC3862">
        <w:t xml:space="preserve"> priority of Communication and Care Coordination.</w:t>
      </w:r>
      <w:r>
        <w:t xml:space="preserve">  More information on this measure can be found at </w:t>
      </w:r>
      <w:hyperlink r:id="rId12" w:history="1">
        <w:r w:rsidRPr="00FC3862">
          <w:rPr>
            <w:rStyle w:val="Hyperlink"/>
            <w:bCs/>
          </w:rPr>
          <w:t>http://www.ama-assn.org/apps/listserv/x-check/qmeasure.cgi?submit=PCPI</w:t>
        </w:r>
      </w:hyperlink>
      <w:r>
        <w:rPr>
          <w:rStyle w:val="Hyperlink"/>
          <w:bCs/>
        </w:rPr>
        <w:t>.</w:t>
      </w:r>
    </w:p>
    <w:p w14:paraId="3B6D2994" w14:textId="77777777" w:rsidR="0094437B" w:rsidRDefault="0094437B" w:rsidP="0094437B">
      <w:pPr>
        <w:autoSpaceDE w:val="0"/>
        <w:autoSpaceDN w:val="0"/>
        <w:adjustRightInd w:val="0"/>
        <w:rPr>
          <w:rStyle w:val="Hyperlink"/>
          <w:bCs/>
        </w:rPr>
      </w:pPr>
    </w:p>
    <w:p w14:paraId="65E0F4EB" w14:textId="1D9906F2" w:rsidR="0094437B" w:rsidRPr="0094437B" w:rsidRDefault="0094437B" w:rsidP="0094437B">
      <w:pPr>
        <w:pStyle w:val="ListParagraph"/>
        <w:numPr>
          <w:ilvl w:val="0"/>
          <w:numId w:val="14"/>
        </w:numPr>
        <w:autoSpaceDE w:val="0"/>
        <w:autoSpaceDN w:val="0"/>
        <w:adjustRightInd w:val="0"/>
        <w:ind w:left="360"/>
        <w:rPr>
          <w:bCs/>
        </w:rPr>
      </w:pPr>
      <w:r w:rsidRPr="0094437B">
        <w:rPr>
          <w:bCs/>
        </w:rPr>
        <w:t>The Timely Transmission of Transition Record (Discharges from an Inpatient Facility to Home/Self Care or Any Other Site of Care) measure narrows gaps in care transitions that result in adverse health outcomes for patients and about $15 billion in medical costs to CMS due to readmissions.  P</w:t>
      </w:r>
      <w:r w:rsidRPr="0094437B">
        <w:rPr>
          <w:rFonts w:eastAsia="Calibri"/>
        </w:rPr>
        <w:t xml:space="preserve">ublic reporting of this measure will afford </w:t>
      </w:r>
      <w:r w:rsidRPr="00FC3862">
        <w:t xml:space="preserve">consumers, and their families or caregivers, useful information in choosing among different facilities because it communicates how quickly a summary of the patient’s record will be transmitted to his or her other treating facilities and physicians, improving care.  </w:t>
      </w:r>
      <w:r>
        <w:t>T</w:t>
      </w:r>
      <w:r w:rsidRPr="0094437B">
        <w:rPr>
          <w:rFonts w:eastAsia="Calibri"/>
        </w:rPr>
        <w:t>his measure will</w:t>
      </w:r>
      <w:r w:rsidRPr="00FC3862">
        <w:t xml:space="preserve"> </w:t>
      </w:r>
      <w:r>
        <w:t xml:space="preserve">also </w:t>
      </w:r>
      <w:r w:rsidRPr="00FC3862">
        <w:t xml:space="preserve">promote our </w:t>
      </w:r>
      <w:r w:rsidR="006A56BE">
        <w:t>NQS</w:t>
      </w:r>
      <w:r w:rsidRPr="00FC3862">
        <w:t xml:space="preserve"> priority of Communication and Care Coordination.</w:t>
      </w:r>
      <w:r>
        <w:t xml:space="preserve">  More information on this measure can be found at </w:t>
      </w:r>
      <w:hyperlink r:id="rId13" w:history="1">
        <w:r w:rsidRPr="0094437B">
          <w:rPr>
            <w:rStyle w:val="Hyperlink"/>
            <w:bCs/>
          </w:rPr>
          <w:t>http://www.ama-assn.org/apps/listserv/x-check/qmeasure.cgi?submit=PCPI</w:t>
        </w:r>
      </w:hyperlink>
      <w:r w:rsidRPr="0094437B">
        <w:rPr>
          <w:bCs/>
        </w:rPr>
        <w:t xml:space="preserve">.  </w:t>
      </w:r>
    </w:p>
    <w:p w14:paraId="0220D9A1" w14:textId="77777777" w:rsidR="0094437B" w:rsidRDefault="0094437B" w:rsidP="0094437B">
      <w:pPr>
        <w:autoSpaceDE w:val="0"/>
        <w:autoSpaceDN w:val="0"/>
        <w:adjustRightInd w:val="0"/>
        <w:rPr>
          <w:bCs/>
        </w:rPr>
      </w:pPr>
    </w:p>
    <w:p w14:paraId="4149AB70" w14:textId="51E456A7" w:rsidR="0094437B" w:rsidRPr="00F65FF4" w:rsidRDefault="0094437B" w:rsidP="0094437B">
      <w:pPr>
        <w:pStyle w:val="ListParagraph"/>
        <w:numPr>
          <w:ilvl w:val="0"/>
          <w:numId w:val="14"/>
        </w:numPr>
        <w:autoSpaceDE w:val="0"/>
        <w:autoSpaceDN w:val="0"/>
        <w:adjustRightInd w:val="0"/>
        <w:ind w:left="360"/>
        <w:rPr>
          <w:bCs/>
        </w:rPr>
      </w:pPr>
      <w:r>
        <w:t>The Screening for Metabolic Disorders measure requires screening for patients on antipsychotic</w:t>
      </w:r>
      <w:r w:rsidR="006A799D">
        <w:t xml:space="preserve"> medications</w:t>
      </w:r>
      <w:r>
        <w:t xml:space="preserve">.  Antipsychotics have been shown to be related to metabolic syndrome, and this measure seeks </w:t>
      </w:r>
      <w:r w:rsidRPr="0094437B">
        <w:rPr>
          <w:rFonts w:eastAsia="Calibri"/>
        </w:rPr>
        <w:t>to reduce risk that is caused by the delivery of healthcare.  T</w:t>
      </w:r>
      <w:r>
        <w:t xml:space="preserve">his measure promotes </w:t>
      </w:r>
      <w:r w:rsidRPr="0094437B">
        <w:rPr>
          <w:rFonts w:eastAsia="Calibri"/>
        </w:rPr>
        <w:t>the NQS priority of Making Care Safe</w:t>
      </w:r>
      <w:r w:rsidR="006A799D">
        <w:rPr>
          <w:rFonts w:eastAsia="Calibri"/>
        </w:rPr>
        <w:t>r.</w:t>
      </w:r>
    </w:p>
    <w:p w14:paraId="337A92D2" w14:textId="77777777" w:rsidR="00F65FF4" w:rsidRPr="00F65FF4" w:rsidRDefault="00F65FF4" w:rsidP="00F65FF4">
      <w:pPr>
        <w:pStyle w:val="ListParagraph"/>
        <w:rPr>
          <w:bCs/>
        </w:rPr>
      </w:pPr>
    </w:p>
    <w:p w14:paraId="787262E0" w14:textId="7C799304" w:rsidR="00F65FF4" w:rsidRPr="0094437B" w:rsidRDefault="00F65FF4" w:rsidP="0094437B">
      <w:pPr>
        <w:pStyle w:val="ListParagraph"/>
        <w:numPr>
          <w:ilvl w:val="0"/>
          <w:numId w:val="14"/>
        </w:numPr>
        <w:autoSpaceDE w:val="0"/>
        <w:autoSpaceDN w:val="0"/>
        <w:adjustRightInd w:val="0"/>
        <w:ind w:left="360"/>
        <w:rPr>
          <w:bCs/>
        </w:rPr>
      </w:pPr>
      <w:r>
        <w:rPr>
          <w:bCs/>
        </w:rPr>
        <w:t>The Thirty-day All-Cause Unplanned Readmission Following Psychiatric Hospi</w:t>
      </w:r>
      <w:r w:rsidR="00217DC7">
        <w:rPr>
          <w:bCs/>
        </w:rPr>
        <w:t xml:space="preserve">talization in an IPF measure </w:t>
      </w:r>
      <w:r w:rsidR="000E60B3">
        <w:rPr>
          <w:bCs/>
        </w:rPr>
        <w:t xml:space="preserve">meets a key gap area in the IPFQR Program as identified in a January 2016 report from the Measure Application Partnership (MAP).  This </w:t>
      </w:r>
      <w:r w:rsidR="00217DC7">
        <w:rPr>
          <w:bCs/>
        </w:rPr>
        <w:t>is an outcome measure which provides information regarding the quality of care for patients in the IPF setting. There is evidence that improvements of inpatient care can reduce readmissions. This, in turn, improves the patient</w:t>
      </w:r>
      <w:r w:rsidR="000E60B3">
        <w:rPr>
          <w:bCs/>
        </w:rPr>
        <w:t>’</w:t>
      </w:r>
      <w:r w:rsidR="00217DC7">
        <w:rPr>
          <w:bCs/>
        </w:rPr>
        <w:t xml:space="preserve">s quality of life and reduces cost. </w:t>
      </w:r>
      <w:r>
        <w:rPr>
          <w:bCs/>
        </w:rPr>
        <w:t xml:space="preserve"> </w:t>
      </w:r>
    </w:p>
    <w:p w14:paraId="66B87ACD" w14:textId="77777777" w:rsidR="0094437B" w:rsidRDefault="0094437B" w:rsidP="00285035"/>
    <w:p w14:paraId="49B5B375" w14:textId="7C32F141" w:rsidR="00285035" w:rsidRPr="00AD0DDE" w:rsidRDefault="00285035" w:rsidP="00285035">
      <w:r w:rsidRPr="00AD0DDE">
        <w:t>Section 1886(s)(4)(E) of the Act requires the Secretary to establish procedures for making public the d</w:t>
      </w:r>
      <w:r w:rsidR="000E60B3">
        <w:t>ata submitted by IPFs under the</w:t>
      </w:r>
      <w:r w:rsidR="006A56BE">
        <w:t xml:space="preserve"> IPFQR Program</w:t>
      </w:r>
      <w:r w:rsidRPr="00AD0DDE">
        <w:t xml:space="preserve">. </w:t>
      </w:r>
      <w:r w:rsidR="005918DA">
        <w:t xml:space="preserve"> </w:t>
      </w:r>
      <w:r w:rsidRPr="00AD0DDE">
        <w:t xml:space="preserve">In order for CMS to publish the measure rates, IPFs </w:t>
      </w:r>
      <w:r w:rsidR="004A2133">
        <w:t xml:space="preserve">are required </w:t>
      </w:r>
      <w:r w:rsidRPr="00AD0DDE">
        <w:t xml:space="preserve">to submit the Notice of Participation (NOP) form. </w:t>
      </w:r>
      <w:r w:rsidR="005918DA">
        <w:t xml:space="preserve"> </w:t>
      </w:r>
      <w:r w:rsidRPr="00AD0DDE">
        <w:t xml:space="preserve">By such submission, IPFs indicate their agreement </w:t>
      </w:r>
      <w:r w:rsidR="00393E07">
        <w:t xml:space="preserve">to </w:t>
      </w:r>
      <w:r w:rsidRPr="00AD0DDE">
        <w:t>participa</w:t>
      </w:r>
      <w:r w:rsidR="00393E07">
        <w:t>te</w:t>
      </w:r>
      <w:r w:rsidRPr="00AD0DDE">
        <w:t xml:space="preserve"> in the IPFQR Program and </w:t>
      </w:r>
      <w:r w:rsidR="00393E07">
        <w:t xml:space="preserve">that they </w:t>
      </w:r>
      <w:r w:rsidRPr="00AD0DDE">
        <w:t xml:space="preserve">shall submit the required data </w:t>
      </w:r>
      <w:r w:rsidRPr="00A977D0">
        <w:t xml:space="preserve">pertaining </w:t>
      </w:r>
      <w:r w:rsidR="00846E52">
        <w:t xml:space="preserve">to </w:t>
      </w:r>
      <w:r w:rsidR="00B74A3F" w:rsidRPr="00A977D0">
        <w:t xml:space="preserve">the </w:t>
      </w:r>
      <w:r w:rsidR="000E60B3">
        <w:t>eighteen</w:t>
      </w:r>
      <w:r w:rsidR="00B74A3F" w:rsidRPr="00A977D0">
        <w:t xml:space="preserve"> (1</w:t>
      </w:r>
      <w:r w:rsidR="000E60B3">
        <w:t>8</w:t>
      </w:r>
      <w:r w:rsidR="00D9592F" w:rsidRPr="00A977D0">
        <w:t>) quality measures for the FY 201</w:t>
      </w:r>
      <w:r w:rsidR="000E60B3">
        <w:t>9</w:t>
      </w:r>
      <w:r w:rsidR="00D9592F" w:rsidRPr="00A977D0">
        <w:t xml:space="preserve"> payment</w:t>
      </w:r>
      <w:r w:rsidR="00934A99">
        <w:t xml:space="preserve"> determination</w:t>
      </w:r>
      <w:r w:rsidR="00D9592F">
        <w:t>.</w:t>
      </w:r>
      <w:r w:rsidR="005918DA">
        <w:t xml:space="preserve"> </w:t>
      </w:r>
      <w:r w:rsidR="00D9592F">
        <w:t xml:space="preserve"> In </w:t>
      </w:r>
      <w:r w:rsidR="000E60B3">
        <w:t>addition</w:t>
      </w:r>
      <w:r w:rsidRPr="00AD0DDE">
        <w:t xml:space="preserve">, </w:t>
      </w:r>
      <w:r w:rsidR="00D9592F">
        <w:t xml:space="preserve">IPFs give their </w:t>
      </w:r>
      <w:r w:rsidRPr="00AD0DDE">
        <w:t xml:space="preserve">consent to publicly report their measure rates on </w:t>
      </w:r>
      <w:r w:rsidR="001D2CE6">
        <w:t>a</w:t>
      </w:r>
      <w:r w:rsidR="001D2CE6" w:rsidRPr="00AD0DDE">
        <w:t xml:space="preserve"> </w:t>
      </w:r>
      <w:r w:rsidRPr="00AD0DDE">
        <w:t xml:space="preserve">CMS </w:t>
      </w:r>
      <w:r w:rsidR="00393E07">
        <w:t>w</w:t>
      </w:r>
      <w:r w:rsidR="00EA5965">
        <w:t>eb</w:t>
      </w:r>
      <w:r w:rsidRPr="00AD0DDE">
        <w:t xml:space="preserve">site. </w:t>
      </w:r>
      <w:r w:rsidR="005918DA">
        <w:t xml:space="preserve"> </w:t>
      </w:r>
      <w:r w:rsidR="00846E52">
        <w:t xml:space="preserve">CMS is </w:t>
      </w:r>
      <w:r w:rsidRPr="00AD0DDE">
        <w:t xml:space="preserve">mindful and respectful that IPFs may choose not to participate or </w:t>
      </w:r>
      <w:r w:rsidR="001D2CE6">
        <w:t xml:space="preserve">may choose to </w:t>
      </w:r>
      <w:r w:rsidRPr="00AD0DDE">
        <w:t xml:space="preserve">withdraw from the IPFQR Program. </w:t>
      </w:r>
      <w:r w:rsidR="005918DA">
        <w:t xml:space="preserve"> </w:t>
      </w:r>
      <w:r w:rsidRPr="00AD0DDE">
        <w:t xml:space="preserve">To this end, our procedures include the necessary steps </w:t>
      </w:r>
      <w:r w:rsidR="00D9592F">
        <w:t xml:space="preserve">that </w:t>
      </w:r>
      <w:r w:rsidRPr="00AD0DDE">
        <w:t xml:space="preserve">IPFs have to take to indicate their intent.  </w:t>
      </w:r>
    </w:p>
    <w:p w14:paraId="13122477" w14:textId="77777777" w:rsidR="0094437B" w:rsidRPr="00AD0DDE" w:rsidRDefault="0094437B" w:rsidP="00285035"/>
    <w:p w14:paraId="49B5B377" w14:textId="1006EF43" w:rsidR="00D96C3B" w:rsidRDefault="00285035" w:rsidP="004061BA">
      <w:pPr>
        <w:pStyle w:val="BodyText"/>
        <w:spacing w:after="240"/>
        <w:jc w:val="left"/>
      </w:pPr>
      <w:r w:rsidRPr="00AD0DDE">
        <w:t xml:space="preserve">As part of our procedural requirements, we </w:t>
      </w:r>
      <w:r w:rsidR="004A2133">
        <w:t>require</w:t>
      </w:r>
      <w:r w:rsidRPr="00AD0DDE">
        <w:t xml:space="preserve"> th</w:t>
      </w:r>
      <w:r w:rsidR="00D9592F">
        <w:t>at</w:t>
      </w:r>
      <w:r w:rsidRPr="00AD0DDE">
        <w:t xml:space="preserve"> IPFs acknowledge the accuracy and completeness of </w:t>
      </w:r>
      <w:r w:rsidR="00D9592F" w:rsidRPr="00AD0DDE">
        <w:t>submitted</w:t>
      </w:r>
      <w:r w:rsidR="00D9592F" w:rsidRPr="00AD0DDE" w:rsidDel="00D9592F">
        <w:t xml:space="preserve"> </w:t>
      </w:r>
      <w:r w:rsidRPr="00AD0DDE">
        <w:t>data.  We seek to collect information on valid, reliable, and relevant measures of quality</w:t>
      </w:r>
      <w:r w:rsidR="00D9592F">
        <w:t>,</w:t>
      </w:r>
      <w:r w:rsidRPr="00AD0DDE">
        <w:t xml:space="preserve"> and to share this information with the </w:t>
      </w:r>
      <w:r w:rsidR="001D2CE6" w:rsidRPr="00AD0DDE">
        <w:t>public;</w:t>
      </w:r>
      <w:r w:rsidRPr="00AD0DDE">
        <w:t xml:space="preserve"> therefore, IPFs </w:t>
      </w:r>
      <w:r w:rsidR="00D9592F">
        <w:t>must</w:t>
      </w:r>
      <w:r w:rsidRPr="00AD0DDE">
        <w:t xml:space="preserve"> submit the Data Accuracy and Completeness Acknowledgement (DACA). </w:t>
      </w:r>
      <w:r w:rsidR="005918DA">
        <w:t xml:space="preserve"> </w:t>
      </w:r>
      <w:r w:rsidR="004277E1">
        <w:t>IPFs may need to submit the Notice of Participation form, which can also be used to indicate an IPF’s</w:t>
      </w:r>
      <w:r w:rsidR="007A5442">
        <w:t xml:space="preserve"> intent </w:t>
      </w:r>
      <w:r w:rsidR="004277E1">
        <w:t xml:space="preserve">not to participate or withdraw from the Program.  </w:t>
      </w:r>
      <w:r w:rsidR="0013630F">
        <w:t xml:space="preserve">In our effort to foster alignment across quality reporting programs, we </w:t>
      </w:r>
      <w:r w:rsidR="00B74A3F">
        <w:t>removed</w:t>
      </w:r>
      <w:r w:rsidR="0013630F">
        <w:t xml:space="preserve"> the Extraordinary Circumstances Exception </w:t>
      </w:r>
      <w:r w:rsidR="0013630F" w:rsidRPr="00BC755D">
        <w:t xml:space="preserve">form and </w:t>
      </w:r>
      <w:r w:rsidR="0013630F">
        <w:t>the Reconsideration Request form</w:t>
      </w:r>
      <w:r w:rsidR="00D6191D">
        <w:t xml:space="preserve"> and </w:t>
      </w:r>
      <w:r w:rsidR="00A52654">
        <w:t xml:space="preserve">are </w:t>
      </w:r>
      <w:r w:rsidR="00D6191D">
        <w:t>now submitting these</w:t>
      </w:r>
      <w:r w:rsidR="0013630F">
        <w:t xml:space="preserve"> form</w:t>
      </w:r>
      <w:r w:rsidR="00D6191D">
        <w:t>s</w:t>
      </w:r>
      <w:r w:rsidR="0013630F">
        <w:t xml:space="preserve"> as part of the Hospital Inpatient Quality Reporting (HIQR) Program’s PRA package (OMB control </w:t>
      </w:r>
      <w:r w:rsidR="000D2AF0">
        <w:t>number 0938-</w:t>
      </w:r>
      <w:r w:rsidR="0013630F">
        <w:t>1022</w:t>
      </w:r>
      <w:r w:rsidR="00C82C0C">
        <w:t>; CMS-10210</w:t>
      </w:r>
      <w:r w:rsidR="0013630F">
        <w:t xml:space="preserve">).  </w:t>
      </w:r>
      <w:r w:rsidR="00D96C3B" w:rsidRPr="00D96C3B">
        <w:t>While IPFs may also need to complete and submit these forms, the associated burden is a</w:t>
      </w:r>
      <w:r w:rsidR="00D96C3B">
        <w:t xml:space="preserve">ddressed </w:t>
      </w:r>
      <w:r w:rsidR="00D96C3B" w:rsidRPr="00D96C3B">
        <w:t>in the HIQR PRA package</w:t>
      </w:r>
      <w:r w:rsidR="00705F59">
        <w:t>.</w:t>
      </w:r>
    </w:p>
    <w:p w14:paraId="49B5B378" w14:textId="77777777" w:rsidR="00285035" w:rsidRDefault="00285035" w:rsidP="00285035">
      <w:pPr>
        <w:numPr>
          <w:ilvl w:val="1"/>
          <w:numId w:val="2"/>
        </w:numPr>
        <w:rPr>
          <w:b/>
        </w:rPr>
      </w:pPr>
      <w:r w:rsidRPr="00AD0DDE">
        <w:rPr>
          <w:b/>
        </w:rPr>
        <w:t>Information Users</w:t>
      </w:r>
    </w:p>
    <w:p w14:paraId="4EDD5677" w14:textId="77777777" w:rsidR="00B67E87" w:rsidRPr="00AD0DDE" w:rsidRDefault="00B67E87" w:rsidP="00B67E87">
      <w:pPr>
        <w:rPr>
          <w:b/>
        </w:rPr>
      </w:pPr>
    </w:p>
    <w:p w14:paraId="49B5B379" w14:textId="3FDD1DD5" w:rsidR="00285035" w:rsidRPr="00AD0DDE" w:rsidRDefault="00285035" w:rsidP="00285035">
      <w:pPr>
        <w:numPr>
          <w:ilvl w:val="0"/>
          <w:numId w:val="3"/>
        </w:numPr>
        <w:spacing w:after="240"/>
      </w:pPr>
      <w:r w:rsidRPr="00531E60">
        <w:rPr>
          <w:b/>
        </w:rPr>
        <w:t>IPFs</w:t>
      </w:r>
      <w:r w:rsidRPr="00AD0DDE">
        <w:t xml:space="preserve">:  </w:t>
      </w:r>
      <w:r w:rsidR="001D2CE6">
        <w:t xml:space="preserve">The </w:t>
      </w:r>
      <w:r w:rsidRPr="00AD0DDE">
        <w:t xml:space="preserve">main focus </w:t>
      </w:r>
      <w:r w:rsidR="00A61CE8">
        <w:t xml:space="preserve">for </w:t>
      </w:r>
      <w:r w:rsidR="00D9592F">
        <w:t xml:space="preserve">an IPF </w:t>
      </w:r>
      <w:r w:rsidR="001D2CE6">
        <w:t>is</w:t>
      </w:r>
      <w:r w:rsidR="001D2CE6" w:rsidRPr="00AD0DDE">
        <w:t xml:space="preserve"> </w:t>
      </w:r>
      <w:r w:rsidRPr="00AD0DDE">
        <w:t>to</w:t>
      </w:r>
      <w:r w:rsidR="002D2438">
        <w:t>:</w:t>
      </w:r>
      <w:r w:rsidRPr="00AD0DDE">
        <w:t xml:space="preserve"> examine individual </w:t>
      </w:r>
      <w:r w:rsidR="007B6F52">
        <w:t>IPF</w:t>
      </w:r>
      <w:r w:rsidR="007B6F52" w:rsidRPr="00AD0DDE">
        <w:t>s</w:t>
      </w:r>
      <w:r w:rsidR="00531E60">
        <w:t>’</w:t>
      </w:r>
      <w:r w:rsidR="007B6F52" w:rsidRPr="00AD0DDE">
        <w:t xml:space="preserve"> </w:t>
      </w:r>
      <w:r w:rsidRPr="00AD0DDE">
        <w:t>specific care domains and types of patients</w:t>
      </w:r>
      <w:r w:rsidR="00D9592F">
        <w:t>,</w:t>
      </w:r>
      <w:r w:rsidRPr="00AD0DDE">
        <w:t xml:space="preserve"> and compare present performance to past performance </w:t>
      </w:r>
      <w:r w:rsidR="007B6F52">
        <w:t>and to</w:t>
      </w:r>
      <w:r w:rsidRPr="00AD0DDE">
        <w:t xml:space="preserve"> </w:t>
      </w:r>
      <w:r w:rsidR="00531E60">
        <w:t xml:space="preserve">national performance norms; </w:t>
      </w:r>
      <w:r w:rsidRPr="00AD0DDE">
        <w:t xml:space="preserve">use </w:t>
      </w:r>
      <w:r w:rsidR="00846E52">
        <w:t>q</w:t>
      </w:r>
      <w:r w:rsidRPr="00AD0DDE">
        <w:t xml:space="preserve">uality </w:t>
      </w:r>
      <w:r w:rsidR="00846E52">
        <w:t>m</w:t>
      </w:r>
      <w:r w:rsidRPr="00AD0DDE">
        <w:t>easures to evaluate the effectiveness of care provided to specific types of patients and, in the context of investigating processes of care, to individual patients; monitor quality improvement outcomes over time</w:t>
      </w:r>
      <w:r w:rsidR="002D2438">
        <w:t>;</w:t>
      </w:r>
      <w:r w:rsidRPr="00AD0DDE">
        <w:t xml:space="preserve"> assess their own strengths and weaknesses in the clinical services </w:t>
      </w:r>
      <w:r w:rsidR="002D2438">
        <w:t xml:space="preserve">that </w:t>
      </w:r>
      <w:r w:rsidRPr="00AD0DDE">
        <w:t>they provide; address care-related areas, activities, or behaviors that result in effective patient care</w:t>
      </w:r>
      <w:r w:rsidR="002D2438">
        <w:t>;</w:t>
      </w:r>
      <w:r w:rsidRPr="00AD0DDE">
        <w:t xml:space="preserve"> and alert them</w:t>
      </w:r>
      <w:r w:rsidR="007B6F52">
        <w:t>selves</w:t>
      </w:r>
      <w:r w:rsidRPr="00AD0DDE">
        <w:t xml:space="preserve"> to needed improvements. </w:t>
      </w:r>
      <w:r w:rsidR="005918DA">
        <w:t xml:space="preserve"> </w:t>
      </w:r>
      <w:r w:rsidRPr="00AD0DDE">
        <w:t>Such information is essential to IPFs in initiating quality improvement strategies.</w:t>
      </w:r>
      <w:r w:rsidR="005918DA">
        <w:t xml:space="preserve"> </w:t>
      </w:r>
      <w:r w:rsidRPr="00AD0DDE">
        <w:t xml:space="preserve"> </w:t>
      </w:r>
      <w:r w:rsidR="007B6F52" w:rsidRPr="00AD0DDE">
        <w:t>Th</w:t>
      </w:r>
      <w:r w:rsidR="007B6F52">
        <w:t>is information</w:t>
      </w:r>
      <w:r w:rsidR="007B6F52" w:rsidRPr="00AD0DDE">
        <w:t xml:space="preserve"> </w:t>
      </w:r>
      <w:r w:rsidRPr="00AD0DDE">
        <w:t xml:space="preserve">can also be used to improve </w:t>
      </w:r>
      <w:r w:rsidR="006D3DE5">
        <w:t xml:space="preserve">an </w:t>
      </w:r>
      <w:r w:rsidRPr="00AD0DDE">
        <w:t>IPFs’ financial planning and marketing strategies</w:t>
      </w:r>
      <w:r w:rsidRPr="00AD0DDE">
        <w:rPr>
          <w:rStyle w:val="BodyTextChar"/>
          <w:rFonts w:eastAsia="Calibri"/>
        </w:rPr>
        <w:t>.</w:t>
      </w:r>
    </w:p>
    <w:p w14:paraId="49B5B37A" w14:textId="77777777" w:rsidR="00285035" w:rsidRPr="00AD0DDE" w:rsidRDefault="00285035" w:rsidP="0028503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State Agencies/CMS</w:t>
      </w:r>
      <w:r w:rsidRPr="00AD0DDE">
        <w:t xml:space="preserve">:  Agency profiles are used in the process </w:t>
      </w:r>
      <w:r w:rsidR="00531E60">
        <w:t>of comparing</w:t>
      </w:r>
      <w:r w:rsidRPr="00AD0DDE">
        <w:t xml:space="preserve"> </w:t>
      </w:r>
      <w:r w:rsidR="00531E60">
        <w:t>an</w:t>
      </w:r>
      <w:r w:rsidRPr="00AD0DDE">
        <w:t xml:space="preserve"> IPF’s results with its peer performance.  The availability of peer performance enables state agencies and CMS to identify opportuni</w:t>
      </w:r>
      <w:r w:rsidR="00531E60">
        <w:t>ties for improvement in the IPF</w:t>
      </w:r>
      <w:r w:rsidRPr="00AD0DDE">
        <w:t xml:space="preserve"> and to evaluate more effectively the IPF’s own quality assessment and performance improvement program.  </w:t>
      </w:r>
    </w:p>
    <w:p w14:paraId="49B5B37B" w14:textId="3B75B576" w:rsidR="00285035" w:rsidRPr="00AD0DDE" w:rsidRDefault="00285035" w:rsidP="00285035">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Accrediting Bodies</w:t>
      </w:r>
      <w:r w:rsidRPr="00AD0DDE">
        <w:t>:  National acc</w:t>
      </w:r>
      <w:r w:rsidR="00531E60">
        <w:t>rediting organizations</w:t>
      </w:r>
      <w:r w:rsidR="001C011A">
        <w:t>,</w:t>
      </w:r>
      <w:r w:rsidR="00531E60">
        <w:t xml:space="preserve"> such as </w:t>
      </w:r>
      <w:r w:rsidR="00846E52">
        <w:t>TJC</w:t>
      </w:r>
      <w:r w:rsidR="001C011A">
        <w:t>,</w:t>
      </w:r>
      <w:r w:rsidR="007B6F52">
        <w:t xml:space="preserve"> </w:t>
      </w:r>
      <w:r w:rsidRPr="00AD0DDE">
        <w:t>or state accreditation agencies may wish to use the information to target potential or identified problems during the organization’s accreditation review of that facility.</w:t>
      </w:r>
    </w:p>
    <w:p w14:paraId="49B5B37C" w14:textId="77777777" w:rsidR="00285035" w:rsidRPr="00AD0DDE" w:rsidRDefault="00285035" w:rsidP="00285035">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Beneficiaries/Consumers</w:t>
      </w:r>
      <w:r w:rsidRPr="00AD0DDE">
        <w:t xml:space="preserve">:  The IPFQR </w:t>
      </w:r>
      <w:r w:rsidR="001C011A">
        <w:t>P</w:t>
      </w:r>
      <w:r w:rsidRPr="00AD0DDE">
        <w:t xml:space="preserve">rogram </w:t>
      </w:r>
      <w:r w:rsidR="00566E3F">
        <w:t>publicly reports</w:t>
      </w:r>
      <w:r w:rsidRPr="00AD0DDE">
        <w:t xml:space="preserve"> data through </w:t>
      </w:r>
      <w:r w:rsidR="00BD5B48">
        <w:t>a</w:t>
      </w:r>
      <w:r w:rsidR="00BD5B48" w:rsidRPr="00AD0DDE">
        <w:t xml:space="preserve"> </w:t>
      </w:r>
      <w:r w:rsidR="00780099" w:rsidRPr="00780099">
        <w:t>CMS</w:t>
      </w:r>
      <w:r w:rsidR="001C011A">
        <w:t xml:space="preserve"> </w:t>
      </w:r>
      <w:r w:rsidRPr="00AD0DDE">
        <w:t xml:space="preserve">website. </w:t>
      </w:r>
      <w:r w:rsidR="00566E3F">
        <w:t xml:space="preserve"> </w:t>
      </w:r>
      <w:r w:rsidRPr="00AD0DDE">
        <w:t>This</w:t>
      </w:r>
      <w:r w:rsidR="001C011A">
        <w:t xml:space="preserve"> </w:t>
      </w:r>
      <w:r w:rsidR="00566E3F">
        <w:t xml:space="preserve">data </w:t>
      </w:r>
      <w:r w:rsidRPr="00AD0DDE">
        <w:t>provide</w:t>
      </w:r>
      <w:r w:rsidR="001C011A">
        <w:t>s</w:t>
      </w:r>
      <w:r w:rsidRPr="00AD0DDE">
        <w:t xml:space="preserve"> information for consumers and their families </w:t>
      </w:r>
      <w:r w:rsidR="001C011A">
        <w:t>on</w:t>
      </w:r>
      <w:r w:rsidR="001C011A" w:rsidRPr="00AD0DDE">
        <w:t xml:space="preserve"> </w:t>
      </w:r>
      <w:r w:rsidRPr="00AD0DDE">
        <w:t xml:space="preserve">the quality of care provided by individual </w:t>
      </w:r>
      <w:r w:rsidR="00566E3F">
        <w:t>facilities</w:t>
      </w:r>
      <w:r w:rsidRPr="00AD0DDE">
        <w:t xml:space="preserve">, allowing them to </w:t>
      </w:r>
      <w:r w:rsidR="001C011A">
        <w:t>compare patient outcomes between facilities and against</w:t>
      </w:r>
      <w:r w:rsidRPr="00AD0DDE">
        <w:t xml:space="preserve"> the state and national average.  </w:t>
      </w:r>
      <w:r w:rsidR="001C011A">
        <w:t>The website provides</w:t>
      </w:r>
      <w:r w:rsidRPr="00AD0DDE">
        <w:t xml:space="preserve"> information in consumer-friendly language and </w:t>
      </w:r>
      <w:r w:rsidR="001C011A">
        <w:t>offer</w:t>
      </w:r>
      <w:r w:rsidR="00566E3F">
        <w:t>s</w:t>
      </w:r>
      <w:r w:rsidR="001C011A" w:rsidRPr="00AD0DDE">
        <w:t xml:space="preserve"> </w:t>
      </w:r>
      <w:r w:rsidRPr="00AD0DDE">
        <w:t xml:space="preserve">a tool to assist consumers </w:t>
      </w:r>
      <w:r w:rsidR="001C011A">
        <w:t xml:space="preserve">with </w:t>
      </w:r>
      <w:r w:rsidRPr="00AD0DDE">
        <w:t>selecti</w:t>
      </w:r>
      <w:r w:rsidR="001C011A">
        <w:t>ng</w:t>
      </w:r>
      <w:r w:rsidRPr="00AD0DDE">
        <w:t xml:space="preserve"> a hospital.  </w:t>
      </w:r>
    </w:p>
    <w:p w14:paraId="49B5B37D" w14:textId="20CE5411" w:rsidR="00285035" w:rsidRPr="00AD0DDE" w:rsidRDefault="00566E3F" w:rsidP="00285035">
      <w:r>
        <w:t xml:space="preserve">CMS </w:t>
      </w:r>
      <w:r w:rsidR="00531E60">
        <w:t>use</w:t>
      </w:r>
      <w:r>
        <w:t>s the</w:t>
      </w:r>
      <w:r w:rsidR="00D9592F" w:rsidRPr="00AD0DDE">
        <w:t xml:space="preserve"> </w:t>
      </w:r>
      <w:r w:rsidR="00285035" w:rsidRPr="00AD0DDE">
        <w:t xml:space="preserve">information </w:t>
      </w:r>
      <w:r>
        <w:t xml:space="preserve">submitted </w:t>
      </w:r>
      <w:r w:rsidR="00D9592F">
        <w:t>on the</w:t>
      </w:r>
      <w:r w:rsidR="00285035" w:rsidRPr="00AD0DDE">
        <w:t xml:space="preserve"> measures </w:t>
      </w:r>
      <w:r w:rsidR="00A61CE8">
        <w:t xml:space="preserve">in the IPFQR Program (see section 12 of this document for a list of measures in the IPFQR Program) </w:t>
      </w:r>
      <w:r w:rsidR="00285035" w:rsidRPr="00AD0DDE">
        <w:t xml:space="preserve"> </w:t>
      </w:r>
      <w:r w:rsidR="000E60B3">
        <w:t>t</w:t>
      </w:r>
      <w:r w:rsidR="00285035" w:rsidRPr="00AD0DDE">
        <w:t xml:space="preserve">o identify opportunities for improvement in the coordination of care and to effectively target quality improvement initiatives to meet the statutory requirements of the Affordable Care Act Sections 3401 and 10322 as mandated for </w:t>
      </w:r>
      <w:r w:rsidR="00531E60">
        <w:t>the agency</w:t>
      </w:r>
      <w:r w:rsidR="00285035" w:rsidRPr="00AD0DDE">
        <w:t xml:space="preserve">. </w:t>
      </w:r>
      <w:r w:rsidR="005918DA">
        <w:t xml:space="preserve"> </w:t>
      </w:r>
      <w:r w:rsidR="006533B3">
        <w:t>The information gathered</w:t>
      </w:r>
      <w:r w:rsidR="00285035" w:rsidRPr="00AD0DDE">
        <w:t xml:space="preserve"> in turn </w:t>
      </w:r>
      <w:r w:rsidR="004A2133">
        <w:t>is</w:t>
      </w:r>
      <w:r w:rsidR="00285035" w:rsidRPr="00AD0DDE">
        <w:t xml:space="preserve"> made available to IPFs for their use in specifying areas of need for internal quality improvement initiatives.  </w:t>
      </w:r>
      <w:r w:rsidR="00A61CE8">
        <w:t>For information about the updates to this program, as finalized in the 2017 IPPS/LTCH PPS Final Rule, please see Section 15 of this document.</w:t>
      </w:r>
    </w:p>
    <w:p w14:paraId="49B5B395" w14:textId="77777777" w:rsidR="007B0DE8" w:rsidRDefault="007B0DE8" w:rsidP="007B0DE8">
      <w:pPr>
        <w:ind w:left="360"/>
        <w:rPr>
          <w:b/>
        </w:rPr>
      </w:pPr>
    </w:p>
    <w:p w14:paraId="49B5B396" w14:textId="77777777" w:rsidR="00285035" w:rsidRPr="00AD0DDE" w:rsidRDefault="00285035" w:rsidP="00285035">
      <w:pPr>
        <w:numPr>
          <w:ilvl w:val="1"/>
          <w:numId w:val="2"/>
        </w:numPr>
        <w:rPr>
          <w:b/>
        </w:rPr>
      </w:pPr>
      <w:r w:rsidRPr="00AD0DDE">
        <w:rPr>
          <w:b/>
        </w:rPr>
        <w:t>Use of Information Technology</w:t>
      </w:r>
    </w:p>
    <w:p w14:paraId="49B5B397" w14:textId="77777777" w:rsidR="00285035" w:rsidRPr="00AD0DDE" w:rsidRDefault="00285035" w:rsidP="00285035"/>
    <w:p w14:paraId="49B5B398" w14:textId="76CD331C" w:rsidR="008C075C" w:rsidRPr="008C075C" w:rsidRDefault="00780099" w:rsidP="008C075C">
      <w:r w:rsidRPr="00780099">
        <w:t xml:space="preserve">IPFs </w:t>
      </w:r>
      <w:r w:rsidR="004A2133">
        <w:t xml:space="preserve">are </w:t>
      </w:r>
      <w:r w:rsidRPr="00780099">
        <w:t>able to utilize electronic means to submit/transmit their forms and data via a CMS</w:t>
      </w:r>
      <w:r w:rsidR="00B37391">
        <w:t>-</w:t>
      </w:r>
      <w:r w:rsidRPr="00780099">
        <w:t xml:space="preserve"> provided secure web-based tool</w:t>
      </w:r>
      <w:r w:rsidR="00B37391">
        <w:t>,</w:t>
      </w:r>
      <w:r w:rsidRPr="00780099">
        <w:t xml:space="preserve"> which </w:t>
      </w:r>
      <w:r w:rsidR="00566E3F">
        <w:t>is</w:t>
      </w:r>
      <w:r w:rsidRPr="00780099">
        <w:t xml:space="preserve"> available on the QualityNet website.</w:t>
      </w:r>
      <w:r w:rsidR="005918DA">
        <w:t xml:space="preserve"> </w:t>
      </w:r>
      <w:r w:rsidRPr="00780099">
        <w:t xml:space="preserve"> IPF users </w:t>
      </w:r>
      <w:r w:rsidR="004A2133">
        <w:t>are</w:t>
      </w:r>
      <w:r w:rsidRPr="00780099">
        <w:t xml:space="preserve"> required to open an account to set up secure logins and then will be able to complete all the necessary forms/applications as may be applicable to their circumstance (</w:t>
      </w:r>
      <w:r w:rsidR="00292A66">
        <w:t>e.g</w:t>
      </w:r>
      <w:r w:rsidRPr="00780099">
        <w:t>.</w:t>
      </w:r>
      <w:r w:rsidR="00B37391">
        <w:t>,</w:t>
      </w:r>
      <w:r w:rsidRPr="00780099">
        <w:t xml:space="preserve"> NOP, DACA, Request for Reconsideration).  We have included copies of these forms within this package. </w:t>
      </w:r>
    </w:p>
    <w:p w14:paraId="49B5B399" w14:textId="77777777" w:rsidR="008C075C" w:rsidRPr="008C075C" w:rsidRDefault="008C075C" w:rsidP="008C075C"/>
    <w:p w14:paraId="49B5B39A" w14:textId="77777777" w:rsidR="008C075C" w:rsidRPr="008C075C" w:rsidRDefault="00780099" w:rsidP="008C075C">
      <w:r w:rsidRPr="00780099">
        <w:t xml:space="preserve">A Web-based Measure online tool </w:t>
      </w:r>
      <w:r w:rsidR="004A2133">
        <w:t>is</w:t>
      </w:r>
      <w:r w:rsidRPr="00780099">
        <w:t xml:space="preserve"> used for data entry through the QualityNet website.  Data </w:t>
      </w:r>
      <w:r w:rsidR="004A2133">
        <w:t>are</w:t>
      </w:r>
      <w:r w:rsidRPr="00780099">
        <w:t xml:space="preserve"> stored to support</w:t>
      </w:r>
      <w:r w:rsidRPr="00780099">
        <w:rPr>
          <w:color w:val="1F497D"/>
        </w:rPr>
        <w:t xml:space="preserve"> </w:t>
      </w:r>
      <w:r w:rsidRPr="00780099">
        <w:t>retrieving reports for hospitals to view their measure rates/results</w:t>
      </w:r>
      <w:r w:rsidRPr="00B54E19">
        <w:t>.</w:t>
      </w:r>
      <w:r w:rsidR="005918DA" w:rsidRPr="00B54E19">
        <w:t xml:space="preserve"> </w:t>
      </w:r>
      <w:r w:rsidRPr="00EC45DE">
        <w:t xml:space="preserve"> </w:t>
      </w:r>
      <w:r w:rsidR="004A2133" w:rsidRPr="00EC45DE">
        <w:t>Facilities are</w:t>
      </w:r>
      <w:r w:rsidR="007B0DE8" w:rsidRPr="00B54E19">
        <w:t xml:space="preserve"> sent</w:t>
      </w:r>
      <w:r w:rsidRPr="00963251">
        <w:t xml:space="preserve"> a preview report via QualityNet Exchange prior to release of data on the CMS website </w:t>
      </w:r>
      <w:r w:rsidRPr="00780099">
        <w:t>for public viewing.</w:t>
      </w:r>
      <w:r w:rsidR="008C075C" w:rsidRPr="008C075C">
        <w:t xml:space="preserve">  </w:t>
      </w:r>
    </w:p>
    <w:p w14:paraId="49B5B39B" w14:textId="77777777" w:rsidR="00285035" w:rsidRPr="00AD0DDE" w:rsidRDefault="00285035" w:rsidP="00285035"/>
    <w:p w14:paraId="49B5B39C" w14:textId="77777777" w:rsidR="00285035" w:rsidRPr="00AD0DDE" w:rsidRDefault="00285035" w:rsidP="00285035">
      <w:pPr>
        <w:numPr>
          <w:ilvl w:val="1"/>
          <w:numId w:val="2"/>
        </w:numPr>
        <w:rPr>
          <w:b/>
        </w:rPr>
      </w:pPr>
      <w:r w:rsidRPr="00AD0DDE">
        <w:rPr>
          <w:b/>
        </w:rPr>
        <w:t xml:space="preserve">Duplication of Efforts </w:t>
      </w:r>
    </w:p>
    <w:p w14:paraId="49B5B39D" w14:textId="77777777" w:rsidR="00285035" w:rsidRPr="00AD0DDE" w:rsidRDefault="00285035" w:rsidP="00285035"/>
    <w:p w14:paraId="49B5B39E" w14:textId="40B8F283" w:rsidR="009B53BF" w:rsidRPr="00CE4C12" w:rsidRDefault="00566E3F" w:rsidP="00285035">
      <w:pPr>
        <w:rPr>
          <w:iCs/>
        </w:rPr>
      </w:pPr>
      <w:r>
        <w:rPr>
          <w:iCs/>
        </w:rPr>
        <w:t>Facilities</w:t>
      </w:r>
      <w:r w:rsidR="00285035" w:rsidRPr="00AD0DDE">
        <w:rPr>
          <w:iCs/>
        </w:rPr>
        <w:t xml:space="preserve"> that currently collect and report data </w:t>
      </w:r>
      <w:r w:rsidR="00846E52">
        <w:rPr>
          <w:iCs/>
        </w:rPr>
        <w:t xml:space="preserve">on </w:t>
      </w:r>
      <w:r w:rsidR="00285035" w:rsidRPr="00AD0DDE">
        <w:rPr>
          <w:iCs/>
        </w:rPr>
        <w:t xml:space="preserve">TJC </w:t>
      </w:r>
      <w:r w:rsidR="00846E52">
        <w:rPr>
          <w:iCs/>
        </w:rPr>
        <w:t xml:space="preserve">measures </w:t>
      </w:r>
      <w:r w:rsidR="00285035" w:rsidRPr="00AD0DDE">
        <w:rPr>
          <w:iCs/>
        </w:rPr>
        <w:t>can use the same information to report to CMS</w:t>
      </w:r>
      <w:r w:rsidR="00B37391">
        <w:rPr>
          <w:iCs/>
        </w:rPr>
        <w:t>,</w:t>
      </w:r>
      <w:r w:rsidR="00285035" w:rsidRPr="00AD0DDE">
        <w:rPr>
          <w:iCs/>
        </w:rPr>
        <w:t xml:space="preserve"> which avoids duplication of efforts </w:t>
      </w:r>
      <w:r w:rsidR="0007426F">
        <w:rPr>
          <w:iCs/>
        </w:rPr>
        <w:t>and reduces burden to the IPFs.</w:t>
      </w:r>
      <w:r w:rsidR="00285035" w:rsidRPr="00AD0DDE">
        <w:rPr>
          <w:iCs/>
        </w:rPr>
        <w:t xml:space="preserve"> </w:t>
      </w:r>
      <w:r w:rsidR="005918DA">
        <w:rPr>
          <w:iCs/>
        </w:rPr>
        <w:t xml:space="preserve"> </w:t>
      </w:r>
      <w:r w:rsidR="009B53BF">
        <w:rPr>
          <w:iCs/>
        </w:rPr>
        <w:t xml:space="preserve">As for collection of the FUH </w:t>
      </w:r>
      <w:r w:rsidR="004C6218">
        <w:rPr>
          <w:iCs/>
        </w:rPr>
        <w:t>and</w:t>
      </w:r>
      <w:r w:rsidR="000E60B3">
        <w:rPr>
          <w:iCs/>
        </w:rPr>
        <w:t xml:space="preserve"> </w:t>
      </w:r>
      <w:r w:rsidR="00454F84">
        <w:rPr>
          <w:iCs/>
        </w:rPr>
        <w:t>T</w:t>
      </w:r>
      <w:r w:rsidR="000E60B3">
        <w:rPr>
          <w:iCs/>
        </w:rPr>
        <w:t xml:space="preserve">hirty-day </w:t>
      </w:r>
      <w:r w:rsidR="00454F84">
        <w:rPr>
          <w:iCs/>
        </w:rPr>
        <w:t>A</w:t>
      </w:r>
      <w:r w:rsidR="000E60B3">
        <w:rPr>
          <w:iCs/>
        </w:rPr>
        <w:t xml:space="preserve">ll-cause </w:t>
      </w:r>
      <w:r w:rsidR="00454F84">
        <w:rPr>
          <w:iCs/>
        </w:rPr>
        <w:t>R</w:t>
      </w:r>
      <w:r w:rsidR="000E60B3">
        <w:rPr>
          <w:iCs/>
        </w:rPr>
        <w:t xml:space="preserve">eadmission </w:t>
      </w:r>
      <w:r w:rsidR="00454F84">
        <w:rPr>
          <w:iCs/>
        </w:rPr>
        <w:t>F</w:t>
      </w:r>
      <w:r w:rsidR="000E60B3">
        <w:rPr>
          <w:iCs/>
        </w:rPr>
        <w:t xml:space="preserve">ollowing </w:t>
      </w:r>
      <w:r w:rsidR="00454F84">
        <w:rPr>
          <w:iCs/>
        </w:rPr>
        <w:t>H</w:t>
      </w:r>
      <w:r w:rsidR="000E60B3">
        <w:rPr>
          <w:iCs/>
        </w:rPr>
        <w:t>ospitalization in an IPF measure</w:t>
      </w:r>
      <w:r w:rsidR="004C6218">
        <w:rPr>
          <w:iCs/>
        </w:rPr>
        <w:t>s</w:t>
      </w:r>
      <w:r w:rsidR="009B53BF">
        <w:rPr>
          <w:iCs/>
        </w:rPr>
        <w:t xml:space="preserve">, CMS will collect such data using Medicare Part A and Part B claims; therefore, </w:t>
      </w:r>
      <w:r w:rsidR="000E60B3">
        <w:rPr>
          <w:iCs/>
        </w:rPr>
        <w:t>these measures will pose</w:t>
      </w:r>
      <w:r w:rsidR="00924205">
        <w:rPr>
          <w:iCs/>
        </w:rPr>
        <w:t xml:space="preserve"> no burden on IPFs</w:t>
      </w:r>
      <w:r w:rsidR="009B53BF">
        <w:rPr>
          <w:iCs/>
        </w:rPr>
        <w:t xml:space="preserve">.  </w:t>
      </w:r>
    </w:p>
    <w:p w14:paraId="49B5B39F" w14:textId="77777777" w:rsidR="00285035" w:rsidRPr="00AD0DDE" w:rsidRDefault="00285035" w:rsidP="00285035"/>
    <w:p w14:paraId="49B5B3A0" w14:textId="77777777" w:rsidR="00285035" w:rsidRPr="00AD0DDE" w:rsidRDefault="00285035" w:rsidP="00285035">
      <w:pPr>
        <w:numPr>
          <w:ilvl w:val="1"/>
          <w:numId w:val="2"/>
        </w:numPr>
        <w:rPr>
          <w:b/>
        </w:rPr>
      </w:pPr>
      <w:r w:rsidRPr="00AD0DDE">
        <w:rPr>
          <w:b/>
        </w:rPr>
        <w:t>Small Business</w:t>
      </w:r>
    </w:p>
    <w:p w14:paraId="49B5B3A1" w14:textId="77777777" w:rsidR="00285035" w:rsidRPr="00AD0DDE" w:rsidRDefault="00285035" w:rsidP="00285035"/>
    <w:p w14:paraId="49B5B3A2" w14:textId="1CB82ABB" w:rsidR="00285035" w:rsidRPr="00AD0DDE" w:rsidRDefault="00285035" w:rsidP="00285035">
      <w:r w:rsidRPr="00AD0DDE">
        <w:t xml:space="preserve">Information collection requirements </w:t>
      </w:r>
      <w:r w:rsidR="004A2133">
        <w:t xml:space="preserve">are </w:t>
      </w:r>
      <w:r w:rsidRPr="00AD0DDE">
        <w:t xml:space="preserve">designed to allow maximum flexibility specifically to small IPF </w:t>
      </w:r>
      <w:r w:rsidR="0007426F" w:rsidRPr="00AD0DDE">
        <w:t>providers</w:t>
      </w:r>
      <w:r w:rsidRPr="00AD0DDE">
        <w:t xml:space="preserve"> </w:t>
      </w:r>
      <w:r w:rsidR="0007426F" w:rsidRPr="00AD0DDE">
        <w:t>participati</w:t>
      </w:r>
      <w:r w:rsidR="0007426F">
        <w:t>ng</w:t>
      </w:r>
      <w:r w:rsidRPr="00AD0DDE">
        <w:t xml:space="preserve"> in </w:t>
      </w:r>
      <w:r w:rsidR="0007426F">
        <w:t xml:space="preserve">the IPFQR </w:t>
      </w:r>
      <w:r w:rsidR="00846E52">
        <w:t>Program</w:t>
      </w:r>
      <w:r w:rsidR="0007426F">
        <w:t xml:space="preserve">. </w:t>
      </w:r>
      <w:r w:rsidRPr="00AD0DDE">
        <w:t xml:space="preserve"> This effort assist</w:t>
      </w:r>
      <w:r w:rsidR="004A2133">
        <w:t>s</w:t>
      </w:r>
      <w:r w:rsidRPr="00AD0DDE">
        <w:t xml:space="preserve"> small IPF providers in gathering information for their own quality improvement efforts. </w:t>
      </w:r>
      <w:r w:rsidR="005918DA">
        <w:t xml:space="preserve"> </w:t>
      </w:r>
      <w:r w:rsidRPr="00AD0DDE">
        <w:t>For example, we</w:t>
      </w:r>
      <w:r w:rsidR="004A2133">
        <w:t xml:space="preserve"> provide</w:t>
      </w:r>
      <w:r w:rsidR="00566E3F">
        <w:t xml:space="preserve"> </w:t>
      </w:r>
      <w:r w:rsidRPr="00AD0DDE">
        <w:t xml:space="preserve">a help-desk hotline for troubleshooting purposes and 24/7 free information </w:t>
      </w:r>
      <w:r w:rsidR="003B3562">
        <w:t>available on the QualityNet web</w:t>
      </w:r>
      <w:r w:rsidRPr="00AD0DDE">
        <w:t>site</w:t>
      </w:r>
      <w:r w:rsidR="0007426F">
        <w:t xml:space="preserve"> through a Questions and Answers (Q&amp;A) functionality</w:t>
      </w:r>
      <w:r w:rsidRPr="00AD0DDE">
        <w:t>.</w:t>
      </w:r>
    </w:p>
    <w:p w14:paraId="49B5B3A3" w14:textId="77777777" w:rsidR="00285035" w:rsidRPr="00AD0DDE" w:rsidRDefault="00285035" w:rsidP="00285035"/>
    <w:p w14:paraId="49B5B3A4" w14:textId="77777777" w:rsidR="00285035" w:rsidRPr="00AD0DDE" w:rsidRDefault="00285035" w:rsidP="00285035">
      <w:pPr>
        <w:numPr>
          <w:ilvl w:val="1"/>
          <w:numId w:val="2"/>
        </w:numPr>
        <w:rPr>
          <w:b/>
        </w:rPr>
      </w:pPr>
      <w:r w:rsidRPr="00AD0DDE">
        <w:rPr>
          <w:b/>
        </w:rPr>
        <w:t>Less Frequent Collection</w:t>
      </w:r>
    </w:p>
    <w:p w14:paraId="49B5B3A5" w14:textId="77777777" w:rsidR="00285035" w:rsidRPr="00AD0DDE" w:rsidRDefault="00285035" w:rsidP="00285035">
      <w:pPr>
        <w:ind w:firstLine="720"/>
      </w:pPr>
    </w:p>
    <w:p w14:paraId="49B5B3A6" w14:textId="1F7D8B8C" w:rsidR="00285035" w:rsidRPr="00AD0DDE" w:rsidRDefault="00285035" w:rsidP="00285035">
      <w:r w:rsidRPr="00AD0DDE">
        <w:t xml:space="preserve">We have designed the collection of quality of care data to be the minimum necessary for reporting of data on measures considered to be meaningful indicators of psychiatric patient care by the </w:t>
      </w:r>
      <w:r w:rsidR="00924205">
        <w:t>NQF</w:t>
      </w:r>
      <w:r w:rsidRPr="00AD0DDE">
        <w:t>.</w:t>
      </w:r>
      <w:r w:rsidR="005918DA">
        <w:t xml:space="preserve"> </w:t>
      </w:r>
      <w:r w:rsidRPr="00AD0DDE">
        <w:t xml:space="preserve"> To this end, </w:t>
      </w:r>
      <w:r w:rsidR="00EB6D3E">
        <w:t>we only require a single, annual report of measure data from facilities.</w:t>
      </w:r>
      <w:r w:rsidRPr="00AD0DDE">
        <w:t xml:space="preserve">.  </w:t>
      </w:r>
    </w:p>
    <w:p w14:paraId="49B5B3A7" w14:textId="77777777" w:rsidR="00285035" w:rsidRPr="00AD0DDE" w:rsidRDefault="00285035" w:rsidP="00285035"/>
    <w:p w14:paraId="49B5B3A8" w14:textId="77777777" w:rsidR="00285035" w:rsidRPr="00AD0DDE" w:rsidRDefault="00285035" w:rsidP="00285035">
      <w:pPr>
        <w:pStyle w:val="ListParagraph"/>
        <w:numPr>
          <w:ilvl w:val="1"/>
          <w:numId w:val="2"/>
        </w:numPr>
        <w:rPr>
          <w:b/>
        </w:rPr>
      </w:pPr>
      <w:r w:rsidRPr="00AD0DDE">
        <w:rPr>
          <w:b/>
        </w:rPr>
        <w:t>Special Circumstances</w:t>
      </w:r>
    </w:p>
    <w:p w14:paraId="49B5B3A9" w14:textId="77777777" w:rsidR="00285035" w:rsidRPr="00AD0DDE" w:rsidRDefault="00285035" w:rsidP="00285035">
      <w:pPr>
        <w:ind w:firstLine="720"/>
      </w:pPr>
    </w:p>
    <w:p w14:paraId="49B5B3AA" w14:textId="3F8D8842" w:rsidR="00285035" w:rsidRPr="00AD0DDE" w:rsidRDefault="00285035" w:rsidP="00285035">
      <w:r w:rsidRPr="00AD0DDE">
        <w:t>Although IPF participation is voluntary</w:t>
      </w:r>
      <w:r w:rsidR="00EB6D3E">
        <w:t xml:space="preserve"> (i.e., not required by Medicare Conditions of Participation)</w:t>
      </w:r>
      <w:r w:rsidRPr="00AD0DDE">
        <w:t xml:space="preserve">, all eligible IPFs must submit their data to receive the full market basket update for a given fiscal year. </w:t>
      </w:r>
      <w:r w:rsidR="00566E3F">
        <w:t xml:space="preserve"> </w:t>
      </w:r>
      <w:r w:rsidR="001F0D8B">
        <w:t xml:space="preserve">If data </w:t>
      </w:r>
      <w:r w:rsidR="004A2133">
        <w:t>are</w:t>
      </w:r>
      <w:r w:rsidR="001F0D8B">
        <w:t xml:space="preserve"> not submitted to CMS, the IPF receive</w:t>
      </w:r>
      <w:r w:rsidR="004A2133">
        <w:t>s</w:t>
      </w:r>
      <w:r w:rsidR="001F0D8B">
        <w:t xml:space="preserve"> a reduction of 2 percentage points from their Annual Payment Update (APU)</w:t>
      </w:r>
      <w:r w:rsidR="00566E3F">
        <w:t xml:space="preserve"> unless CMS grants an exception or exemption</w:t>
      </w:r>
      <w:r w:rsidR="001F0D8B">
        <w:t>.</w:t>
      </w:r>
    </w:p>
    <w:p w14:paraId="49B5B3AB" w14:textId="77777777" w:rsidR="00285035" w:rsidRPr="00AD0DDE" w:rsidRDefault="00285035" w:rsidP="00285035"/>
    <w:p w14:paraId="49B5B3AC" w14:textId="77777777" w:rsidR="00285035" w:rsidRPr="00AD0DDE" w:rsidRDefault="00285035" w:rsidP="00285035">
      <w:pPr>
        <w:pStyle w:val="ListParagraph"/>
        <w:numPr>
          <w:ilvl w:val="1"/>
          <w:numId w:val="2"/>
        </w:numPr>
        <w:rPr>
          <w:b/>
        </w:rPr>
      </w:pPr>
      <w:r w:rsidRPr="00AD0DDE">
        <w:rPr>
          <w:b/>
        </w:rPr>
        <w:t xml:space="preserve">Federal Register Notice/Outside Consultation </w:t>
      </w:r>
    </w:p>
    <w:p w14:paraId="49B5B3AD" w14:textId="77777777" w:rsidR="00285035" w:rsidRDefault="00285035" w:rsidP="00285035"/>
    <w:p w14:paraId="30CDA080" w14:textId="320A90C1" w:rsidR="00BF7DD0" w:rsidRDefault="005E46C6" w:rsidP="002B3E48">
      <w:r>
        <w:t xml:space="preserve">The </w:t>
      </w:r>
      <w:r w:rsidR="00BF7DD0">
        <w:t>FY 2017 IPPS/LTCH PPS</w:t>
      </w:r>
      <w:r w:rsidR="00D36BEB">
        <w:t xml:space="preserve"> </w:t>
      </w:r>
      <w:r w:rsidR="00BF7DD0">
        <w:t xml:space="preserve">final </w:t>
      </w:r>
      <w:r>
        <w:t>rule</w:t>
      </w:r>
      <w:r w:rsidR="00D36BEB">
        <w:t xml:space="preserve"> is </w:t>
      </w:r>
      <w:r>
        <w:t xml:space="preserve">serving as the </w:t>
      </w:r>
      <w:r w:rsidR="00BF7DD0">
        <w:t>30</w:t>
      </w:r>
      <w:r>
        <w:t>-day Federal Register notice</w:t>
      </w:r>
      <w:r w:rsidR="002B3E48">
        <w:t>.</w:t>
      </w:r>
      <w:r w:rsidR="00165F13">
        <w:t xml:space="preserve"> </w:t>
      </w:r>
      <w:r w:rsidR="00550D5A">
        <w:t xml:space="preserve"> </w:t>
      </w:r>
      <w:r w:rsidR="00165F13">
        <w:t xml:space="preserve">The rule </w:t>
      </w:r>
      <w:r w:rsidR="00CB47EA">
        <w:t>published August 22, 2016.</w:t>
      </w:r>
      <w:r w:rsidR="00BF7DD0">
        <w:t xml:space="preserve">  </w:t>
      </w:r>
    </w:p>
    <w:p w14:paraId="73AF48D0" w14:textId="77777777" w:rsidR="00BF7DD0" w:rsidRDefault="00BF7DD0" w:rsidP="002B3E48"/>
    <w:p w14:paraId="49B5B3AE" w14:textId="0C6CAB4B" w:rsidR="005E46C6" w:rsidRDefault="00BF7DD0" w:rsidP="002B3E48">
      <w:r>
        <w:t>The FY 2017 IPPS/LTCH</w:t>
      </w:r>
      <w:r w:rsidR="00C57CB7">
        <w:t xml:space="preserve"> PPS</w:t>
      </w:r>
      <w:r>
        <w:t xml:space="preserve"> proposed rule was placed on file for inspection on April 18, 2016.  Comments were due 60-days later on June 17.  No PRA related comments were received.  </w:t>
      </w:r>
    </w:p>
    <w:p w14:paraId="49B5B3AF" w14:textId="77777777" w:rsidR="005E46C6" w:rsidRPr="00AD0DDE" w:rsidRDefault="005E46C6" w:rsidP="00285035"/>
    <w:p w14:paraId="49B5B3B0" w14:textId="77777777" w:rsidR="00285035" w:rsidRPr="00AD0DDE" w:rsidRDefault="00285035" w:rsidP="00285035">
      <w:r w:rsidRPr="00AD0DDE">
        <w:t xml:space="preserve">CMS is supported in this initiative by TJC, </w:t>
      </w:r>
      <w:r w:rsidR="00BC5FB0">
        <w:t xml:space="preserve">the </w:t>
      </w:r>
      <w:r w:rsidRPr="00AD0DDE">
        <w:t>NQF, and the Agency for Healthcare Research and Quality (AHRQ).</w:t>
      </w:r>
      <w:r w:rsidR="005918DA">
        <w:t xml:space="preserve"> </w:t>
      </w:r>
      <w:r w:rsidRPr="00AD0DDE">
        <w:t xml:space="preserve"> These organizations, in conjunction with CMS, will provide technical assistance in developing or identifying quality measures, and assist in making the information accessible, understandable, and relevant to the public.</w:t>
      </w:r>
    </w:p>
    <w:p w14:paraId="49B5B3B1" w14:textId="77777777" w:rsidR="00285035" w:rsidRPr="00AD0DDE" w:rsidRDefault="00285035" w:rsidP="00285035"/>
    <w:p w14:paraId="49B5B3B2" w14:textId="77777777" w:rsidR="00285035" w:rsidRPr="00AD0DDE" w:rsidRDefault="00285035" w:rsidP="00285035">
      <w:pPr>
        <w:pStyle w:val="ListParagraph"/>
        <w:numPr>
          <w:ilvl w:val="1"/>
          <w:numId w:val="2"/>
        </w:numPr>
      </w:pPr>
      <w:r w:rsidRPr="00AD0DDE">
        <w:rPr>
          <w:b/>
        </w:rPr>
        <w:t>Payment/Gift to Respondent</w:t>
      </w:r>
    </w:p>
    <w:p w14:paraId="49B5B3B3" w14:textId="77777777" w:rsidR="00285035" w:rsidRPr="00AD0DDE" w:rsidRDefault="00285035" w:rsidP="00285035">
      <w:pPr>
        <w:ind w:left="810"/>
        <w:rPr>
          <w:u w:val="single"/>
        </w:rPr>
      </w:pPr>
    </w:p>
    <w:p w14:paraId="49B5B3B4" w14:textId="77777777" w:rsidR="00285035" w:rsidRPr="00AD0DDE" w:rsidRDefault="00285035" w:rsidP="00285035">
      <w:r w:rsidRPr="00AD0DDE">
        <w:t xml:space="preserve">No other payments or gifts will be given to respondents for participation.  </w:t>
      </w:r>
    </w:p>
    <w:p w14:paraId="49B5B3B5" w14:textId="77777777" w:rsidR="00285035" w:rsidRPr="00AD0DDE" w:rsidRDefault="00285035" w:rsidP="00285035">
      <w:pPr>
        <w:ind w:firstLine="720"/>
      </w:pPr>
    </w:p>
    <w:p w14:paraId="49B5B3B6" w14:textId="77777777" w:rsidR="00285035" w:rsidRPr="00AD0DDE" w:rsidRDefault="00285035" w:rsidP="00285035">
      <w:pPr>
        <w:pStyle w:val="ListParagraph"/>
        <w:numPr>
          <w:ilvl w:val="1"/>
          <w:numId w:val="2"/>
        </w:numPr>
      </w:pPr>
      <w:r w:rsidRPr="00AD0DDE">
        <w:rPr>
          <w:b/>
        </w:rPr>
        <w:t xml:space="preserve">  Confidentiality</w:t>
      </w:r>
    </w:p>
    <w:p w14:paraId="49B5B3B7" w14:textId="77777777" w:rsidR="00285035" w:rsidRPr="00AD0DDE" w:rsidRDefault="00285035" w:rsidP="00285035"/>
    <w:p w14:paraId="49B5B3B8" w14:textId="77777777" w:rsidR="00285035" w:rsidRPr="00AD0DDE" w:rsidRDefault="00285035" w:rsidP="00285035">
      <w:r w:rsidRPr="00AD0DDE">
        <w:t xml:space="preserve">All information collected under this initiative </w:t>
      </w:r>
      <w:r w:rsidR="004A2133">
        <w:t xml:space="preserve">is </w:t>
      </w:r>
      <w:r w:rsidRPr="00AD0DDE">
        <w:t>maintained in strict accordance with statutes and regulations governing confidentiality requirements</w:t>
      </w:r>
      <w:r w:rsidR="003B3562">
        <w:t>,</w:t>
      </w:r>
      <w:r w:rsidRPr="00AD0DDE">
        <w:t xml:space="preserve"> which can be found at 42 CFR Part 480. </w:t>
      </w:r>
      <w:r w:rsidR="005918DA">
        <w:t xml:space="preserve"> </w:t>
      </w:r>
      <w:r w:rsidRPr="00AD0DDE">
        <w:t>In addition, the tools used for transmission of data are considered confidential forms</w:t>
      </w:r>
      <w:r w:rsidR="003B3562">
        <w:t xml:space="preserve"> of communication and are </w:t>
      </w:r>
      <w:r w:rsidR="00BC5FB0">
        <w:t>Health Insurance Portability and Accountability Act (</w:t>
      </w:r>
      <w:r w:rsidR="003B3562">
        <w:t>HIPAA</w:t>
      </w:r>
      <w:r w:rsidR="00BC5FB0">
        <w:t>)</w:t>
      </w:r>
      <w:r w:rsidR="003B3562">
        <w:t>-</w:t>
      </w:r>
      <w:r w:rsidRPr="00AD0DDE">
        <w:t xml:space="preserve">compliant.  </w:t>
      </w:r>
    </w:p>
    <w:p w14:paraId="49B5B3B9" w14:textId="77777777" w:rsidR="00285035" w:rsidRPr="00AD0DDE" w:rsidRDefault="00285035" w:rsidP="00285035"/>
    <w:p w14:paraId="49B5B3BA" w14:textId="77777777" w:rsidR="00285035" w:rsidRPr="00AD0DDE" w:rsidRDefault="00285035" w:rsidP="00285035">
      <w:pPr>
        <w:pStyle w:val="ListParagraph"/>
        <w:numPr>
          <w:ilvl w:val="1"/>
          <w:numId w:val="2"/>
        </w:numPr>
      </w:pPr>
      <w:r w:rsidRPr="00AD0DDE">
        <w:rPr>
          <w:b/>
        </w:rPr>
        <w:t xml:space="preserve">  Sensitive Questions</w:t>
      </w:r>
    </w:p>
    <w:p w14:paraId="49B5B3BB" w14:textId="77777777" w:rsidR="00285035" w:rsidRPr="00AD0DDE" w:rsidRDefault="00285035" w:rsidP="00285035">
      <w:pPr>
        <w:rPr>
          <w:u w:val="single"/>
        </w:rPr>
      </w:pPr>
    </w:p>
    <w:p w14:paraId="49B5B3BC" w14:textId="11A8BF3C" w:rsidR="00285035" w:rsidRPr="00AD0DDE" w:rsidRDefault="003B3562" w:rsidP="00285035">
      <w:r>
        <w:t>No case-</w:t>
      </w:r>
      <w:r w:rsidR="00285035" w:rsidRPr="00AD0DDE">
        <w:t>specific clinical data elements w</w:t>
      </w:r>
      <w:r>
        <w:t xml:space="preserve">ill be collected for the IPFQR </w:t>
      </w:r>
      <w:r w:rsidR="00A22C04">
        <w:t>P</w:t>
      </w:r>
      <w:r w:rsidR="00285035" w:rsidRPr="00AD0DDE">
        <w:t xml:space="preserve">rogram. </w:t>
      </w:r>
      <w:r w:rsidR="005918DA">
        <w:t xml:space="preserve"> </w:t>
      </w:r>
      <w:r w:rsidR="00285035" w:rsidRPr="00AD0DDE">
        <w:t>Pursu</w:t>
      </w:r>
      <w:r>
        <w:t>ant to 42 CFR Part 480, no case-</w:t>
      </w:r>
      <w:r w:rsidR="00285035" w:rsidRPr="00AD0DDE">
        <w:t xml:space="preserve">specific clinical data will be collected or released to the public.  </w:t>
      </w:r>
    </w:p>
    <w:p w14:paraId="49B5B3BD" w14:textId="77777777" w:rsidR="00285035" w:rsidRPr="00AD0DDE" w:rsidRDefault="00285035" w:rsidP="00285035">
      <w:pPr>
        <w:ind w:firstLine="720"/>
      </w:pPr>
    </w:p>
    <w:p w14:paraId="49B5B3BE" w14:textId="77777777" w:rsidR="00285035" w:rsidRPr="00AD0DDE" w:rsidRDefault="00285035" w:rsidP="00285035">
      <w:pPr>
        <w:pStyle w:val="ListParagraph"/>
        <w:numPr>
          <w:ilvl w:val="1"/>
          <w:numId w:val="2"/>
        </w:numPr>
      </w:pPr>
      <w:r w:rsidRPr="00AD0DDE">
        <w:rPr>
          <w:b/>
        </w:rPr>
        <w:t xml:space="preserve">  </w:t>
      </w:r>
      <w:r w:rsidR="003B3562">
        <w:rPr>
          <w:b/>
        </w:rPr>
        <w:t>Burden Estimate (Total Hours and</w:t>
      </w:r>
      <w:r w:rsidRPr="00AD0DDE">
        <w:rPr>
          <w:b/>
        </w:rPr>
        <w:t xml:space="preserve"> Wages)</w:t>
      </w:r>
    </w:p>
    <w:p w14:paraId="6007D52A" w14:textId="77777777" w:rsidR="004414E9" w:rsidRPr="00AD0DDE" w:rsidRDefault="004414E9" w:rsidP="00285035">
      <w:pPr>
        <w:rPr>
          <w:u w:val="single"/>
        </w:rPr>
      </w:pPr>
    </w:p>
    <w:p w14:paraId="49B5B3C0" w14:textId="3F201540" w:rsidR="00A6111B" w:rsidRDefault="00285035" w:rsidP="00285035">
      <w:r w:rsidRPr="00AD0DDE">
        <w:t>In our burden calculation, we have included the time used for chart abstraction and for training personnel on collection of chart-abstracted data</w:t>
      </w:r>
      <w:r w:rsidR="00A6111B">
        <w:t xml:space="preserve"> and</w:t>
      </w:r>
      <w:r w:rsidRPr="00AD0DDE">
        <w:t xml:space="preserve"> aggregation of the data, as well as training for submitting aggregate-level data through QualityNet.</w:t>
      </w:r>
    </w:p>
    <w:p w14:paraId="49B5B3C1" w14:textId="77777777" w:rsidR="00A6111B" w:rsidRDefault="00A6111B" w:rsidP="00285035"/>
    <w:p w14:paraId="05D1FD5C" w14:textId="604C1C27" w:rsidR="00D2620C" w:rsidRDefault="00D2620C" w:rsidP="00D2620C">
      <w:r w:rsidRPr="00AD0DDE">
        <w:t xml:space="preserve">The burden estimates for data collection related to the measures for the IPFQR Program are calculated for the IPFs </w:t>
      </w:r>
      <w:r>
        <w:t>based on the following data:</w:t>
      </w:r>
    </w:p>
    <w:p w14:paraId="63F17495" w14:textId="3051841E" w:rsidR="00D2620C" w:rsidRPr="00B30E0C" w:rsidRDefault="00D2620C" w:rsidP="00BC0AC5">
      <w:pPr>
        <w:pStyle w:val="ListParagraph"/>
        <w:numPr>
          <w:ilvl w:val="0"/>
          <w:numId w:val="6"/>
        </w:numPr>
        <w:spacing w:before="60" w:after="60"/>
        <w:ind w:left="576" w:hanging="288"/>
        <w:contextualSpacing w:val="0"/>
      </w:pPr>
      <w:r w:rsidRPr="00B30E0C">
        <w:t xml:space="preserve">We estimate that there </w:t>
      </w:r>
      <w:r w:rsidR="009C14BA">
        <w:t xml:space="preserve">are </w:t>
      </w:r>
      <w:r w:rsidRPr="00B30E0C">
        <w:t>approximately 1,6</w:t>
      </w:r>
      <w:r w:rsidR="005F6643">
        <w:t>84</w:t>
      </w:r>
      <w:r w:rsidRPr="00B30E0C">
        <w:t xml:space="preserve"> facilities eligible to participate in the IPFQR Program</w:t>
      </w:r>
      <w:r w:rsidR="009454D2">
        <w:t xml:space="preserve"> (increased from the previous estimate of 1,617 facilities based on more recent program data)</w:t>
      </w:r>
      <w:r w:rsidRPr="00B30E0C">
        <w:t>.</w:t>
      </w:r>
      <w:r w:rsidR="0001645B">
        <w:t xml:space="preserve">  </w:t>
      </w:r>
      <w:r w:rsidR="0001645B">
        <w:t>Because historical data indicates that almost all facilities participate, and because we wish to be conservative in our estimates, we estimate that all eligible facilities will participate in the IPFQR program.</w:t>
      </w:r>
    </w:p>
    <w:p w14:paraId="411260E1" w14:textId="2C282941" w:rsidR="00D2620C" w:rsidRPr="00C97BAC" w:rsidRDefault="00D2620C" w:rsidP="00BC0AC5">
      <w:pPr>
        <w:pStyle w:val="ListParagraph"/>
        <w:numPr>
          <w:ilvl w:val="0"/>
          <w:numId w:val="6"/>
        </w:numPr>
        <w:spacing w:before="60" w:after="60"/>
        <w:ind w:left="576" w:hanging="288"/>
        <w:contextualSpacing w:val="0"/>
      </w:pPr>
      <w:r w:rsidRPr="00C97BAC">
        <w:t>We</w:t>
      </w:r>
      <w:r w:rsidRPr="00CE4958">
        <w:t xml:space="preserve"> estimate that the average facility submits measure data on </w:t>
      </w:r>
      <w:r w:rsidR="005F6643">
        <w:t>848</w:t>
      </w:r>
      <w:r w:rsidRPr="00CE4958">
        <w:t xml:space="preserve"> cases per year</w:t>
      </w:r>
      <w:r w:rsidR="00372824" w:rsidRPr="00CE4958">
        <w:t xml:space="preserve"> for all of the measures except the </w:t>
      </w:r>
      <w:r w:rsidR="00372824" w:rsidRPr="006A1A44">
        <w:rPr>
          <w:rFonts w:eastAsia="Calibri"/>
        </w:rPr>
        <w:t>Influenza Vaccination Coverage Among Healthcare Personnel measure</w:t>
      </w:r>
      <w:r w:rsidR="00C97BAC" w:rsidRPr="00C97BAC">
        <w:rPr>
          <w:rFonts w:eastAsia="Calibri"/>
        </w:rPr>
        <w:t xml:space="preserve">, the </w:t>
      </w:r>
      <w:r w:rsidR="00C97BAC" w:rsidRPr="006A1A44">
        <w:rPr>
          <w:rFonts w:eastAsia="Calibri"/>
        </w:rPr>
        <w:t xml:space="preserve">Assessment of Patient Experience of Care measure, and the </w:t>
      </w:r>
      <w:r w:rsidR="00C97BAC" w:rsidRPr="006A1A44">
        <w:t>Use of an Electronic Health Record measure</w:t>
      </w:r>
      <w:r w:rsidR="009454D2">
        <w:t xml:space="preserve"> (increased from the previous estimate of 431 cases per year based on more recent program data)</w:t>
      </w:r>
      <w:r w:rsidRPr="00C97BAC">
        <w:t>.</w:t>
      </w:r>
      <w:r w:rsidRPr="00CE4958">
        <w:t xml:space="preserve"> </w:t>
      </w:r>
      <w:r w:rsidR="00372824" w:rsidRPr="00CE4958">
        <w:t xml:space="preserve"> For the </w:t>
      </w:r>
      <w:r w:rsidR="00372824" w:rsidRPr="00CE4958">
        <w:rPr>
          <w:rFonts w:eastAsia="Calibri"/>
        </w:rPr>
        <w:t>Influenza Vaccination Coverage Among Heal</w:t>
      </w:r>
      <w:r w:rsidR="00372824" w:rsidRPr="006A1A44">
        <w:rPr>
          <w:rFonts w:eastAsia="Calibri"/>
        </w:rPr>
        <w:t xml:space="preserve">thcare Personnel measure, consistent with previous years, we estimate 40 cases per year.  </w:t>
      </w:r>
      <w:r w:rsidR="00C97BAC" w:rsidRPr="006A1A44">
        <w:rPr>
          <w:rFonts w:eastAsia="Calibri"/>
        </w:rPr>
        <w:t xml:space="preserve">For the Assessment of Patient Experience of Care measure and the </w:t>
      </w:r>
      <w:r w:rsidR="00C97BAC" w:rsidRPr="006A1A44">
        <w:t>Use of an Electronic Health Record measure, consistent with prior years, since facilities are only required to submit an attestation, we estimate 0 cases.</w:t>
      </w:r>
    </w:p>
    <w:p w14:paraId="791B6F07" w14:textId="37A13B7C" w:rsidR="00D2620C" w:rsidRPr="00B30E0C" w:rsidRDefault="00D2620C" w:rsidP="00BC0AC5">
      <w:pPr>
        <w:pStyle w:val="ListParagraph"/>
        <w:numPr>
          <w:ilvl w:val="0"/>
          <w:numId w:val="6"/>
        </w:numPr>
        <w:spacing w:before="60" w:after="60"/>
        <w:ind w:left="576" w:hanging="288"/>
        <w:contextualSpacing w:val="0"/>
      </w:pPr>
      <w:r w:rsidRPr="00B30E0C">
        <w:t>1,6</w:t>
      </w:r>
      <w:r w:rsidR="005F6643">
        <w:t>84</w:t>
      </w:r>
      <w:r w:rsidRPr="00B30E0C">
        <w:t xml:space="preserve"> IPF facilities, with approximately </w:t>
      </w:r>
      <w:r w:rsidR="005F6643">
        <w:t>848</w:t>
      </w:r>
      <w:r w:rsidRPr="00B30E0C">
        <w:t xml:space="preserve"> cases per facility, results in a total of </w:t>
      </w:r>
      <w:r w:rsidR="00920CCF">
        <w:t>1,428,032</w:t>
      </w:r>
      <w:r w:rsidRPr="00B30E0C">
        <w:t xml:space="preserve"> cases per year.</w:t>
      </w:r>
      <w:bookmarkStart w:id="0" w:name="_GoBack"/>
      <w:bookmarkEnd w:id="0"/>
    </w:p>
    <w:p w14:paraId="2C7F50D6" w14:textId="7ABF8F86" w:rsidR="00D2620C" w:rsidRDefault="00D2620C" w:rsidP="00BC0AC5">
      <w:pPr>
        <w:pStyle w:val="ListParagraph"/>
        <w:numPr>
          <w:ilvl w:val="0"/>
          <w:numId w:val="6"/>
        </w:numPr>
        <w:spacing w:before="60" w:after="60"/>
        <w:ind w:left="576" w:hanging="288"/>
        <w:contextualSpacing w:val="0"/>
      </w:pPr>
      <w:r>
        <w:t>We estimate that it takes an IPF approximately 1</w:t>
      </w:r>
      <w:r w:rsidR="00920CCF">
        <w:t>5</w:t>
      </w:r>
      <w:r>
        <w:t xml:space="preserve"> minutes</w:t>
      </w:r>
      <w:r w:rsidR="009C14BA">
        <w:t xml:space="preserve"> (0.2</w:t>
      </w:r>
      <w:r w:rsidR="00920CCF">
        <w:t>5</w:t>
      </w:r>
      <w:r w:rsidR="009C14BA">
        <w:t xml:space="preserve"> hours)</w:t>
      </w:r>
      <w:r>
        <w:t xml:space="preserve"> for chart abstraction of a measure for collection based on new reporting requirements</w:t>
      </w:r>
      <w:r w:rsidR="009454D2">
        <w:t xml:space="preserve"> (increased from our previous estimate of 12 minutes, or 0.20 hours, based on more recent program data)</w:t>
      </w:r>
      <w:r>
        <w:t>.</w:t>
      </w:r>
    </w:p>
    <w:p w14:paraId="2B4CEDCC" w14:textId="79F364F6" w:rsidR="00D2620C" w:rsidRDefault="00D2620C" w:rsidP="00BC0AC5">
      <w:pPr>
        <w:pStyle w:val="ListParagraph"/>
        <w:numPr>
          <w:ilvl w:val="0"/>
          <w:numId w:val="6"/>
        </w:numPr>
        <w:spacing w:before="60" w:after="60"/>
        <w:ind w:left="576" w:hanging="288"/>
        <w:contextualSpacing w:val="0"/>
      </w:pPr>
      <w:r>
        <w:t xml:space="preserve">We estimate an hourly labor cost of </w:t>
      </w:r>
      <w:r w:rsidR="003D6B73">
        <w:t>$32.84</w:t>
      </w:r>
      <w:r w:rsidR="00E9382A">
        <w:t>/h</w:t>
      </w:r>
      <w:r w:rsidR="009454D2">
        <w:t xml:space="preserve">our, see </w:t>
      </w:r>
      <w:r w:rsidR="00305236">
        <w:t>Section 12a of this document, bel</w:t>
      </w:r>
      <w:r w:rsidR="009454D2">
        <w:t>ow</w:t>
      </w:r>
      <w:r w:rsidR="00305236">
        <w:t>,</w:t>
      </w:r>
      <w:r w:rsidR="009454D2">
        <w:t xml:space="preserve"> for an explanation of this estimate</w:t>
      </w:r>
      <w:r>
        <w:t>.</w:t>
      </w:r>
    </w:p>
    <w:p w14:paraId="464FFE0C" w14:textId="77777777" w:rsidR="00D2620C" w:rsidRDefault="00D2620C" w:rsidP="00285035"/>
    <w:p w14:paraId="56A06E85" w14:textId="33A4FBD7" w:rsidR="0075329D" w:rsidRPr="00994E64" w:rsidRDefault="0075329D" w:rsidP="00A6098F">
      <w:pPr>
        <w:pStyle w:val="ListParagraph"/>
        <w:numPr>
          <w:ilvl w:val="0"/>
          <w:numId w:val="17"/>
        </w:numPr>
        <w:rPr>
          <w:b/>
          <w:u w:val="single"/>
        </w:rPr>
      </w:pPr>
      <w:r w:rsidRPr="00994E64">
        <w:rPr>
          <w:b/>
          <w:u w:val="single"/>
        </w:rPr>
        <w:t>Estimated Wages</w:t>
      </w:r>
    </w:p>
    <w:p w14:paraId="63BCD42F" w14:textId="77777777" w:rsidR="0075329D" w:rsidRDefault="0075329D" w:rsidP="00285035"/>
    <w:p w14:paraId="62C229F0" w14:textId="70543003" w:rsidR="002A5FAE" w:rsidRDefault="0075329D" w:rsidP="0075329D">
      <w:pPr>
        <w:spacing w:before="60" w:after="60"/>
      </w:pPr>
      <w:r>
        <w:t xml:space="preserve">We estimate an </w:t>
      </w:r>
      <w:r w:rsidRPr="00C84791">
        <w:t xml:space="preserve">hourly </w:t>
      </w:r>
      <w:r w:rsidR="008200C3">
        <w:t>base salary</w:t>
      </w:r>
      <w:r w:rsidRPr="00C84791">
        <w:t xml:space="preserve"> of $</w:t>
      </w:r>
      <w:r w:rsidR="008200C3">
        <w:t>16.42</w:t>
      </w:r>
      <w:r w:rsidR="00D51DE9">
        <w:t>/h</w:t>
      </w:r>
      <w:r w:rsidR="009454D2">
        <w:t>ou</w:t>
      </w:r>
      <w:r w:rsidR="00D51DE9">
        <w:t xml:space="preserve">r which </w:t>
      </w:r>
      <w:r>
        <w:t xml:space="preserve">is based on the Bureau of Labor Statistics (BLS) wage for a </w:t>
      </w:r>
      <w:r w:rsidRPr="00F25816">
        <w:t>Medical Records an</w:t>
      </w:r>
      <w:r>
        <w:t>d Health Information Technician</w:t>
      </w:r>
      <w:r w:rsidR="00136F5D">
        <w:t xml:space="preserve"> (29-2071)</w:t>
      </w:r>
      <w:r>
        <w:t>.  Additionally, p</w:t>
      </w:r>
      <w:r w:rsidRPr="00F25816">
        <w:t>er OMB Circular A-76, in calculating direct labor, agencies should not only include salaries and wages, but also “other entitlements” such as fringe benefits.</w:t>
      </w:r>
      <w:r w:rsidRPr="00F25816">
        <w:rPr>
          <w:rStyle w:val="FootnoteReference"/>
        </w:rPr>
        <w:footnoteReference w:id="1"/>
      </w:r>
      <w:r w:rsidRPr="00F25816">
        <w:t xml:space="preserve"> </w:t>
      </w:r>
      <w:r>
        <w:t xml:space="preserve"> </w:t>
      </w:r>
      <w:r w:rsidR="003D6B73" w:rsidRPr="002A333B">
        <w:t>However, obtaining data on other overhead costs is challenging.  Overhead costs vary greatly across industries and firm sizes.  In addition, the precise cost elements assigned as “indirect” or “overhead” costs, as opposed to direct costs or employee wages, are subject to some interpretation at the firm level.  Therefore, we have chosen to calculate the cost of overhead at 100 percent of the mean hourly wage.  This is necessarily a rough adjustment, both because fringe benefits</w:t>
      </w:r>
      <w:r w:rsidR="003D6B73" w:rsidRPr="002A333B">
        <w:rPr>
          <w:spacing w:val="-9"/>
        </w:rPr>
        <w:t xml:space="preserve"> </w:t>
      </w:r>
      <w:r w:rsidR="003D6B73" w:rsidRPr="002A333B">
        <w:t>and overhead costs vary significantly from employer to employer and because methods</w:t>
      </w:r>
      <w:r w:rsidR="003D6B73" w:rsidRPr="002A333B">
        <w:rPr>
          <w:spacing w:val="-12"/>
        </w:rPr>
        <w:t xml:space="preserve"> </w:t>
      </w:r>
      <w:r w:rsidR="003D6B73" w:rsidRPr="002A333B">
        <w:t>of estimating these costs vary widely from study to study.  Nonetheless, there is no</w:t>
      </w:r>
      <w:r w:rsidR="003D6B73" w:rsidRPr="002A333B">
        <w:rPr>
          <w:spacing w:val="-20"/>
        </w:rPr>
        <w:t xml:space="preserve"> </w:t>
      </w:r>
      <w:r w:rsidR="003D6B73" w:rsidRPr="002A333B">
        <w:t>practical alternative, and we believe that doubling the hourly wage to estimate total cost is</w:t>
      </w:r>
      <w:r w:rsidR="003D6B73" w:rsidRPr="002A333B">
        <w:rPr>
          <w:spacing w:val="-11"/>
        </w:rPr>
        <w:t xml:space="preserve"> </w:t>
      </w:r>
      <w:r w:rsidR="003D6B73" w:rsidRPr="002A333B">
        <w:t>a reasonably accurate estimation</w:t>
      </w:r>
      <w:r w:rsidR="003D6B73" w:rsidRPr="002A333B">
        <w:rPr>
          <w:spacing w:val="-9"/>
        </w:rPr>
        <w:t xml:space="preserve"> </w:t>
      </w:r>
      <w:r w:rsidR="003D6B73" w:rsidRPr="002A333B">
        <w:t>method.  In calculating the labor cost, we estimate an hourly labor cost of $32.84 ($16.42 base salary + $16.42 fringe)</w:t>
      </w:r>
      <w:r w:rsidR="003D6B73" w:rsidRPr="00C57CB7">
        <w:t>.</w:t>
      </w:r>
      <w:r w:rsidR="003D6B73">
        <w:t xml:space="preserve"> </w:t>
      </w:r>
    </w:p>
    <w:p w14:paraId="22084DFF" w14:textId="77777777" w:rsidR="0075329D" w:rsidRDefault="0075329D" w:rsidP="00285035"/>
    <w:p w14:paraId="7B9A00C0" w14:textId="1BDF740D" w:rsidR="00AD7856" w:rsidRPr="00994E64" w:rsidRDefault="00AD7856" w:rsidP="00A6098F">
      <w:pPr>
        <w:pStyle w:val="ListParagraph"/>
        <w:numPr>
          <w:ilvl w:val="0"/>
          <w:numId w:val="17"/>
        </w:numPr>
        <w:rPr>
          <w:b/>
          <w:u w:val="single"/>
        </w:rPr>
      </w:pPr>
      <w:r w:rsidRPr="00994E64">
        <w:rPr>
          <w:b/>
          <w:u w:val="single"/>
        </w:rPr>
        <w:t>FY 201</w:t>
      </w:r>
      <w:r w:rsidR="00920CCF">
        <w:rPr>
          <w:b/>
          <w:u w:val="single"/>
        </w:rPr>
        <w:t>9</w:t>
      </w:r>
      <w:r w:rsidRPr="00994E64">
        <w:rPr>
          <w:b/>
          <w:u w:val="single"/>
        </w:rPr>
        <w:t xml:space="preserve"> Payment Determination </w:t>
      </w:r>
      <w:r w:rsidR="009B56C6" w:rsidRPr="00994E64">
        <w:rPr>
          <w:b/>
          <w:u w:val="single"/>
        </w:rPr>
        <w:t>a</w:t>
      </w:r>
      <w:r w:rsidRPr="00994E64">
        <w:rPr>
          <w:b/>
          <w:u w:val="single"/>
        </w:rPr>
        <w:t>nd Subsequent Years</w:t>
      </w:r>
    </w:p>
    <w:p w14:paraId="5E1BCAF9" w14:textId="56F4F028" w:rsidR="00AD7856" w:rsidRDefault="00AD7856" w:rsidP="00285035"/>
    <w:p w14:paraId="0CE0A52C" w14:textId="5DE1A7E3" w:rsidR="00A57A4B" w:rsidRPr="00876F39" w:rsidRDefault="00A57A4B" w:rsidP="00A57A4B">
      <w:pPr>
        <w:rPr>
          <w:i/>
          <w:highlight w:val="yellow"/>
          <w:u w:val="single"/>
        </w:rPr>
      </w:pPr>
      <w:r w:rsidRPr="00A57A4B">
        <w:rPr>
          <w:i/>
        </w:rPr>
        <w:t>Chart-Abstracted Measure Data Collection and Reporting</w:t>
      </w:r>
    </w:p>
    <w:p w14:paraId="49C7C8FE" w14:textId="66F6E978" w:rsidR="001F747C" w:rsidRPr="00AD0DDE" w:rsidRDefault="001F747C" w:rsidP="001F747C">
      <w:r w:rsidRPr="00AD0DDE">
        <w:t>For the FY 201</w:t>
      </w:r>
      <w:r w:rsidR="00920CCF">
        <w:t>8</w:t>
      </w:r>
      <w:r w:rsidRPr="00AD0DDE">
        <w:t xml:space="preserve"> </w:t>
      </w:r>
      <w:r>
        <w:t>payment determination and subsequent years</w:t>
      </w:r>
      <w:r w:rsidRPr="00AD0DDE">
        <w:t xml:space="preserve">, </w:t>
      </w:r>
      <w:r>
        <w:t xml:space="preserve">we had adopted </w:t>
      </w:r>
      <w:r w:rsidR="00920CCF">
        <w:t>sixteen (16</w:t>
      </w:r>
      <w:r>
        <w:t xml:space="preserve">) measures.  The </w:t>
      </w:r>
      <w:r w:rsidR="00AD1412">
        <w:t xml:space="preserve">following </w:t>
      </w:r>
      <w:r>
        <w:t xml:space="preserve">table </w:t>
      </w:r>
      <w:r w:rsidR="00D17CB4">
        <w:t xml:space="preserve">sets out our estimated annual burden for each of </w:t>
      </w:r>
      <w:r>
        <w:t>these measures</w:t>
      </w:r>
      <w:r w:rsidR="008200C3">
        <w:t xml:space="preserve"> based on updated assumptions regarding the number of facilities, the number of cases per facility, and the effort per case</w:t>
      </w:r>
      <w:r>
        <w:t>.</w:t>
      </w:r>
      <w:r w:rsidR="00753872">
        <w:t xml:space="preserve"> As indicated below, the FUH measure has no burden.</w:t>
      </w:r>
    </w:p>
    <w:p w14:paraId="4C7C6370" w14:textId="77777777" w:rsidR="00466E42" w:rsidRDefault="00466E42" w:rsidP="00285035"/>
    <w:tbl>
      <w:tblPr>
        <w:tblStyle w:val="TableGrid"/>
        <w:tblW w:w="9180" w:type="dxa"/>
        <w:tblInd w:w="108" w:type="dxa"/>
        <w:tblLayout w:type="fixed"/>
        <w:tblLook w:val="04A0" w:firstRow="1" w:lastRow="0" w:firstColumn="1" w:lastColumn="0" w:noHBand="0" w:noVBand="1"/>
      </w:tblPr>
      <w:tblGrid>
        <w:gridCol w:w="1156"/>
        <w:gridCol w:w="1123"/>
        <w:gridCol w:w="2041"/>
        <w:gridCol w:w="1620"/>
        <w:gridCol w:w="1260"/>
        <w:gridCol w:w="1980"/>
      </w:tblGrid>
      <w:tr w:rsidR="00DE25E1" w:rsidRPr="00AC097F" w14:paraId="6AD4D54C" w14:textId="77777777" w:rsidTr="00E9382A">
        <w:trPr>
          <w:cantSplit/>
          <w:tblHeader/>
        </w:trPr>
        <w:tc>
          <w:tcPr>
            <w:tcW w:w="1156" w:type="dxa"/>
            <w:shd w:val="clear" w:color="auto" w:fill="D9D9D9" w:themeFill="background1" w:themeFillShade="D9"/>
            <w:vAlign w:val="center"/>
          </w:tcPr>
          <w:p w14:paraId="31ADD61A" w14:textId="77777777" w:rsidR="00DE25E1" w:rsidRPr="00AC097F"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NQF Number</w:t>
            </w:r>
          </w:p>
        </w:tc>
        <w:tc>
          <w:tcPr>
            <w:tcW w:w="1123" w:type="dxa"/>
            <w:shd w:val="clear" w:color="auto" w:fill="D9D9D9" w:themeFill="background1" w:themeFillShade="D9"/>
            <w:vAlign w:val="center"/>
          </w:tcPr>
          <w:p w14:paraId="74FB689A" w14:textId="77777777" w:rsidR="00DE25E1" w:rsidRPr="00AC097F"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ID</w:t>
            </w:r>
          </w:p>
        </w:tc>
        <w:tc>
          <w:tcPr>
            <w:tcW w:w="2041" w:type="dxa"/>
            <w:shd w:val="clear" w:color="auto" w:fill="D9D9D9" w:themeFill="background1" w:themeFillShade="D9"/>
            <w:vAlign w:val="center"/>
          </w:tcPr>
          <w:p w14:paraId="6BE8CEE2" w14:textId="77777777" w:rsidR="00DE25E1" w:rsidRPr="00AC097F"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Description</w:t>
            </w:r>
          </w:p>
        </w:tc>
        <w:tc>
          <w:tcPr>
            <w:tcW w:w="1620" w:type="dxa"/>
            <w:shd w:val="clear" w:color="auto" w:fill="D9D9D9" w:themeFill="background1" w:themeFillShade="D9"/>
            <w:vAlign w:val="center"/>
          </w:tcPr>
          <w:p w14:paraId="5D55A65E" w14:textId="77777777" w:rsidR="00DE25E1" w:rsidRPr="00AC097F"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Estimated Cases (per facility)</w:t>
            </w:r>
          </w:p>
        </w:tc>
        <w:tc>
          <w:tcPr>
            <w:tcW w:w="1260" w:type="dxa"/>
            <w:shd w:val="clear" w:color="auto" w:fill="D9D9D9" w:themeFill="background1" w:themeFillShade="D9"/>
            <w:vAlign w:val="center"/>
          </w:tcPr>
          <w:p w14:paraId="39DC3E23" w14:textId="77777777" w:rsidR="00DE25E1" w:rsidRPr="00AC097F" w:rsidDel="000834B7"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Effort per Case (hours)</w:t>
            </w:r>
          </w:p>
        </w:tc>
        <w:tc>
          <w:tcPr>
            <w:tcW w:w="1980" w:type="dxa"/>
            <w:shd w:val="clear" w:color="auto" w:fill="D9D9D9" w:themeFill="background1" w:themeFillShade="D9"/>
            <w:vAlign w:val="center"/>
          </w:tcPr>
          <w:p w14:paraId="5148A453" w14:textId="77777777" w:rsidR="00DE25E1" w:rsidRPr="00AC097F" w:rsidDel="000834B7" w:rsidRDefault="00DE25E1" w:rsidP="00AC097F">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Annual Effort (per facility) (hours)</w:t>
            </w:r>
          </w:p>
        </w:tc>
      </w:tr>
      <w:tr w:rsidR="00DE25E1" w:rsidRPr="00AC097F" w14:paraId="69054835" w14:textId="77777777" w:rsidTr="00E9382A">
        <w:trPr>
          <w:cantSplit/>
        </w:trPr>
        <w:tc>
          <w:tcPr>
            <w:tcW w:w="1156" w:type="dxa"/>
            <w:vAlign w:val="center"/>
          </w:tcPr>
          <w:p w14:paraId="0207B9F4" w14:textId="3A33CF88" w:rsidR="00DE25E1" w:rsidRPr="00AC097F" w:rsidRDefault="00DE25E1" w:rsidP="00AC097F">
            <w:pPr>
              <w:pStyle w:val="TableText"/>
              <w:spacing w:before="0" w:after="0"/>
              <w:rPr>
                <w:sz w:val="20"/>
                <w:szCs w:val="20"/>
              </w:rPr>
            </w:pPr>
            <w:r w:rsidRPr="00AC097F">
              <w:rPr>
                <w:sz w:val="20"/>
                <w:szCs w:val="20"/>
              </w:rPr>
              <w:t>0640</w:t>
            </w:r>
          </w:p>
        </w:tc>
        <w:tc>
          <w:tcPr>
            <w:tcW w:w="1123" w:type="dxa"/>
            <w:vAlign w:val="center"/>
          </w:tcPr>
          <w:p w14:paraId="7D7563FC" w14:textId="0946732F" w:rsidR="00DE25E1" w:rsidRPr="00AC097F" w:rsidRDefault="00DE25E1" w:rsidP="00AC097F">
            <w:pPr>
              <w:pStyle w:val="TableText"/>
              <w:spacing w:before="0" w:after="0"/>
              <w:rPr>
                <w:sz w:val="20"/>
                <w:szCs w:val="20"/>
              </w:rPr>
            </w:pPr>
            <w:r w:rsidRPr="00AC097F">
              <w:rPr>
                <w:sz w:val="20"/>
                <w:szCs w:val="20"/>
              </w:rPr>
              <w:t>HBIPS-2</w:t>
            </w:r>
          </w:p>
        </w:tc>
        <w:tc>
          <w:tcPr>
            <w:tcW w:w="2041" w:type="dxa"/>
            <w:vAlign w:val="center"/>
          </w:tcPr>
          <w:p w14:paraId="1B89AA0C" w14:textId="3AB3E5B9" w:rsidR="00DE25E1" w:rsidRPr="00AC097F" w:rsidRDefault="00DE25E1" w:rsidP="00AC097F">
            <w:pPr>
              <w:pStyle w:val="TableText"/>
              <w:spacing w:before="0" w:after="0"/>
              <w:rPr>
                <w:sz w:val="20"/>
                <w:szCs w:val="20"/>
              </w:rPr>
            </w:pPr>
            <w:r w:rsidRPr="00AC097F">
              <w:rPr>
                <w:sz w:val="20"/>
                <w:szCs w:val="20"/>
              </w:rPr>
              <w:t>Hours of Physical Restraint Use</w:t>
            </w:r>
          </w:p>
        </w:tc>
        <w:tc>
          <w:tcPr>
            <w:tcW w:w="1620" w:type="dxa"/>
            <w:vAlign w:val="center"/>
          </w:tcPr>
          <w:p w14:paraId="0B4D3D31" w14:textId="1D1999BB" w:rsidR="00DE25E1"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2D31486F" w14:textId="78C6E380" w:rsidR="00DE25E1" w:rsidRPr="00AC097F" w:rsidRDefault="00DE25E1" w:rsidP="00AC097F">
            <w:pPr>
              <w:pStyle w:val="TableText"/>
              <w:spacing w:before="0" w:after="0"/>
              <w:jc w:val="center"/>
              <w:rPr>
                <w:sz w:val="20"/>
                <w:szCs w:val="20"/>
              </w:rPr>
            </w:pPr>
            <w:r w:rsidRPr="00AC097F">
              <w:rPr>
                <w:color w:val="000000"/>
                <w:sz w:val="20"/>
                <w:szCs w:val="20"/>
              </w:rPr>
              <w:t>0.2</w:t>
            </w:r>
            <w:r w:rsidR="00920CCF">
              <w:rPr>
                <w:color w:val="000000"/>
                <w:sz w:val="20"/>
                <w:szCs w:val="20"/>
              </w:rPr>
              <w:t>5</w:t>
            </w:r>
          </w:p>
        </w:tc>
        <w:tc>
          <w:tcPr>
            <w:tcW w:w="1980" w:type="dxa"/>
            <w:vAlign w:val="center"/>
          </w:tcPr>
          <w:p w14:paraId="56B496AD" w14:textId="7B699954" w:rsidR="00DE25E1" w:rsidRPr="00AC097F" w:rsidRDefault="00A22798" w:rsidP="00AC097F">
            <w:pPr>
              <w:pStyle w:val="TableText"/>
              <w:spacing w:before="0" w:after="0"/>
              <w:jc w:val="center"/>
              <w:rPr>
                <w:sz w:val="20"/>
                <w:szCs w:val="20"/>
              </w:rPr>
            </w:pPr>
            <w:r>
              <w:rPr>
                <w:color w:val="000000"/>
                <w:sz w:val="20"/>
                <w:szCs w:val="20"/>
              </w:rPr>
              <w:t>212</w:t>
            </w:r>
          </w:p>
        </w:tc>
      </w:tr>
      <w:tr w:rsidR="00A22798" w:rsidRPr="00AC097F" w14:paraId="6771DF3A" w14:textId="77777777" w:rsidTr="00E9382A">
        <w:trPr>
          <w:cantSplit/>
        </w:trPr>
        <w:tc>
          <w:tcPr>
            <w:tcW w:w="1156" w:type="dxa"/>
            <w:vAlign w:val="center"/>
          </w:tcPr>
          <w:p w14:paraId="0AAFFF89" w14:textId="2E2B101F" w:rsidR="00A22798" w:rsidRPr="00AC097F" w:rsidRDefault="00A22798" w:rsidP="00A22798">
            <w:pPr>
              <w:pStyle w:val="TableText"/>
              <w:spacing w:before="0" w:after="0"/>
              <w:rPr>
                <w:sz w:val="20"/>
                <w:szCs w:val="20"/>
              </w:rPr>
            </w:pPr>
            <w:r w:rsidRPr="00AC097F">
              <w:rPr>
                <w:sz w:val="20"/>
                <w:szCs w:val="20"/>
              </w:rPr>
              <w:t>0641</w:t>
            </w:r>
          </w:p>
        </w:tc>
        <w:tc>
          <w:tcPr>
            <w:tcW w:w="1123" w:type="dxa"/>
            <w:vAlign w:val="center"/>
          </w:tcPr>
          <w:p w14:paraId="1CEADBED" w14:textId="4106C111" w:rsidR="00A22798" w:rsidRPr="00AC097F" w:rsidRDefault="00A22798" w:rsidP="00A22798">
            <w:pPr>
              <w:pStyle w:val="TableText"/>
              <w:spacing w:before="0" w:after="0"/>
              <w:rPr>
                <w:sz w:val="20"/>
                <w:szCs w:val="20"/>
              </w:rPr>
            </w:pPr>
            <w:r w:rsidRPr="00AC097F">
              <w:rPr>
                <w:sz w:val="20"/>
                <w:szCs w:val="20"/>
              </w:rPr>
              <w:t>HBIPS-3</w:t>
            </w:r>
          </w:p>
        </w:tc>
        <w:tc>
          <w:tcPr>
            <w:tcW w:w="2041" w:type="dxa"/>
            <w:vAlign w:val="center"/>
          </w:tcPr>
          <w:p w14:paraId="7903CC91" w14:textId="04ABE6E4" w:rsidR="00A22798" w:rsidRPr="00AC097F" w:rsidRDefault="00A22798" w:rsidP="00A22798">
            <w:pPr>
              <w:pStyle w:val="TableText"/>
              <w:spacing w:before="0" w:after="0"/>
              <w:rPr>
                <w:sz w:val="20"/>
                <w:szCs w:val="20"/>
              </w:rPr>
            </w:pPr>
            <w:r w:rsidRPr="00AC097F">
              <w:rPr>
                <w:sz w:val="20"/>
                <w:szCs w:val="20"/>
              </w:rPr>
              <w:t>Hours of Seclusion Use</w:t>
            </w:r>
          </w:p>
        </w:tc>
        <w:tc>
          <w:tcPr>
            <w:tcW w:w="1620" w:type="dxa"/>
            <w:vAlign w:val="center"/>
          </w:tcPr>
          <w:p w14:paraId="21CBBCBB" w14:textId="3E8545FD" w:rsidR="00A22798"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2014148C" w14:textId="7C964A9B" w:rsidR="00A22798" w:rsidRPr="00AC097F" w:rsidRDefault="00A22798" w:rsidP="00A22798">
            <w:pPr>
              <w:pStyle w:val="TableText"/>
              <w:spacing w:before="0" w:after="0"/>
              <w:jc w:val="center"/>
              <w:rPr>
                <w:sz w:val="20"/>
                <w:szCs w:val="20"/>
              </w:rPr>
            </w:pPr>
            <w:r w:rsidRPr="00AC097F">
              <w:rPr>
                <w:color w:val="000000"/>
                <w:sz w:val="20"/>
                <w:szCs w:val="20"/>
              </w:rPr>
              <w:t>0.2</w:t>
            </w:r>
            <w:r>
              <w:rPr>
                <w:color w:val="000000"/>
                <w:sz w:val="20"/>
                <w:szCs w:val="20"/>
              </w:rPr>
              <w:t>5</w:t>
            </w:r>
          </w:p>
        </w:tc>
        <w:tc>
          <w:tcPr>
            <w:tcW w:w="1980" w:type="dxa"/>
            <w:vAlign w:val="center"/>
          </w:tcPr>
          <w:p w14:paraId="3D6504B1" w14:textId="33CD4780" w:rsidR="00A22798" w:rsidRPr="00AC097F" w:rsidRDefault="00A22798" w:rsidP="00A22798">
            <w:pPr>
              <w:pStyle w:val="TableText"/>
              <w:spacing w:before="0" w:after="0"/>
              <w:jc w:val="center"/>
              <w:rPr>
                <w:sz w:val="20"/>
                <w:szCs w:val="20"/>
              </w:rPr>
            </w:pPr>
            <w:r>
              <w:rPr>
                <w:color w:val="000000"/>
                <w:sz w:val="20"/>
                <w:szCs w:val="20"/>
              </w:rPr>
              <w:t>212</w:t>
            </w:r>
          </w:p>
        </w:tc>
      </w:tr>
      <w:tr w:rsidR="00A22798" w:rsidRPr="00AC097F" w14:paraId="31CDA8FB" w14:textId="77777777" w:rsidTr="00E9382A">
        <w:trPr>
          <w:cantSplit/>
        </w:trPr>
        <w:tc>
          <w:tcPr>
            <w:tcW w:w="1156" w:type="dxa"/>
            <w:vAlign w:val="center"/>
          </w:tcPr>
          <w:p w14:paraId="168DA79D" w14:textId="2E76AFE8" w:rsidR="00A22798" w:rsidRPr="00AC097F" w:rsidRDefault="00A22798" w:rsidP="00A22798">
            <w:pPr>
              <w:pStyle w:val="TableText"/>
              <w:spacing w:before="0" w:after="0"/>
              <w:rPr>
                <w:sz w:val="20"/>
                <w:szCs w:val="20"/>
              </w:rPr>
            </w:pPr>
            <w:r w:rsidRPr="00AC097F">
              <w:rPr>
                <w:sz w:val="20"/>
                <w:szCs w:val="20"/>
              </w:rPr>
              <w:t>0560</w:t>
            </w:r>
          </w:p>
        </w:tc>
        <w:tc>
          <w:tcPr>
            <w:tcW w:w="1123" w:type="dxa"/>
            <w:vAlign w:val="center"/>
          </w:tcPr>
          <w:p w14:paraId="5363E8F5" w14:textId="59CF32B3" w:rsidR="00A22798" w:rsidRPr="00AC097F" w:rsidRDefault="00A22798" w:rsidP="00A22798">
            <w:pPr>
              <w:pStyle w:val="TableText"/>
              <w:spacing w:before="0" w:after="0"/>
              <w:rPr>
                <w:sz w:val="20"/>
                <w:szCs w:val="20"/>
              </w:rPr>
            </w:pPr>
            <w:r w:rsidRPr="00AC097F">
              <w:rPr>
                <w:sz w:val="20"/>
                <w:szCs w:val="20"/>
              </w:rPr>
              <w:t>HBIPS-5</w:t>
            </w:r>
          </w:p>
        </w:tc>
        <w:tc>
          <w:tcPr>
            <w:tcW w:w="2041" w:type="dxa"/>
            <w:vAlign w:val="center"/>
          </w:tcPr>
          <w:p w14:paraId="3AECDE50" w14:textId="0EDE60D9" w:rsidR="00A22798" w:rsidRPr="00AC097F" w:rsidRDefault="00A22798" w:rsidP="00A22798">
            <w:pPr>
              <w:pStyle w:val="TableText"/>
              <w:spacing w:before="0" w:after="0"/>
              <w:rPr>
                <w:sz w:val="20"/>
                <w:szCs w:val="20"/>
              </w:rPr>
            </w:pPr>
            <w:r w:rsidRPr="00AC097F">
              <w:rPr>
                <w:sz w:val="20"/>
                <w:szCs w:val="20"/>
              </w:rPr>
              <w:t>Patients Discharged on Multiple Antipsychotic Medications with Appropriate Justification</w:t>
            </w:r>
          </w:p>
        </w:tc>
        <w:tc>
          <w:tcPr>
            <w:tcW w:w="1620" w:type="dxa"/>
            <w:vAlign w:val="center"/>
          </w:tcPr>
          <w:p w14:paraId="2C197EB4" w14:textId="2FF481D0" w:rsidR="00A22798"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691E787C" w14:textId="692E7C32" w:rsidR="00A22798" w:rsidRPr="00AC097F" w:rsidRDefault="00A22798" w:rsidP="00A22798">
            <w:pPr>
              <w:pStyle w:val="TableText"/>
              <w:spacing w:before="0" w:after="0"/>
              <w:jc w:val="center"/>
              <w:rPr>
                <w:sz w:val="20"/>
                <w:szCs w:val="20"/>
              </w:rPr>
            </w:pPr>
            <w:r w:rsidRPr="00AC097F">
              <w:rPr>
                <w:color w:val="000000"/>
                <w:sz w:val="20"/>
                <w:szCs w:val="20"/>
              </w:rPr>
              <w:t>0.2</w:t>
            </w:r>
            <w:r>
              <w:rPr>
                <w:color w:val="000000"/>
                <w:sz w:val="20"/>
                <w:szCs w:val="20"/>
              </w:rPr>
              <w:t>5</w:t>
            </w:r>
          </w:p>
        </w:tc>
        <w:tc>
          <w:tcPr>
            <w:tcW w:w="1980" w:type="dxa"/>
            <w:vAlign w:val="center"/>
          </w:tcPr>
          <w:p w14:paraId="5101169F" w14:textId="17628AC9" w:rsidR="00A22798" w:rsidRPr="00AC097F" w:rsidRDefault="00A22798" w:rsidP="00A22798">
            <w:pPr>
              <w:pStyle w:val="TableText"/>
              <w:spacing w:before="0" w:after="0"/>
              <w:jc w:val="center"/>
              <w:rPr>
                <w:sz w:val="20"/>
                <w:szCs w:val="20"/>
              </w:rPr>
            </w:pPr>
            <w:r>
              <w:rPr>
                <w:color w:val="000000"/>
                <w:sz w:val="20"/>
                <w:szCs w:val="20"/>
              </w:rPr>
              <w:t>212</w:t>
            </w:r>
          </w:p>
        </w:tc>
      </w:tr>
      <w:tr w:rsidR="00A22798" w:rsidRPr="00AC097F" w14:paraId="38220886" w14:textId="77777777" w:rsidTr="00E9382A">
        <w:trPr>
          <w:cantSplit/>
        </w:trPr>
        <w:tc>
          <w:tcPr>
            <w:tcW w:w="1156" w:type="dxa"/>
            <w:vAlign w:val="center"/>
          </w:tcPr>
          <w:p w14:paraId="3D4266F5" w14:textId="563D305E" w:rsidR="00A22798" w:rsidRPr="00AC097F" w:rsidRDefault="00A22798" w:rsidP="00A22798">
            <w:pPr>
              <w:pStyle w:val="TableText"/>
              <w:spacing w:before="0" w:after="0"/>
              <w:rPr>
                <w:sz w:val="20"/>
                <w:szCs w:val="20"/>
              </w:rPr>
            </w:pPr>
            <w:r w:rsidRPr="00AC097F">
              <w:rPr>
                <w:sz w:val="20"/>
                <w:szCs w:val="20"/>
              </w:rPr>
              <w:t>1661</w:t>
            </w:r>
          </w:p>
        </w:tc>
        <w:tc>
          <w:tcPr>
            <w:tcW w:w="1123" w:type="dxa"/>
            <w:vAlign w:val="center"/>
          </w:tcPr>
          <w:p w14:paraId="3774A669" w14:textId="20CEB568" w:rsidR="00A22798" w:rsidRPr="00AC097F" w:rsidRDefault="00A22798" w:rsidP="00A22798">
            <w:pPr>
              <w:pStyle w:val="TableText"/>
              <w:spacing w:before="0" w:after="0"/>
              <w:rPr>
                <w:sz w:val="20"/>
                <w:szCs w:val="20"/>
              </w:rPr>
            </w:pPr>
            <w:r w:rsidRPr="00AC097F">
              <w:rPr>
                <w:sz w:val="20"/>
                <w:szCs w:val="20"/>
              </w:rPr>
              <w:t>SUB-1</w:t>
            </w:r>
          </w:p>
        </w:tc>
        <w:tc>
          <w:tcPr>
            <w:tcW w:w="2041" w:type="dxa"/>
            <w:vAlign w:val="center"/>
          </w:tcPr>
          <w:p w14:paraId="1120E915" w14:textId="17DCB785" w:rsidR="00A22798" w:rsidRPr="00AC097F" w:rsidRDefault="00A22798" w:rsidP="00A22798">
            <w:pPr>
              <w:pStyle w:val="TableText"/>
              <w:spacing w:before="0" w:after="0"/>
              <w:rPr>
                <w:sz w:val="20"/>
                <w:szCs w:val="20"/>
              </w:rPr>
            </w:pPr>
            <w:r w:rsidRPr="00AC097F">
              <w:rPr>
                <w:sz w:val="20"/>
                <w:szCs w:val="20"/>
              </w:rPr>
              <w:t>Alcohol Use Screening</w:t>
            </w:r>
          </w:p>
        </w:tc>
        <w:tc>
          <w:tcPr>
            <w:tcW w:w="1620" w:type="dxa"/>
            <w:vAlign w:val="center"/>
          </w:tcPr>
          <w:p w14:paraId="369A836D" w14:textId="2CFEE651" w:rsidR="00A22798" w:rsidRPr="00AC097F"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60B0BA4C" w14:textId="4242B412"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76E7DD4F" w14:textId="47E11AB3" w:rsidR="00A22798" w:rsidRPr="00AC097F" w:rsidRDefault="00A22798" w:rsidP="00A22798">
            <w:pPr>
              <w:pStyle w:val="TableText"/>
              <w:spacing w:before="0" w:after="0"/>
              <w:jc w:val="center"/>
              <w:rPr>
                <w:color w:val="000000"/>
                <w:sz w:val="20"/>
                <w:szCs w:val="20"/>
              </w:rPr>
            </w:pPr>
            <w:r>
              <w:rPr>
                <w:color w:val="000000"/>
                <w:sz w:val="20"/>
                <w:szCs w:val="20"/>
              </w:rPr>
              <w:t>212</w:t>
            </w:r>
          </w:p>
        </w:tc>
      </w:tr>
      <w:tr w:rsidR="00A22798" w:rsidRPr="00AC097F" w14:paraId="582419A2" w14:textId="77777777" w:rsidTr="00E60D24">
        <w:trPr>
          <w:cantSplit/>
        </w:trPr>
        <w:tc>
          <w:tcPr>
            <w:tcW w:w="1156" w:type="dxa"/>
            <w:vAlign w:val="center"/>
          </w:tcPr>
          <w:p w14:paraId="65DC87E9" w14:textId="39227DC7" w:rsidR="00A22798" w:rsidRPr="00AC097F" w:rsidRDefault="00A22798" w:rsidP="00A22798">
            <w:pPr>
              <w:pStyle w:val="TableText"/>
              <w:spacing w:before="0" w:after="0"/>
              <w:rPr>
                <w:sz w:val="20"/>
                <w:szCs w:val="20"/>
              </w:rPr>
            </w:pPr>
            <w:r w:rsidRPr="00AC097F">
              <w:rPr>
                <w:sz w:val="20"/>
                <w:szCs w:val="20"/>
              </w:rPr>
              <w:t>0576</w:t>
            </w:r>
          </w:p>
        </w:tc>
        <w:tc>
          <w:tcPr>
            <w:tcW w:w="1123" w:type="dxa"/>
            <w:vAlign w:val="center"/>
          </w:tcPr>
          <w:p w14:paraId="5856F073" w14:textId="729807F3" w:rsidR="00A22798" w:rsidRPr="00AC097F" w:rsidRDefault="00A22798" w:rsidP="00A22798">
            <w:pPr>
              <w:pStyle w:val="TableText"/>
              <w:spacing w:before="0" w:after="0"/>
              <w:rPr>
                <w:sz w:val="20"/>
                <w:szCs w:val="20"/>
              </w:rPr>
            </w:pPr>
            <w:r w:rsidRPr="00AC097F">
              <w:rPr>
                <w:sz w:val="20"/>
                <w:szCs w:val="20"/>
              </w:rPr>
              <w:t>FUH</w:t>
            </w:r>
          </w:p>
        </w:tc>
        <w:tc>
          <w:tcPr>
            <w:tcW w:w="2041" w:type="dxa"/>
            <w:vAlign w:val="center"/>
          </w:tcPr>
          <w:p w14:paraId="1A5360D1" w14:textId="4C00946B" w:rsidR="00A22798" w:rsidRPr="00AC097F" w:rsidRDefault="00A22798" w:rsidP="00A22798">
            <w:pPr>
              <w:pStyle w:val="TableText"/>
              <w:spacing w:before="0" w:after="0"/>
              <w:rPr>
                <w:sz w:val="20"/>
                <w:szCs w:val="20"/>
              </w:rPr>
            </w:pPr>
            <w:r w:rsidRPr="00AC097F">
              <w:rPr>
                <w:sz w:val="20"/>
                <w:szCs w:val="20"/>
              </w:rPr>
              <w:t>Follow-up After Hospitalization for Mental Illness</w:t>
            </w:r>
          </w:p>
        </w:tc>
        <w:tc>
          <w:tcPr>
            <w:tcW w:w="1620" w:type="dxa"/>
            <w:vAlign w:val="center"/>
          </w:tcPr>
          <w:p w14:paraId="0BB60121" w14:textId="05EAEF68" w:rsidR="00A22798" w:rsidRPr="00AC097F"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6056023D" w14:textId="562E93EB" w:rsidR="00A22798" w:rsidRPr="00AC097F" w:rsidRDefault="00A22798" w:rsidP="00A22798">
            <w:pPr>
              <w:pStyle w:val="TableText"/>
              <w:spacing w:before="0" w:after="0"/>
              <w:jc w:val="center"/>
              <w:rPr>
                <w:color w:val="000000"/>
                <w:sz w:val="20"/>
                <w:szCs w:val="20"/>
              </w:rPr>
            </w:pPr>
            <w:r>
              <w:rPr>
                <w:color w:val="000000"/>
                <w:sz w:val="20"/>
                <w:szCs w:val="20"/>
              </w:rPr>
              <w:t>0</w:t>
            </w:r>
          </w:p>
        </w:tc>
        <w:tc>
          <w:tcPr>
            <w:tcW w:w="1980" w:type="dxa"/>
            <w:vAlign w:val="center"/>
          </w:tcPr>
          <w:p w14:paraId="5EA0C14A" w14:textId="2CAECCA2" w:rsidR="00A22798" w:rsidRPr="00AC097F" w:rsidRDefault="00A22798" w:rsidP="00A22798">
            <w:pPr>
              <w:pStyle w:val="TableText"/>
              <w:spacing w:before="0" w:after="0"/>
              <w:jc w:val="center"/>
              <w:rPr>
                <w:color w:val="000000"/>
                <w:sz w:val="20"/>
                <w:szCs w:val="20"/>
              </w:rPr>
            </w:pPr>
            <w:r w:rsidRPr="00AC097F">
              <w:rPr>
                <w:color w:val="000000"/>
                <w:sz w:val="20"/>
                <w:szCs w:val="20"/>
              </w:rPr>
              <w:t>0*</w:t>
            </w:r>
          </w:p>
        </w:tc>
      </w:tr>
      <w:tr w:rsidR="00A22798" w:rsidRPr="00AC097F" w14:paraId="3A508CB8" w14:textId="77777777" w:rsidTr="00E9382A">
        <w:trPr>
          <w:cantSplit/>
        </w:trPr>
        <w:tc>
          <w:tcPr>
            <w:tcW w:w="1156" w:type="dxa"/>
            <w:vAlign w:val="center"/>
          </w:tcPr>
          <w:p w14:paraId="523F393B" w14:textId="483308D1" w:rsidR="00A22798" w:rsidRPr="00AC097F" w:rsidRDefault="00A22798" w:rsidP="00A22798">
            <w:pPr>
              <w:pStyle w:val="TableText"/>
              <w:spacing w:before="0" w:after="0"/>
              <w:rPr>
                <w:sz w:val="20"/>
                <w:szCs w:val="20"/>
              </w:rPr>
            </w:pPr>
            <w:r w:rsidRPr="00AC097F">
              <w:rPr>
                <w:sz w:val="20"/>
                <w:szCs w:val="20"/>
              </w:rPr>
              <w:t>1651</w:t>
            </w:r>
          </w:p>
        </w:tc>
        <w:tc>
          <w:tcPr>
            <w:tcW w:w="1123" w:type="dxa"/>
            <w:vAlign w:val="center"/>
          </w:tcPr>
          <w:p w14:paraId="5E836D77" w14:textId="2C383BAC" w:rsidR="00A22798" w:rsidRPr="00AC097F" w:rsidRDefault="00A22798" w:rsidP="00A22798">
            <w:pPr>
              <w:pStyle w:val="TableText"/>
              <w:spacing w:before="0" w:after="0"/>
              <w:rPr>
                <w:sz w:val="20"/>
                <w:szCs w:val="20"/>
              </w:rPr>
            </w:pPr>
            <w:r w:rsidRPr="00AC097F">
              <w:rPr>
                <w:rFonts w:eastAsia="Calibri"/>
                <w:sz w:val="20"/>
                <w:szCs w:val="20"/>
              </w:rPr>
              <w:t>TOB-1</w:t>
            </w:r>
          </w:p>
        </w:tc>
        <w:tc>
          <w:tcPr>
            <w:tcW w:w="2041" w:type="dxa"/>
            <w:vAlign w:val="center"/>
          </w:tcPr>
          <w:p w14:paraId="730B50AF" w14:textId="2AC11B12" w:rsidR="00A22798" w:rsidRPr="00AC097F" w:rsidRDefault="00A22798" w:rsidP="00A22798">
            <w:pPr>
              <w:pStyle w:val="TableText"/>
              <w:spacing w:before="0" w:after="0"/>
              <w:rPr>
                <w:sz w:val="20"/>
                <w:szCs w:val="20"/>
              </w:rPr>
            </w:pPr>
            <w:r w:rsidRPr="00AC097F">
              <w:rPr>
                <w:rFonts w:eastAsia="Calibri"/>
                <w:sz w:val="20"/>
                <w:szCs w:val="20"/>
              </w:rPr>
              <w:t>Tobacco Use Screening</w:t>
            </w:r>
          </w:p>
        </w:tc>
        <w:tc>
          <w:tcPr>
            <w:tcW w:w="1620" w:type="dxa"/>
            <w:vAlign w:val="center"/>
          </w:tcPr>
          <w:p w14:paraId="14233D57" w14:textId="79040822" w:rsidR="00A22798" w:rsidRPr="00AC097F"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26F4FE82" w14:textId="13129EE5"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1FD49B25" w14:textId="3B670355" w:rsidR="00A22798" w:rsidRPr="00AC097F" w:rsidRDefault="00A22798" w:rsidP="00A22798">
            <w:pPr>
              <w:pStyle w:val="TableText"/>
              <w:spacing w:before="0" w:after="0"/>
              <w:jc w:val="center"/>
              <w:rPr>
                <w:color w:val="000000"/>
                <w:sz w:val="20"/>
                <w:szCs w:val="20"/>
              </w:rPr>
            </w:pPr>
            <w:r>
              <w:rPr>
                <w:color w:val="000000"/>
                <w:sz w:val="20"/>
                <w:szCs w:val="20"/>
              </w:rPr>
              <w:t>212</w:t>
            </w:r>
          </w:p>
        </w:tc>
      </w:tr>
      <w:tr w:rsidR="00A22798" w:rsidRPr="00AC097F" w14:paraId="203BA9B9" w14:textId="77777777" w:rsidTr="00E9382A">
        <w:trPr>
          <w:cantSplit/>
        </w:trPr>
        <w:tc>
          <w:tcPr>
            <w:tcW w:w="1156" w:type="dxa"/>
            <w:vAlign w:val="center"/>
          </w:tcPr>
          <w:p w14:paraId="54E57831" w14:textId="6CD6B3EB" w:rsidR="00A22798" w:rsidRPr="00AC097F" w:rsidRDefault="00A22798" w:rsidP="00A22798">
            <w:pPr>
              <w:pStyle w:val="TableText"/>
              <w:spacing w:before="0" w:after="0"/>
              <w:rPr>
                <w:sz w:val="20"/>
                <w:szCs w:val="20"/>
              </w:rPr>
            </w:pPr>
            <w:r w:rsidRPr="00AC097F">
              <w:rPr>
                <w:sz w:val="20"/>
                <w:szCs w:val="20"/>
              </w:rPr>
              <w:t>1654</w:t>
            </w:r>
          </w:p>
        </w:tc>
        <w:tc>
          <w:tcPr>
            <w:tcW w:w="1123" w:type="dxa"/>
            <w:vAlign w:val="center"/>
          </w:tcPr>
          <w:p w14:paraId="68687618" w14:textId="77777777" w:rsidR="00A22798" w:rsidRPr="00AC097F" w:rsidRDefault="00A22798" w:rsidP="00A22798">
            <w:pPr>
              <w:autoSpaceDE w:val="0"/>
              <w:autoSpaceDN w:val="0"/>
              <w:adjustRightInd w:val="0"/>
              <w:rPr>
                <w:rFonts w:eastAsia="Calibri"/>
                <w:sz w:val="20"/>
                <w:szCs w:val="20"/>
              </w:rPr>
            </w:pPr>
            <w:r w:rsidRPr="00AC097F">
              <w:rPr>
                <w:rFonts w:eastAsia="Calibri"/>
                <w:sz w:val="20"/>
                <w:szCs w:val="20"/>
              </w:rPr>
              <w:t>TOB-2</w:t>
            </w:r>
          </w:p>
          <w:p w14:paraId="0240D868" w14:textId="0A877773" w:rsidR="00A22798" w:rsidRPr="00AC097F" w:rsidRDefault="00A22798" w:rsidP="00A22798">
            <w:pPr>
              <w:pStyle w:val="TableText"/>
              <w:spacing w:before="0" w:after="0"/>
              <w:rPr>
                <w:sz w:val="20"/>
                <w:szCs w:val="20"/>
              </w:rPr>
            </w:pPr>
            <w:r w:rsidRPr="00AC097F">
              <w:rPr>
                <w:rFonts w:eastAsia="Calibri"/>
                <w:sz w:val="20"/>
                <w:szCs w:val="20"/>
              </w:rPr>
              <w:t>TOB-2a</w:t>
            </w:r>
          </w:p>
        </w:tc>
        <w:tc>
          <w:tcPr>
            <w:tcW w:w="2041" w:type="dxa"/>
            <w:vAlign w:val="center"/>
          </w:tcPr>
          <w:p w14:paraId="535111B4" w14:textId="77777777" w:rsidR="00A22798" w:rsidRPr="00AC097F" w:rsidRDefault="00A22798" w:rsidP="00A22798">
            <w:pPr>
              <w:autoSpaceDE w:val="0"/>
              <w:autoSpaceDN w:val="0"/>
              <w:adjustRightInd w:val="0"/>
              <w:rPr>
                <w:rFonts w:eastAsia="Calibri"/>
                <w:sz w:val="20"/>
                <w:szCs w:val="20"/>
              </w:rPr>
            </w:pPr>
            <w:r w:rsidRPr="00AC097F">
              <w:rPr>
                <w:rFonts w:eastAsia="Calibri"/>
                <w:sz w:val="20"/>
                <w:szCs w:val="20"/>
              </w:rPr>
              <w:t>Tobacco Use Treatment Provided or Offered and</w:t>
            </w:r>
          </w:p>
          <w:p w14:paraId="0CBAB0C7" w14:textId="7A58CB59" w:rsidR="00A22798" w:rsidRPr="00AC097F" w:rsidRDefault="00A22798" w:rsidP="00A22798">
            <w:pPr>
              <w:pStyle w:val="TableText"/>
              <w:spacing w:before="0" w:after="0"/>
              <w:rPr>
                <w:sz w:val="20"/>
                <w:szCs w:val="20"/>
              </w:rPr>
            </w:pPr>
            <w:r w:rsidRPr="00AC097F">
              <w:rPr>
                <w:rFonts w:eastAsia="Calibri"/>
                <w:sz w:val="20"/>
                <w:szCs w:val="20"/>
              </w:rPr>
              <w:t>Tobacco Use Treatment</w:t>
            </w:r>
          </w:p>
        </w:tc>
        <w:tc>
          <w:tcPr>
            <w:tcW w:w="1620" w:type="dxa"/>
            <w:vAlign w:val="center"/>
          </w:tcPr>
          <w:p w14:paraId="711C6F1A" w14:textId="477925F2" w:rsidR="00A22798" w:rsidRPr="00AC097F"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6ADF1ABD" w14:textId="6E31A5A1"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0C11C192" w14:textId="71A3DBC0" w:rsidR="00A22798" w:rsidRPr="00AC097F" w:rsidRDefault="00A22798" w:rsidP="00A22798">
            <w:pPr>
              <w:pStyle w:val="TableText"/>
              <w:spacing w:before="0" w:after="0"/>
              <w:jc w:val="center"/>
              <w:rPr>
                <w:color w:val="000000"/>
                <w:sz w:val="20"/>
                <w:szCs w:val="20"/>
              </w:rPr>
            </w:pPr>
            <w:r>
              <w:rPr>
                <w:color w:val="000000"/>
                <w:sz w:val="20"/>
                <w:szCs w:val="20"/>
              </w:rPr>
              <w:t>212</w:t>
            </w:r>
          </w:p>
        </w:tc>
      </w:tr>
      <w:tr w:rsidR="00A22798" w:rsidRPr="00AC097F" w14:paraId="771447F0" w14:textId="77777777" w:rsidTr="00E9382A">
        <w:trPr>
          <w:cantSplit/>
        </w:trPr>
        <w:tc>
          <w:tcPr>
            <w:tcW w:w="1156" w:type="dxa"/>
            <w:vAlign w:val="center"/>
          </w:tcPr>
          <w:p w14:paraId="27A8335D" w14:textId="5BAE5242" w:rsidR="00A22798" w:rsidRPr="00AC097F" w:rsidRDefault="00A22798" w:rsidP="00A22798">
            <w:pPr>
              <w:pStyle w:val="TableText"/>
              <w:spacing w:before="0" w:after="0"/>
              <w:rPr>
                <w:sz w:val="20"/>
                <w:szCs w:val="20"/>
              </w:rPr>
            </w:pPr>
            <w:r w:rsidRPr="00AC097F">
              <w:rPr>
                <w:sz w:val="20"/>
                <w:szCs w:val="20"/>
              </w:rPr>
              <w:t>1659</w:t>
            </w:r>
          </w:p>
        </w:tc>
        <w:tc>
          <w:tcPr>
            <w:tcW w:w="1123" w:type="dxa"/>
            <w:vAlign w:val="center"/>
          </w:tcPr>
          <w:p w14:paraId="7AC74B3A" w14:textId="3E530445" w:rsidR="00A22798" w:rsidRPr="00AC097F" w:rsidRDefault="00A22798" w:rsidP="00A22798">
            <w:pPr>
              <w:pStyle w:val="TableText"/>
              <w:spacing w:before="0" w:after="0"/>
              <w:rPr>
                <w:sz w:val="20"/>
                <w:szCs w:val="20"/>
              </w:rPr>
            </w:pPr>
            <w:r w:rsidRPr="00AC097F">
              <w:rPr>
                <w:rFonts w:eastAsia="Calibri"/>
                <w:sz w:val="20"/>
                <w:szCs w:val="20"/>
              </w:rPr>
              <w:t>IMM-2</w:t>
            </w:r>
          </w:p>
        </w:tc>
        <w:tc>
          <w:tcPr>
            <w:tcW w:w="2041" w:type="dxa"/>
            <w:vAlign w:val="center"/>
          </w:tcPr>
          <w:p w14:paraId="4A9DE51C" w14:textId="75534088" w:rsidR="00A22798" w:rsidRPr="00AC097F" w:rsidRDefault="00A22798" w:rsidP="00A22798">
            <w:pPr>
              <w:pStyle w:val="TableText"/>
              <w:spacing w:before="0" w:after="0"/>
              <w:rPr>
                <w:sz w:val="20"/>
                <w:szCs w:val="20"/>
              </w:rPr>
            </w:pPr>
            <w:r w:rsidRPr="00AC097F">
              <w:rPr>
                <w:rFonts w:eastAsia="Calibri"/>
                <w:sz w:val="20"/>
                <w:szCs w:val="20"/>
              </w:rPr>
              <w:t>Influenza Immunization</w:t>
            </w:r>
          </w:p>
        </w:tc>
        <w:tc>
          <w:tcPr>
            <w:tcW w:w="1620" w:type="dxa"/>
            <w:vAlign w:val="center"/>
          </w:tcPr>
          <w:p w14:paraId="266B325F" w14:textId="438E6B10" w:rsidR="00A22798" w:rsidRPr="00AC097F"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7978401F" w14:textId="3A1104DD"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1540EEC2" w14:textId="0DCA6D74" w:rsidR="00A22798" w:rsidRPr="00AC097F" w:rsidRDefault="00A22798" w:rsidP="00A22798">
            <w:pPr>
              <w:pStyle w:val="TableText"/>
              <w:spacing w:before="0" w:after="0"/>
              <w:jc w:val="center"/>
              <w:rPr>
                <w:color w:val="000000"/>
                <w:sz w:val="20"/>
                <w:szCs w:val="20"/>
              </w:rPr>
            </w:pPr>
            <w:r>
              <w:rPr>
                <w:color w:val="000000"/>
                <w:sz w:val="20"/>
                <w:szCs w:val="20"/>
              </w:rPr>
              <w:t>212</w:t>
            </w:r>
          </w:p>
        </w:tc>
      </w:tr>
      <w:tr w:rsidR="00FF1B14" w:rsidRPr="00AC097F" w14:paraId="57937F1F" w14:textId="77777777" w:rsidTr="00E9382A">
        <w:trPr>
          <w:cantSplit/>
        </w:trPr>
        <w:tc>
          <w:tcPr>
            <w:tcW w:w="1156" w:type="dxa"/>
            <w:vAlign w:val="center"/>
          </w:tcPr>
          <w:p w14:paraId="05B2809E" w14:textId="2070FDF6" w:rsidR="00FF1B14" w:rsidRPr="00AC097F" w:rsidRDefault="00352AD7" w:rsidP="00AC097F">
            <w:pPr>
              <w:pStyle w:val="TableText"/>
              <w:spacing w:before="0" w:after="0"/>
              <w:rPr>
                <w:sz w:val="20"/>
                <w:szCs w:val="20"/>
              </w:rPr>
            </w:pPr>
            <w:r>
              <w:rPr>
                <w:sz w:val="20"/>
                <w:szCs w:val="20"/>
              </w:rPr>
              <w:t>431</w:t>
            </w:r>
          </w:p>
        </w:tc>
        <w:tc>
          <w:tcPr>
            <w:tcW w:w="1123" w:type="dxa"/>
            <w:vAlign w:val="center"/>
          </w:tcPr>
          <w:p w14:paraId="2BFCD111" w14:textId="568A31AC" w:rsidR="00FF1B14" w:rsidRPr="00AC097F" w:rsidRDefault="00FF1B14" w:rsidP="00AC097F">
            <w:pPr>
              <w:pStyle w:val="TableText"/>
              <w:spacing w:before="0" w:after="0"/>
              <w:rPr>
                <w:sz w:val="20"/>
                <w:szCs w:val="20"/>
              </w:rPr>
            </w:pPr>
            <w:r w:rsidRPr="00AC097F">
              <w:rPr>
                <w:sz w:val="20"/>
                <w:szCs w:val="20"/>
              </w:rPr>
              <w:t>n/a</w:t>
            </w:r>
          </w:p>
        </w:tc>
        <w:tc>
          <w:tcPr>
            <w:tcW w:w="2041" w:type="dxa"/>
            <w:vAlign w:val="center"/>
          </w:tcPr>
          <w:p w14:paraId="1CED3E56" w14:textId="1C2B82CD" w:rsidR="00FF1B14" w:rsidRPr="00AC097F" w:rsidRDefault="00FF1B14" w:rsidP="00AC097F">
            <w:pPr>
              <w:pStyle w:val="TableText"/>
              <w:spacing w:before="0" w:after="0"/>
              <w:rPr>
                <w:sz w:val="20"/>
                <w:szCs w:val="20"/>
              </w:rPr>
            </w:pPr>
            <w:r w:rsidRPr="00AC097F">
              <w:rPr>
                <w:rFonts w:eastAsia="Calibri"/>
                <w:sz w:val="20"/>
                <w:szCs w:val="20"/>
              </w:rPr>
              <w:t>Influenza Vaccination Coverage Among Healthcare Personnel</w:t>
            </w:r>
          </w:p>
        </w:tc>
        <w:tc>
          <w:tcPr>
            <w:tcW w:w="1620" w:type="dxa"/>
            <w:vAlign w:val="center"/>
          </w:tcPr>
          <w:p w14:paraId="547D35D1" w14:textId="29CB95A5" w:rsidR="00FF1B14" w:rsidRPr="00AC097F" w:rsidRDefault="00352AD7" w:rsidP="00AC097F">
            <w:pPr>
              <w:pStyle w:val="TableText"/>
              <w:spacing w:before="0" w:after="0"/>
              <w:jc w:val="center"/>
              <w:rPr>
                <w:color w:val="000000"/>
                <w:sz w:val="20"/>
                <w:szCs w:val="20"/>
              </w:rPr>
            </w:pPr>
            <w:r>
              <w:rPr>
                <w:color w:val="000000"/>
                <w:sz w:val="20"/>
                <w:szCs w:val="20"/>
              </w:rPr>
              <w:t>40</w:t>
            </w:r>
          </w:p>
        </w:tc>
        <w:tc>
          <w:tcPr>
            <w:tcW w:w="1260" w:type="dxa"/>
            <w:vAlign w:val="center"/>
          </w:tcPr>
          <w:p w14:paraId="62868531" w14:textId="36D07C5B" w:rsidR="00FF1B14" w:rsidRPr="00AC097F" w:rsidRDefault="00FF1B14" w:rsidP="00AC097F">
            <w:pPr>
              <w:pStyle w:val="TableText"/>
              <w:spacing w:before="0" w:after="0"/>
              <w:jc w:val="center"/>
              <w:rPr>
                <w:color w:val="000000"/>
                <w:sz w:val="20"/>
                <w:szCs w:val="20"/>
              </w:rPr>
            </w:pPr>
            <w:r w:rsidRPr="00AC097F">
              <w:rPr>
                <w:color w:val="000000"/>
                <w:sz w:val="20"/>
                <w:szCs w:val="20"/>
              </w:rPr>
              <w:t>0.2</w:t>
            </w:r>
            <w:r w:rsidR="00A22798">
              <w:rPr>
                <w:color w:val="000000"/>
                <w:sz w:val="20"/>
                <w:szCs w:val="20"/>
              </w:rPr>
              <w:t>5</w:t>
            </w:r>
          </w:p>
        </w:tc>
        <w:tc>
          <w:tcPr>
            <w:tcW w:w="1980" w:type="dxa"/>
            <w:vAlign w:val="center"/>
          </w:tcPr>
          <w:p w14:paraId="5DB082B7" w14:textId="132FD2E4" w:rsidR="00FF1B14" w:rsidRPr="00AC097F" w:rsidRDefault="00A22798" w:rsidP="00AC097F">
            <w:pPr>
              <w:pStyle w:val="TableText"/>
              <w:spacing w:before="0" w:after="0"/>
              <w:jc w:val="center"/>
              <w:rPr>
                <w:color w:val="000000"/>
                <w:sz w:val="20"/>
                <w:szCs w:val="20"/>
              </w:rPr>
            </w:pPr>
            <w:r>
              <w:rPr>
                <w:color w:val="000000"/>
                <w:sz w:val="20"/>
                <w:szCs w:val="20"/>
              </w:rPr>
              <w:t>10</w:t>
            </w:r>
          </w:p>
        </w:tc>
      </w:tr>
      <w:tr w:rsidR="00FF1B14" w:rsidRPr="00AC097F" w14:paraId="3EDDE960" w14:textId="77777777" w:rsidTr="00E9382A">
        <w:trPr>
          <w:cantSplit/>
        </w:trPr>
        <w:tc>
          <w:tcPr>
            <w:tcW w:w="1156" w:type="dxa"/>
            <w:vAlign w:val="center"/>
          </w:tcPr>
          <w:p w14:paraId="6E6BD6A8" w14:textId="1A62E212" w:rsidR="00FF1B14" w:rsidRPr="00AC097F" w:rsidRDefault="00FF1B14" w:rsidP="00AC097F">
            <w:pPr>
              <w:pStyle w:val="TableText"/>
              <w:spacing w:before="0" w:after="0"/>
              <w:rPr>
                <w:sz w:val="20"/>
                <w:szCs w:val="20"/>
              </w:rPr>
            </w:pPr>
            <w:r w:rsidRPr="00AC097F">
              <w:rPr>
                <w:sz w:val="20"/>
                <w:szCs w:val="20"/>
              </w:rPr>
              <w:t>n/a</w:t>
            </w:r>
          </w:p>
        </w:tc>
        <w:tc>
          <w:tcPr>
            <w:tcW w:w="1123" w:type="dxa"/>
            <w:vAlign w:val="center"/>
          </w:tcPr>
          <w:p w14:paraId="3A16D940" w14:textId="5E878D6D" w:rsidR="00FF1B14" w:rsidRPr="00AC097F" w:rsidRDefault="00FF1B14" w:rsidP="00AC097F">
            <w:pPr>
              <w:pStyle w:val="TableText"/>
              <w:spacing w:before="0" w:after="0"/>
              <w:rPr>
                <w:sz w:val="20"/>
                <w:szCs w:val="20"/>
              </w:rPr>
            </w:pPr>
            <w:r w:rsidRPr="00AC097F">
              <w:rPr>
                <w:sz w:val="20"/>
                <w:szCs w:val="20"/>
              </w:rPr>
              <w:t>n/a</w:t>
            </w:r>
          </w:p>
        </w:tc>
        <w:tc>
          <w:tcPr>
            <w:tcW w:w="2041" w:type="dxa"/>
            <w:vAlign w:val="center"/>
          </w:tcPr>
          <w:p w14:paraId="19994D96" w14:textId="18AE854B" w:rsidR="00FF1B14" w:rsidRPr="00AC097F" w:rsidRDefault="00FF1B14" w:rsidP="00AC097F">
            <w:pPr>
              <w:pStyle w:val="TableText"/>
              <w:spacing w:before="0" w:after="0"/>
              <w:rPr>
                <w:sz w:val="20"/>
                <w:szCs w:val="20"/>
              </w:rPr>
            </w:pPr>
            <w:r w:rsidRPr="00AC097F">
              <w:rPr>
                <w:rFonts w:eastAsia="Calibri"/>
                <w:sz w:val="20"/>
                <w:szCs w:val="20"/>
              </w:rPr>
              <w:t>Assessment of Patient Experience of Care</w:t>
            </w:r>
          </w:p>
        </w:tc>
        <w:tc>
          <w:tcPr>
            <w:tcW w:w="1620" w:type="dxa"/>
            <w:vAlign w:val="center"/>
          </w:tcPr>
          <w:p w14:paraId="29422519" w14:textId="53319D33" w:rsidR="00FF1B14" w:rsidRPr="00AC097F" w:rsidRDefault="00C97BAC" w:rsidP="00AC097F">
            <w:pPr>
              <w:pStyle w:val="TableText"/>
              <w:spacing w:before="0" w:after="0"/>
              <w:jc w:val="center"/>
              <w:rPr>
                <w:color w:val="000000"/>
                <w:sz w:val="20"/>
                <w:szCs w:val="20"/>
              </w:rPr>
            </w:pPr>
            <w:r>
              <w:rPr>
                <w:color w:val="000000"/>
                <w:sz w:val="20"/>
                <w:szCs w:val="20"/>
              </w:rPr>
              <w:t>0</w:t>
            </w:r>
          </w:p>
        </w:tc>
        <w:tc>
          <w:tcPr>
            <w:tcW w:w="1260" w:type="dxa"/>
            <w:vAlign w:val="center"/>
          </w:tcPr>
          <w:p w14:paraId="6995ECFF" w14:textId="0AE469C8" w:rsidR="00FF1B14" w:rsidRPr="00AC097F" w:rsidRDefault="00FF1B14" w:rsidP="00AC097F">
            <w:pPr>
              <w:pStyle w:val="TableText"/>
              <w:spacing w:before="0" w:after="0"/>
              <w:jc w:val="center"/>
              <w:rPr>
                <w:color w:val="000000"/>
                <w:sz w:val="20"/>
                <w:szCs w:val="20"/>
              </w:rPr>
            </w:pPr>
            <w:r w:rsidRPr="00AC097F">
              <w:rPr>
                <w:color w:val="000000"/>
                <w:sz w:val="20"/>
                <w:szCs w:val="20"/>
              </w:rPr>
              <w:t>0.2</w:t>
            </w:r>
            <w:r w:rsidR="00550D5A">
              <w:rPr>
                <w:color w:val="000000"/>
                <w:sz w:val="20"/>
                <w:szCs w:val="20"/>
              </w:rPr>
              <w:t>5</w:t>
            </w:r>
          </w:p>
        </w:tc>
        <w:tc>
          <w:tcPr>
            <w:tcW w:w="1980" w:type="dxa"/>
            <w:vAlign w:val="center"/>
          </w:tcPr>
          <w:p w14:paraId="37B1E654" w14:textId="3168947B" w:rsidR="00FF1B14" w:rsidRPr="00AC097F" w:rsidRDefault="00C97BAC" w:rsidP="00AC097F">
            <w:pPr>
              <w:pStyle w:val="TableText"/>
              <w:spacing w:before="0" w:after="0"/>
              <w:jc w:val="center"/>
              <w:rPr>
                <w:color w:val="000000"/>
                <w:sz w:val="20"/>
                <w:szCs w:val="20"/>
              </w:rPr>
            </w:pPr>
            <w:r>
              <w:rPr>
                <w:color w:val="000000"/>
                <w:sz w:val="20"/>
                <w:szCs w:val="20"/>
              </w:rPr>
              <w:t>0</w:t>
            </w:r>
          </w:p>
        </w:tc>
      </w:tr>
      <w:tr w:rsidR="00FF1B14" w:rsidRPr="00AC097F" w14:paraId="68FC757B" w14:textId="77777777" w:rsidTr="00E9382A">
        <w:trPr>
          <w:cantSplit/>
        </w:trPr>
        <w:tc>
          <w:tcPr>
            <w:tcW w:w="1156" w:type="dxa"/>
            <w:vAlign w:val="center"/>
          </w:tcPr>
          <w:p w14:paraId="2AFEFD67" w14:textId="090930F7" w:rsidR="00FF1B14" w:rsidRPr="00AC097F" w:rsidRDefault="00FF1B14" w:rsidP="00AC097F">
            <w:pPr>
              <w:pStyle w:val="TableText"/>
              <w:spacing w:before="0" w:after="0"/>
              <w:rPr>
                <w:sz w:val="20"/>
                <w:szCs w:val="20"/>
              </w:rPr>
            </w:pPr>
            <w:r w:rsidRPr="00AC097F">
              <w:rPr>
                <w:sz w:val="20"/>
                <w:szCs w:val="20"/>
              </w:rPr>
              <w:t>n/a</w:t>
            </w:r>
          </w:p>
        </w:tc>
        <w:tc>
          <w:tcPr>
            <w:tcW w:w="1123" w:type="dxa"/>
            <w:vAlign w:val="center"/>
          </w:tcPr>
          <w:p w14:paraId="134C2C44" w14:textId="40A82449" w:rsidR="00FF1B14" w:rsidRPr="00AC097F" w:rsidRDefault="00FF1B14" w:rsidP="00AC097F">
            <w:pPr>
              <w:pStyle w:val="TableText"/>
              <w:spacing w:before="0" w:after="0"/>
              <w:rPr>
                <w:sz w:val="20"/>
                <w:szCs w:val="20"/>
              </w:rPr>
            </w:pPr>
            <w:r w:rsidRPr="00AC097F">
              <w:rPr>
                <w:sz w:val="20"/>
                <w:szCs w:val="20"/>
              </w:rPr>
              <w:t>n/a</w:t>
            </w:r>
          </w:p>
        </w:tc>
        <w:tc>
          <w:tcPr>
            <w:tcW w:w="2041" w:type="dxa"/>
            <w:vAlign w:val="center"/>
          </w:tcPr>
          <w:p w14:paraId="6C4AE9FE" w14:textId="3E33F3D2" w:rsidR="00FF1B14" w:rsidRPr="00AC097F" w:rsidRDefault="00FF1B14" w:rsidP="00AC097F">
            <w:pPr>
              <w:pStyle w:val="TableText"/>
              <w:spacing w:before="0" w:after="0"/>
              <w:rPr>
                <w:sz w:val="20"/>
                <w:szCs w:val="20"/>
              </w:rPr>
            </w:pPr>
            <w:r w:rsidRPr="00AC097F">
              <w:rPr>
                <w:sz w:val="20"/>
                <w:szCs w:val="20"/>
              </w:rPr>
              <w:t>Use of an Electronic Health Record</w:t>
            </w:r>
          </w:p>
        </w:tc>
        <w:tc>
          <w:tcPr>
            <w:tcW w:w="1620" w:type="dxa"/>
            <w:vAlign w:val="center"/>
          </w:tcPr>
          <w:p w14:paraId="10FFA572" w14:textId="14151332" w:rsidR="00FF1B14" w:rsidRPr="00AC097F" w:rsidRDefault="00C97BAC" w:rsidP="00AC097F">
            <w:pPr>
              <w:pStyle w:val="TableText"/>
              <w:spacing w:before="0" w:after="0"/>
              <w:jc w:val="center"/>
              <w:rPr>
                <w:color w:val="000000"/>
                <w:sz w:val="20"/>
                <w:szCs w:val="20"/>
              </w:rPr>
            </w:pPr>
            <w:r>
              <w:rPr>
                <w:color w:val="000000"/>
                <w:sz w:val="20"/>
                <w:szCs w:val="20"/>
              </w:rPr>
              <w:t>0</w:t>
            </w:r>
          </w:p>
        </w:tc>
        <w:tc>
          <w:tcPr>
            <w:tcW w:w="1260" w:type="dxa"/>
            <w:vAlign w:val="center"/>
          </w:tcPr>
          <w:p w14:paraId="3A7AB6BE" w14:textId="2494D69D" w:rsidR="00FF1B14" w:rsidRPr="00AC097F" w:rsidRDefault="00FF1B14" w:rsidP="00AC097F">
            <w:pPr>
              <w:pStyle w:val="TableText"/>
              <w:spacing w:before="0" w:after="0"/>
              <w:jc w:val="center"/>
              <w:rPr>
                <w:color w:val="000000"/>
                <w:sz w:val="20"/>
                <w:szCs w:val="20"/>
              </w:rPr>
            </w:pPr>
            <w:r w:rsidRPr="00AC097F">
              <w:rPr>
                <w:color w:val="000000"/>
                <w:sz w:val="20"/>
                <w:szCs w:val="20"/>
              </w:rPr>
              <w:t>0.2</w:t>
            </w:r>
            <w:r w:rsidR="00550D5A">
              <w:rPr>
                <w:color w:val="000000"/>
                <w:sz w:val="20"/>
                <w:szCs w:val="20"/>
              </w:rPr>
              <w:t>5</w:t>
            </w:r>
          </w:p>
        </w:tc>
        <w:tc>
          <w:tcPr>
            <w:tcW w:w="1980" w:type="dxa"/>
            <w:vAlign w:val="center"/>
          </w:tcPr>
          <w:p w14:paraId="10C176EF" w14:textId="078E16D8" w:rsidR="00FF1B14" w:rsidRPr="00AC097F" w:rsidRDefault="00C97BAC" w:rsidP="00AC097F">
            <w:pPr>
              <w:pStyle w:val="TableText"/>
              <w:spacing w:before="0" w:after="0"/>
              <w:jc w:val="center"/>
              <w:rPr>
                <w:color w:val="000000"/>
                <w:sz w:val="20"/>
                <w:szCs w:val="20"/>
              </w:rPr>
            </w:pPr>
            <w:r>
              <w:rPr>
                <w:color w:val="000000"/>
                <w:sz w:val="20"/>
                <w:szCs w:val="20"/>
              </w:rPr>
              <w:t>0</w:t>
            </w:r>
          </w:p>
        </w:tc>
      </w:tr>
      <w:tr w:rsidR="00A22798" w:rsidRPr="00AC097F" w14:paraId="62FE39A7" w14:textId="77777777" w:rsidTr="00E9382A">
        <w:trPr>
          <w:cantSplit/>
        </w:trPr>
        <w:tc>
          <w:tcPr>
            <w:tcW w:w="1156" w:type="dxa"/>
            <w:vAlign w:val="center"/>
          </w:tcPr>
          <w:p w14:paraId="07385880" w14:textId="47FCB03D" w:rsidR="00A22798" w:rsidRPr="00AC097F" w:rsidRDefault="00A22798" w:rsidP="00A22798">
            <w:pPr>
              <w:pStyle w:val="TableText"/>
              <w:spacing w:before="0" w:after="0"/>
              <w:rPr>
                <w:sz w:val="20"/>
                <w:szCs w:val="20"/>
              </w:rPr>
            </w:pPr>
            <w:r w:rsidRPr="00AC097F">
              <w:rPr>
                <w:color w:val="000000"/>
                <w:sz w:val="20"/>
                <w:szCs w:val="20"/>
              </w:rPr>
              <w:t>1656</w:t>
            </w:r>
          </w:p>
        </w:tc>
        <w:tc>
          <w:tcPr>
            <w:tcW w:w="1123" w:type="dxa"/>
            <w:vAlign w:val="center"/>
          </w:tcPr>
          <w:p w14:paraId="17A7D436" w14:textId="4401E35C" w:rsidR="00A22798" w:rsidRPr="00AC097F" w:rsidRDefault="00A22798" w:rsidP="00A22798">
            <w:pPr>
              <w:pStyle w:val="TableText"/>
              <w:spacing w:before="0" w:after="0"/>
              <w:rPr>
                <w:sz w:val="20"/>
                <w:szCs w:val="20"/>
              </w:rPr>
            </w:pPr>
            <w:r w:rsidRPr="00AC097F">
              <w:rPr>
                <w:color w:val="000000"/>
                <w:sz w:val="20"/>
                <w:szCs w:val="20"/>
              </w:rPr>
              <w:t>TOB-3 and TOB-3a</w:t>
            </w:r>
          </w:p>
        </w:tc>
        <w:tc>
          <w:tcPr>
            <w:tcW w:w="2041" w:type="dxa"/>
            <w:vAlign w:val="center"/>
          </w:tcPr>
          <w:p w14:paraId="1C84C774" w14:textId="177C1A0A" w:rsidR="00A22798" w:rsidRPr="00AC097F" w:rsidRDefault="00A22798" w:rsidP="00A22798">
            <w:pPr>
              <w:pStyle w:val="TableText"/>
              <w:spacing w:before="0" w:after="0"/>
              <w:rPr>
                <w:sz w:val="20"/>
                <w:szCs w:val="20"/>
              </w:rPr>
            </w:pPr>
            <w:r w:rsidRPr="00AC097F">
              <w:rPr>
                <w:color w:val="000000"/>
                <w:sz w:val="20"/>
                <w:szCs w:val="20"/>
              </w:rPr>
              <w:t>Tobacco Use Treatment Provided or Offered at Discharge and Tobacco Use Treatment at Discharge</w:t>
            </w:r>
          </w:p>
        </w:tc>
        <w:tc>
          <w:tcPr>
            <w:tcW w:w="1620" w:type="dxa"/>
            <w:vAlign w:val="center"/>
          </w:tcPr>
          <w:p w14:paraId="2CE46A95" w14:textId="575EBADD" w:rsidR="00A22798"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51D9ADDF" w14:textId="1C4C7F0A"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26F01263" w14:textId="6A2075CB" w:rsidR="00A22798" w:rsidRDefault="00A22798" w:rsidP="00A22798">
            <w:pPr>
              <w:pStyle w:val="TableText"/>
              <w:spacing w:before="0" w:after="0"/>
              <w:jc w:val="center"/>
              <w:rPr>
                <w:color w:val="000000"/>
                <w:sz w:val="20"/>
                <w:szCs w:val="20"/>
              </w:rPr>
            </w:pPr>
            <w:r>
              <w:rPr>
                <w:color w:val="000000"/>
                <w:sz w:val="20"/>
                <w:szCs w:val="20"/>
              </w:rPr>
              <w:t>212</w:t>
            </w:r>
          </w:p>
        </w:tc>
      </w:tr>
      <w:tr w:rsidR="00A22798" w:rsidRPr="00AC097F" w14:paraId="1D72BAE0" w14:textId="77777777" w:rsidTr="00E9382A">
        <w:trPr>
          <w:cantSplit/>
        </w:trPr>
        <w:tc>
          <w:tcPr>
            <w:tcW w:w="1156" w:type="dxa"/>
            <w:vAlign w:val="center"/>
          </w:tcPr>
          <w:p w14:paraId="0942BDAA" w14:textId="59342E4B" w:rsidR="00A22798" w:rsidRPr="00AC097F" w:rsidRDefault="00A22798" w:rsidP="00A22798">
            <w:pPr>
              <w:pStyle w:val="TableText"/>
              <w:spacing w:before="0" w:after="0"/>
              <w:rPr>
                <w:sz w:val="20"/>
                <w:szCs w:val="20"/>
              </w:rPr>
            </w:pPr>
            <w:r w:rsidRPr="00AC097F">
              <w:rPr>
                <w:color w:val="000000"/>
                <w:sz w:val="20"/>
                <w:szCs w:val="20"/>
              </w:rPr>
              <w:t>1663</w:t>
            </w:r>
          </w:p>
        </w:tc>
        <w:tc>
          <w:tcPr>
            <w:tcW w:w="1123" w:type="dxa"/>
            <w:vAlign w:val="center"/>
          </w:tcPr>
          <w:p w14:paraId="6072CD2A" w14:textId="41E0C764" w:rsidR="00A22798" w:rsidRPr="00AC097F" w:rsidRDefault="00A22798" w:rsidP="00A22798">
            <w:pPr>
              <w:pStyle w:val="TableText"/>
              <w:spacing w:before="0" w:after="0"/>
              <w:rPr>
                <w:sz w:val="20"/>
                <w:szCs w:val="20"/>
              </w:rPr>
            </w:pPr>
            <w:r w:rsidRPr="00AC097F">
              <w:rPr>
                <w:color w:val="000000"/>
                <w:sz w:val="20"/>
                <w:szCs w:val="20"/>
              </w:rPr>
              <w:t>SUB-2 and SUB-2a</w:t>
            </w:r>
          </w:p>
        </w:tc>
        <w:tc>
          <w:tcPr>
            <w:tcW w:w="2041" w:type="dxa"/>
            <w:vAlign w:val="center"/>
          </w:tcPr>
          <w:p w14:paraId="2F35BD1E" w14:textId="674E207E" w:rsidR="00A22798" w:rsidRPr="00AC097F" w:rsidRDefault="00A22798" w:rsidP="00A22798">
            <w:pPr>
              <w:pStyle w:val="TableText"/>
              <w:spacing w:before="0" w:after="0"/>
              <w:rPr>
                <w:sz w:val="20"/>
                <w:szCs w:val="20"/>
              </w:rPr>
            </w:pPr>
            <w:r w:rsidRPr="00AC097F">
              <w:rPr>
                <w:color w:val="000000"/>
                <w:sz w:val="20"/>
                <w:szCs w:val="20"/>
              </w:rPr>
              <w:t>Alcohol Use Brief Intervention Provided or Offered</w:t>
            </w:r>
          </w:p>
        </w:tc>
        <w:tc>
          <w:tcPr>
            <w:tcW w:w="1620" w:type="dxa"/>
            <w:vAlign w:val="center"/>
          </w:tcPr>
          <w:p w14:paraId="3BA50137" w14:textId="0A63A199" w:rsidR="00A22798" w:rsidRDefault="00A22798" w:rsidP="00A22798">
            <w:pPr>
              <w:pStyle w:val="TableText"/>
              <w:spacing w:before="0" w:after="0"/>
              <w:jc w:val="center"/>
              <w:rPr>
                <w:color w:val="000000"/>
                <w:sz w:val="20"/>
                <w:szCs w:val="20"/>
              </w:rPr>
            </w:pPr>
            <w:r>
              <w:rPr>
                <w:color w:val="000000"/>
                <w:sz w:val="20"/>
                <w:szCs w:val="20"/>
              </w:rPr>
              <w:t>848</w:t>
            </w:r>
          </w:p>
        </w:tc>
        <w:tc>
          <w:tcPr>
            <w:tcW w:w="1260" w:type="dxa"/>
            <w:vAlign w:val="center"/>
          </w:tcPr>
          <w:p w14:paraId="442C623D" w14:textId="18A91858" w:rsidR="00A22798" w:rsidRPr="00AC097F" w:rsidRDefault="00A22798" w:rsidP="00A22798">
            <w:pPr>
              <w:pStyle w:val="TableText"/>
              <w:spacing w:before="0" w:after="0"/>
              <w:jc w:val="center"/>
              <w:rPr>
                <w:color w:val="000000"/>
                <w:sz w:val="20"/>
                <w:szCs w:val="20"/>
              </w:rPr>
            </w:pPr>
            <w:r w:rsidRPr="00AC097F">
              <w:rPr>
                <w:color w:val="000000"/>
                <w:sz w:val="20"/>
                <w:szCs w:val="20"/>
              </w:rPr>
              <w:t>0.2</w:t>
            </w:r>
            <w:r>
              <w:rPr>
                <w:color w:val="000000"/>
                <w:sz w:val="20"/>
                <w:szCs w:val="20"/>
              </w:rPr>
              <w:t>5</w:t>
            </w:r>
          </w:p>
        </w:tc>
        <w:tc>
          <w:tcPr>
            <w:tcW w:w="1980" w:type="dxa"/>
            <w:vAlign w:val="center"/>
          </w:tcPr>
          <w:p w14:paraId="75C18E08" w14:textId="119CDDDF" w:rsidR="00A22798" w:rsidRDefault="00A22798" w:rsidP="00A22798">
            <w:pPr>
              <w:pStyle w:val="TableText"/>
              <w:spacing w:before="0" w:after="0"/>
              <w:jc w:val="center"/>
              <w:rPr>
                <w:color w:val="000000"/>
                <w:sz w:val="20"/>
                <w:szCs w:val="20"/>
              </w:rPr>
            </w:pPr>
            <w:r>
              <w:rPr>
                <w:color w:val="000000"/>
                <w:sz w:val="20"/>
                <w:szCs w:val="20"/>
              </w:rPr>
              <w:t>212</w:t>
            </w:r>
          </w:p>
        </w:tc>
      </w:tr>
      <w:tr w:rsidR="00A22798" w:rsidRPr="00AC097F" w14:paraId="5E7DBC42" w14:textId="77777777" w:rsidTr="005756A1">
        <w:trPr>
          <w:cantSplit/>
        </w:trPr>
        <w:tc>
          <w:tcPr>
            <w:tcW w:w="1156" w:type="dxa"/>
            <w:vAlign w:val="center"/>
          </w:tcPr>
          <w:p w14:paraId="0F88EEE3" w14:textId="77777777" w:rsidR="00A22798" w:rsidRPr="00AC097F" w:rsidRDefault="00A22798" w:rsidP="00A22798">
            <w:pPr>
              <w:pStyle w:val="TableText"/>
              <w:spacing w:before="0" w:after="0"/>
              <w:rPr>
                <w:sz w:val="20"/>
                <w:szCs w:val="20"/>
              </w:rPr>
            </w:pPr>
            <w:r w:rsidRPr="00AC097F">
              <w:rPr>
                <w:color w:val="000000"/>
                <w:sz w:val="20"/>
                <w:szCs w:val="20"/>
              </w:rPr>
              <w:t>647</w:t>
            </w:r>
          </w:p>
        </w:tc>
        <w:tc>
          <w:tcPr>
            <w:tcW w:w="1123" w:type="dxa"/>
            <w:vAlign w:val="center"/>
          </w:tcPr>
          <w:p w14:paraId="1341276D" w14:textId="77777777" w:rsidR="00A22798" w:rsidRPr="00AC097F" w:rsidRDefault="00A22798" w:rsidP="00A22798">
            <w:pPr>
              <w:pStyle w:val="TableText"/>
              <w:spacing w:before="0" w:after="0"/>
              <w:rPr>
                <w:sz w:val="20"/>
                <w:szCs w:val="20"/>
              </w:rPr>
            </w:pPr>
            <w:r>
              <w:rPr>
                <w:color w:val="000000"/>
                <w:sz w:val="20"/>
                <w:szCs w:val="20"/>
              </w:rPr>
              <w:t>n/a</w:t>
            </w:r>
          </w:p>
        </w:tc>
        <w:tc>
          <w:tcPr>
            <w:tcW w:w="2041" w:type="dxa"/>
            <w:vAlign w:val="center"/>
          </w:tcPr>
          <w:p w14:paraId="45923379" w14:textId="77777777" w:rsidR="00A22798" w:rsidRPr="00AC097F" w:rsidRDefault="00A22798" w:rsidP="00A22798">
            <w:pPr>
              <w:pStyle w:val="TableText"/>
              <w:spacing w:before="0" w:after="0"/>
              <w:rPr>
                <w:sz w:val="20"/>
                <w:szCs w:val="20"/>
              </w:rPr>
            </w:pPr>
            <w:r w:rsidRPr="00AC097F">
              <w:rPr>
                <w:color w:val="000000"/>
                <w:sz w:val="20"/>
                <w:szCs w:val="20"/>
              </w:rPr>
              <w:t>Transition Record with Specified Elements Received by Discharged Patients (Discharges from an Inpatient Facility to Home/Self Care or Any Other Site of Care)</w:t>
            </w:r>
          </w:p>
        </w:tc>
        <w:tc>
          <w:tcPr>
            <w:tcW w:w="1620" w:type="dxa"/>
            <w:vAlign w:val="center"/>
          </w:tcPr>
          <w:p w14:paraId="14CD8F9D" w14:textId="054F8D8F" w:rsidR="00A22798"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2D0B27AB" w14:textId="209BDD69" w:rsidR="00A22798" w:rsidRPr="00AC097F" w:rsidRDefault="00A22798" w:rsidP="00A22798">
            <w:pPr>
              <w:pStyle w:val="TableText"/>
              <w:spacing w:before="0" w:after="0"/>
              <w:jc w:val="center"/>
              <w:rPr>
                <w:sz w:val="20"/>
                <w:szCs w:val="20"/>
              </w:rPr>
            </w:pPr>
            <w:r w:rsidRPr="00AC097F">
              <w:rPr>
                <w:color w:val="000000"/>
                <w:sz w:val="20"/>
                <w:szCs w:val="20"/>
              </w:rPr>
              <w:t>0.2</w:t>
            </w:r>
            <w:r>
              <w:rPr>
                <w:color w:val="000000"/>
                <w:sz w:val="20"/>
                <w:szCs w:val="20"/>
              </w:rPr>
              <w:t>5</w:t>
            </w:r>
          </w:p>
        </w:tc>
        <w:tc>
          <w:tcPr>
            <w:tcW w:w="1980" w:type="dxa"/>
            <w:vAlign w:val="center"/>
          </w:tcPr>
          <w:p w14:paraId="1FFD965A" w14:textId="7AAC4FF1" w:rsidR="00A22798" w:rsidRPr="00AC097F" w:rsidRDefault="00A22798" w:rsidP="00A22798">
            <w:pPr>
              <w:pStyle w:val="TableText"/>
              <w:spacing w:before="0" w:after="0"/>
              <w:jc w:val="center"/>
              <w:rPr>
                <w:sz w:val="20"/>
                <w:szCs w:val="20"/>
              </w:rPr>
            </w:pPr>
            <w:r>
              <w:rPr>
                <w:color w:val="000000"/>
                <w:sz w:val="20"/>
                <w:szCs w:val="20"/>
              </w:rPr>
              <w:t>212</w:t>
            </w:r>
          </w:p>
        </w:tc>
      </w:tr>
      <w:tr w:rsidR="00A22798" w:rsidRPr="00AC097F" w14:paraId="24820890" w14:textId="77777777" w:rsidTr="005756A1">
        <w:trPr>
          <w:cantSplit/>
        </w:trPr>
        <w:tc>
          <w:tcPr>
            <w:tcW w:w="1156" w:type="dxa"/>
            <w:vAlign w:val="center"/>
          </w:tcPr>
          <w:p w14:paraId="18AC0758" w14:textId="77777777" w:rsidR="00A22798" w:rsidRPr="00AC097F" w:rsidRDefault="00A22798" w:rsidP="00A22798">
            <w:pPr>
              <w:pStyle w:val="TableText"/>
              <w:spacing w:before="0" w:after="0"/>
              <w:rPr>
                <w:sz w:val="20"/>
                <w:szCs w:val="20"/>
              </w:rPr>
            </w:pPr>
            <w:r w:rsidRPr="00AC097F">
              <w:rPr>
                <w:color w:val="000000"/>
                <w:sz w:val="20"/>
                <w:szCs w:val="20"/>
              </w:rPr>
              <w:t>648</w:t>
            </w:r>
          </w:p>
        </w:tc>
        <w:tc>
          <w:tcPr>
            <w:tcW w:w="1123" w:type="dxa"/>
            <w:vAlign w:val="center"/>
          </w:tcPr>
          <w:p w14:paraId="1AA28CDE" w14:textId="77777777" w:rsidR="00A22798" w:rsidRPr="00AC097F" w:rsidRDefault="00A22798" w:rsidP="00A22798">
            <w:pPr>
              <w:pStyle w:val="TableText"/>
              <w:spacing w:before="0" w:after="0"/>
              <w:rPr>
                <w:sz w:val="20"/>
                <w:szCs w:val="20"/>
              </w:rPr>
            </w:pPr>
            <w:r>
              <w:rPr>
                <w:sz w:val="20"/>
                <w:szCs w:val="20"/>
              </w:rPr>
              <w:t>n/a</w:t>
            </w:r>
          </w:p>
        </w:tc>
        <w:tc>
          <w:tcPr>
            <w:tcW w:w="2041" w:type="dxa"/>
            <w:vAlign w:val="center"/>
          </w:tcPr>
          <w:p w14:paraId="6902E894" w14:textId="77777777" w:rsidR="00A22798" w:rsidRPr="00AC097F" w:rsidRDefault="00A22798" w:rsidP="00A22798">
            <w:pPr>
              <w:pStyle w:val="TableText"/>
              <w:spacing w:before="0" w:after="0"/>
              <w:rPr>
                <w:sz w:val="20"/>
                <w:szCs w:val="20"/>
              </w:rPr>
            </w:pPr>
            <w:r w:rsidRPr="00AC097F">
              <w:rPr>
                <w:color w:val="000000"/>
                <w:sz w:val="20"/>
                <w:szCs w:val="20"/>
              </w:rPr>
              <w:t>Timely Transmission of Transition Record (Discharges from an Inpatient Facility to Home/Self Care or Any Other Site of Care)</w:t>
            </w:r>
          </w:p>
        </w:tc>
        <w:tc>
          <w:tcPr>
            <w:tcW w:w="1620" w:type="dxa"/>
            <w:vAlign w:val="center"/>
          </w:tcPr>
          <w:p w14:paraId="2FA15DFE" w14:textId="473D95A3" w:rsidR="00A22798"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5C9FA626" w14:textId="118A323E" w:rsidR="00A22798" w:rsidRPr="00AC097F" w:rsidRDefault="00A22798" w:rsidP="00A22798">
            <w:pPr>
              <w:pStyle w:val="TableText"/>
              <w:spacing w:before="0" w:after="0"/>
              <w:jc w:val="center"/>
              <w:rPr>
                <w:sz w:val="20"/>
                <w:szCs w:val="20"/>
              </w:rPr>
            </w:pPr>
            <w:r w:rsidRPr="00AC097F">
              <w:rPr>
                <w:color w:val="000000"/>
                <w:sz w:val="20"/>
                <w:szCs w:val="20"/>
              </w:rPr>
              <w:t>0.2</w:t>
            </w:r>
            <w:r>
              <w:rPr>
                <w:color w:val="000000"/>
                <w:sz w:val="20"/>
                <w:szCs w:val="20"/>
              </w:rPr>
              <w:t>5</w:t>
            </w:r>
          </w:p>
        </w:tc>
        <w:tc>
          <w:tcPr>
            <w:tcW w:w="1980" w:type="dxa"/>
            <w:vAlign w:val="center"/>
          </w:tcPr>
          <w:p w14:paraId="73B5E794" w14:textId="1F5ACE52" w:rsidR="00A22798" w:rsidRPr="00AC097F" w:rsidRDefault="00A22798" w:rsidP="00A22798">
            <w:pPr>
              <w:pStyle w:val="TableText"/>
              <w:spacing w:before="0" w:after="0"/>
              <w:jc w:val="center"/>
              <w:rPr>
                <w:sz w:val="20"/>
                <w:szCs w:val="20"/>
              </w:rPr>
            </w:pPr>
            <w:r>
              <w:rPr>
                <w:color w:val="000000"/>
                <w:sz w:val="20"/>
                <w:szCs w:val="20"/>
              </w:rPr>
              <w:t>212</w:t>
            </w:r>
          </w:p>
        </w:tc>
      </w:tr>
      <w:tr w:rsidR="00A22798" w:rsidRPr="00AC097F" w14:paraId="7BEAB375" w14:textId="77777777" w:rsidTr="005756A1">
        <w:trPr>
          <w:cantSplit/>
        </w:trPr>
        <w:tc>
          <w:tcPr>
            <w:tcW w:w="1156" w:type="dxa"/>
            <w:vAlign w:val="center"/>
          </w:tcPr>
          <w:p w14:paraId="2B8F3017" w14:textId="77777777" w:rsidR="00A22798" w:rsidRPr="00AC097F" w:rsidRDefault="00A22798" w:rsidP="00A22798">
            <w:pPr>
              <w:pStyle w:val="TableText"/>
              <w:spacing w:before="0" w:after="0"/>
              <w:rPr>
                <w:sz w:val="20"/>
                <w:szCs w:val="20"/>
              </w:rPr>
            </w:pPr>
            <w:r>
              <w:rPr>
                <w:sz w:val="20"/>
                <w:szCs w:val="20"/>
              </w:rPr>
              <w:t>n/a</w:t>
            </w:r>
          </w:p>
        </w:tc>
        <w:tc>
          <w:tcPr>
            <w:tcW w:w="1123" w:type="dxa"/>
            <w:vAlign w:val="center"/>
          </w:tcPr>
          <w:p w14:paraId="2F34A98A" w14:textId="77777777" w:rsidR="00A22798" w:rsidRPr="00AC097F" w:rsidRDefault="00A22798" w:rsidP="00A22798">
            <w:pPr>
              <w:pStyle w:val="TableText"/>
              <w:spacing w:before="0" w:after="0"/>
              <w:rPr>
                <w:sz w:val="20"/>
                <w:szCs w:val="20"/>
              </w:rPr>
            </w:pPr>
            <w:r>
              <w:rPr>
                <w:sz w:val="20"/>
                <w:szCs w:val="20"/>
              </w:rPr>
              <w:t>n/a</w:t>
            </w:r>
          </w:p>
        </w:tc>
        <w:tc>
          <w:tcPr>
            <w:tcW w:w="2041" w:type="dxa"/>
            <w:vAlign w:val="center"/>
          </w:tcPr>
          <w:p w14:paraId="1258DC0B" w14:textId="77777777" w:rsidR="00A22798" w:rsidRPr="00AC097F" w:rsidRDefault="00A22798" w:rsidP="00A22798">
            <w:pPr>
              <w:pStyle w:val="TableText"/>
              <w:spacing w:before="0" w:after="0"/>
              <w:rPr>
                <w:sz w:val="20"/>
                <w:szCs w:val="20"/>
              </w:rPr>
            </w:pPr>
            <w:r w:rsidRPr="00AC097F">
              <w:rPr>
                <w:color w:val="000000"/>
                <w:sz w:val="20"/>
                <w:szCs w:val="20"/>
              </w:rPr>
              <w:t>Screening for Metabolic Disorders</w:t>
            </w:r>
          </w:p>
        </w:tc>
        <w:tc>
          <w:tcPr>
            <w:tcW w:w="1620" w:type="dxa"/>
            <w:vAlign w:val="center"/>
          </w:tcPr>
          <w:p w14:paraId="75FE3B5B" w14:textId="47DFBB75" w:rsidR="00A22798" w:rsidRPr="00AC097F" w:rsidRDefault="00A22798" w:rsidP="00A22798">
            <w:pPr>
              <w:pStyle w:val="TableText"/>
              <w:spacing w:before="0" w:after="0"/>
              <w:jc w:val="center"/>
              <w:rPr>
                <w:sz w:val="20"/>
                <w:szCs w:val="20"/>
              </w:rPr>
            </w:pPr>
            <w:r>
              <w:rPr>
                <w:color w:val="000000"/>
                <w:sz w:val="20"/>
                <w:szCs w:val="20"/>
              </w:rPr>
              <w:t>848</w:t>
            </w:r>
          </w:p>
        </w:tc>
        <w:tc>
          <w:tcPr>
            <w:tcW w:w="1260" w:type="dxa"/>
            <w:vAlign w:val="center"/>
          </w:tcPr>
          <w:p w14:paraId="3537F617" w14:textId="194B846D" w:rsidR="00A22798" w:rsidRPr="00AC097F" w:rsidRDefault="00A22798" w:rsidP="00A22798">
            <w:pPr>
              <w:pStyle w:val="TableText"/>
              <w:spacing w:before="0" w:after="0"/>
              <w:jc w:val="center"/>
              <w:rPr>
                <w:sz w:val="20"/>
                <w:szCs w:val="20"/>
              </w:rPr>
            </w:pPr>
            <w:r w:rsidRPr="00AC097F">
              <w:rPr>
                <w:color w:val="000000"/>
                <w:sz w:val="20"/>
                <w:szCs w:val="20"/>
              </w:rPr>
              <w:t>0.2</w:t>
            </w:r>
            <w:r>
              <w:rPr>
                <w:color w:val="000000"/>
                <w:sz w:val="20"/>
                <w:szCs w:val="20"/>
              </w:rPr>
              <w:t>5</w:t>
            </w:r>
          </w:p>
        </w:tc>
        <w:tc>
          <w:tcPr>
            <w:tcW w:w="1980" w:type="dxa"/>
            <w:vAlign w:val="center"/>
          </w:tcPr>
          <w:p w14:paraId="3EE896B7" w14:textId="5420380C" w:rsidR="00A22798" w:rsidRPr="00AC097F" w:rsidRDefault="00A22798" w:rsidP="00A22798">
            <w:pPr>
              <w:pStyle w:val="TableText"/>
              <w:spacing w:before="0" w:after="0"/>
              <w:jc w:val="center"/>
              <w:rPr>
                <w:sz w:val="20"/>
                <w:szCs w:val="20"/>
              </w:rPr>
            </w:pPr>
            <w:r>
              <w:rPr>
                <w:color w:val="000000"/>
                <w:sz w:val="20"/>
                <w:szCs w:val="20"/>
              </w:rPr>
              <w:t>212</w:t>
            </w:r>
          </w:p>
        </w:tc>
      </w:tr>
      <w:tr w:rsidR="00920CCF" w:rsidRPr="00AC097F" w14:paraId="34AE0A74" w14:textId="77777777" w:rsidTr="00E9382A">
        <w:trPr>
          <w:cantSplit/>
        </w:trPr>
        <w:tc>
          <w:tcPr>
            <w:tcW w:w="1156" w:type="dxa"/>
            <w:shd w:val="clear" w:color="auto" w:fill="BFBFBF" w:themeFill="background1" w:themeFillShade="BF"/>
            <w:vAlign w:val="center"/>
          </w:tcPr>
          <w:p w14:paraId="73802A2F" w14:textId="77777777" w:rsidR="00920CCF" w:rsidRPr="00AC097F" w:rsidRDefault="00920CCF" w:rsidP="00920CCF">
            <w:pPr>
              <w:pStyle w:val="TableText"/>
              <w:tabs>
                <w:tab w:val="left" w:pos="837"/>
              </w:tabs>
              <w:spacing w:before="0" w:after="0"/>
              <w:rPr>
                <w:sz w:val="20"/>
                <w:szCs w:val="20"/>
              </w:rPr>
            </w:pPr>
            <w:r w:rsidRPr="00AC097F">
              <w:rPr>
                <w:b/>
                <w:bCs/>
                <w:color w:val="000000"/>
                <w:sz w:val="20"/>
                <w:szCs w:val="20"/>
              </w:rPr>
              <w:t> </w:t>
            </w:r>
          </w:p>
        </w:tc>
        <w:tc>
          <w:tcPr>
            <w:tcW w:w="1123" w:type="dxa"/>
            <w:shd w:val="clear" w:color="auto" w:fill="BFBFBF" w:themeFill="background1" w:themeFillShade="BF"/>
            <w:vAlign w:val="center"/>
          </w:tcPr>
          <w:p w14:paraId="16DF33E1" w14:textId="77777777" w:rsidR="00920CCF" w:rsidRPr="00AC097F" w:rsidRDefault="00920CCF" w:rsidP="00920CCF">
            <w:pPr>
              <w:pStyle w:val="TableText"/>
              <w:spacing w:before="0" w:after="0"/>
              <w:rPr>
                <w:color w:val="000000"/>
                <w:sz w:val="20"/>
                <w:szCs w:val="20"/>
              </w:rPr>
            </w:pPr>
            <w:r w:rsidRPr="00AC097F">
              <w:rPr>
                <w:b/>
                <w:bCs/>
                <w:color w:val="000000"/>
                <w:sz w:val="20"/>
                <w:szCs w:val="20"/>
              </w:rPr>
              <w:t> </w:t>
            </w:r>
          </w:p>
        </w:tc>
        <w:tc>
          <w:tcPr>
            <w:tcW w:w="2041" w:type="dxa"/>
            <w:shd w:val="clear" w:color="auto" w:fill="BFBFBF" w:themeFill="background1" w:themeFillShade="BF"/>
            <w:vAlign w:val="center"/>
          </w:tcPr>
          <w:p w14:paraId="0BD5FA4F" w14:textId="77777777" w:rsidR="00920CCF" w:rsidRPr="00AC097F" w:rsidRDefault="00920CCF" w:rsidP="00920CCF">
            <w:pPr>
              <w:pStyle w:val="TableText"/>
              <w:spacing w:before="0" w:after="0"/>
              <w:rPr>
                <w:sz w:val="20"/>
                <w:szCs w:val="20"/>
              </w:rPr>
            </w:pPr>
            <w:r w:rsidRPr="00AC097F">
              <w:rPr>
                <w:b/>
                <w:bCs/>
                <w:color w:val="000000"/>
                <w:sz w:val="20"/>
                <w:szCs w:val="20"/>
              </w:rPr>
              <w:t> </w:t>
            </w:r>
          </w:p>
        </w:tc>
        <w:tc>
          <w:tcPr>
            <w:tcW w:w="1620" w:type="dxa"/>
            <w:shd w:val="clear" w:color="auto" w:fill="BFBFBF" w:themeFill="background1" w:themeFillShade="BF"/>
            <w:vAlign w:val="center"/>
          </w:tcPr>
          <w:p w14:paraId="2AF06BB0" w14:textId="77777777" w:rsidR="00920CCF" w:rsidRPr="00AC097F" w:rsidRDefault="00920CCF" w:rsidP="00920CCF">
            <w:pPr>
              <w:pStyle w:val="TableText"/>
              <w:spacing w:before="0" w:after="0"/>
              <w:rPr>
                <w:sz w:val="20"/>
                <w:szCs w:val="20"/>
              </w:rPr>
            </w:pPr>
            <w:r w:rsidRPr="00AC097F">
              <w:rPr>
                <w:b/>
                <w:bCs/>
                <w:color w:val="000000"/>
                <w:sz w:val="20"/>
                <w:szCs w:val="20"/>
              </w:rPr>
              <w:t> </w:t>
            </w:r>
          </w:p>
        </w:tc>
        <w:tc>
          <w:tcPr>
            <w:tcW w:w="1260" w:type="dxa"/>
            <w:shd w:val="clear" w:color="auto" w:fill="BFBFBF" w:themeFill="background1" w:themeFillShade="BF"/>
            <w:vAlign w:val="center"/>
          </w:tcPr>
          <w:p w14:paraId="6460013F" w14:textId="77777777" w:rsidR="00920CCF" w:rsidRPr="00AC097F" w:rsidRDefault="00920CCF" w:rsidP="00920CCF">
            <w:pPr>
              <w:pStyle w:val="TableText"/>
              <w:spacing w:before="0" w:after="0"/>
              <w:rPr>
                <w:b/>
                <w:sz w:val="20"/>
                <w:szCs w:val="20"/>
              </w:rPr>
            </w:pPr>
            <w:r w:rsidRPr="00AC097F">
              <w:rPr>
                <w:b/>
                <w:bCs/>
                <w:color w:val="000000"/>
                <w:sz w:val="20"/>
                <w:szCs w:val="20"/>
              </w:rPr>
              <w:t>Annual Total</w:t>
            </w:r>
          </w:p>
        </w:tc>
        <w:tc>
          <w:tcPr>
            <w:tcW w:w="1980" w:type="dxa"/>
            <w:shd w:val="clear" w:color="auto" w:fill="BFBFBF" w:themeFill="background1" w:themeFillShade="BF"/>
            <w:vAlign w:val="center"/>
          </w:tcPr>
          <w:p w14:paraId="7F4F175B" w14:textId="353DCEB6" w:rsidR="00920CCF" w:rsidRDefault="00A22798" w:rsidP="00920CCF">
            <w:pPr>
              <w:pStyle w:val="TableText"/>
              <w:spacing w:before="0" w:after="0"/>
              <w:ind w:left="720"/>
              <w:rPr>
                <w:b/>
                <w:bCs/>
                <w:color w:val="000000"/>
                <w:sz w:val="20"/>
                <w:szCs w:val="20"/>
              </w:rPr>
            </w:pPr>
            <w:r>
              <w:rPr>
                <w:b/>
                <w:bCs/>
                <w:color w:val="000000"/>
                <w:sz w:val="20"/>
                <w:szCs w:val="20"/>
              </w:rPr>
              <w:t>2554</w:t>
            </w:r>
          </w:p>
          <w:p w14:paraId="521CC493" w14:textId="6C590C43" w:rsidR="00920CCF" w:rsidRPr="00AC097F" w:rsidRDefault="00920CCF" w:rsidP="00920CCF">
            <w:pPr>
              <w:pStyle w:val="TableText"/>
              <w:spacing w:before="0" w:after="0"/>
              <w:ind w:left="720"/>
              <w:rPr>
                <w:b/>
                <w:sz w:val="20"/>
                <w:szCs w:val="20"/>
              </w:rPr>
            </w:pPr>
          </w:p>
        </w:tc>
      </w:tr>
    </w:tbl>
    <w:p w14:paraId="6B0DB9F4" w14:textId="50A11908" w:rsidR="00DE25E1" w:rsidRPr="00EC273F" w:rsidRDefault="000300B5" w:rsidP="00285035">
      <w:pPr>
        <w:rPr>
          <w:sz w:val="20"/>
          <w:szCs w:val="20"/>
        </w:rPr>
      </w:pPr>
      <w:r w:rsidRPr="00EC273F">
        <w:rPr>
          <w:sz w:val="20"/>
          <w:szCs w:val="20"/>
        </w:rPr>
        <w:t xml:space="preserve">*CMS will collect this data using Medicare Part A and Part B claims; therefore, </w:t>
      </w:r>
      <w:r w:rsidR="001E0FF0" w:rsidRPr="00EC273F">
        <w:rPr>
          <w:sz w:val="20"/>
          <w:szCs w:val="20"/>
        </w:rPr>
        <w:t xml:space="preserve">the FUH measure </w:t>
      </w:r>
      <w:r w:rsidRPr="00EC273F">
        <w:rPr>
          <w:sz w:val="20"/>
          <w:szCs w:val="20"/>
        </w:rPr>
        <w:t>will have no burden on IPFs.</w:t>
      </w:r>
    </w:p>
    <w:p w14:paraId="4EA03698" w14:textId="77777777" w:rsidR="000300B5" w:rsidRDefault="000300B5" w:rsidP="00285035"/>
    <w:p w14:paraId="4783490B" w14:textId="13A59350" w:rsidR="00372824" w:rsidRPr="00372824" w:rsidRDefault="00FF01FE" w:rsidP="00372824">
      <w:pPr>
        <w:rPr>
          <w:rFonts w:ascii="Calibri" w:hAnsi="Calibri"/>
          <w:color w:val="000000"/>
          <w:sz w:val="22"/>
          <w:szCs w:val="22"/>
        </w:rPr>
      </w:pPr>
      <w:r>
        <w:t xml:space="preserve">For </w:t>
      </w:r>
      <w:r w:rsidR="0033037C">
        <w:t xml:space="preserve">the </w:t>
      </w:r>
      <w:r w:rsidRPr="00FF01FE">
        <w:t>1,6</w:t>
      </w:r>
      <w:r w:rsidR="00A22798">
        <w:t>84</w:t>
      </w:r>
      <w:r w:rsidRPr="00FF01FE">
        <w:t xml:space="preserve"> IPF facilities</w:t>
      </w:r>
      <w:r>
        <w:t xml:space="preserve">, the </w:t>
      </w:r>
      <w:r w:rsidR="00587586">
        <w:t xml:space="preserve">aggregate burden is </w:t>
      </w:r>
      <w:r w:rsidR="00017965">
        <w:t>4,300,936</w:t>
      </w:r>
      <w:r w:rsidR="00C97BAC">
        <w:t xml:space="preserve"> </w:t>
      </w:r>
      <w:r w:rsidR="00587586">
        <w:t xml:space="preserve">hours and </w:t>
      </w:r>
      <w:r w:rsidR="00A56A86">
        <w:t>$141,242,738</w:t>
      </w:r>
      <w:r w:rsidR="00372824" w:rsidRPr="006A1A44">
        <w:rPr>
          <w:color w:val="000000"/>
        </w:rPr>
        <w:t>.</w:t>
      </w:r>
    </w:p>
    <w:p w14:paraId="1EB53ABA" w14:textId="4E032708" w:rsidR="00FF01FE" w:rsidRPr="006A1A44" w:rsidRDefault="00FF01FE" w:rsidP="00285035">
      <w:pPr>
        <w:rPr>
          <w:rFonts w:ascii="Calibri" w:hAnsi="Calibri"/>
          <w:color w:val="000000"/>
          <w:sz w:val="22"/>
          <w:szCs w:val="22"/>
        </w:rPr>
      </w:pPr>
    </w:p>
    <w:p w14:paraId="299AA38D" w14:textId="56773F7F" w:rsidR="00FF01FE" w:rsidRDefault="00017965" w:rsidP="00285035">
      <w:r>
        <w:t>Beginning in FY 2019, CMS is adding two (2) additional measures.  One of these measures is calculated by CMS using Part A claims, therefore this measure will have no burden on IPFs. These measures are listed below:</w:t>
      </w:r>
    </w:p>
    <w:tbl>
      <w:tblPr>
        <w:tblStyle w:val="TableGrid"/>
        <w:tblW w:w="9180" w:type="dxa"/>
        <w:tblInd w:w="108" w:type="dxa"/>
        <w:tblLayout w:type="fixed"/>
        <w:tblLook w:val="04A0" w:firstRow="1" w:lastRow="0" w:firstColumn="1" w:lastColumn="0" w:noHBand="0" w:noVBand="1"/>
      </w:tblPr>
      <w:tblGrid>
        <w:gridCol w:w="1156"/>
        <w:gridCol w:w="1123"/>
        <w:gridCol w:w="2041"/>
        <w:gridCol w:w="1620"/>
        <w:gridCol w:w="1260"/>
        <w:gridCol w:w="1980"/>
      </w:tblGrid>
      <w:tr w:rsidR="00017965" w:rsidRPr="006A1A44" w14:paraId="54CAA945" w14:textId="77777777" w:rsidTr="005756A1">
        <w:trPr>
          <w:cantSplit/>
        </w:trPr>
        <w:tc>
          <w:tcPr>
            <w:tcW w:w="9180" w:type="dxa"/>
            <w:gridSpan w:val="6"/>
            <w:shd w:val="clear" w:color="auto" w:fill="D9D9D9" w:themeFill="background1" w:themeFillShade="D9"/>
            <w:vAlign w:val="center"/>
          </w:tcPr>
          <w:p w14:paraId="6F8B79C0" w14:textId="6EA7D980" w:rsidR="00017965" w:rsidRPr="006A1A44" w:rsidRDefault="00017965" w:rsidP="00017965">
            <w:pPr>
              <w:pStyle w:val="TableColumnHeading"/>
              <w:spacing w:before="0" w:after="0"/>
              <w:rPr>
                <w:rFonts w:ascii="Times New Roman" w:hAnsi="Times New Roman"/>
                <w:bCs/>
                <w:color w:val="000000"/>
                <w:sz w:val="20"/>
                <w:szCs w:val="20"/>
              </w:rPr>
            </w:pPr>
            <w:r>
              <w:rPr>
                <w:rFonts w:ascii="Times New Roman" w:hAnsi="Times New Roman"/>
                <w:bCs/>
                <w:color w:val="000000"/>
                <w:sz w:val="20"/>
                <w:szCs w:val="20"/>
              </w:rPr>
              <w:t>New Measures for FY 2019 and Subsequent Years</w:t>
            </w:r>
          </w:p>
        </w:tc>
      </w:tr>
      <w:tr w:rsidR="00017965" w:rsidRPr="00AC097F" w:rsidDel="000834B7" w14:paraId="4225D476" w14:textId="77777777" w:rsidTr="005756A1">
        <w:trPr>
          <w:cantSplit/>
          <w:tblHeader/>
        </w:trPr>
        <w:tc>
          <w:tcPr>
            <w:tcW w:w="1156" w:type="dxa"/>
            <w:shd w:val="clear" w:color="auto" w:fill="D9D9D9" w:themeFill="background1" w:themeFillShade="D9"/>
            <w:vAlign w:val="center"/>
          </w:tcPr>
          <w:p w14:paraId="7DCC92E8" w14:textId="77777777" w:rsidR="00017965" w:rsidRPr="00AC097F"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NQF Number</w:t>
            </w:r>
          </w:p>
        </w:tc>
        <w:tc>
          <w:tcPr>
            <w:tcW w:w="1123" w:type="dxa"/>
            <w:shd w:val="clear" w:color="auto" w:fill="D9D9D9" w:themeFill="background1" w:themeFillShade="D9"/>
            <w:vAlign w:val="center"/>
          </w:tcPr>
          <w:p w14:paraId="2C2CBC21" w14:textId="77777777" w:rsidR="00017965" w:rsidRPr="00AC097F"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ID</w:t>
            </w:r>
          </w:p>
        </w:tc>
        <w:tc>
          <w:tcPr>
            <w:tcW w:w="2041" w:type="dxa"/>
            <w:shd w:val="clear" w:color="auto" w:fill="D9D9D9" w:themeFill="background1" w:themeFillShade="D9"/>
            <w:vAlign w:val="center"/>
          </w:tcPr>
          <w:p w14:paraId="4B39FC8E" w14:textId="77777777" w:rsidR="00017965" w:rsidRPr="00AC097F"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Description</w:t>
            </w:r>
          </w:p>
        </w:tc>
        <w:tc>
          <w:tcPr>
            <w:tcW w:w="1620" w:type="dxa"/>
            <w:shd w:val="clear" w:color="auto" w:fill="D9D9D9" w:themeFill="background1" w:themeFillShade="D9"/>
            <w:vAlign w:val="center"/>
          </w:tcPr>
          <w:p w14:paraId="0A9AA0C4" w14:textId="77777777" w:rsidR="00017965" w:rsidRPr="00AC097F"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Estimated Cases (per facility)</w:t>
            </w:r>
          </w:p>
        </w:tc>
        <w:tc>
          <w:tcPr>
            <w:tcW w:w="1260" w:type="dxa"/>
            <w:shd w:val="clear" w:color="auto" w:fill="D9D9D9" w:themeFill="background1" w:themeFillShade="D9"/>
            <w:vAlign w:val="center"/>
          </w:tcPr>
          <w:p w14:paraId="69163620" w14:textId="77777777" w:rsidR="00017965" w:rsidRPr="00AC097F" w:rsidDel="000834B7"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Effort per Case (hours)</w:t>
            </w:r>
          </w:p>
        </w:tc>
        <w:tc>
          <w:tcPr>
            <w:tcW w:w="1980" w:type="dxa"/>
            <w:shd w:val="clear" w:color="auto" w:fill="D9D9D9" w:themeFill="background1" w:themeFillShade="D9"/>
            <w:vAlign w:val="center"/>
          </w:tcPr>
          <w:p w14:paraId="142748F0" w14:textId="77777777" w:rsidR="00017965" w:rsidRPr="00AC097F" w:rsidDel="000834B7" w:rsidRDefault="00017965" w:rsidP="005756A1">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Annual Effort (per facility) (hours)</w:t>
            </w:r>
          </w:p>
        </w:tc>
      </w:tr>
      <w:tr w:rsidR="00017965" w:rsidRPr="00AC097F" w14:paraId="0B852182" w14:textId="77777777" w:rsidTr="005756A1">
        <w:trPr>
          <w:cantSplit/>
        </w:trPr>
        <w:tc>
          <w:tcPr>
            <w:tcW w:w="1156" w:type="dxa"/>
            <w:vAlign w:val="center"/>
          </w:tcPr>
          <w:p w14:paraId="40549253" w14:textId="17532FE6" w:rsidR="00017965" w:rsidRPr="00AC097F" w:rsidRDefault="00017965" w:rsidP="005756A1">
            <w:pPr>
              <w:pStyle w:val="TableText"/>
              <w:spacing w:before="0" w:after="0"/>
              <w:rPr>
                <w:sz w:val="20"/>
                <w:szCs w:val="20"/>
              </w:rPr>
            </w:pPr>
            <w:r>
              <w:rPr>
                <w:color w:val="000000"/>
                <w:sz w:val="20"/>
                <w:szCs w:val="20"/>
              </w:rPr>
              <w:t>1664</w:t>
            </w:r>
          </w:p>
        </w:tc>
        <w:tc>
          <w:tcPr>
            <w:tcW w:w="1123" w:type="dxa"/>
            <w:vAlign w:val="center"/>
          </w:tcPr>
          <w:p w14:paraId="077E63BB" w14:textId="0952E4BA" w:rsidR="00017965" w:rsidRPr="00AC097F" w:rsidRDefault="00017965" w:rsidP="005756A1">
            <w:pPr>
              <w:pStyle w:val="TableText"/>
              <w:spacing w:before="0" w:after="0"/>
              <w:rPr>
                <w:sz w:val="20"/>
                <w:szCs w:val="20"/>
              </w:rPr>
            </w:pPr>
            <w:r>
              <w:rPr>
                <w:color w:val="000000"/>
                <w:sz w:val="20"/>
                <w:szCs w:val="20"/>
              </w:rPr>
              <w:t>SUB-3 and SUB-3a</w:t>
            </w:r>
          </w:p>
        </w:tc>
        <w:tc>
          <w:tcPr>
            <w:tcW w:w="2041" w:type="dxa"/>
            <w:vAlign w:val="center"/>
          </w:tcPr>
          <w:p w14:paraId="16C4ADCA" w14:textId="067362A5" w:rsidR="00017965" w:rsidRPr="00AC097F" w:rsidRDefault="00017965" w:rsidP="005756A1">
            <w:pPr>
              <w:pStyle w:val="TableText"/>
              <w:spacing w:before="0" w:after="0"/>
              <w:rPr>
                <w:sz w:val="20"/>
                <w:szCs w:val="20"/>
              </w:rPr>
            </w:pPr>
            <w:r>
              <w:rPr>
                <w:color w:val="000000"/>
                <w:sz w:val="20"/>
                <w:szCs w:val="20"/>
              </w:rPr>
              <w:t>Alcohol and Other Drug Use Disorder Treatment Provided or Offered at Discharge and Alcohol and Other Drug Use Disorder Treatment at Discharge</w:t>
            </w:r>
          </w:p>
        </w:tc>
        <w:tc>
          <w:tcPr>
            <w:tcW w:w="1620" w:type="dxa"/>
            <w:vAlign w:val="center"/>
          </w:tcPr>
          <w:p w14:paraId="124BE259" w14:textId="15F11447" w:rsidR="00017965" w:rsidRPr="00AC097F" w:rsidRDefault="00017965" w:rsidP="005756A1">
            <w:pPr>
              <w:pStyle w:val="TableText"/>
              <w:spacing w:before="0" w:after="0"/>
              <w:jc w:val="center"/>
              <w:rPr>
                <w:sz w:val="20"/>
                <w:szCs w:val="20"/>
              </w:rPr>
            </w:pPr>
            <w:r>
              <w:rPr>
                <w:color w:val="000000"/>
                <w:sz w:val="20"/>
                <w:szCs w:val="20"/>
              </w:rPr>
              <w:t>848</w:t>
            </w:r>
          </w:p>
        </w:tc>
        <w:tc>
          <w:tcPr>
            <w:tcW w:w="1260" w:type="dxa"/>
            <w:vAlign w:val="center"/>
          </w:tcPr>
          <w:p w14:paraId="04371A25" w14:textId="2F1F017D" w:rsidR="00017965" w:rsidRPr="00AC097F" w:rsidRDefault="00017965" w:rsidP="005756A1">
            <w:pPr>
              <w:pStyle w:val="TableText"/>
              <w:spacing w:before="0" w:after="0"/>
              <w:jc w:val="center"/>
              <w:rPr>
                <w:sz w:val="20"/>
                <w:szCs w:val="20"/>
              </w:rPr>
            </w:pPr>
            <w:r>
              <w:rPr>
                <w:color w:val="000000"/>
                <w:sz w:val="20"/>
                <w:szCs w:val="20"/>
              </w:rPr>
              <w:t>0.25</w:t>
            </w:r>
          </w:p>
        </w:tc>
        <w:tc>
          <w:tcPr>
            <w:tcW w:w="1980" w:type="dxa"/>
            <w:vAlign w:val="center"/>
          </w:tcPr>
          <w:p w14:paraId="50F2BE8E" w14:textId="31D29CEA" w:rsidR="00017965" w:rsidRPr="00AC097F" w:rsidRDefault="00017965" w:rsidP="005756A1">
            <w:pPr>
              <w:pStyle w:val="TableText"/>
              <w:spacing w:before="0" w:after="0"/>
              <w:jc w:val="center"/>
              <w:rPr>
                <w:sz w:val="20"/>
                <w:szCs w:val="20"/>
              </w:rPr>
            </w:pPr>
            <w:r>
              <w:rPr>
                <w:color w:val="000000"/>
                <w:sz w:val="20"/>
                <w:szCs w:val="20"/>
              </w:rPr>
              <w:t>212</w:t>
            </w:r>
          </w:p>
        </w:tc>
      </w:tr>
      <w:tr w:rsidR="00017965" w:rsidRPr="00AC097F" w14:paraId="64B38F5E" w14:textId="77777777" w:rsidTr="005756A1">
        <w:trPr>
          <w:cantSplit/>
        </w:trPr>
        <w:tc>
          <w:tcPr>
            <w:tcW w:w="1156" w:type="dxa"/>
            <w:vAlign w:val="center"/>
          </w:tcPr>
          <w:p w14:paraId="0D633C7D" w14:textId="1F928239" w:rsidR="00017965" w:rsidRPr="00AC097F" w:rsidRDefault="00017965" w:rsidP="005756A1">
            <w:pPr>
              <w:pStyle w:val="TableText"/>
              <w:spacing w:before="0" w:after="0"/>
              <w:rPr>
                <w:sz w:val="20"/>
                <w:szCs w:val="20"/>
              </w:rPr>
            </w:pPr>
            <w:r>
              <w:rPr>
                <w:color w:val="000000"/>
                <w:sz w:val="20"/>
                <w:szCs w:val="20"/>
              </w:rPr>
              <w:t>n/a</w:t>
            </w:r>
          </w:p>
        </w:tc>
        <w:tc>
          <w:tcPr>
            <w:tcW w:w="1123" w:type="dxa"/>
            <w:vAlign w:val="center"/>
          </w:tcPr>
          <w:p w14:paraId="33144D18" w14:textId="3A6DB78B" w:rsidR="00017965" w:rsidRPr="00AC097F" w:rsidRDefault="00017965" w:rsidP="00017965">
            <w:pPr>
              <w:pStyle w:val="TableText"/>
              <w:spacing w:before="0" w:after="0"/>
              <w:rPr>
                <w:sz w:val="20"/>
                <w:szCs w:val="20"/>
              </w:rPr>
            </w:pPr>
            <w:r>
              <w:rPr>
                <w:color w:val="000000"/>
                <w:sz w:val="20"/>
                <w:szCs w:val="20"/>
              </w:rPr>
              <w:t>n/a</w:t>
            </w:r>
          </w:p>
        </w:tc>
        <w:tc>
          <w:tcPr>
            <w:tcW w:w="2041" w:type="dxa"/>
            <w:vAlign w:val="center"/>
          </w:tcPr>
          <w:p w14:paraId="2CDE68B6" w14:textId="4B98CCBD" w:rsidR="00017965" w:rsidRPr="00AC097F" w:rsidRDefault="00017965" w:rsidP="005756A1">
            <w:pPr>
              <w:pStyle w:val="TableText"/>
              <w:spacing w:before="0" w:after="0"/>
              <w:rPr>
                <w:sz w:val="20"/>
                <w:szCs w:val="20"/>
              </w:rPr>
            </w:pPr>
            <w:r>
              <w:rPr>
                <w:color w:val="000000"/>
                <w:sz w:val="20"/>
                <w:szCs w:val="20"/>
              </w:rPr>
              <w:t>Thirty-day all-cause unplanned readmission following Psychiatric hospitalization in an Inpatient Psychiatric Facility</w:t>
            </w:r>
          </w:p>
        </w:tc>
        <w:tc>
          <w:tcPr>
            <w:tcW w:w="1620" w:type="dxa"/>
            <w:vAlign w:val="center"/>
          </w:tcPr>
          <w:p w14:paraId="6B63E388" w14:textId="1890E1CC" w:rsidR="00017965" w:rsidRPr="00AC097F" w:rsidRDefault="00017965" w:rsidP="005756A1">
            <w:pPr>
              <w:pStyle w:val="TableText"/>
              <w:spacing w:before="0" w:after="0"/>
              <w:jc w:val="center"/>
              <w:rPr>
                <w:sz w:val="20"/>
                <w:szCs w:val="20"/>
              </w:rPr>
            </w:pPr>
            <w:r>
              <w:rPr>
                <w:color w:val="000000"/>
                <w:sz w:val="20"/>
                <w:szCs w:val="20"/>
              </w:rPr>
              <w:t>848</w:t>
            </w:r>
          </w:p>
        </w:tc>
        <w:tc>
          <w:tcPr>
            <w:tcW w:w="1260" w:type="dxa"/>
            <w:vAlign w:val="center"/>
          </w:tcPr>
          <w:p w14:paraId="721CDB4E" w14:textId="1178FB50" w:rsidR="00017965" w:rsidRPr="00AC097F" w:rsidRDefault="00017965" w:rsidP="005756A1">
            <w:pPr>
              <w:pStyle w:val="TableText"/>
              <w:spacing w:before="0" w:after="0"/>
              <w:jc w:val="center"/>
              <w:rPr>
                <w:sz w:val="20"/>
                <w:szCs w:val="20"/>
              </w:rPr>
            </w:pPr>
            <w:r>
              <w:rPr>
                <w:color w:val="000000"/>
                <w:sz w:val="20"/>
                <w:szCs w:val="20"/>
              </w:rPr>
              <w:t>0</w:t>
            </w:r>
          </w:p>
        </w:tc>
        <w:tc>
          <w:tcPr>
            <w:tcW w:w="1980" w:type="dxa"/>
            <w:vAlign w:val="center"/>
          </w:tcPr>
          <w:p w14:paraId="581625C3" w14:textId="01095D9E" w:rsidR="00017965" w:rsidRPr="00AC097F" w:rsidRDefault="00017965" w:rsidP="005756A1">
            <w:pPr>
              <w:pStyle w:val="TableText"/>
              <w:spacing w:before="0" w:after="0"/>
              <w:jc w:val="center"/>
              <w:rPr>
                <w:sz w:val="20"/>
                <w:szCs w:val="20"/>
              </w:rPr>
            </w:pPr>
            <w:r>
              <w:rPr>
                <w:color w:val="000000"/>
                <w:sz w:val="20"/>
                <w:szCs w:val="20"/>
              </w:rPr>
              <w:t>0*</w:t>
            </w:r>
          </w:p>
        </w:tc>
      </w:tr>
      <w:tr w:rsidR="00A45071" w:rsidRPr="00AC097F" w14:paraId="2DF4CB91" w14:textId="77777777" w:rsidTr="00A45071">
        <w:trPr>
          <w:cantSplit/>
          <w:trHeight w:val="305"/>
        </w:trPr>
        <w:tc>
          <w:tcPr>
            <w:tcW w:w="5940" w:type="dxa"/>
            <w:gridSpan w:val="4"/>
            <w:shd w:val="clear" w:color="auto" w:fill="BFBFBF" w:themeFill="background1" w:themeFillShade="BF"/>
            <w:vAlign w:val="center"/>
          </w:tcPr>
          <w:p w14:paraId="59CF2D2C" w14:textId="3AE03A7E" w:rsidR="00A45071" w:rsidRDefault="00A45071" w:rsidP="00A45071">
            <w:pPr>
              <w:pStyle w:val="TableText"/>
              <w:spacing w:before="0" w:after="0"/>
              <w:jc w:val="center"/>
              <w:rPr>
                <w:color w:val="000000"/>
                <w:sz w:val="20"/>
                <w:szCs w:val="20"/>
              </w:rPr>
            </w:pPr>
          </w:p>
        </w:tc>
        <w:tc>
          <w:tcPr>
            <w:tcW w:w="1260" w:type="dxa"/>
            <w:shd w:val="clear" w:color="auto" w:fill="BFBFBF" w:themeFill="background1" w:themeFillShade="BF"/>
            <w:vAlign w:val="center"/>
          </w:tcPr>
          <w:p w14:paraId="7C04C56D" w14:textId="218BCF3D" w:rsidR="00A45071" w:rsidRDefault="00A45071" w:rsidP="00A45071">
            <w:pPr>
              <w:pStyle w:val="TableText"/>
              <w:spacing w:before="0" w:after="0"/>
              <w:jc w:val="center"/>
              <w:rPr>
                <w:color w:val="000000"/>
                <w:sz w:val="20"/>
                <w:szCs w:val="20"/>
              </w:rPr>
            </w:pPr>
            <w:r w:rsidRPr="00AC097F">
              <w:rPr>
                <w:b/>
                <w:bCs/>
                <w:color w:val="000000"/>
                <w:sz w:val="20"/>
                <w:szCs w:val="20"/>
              </w:rPr>
              <w:t>TOTAL</w:t>
            </w:r>
          </w:p>
        </w:tc>
        <w:tc>
          <w:tcPr>
            <w:tcW w:w="1980" w:type="dxa"/>
            <w:shd w:val="clear" w:color="auto" w:fill="BFBFBF" w:themeFill="background1" w:themeFillShade="BF"/>
            <w:vAlign w:val="center"/>
          </w:tcPr>
          <w:p w14:paraId="5E16DBA2" w14:textId="0F891A93" w:rsidR="00A45071" w:rsidRDefault="00A45071" w:rsidP="00A45071">
            <w:pPr>
              <w:pStyle w:val="TableText"/>
              <w:spacing w:before="0" w:after="0"/>
              <w:jc w:val="center"/>
              <w:rPr>
                <w:color w:val="000000"/>
                <w:sz w:val="20"/>
                <w:szCs w:val="20"/>
              </w:rPr>
            </w:pPr>
            <w:r>
              <w:rPr>
                <w:b/>
                <w:color w:val="000000"/>
                <w:sz w:val="20"/>
                <w:szCs w:val="20"/>
              </w:rPr>
              <w:t>212</w:t>
            </w:r>
          </w:p>
        </w:tc>
      </w:tr>
    </w:tbl>
    <w:p w14:paraId="37CBD217" w14:textId="4F7B3CAE" w:rsidR="00017965" w:rsidRDefault="00017965" w:rsidP="00017965">
      <w:pPr>
        <w:rPr>
          <w:sz w:val="20"/>
          <w:szCs w:val="20"/>
        </w:rPr>
      </w:pPr>
      <w:r w:rsidRPr="00A45071">
        <w:rPr>
          <w:sz w:val="20"/>
          <w:szCs w:val="20"/>
        </w:rPr>
        <w:t>*CMS will collect this data using Medicare Part A claims, therefore this measure will have no burden on IPFs.</w:t>
      </w:r>
    </w:p>
    <w:p w14:paraId="24C0FE33" w14:textId="7B786B49" w:rsidR="00A45071" w:rsidRDefault="00A45071" w:rsidP="00017965">
      <w:pPr>
        <w:rPr>
          <w:sz w:val="20"/>
          <w:szCs w:val="20"/>
        </w:rPr>
      </w:pPr>
    </w:p>
    <w:p w14:paraId="55B8DACF" w14:textId="52113223" w:rsidR="00A45071" w:rsidRDefault="00A45071" w:rsidP="00017965">
      <w:r w:rsidRPr="00A45071">
        <w:t xml:space="preserve">For the </w:t>
      </w:r>
      <w:r>
        <w:t xml:space="preserve">1,684 IPFs this new burden is 357,008 hours and </w:t>
      </w:r>
      <w:r w:rsidR="009C4191">
        <w:t>$11,724,142.7</w:t>
      </w:r>
      <w:r w:rsidR="009D1483">
        <w:t>2</w:t>
      </w:r>
    </w:p>
    <w:p w14:paraId="27953296" w14:textId="77777777" w:rsidR="00A45071" w:rsidRPr="00A45071" w:rsidRDefault="00A45071" w:rsidP="00017965"/>
    <w:p w14:paraId="563C9F92" w14:textId="77777777" w:rsidR="00D00D39" w:rsidRPr="003C22F4" w:rsidRDefault="00D00D39" w:rsidP="00D00D39">
      <w:pPr>
        <w:rPr>
          <w:i/>
          <w:u w:val="single"/>
        </w:rPr>
      </w:pPr>
      <w:r w:rsidRPr="003C22F4">
        <w:rPr>
          <w:i/>
        </w:rPr>
        <w:t>Non-measure Data Collection and Reporting</w:t>
      </w:r>
    </w:p>
    <w:p w14:paraId="6EC277BC" w14:textId="77777777" w:rsidR="00D00D39" w:rsidRPr="00EF30EB" w:rsidRDefault="00D00D39" w:rsidP="00D00D39"/>
    <w:p w14:paraId="35785405" w14:textId="17CDF229" w:rsidR="00D00D39" w:rsidRPr="00EF30EB" w:rsidRDefault="00D00D39" w:rsidP="00D00D39">
      <w:r>
        <w:t xml:space="preserve">For </w:t>
      </w:r>
      <w:r w:rsidRPr="00EF30EB">
        <w:t>FY 201</w:t>
      </w:r>
      <w:r>
        <w:t>9</w:t>
      </w:r>
      <w:r w:rsidRPr="00EF30EB">
        <w:t xml:space="preserve"> </w:t>
      </w:r>
      <w:r>
        <w:t xml:space="preserve">and subsequent payment </w:t>
      </w:r>
      <w:r w:rsidRPr="00EF30EB">
        <w:t>determination</w:t>
      </w:r>
      <w:r w:rsidR="00550D5A">
        <w:t>s,</w:t>
      </w:r>
      <w:r w:rsidRPr="00EF30EB">
        <w:t xml:space="preserve"> IPFs must submit to CMS aggregate population counts for Medicare and non-Medicare discharges by age group, and diagnostic group, and sample size counts for measures for which sampling is performed.  </w:t>
      </w:r>
      <w:r>
        <w:t>This is consistent with policies for FY 2018 and subsequent payment determination</w:t>
      </w:r>
      <w:r w:rsidR="00550D5A">
        <w:t>s</w:t>
      </w:r>
      <w:r>
        <w:t xml:space="preserve">. We believe that the addition of one (1) chart abstracted measure leads to a net negligible change in burden associated with the non-measure data collection.  We previously estimated </w:t>
      </w:r>
      <w:r w:rsidRPr="0063275E">
        <w:t>that it will take each facility approximately 2.5 hours to comply with this requirement.</w:t>
      </w:r>
    </w:p>
    <w:p w14:paraId="643C0CDF" w14:textId="77777777" w:rsidR="00D00D39" w:rsidRDefault="00D00D39" w:rsidP="00D00D39"/>
    <w:tbl>
      <w:tblPr>
        <w:tblW w:w="4934" w:type="pct"/>
        <w:tblInd w:w="108" w:type="dxa"/>
        <w:tblLayout w:type="fixed"/>
        <w:tblCellMar>
          <w:left w:w="0" w:type="dxa"/>
          <w:right w:w="0" w:type="dxa"/>
        </w:tblCellMar>
        <w:tblLook w:val="04A0" w:firstRow="1" w:lastRow="0" w:firstColumn="1" w:lastColumn="0" w:noHBand="0" w:noVBand="1"/>
      </w:tblPr>
      <w:tblGrid>
        <w:gridCol w:w="2387"/>
        <w:gridCol w:w="1405"/>
        <w:gridCol w:w="1405"/>
        <w:gridCol w:w="966"/>
        <w:gridCol w:w="1318"/>
        <w:gridCol w:w="1736"/>
      </w:tblGrid>
      <w:tr w:rsidR="00D00D39" w:rsidRPr="00AC097F" w14:paraId="34EEFCC8" w14:textId="77777777" w:rsidTr="005756A1">
        <w:tc>
          <w:tcPr>
            <w:tcW w:w="129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C6A4AB" w14:textId="77777777" w:rsidR="00D00D39" w:rsidRPr="00AC097F" w:rsidRDefault="00D00D39" w:rsidP="005756A1">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Tasks</w:t>
            </w:r>
          </w:p>
        </w:tc>
        <w:tc>
          <w:tcPr>
            <w:tcW w:w="76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A83645" w14:textId="77777777" w:rsidR="00D00D39" w:rsidRPr="00AC097F" w:rsidRDefault="00D00D39" w:rsidP="005756A1">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Hours per IPF</w:t>
            </w:r>
          </w:p>
        </w:tc>
        <w:tc>
          <w:tcPr>
            <w:tcW w:w="762"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3136E28A" w14:textId="77777777" w:rsidR="00D00D39" w:rsidRPr="00AC097F" w:rsidRDefault="00D00D39" w:rsidP="005756A1">
            <w:pPr>
              <w:pStyle w:val="TableColumnHeading"/>
              <w:spacing w:before="0" w:after="0"/>
              <w:rPr>
                <w:rFonts w:ascii="Times New Roman" w:hAnsi="Times New Roman"/>
                <w:sz w:val="20"/>
                <w:szCs w:val="20"/>
              </w:rPr>
            </w:pPr>
            <w:r w:rsidRPr="00AC097F">
              <w:rPr>
                <w:rFonts w:ascii="Times New Roman" w:hAnsi="Times New Roman"/>
                <w:sz w:val="20"/>
                <w:szCs w:val="20"/>
              </w:rPr>
              <w:t>Total Hours for All IPFs</w:t>
            </w:r>
          </w:p>
        </w:tc>
        <w:tc>
          <w:tcPr>
            <w:tcW w:w="524" w:type="pc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9D8A12" w14:textId="77777777" w:rsidR="00D00D39" w:rsidRPr="00AC097F" w:rsidRDefault="00D00D39" w:rsidP="005756A1">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Wage Rate</w:t>
            </w:r>
          </w:p>
        </w:tc>
        <w:tc>
          <w:tcPr>
            <w:tcW w:w="71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C6A863" w14:textId="77777777" w:rsidR="00D00D39" w:rsidRPr="00AC097F" w:rsidRDefault="00D00D39" w:rsidP="005756A1">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Cost per IPF</w:t>
            </w:r>
          </w:p>
        </w:tc>
        <w:tc>
          <w:tcPr>
            <w:tcW w:w="94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7369B41" w14:textId="77777777" w:rsidR="00D00D39" w:rsidRPr="00AC097F" w:rsidRDefault="00D00D39" w:rsidP="005756A1">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Total Cost for All IPFs</w:t>
            </w:r>
          </w:p>
        </w:tc>
      </w:tr>
      <w:tr w:rsidR="00D00D39" w:rsidRPr="00AC097F" w14:paraId="18E62C02" w14:textId="77777777" w:rsidTr="005756A1">
        <w:tc>
          <w:tcPr>
            <w:tcW w:w="129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F645B46" w14:textId="77777777" w:rsidR="00D00D39" w:rsidRPr="00B00C64" w:rsidRDefault="00D00D39" w:rsidP="005756A1">
            <w:pPr>
              <w:pStyle w:val="TableText"/>
              <w:spacing w:before="0" w:after="0"/>
              <w:rPr>
                <w:sz w:val="20"/>
                <w:szCs w:val="20"/>
              </w:rPr>
            </w:pPr>
            <w:r w:rsidRPr="00B00C64">
              <w:rPr>
                <w:sz w:val="20"/>
                <w:szCs w:val="20"/>
              </w:rPr>
              <w:t>Non-measure Data Collection and Submission</w:t>
            </w:r>
          </w:p>
        </w:tc>
        <w:tc>
          <w:tcPr>
            <w:tcW w:w="762" w:type="pct"/>
            <w:tcBorders>
              <w:top w:val="nil"/>
              <w:left w:val="nil"/>
              <w:bottom w:val="single" w:sz="4" w:space="0" w:color="auto"/>
              <w:right w:val="single" w:sz="8" w:space="0" w:color="auto"/>
            </w:tcBorders>
            <w:tcMar>
              <w:top w:w="0" w:type="dxa"/>
              <w:left w:w="108" w:type="dxa"/>
              <w:bottom w:w="0" w:type="dxa"/>
              <w:right w:w="108" w:type="dxa"/>
            </w:tcMar>
          </w:tcPr>
          <w:p w14:paraId="580E655E" w14:textId="77777777" w:rsidR="00D00D39" w:rsidRPr="00B00C64" w:rsidRDefault="00D00D39" w:rsidP="005756A1">
            <w:pPr>
              <w:pStyle w:val="TableText"/>
              <w:spacing w:before="0" w:after="0"/>
              <w:rPr>
                <w:sz w:val="20"/>
                <w:szCs w:val="20"/>
              </w:rPr>
            </w:pPr>
            <w:r w:rsidRPr="00B00C64">
              <w:rPr>
                <w:sz w:val="20"/>
                <w:szCs w:val="20"/>
              </w:rPr>
              <w:t>2.5</w:t>
            </w:r>
          </w:p>
        </w:tc>
        <w:tc>
          <w:tcPr>
            <w:tcW w:w="762" w:type="pct"/>
            <w:tcBorders>
              <w:top w:val="single" w:sz="8" w:space="0" w:color="auto"/>
              <w:left w:val="nil"/>
              <w:bottom w:val="single" w:sz="4" w:space="0" w:color="auto"/>
              <w:right w:val="single" w:sz="4" w:space="0" w:color="auto"/>
            </w:tcBorders>
          </w:tcPr>
          <w:p w14:paraId="3B53B84A" w14:textId="77777777" w:rsidR="00D00D39" w:rsidRPr="00B00C64" w:rsidRDefault="00D00D39" w:rsidP="005756A1">
            <w:pPr>
              <w:pStyle w:val="TableText"/>
              <w:spacing w:before="0" w:after="0"/>
              <w:ind w:firstLine="89"/>
              <w:rPr>
                <w:sz w:val="20"/>
                <w:szCs w:val="20"/>
              </w:rPr>
            </w:pPr>
            <w:r w:rsidRPr="00B00C64">
              <w:rPr>
                <w:sz w:val="20"/>
                <w:szCs w:val="20"/>
              </w:rPr>
              <w:t>4,</w:t>
            </w:r>
            <w:r>
              <w:rPr>
                <w:sz w:val="20"/>
                <w:szCs w:val="20"/>
              </w:rPr>
              <w:t>210</w:t>
            </w:r>
          </w:p>
        </w:tc>
        <w:tc>
          <w:tcPr>
            <w:tcW w:w="52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5D1D35D" w14:textId="113BC16A" w:rsidR="00D00D39" w:rsidRPr="00B00C64" w:rsidRDefault="00D00D39" w:rsidP="00083248">
            <w:pPr>
              <w:pStyle w:val="TableText"/>
              <w:spacing w:before="0" w:after="0"/>
              <w:rPr>
                <w:sz w:val="20"/>
                <w:szCs w:val="20"/>
              </w:rPr>
            </w:pPr>
            <w:r w:rsidRPr="00B00C64">
              <w:rPr>
                <w:sz w:val="20"/>
                <w:szCs w:val="20"/>
              </w:rPr>
              <w:t>$</w:t>
            </w:r>
            <w:r w:rsidR="00083248">
              <w:rPr>
                <w:sz w:val="20"/>
                <w:szCs w:val="20"/>
              </w:rPr>
              <w:t>32.84</w:t>
            </w:r>
            <w:r w:rsidRPr="00B00C64">
              <w:rPr>
                <w:sz w:val="20"/>
                <w:szCs w:val="20"/>
              </w:rPr>
              <w:t>/h</w:t>
            </w:r>
            <w:r w:rsidR="00083248">
              <w:rPr>
                <w:sz w:val="20"/>
                <w:szCs w:val="20"/>
              </w:rPr>
              <w:t>our</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2DA66084" w14:textId="3C77B947" w:rsidR="00D00D39" w:rsidRPr="00B00C64" w:rsidRDefault="00D00D39" w:rsidP="00083248">
            <w:pPr>
              <w:pStyle w:val="TableText"/>
              <w:spacing w:before="0" w:after="0"/>
              <w:rPr>
                <w:sz w:val="20"/>
                <w:szCs w:val="20"/>
              </w:rPr>
            </w:pPr>
            <w:r w:rsidRPr="00B00C64">
              <w:rPr>
                <w:sz w:val="20"/>
                <w:szCs w:val="20"/>
              </w:rPr>
              <w:t>$</w:t>
            </w:r>
            <w:r w:rsidR="00083248">
              <w:rPr>
                <w:sz w:val="20"/>
                <w:szCs w:val="20"/>
              </w:rPr>
              <w:t>82.10</w:t>
            </w:r>
          </w:p>
        </w:tc>
        <w:tc>
          <w:tcPr>
            <w:tcW w:w="943" w:type="pct"/>
            <w:tcBorders>
              <w:top w:val="nil"/>
              <w:left w:val="nil"/>
              <w:bottom w:val="single" w:sz="8" w:space="0" w:color="auto"/>
              <w:right w:val="single" w:sz="8" w:space="0" w:color="auto"/>
            </w:tcBorders>
            <w:tcMar>
              <w:top w:w="0" w:type="dxa"/>
              <w:left w:w="108" w:type="dxa"/>
              <w:bottom w:w="0" w:type="dxa"/>
              <w:right w:w="108" w:type="dxa"/>
            </w:tcMar>
          </w:tcPr>
          <w:p w14:paraId="62D1779A" w14:textId="580BB45B" w:rsidR="00D00D39" w:rsidRPr="00AC097F" w:rsidRDefault="00083248" w:rsidP="005756A1">
            <w:pPr>
              <w:pStyle w:val="TableText"/>
              <w:spacing w:before="0" w:after="0"/>
              <w:rPr>
                <w:sz w:val="20"/>
                <w:szCs w:val="20"/>
              </w:rPr>
            </w:pPr>
            <w:r>
              <w:t>$138,256.40</w:t>
            </w:r>
          </w:p>
        </w:tc>
      </w:tr>
    </w:tbl>
    <w:p w14:paraId="077E1C22" w14:textId="77777777" w:rsidR="00FD4042" w:rsidRPr="0063275E" w:rsidRDefault="00FD4042" w:rsidP="00285035"/>
    <w:p w14:paraId="781A0718" w14:textId="77777777" w:rsidR="001608E4" w:rsidRDefault="001608E4" w:rsidP="00640B5C"/>
    <w:p w14:paraId="42CA6337" w14:textId="638A443E" w:rsidR="002D6520" w:rsidRPr="002641DD" w:rsidRDefault="002D6520" w:rsidP="00A6098F">
      <w:pPr>
        <w:pStyle w:val="ListParagraph"/>
        <w:numPr>
          <w:ilvl w:val="0"/>
          <w:numId w:val="17"/>
        </w:numPr>
        <w:rPr>
          <w:b/>
          <w:u w:val="single"/>
        </w:rPr>
      </w:pPr>
      <w:r w:rsidRPr="002641DD">
        <w:rPr>
          <w:b/>
          <w:u w:val="single"/>
        </w:rPr>
        <w:t>Training</w:t>
      </w:r>
    </w:p>
    <w:p w14:paraId="694D0F44" w14:textId="77777777" w:rsidR="002D6520" w:rsidRDefault="002D6520" w:rsidP="00285035">
      <w:pPr>
        <w:rPr>
          <w:b/>
        </w:rPr>
      </w:pPr>
    </w:p>
    <w:p w14:paraId="3954F2D4" w14:textId="59588C20" w:rsidR="00FB1D36" w:rsidRDefault="002D6520" w:rsidP="002A5FAE">
      <w:r>
        <w:t xml:space="preserve">Because IPFs have been submitting </w:t>
      </w:r>
      <w:r w:rsidR="00D00D39">
        <w:t>sixteen</w:t>
      </w:r>
      <w:r>
        <w:t xml:space="preserve"> (1</w:t>
      </w:r>
      <w:r w:rsidR="00D00D39">
        <w:t>6</w:t>
      </w:r>
      <w:r>
        <w:t xml:space="preserve">) of the </w:t>
      </w:r>
      <w:r w:rsidR="00D00D39">
        <w:t>eighteen</w:t>
      </w:r>
      <w:r>
        <w:t xml:space="preserve"> (1</w:t>
      </w:r>
      <w:r w:rsidR="00D00D39">
        <w:t>8</w:t>
      </w:r>
      <w:r>
        <w:t xml:space="preserve">) measures to CMS, </w:t>
      </w:r>
      <w:r w:rsidR="00D00D39">
        <w:t xml:space="preserve">and one of the new measures is calculated by CMS using Part A claims data, </w:t>
      </w:r>
      <w:r>
        <w:t xml:space="preserve">the amount of training required to submit data should be reduced to training for facilities new to the Program </w:t>
      </w:r>
      <w:r w:rsidRPr="00707B43">
        <w:t xml:space="preserve">and training on the collection of data and submission only for the </w:t>
      </w:r>
      <w:r w:rsidR="00D00D39">
        <w:t>one (1) new measure</w:t>
      </w:r>
      <w:r w:rsidRPr="00707B43">
        <w:t>.</w:t>
      </w:r>
      <w:r>
        <w:t xml:space="preserve">  </w:t>
      </w:r>
    </w:p>
    <w:p w14:paraId="62D6FADC" w14:textId="77777777" w:rsidR="00FB1D36" w:rsidRDefault="00FB1D36" w:rsidP="002A5FAE"/>
    <w:p w14:paraId="4C923994" w14:textId="51577D6D" w:rsidR="002A5FAE" w:rsidRPr="00707B43" w:rsidRDefault="000D0E65" w:rsidP="002A5FAE">
      <w:r>
        <w:t>For existing facilities, t</w:t>
      </w:r>
      <w:r w:rsidR="002A5FAE" w:rsidRPr="00707B43">
        <w:t>he estimated burden for training personnel for data collection and submission for current and future measures is 2 hours per facility</w:t>
      </w:r>
      <w:r w:rsidR="0008790B">
        <w:t xml:space="preserve"> or </w:t>
      </w:r>
      <w:r w:rsidR="00D00D39">
        <w:t>3,368</w:t>
      </w:r>
      <w:r w:rsidR="0008790B">
        <w:t xml:space="preserve"> total hours</w:t>
      </w:r>
      <w:r w:rsidR="002A5FAE" w:rsidRPr="00707B43">
        <w:t>.  The cost for this training, based on an hourly rate of $</w:t>
      </w:r>
      <w:r w:rsidR="00083248">
        <w:t>32.84</w:t>
      </w:r>
      <w:r w:rsidR="002A5FAE" w:rsidRPr="00707B43">
        <w:t>, is $</w:t>
      </w:r>
      <w:r w:rsidR="00083248">
        <w:t>65.68</w:t>
      </w:r>
      <w:r w:rsidR="002A5FAE" w:rsidRPr="00707B43">
        <w:t xml:space="preserve"> for each IPF</w:t>
      </w:r>
      <w:r w:rsidR="00F405C2">
        <w:t xml:space="preserve"> or </w:t>
      </w:r>
      <w:r w:rsidR="002A5FAE" w:rsidRPr="00707B43">
        <w:t>$</w:t>
      </w:r>
      <w:r w:rsidR="00083248">
        <w:t>110,605.12</w:t>
      </w:r>
      <w:r w:rsidR="002A5FAE" w:rsidRPr="00707B43">
        <w:t xml:space="preserve"> for all facilities.</w:t>
      </w:r>
    </w:p>
    <w:p w14:paraId="0E657775" w14:textId="77777777" w:rsidR="000D40CB" w:rsidRDefault="000D40CB" w:rsidP="00285035">
      <w:pPr>
        <w:rPr>
          <w:b/>
        </w:rPr>
      </w:pPr>
    </w:p>
    <w:tbl>
      <w:tblPr>
        <w:tblW w:w="4934" w:type="pct"/>
        <w:tblInd w:w="108" w:type="dxa"/>
        <w:tblLayout w:type="fixed"/>
        <w:tblCellMar>
          <w:left w:w="0" w:type="dxa"/>
          <w:right w:w="0" w:type="dxa"/>
        </w:tblCellMar>
        <w:tblLook w:val="04A0" w:firstRow="1" w:lastRow="0" w:firstColumn="1" w:lastColumn="0" w:noHBand="0" w:noVBand="1"/>
      </w:tblPr>
      <w:tblGrid>
        <w:gridCol w:w="2387"/>
        <w:gridCol w:w="1405"/>
        <w:gridCol w:w="1405"/>
        <w:gridCol w:w="966"/>
        <w:gridCol w:w="1318"/>
        <w:gridCol w:w="1736"/>
      </w:tblGrid>
      <w:tr w:rsidR="00207B8D" w:rsidRPr="00AC097F" w14:paraId="2A740140" w14:textId="77777777" w:rsidTr="009C051B">
        <w:tc>
          <w:tcPr>
            <w:tcW w:w="129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EF5A5C" w14:textId="77777777" w:rsidR="00207B8D" w:rsidRPr="00AC097F" w:rsidRDefault="00207B8D" w:rsidP="009C051B">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Tasks</w:t>
            </w:r>
          </w:p>
        </w:tc>
        <w:tc>
          <w:tcPr>
            <w:tcW w:w="76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36A477A" w14:textId="77777777" w:rsidR="00207B8D" w:rsidRPr="00AC097F" w:rsidRDefault="00207B8D" w:rsidP="009C051B">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Hours per IPF</w:t>
            </w:r>
          </w:p>
        </w:tc>
        <w:tc>
          <w:tcPr>
            <w:tcW w:w="762"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3F44D4CF" w14:textId="77777777" w:rsidR="00207B8D" w:rsidRPr="00AC097F" w:rsidRDefault="00207B8D" w:rsidP="009C051B">
            <w:pPr>
              <w:pStyle w:val="TableColumnHeading"/>
              <w:spacing w:before="0" w:after="0"/>
              <w:rPr>
                <w:rFonts w:ascii="Times New Roman" w:hAnsi="Times New Roman"/>
                <w:sz w:val="20"/>
                <w:szCs w:val="20"/>
              </w:rPr>
            </w:pPr>
            <w:r w:rsidRPr="00AC097F">
              <w:rPr>
                <w:rFonts w:ascii="Times New Roman" w:hAnsi="Times New Roman"/>
                <w:sz w:val="20"/>
                <w:szCs w:val="20"/>
              </w:rPr>
              <w:t>Total Hours for All IPFs</w:t>
            </w:r>
          </w:p>
        </w:tc>
        <w:tc>
          <w:tcPr>
            <w:tcW w:w="524" w:type="pc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A4D999" w14:textId="77777777" w:rsidR="00207B8D" w:rsidRPr="00AC097F" w:rsidRDefault="00207B8D" w:rsidP="009C051B">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Wage Rate</w:t>
            </w:r>
          </w:p>
        </w:tc>
        <w:tc>
          <w:tcPr>
            <w:tcW w:w="71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3C989A" w14:textId="77777777" w:rsidR="00207B8D" w:rsidRPr="00AC097F" w:rsidRDefault="00207B8D" w:rsidP="009C051B">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Cost per IPF</w:t>
            </w:r>
          </w:p>
        </w:tc>
        <w:tc>
          <w:tcPr>
            <w:tcW w:w="94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0B71381" w14:textId="77777777" w:rsidR="00207B8D" w:rsidRPr="00AC097F" w:rsidRDefault="00207B8D" w:rsidP="009C051B">
            <w:pPr>
              <w:pStyle w:val="TableColumnHeading"/>
              <w:spacing w:before="0" w:after="0"/>
              <w:rPr>
                <w:rFonts w:ascii="Times New Roman" w:eastAsiaTheme="minorHAnsi" w:hAnsi="Times New Roman"/>
                <w:sz w:val="20"/>
                <w:szCs w:val="20"/>
              </w:rPr>
            </w:pPr>
            <w:r w:rsidRPr="00AC097F">
              <w:rPr>
                <w:rFonts w:ascii="Times New Roman" w:hAnsi="Times New Roman"/>
                <w:sz w:val="20"/>
                <w:szCs w:val="20"/>
              </w:rPr>
              <w:t>Total Cost for All IPFs</w:t>
            </w:r>
          </w:p>
        </w:tc>
      </w:tr>
      <w:tr w:rsidR="00207B8D" w:rsidRPr="00AC097F" w14:paraId="4DBD695E" w14:textId="77777777" w:rsidTr="009C051B">
        <w:tc>
          <w:tcPr>
            <w:tcW w:w="129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F60AF5E" w14:textId="7D35E6DF" w:rsidR="00207B8D" w:rsidRPr="00B00C64" w:rsidRDefault="00207B8D" w:rsidP="00207B8D">
            <w:pPr>
              <w:pStyle w:val="TableText"/>
              <w:spacing w:before="0" w:after="0"/>
              <w:rPr>
                <w:sz w:val="20"/>
                <w:szCs w:val="20"/>
              </w:rPr>
            </w:pPr>
            <w:r>
              <w:rPr>
                <w:sz w:val="20"/>
                <w:szCs w:val="20"/>
              </w:rPr>
              <w:t>Training</w:t>
            </w:r>
          </w:p>
        </w:tc>
        <w:tc>
          <w:tcPr>
            <w:tcW w:w="762" w:type="pct"/>
            <w:tcBorders>
              <w:top w:val="nil"/>
              <w:left w:val="nil"/>
              <w:bottom w:val="single" w:sz="4" w:space="0" w:color="auto"/>
              <w:right w:val="single" w:sz="8" w:space="0" w:color="auto"/>
            </w:tcBorders>
            <w:tcMar>
              <w:top w:w="0" w:type="dxa"/>
              <w:left w:w="108" w:type="dxa"/>
              <w:bottom w:w="0" w:type="dxa"/>
              <w:right w:w="108" w:type="dxa"/>
            </w:tcMar>
          </w:tcPr>
          <w:p w14:paraId="7B348F0C" w14:textId="1107FAC5" w:rsidR="00207B8D" w:rsidRPr="00B00C64" w:rsidRDefault="00207B8D" w:rsidP="00207B8D">
            <w:pPr>
              <w:pStyle w:val="TableText"/>
              <w:spacing w:before="0" w:after="0"/>
              <w:rPr>
                <w:sz w:val="20"/>
                <w:szCs w:val="20"/>
              </w:rPr>
            </w:pPr>
            <w:r w:rsidRPr="00B00C64">
              <w:rPr>
                <w:sz w:val="20"/>
                <w:szCs w:val="20"/>
              </w:rPr>
              <w:t>2</w:t>
            </w:r>
          </w:p>
        </w:tc>
        <w:tc>
          <w:tcPr>
            <w:tcW w:w="762" w:type="pct"/>
            <w:tcBorders>
              <w:top w:val="single" w:sz="8" w:space="0" w:color="auto"/>
              <w:left w:val="nil"/>
              <w:bottom w:val="single" w:sz="4" w:space="0" w:color="auto"/>
              <w:right w:val="single" w:sz="4" w:space="0" w:color="auto"/>
            </w:tcBorders>
          </w:tcPr>
          <w:p w14:paraId="2A60C0C3" w14:textId="2473AC85" w:rsidR="00207B8D" w:rsidRPr="00B00C64" w:rsidRDefault="00D00D39" w:rsidP="009C051B">
            <w:pPr>
              <w:pStyle w:val="TableText"/>
              <w:spacing w:before="0" w:after="0"/>
              <w:ind w:firstLine="89"/>
              <w:rPr>
                <w:sz w:val="20"/>
                <w:szCs w:val="20"/>
              </w:rPr>
            </w:pPr>
            <w:r>
              <w:t>3</w:t>
            </w:r>
            <w:r w:rsidR="006D36E8">
              <w:t>,</w:t>
            </w:r>
            <w:r>
              <w:t>368</w:t>
            </w:r>
          </w:p>
        </w:tc>
        <w:tc>
          <w:tcPr>
            <w:tcW w:w="52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5CCFC6FD" w14:textId="04AE2FB4" w:rsidR="00207B8D" w:rsidRPr="00B00C64" w:rsidRDefault="00083248" w:rsidP="009C051B">
            <w:pPr>
              <w:pStyle w:val="TableText"/>
              <w:spacing w:before="0" w:after="0"/>
              <w:rPr>
                <w:sz w:val="20"/>
                <w:szCs w:val="20"/>
              </w:rPr>
            </w:pPr>
            <w:r>
              <w:rPr>
                <w:sz w:val="20"/>
                <w:szCs w:val="20"/>
              </w:rPr>
              <w:t>$32.84/hour</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2A11C30F" w14:textId="2968C783" w:rsidR="00207B8D" w:rsidRPr="00B00C64" w:rsidRDefault="00207B8D" w:rsidP="00083248">
            <w:pPr>
              <w:pStyle w:val="TableText"/>
              <w:spacing w:before="0" w:after="0"/>
              <w:rPr>
                <w:sz w:val="20"/>
                <w:szCs w:val="20"/>
              </w:rPr>
            </w:pPr>
            <w:r w:rsidRPr="00707B43">
              <w:t>$</w:t>
            </w:r>
            <w:r w:rsidR="00083248">
              <w:t>65.68</w:t>
            </w:r>
          </w:p>
        </w:tc>
        <w:tc>
          <w:tcPr>
            <w:tcW w:w="943" w:type="pct"/>
            <w:tcBorders>
              <w:top w:val="nil"/>
              <w:left w:val="nil"/>
              <w:bottom w:val="single" w:sz="8" w:space="0" w:color="auto"/>
              <w:right w:val="single" w:sz="8" w:space="0" w:color="auto"/>
            </w:tcBorders>
            <w:tcMar>
              <w:top w:w="0" w:type="dxa"/>
              <w:left w:w="108" w:type="dxa"/>
              <w:bottom w:w="0" w:type="dxa"/>
              <w:right w:w="108" w:type="dxa"/>
            </w:tcMar>
          </w:tcPr>
          <w:p w14:paraId="0674E68D" w14:textId="33BAAC21" w:rsidR="00207B8D" w:rsidRPr="00AC097F" w:rsidRDefault="00D00D39" w:rsidP="001C6432">
            <w:pPr>
              <w:pStyle w:val="TableText"/>
              <w:spacing w:before="0" w:after="0"/>
              <w:rPr>
                <w:sz w:val="20"/>
                <w:szCs w:val="20"/>
              </w:rPr>
            </w:pPr>
            <w:r>
              <w:t>$</w:t>
            </w:r>
            <w:r w:rsidR="001C6432">
              <w:t>110,605.12</w:t>
            </w:r>
          </w:p>
        </w:tc>
      </w:tr>
    </w:tbl>
    <w:p w14:paraId="2B533A46" w14:textId="77777777" w:rsidR="00207B8D" w:rsidRPr="00707B43" w:rsidRDefault="00207B8D" w:rsidP="00285035">
      <w:pPr>
        <w:rPr>
          <w:b/>
        </w:rPr>
      </w:pPr>
    </w:p>
    <w:p w14:paraId="49B5B457" w14:textId="1CD37760" w:rsidR="00285035" w:rsidRPr="002641DD" w:rsidRDefault="001E47F4" w:rsidP="00A6098F">
      <w:pPr>
        <w:pStyle w:val="ListParagraph"/>
        <w:numPr>
          <w:ilvl w:val="0"/>
          <w:numId w:val="17"/>
        </w:numPr>
        <w:rPr>
          <w:b/>
          <w:u w:val="single"/>
        </w:rPr>
      </w:pPr>
      <w:r w:rsidRPr="002641DD">
        <w:rPr>
          <w:b/>
          <w:u w:val="single"/>
        </w:rPr>
        <w:t xml:space="preserve">Notice of Participation, Data Accuracy Acknowledgement, and </w:t>
      </w:r>
      <w:r w:rsidR="00F35106">
        <w:rPr>
          <w:b/>
          <w:u w:val="single"/>
        </w:rPr>
        <w:t>Vendor Authorization Form</w:t>
      </w:r>
      <w:r w:rsidRPr="002641DD">
        <w:rPr>
          <w:b/>
          <w:u w:val="single"/>
        </w:rPr>
        <w:t xml:space="preserve"> </w:t>
      </w:r>
    </w:p>
    <w:p w14:paraId="49B5B458" w14:textId="77777777" w:rsidR="001400BA" w:rsidRPr="00707B43" w:rsidRDefault="001400BA" w:rsidP="00285035"/>
    <w:p w14:paraId="49B5B459" w14:textId="59A02866" w:rsidR="009B6744" w:rsidRDefault="00C56FBA" w:rsidP="009B6744">
      <w:r w:rsidRPr="00707B43">
        <w:t>The N</w:t>
      </w:r>
      <w:r w:rsidR="00550D5A">
        <w:t>O</w:t>
      </w:r>
      <w:r w:rsidRPr="00707B43">
        <w:t xml:space="preserve">P and the DACA forms must be filled out only once for each data submission period.  </w:t>
      </w:r>
      <w:r w:rsidR="00F35106">
        <w:t>The Vendor Authorization form is optional.</w:t>
      </w:r>
      <w:r w:rsidRPr="00707B43">
        <w:t xml:space="preserve">  While it is estimated that these forms should take less than 5 minutes to complete, t</w:t>
      </w:r>
      <w:r w:rsidR="009B6744" w:rsidRPr="00707B43">
        <w:t xml:space="preserve">he </w:t>
      </w:r>
      <w:r w:rsidR="00477ED9" w:rsidRPr="00707B43">
        <w:t>1</w:t>
      </w:r>
      <w:r w:rsidR="00D00D39">
        <w:t>5</w:t>
      </w:r>
      <w:r w:rsidR="00707B43" w:rsidRPr="00707B43">
        <w:t xml:space="preserve"> minute</w:t>
      </w:r>
      <w:r w:rsidR="00D00D39">
        <w:t>s</w:t>
      </w:r>
      <w:r w:rsidR="00707B43" w:rsidRPr="00707B43">
        <w:t xml:space="preserve"> estimate</w:t>
      </w:r>
      <w:r w:rsidR="00D00D39">
        <w:t>d</w:t>
      </w:r>
      <w:r w:rsidR="00707B43" w:rsidRPr="00707B43">
        <w:t xml:space="preserve"> </w:t>
      </w:r>
      <w:r w:rsidR="009B6744" w:rsidRPr="00707B43">
        <w:t>for chart abstraction also includes the time for completing and submitting any forms related to the measures.</w:t>
      </w:r>
    </w:p>
    <w:p w14:paraId="4CBB1FAC" w14:textId="75E0EDE0" w:rsidR="00550D5A" w:rsidRDefault="00550D5A" w:rsidP="009B6744"/>
    <w:p w14:paraId="20B7C706" w14:textId="456C9688" w:rsidR="002A5FAE" w:rsidRPr="00D22004" w:rsidRDefault="002A5FAE" w:rsidP="00D22004">
      <w:pPr>
        <w:pStyle w:val="ListParagraph"/>
        <w:numPr>
          <w:ilvl w:val="0"/>
          <w:numId w:val="17"/>
        </w:numPr>
        <w:rPr>
          <w:b/>
          <w:u w:val="single"/>
        </w:rPr>
      </w:pPr>
      <w:r w:rsidRPr="00D22004">
        <w:rPr>
          <w:b/>
          <w:u w:val="single"/>
        </w:rPr>
        <w:t>Burden Summary</w:t>
      </w:r>
    </w:p>
    <w:p w14:paraId="3CE17C95" w14:textId="2210F948" w:rsidR="00F9481A" w:rsidRPr="00E10541" w:rsidRDefault="00F9481A" w:rsidP="00E10541">
      <w:pPr>
        <w:rPr>
          <w:rFonts w:eastAsiaTheme="minorHAnsi"/>
          <w:b/>
          <w:sz w:val="20"/>
          <w:szCs w:val="20"/>
        </w:rPr>
      </w:pPr>
    </w:p>
    <w:tbl>
      <w:tblPr>
        <w:tblW w:w="4934" w:type="pct"/>
        <w:tblInd w:w="108" w:type="dxa"/>
        <w:tblLayout w:type="fixed"/>
        <w:tblCellMar>
          <w:left w:w="0" w:type="dxa"/>
          <w:right w:w="0" w:type="dxa"/>
        </w:tblCellMar>
        <w:tblLook w:val="04A0" w:firstRow="1" w:lastRow="0" w:firstColumn="1" w:lastColumn="0" w:noHBand="0" w:noVBand="1"/>
      </w:tblPr>
      <w:tblGrid>
        <w:gridCol w:w="2388"/>
        <w:gridCol w:w="1405"/>
        <w:gridCol w:w="1405"/>
        <w:gridCol w:w="966"/>
        <w:gridCol w:w="1318"/>
        <w:gridCol w:w="1735"/>
      </w:tblGrid>
      <w:tr w:rsidR="00F9481A" w:rsidRPr="00E10541" w14:paraId="33525337" w14:textId="77777777" w:rsidTr="00F77130">
        <w:tc>
          <w:tcPr>
            <w:tcW w:w="129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752F7B" w14:textId="77777777" w:rsidR="00F9481A" w:rsidRPr="00E10541" w:rsidRDefault="00F9481A" w:rsidP="00E10541">
            <w:pPr>
              <w:pStyle w:val="TableColumnHeading"/>
              <w:spacing w:before="0" w:after="0"/>
              <w:rPr>
                <w:rFonts w:ascii="Times New Roman" w:eastAsiaTheme="minorHAnsi" w:hAnsi="Times New Roman"/>
                <w:sz w:val="20"/>
                <w:szCs w:val="20"/>
              </w:rPr>
            </w:pPr>
            <w:r w:rsidRPr="00E10541">
              <w:rPr>
                <w:rFonts w:ascii="Times New Roman" w:hAnsi="Times New Roman"/>
                <w:sz w:val="20"/>
                <w:szCs w:val="20"/>
              </w:rPr>
              <w:t>Tasks</w:t>
            </w:r>
          </w:p>
        </w:tc>
        <w:tc>
          <w:tcPr>
            <w:tcW w:w="76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AB42DE" w14:textId="77777777" w:rsidR="00F9481A" w:rsidRPr="00E10541" w:rsidRDefault="00F9481A" w:rsidP="00E10541">
            <w:pPr>
              <w:pStyle w:val="TableColumnHeading"/>
              <w:spacing w:before="0" w:after="0"/>
              <w:rPr>
                <w:rFonts w:ascii="Times New Roman" w:eastAsiaTheme="minorHAnsi" w:hAnsi="Times New Roman"/>
                <w:sz w:val="20"/>
                <w:szCs w:val="20"/>
              </w:rPr>
            </w:pPr>
            <w:r w:rsidRPr="00E10541">
              <w:rPr>
                <w:rFonts w:ascii="Times New Roman" w:hAnsi="Times New Roman"/>
                <w:sz w:val="20"/>
                <w:szCs w:val="20"/>
              </w:rPr>
              <w:t>Hours per IPF</w:t>
            </w:r>
          </w:p>
        </w:tc>
        <w:tc>
          <w:tcPr>
            <w:tcW w:w="762"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00313FE7" w14:textId="77777777" w:rsidR="00F9481A" w:rsidRPr="00E10541" w:rsidRDefault="00F9481A" w:rsidP="00E10541">
            <w:pPr>
              <w:pStyle w:val="TableColumnHeading"/>
              <w:spacing w:before="0" w:after="0"/>
              <w:rPr>
                <w:rFonts w:ascii="Times New Roman" w:hAnsi="Times New Roman"/>
                <w:sz w:val="20"/>
                <w:szCs w:val="20"/>
              </w:rPr>
            </w:pPr>
            <w:r w:rsidRPr="00E10541">
              <w:rPr>
                <w:rFonts w:ascii="Times New Roman" w:hAnsi="Times New Roman"/>
                <w:sz w:val="20"/>
                <w:szCs w:val="20"/>
              </w:rPr>
              <w:t>Total Hours for All IPFs</w:t>
            </w:r>
          </w:p>
        </w:tc>
        <w:tc>
          <w:tcPr>
            <w:tcW w:w="524" w:type="pc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C6D4121" w14:textId="1B6A4907" w:rsidR="00F9481A" w:rsidRPr="00E10541" w:rsidRDefault="00F9481A" w:rsidP="001C6432">
            <w:pPr>
              <w:pStyle w:val="TableColumnHeading"/>
              <w:spacing w:before="0" w:after="0"/>
              <w:rPr>
                <w:rFonts w:ascii="Times New Roman" w:eastAsiaTheme="minorHAnsi" w:hAnsi="Times New Roman"/>
                <w:sz w:val="20"/>
                <w:szCs w:val="20"/>
              </w:rPr>
            </w:pPr>
            <w:r w:rsidRPr="00E10541">
              <w:rPr>
                <w:rFonts w:ascii="Times New Roman" w:hAnsi="Times New Roman"/>
                <w:sz w:val="20"/>
                <w:szCs w:val="20"/>
              </w:rPr>
              <w:t>Wage Rate</w:t>
            </w:r>
            <w:r w:rsidR="004D21D7">
              <w:rPr>
                <w:rFonts w:ascii="Times New Roman" w:hAnsi="Times New Roman"/>
                <w:sz w:val="20"/>
                <w:szCs w:val="20"/>
              </w:rPr>
              <w:t xml:space="preserve"> </w:t>
            </w:r>
          </w:p>
        </w:tc>
        <w:tc>
          <w:tcPr>
            <w:tcW w:w="71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6688262" w14:textId="57805F9E" w:rsidR="00F9481A" w:rsidRPr="00E10541" w:rsidRDefault="00F9481A" w:rsidP="001C6432">
            <w:pPr>
              <w:pStyle w:val="TableColumnHeading"/>
              <w:spacing w:before="0" w:after="0"/>
              <w:rPr>
                <w:rFonts w:ascii="Times New Roman" w:eastAsiaTheme="minorHAnsi" w:hAnsi="Times New Roman"/>
                <w:sz w:val="20"/>
                <w:szCs w:val="20"/>
              </w:rPr>
            </w:pPr>
            <w:r w:rsidRPr="00E10541">
              <w:rPr>
                <w:rFonts w:ascii="Times New Roman" w:hAnsi="Times New Roman"/>
                <w:sz w:val="20"/>
                <w:szCs w:val="20"/>
              </w:rPr>
              <w:t>Cost per IPF</w:t>
            </w:r>
            <w:r w:rsidR="004D21D7">
              <w:rPr>
                <w:rFonts w:ascii="Times New Roman" w:hAnsi="Times New Roman"/>
                <w:sz w:val="20"/>
                <w:szCs w:val="20"/>
              </w:rPr>
              <w:t xml:space="preserve"> </w:t>
            </w:r>
          </w:p>
        </w:tc>
        <w:tc>
          <w:tcPr>
            <w:tcW w:w="94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5EA0F9" w14:textId="72E11493" w:rsidR="00F9481A" w:rsidRPr="00E10541" w:rsidRDefault="00F9481A" w:rsidP="001C6432">
            <w:pPr>
              <w:pStyle w:val="TableColumnHeading"/>
              <w:spacing w:before="0" w:after="0"/>
              <w:rPr>
                <w:rFonts w:ascii="Times New Roman" w:eastAsiaTheme="minorHAnsi" w:hAnsi="Times New Roman"/>
                <w:sz w:val="20"/>
                <w:szCs w:val="20"/>
              </w:rPr>
            </w:pPr>
            <w:r w:rsidRPr="00E10541">
              <w:rPr>
                <w:rFonts w:ascii="Times New Roman" w:hAnsi="Times New Roman"/>
                <w:sz w:val="20"/>
                <w:szCs w:val="20"/>
              </w:rPr>
              <w:t>Total Cost for All IPFs</w:t>
            </w:r>
            <w:r w:rsidR="004D21D7">
              <w:rPr>
                <w:rFonts w:ascii="Times New Roman" w:hAnsi="Times New Roman"/>
                <w:sz w:val="20"/>
                <w:szCs w:val="20"/>
              </w:rPr>
              <w:t xml:space="preserve"> </w:t>
            </w:r>
          </w:p>
        </w:tc>
      </w:tr>
      <w:tr w:rsidR="00F77130" w:rsidRPr="00E10541" w14:paraId="2AE71B7E" w14:textId="77777777" w:rsidTr="00E0638E">
        <w:tc>
          <w:tcPr>
            <w:tcW w:w="12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27E3" w14:textId="0D59024C" w:rsidR="00F77130" w:rsidRPr="00E10541" w:rsidRDefault="00F77130" w:rsidP="00E0638E">
            <w:pPr>
              <w:pStyle w:val="TableText"/>
              <w:spacing w:before="0" w:after="0"/>
              <w:rPr>
                <w:rFonts w:eastAsiaTheme="minorHAnsi"/>
                <w:sz w:val="20"/>
                <w:szCs w:val="20"/>
              </w:rPr>
            </w:pPr>
            <w:r w:rsidRPr="00E10541">
              <w:rPr>
                <w:sz w:val="20"/>
                <w:szCs w:val="20"/>
              </w:rPr>
              <w:t xml:space="preserve">Chart-Abstracted Measure Data Collection and </w:t>
            </w:r>
            <w:r w:rsidR="00A57A4B">
              <w:rPr>
                <w:sz w:val="20"/>
                <w:szCs w:val="20"/>
              </w:rPr>
              <w:t>Reporting</w:t>
            </w:r>
            <w:r w:rsidR="00E0638E">
              <w:rPr>
                <w:sz w:val="20"/>
                <w:szCs w:val="20"/>
              </w:rPr>
              <w:t xml:space="preserve">* </w:t>
            </w:r>
            <w:r w:rsidR="00E0638E" w:rsidRPr="00E0638E">
              <w:rPr>
                <w:b/>
                <w:sz w:val="20"/>
                <w:szCs w:val="20"/>
              </w:rPr>
              <w:t>(please note that these are average annual estimates)</w:t>
            </w:r>
          </w:p>
        </w:tc>
        <w:tc>
          <w:tcPr>
            <w:tcW w:w="7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A378A" w14:textId="517A4624" w:rsidR="00F77130" w:rsidRPr="006A1A44" w:rsidRDefault="00D000D3" w:rsidP="0041179A">
            <w:pPr>
              <w:pStyle w:val="TableText"/>
              <w:spacing w:before="0" w:after="0"/>
              <w:rPr>
                <w:rFonts w:eastAsiaTheme="minorHAnsi"/>
                <w:sz w:val="20"/>
                <w:szCs w:val="20"/>
              </w:rPr>
            </w:pPr>
            <w:r>
              <w:rPr>
                <w:rFonts w:eastAsiaTheme="minorHAnsi"/>
                <w:sz w:val="20"/>
                <w:szCs w:val="20"/>
              </w:rPr>
              <w:t>2766</w:t>
            </w:r>
          </w:p>
        </w:tc>
        <w:tc>
          <w:tcPr>
            <w:tcW w:w="762" w:type="pct"/>
            <w:tcBorders>
              <w:top w:val="single" w:sz="8" w:space="0" w:color="auto"/>
              <w:left w:val="nil"/>
              <w:bottom w:val="single" w:sz="8" w:space="0" w:color="auto"/>
              <w:right w:val="single" w:sz="4" w:space="0" w:color="auto"/>
            </w:tcBorders>
            <w:vAlign w:val="center"/>
          </w:tcPr>
          <w:p w14:paraId="75F15736" w14:textId="6CA84F3B" w:rsidR="00F77130" w:rsidRPr="006A1A44" w:rsidRDefault="00D000D3" w:rsidP="00D000D3">
            <w:pPr>
              <w:rPr>
                <w:sz w:val="20"/>
                <w:szCs w:val="20"/>
              </w:rPr>
            </w:pPr>
            <w:r>
              <w:rPr>
                <w:color w:val="000000"/>
                <w:sz w:val="20"/>
                <w:szCs w:val="20"/>
              </w:rPr>
              <w:t>4,657,944</w:t>
            </w:r>
          </w:p>
        </w:tc>
        <w:tc>
          <w:tcPr>
            <w:tcW w:w="524"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6ABA7A8" w14:textId="3FDF45FC" w:rsidR="00F77130" w:rsidRPr="006A1A44" w:rsidRDefault="001C6432" w:rsidP="004D21D7">
            <w:pPr>
              <w:pStyle w:val="TableText"/>
              <w:spacing w:before="0" w:after="0"/>
              <w:rPr>
                <w:rFonts w:eastAsiaTheme="minorHAnsi"/>
                <w:sz w:val="20"/>
                <w:szCs w:val="20"/>
              </w:rPr>
            </w:pPr>
            <w:r>
              <w:rPr>
                <w:sz w:val="20"/>
                <w:szCs w:val="20"/>
              </w:rPr>
              <w:t>$32.84</w:t>
            </w:r>
            <w:r w:rsidR="003362AE">
              <w:rPr>
                <w:sz w:val="20"/>
                <w:szCs w:val="20"/>
              </w:rPr>
              <w:t>/hour</w:t>
            </w:r>
          </w:p>
        </w:tc>
        <w:tc>
          <w:tcPr>
            <w:tcW w:w="7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DD6C1" w14:textId="7CBCD3AE" w:rsidR="00840091" w:rsidRDefault="00840091" w:rsidP="00840091">
            <w:pPr>
              <w:rPr>
                <w:color w:val="000000"/>
                <w:sz w:val="20"/>
                <w:szCs w:val="20"/>
              </w:rPr>
            </w:pPr>
          </w:p>
          <w:p w14:paraId="7311BB62" w14:textId="738CB4AD" w:rsidR="00D000D3" w:rsidRPr="006A1A44" w:rsidRDefault="001C6432" w:rsidP="00840091">
            <w:pPr>
              <w:rPr>
                <w:color w:val="000000"/>
                <w:sz w:val="20"/>
                <w:szCs w:val="20"/>
              </w:rPr>
            </w:pPr>
            <w:r>
              <w:rPr>
                <w:color w:val="000000"/>
                <w:sz w:val="20"/>
                <w:szCs w:val="20"/>
              </w:rPr>
              <w:t>$90,835.44</w:t>
            </w:r>
          </w:p>
          <w:p w14:paraId="424BA73B" w14:textId="25616986" w:rsidR="00F77130" w:rsidRPr="006A1A44" w:rsidRDefault="00F77130" w:rsidP="00E0638E">
            <w:pPr>
              <w:pStyle w:val="TableText"/>
              <w:spacing w:before="0" w:after="0"/>
              <w:rPr>
                <w:rFonts w:eastAsiaTheme="minorHAnsi"/>
                <w:sz w:val="20"/>
                <w:szCs w:val="20"/>
              </w:rPr>
            </w:pP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D6361" w14:textId="77777777" w:rsidR="00CD5089" w:rsidRPr="006A1A44" w:rsidRDefault="00CD5089" w:rsidP="00320096">
            <w:pPr>
              <w:rPr>
                <w:color w:val="000000"/>
                <w:sz w:val="20"/>
                <w:szCs w:val="20"/>
              </w:rPr>
            </w:pPr>
          </w:p>
          <w:p w14:paraId="66969863" w14:textId="77FC52C5" w:rsidR="00BF08B8" w:rsidRPr="006A1A44" w:rsidRDefault="001C6432" w:rsidP="00BF08B8">
            <w:pPr>
              <w:rPr>
                <w:color w:val="000000"/>
                <w:sz w:val="20"/>
                <w:szCs w:val="20"/>
              </w:rPr>
            </w:pPr>
            <w:r>
              <w:rPr>
                <w:color w:val="000000"/>
                <w:sz w:val="20"/>
                <w:szCs w:val="20"/>
              </w:rPr>
              <w:t>$152,966,88</w:t>
            </w:r>
            <w:r w:rsidR="006D36E8">
              <w:rPr>
                <w:color w:val="000000"/>
                <w:sz w:val="20"/>
                <w:szCs w:val="20"/>
              </w:rPr>
              <w:t>0.96</w:t>
            </w:r>
          </w:p>
          <w:p w14:paraId="6B5B5C0C" w14:textId="5826165C" w:rsidR="00F77130" w:rsidRPr="006A1A44" w:rsidRDefault="00F77130" w:rsidP="00E0638E">
            <w:pPr>
              <w:pStyle w:val="TableText"/>
              <w:spacing w:before="0" w:after="0"/>
              <w:rPr>
                <w:rFonts w:eastAsiaTheme="minorHAnsi"/>
                <w:sz w:val="20"/>
                <w:szCs w:val="20"/>
              </w:rPr>
            </w:pPr>
          </w:p>
        </w:tc>
      </w:tr>
      <w:tr w:rsidR="00F77130" w:rsidRPr="00E10541" w14:paraId="48AEF998" w14:textId="77777777" w:rsidTr="00F77130">
        <w:tc>
          <w:tcPr>
            <w:tcW w:w="129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F16703C" w14:textId="77777777" w:rsidR="00F77130" w:rsidRPr="00E10541" w:rsidRDefault="00F77130" w:rsidP="00E10541">
            <w:pPr>
              <w:pStyle w:val="TableText"/>
              <w:spacing w:before="0" w:after="0"/>
              <w:rPr>
                <w:sz w:val="20"/>
                <w:szCs w:val="20"/>
              </w:rPr>
            </w:pPr>
            <w:r w:rsidRPr="00E10541">
              <w:rPr>
                <w:sz w:val="20"/>
                <w:szCs w:val="20"/>
              </w:rPr>
              <w:t>Training</w:t>
            </w:r>
          </w:p>
        </w:tc>
        <w:tc>
          <w:tcPr>
            <w:tcW w:w="762" w:type="pct"/>
            <w:tcBorders>
              <w:top w:val="nil"/>
              <w:left w:val="nil"/>
              <w:bottom w:val="single" w:sz="4" w:space="0" w:color="auto"/>
              <w:right w:val="single" w:sz="8" w:space="0" w:color="auto"/>
            </w:tcBorders>
            <w:tcMar>
              <w:top w:w="0" w:type="dxa"/>
              <w:left w:w="108" w:type="dxa"/>
              <w:bottom w:w="0" w:type="dxa"/>
              <w:right w:w="108" w:type="dxa"/>
            </w:tcMar>
          </w:tcPr>
          <w:p w14:paraId="1ADCA83B" w14:textId="77777777" w:rsidR="00F77130" w:rsidRPr="00E10541" w:rsidRDefault="00F77130" w:rsidP="00E10541">
            <w:pPr>
              <w:pStyle w:val="TableText"/>
              <w:spacing w:before="0" w:after="0"/>
              <w:rPr>
                <w:sz w:val="20"/>
                <w:szCs w:val="20"/>
              </w:rPr>
            </w:pPr>
            <w:r w:rsidRPr="00E10541">
              <w:rPr>
                <w:sz w:val="20"/>
                <w:szCs w:val="20"/>
              </w:rPr>
              <w:t>2</w:t>
            </w:r>
          </w:p>
        </w:tc>
        <w:tc>
          <w:tcPr>
            <w:tcW w:w="762" w:type="pct"/>
            <w:tcBorders>
              <w:top w:val="single" w:sz="8" w:space="0" w:color="auto"/>
              <w:left w:val="nil"/>
              <w:bottom w:val="single" w:sz="4" w:space="0" w:color="auto"/>
              <w:right w:val="single" w:sz="4" w:space="0" w:color="auto"/>
            </w:tcBorders>
          </w:tcPr>
          <w:p w14:paraId="1E2EB1A2" w14:textId="5C8E1EA6" w:rsidR="00F77130" w:rsidRPr="00E10541" w:rsidRDefault="00497293" w:rsidP="00F3319D">
            <w:pPr>
              <w:pStyle w:val="TableText"/>
              <w:spacing w:before="0" w:after="0"/>
              <w:ind w:firstLine="89"/>
              <w:rPr>
                <w:sz w:val="20"/>
                <w:szCs w:val="20"/>
              </w:rPr>
            </w:pPr>
            <w:r>
              <w:rPr>
                <w:sz w:val="20"/>
                <w:szCs w:val="20"/>
              </w:rPr>
              <w:t>3,368</w:t>
            </w:r>
          </w:p>
        </w:tc>
        <w:tc>
          <w:tcPr>
            <w:tcW w:w="52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061514C" w14:textId="26004E92" w:rsidR="00F77130" w:rsidRPr="00E10541" w:rsidRDefault="003362AE" w:rsidP="004D21D7">
            <w:pPr>
              <w:pStyle w:val="TableText"/>
              <w:spacing w:before="0" w:after="0"/>
              <w:rPr>
                <w:sz w:val="20"/>
                <w:szCs w:val="20"/>
              </w:rPr>
            </w:pPr>
            <w:r>
              <w:rPr>
                <w:sz w:val="20"/>
                <w:szCs w:val="20"/>
              </w:rPr>
              <w:t>$32.84/hour</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307881FD" w14:textId="74D30C61" w:rsidR="00F77130" w:rsidRPr="00E10541" w:rsidRDefault="003362AE" w:rsidP="00F3319D">
            <w:pPr>
              <w:pStyle w:val="TableText"/>
              <w:spacing w:before="0" w:after="0"/>
              <w:rPr>
                <w:sz w:val="20"/>
                <w:szCs w:val="20"/>
              </w:rPr>
            </w:pPr>
            <w:r>
              <w:rPr>
                <w:sz w:val="20"/>
                <w:szCs w:val="20"/>
              </w:rPr>
              <w:t>$65.68</w:t>
            </w:r>
          </w:p>
        </w:tc>
        <w:tc>
          <w:tcPr>
            <w:tcW w:w="942" w:type="pct"/>
            <w:tcBorders>
              <w:top w:val="nil"/>
              <w:left w:val="nil"/>
              <w:bottom w:val="single" w:sz="8" w:space="0" w:color="auto"/>
              <w:right w:val="single" w:sz="8" w:space="0" w:color="auto"/>
            </w:tcBorders>
            <w:tcMar>
              <w:top w:w="0" w:type="dxa"/>
              <w:left w:w="108" w:type="dxa"/>
              <w:bottom w:w="0" w:type="dxa"/>
              <w:right w:w="108" w:type="dxa"/>
            </w:tcMar>
          </w:tcPr>
          <w:p w14:paraId="1A1F954A" w14:textId="5F8EE12B" w:rsidR="00F77130" w:rsidRPr="00E10541" w:rsidRDefault="003362AE" w:rsidP="00F3319D">
            <w:pPr>
              <w:pStyle w:val="TableText"/>
              <w:spacing w:before="0" w:after="0"/>
              <w:rPr>
                <w:sz w:val="20"/>
                <w:szCs w:val="20"/>
              </w:rPr>
            </w:pPr>
            <w:r>
              <w:rPr>
                <w:sz w:val="20"/>
                <w:szCs w:val="20"/>
              </w:rPr>
              <w:t>$110,605.12</w:t>
            </w:r>
          </w:p>
        </w:tc>
      </w:tr>
      <w:tr w:rsidR="00F77130" w:rsidRPr="00E10541" w14:paraId="7130EE94" w14:textId="77777777" w:rsidTr="006A1A44">
        <w:trPr>
          <w:trHeight w:val="412"/>
        </w:trPr>
        <w:tc>
          <w:tcPr>
            <w:tcW w:w="129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BAA2185" w14:textId="25393BDE" w:rsidR="00F77130" w:rsidRPr="00FF4AAC" w:rsidRDefault="00F77130" w:rsidP="00E10541">
            <w:pPr>
              <w:pStyle w:val="TableText"/>
              <w:spacing w:before="0" w:after="0"/>
              <w:rPr>
                <w:sz w:val="20"/>
                <w:szCs w:val="20"/>
              </w:rPr>
            </w:pPr>
            <w:r w:rsidRPr="00FF4AAC">
              <w:rPr>
                <w:sz w:val="20"/>
                <w:szCs w:val="20"/>
              </w:rPr>
              <w:t xml:space="preserve">Non-measure Data Collection and </w:t>
            </w:r>
            <w:r w:rsidR="003C22F4" w:rsidRPr="00FF4AAC">
              <w:rPr>
                <w:sz w:val="20"/>
                <w:szCs w:val="20"/>
              </w:rPr>
              <w:t>Reporting</w:t>
            </w:r>
          </w:p>
        </w:tc>
        <w:tc>
          <w:tcPr>
            <w:tcW w:w="762" w:type="pct"/>
            <w:tcBorders>
              <w:top w:val="nil"/>
              <w:left w:val="nil"/>
              <w:bottom w:val="single" w:sz="4" w:space="0" w:color="auto"/>
              <w:right w:val="single" w:sz="8" w:space="0" w:color="auto"/>
            </w:tcBorders>
            <w:tcMar>
              <w:top w:w="0" w:type="dxa"/>
              <w:left w:w="108" w:type="dxa"/>
              <w:bottom w:w="0" w:type="dxa"/>
              <w:right w:w="108" w:type="dxa"/>
            </w:tcMar>
          </w:tcPr>
          <w:p w14:paraId="48D4DB56" w14:textId="77777777" w:rsidR="00F77130" w:rsidRPr="00FF4AAC" w:rsidRDefault="00F77130" w:rsidP="00E10541">
            <w:pPr>
              <w:pStyle w:val="TableText"/>
              <w:spacing w:before="0" w:after="0"/>
              <w:rPr>
                <w:sz w:val="20"/>
                <w:szCs w:val="20"/>
              </w:rPr>
            </w:pPr>
            <w:r w:rsidRPr="00FF4AAC">
              <w:rPr>
                <w:sz w:val="20"/>
                <w:szCs w:val="20"/>
              </w:rPr>
              <w:t>2.5</w:t>
            </w:r>
          </w:p>
        </w:tc>
        <w:tc>
          <w:tcPr>
            <w:tcW w:w="762" w:type="pct"/>
            <w:tcBorders>
              <w:top w:val="single" w:sz="8" w:space="0" w:color="auto"/>
              <w:left w:val="nil"/>
              <w:bottom w:val="single" w:sz="4" w:space="0" w:color="auto"/>
              <w:right w:val="single" w:sz="4" w:space="0" w:color="auto"/>
            </w:tcBorders>
          </w:tcPr>
          <w:p w14:paraId="28EF3B00" w14:textId="5EA5C258" w:rsidR="00F77130" w:rsidRPr="00FF4AAC" w:rsidRDefault="00497293" w:rsidP="00E10541">
            <w:pPr>
              <w:pStyle w:val="TableText"/>
              <w:spacing w:before="0" w:after="0"/>
              <w:ind w:firstLine="89"/>
              <w:rPr>
                <w:sz w:val="20"/>
                <w:szCs w:val="20"/>
              </w:rPr>
            </w:pPr>
            <w:r>
              <w:rPr>
                <w:sz w:val="20"/>
                <w:szCs w:val="20"/>
              </w:rPr>
              <w:t>4,210</w:t>
            </w:r>
          </w:p>
        </w:tc>
        <w:tc>
          <w:tcPr>
            <w:tcW w:w="52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CB730C9" w14:textId="0761193F" w:rsidR="00F77130" w:rsidRPr="00FF4AAC" w:rsidRDefault="003362AE" w:rsidP="00E10541">
            <w:pPr>
              <w:pStyle w:val="TableText"/>
              <w:spacing w:before="0" w:after="0"/>
              <w:rPr>
                <w:sz w:val="20"/>
                <w:szCs w:val="20"/>
              </w:rPr>
            </w:pPr>
            <w:r>
              <w:rPr>
                <w:sz w:val="20"/>
                <w:szCs w:val="20"/>
              </w:rPr>
              <w:t>$32.84/hour</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1AD77B4B" w14:textId="33124B92" w:rsidR="00F77130" w:rsidRPr="00FF4AAC" w:rsidRDefault="003362AE" w:rsidP="00E10541">
            <w:pPr>
              <w:pStyle w:val="TableText"/>
              <w:spacing w:before="0" w:after="0"/>
              <w:rPr>
                <w:sz w:val="20"/>
                <w:szCs w:val="20"/>
              </w:rPr>
            </w:pPr>
            <w:r>
              <w:rPr>
                <w:sz w:val="20"/>
                <w:szCs w:val="20"/>
              </w:rPr>
              <w:t>$82.10</w:t>
            </w:r>
          </w:p>
        </w:tc>
        <w:tc>
          <w:tcPr>
            <w:tcW w:w="942" w:type="pct"/>
            <w:tcBorders>
              <w:top w:val="nil"/>
              <w:left w:val="nil"/>
              <w:bottom w:val="single" w:sz="8" w:space="0" w:color="auto"/>
              <w:right w:val="single" w:sz="8" w:space="0" w:color="auto"/>
            </w:tcBorders>
            <w:tcMar>
              <w:top w:w="0" w:type="dxa"/>
              <w:left w:w="108" w:type="dxa"/>
              <w:bottom w:w="0" w:type="dxa"/>
              <w:right w:w="108" w:type="dxa"/>
            </w:tcMar>
          </w:tcPr>
          <w:p w14:paraId="57A1B1DA" w14:textId="5FE9F707" w:rsidR="00F77130" w:rsidRPr="00FF4AAC" w:rsidRDefault="003362AE" w:rsidP="00E10541">
            <w:pPr>
              <w:pStyle w:val="TableText"/>
              <w:spacing w:before="0" w:after="0"/>
              <w:rPr>
                <w:sz w:val="20"/>
                <w:szCs w:val="20"/>
              </w:rPr>
            </w:pPr>
            <w:r>
              <w:rPr>
                <w:sz w:val="20"/>
                <w:szCs w:val="20"/>
              </w:rPr>
              <w:t>$138,256.40</w:t>
            </w:r>
          </w:p>
        </w:tc>
      </w:tr>
      <w:tr w:rsidR="00F77130" w:rsidRPr="00E10541" w14:paraId="2E9DA520" w14:textId="77777777" w:rsidTr="00F77130">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7D3DA3AA" w14:textId="77777777" w:rsidR="00F77130" w:rsidRPr="00E10541" w:rsidRDefault="00F77130" w:rsidP="00E10541">
            <w:pPr>
              <w:pStyle w:val="TableText"/>
              <w:spacing w:before="0" w:after="0"/>
              <w:rPr>
                <w:rFonts w:eastAsiaTheme="minorHAnsi"/>
                <w:b/>
                <w:sz w:val="20"/>
                <w:szCs w:val="20"/>
              </w:rPr>
            </w:pPr>
            <w:r w:rsidRPr="00E10541">
              <w:rPr>
                <w:rFonts w:eastAsiaTheme="minorHAnsi"/>
                <w:b/>
                <w:sz w:val="20"/>
                <w:szCs w:val="20"/>
              </w:rPr>
              <w:t>Totals</w:t>
            </w:r>
          </w:p>
        </w:tc>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BCB35C" w14:textId="4CF35EBA" w:rsidR="00F77130" w:rsidRPr="00E10541" w:rsidRDefault="00497293" w:rsidP="0041179A">
            <w:pPr>
              <w:pStyle w:val="TableText"/>
              <w:spacing w:before="0" w:after="0"/>
              <w:rPr>
                <w:rFonts w:eastAsiaTheme="minorHAnsi"/>
                <w:b/>
                <w:sz w:val="20"/>
                <w:szCs w:val="20"/>
              </w:rPr>
            </w:pPr>
            <w:r>
              <w:rPr>
                <w:rFonts w:eastAsiaTheme="minorHAnsi"/>
                <w:b/>
                <w:sz w:val="20"/>
                <w:szCs w:val="20"/>
              </w:rPr>
              <w:t>2,770.5</w:t>
            </w:r>
          </w:p>
        </w:tc>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99AFA" w14:textId="5849DA8A" w:rsidR="00F77130" w:rsidRPr="00E10541" w:rsidRDefault="00497293" w:rsidP="006A1A44">
            <w:pPr>
              <w:rPr>
                <w:b/>
                <w:sz w:val="20"/>
                <w:szCs w:val="20"/>
              </w:rPr>
            </w:pPr>
            <w:r>
              <w:rPr>
                <w:b/>
                <w:bCs/>
                <w:color w:val="000000"/>
                <w:sz w:val="20"/>
                <w:szCs w:val="20"/>
              </w:rPr>
              <w:t>4,665,522</w:t>
            </w:r>
          </w:p>
        </w:tc>
        <w:tc>
          <w:tcPr>
            <w:tcW w:w="524" w:type="pct"/>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6FB3866" w14:textId="2DB6C353" w:rsidR="00F77130" w:rsidRPr="00E10541" w:rsidRDefault="003362AE" w:rsidP="00E10541">
            <w:pPr>
              <w:pStyle w:val="TableText"/>
              <w:spacing w:before="0" w:after="0"/>
              <w:rPr>
                <w:rFonts w:eastAsiaTheme="minorHAnsi"/>
                <w:b/>
                <w:sz w:val="20"/>
                <w:szCs w:val="20"/>
              </w:rPr>
            </w:pPr>
            <w:r>
              <w:rPr>
                <w:rFonts w:eastAsiaTheme="minorHAnsi"/>
                <w:b/>
                <w:sz w:val="20"/>
                <w:szCs w:val="20"/>
              </w:rPr>
              <w:t>$32.84/hour</w:t>
            </w:r>
          </w:p>
        </w:tc>
        <w:tc>
          <w:tcPr>
            <w:tcW w:w="715"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7EBD2D" w14:textId="577023B0" w:rsidR="00E53EF6" w:rsidRDefault="003362AE" w:rsidP="00E53EF6">
            <w:pPr>
              <w:rPr>
                <w:b/>
                <w:bCs/>
                <w:color w:val="000000"/>
                <w:sz w:val="20"/>
                <w:szCs w:val="20"/>
              </w:rPr>
            </w:pPr>
            <w:r>
              <w:rPr>
                <w:b/>
                <w:bCs/>
                <w:color w:val="000000"/>
                <w:sz w:val="20"/>
                <w:szCs w:val="20"/>
              </w:rPr>
              <w:t>$90,983.22</w:t>
            </w:r>
          </w:p>
          <w:p w14:paraId="3EAF50C9" w14:textId="3C269DF5" w:rsidR="00F77130" w:rsidRPr="00E10541" w:rsidRDefault="00F77130" w:rsidP="003E22DE">
            <w:pPr>
              <w:pStyle w:val="TableText"/>
              <w:spacing w:before="0" w:after="0"/>
              <w:rPr>
                <w:b/>
                <w:sz w:val="20"/>
                <w:szCs w:val="20"/>
              </w:rPr>
            </w:pPr>
          </w:p>
        </w:tc>
        <w:tc>
          <w:tcPr>
            <w:tcW w:w="94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9DE44DD" w14:textId="0415FD4B" w:rsidR="00E53EF6" w:rsidRDefault="003362AE" w:rsidP="00E53EF6">
            <w:pPr>
              <w:rPr>
                <w:b/>
                <w:bCs/>
                <w:color w:val="000000"/>
                <w:sz w:val="20"/>
                <w:szCs w:val="20"/>
              </w:rPr>
            </w:pPr>
            <w:r>
              <w:rPr>
                <w:b/>
                <w:bCs/>
                <w:color w:val="000000"/>
                <w:sz w:val="20"/>
                <w:szCs w:val="20"/>
              </w:rPr>
              <w:t>$153,215,742</w:t>
            </w:r>
            <w:r w:rsidR="006D36E8">
              <w:rPr>
                <w:b/>
                <w:bCs/>
                <w:color w:val="000000"/>
                <w:sz w:val="20"/>
                <w:szCs w:val="20"/>
              </w:rPr>
              <w:t>.48</w:t>
            </w:r>
          </w:p>
          <w:p w14:paraId="66BAFD8B" w14:textId="30868A69" w:rsidR="00F77130" w:rsidRPr="00E10541" w:rsidRDefault="00F77130" w:rsidP="00E10541">
            <w:pPr>
              <w:pStyle w:val="TableText"/>
              <w:spacing w:before="0" w:after="0"/>
              <w:rPr>
                <w:rFonts w:eastAsiaTheme="minorHAnsi"/>
                <w:b/>
                <w:sz w:val="20"/>
                <w:szCs w:val="20"/>
              </w:rPr>
            </w:pPr>
          </w:p>
        </w:tc>
      </w:tr>
    </w:tbl>
    <w:p w14:paraId="34EC7DC8" w14:textId="34789FC8" w:rsidR="00F9481A" w:rsidRPr="00E10541" w:rsidRDefault="00F9481A" w:rsidP="002742A5">
      <w:pPr>
        <w:rPr>
          <w:sz w:val="20"/>
          <w:szCs w:val="20"/>
        </w:rPr>
      </w:pPr>
      <w:r w:rsidRPr="00E10541">
        <w:rPr>
          <w:sz w:val="20"/>
          <w:szCs w:val="20"/>
        </w:rPr>
        <w:t xml:space="preserve">*Includes burden associated with the preparation and submission of the Notice of Participation, Data Accuracy Acknowledgement, and </w:t>
      </w:r>
      <w:r w:rsidR="00320096">
        <w:rPr>
          <w:sz w:val="20"/>
          <w:szCs w:val="20"/>
        </w:rPr>
        <w:t>Vendor Authorization Form</w:t>
      </w:r>
      <w:r w:rsidRPr="00E10541">
        <w:rPr>
          <w:sz w:val="20"/>
          <w:szCs w:val="20"/>
        </w:rPr>
        <w:t>.</w:t>
      </w:r>
    </w:p>
    <w:p w14:paraId="074D8ED1" w14:textId="77777777" w:rsidR="002A5FAE" w:rsidRPr="00F9481A" w:rsidRDefault="002A5FAE" w:rsidP="009B6744"/>
    <w:p w14:paraId="49B5B45D" w14:textId="77777777" w:rsidR="00285035" w:rsidRPr="00AD0DDE" w:rsidRDefault="00285035" w:rsidP="00285035">
      <w:pPr>
        <w:pStyle w:val="ListParagraph"/>
        <w:numPr>
          <w:ilvl w:val="1"/>
          <w:numId w:val="2"/>
        </w:numPr>
      </w:pPr>
      <w:r w:rsidRPr="00AD0DDE">
        <w:rPr>
          <w:b/>
        </w:rPr>
        <w:t xml:space="preserve">  Capital Costs (Maintenance of Capital Costs)</w:t>
      </w:r>
    </w:p>
    <w:p w14:paraId="49B5B45E" w14:textId="77777777" w:rsidR="00285035" w:rsidRPr="00AD0DDE" w:rsidRDefault="00285035" w:rsidP="00285035"/>
    <w:p w14:paraId="49B5B45F" w14:textId="77777777" w:rsidR="00285035" w:rsidRPr="00AD0DDE" w:rsidRDefault="00285035" w:rsidP="00285035">
      <w:r w:rsidRPr="00AD0DDE">
        <w:t xml:space="preserve">There are no capital costs being placed on IPFs.  </w:t>
      </w:r>
    </w:p>
    <w:p w14:paraId="49B5B460" w14:textId="77777777" w:rsidR="00285035" w:rsidRPr="00AD0DDE" w:rsidRDefault="00285035" w:rsidP="00285035">
      <w:pPr>
        <w:ind w:firstLine="720"/>
      </w:pPr>
    </w:p>
    <w:p w14:paraId="49B5B461" w14:textId="77777777" w:rsidR="00285035" w:rsidRPr="00AD0DDE" w:rsidRDefault="00285035" w:rsidP="00285035">
      <w:pPr>
        <w:pStyle w:val="ListParagraph"/>
        <w:numPr>
          <w:ilvl w:val="1"/>
          <w:numId w:val="2"/>
        </w:numPr>
      </w:pPr>
      <w:r w:rsidRPr="00AD0DDE">
        <w:t xml:space="preserve">  </w:t>
      </w:r>
      <w:r w:rsidRPr="00AD0DDE">
        <w:rPr>
          <w:b/>
        </w:rPr>
        <w:t>Cost to Federal Government</w:t>
      </w:r>
    </w:p>
    <w:p w14:paraId="49B5B462" w14:textId="77777777" w:rsidR="00285035" w:rsidRPr="00AD0DDE" w:rsidRDefault="00285035" w:rsidP="00285035">
      <w:pPr>
        <w:ind w:left="1890"/>
      </w:pPr>
    </w:p>
    <w:p w14:paraId="49B5B463" w14:textId="3CA38870" w:rsidR="00285035" w:rsidRPr="00AD0DDE" w:rsidRDefault="00B30313" w:rsidP="00285035">
      <w:r>
        <w:t xml:space="preserve">The data for the IPFQR </w:t>
      </w:r>
      <w:r w:rsidR="00A00A7C">
        <w:t>P</w:t>
      </w:r>
      <w:r w:rsidR="00A00A7C" w:rsidRPr="00AD0DDE">
        <w:t xml:space="preserve">rogram </w:t>
      </w:r>
      <w:r w:rsidR="00285035" w:rsidRPr="00AD0DDE">
        <w:t xml:space="preserve">measures will be reported directly to </w:t>
      </w:r>
      <w:r>
        <w:t xml:space="preserve">the </w:t>
      </w:r>
      <w:r w:rsidR="00285035" w:rsidRPr="00AD0DDE">
        <w:t>QualityNet website utilizing existing system functionality.  A support contractor will be utilized to provide help desk and Q&amp;A assistance</w:t>
      </w:r>
      <w:r w:rsidR="0038644A">
        <w:t>,</w:t>
      </w:r>
      <w:r w:rsidR="00285035" w:rsidRPr="00AD0DDE">
        <w:t xml:space="preserve"> as well as the monitoring and eval</w:t>
      </w:r>
      <w:r>
        <w:t>uation effort for the program. </w:t>
      </w:r>
      <w:r w:rsidR="00285035" w:rsidRPr="00AD0DDE">
        <w:t xml:space="preserve"> There will be minimal costs for development of the data entry tools </w:t>
      </w:r>
      <w:r w:rsidR="00AF1955">
        <w:t>because</w:t>
      </w:r>
      <w:r w:rsidR="00A00A7C">
        <w:t xml:space="preserve"> </w:t>
      </w:r>
      <w:r w:rsidR="00CF0CEF">
        <w:t>the development is part of an existing software development contract.</w:t>
      </w:r>
      <w:r w:rsidR="00285035" w:rsidRPr="00AD0DDE">
        <w:t xml:space="preserve">  </w:t>
      </w:r>
    </w:p>
    <w:p w14:paraId="49B5B464" w14:textId="77777777" w:rsidR="00CF0CEF" w:rsidRDefault="00CF0CEF" w:rsidP="00285035"/>
    <w:p w14:paraId="49B5B465" w14:textId="790FEF25" w:rsidR="00CF0CEF" w:rsidRPr="00AD0DDE" w:rsidRDefault="00CF0CEF" w:rsidP="00CF0CEF">
      <w:r w:rsidRPr="00AD0DDE">
        <w:t xml:space="preserve">The labor cost for IPFQR </w:t>
      </w:r>
      <w:r w:rsidR="00A00A7C">
        <w:t>P</w:t>
      </w:r>
      <w:r w:rsidR="00A00A7C" w:rsidRPr="00AD0DDE">
        <w:t xml:space="preserve">rogram </w:t>
      </w:r>
      <w:r w:rsidRPr="00AD0DDE">
        <w:t xml:space="preserve">oversight </w:t>
      </w:r>
      <w:r w:rsidR="00B30313">
        <w:t xml:space="preserve">is </w:t>
      </w:r>
      <w:r w:rsidRPr="00AD0DDE">
        <w:t>estimated as follows:</w:t>
      </w:r>
    </w:p>
    <w:p w14:paraId="49B5B466" w14:textId="77777777" w:rsidR="00CF0CEF" w:rsidRPr="00AD0DDE" w:rsidRDefault="00CF0CEF" w:rsidP="00B30313">
      <w:pPr>
        <w:pStyle w:val="BulletList"/>
      </w:pPr>
      <w:r w:rsidRPr="00AD0DDE">
        <w:t>•</w:t>
      </w:r>
      <w:r w:rsidRPr="00AD0DDE">
        <w:tab/>
      </w:r>
      <w:r w:rsidR="00B30313">
        <w:t>C</w:t>
      </w:r>
      <w:r w:rsidR="00E305D9">
        <w:t>urrent</w:t>
      </w:r>
      <w:r w:rsidRPr="00AD0DDE">
        <w:t xml:space="preserve"> year 1.0 FTE (2</w:t>
      </w:r>
      <w:r w:rsidR="00B30313">
        <w:t>,</w:t>
      </w:r>
      <w:r w:rsidRPr="00AD0DDE">
        <w:t>080 hours) at GS-1</w:t>
      </w:r>
      <w:r w:rsidR="00E305D9">
        <w:t>3</w:t>
      </w:r>
      <w:r w:rsidRPr="00AD0DDE">
        <w:t xml:space="preserve"> salary = </w:t>
      </w:r>
      <w:r w:rsidR="00E305D9">
        <w:t>$106,839</w:t>
      </w:r>
    </w:p>
    <w:p w14:paraId="49B5B467" w14:textId="77777777" w:rsidR="00CF0CEF" w:rsidRPr="00AD0DDE" w:rsidRDefault="00B30313" w:rsidP="00B30313">
      <w:pPr>
        <w:pStyle w:val="BulletList"/>
      </w:pPr>
      <w:r>
        <w:t>•</w:t>
      </w:r>
      <w:r>
        <w:tab/>
        <w:t>F</w:t>
      </w:r>
      <w:r w:rsidR="00CF0CEF" w:rsidRPr="00AD0DDE">
        <w:t xml:space="preserve">or subsequent years </w:t>
      </w:r>
      <w:r w:rsidR="00E305D9">
        <w:t>1.0</w:t>
      </w:r>
      <w:r w:rsidR="00CF0CEF" w:rsidRPr="00AD0DDE">
        <w:t xml:space="preserve"> FTE</w:t>
      </w:r>
      <w:r w:rsidR="00CF0CEF">
        <w:t xml:space="preserve"> </w:t>
      </w:r>
      <w:r w:rsidR="00CF0CEF" w:rsidRPr="00AD0DDE">
        <w:t>(</w:t>
      </w:r>
      <w:r w:rsidR="00E305D9">
        <w:t>2</w:t>
      </w:r>
      <w:r>
        <w:t>,</w:t>
      </w:r>
      <w:r w:rsidR="00E305D9">
        <w:t>080</w:t>
      </w:r>
      <w:r w:rsidR="00CF0CEF" w:rsidRPr="00AD0DDE">
        <w:t xml:space="preserve"> hours)</w:t>
      </w:r>
      <w:r>
        <w:t xml:space="preserve"> </w:t>
      </w:r>
      <w:r w:rsidR="00CF0CEF" w:rsidRPr="00AD0DDE">
        <w:t>at GS-1</w:t>
      </w:r>
      <w:r w:rsidR="00E305D9">
        <w:t>3</w:t>
      </w:r>
      <w:r w:rsidR="00CF0CEF" w:rsidRPr="00AD0DDE">
        <w:t xml:space="preserve"> salary = </w:t>
      </w:r>
      <w:r w:rsidR="00E305D9">
        <w:t>$106,839</w:t>
      </w:r>
    </w:p>
    <w:p w14:paraId="49B5B468" w14:textId="77777777" w:rsidR="00194E8F" w:rsidRDefault="00194E8F"/>
    <w:p w14:paraId="49B5B469" w14:textId="77777777" w:rsidR="00285035" w:rsidRPr="00AD0DDE" w:rsidRDefault="00285035" w:rsidP="00285035">
      <w:pPr>
        <w:pStyle w:val="ListParagraph"/>
        <w:numPr>
          <w:ilvl w:val="1"/>
          <w:numId w:val="2"/>
        </w:numPr>
      </w:pPr>
      <w:r w:rsidRPr="00AD0DDE">
        <w:rPr>
          <w:b/>
        </w:rPr>
        <w:t xml:space="preserve">  Program or Burden Changes</w:t>
      </w:r>
    </w:p>
    <w:p w14:paraId="49B5B46A" w14:textId="77777777" w:rsidR="00285035" w:rsidRDefault="00285035" w:rsidP="00285035"/>
    <w:p w14:paraId="48BF4DD1" w14:textId="6B893DC3" w:rsidR="006D613A" w:rsidRDefault="006D613A" w:rsidP="00C33721">
      <w:r>
        <w:t xml:space="preserve">The previously approved burden was based on 1,617 facilities submitting data on 431 cases for each of sixteen (16) measures per year.  In the IPPS/LTCH PPS Final Rule published on </w:t>
      </w:r>
      <w:r w:rsidR="00E05F27">
        <w:t>August 22, 2016</w:t>
      </w:r>
      <w:r>
        <w:t xml:space="preserve"> for the FY 2019 Program CMS increased this to eighteen (18) measures</w:t>
      </w:r>
      <w:r w:rsidR="003314C7">
        <w:t xml:space="preserve"> from 16</w:t>
      </w:r>
      <w:r>
        <w:t>.  CMS also updated the estimates based on new program data, these updates are as follows:</w:t>
      </w:r>
    </w:p>
    <w:p w14:paraId="23C72ACE" w14:textId="71298620" w:rsidR="006D613A" w:rsidRDefault="006D613A" w:rsidP="002A333B">
      <w:pPr>
        <w:pStyle w:val="ListParagraph"/>
        <w:numPr>
          <w:ilvl w:val="0"/>
          <w:numId w:val="21"/>
        </w:numPr>
      </w:pPr>
      <w:r>
        <w:t>There will be approximately 67 additional IPFs (1,684 facilities) nationwide eligible to participate in the IPFQR Program.</w:t>
      </w:r>
    </w:p>
    <w:p w14:paraId="610B6FDC" w14:textId="3644D204" w:rsidR="006D613A" w:rsidRDefault="006D613A" w:rsidP="002A333B">
      <w:pPr>
        <w:pStyle w:val="ListParagraph"/>
        <w:numPr>
          <w:ilvl w:val="0"/>
          <w:numId w:val="21"/>
        </w:numPr>
      </w:pPr>
      <w:r>
        <w:t>The average facility will submit measure data on an additional 417 cases per year (for a total of 848 cases per year).</w:t>
      </w:r>
    </w:p>
    <w:p w14:paraId="0939C3BD" w14:textId="4019EC86" w:rsidR="006D613A" w:rsidRDefault="003314C7" w:rsidP="002A333B">
      <w:pPr>
        <w:pStyle w:val="ListParagraph"/>
        <w:numPr>
          <w:ilvl w:val="0"/>
          <w:numId w:val="21"/>
        </w:numPr>
      </w:pPr>
      <w:r>
        <w:t>Each IPF will take an additional 3 minutes per case to abstract data (for a total of 15 minutes).</w:t>
      </w:r>
    </w:p>
    <w:p w14:paraId="5041C3C2" w14:textId="77777777" w:rsidR="006D613A" w:rsidRDefault="006D613A" w:rsidP="00C33721"/>
    <w:p w14:paraId="15F1DCFD" w14:textId="34CAEB09" w:rsidR="0070498C" w:rsidRDefault="00F060AC" w:rsidP="00C33721">
      <w:r>
        <w:t>U</w:t>
      </w:r>
      <w:r w:rsidR="0070498C">
        <w:t>sing these estimates, we calculate that the annual effort per facility for each chart abstracted measure is 212 hours.  Only one of the two newly proposed measures is chart-abstracted, the other</w:t>
      </w:r>
      <w:r>
        <w:t>,</w:t>
      </w:r>
      <w:r w:rsidR="0070498C">
        <w:t xml:space="preserve"> Thirty-Day All Cause Unplanned Readmission Following Psychiatric Hospitalization in an IPF</w:t>
      </w:r>
      <w:r>
        <w:t>,</w:t>
      </w:r>
      <w:r w:rsidR="0070498C">
        <w:t xml:space="preserve"> is calculated by CMS using Part A claims data.  The total burden, per facility, for the newly adopted measures is detailed below.</w:t>
      </w:r>
    </w:p>
    <w:p w14:paraId="5AE05F0E" w14:textId="77777777" w:rsidR="0070498C" w:rsidRDefault="0070498C" w:rsidP="00C33721"/>
    <w:p w14:paraId="3CEFF3CB" w14:textId="1851CD96" w:rsidR="00C33721" w:rsidRPr="009849E8" w:rsidRDefault="00C33721" w:rsidP="009849E8">
      <w:r w:rsidRPr="009849E8">
        <w:t>Estimated Annual Effort Per Facility for Newly Adopted Measures</w:t>
      </w:r>
    </w:p>
    <w:tbl>
      <w:tblPr>
        <w:tblStyle w:val="TableGrid"/>
        <w:tblW w:w="9180" w:type="dxa"/>
        <w:tblInd w:w="108" w:type="dxa"/>
        <w:tblLayout w:type="fixed"/>
        <w:tblLook w:val="04A0" w:firstRow="1" w:lastRow="0" w:firstColumn="1" w:lastColumn="0" w:noHBand="0" w:noVBand="1"/>
      </w:tblPr>
      <w:tblGrid>
        <w:gridCol w:w="1156"/>
        <w:gridCol w:w="1123"/>
        <w:gridCol w:w="2041"/>
        <w:gridCol w:w="1620"/>
        <w:gridCol w:w="1260"/>
        <w:gridCol w:w="1980"/>
      </w:tblGrid>
      <w:tr w:rsidR="00C33721" w14:paraId="70C990F9" w14:textId="77777777" w:rsidTr="006A56BE">
        <w:trPr>
          <w:cantSplit/>
          <w:tblHeader/>
        </w:trPr>
        <w:tc>
          <w:tcPr>
            <w:tcW w:w="1156" w:type="dxa"/>
            <w:shd w:val="clear" w:color="auto" w:fill="D9D9D9" w:themeFill="background1" w:themeFillShade="D9"/>
            <w:vAlign w:val="center"/>
          </w:tcPr>
          <w:p w14:paraId="5C6883E4" w14:textId="77777777" w:rsidR="00C33721" w:rsidRDefault="00C33721" w:rsidP="006A56BE">
            <w:pPr>
              <w:pStyle w:val="TableColumnHeading"/>
            </w:pPr>
            <w:r>
              <w:rPr>
                <w:b w:val="0"/>
                <w:bCs/>
                <w:color w:val="000000"/>
              </w:rPr>
              <w:t>NQF Number</w:t>
            </w:r>
          </w:p>
        </w:tc>
        <w:tc>
          <w:tcPr>
            <w:tcW w:w="1123" w:type="dxa"/>
            <w:shd w:val="clear" w:color="auto" w:fill="D9D9D9" w:themeFill="background1" w:themeFillShade="D9"/>
            <w:vAlign w:val="center"/>
          </w:tcPr>
          <w:p w14:paraId="3098B72B" w14:textId="77777777" w:rsidR="00C33721" w:rsidRPr="006011DF" w:rsidRDefault="00C33721" w:rsidP="006A56BE">
            <w:pPr>
              <w:pStyle w:val="TableColumnHeading"/>
            </w:pPr>
            <w:r>
              <w:rPr>
                <w:b w:val="0"/>
                <w:bCs/>
                <w:color w:val="000000"/>
              </w:rPr>
              <w:t>Measure ID</w:t>
            </w:r>
          </w:p>
        </w:tc>
        <w:tc>
          <w:tcPr>
            <w:tcW w:w="2041" w:type="dxa"/>
            <w:shd w:val="clear" w:color="auto" w:fill="D9D9D9" w:themeFill="background1" w:themeFillShade="D9"/>
            <w:vAlign w:val="center"/>
          </w:tcPr>
          <w:p w14:paraId="6DB7B154" w14:textId="77777777" w:rsidR="00C33721" w:rsidRDefault="00C33721" w:rsidP="006A56BE">
            <w:pPr>
              <w:pStyle w:val="TableColumnHeading"/>
            </w:pPr>
            <w:r>
              <w:rPr>
                <w:b w:val="0"/>
                <w:bCs/>
                <w:color w:val="000000"/>
              </w:rPr>
              <w:t>Measure Description</w:t>
            </w:r>
          </w:p>
        </w:tc>
        <w:tc>
          <w:tcPr>
            <w:tcW w:w="1620" w:type="dxa"/>
            <w:shd w:val="clear" w:color="auto" w:fill="D9D9D9" w:themeFill="background1" w:themeFillShade="D9"/>
            <w:vAlign w:val="center"/>
          </w:tcPr>
          <w:p w14:paraId="3B1AD302" w14:textId="77777777" w:rsidR="00C33721" w:rsidRDefault="00C33721" w:rsidP="006A56BE">
            <w:pPr>
              <w:pStyle w:val="TableColumnHeading"/>
            </w:pPr>
            <w:r>
              <w:rPr>
                <w:b w:val="0"/>
                <w:bCs/>
                <w:color w:val="000000"/>
              </w:rPr>
              <w:t>Estimated Cases (per facility)</w:t>
            </w:r>
          </w:p>
        </w:tc>
        <w:tc>
          <w:tcPr>
            <w:tcW w:w="1260" w:type="dxa"/>
            <w:shd w:val="clear" w:color="auto" w:fill="D9D9D9" w:themeFill="background1" w:themeFillShade="D9"/>
            <w:vAlign w:val="center"/>
          </w:tcPr>
          <w:p w14:paraId="0F1DD85C" w14:textId="77777777" w:rsidR="00C33721" w:rsidDel="000834B7" w:rsidRDefault="00C33721" w:rsidP="006A56BE">
            <w:pPr>
              <w:pStyle w:val="TableColumnHeading"/>
            </w:pPr>
            <w:r>
              <w:rPr>
                <w:b w:val="0"/>
                <w:bCs/>
                <w:color w:val="000000"/>
              </w:rPr>
              <w:t>Effort per Case</w:t>
            </w:r>
          </w:p>
        </w:tc>
        <w:tc>
          <w:tcPr>
            <w:tcW w:w="1980" w:type="dxa"/>
            <w:shd w:val="clear" w:color="auto" w:fill="D9D9D9" w:themeFill="background1" w:themeFillShade="D9"/>
            <w:vAlign w:val="center"/>
          </w:tcPr>
          <w:p w14:paraId="0701F2BA" w14:textId="77777777" w:rsidR="00C33721" w:rsidDel="000834B7" w:rsidRDefault="00C33721" w:rsidP="006A56BE">
            <w:pPr>
              <w:pStyle w:val="TableColumnHeading"/>
            </w:pPr>
            <w:r>
              <w:rPr>
                <w:b w:val="0"/>
                <w:bCs/>
                <w:color w:val="000000"/>
              </w:rPr>
              <w:t>Annual Effort (per facility)</w:t>
            </w:r>
          </w:p>
        </w:tc>
      </w:tr>
      <w:tr w:rsidR="00571276" w14:paraId="426B20AD" w14:textId="77777777" w:rsidTr="006A56BE">
        <w:trPr>
          <w:cantSplit/>
        </w:trPr>
        <w:tc>
          <w:tcPr>
            <w:tcW w:w="1156" w:type="dxa"/>
            <w:vAlign w:val="center"/>
          </w:tcPr>
          <w:p w14:paraId="7FCBA4A1" w14:textId="713FB6FD" w:rsidR="00571276" w:rsidRPr="008B12AD" w:rsidRDefault="00571276" w:rsidP="00571276">
            <w:pPr>
              <w:pStyle w:val="TableText"/>
              <w:rPr>
                <w:szCs w:val="22"/>
              </w:rPr>
            </w:pPr>
            <w:r>
              <w:rPr>
                <w:color w:val="000000"/>
                <w:sz w:val="20"/>
                <w:szCs w:val="20"/>
              </w:rPr>
              <w:t>1664</w:t>
            </w:r>
          </w:p>
        </w:tc>
        <w:tc>
          <w:tcPr>
            <w:tcW w:w="1123" w:type="dxa"/>
            <w:vAlign w:val="center"/>
          </w:tcPr>
          <w:p w14:paraId="42779E36" w14:textId="49EF4F70" w:rsidR="00571276" w:rsidRPr="008B12AD" w:rsidRDefault="00571276" w:rsidP="00571276">
            <w:pPr>
              <w:pStyle w:val="TableText"/>
              <w:rPr>
                <w:szCs w:val="22"/>
              </w:rPr>
            </w:pPr>
            <w:r>
              <w:rPr>
                <w:color w:val="000000"/>
                <w:sz w:val="20"/>
                <w:szCs w:val="20"/>
              </w:rPr>
              <w:t>SUB-3 and SUB-3a</w:t>
            </w:r>
          </w:p>
        </w:tc>
        <w:tc>
          <w:tcPr>
            <w:tcW w:w="2041" w:type="dxa"/>
            <w:vAlign w:val="center"/>
          </w:tcPr>
          <w:p w14:paraId="01FD62D9" w14:textId="050C5A86" w:rsidR="00571276" w:rsidRPr="008B12AD" w:rsidRDefault="00571276" w:rsidP="00571276">
            <w:pPr>
              <w:pStyle w:val="TableText"/>
              <w:rPr>
                <w:szCs w:val="22"/>
              </w:rPr>
            </w:pPr>
            <w:r>
              <w:rPr>
                <w:color w:val="000000"/>
                <w:sz w:val="20"/>
                <w:szCs w:val="20"/>
              </w:rPr>
              <w:t>Alcohol and Other Drug Use Disorder Treatment Provided or Offered at Discharge and Alcohol and Other Drug Use Disorder Treatment at Discharge</w:t>
            </w:r>
          </w:p>
        </w:tc>
        <w:tc>
          <w:tcPr>
            <w:tcW w:w="1620" w:type="dxa"/>
            <w:vAlign w:val="center"/>
          </w:tcPr>
          <w:p w14:paraId="70C5E184" w14:textId="0CA83B0A" w:rsidR="00571276" w:rsidRPr="008B12AD" w:rsidRDefault="00571276" w:rsidP="00571276">
            <w:pPr>
              <w:pStyle w:val="TableText"/>
              <w:jc w:val="center"/>
              <w:rPr>
                <w:szCs w:val="22"/>
              </w:rPr>
            </w:pPr>
            <w:r>
              <w:rPr>
                <w:color w:val="000000"/>
                <w:sz w:val="20"/>
                <w:szCs w:val="20"/>
              </w:rPr>
              <w:t>848</w:t>
            </w:r>
          </w:p>
        </w:tc>
        <w:tc>
          <w:tcPr>
            <w:tcW w:w="1260" w:type="dxa"/>
            <w:vAlign w:val="center"/>
          </w:tcPr>
          <w:p w14:paraId="7269781E" w14:textId="3137B774" w:rsidR="00571276" w:rsidRPr="008B12AD" w:rsidRDefault="00571276" w:rsidP="00571276">
            <w:pPr>
              <w:pStyle w:val="TableText"/>
              <w:jc w:val="center"/>
              <w:rPr>
                <w:szCs w:val="22"/>
              </w:rPr>
            </w:pPr>
            <w:r>
              <w:rPr>
                <w:color w:val="000000"/>
                <w:sz w:val="20"/>
                <w:szCs w:val="20"/>
              </w:rPr>
              <w:t>0.25</w:t>
            </w:r>
          </w:p>
        </w:tc>
        <w:tc>
          <w:tcPr>
            <w:tcW w:w="1980" w:type="dxa"/>
            <w:vAlign w:val="center"/>
          </w:tcPr>
          <w:p w14:paraId="53320EB5" w14:textId="3D853E00" w:rsidR="00571276" w:rsidRPr="008B12AD" w:rsidRDefault="00571276" w:rsidP="00571276">
            <w:pPr>
              <w:pStyle w:val="TableText"/>
              <w:jc w:val="center"/>
              <w:rPr>
                <w:szCs w:val="22"/>
              </w:rPr>
            </w:pPr>
            <w:r>
              <w:rPr>
                <w:color w:val="000000"/>
                <w:sz w:val="20"/>
                <w:szCs w:val="20"/>
              </w:rPr>
              <w:t>212</w:t>
            </w:r>
          </w:p>
        </w:tc>
      </w:tr>
      <w:tr w:rsidR="00571276" w14:paraId="547E5F57" w14:textId="77777777" w:rsidTr="006A56BE">
        <w:trPr>
          <w:cantSplit/>
        </w:trPr>
        <w:tc>
          <w:tcPr>
            <w:tcW w:w="1156" w:type="dxa"/>
            <w:vAlign w:val="center"/>
          </w:tcPr>
          <w:p w14:paraId="22D16E68" w14:textId="4457D974" w:rsidR="00571276" w:rsidRPr="008B12AD" w:rsidRDefault="00571276" w:rsidP="00571276">
            <w:pPr>
              <w:pStyle w:val="TableText"/>
              <w:rPr>
                <w:szCs w:val="22"/>
              </w:rPr>
            </w:pPr>
            <w:r>
              <w:rPr>
                <w:color w:val="000000"/>
                <w:sz w:val="20"/>
                <w:szCs w:val="20"/>
              </w:rPr>
              <w:t>n/a</w:t>
            </w:r>
          </w:p>
        </w:tc>
        <w:tc>
          <w:tcPr>
            <w:tcW w:w="1123" w:type="dxa"/>
            <w:vAlign w:val="center"/>
          </w:tcPr>
          <w:p w14:paraId="5785524A" w14:textId="5A555EED" w:rsidR="00571276" w:rsidRPr="008B12AD" w:rsidRDefault="00571276" w:rsidP="00571276">
            <w:pPr>
              <w:pStyle w:val="TableText"/>
              <w:rPr>
                <w:szCs w:val="22"/>
              </w:rPr>
            </w:pPr>
            <w:r>
              <w:rPr>
                <w:color w:val="000000"/>
                <w:sz w:val="20"/>
                <w:szCs w:val="20"/>
              </w:rPr>
              <w:t>n/a</w:t>
            </w:r>
          </w:p>
        </w:tc>
        <w:tc>
          <w:tcPr>
            <w:tcW w:w="2041" w:type="dxa"/>
            <w:vAlign w:val="center"/>
          </w:tcPr>
          <w:p w14:paraId="30B2B7CD" w14:textId="42A0B5F5" w:rsidR="00571276" w:rsidRPr="008B12AD" w:rsidRDefault="00571276" w:rsidP="00571276">
            <w:pPr>
              <w:pStyle w:val="TableText"/>
              <w:rPr>
                <w:szCs w:val="22"/>
              </w:rPr>
            </w:pPr>
            <w:r>
              <w:rPr>
                <w:color w:val="000000"/>
                <w:sz w:val="20"/>
                <w:szCs w:val="20"/>
              </w:rPr>
              <w:t>Thirty-day all-cause unplanned readmission following Psychiatric hospitalization in an Inpatient Psychiatric Facility</w:t>
            </w:r>
          </w:p>
        </w:tc>
        <w:tc>
          <w:tcPr>
            <w:tcW w:w="1620" w:type="dxa"/>
            <w:vAlign w:val="center"/>
          </w:tcPr>
          <w:p w14:paraId="534201EC" w14:textId="596BD0FC" w:rsidR="00571276" w:rsidRPr="008B12AD" w:rsidRDefault="00571276" w:rsidP="00571276">
            <w:pPr>
              <w:pStyle w:val="TableText"/>
              <w:jc w:val="center"/>
              <w:rPr>
                <w:szCs w:val="22"/>
              </w:rPr>
            </w:pPr>
            <w:r>
              <w:rPr>
                <w:color w:val="000000"/>
                <w:sz w:val="20"/>
                <w:szCs w:val="20"/>
              </w:rPr>
              <w:t>848</w:t>
            </w:r>
          </w:p>
        </w:tc>
        <w:tc>
          <w:tcPr>
            <w:tcW w:w="1260" w:type="dxa"/>
            <w:vAlign w:val="center"/>
          </w:tcPr>
          <w:p w14:paraId="26509B65" w14:textId="7D6207E0" w:rsidR="00571276" w:rsidRPr="008B12AD" w:rsidRDefault="00571276" w:rsidP="00571276">
            <w:pPr>
              <w:pStyle w:val="TableText"/>
              <w:jc w:val="center"/>
              <w:rPr>
                <w:szCs w:val="22"/>
              </w:rPr>
            </w:pPr>
            <w:r>
              <w:rPr>
                <w:color w:val="000000"/>
                <w:sz w:val="20"/>
                <w:szCs w:val="20"/>
              </w:rPr>
              <w:t>0</w:t>
            </w:r>
          </w:p>
        </w:tc>
        <w:tc>
          <w:tcPr>
            <w:tcW w:w="1980" w:type="dxa"/>
            <w:vAlign w:val="center"/>
          </w:tcPr>
          <w:p w14:paraId="7D66314D" w14:textId="6EBBEB40" w:rsidR="00571276" w:rsidRPr="008B12AD" w:rsidRDefault="00571276" w:rsidP="00571276">
            <w:pPr>
              <w:pStyle w:val="TableText"/>
              <w:jc w:val="center"/>
              <w:rPr>
                <w:szCs w:val="22"/>
              </w:rPr>
            </w:pPr>
            <w:r>
              <w:rPr>
                <w:color w:val="000000"/>
                <w:sz w:val="20"/>
                <w:szCs w:val="20"/>
              </w:rPr>
              <w:t>0*</w:t>
            </w:r>
          </w:p>
        </w:tc>
      </w:tr>
      <w:tr w:rsidR="00C33721" w14:paraId="658EBB0C" w14:textId="77777777" w:rsidTr="006A56BE">
        <w:trPr>
          <w:cantSplit/>
        </w:trPr>
        <w:tc>
          <w:tcPr>
            <w:tcW w:w="1156" w:type="dxa"/>
            <w:shd w:val="clear" w:color="auto" w:fill="BFBFBF" w:themeFill="background1" w:themeFillShade="BF"/>
            <w:vAlign w:val="center"/>
          </w:tcPr>
          <w:p w14:paraId="4C934D3A" w14:textId="77777777" w:rsidR="00C33721" w:rsidRPr="008B12AD" w:rsidRDefault="00C33721" w:rsidP="006A56BE">
            <w:pPr>
              <w:pStyle w:val="TableText"/>
              <w:tabs>
                <w:tab w:val="left" w:pos="837"/>
              </w:tabs>
              <w:rPr>
                <w:szCs w:val="22"/>
              </w:rPr>
            </w:pPr>
            <w:r>
              <w:rPr>
                <w:b/>
                <w:bCs/>
                <w:color w:val="000000"/>
              </w:rPr>
              <w:t> </w:t>
            </w:r>
          </w:p>
        </w:tc>
        <w:tc>
          <w:tcPr>
            <w:tcW w:w="1123" w:type="dxa"/>
            <w:shd w:val="clear" w:color="auto" w:fill="BFBFBF" w:themeFill="background1" w:themeFillShade="BF"/>
            <w:vAlign w:val="center"/>
          </w:tcPr>
          <w:p w14:paraId="4A06997E" w14:textId="77777777" w:rsidR="00C33721" w:rsidRPr="008B12AD" w:rsidRDefault="00C33721" w:rsidP="006A56BE">
            <w:pPr>
              <w:pStyle w:val="TableText"/>
              <w:rPr>
                <w:color w:val="000000"/>
                <w:szCs w:val="22"/>
              </w:rPr>
            </w:pPr>
            <w:r>
              <w:rPr>
                <w:b/>
                <w:bCs/>
                <w:color w:val="000000"/>
              </w:rPr>
              <w:t> </w:t>
            </w:r>
          </w:p>
        </w:tc>
        <w:tc>
          <w:tcPr>
            <w:tcW w:w="2041" w:type="dxa"/>
            <w:shd w:val="clear" w:color="auto" w:fill="BFBFBF" w:themeFill="background1" w:themeFillShade="BF"/>
            <w:vAlign w:val="center"/>
          </w:tcPr>
          <w:p w14:paraId="7A3B4512" w14:textId="77777777" w:rsidR="00C33721" w:rsidRPr="008B12AD" w:rsidRDefault="00C33721" w:rsidP="006A56BE">
            <w:pPr>
              <w:pStyle w:val="TableText"/>
              <w:rPr>
                <w:szCs w:val="22"/>
              </w:rPr>
            </w:pPr>
            <w:r>
              <w:rPr>
                <w:b/>
                <w:bCs/>
                <w:color w:val="000000"/>
              </w:rPr>
              <w:t> </w:t>
            </w:r>
          </w:p>
        </w:tc>
        <w:tc>
          <w:tcPr>
            <w:tcW w:w="1620" w:type="dxa"/>
            <w:shd w:val="clear" w:color="auto" w:fill="BFBFBF" w:themeFill="background1" w:themeFillShade="BF"/>
            <w:vAlign w:val="center"/>
          </w:tcPr>
          <w:p w14:paraId="4ED5BC9F" w14:textId="77777777" w:rsidR="00C33721" w:rsidRPr="008B12AD" w:rsidRDefault="00C33721" w:rsidP="006A56BE">
            <w:pPr>
              <w:pStyle w:val="TableText"/>
              <w:rPr>
                <w:szCs w:val="22"/>
              </w:rPr>
            </w:pPr>
            <w:r>
              <w:rPr>
                <w:b/>
                <w:bCs/>
                <w:color w:val="000000"/>
              </w:rPr>
              <w:t> </w:t>
            </w:r>
          </w:p>
        </w:tc>
        <w:tc>
          <w:tcPr>
            <w:tcW w:w="1260" w:type="dxa"/>
            <w:shd w:val="clear" w:color="auto" w:fill="BFBFBF" w:themeFill="background1" w:themeFillShade="BF"/>
            <w:vAlign w:val="center"/>
          </w:tcPr>
          <w:p w14:paraId="78B20DFA" w14:textId="77777777" w:rsidR="00C33721" w:rsidRPr="008B12AD" w:rsidRDefault="00C33721" w:rsidP="006A56BE">
            <w:pPr>
              <w:pStyle w:val="TableText"/>
              <w:rPr>
                <w:b/>
                <w:szCs w:val="22"/>
              </w:rPr>
            </w:pPr>
            <w:r>
              <w:rPr>
                <w:b/>
                <w:bCs/>
                <w:color w:val="000000"/>
              </w:rPr>
              <w:t>Annual Total</w:t>
            </w:r>
          </w:p>
        </w:tc>
        <w:tc>
          <w:tcPr>
            <w:tcW w:w="1980" w:type="dxa"/>
            <w:shd w:val="clear" w:color="auto" w:fill="BFBFBF" w:themeFill="background1" w:themeFillShade="BF"/>
            <w:vAlign w:val="center"/>
          </w:tcPr>
          <w:p w14:paraId="61CF3770" w14:textId="38EF3F7C" w:rsidR="00C33721" w:rsidRPr="008B12AD" w:rsidRDefault="00571276" w:rsidP="006A56BE">
            <w:pPr>
              <w:pStyle w:val="TableText"/>
              <w:ind w:left="720"/>
              <w:rPr>
                <w:b/>
                <w:szCs w:val="22"/>
              </w:rPr>
            </w:pPr>
            <w:r>
              <w:rPr>
                <w:b/>
                <w:bCs/>
                <w:color w:val="000000"/>
              </w:rPr>
              <w:t>212</w:t>
            </w:r>
          </w:p>
        </w:tc>
      </w:tr>
    </w:tbl>
    <w:p w14:paraId="2FAAA2C3" w14:textId="77777777" w:rsidR="00C33721" w:rsidRDefault="00C33721" w:rsidP="00C33721">
      <w:pPr>
        <w:spacing w:before="60" w:after="60"/>
        <w:rPr>
          <w:b/>
        </w:rPr>
      </w:pPr>
    </w:p>
    <w:p w14:paraId="5D8A55C0" w14:textId="1F819258" w:rsidR="00C33721" w:rsidRPr="00B00E52" w:rsidRDefault="00DD4662" w:rsidP="00C33721">
      <w:pPr>
        <w:spacing w:before="60" w:after="60"/>
      </w:pPr>
      <w:r>
        <w:t>As described in section 12 of this document, w</w:t>
      </w:r>
      <w:r w:rsidR="00C33721">
        <w:t xml:space="preserve">e estimate an </w:t>
      </w:r>
      <w:r w:rsidR="00C33721" w:rsidRPr="00C84791">
        <w:t xml:space="preserve">hourly labor cost of </w:t>
      </w:r>
      <w:r>
        <w:t>$32.84</w:t>
      </w:r>
      <w:r w:rsidR="00C33721">
        <w:t xml:space="preserve">.  </w:t>
      </w:r>
      <w:r w:rsidR="00C33721" w:rsidRPr="008B12AD">
        <w:t xml:space="preserve">This </w:t>
      </w:r>
      <w:r w:rsidR="00411234">
        <w:t xml:space="preserve">labor cost applied to </w:t>
      </w:r>
      <w:r w:rsidR="00C33721" w:rsidRPr="008B12AD">
        <w:t xml:space="preserve">the </w:t>
      </w:r>
      <w:r w:rsidR="00571276">
        <w:t>212</w:t>
      </w:r>
      <w:r w:rsidR="00C33721" w:rsidRPr="008B12AD">
        <w:t xml:space="preserve"> hours </w:t>
      </w:r>
      <w:r w:rsidR="00411234">
        <w:t xml:space="preserve">of added </w:t>
      </w:r>
      <w:r w:rsidR="00C33721" w:rsidRPr="008B12AD">
        <w:t>annual effort per facility for the FY 201</w:t>
      </w:r>
      <w:r w:rsidR="00571276">
        <w:t>9</w:t>
      </w:r>
      <w:r w:rsidR="00C33721" w:rsidRPr="008B12AD">
        <w:t xml:space="preserve"> payment determination and subsequent years results in an annual cost per facility of approximately </w:t>
      </w:r>
      <w:r w:rsidR="00C33721" w:rsidRPr="005525FF">
        <w:t>$</w:t>
      </w:r>
      <w:r>
        <w:t>6,962.08</w:t>
      </w:r>
      <w:r w:rsidR="00C33721" w:rsidRPr="008B12AD">
        <w:t>.  Across all 1,6</w:t>
      </w:r>
      <w:r w:rsidR="00571276">
        <w:t>84</w:t>
      </w:r>
      <w:r w:rsidR="00C33721" w:rsidRPr="008B12AD">
        <w:t xml:space="preserve"> </w:t>
      </w:r>
      <w:r w:rsidR="00C33721">
        <w:t xml:space="preserve">IPFs nationwide, this totals </w:t>
      </w:r>
      <w:r w:rsidR="00C33721" w:rsidRPr="005525FF">
        <w:t>$</w:t>
      </w:r>
      <w:r>
        <w:t>11,724,142.70 increase in burden associated with new measure collection and submission</w:t>
      </w:r>
      <w:r w:rsidR="00C33721" w:rsidRPr="008B12AD">
        <w:t>.</w:t>
      </w:r>
      <w:r w:rsidR="00C33721" w:rsidRPr="00B00E52">
        <w:t xml:space="preserve"> </w:t>
      </w:r>
    </w:p>
    <w:p w14:paraId="1F088DA1" w14:textId="77777777" w:rsidR="00C33721" w:rsidRDefault="00C33721" w:rsidP="00C33721"/>
    <w:p w14:paraId="4DAD0AD7" w14:textId="48D7FC6E" w:rsidR="00DD4662" w:rsidRDefault="00DD4662" w:rsidP="00DD4662">
      <w:r>
        <w:t xml:space="preserve">Because IPFs have been submitting sixteen (16) of the eighteen (18) measures to CMS, and one of the new measures is calculated by CMS using Part A claims, the amount of training required to submit data should be reduced to training for facilities new to the Program and training on the collection of data and submission only for the one (1) new measure.  </w:t>
      </w:r>
    </w:p>
    <w:p w14:paraId="262E1C07" w14:textId="40438BB1" w:rsidR="00C33721" w:rsidRDefault="00C33721" w:rsidP="00C33721">
      <w:r w:rsidRPr="008B12AD">
        <w:t>The estimated burden for training personnel for data collection and submission for current and future measures is 2 hours per facility.  The cost for this training, based on an hourly rate of $</w:t>
      </w:r>
      <w:r w:rsidR="001D1639">
        <w:t>32.84</w:t>
      </w:r>
      <w:r w:rsidRPr="008B12AD">
        <w:t xml:space="preserve">, is </w:t>
      </w:r>
      <w:r w:rsidRPr="005525FF">
        <w:t>$</w:t>
      </w:r>
      <w:r w:rsidR="001D1639">
        <w:t>65.68</w:t>
      </w:r>
      <w:r w:rsidRPr="005525FF">
        <w:t xml:space="preserve"> </w:t>
      </w:r>
      <w:r w:rsidRPr="008B12AD">
        <w:t xml:space="preserve">for each IPF, which totals </w:t>
      </w:r>
      <w:r w:rsidRPr="005525FF">
        <w:t>$</w:t>
      </w:r>
      <w:r w:rsidR="001D1639">
        <w:t>110,605.12</w:t>
      </w:r>
      <w:r w:rsidRPr="005525FF">
        <w:t xml:space="preserve"> </w:t>
      </w:r>
      <w:r w:rsidRPr="008B12AD">
        <w:t>for all facilities.</w:t>
      </w:r>
      <w:r w:rsidRPr="00B00E52">
        <w:t xml:space="preserve"> </w:t>
      </w:r>
      <w:r>
        <w:t xml:space="preserve"> </w:t>
      </w:r>
    </w:p>
    <w:p w14:paraId="51F5F768" w14:textId="77777777" w:rsidR="00C33721" w:rsidRDefault="00C33721" w:rsidP="00C33721"/>
    <w:p w14:paraId="642139D4" w14:textId="34462C04" w:rsidR="00C33721" w:rsidRDefault="00C33721" w:rsidP="00C33721">
      <w:r>
        <w:t>For the FY 201</w:t>
      </w:r>
      <w:r w:rsidR="00411234">
        <w:t>9</w:t>
      </w:r>
      <w:r w:rsidRPr="00B80506">
        <w:t xml:space="preserve"> payment determination, IPFs </w:t>
      </w:r>
      <w:r>
        <w:t xml:space="preserve">must </w:t>
      </w:r>
      <w:r w:rsidRPr="00B80506">
        <w:t xml:space="preserve">submit to CMS aggregate population counts for Medicare and non-Medicare discharges by age group, </w:t>
      </w:r>
      <w:r>
        <w:t xml:space="preserve">and </w:t>
      </w:r>
      <w:r w:rsidRPr="00B80506">
        <w:t>diagnostic group, and sample size counts for measures f</w:t>
      </w:r>
      <w:r>
        <w:t>or which sampling is performed</w:t>
      </w:r>
      <w:r w:rsidRPr="00B80506">
        <w:t xml:space="preserve">.  </w:t>
      </w:r>
      <w:r>
        <w:t>Because CMS is</w:t>
      </w:r>
      <w:r w:rsidRPr="005525FF">
        <w:t xml:space="preserve"> </w:t>
      </w:r>
      <w:r w:rsidR="00411234">
        <w:t xml:space="preserve">only adding one measure for which this reporting is required, we believe this </w:t>
      </w:r>
      <w:r w:rsidRPr="005525FF">
        <w:t>leads to a net negligible change in bu</w:t>
      </w:r>
      <w:r>
        <w:t xml:space="preserve">rden associated with non-measure data collection.  </w:t>
      </w:r>
    </w:p>
    <w:p w14:paraId="69B46D2E" w14:textId="77777777" w:rsidR="00C33721" w:rsidRDefault="00C33721" w:rsidP="00C33721"/>
    <w:p w14:paraId="49CD5E85" w14:textId="5A07A593" w:rsidR="00C33721" w:rsidRPr="00B80506" w:rsidRDefault="00C33721" w:rsidP="00C33721">
      <w:r>
        <w:t xml:space="preserve">Therefore, we estimate a total increase in </w:t>
      </w:r>
      <w:r w:rsidRPr="00F17658">
        <w:rPr>
          <w:bCs/>
          <w:color w:val="000000" w:themeColor="text1"/>
        </w:rPr>
        <w:t xml:space="preserve">burden of </w:t>
      </w:r>
      <w:r w:rsidR="00411234">
        <w:rPr>
          <w:bCs/>
          <w:color w:val="000000" w:themeColor="text1"/>
        </w:rPr>
        <w:t>214</w:t>
      </w:r>
      <w:r>
        <w:rPr>
          <w:bCs/>
          <w:color w:val="000000" w:themeColor="text1"/>
        </w:rPr>
        <w:t xml:space="preserve"> hours per IPF or </w:t>
      </w:r>
      <w:r w:rsidR="00411234">
        <w:rPr>
          <w:bCs/>
          <w:color w:val="000000" w:themeColor="text1"/>
        </w:rPr>
        <w:t>360,376</w:t>
      </w:r>
      <w:r>
        <w:rPr>
          <w:bCs/>
          <w:color w:val="000000" w:themeColor="text1"/>
        </w:rPr>
        <w:t xml:space="preserve"> </w:t>
      </w:r>
      <w:r w:rsidRPr="00F17658">
        <w:rPr>
          <w:bCs/>
          <w:color w:val="000000" w:themeColor="text1"/>
        </w:rPr>
        <w:t xml:space="preserve">hours across all </w:t>
      </w:r>
      <w:r>
        <w:rPr>
          <w:bCs/>
          <w:color w:val="000000" w:themeColor="text1"/>
        </w:rPr>
        <w:t>IPFs, resulting in a total increase in</w:t>
      </w:r>
      <w:r w:rsidRPr="00F17658">
        <w:rPr>
          <w:bCs/>
          <w:color w:val="000000" w:themeColor="text1"/>
        </w:rPr>
        <w:t xml:space="preserve"> financial </w:t>
      </w:r>
      <w:r>
        <w:rPr>
          <w:bCs/>
          <w:color w:val="000000" w:themeColor="text1"/>
        </w:rPr>
        <w:t xml:space="preserve">burden </w:t>
      </w:r>
      <w:r w:rsidRPr="00F17658">
        <w:rPr>
          <w:bCs/>
          <w:color w:val="000000" w:themeColor="text1"/>
        </w:rPr>
        <w:t>of</w:t>
      </w:r>
      <w:r>
        <w:rPr>
          <w:bCs/>
          <w:color w:val="000000" w:themeColor="text1"/>
        </w:rPr>
        <w:t xml:space="preserve"> $</w:t>
      </w:r>
      <w:r w:rsidR="009B6EBD">
        <w:rPr>
          <w:bCs/>
          <w:color w:val="000000" w:themeColor="text1"/>
        </w:rPr>
        <w:t>7,027.76</w:t>
      </w:r>
      <w:r>
        <w:rPr>
          <w:bCs/>
          <w:color w:val="000000" w:themeColor="text1"/>
        </w:rPr>
        <w:t xml:space="preserve"> per IPF or $</w:t>
      </w:r>
      <w:r w:rsidR="009B6EBD">
        <w:rPr>
          <w:bCs/>
          <w:color w:val="000000" w:themeColor="text1"/>
        </w:rPr>
        <w:t>11,834,747.8</w:t>
      </w:r>
      <w:r w:rsidR="00705929">
        <w:rPr>
          <w:bCs/>
          <w:color w:val="000000" w:themeColor="text1"/>
        </w:rPr>
        <w:t>4</w:t>
      </w:r>
      <w:r>
        <w:rPr>
          <w:bCs/>
          <w:color w:val="000000" w:themeColor="text1"/>
        </w:rPr>
        <w:t xml:space="preserve"> </w:t>
      </w:r>
      <w:r w:rsidRPr="00F17658">
        <w:rPr>
          <w:bCs/>
          <w:color w:val="000000" w:themeColor="text1"/>
        </w:rPr>
        <w:t>across all IPFs</w:t>
      </w:r>
      <w:r w:rsidRPr="008B12AD">
        <w:t>.</w:t>
      </w:r>
    </w:p>
    <w:p w14:paraId="301C12AB" w14:textId="521D3282" w:rsidR="009849E8" w:rsidRPr="000F13BE" w:rsidRDefault="009849E8" w:rsidP="00C33721">
      <w:pPr>
        <w:rPr>
          <w:color w:val="1F497D"/>
        </w:rPr>
      </w:pPr>
    </w:p>
    <w:tbl>
      <w:tblPr>
        <w:tblpPr w:leftFromText="180" w:rightFromText="180" w:vertAnchor="text" w:horzAnchor="margin" w:tblpY="290"/>
        <w:tblW w:w="9784" w:type="dxa"/>
        <w:tblLook w:val="04A0" w:firstRow="1" w:lastRow="0" w:firstColumn="1" w:lastColumn="0" w:noHBand="0" w:noVBand="1"/>
      </w:tblPr>
      <w:tblGrid>
        <w:gridCol w:w="1585"/>
        <w:gridCol w:w="1236"/>
        <w:gridCol w:w="2849"/>
        <w:gridCol w:w="1286"/>
        <w:gridCol w:w="1237"/>
        <w:gridCol w:w="1591"/>
      </w:tblGrid>
      <w:tr w:rsidR="009D1483" w:rsidRPr="00E70843" w14:paraId="76D2474C" w14:textId="77777777" w:rsidTr="006A56BE">
        <w:trPr>
          <w:trHeight w:val="553"/>
        </w:trPr>
        <w:tc>
          <w:tcPr>
            <w:tcW w:w="159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78DB6B" w14:textId="77777777" w:rsidR="00C33721" w:rsidRPr="00477ED9" w:rsidRDefault="00C33721" w:rsidP="006A56BE">
            <w:pPr>
              <w:jc w:val="center"/>
              <w:rPr>
                <w:b/>
                <w:bCs/>
                <w:color w:val="000000"/>
                <w:sz w:val="22"/>
                <w:szCs w:val="22"/>
              </w:rPr>
            </w:pPr>
            <w:r w:rsidRPr="00477ED9">
              <w:rPr>
                <w:b/>
                <w:bCs/>
                <w:color w:val="000000"/>
                <w:sz w:val="22"/>
                <w:szCs w:val="22"/>
              </w:rPr>
              <w:t>Tasks</w:t>
            </w:r>
          </w:p>
        </w:tc>
        <w:tc>
          <w:tcPr>
            <w:tcW w:w="1250" w:type="dxa"/>
            <w:tcBorders>
              <w:top w:val="single" w:sz="8" w:space="0" w:color="auto"/>
              <w:left w:val="nil"/>
              <w:bottom w:val="single" w:sz="8" w:space="0" w:color="auto"/>
              <w:right w:val="single" w:sz="8" w:space="0" w:color="auto"/>
            </w:tcBorders>
            <w:shd w:val="clear" w:color="000000" w:fill="D9D9D9"/>
            <w:vAlign w:val="center"/>
            <w:hideMark/>
          </w:tcPr>
          <w:p w14:paraId="2B863C37" w14:textId="77777777" w:rsidR="00C33721" w:rsidRPr="00477ED9" w:rsidRDefault="00C33721" w:rsidP="006A56BE">
            <w:pPr>
              <w:jc w:val="center"/>
              <w:rPr>
                <w:b/>
                <w:bCs/>
                <w:color w:val="000000"/>
                <w:sz w:val="22"/>
                <w:szCs w:val="22"/>
              </w:rPr>
            </w:pPr>
            <w:r w:rsidRPr="00477ED9">
              <w:rPr>
                <w:b/>
                <w:bCs/>
                <w:color w:val="000000"/>
                <w:sz w:val="22"/>
                <w:szCs w:val="22"/>
              </w:rPr>
              <w:t>Hours per IPF</w:t>
            </w:r>
          </w:p>
        </w:tc>
        <w:tc>
          <w:tcPr>
            <w:tcW w:w="2909" w:type="dxa"/>
            <w:tcBorders>
              <w:top w:val="single" w:sz="8" w:space="0" w:color="auto"/>
              <w:left w:val="nil"/>
              <w:bottom w:val="single" w:sz="8" w:space="0" w:color="auto"/>
              <w:right w:val="single" w:sz="8" w:space="0" w:color="auto"/>
            </w:tcBorders>
            <w:shd w:val="clear" w:color="000000" w:fill="D9D9D9"/>
            <w:vAlign w:val="center"/>
            <w:hideMark/>
          </w:tcPr>
          <w:p w14:paraId="57C0C120" w14:textId="77777777" w:rsidR="00C33721" w:rsidRPr="00477ED9" w:rsidRDefault="00C33721" w:rsidP="006A56BE">
            <w:pPr>
              <w:jc w:val="center"/>
              <w:rPr>
                <w:b/>
                <w:bCs/>
                <w:color w:val="000000"/>
                <w:sz w:val="22"/>
                <w:szCs w:val="22"/>
              </w:rPr>
            </w:pPr>
            <w:r w:rsidRPr="00477ED9">
              <w:rPr>
                <w:b/>
                <w:bCs/>
                <w:color w:val="000000"/>
                <w:sz w:val="22"/>
                <w:szCs w:val="22"/>
              </w:rPr>
              <w:t>Total Hours for All IPFs</w:t>
            </w:r>
          </w:p>
        </w:tc>
        <w:tc>
          <w:tcPr>
            <w:tcW w:w="1241" w:type="dxa"/>
            <w:tcBorders>
              <w:top w:val="single" w:sz="8" w:space="0" w:color="auto"/>
              <w:left w:val="nil"/>
              <w:bottom w:val="single" w:sz="8" w:space="0" w:color="auto"/>
              <w:right w:val="single" w:sz="8" w:space="0" w:color="auto"/>
            </w:tcBorders>
            <w:shd w:val="clear" w:color="000000" w:fill="D9D9D9"/>
            <w:vAlign w:val="center"/>
            <w:hideMark/>
          </w:tcPr>
          <w:p w14:paraId="18BDDCD7" w14:textId="77777777" w:rsidR="00C33721" w:rsidRPr="00477ED9" w:rsidRDefault="00C33721" w:rsidP="006A56BE">
            <w:pPr>
              <w:jc w:val="center"/>
              <w:rPr>
                <w:b/>
                <w:bCs/>
                <w:color w:val="000000"/>
                <w:sz w:val="22"/>
                <w:szCs w:val="22"/>
              </w:rPr>
            </w:pPr>
            <w:r w:rsidRPr="00477ED9">
              <w:rPr>
                <w:b/>
                <w:bCs/>
                <w:color w:val="000000"/>
                <w:sz w:val="22"/>
                <w:szCs w:val="22"/>
              </w:rPr>
              <w:t>Wage Rate</w:t>
            </w:r>
          </w:p>
        </w:tc>
        <w:tc>
          <w:tcPr>
            <w:tcW w:w="1241" w:type="dxa"/>
            <w:tcBorders>
              <w:top w:val="single" w:sz="8" w:space="0" w:color="auto"/>
              <w:left w:val="nil"/>
              <w:bottom w:val="single" w:sz="8" w:space="0" w:color="auto"/>
              <w:right w:val="single" w:sz="8" w:space="0" w:color="auto"/>
            </w:tcBorders>
            <w:shd w:val="clear" w:color="000000" w:fill="D9D9D9"/>
            <w:vAlign w:val="center"/>
            <w:hideMark/>
          </w:tcPr>
          <w:p w14:paraId="46CDF361" w14:textId="77777777" w:rsidR="00C33721" w:rsidRPr="00477ED9" w:rsidRDefault="00C33721" w:rsidP="006A56BE">
            <w:pPr>
              <w:jc w:val="center"/>
              <w:rPr>
                <w:b/>
                <w:bCs/>
                <w:color w:val="000000"/>
                <w:sz w:val="22"/>
                <w:szCs w:val="22"/>
              </w:rPr>
            </w:pPr>
            <w:r w:rsidRPr="00477ED9">
              <w:rPr>
                <w:b/>
                <w:bCs/>
                <w:color w:val="000000"/>
                <w:sz w:val="22"/>
                <w:szCs w:val="22"/>
              </w:rPr>
              <w:t>Cost per IPF</w:t>
            </w:r>
          </w:p>
        </w:tc>
        <w:tc>
          <w:tcPr>
            <w:tcW w:w="1547" w:type="dxa"/>
            <w:tcBorders>
              <w:top w:val="single" w:sz="8" w:space="0" w:color="auto"/>
              <w:left w:val="nil"/>
              <w:bottom w:val="single" w:sz="8" w:space="0" w:color="auto"/>
              <w:right w:val="single" w:sz="8" w:space="0" w:color="auto"/>
            </w:tcBorders>
            <w:shd w:val="clear" w:color="000000" w:fill="D9D9D9"/>
            <w:vAlign w:val="center"/>
            <w:hideMark/>
          </w:tcPr>
          <w:p w14:paraId="65FEB0D2" w14:textId="77777777" w:rsidR="00C33721" w:rsidRPr="00477ED9" w:rsidRDefault="00C33721" w:rsidP="006A56BE">
            <w:pPr>
              <w:jc w:val="center"/>
              <w:rPr>
                <w:b/>
                <w:bCs/>
                <w:color w:val="000000"/>
                <w:sz w:val="22"/>
                <w:szCs w:val="22"/>
              </w:rPr>
            </w:pPr>
            <w:r w:rsidRPr="00477ED9">
              <w:rPr>
                <w:b/>
                <w:bCs/>
                <w:color w:val="000000"/>
                <w:sz w:val="22"/>
                <w:szCs w:val="22"/>
              </w:rPr>
              <w:t>Total Cost for All IPFs</w:t>
            </w:r>
          </w:p>
        </w:tc>
      </w:tr>
      <w:tr w:rsidR="009D1483" w:rsidRPr="00E70843" w14:paraId="5F587F15" w14:textId="77777777" w:rsidTr="006A56BE">
        <w:trPr>
          <w:trHeight w:val="878"/>
        </w:trPr>
        <w:tc>
          <w:tcPr>
            <w:tcW w:w="1596" w:type="dxa"/>
            <w:tcBorders>
              <w:top w:val="nil"/>
              <w:left w:val="single" w:sz="8" w:space="0" w:color="auto"/>
              <w:bottom w:val="single" w:sz="8" w:space="0" w:color="auto"/>
              <w:right w:val="single" w:sz="8" w:space="0" w:color="auto"/>
            </w:tcBorders>
            <w:shd w:val="clear" w:color="auto" w:fill="auto"/>
            <w:vAlign w:val="center"/>
            <w:hideMark/>
          </w:tcPr>
          <w:p w14:paraId="7C0614BC" w14:textId="77777777" w:rsidR="00C33721" w:rsidRPr="00477ED9" w:rsidRDefault="00C33721" w:rsidP="006A56BE">
            <w:pPr>
              <w:jc w:val="center"/>
              <w:rPr>
                <w:color w:val="000000"/>
                <w:sz w:val="22"/>
                <w:szCs w:val="22"/>
              </w:rPr>
            </w:pPr>
            <w:r w:rsidRPr="00477ED9">
              <w:rPr>
                <w:color w:val="000000"/>
                <w:sz w:val="22"/>
                <w:szCs w:val="22"/>
              </w:rPr>
              <w:t>Chart-Abstracted Measure Data Collection and Submission</w:t>
            </w:r>
          </w:p>
        </w:tc>
        <w:tc>
          <w:tcPr>
            <w:tcW w:w="1250" w:type="dxa"/>
            <w:tcBorders>
              <w:top w:val="nil"/>
              <w:left w:val="nil"/>
              <w:bottom w:val="single" w:sz="8" w:space="0" w:color="auto"/>
              <w:right w:val="single" w:sz="8" w:space="0" w:color="auto"/>
            </w:tcBorders>
            <w:shd w:val="clear" w:color="auto" w:fill="auto"/>
            <w:vAlign w:val="center"/>
            <w:hideMark/>
          </w:tcPr>
          <w:p w14:paraId="10566051" w14:textId="67D0A25F" w:rsidR="00C33721" w:rsidRPr="00477ED9" w:rsidRDefault="00411234" w:rsidP="006A56BE">
            <w:pPr>
              <w:jc w:val="center"/>
              <w:rPr>
                <w:color w:val="000000"/>
                <w:sz w:val="22"/>
                <w:szCs w:val="22"/>
              </w:rPr>
            </w:pPr>
            <w:r>
              <w:rPr>
                <w:color w:val="000000"/>
                <w:sz w:val="22"/>
                <w:szCs w:val="22"/>
              </w:rPr>
              <w:t>212</w:t>
            </w:r>
          </w:p>
        </w:tc>
        <w:tc>
          <w:tcPr>
            <w:tcW w:w="2909" w:type="dxa"/>
            <w:tcBorders>
              <w:top w:val="nil"/>
              <w:left w:val="nil"/>
              <w:bottom w:val="single" w:sz="8" w:space="0" w:color="auto"/>
              <w:right w:val="single" w:sz="8" w:space="0" w:color="auto"/>
            </w:tcBorders>
            <w:shd w:val="clear" w:color="auto" w:fill="auto"/>
            <w:vAlign w:val="center"/>
            <w:hideMark/>
          </w:tcPr>
          <w:p w14:paraId="5CB9CC2E" w14:textId="3FBA78D2" w:rsidR="00C33721" w:rsidRPr="00477ED9" w:rsidRDefault="00411234" w:rsidP="006A56BE">
            <w:pPr>
              <w:jc w:val="center"/>
              <w:rPr>
                <w:color w:val="000000"/>
                <w:sz w:val="22"/>
                <w:szCs w:val="22"/>
              </w:rPr>
            </w:pPr>
            <w:r>
              <w:rPr>
                <w:color w:val="000000"/>
                <w:sz w:val="22"/>
                <w:szCs w:val="22"/>
              </w:rPr>
              <w:t>357,008</w:t>
            </w:r>
          </w:p>
        </w:tc>
        <w:tc>
          <w:tcPr>
            <w:tcW w:w="1241" w:type="dxa"/>
            <w:tcBorders>
              <w:top w:val="nil"/>
              <w:left w:val="nil"/>
              <w:bottom w:val="single" w:sz="8" w:space="0" w:color="auto"/>
              <w:right w:val="single" w:sz="8" w:space="0" w:color="auto"/>
            </w:tcBorders>
            <w:shd w:val="clear" w:color="auto" w:fill="auto"/>
            <w:vAlign w:val="center"/>
            <w:hideMark/>
          </w:tcPr>
          <w:p w14:paraId="5EDAE8DC" w14:textId="7267DB3B" w:rsidR="00C33721" w:rsidRPr="00477ED9" w:rsidRDefault="00C33721" w:rsidP="009D1483">
            <w:pPr>
              <w:jc w:val="center"/>
              <w:rPr>
                <w:color w:val="000000"/>
                <w:sz w:val="22"/>
                <w:szCs w:val="22"/>
              </w:rPr>
            </w:pPr>
            <w:r w:rsidRPr="00477ED9">
              <w:rPr>
                <w:color w:val="000000"/>
                <w:sz w:val="22"/>
                <w:szCs w:val="22"/>
              </w:rPr>
              <w:t>$</w:t>
            </w:r>
            <w:r w:rsidR="009D1483">
              <w:rPr>
                <w:color w:val="000000"/>
                <w:sz w:val="22"/>
                <w:szCs w:val="22"/>
              </w:rPr>
              <w:t>32.84/hour</w:t>
            </w:r>
            <w:r w:rsidRPr="00477ED9">
              <w:rPr>
                <w:color w:val="000000"/>
                <w:sz w:val="22"/>
                <w:szCs w:val="22"/>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0F242C32" w14:textId="155256AE" w:rsidR="00C33721" w:rsidRPr="00477ED9" w:rsidRDefault="00C33721" w:rsidP="009D1483">
            <w:pPr>
              <w:jc w:val="center"/>
              <w:rPr>
                <w:color w:val="000000"/>
                <w:sz w:val="22"/>
                <w:szCs w:val="22"/>
              </w:rPr>
            </w:pPr>
            <w:r w:rsidRPr="00477ED9">
              <w:rPr>
                <w:color w:val="000000"/>
                <w:sz w:val="22"/>
                <w:szCs w:val="22"/>
              </w:rPr>
              <w:t>$</w:t>
            </w:r>
            <w:r w:rsidR="009D1483">
              <w:rPr>
                <w:color w:val="000000"/>
                <w:sz w:val="22"/>
                <w:szCs w:val="22"/>
              </w:rPr>
              <w:t>6,962.08</w:t>
            </w:r>
            <w:r w:rsidRPr="00477ED9">
              <w:rPr>
                <w:color w:val="000000"/>
                <w:sz w:val="22"/>
                <w:szCs w:val="22"/>
              </w:rPr>
              <w:t xml:space="preserve"> </w:t>
            </w:r>
          </w:p>
        </w:tc>
        <w:tc>
          <w:tcPr>
            <w:tcW w:w="1547" w:type="dxa"/>
            <w:tcBorders>
              <w:top w:val="nil"/>
              <w:left w:val="nil"/>
              <w:bottom w:val="single" w:sz="8" w:space="0" w:color="auto"/>
              <w:right w:val="single" w:sz="8" w:space="0" w:color="auto"/>
            </w:tcBorders>
            <w:shd w:val="clear" w:color="auto" w:fill="auto"/>
            <w:vAlign w:val="center"/>
            <w:hideMark/>
          </w:tcPr>
          <w:p w14:paraId="79C03FB2" w14:textId="7B5FAD5F" w:rsidR="00C33721" w:rsidRPr="00477ED9" w:rsidRDefault="00C33721" w:rsidP="009D1483">
            <w:pPr>
              <w:jc w:val="center"/>
              <w:rPr>
                <w:color w:val="000000"/>
                <w:sz w:val="22"/>
                <w:szCs w:val="22"/>
              </w:rPr>
            </w:pPr>
            <w:r w:rsidRPr="00477ED9">
              <w:rPr>
                <w:color w:val="000000"/>
                <w:sz w:val="22"/>
                <w:szCs w:val="22"/>
              </w:rPr>
              <w:t>$</w:t>
            </w:r>
            <w:r w:rsidR="009D1483">
              <w:rPr>
                <w:color w:val="000000"/>
                <w:sz w:val="22"/>
                <w:szCs w:val="22"/>
              </w:rPr>
              <w:t>11,724,142.72</w:t>
            </w:r>
            <w:r w:rsidRPr="00477ED9">
              <w:rPr>
                <w:color w:val="000000"/>
                <w:sz w:val="22"/>
                <w:szCs w:val="22"/>
              </w:rPr>
              <w:t xml:space="preserve"> </w:t>
            </w:r>
          </w:p>
        </w:tc>
      </w:tr>
      <w:tr w:rsidR="009D1483" w:rsidRPr="00E70843" w14:paraId="4AF6EDFF" w14:textId="77777777" w:rsidTr="006A56BE">
        <w:trPr>
          <w:trHeight w:val="379"/>
        </w:trPr>
        <w:tc>
          <w:tcPr>
            <w:tcW w:w="1596" w:type="dxa"/>
            <w:tcBorders>
              <w:top w:val="nil"/>
              <w:left w:val="single" w:sz="8" w:space="0" w:color="auto"/>
              <w:bottom w:val="single" w:sz="8" w:space="0" w:color="auto"/>
              <w:right w:val="single" w:sz="8" w:space="0" w:color="auto"/>
            </w:tcBorders>
            <w:shd w:val="clear" w:color="auto" w:fill="auto"/>
            <w:vAlign w:val="center"/>
            <w:hideMark/>
          </w:tcPr>
          <w:p w14:paraId="6110265D" w14:textId="77777777" w:rsidR="00C33721" w:rsidRPr="00477ED9" w:rsidRDefault="00C33721" w:rsidP="006A56BE">
            <w:pPr>
              <w:jc w:val="center"/>
              <w:rPr>
                <w:color w:val="000000"/>
                <w:sz w:val="22"/>
                <w:szCs w:val="22"/>
              </w:rPr>
            </w:pPr>
            <w:r w:rsidRPr="00477ED9">
              <w:rPr>
                <w:color w:val="000000"/>
                <w:sz w:val="22"/>
                <w:szCs w:val="22"/>
              </w:rPr>
              <w:t>Training</w:t>
            </w:r>
          </w:p>
        </w:tc>
        <w:tc>
          <w:tcPr>
            <w:tcW w:w="1250" w:type="dxa"/>
            <w:tcBorders>
              <w:top w:val="nil"/>
              <w:left w:val="nil"/>
              <w:bottom w:val="single" w:sz="8" w:space="0" w:color="auto"/>
              <w:right w:val="single" w:sz="8" w:space="0" w:color="auto"/>
            </w:tcBorders>
            <w:shd w:val="clear" w:color="auto" w:fill="auto"/>
            <w:vAlign w:val="center"/>
            <w:hideMark/>
          </w:tcPr>
          <w:p w14:paraId="439CA08A" w14:textId="77777777" w:rsidR="00C33721" w:rsidRPr="00477ED9" w:rsidRDefault="00C33721" w:rsidP="006A56BE">
            <w:pPr>
              <w:jc w:val="center"/>
              <w:rPr>
                <w:color w:val="000000"/>
                <w:sz w:val="22"/>
                <w:szCs w:val="22"/>
              </w:rPr>
            </w:pPr>
            <w:r w:rsidRPr="00477ED9">
              <w:rPr>
                <w:color w:val="000000"/>
                <w:sz w:val="22"/>
                <w:szCs w:val="22"/>
              </w:rPr>
              <w:t>2</w:t>
            </w:r>
          </w:p>
        </w:tc>
        <w:tc>
          <w:tcPr>
            <w:tcW w:w="2909" w:type="dxa"/>
            <w:tcBorders>
              <w:top w:val="nil"/>
              <w:left w:val="nil"/>
              <w:bottom w:val="single" w:sz="8" w:space="0" w:color="auto"/>
              <w:right w:val="single" w:sz="8" w:space="0" w:color="auto"/>
            </w:tcBorders>
            <w:shd w:val="clear" w:color="auto" w:fill="auto"/>
            <w:vAlign w:val="center"/>
            <w:hideMark/>
          </w:tcPr>
          <w:p w14:paraId="6AC7B768" w14:textId="6ED1B7E6" w:rsidR="00C33721" w:rsidRPr="00477ED9" w:rsidRDefault="00C33721" w:rsidP="00411234">
            <w:pPr>
              <w:jc w:val="center"/>
              <w:rPr>
                <w:color w:val="000000"/>
                <w:sz w:val="22"/>
                <w:szCs w:val="22"/>
              </w:rPr>
            </w:pPr>
            <w:r w:rsidRPr="00477ED9">
              <w:rPr>
                <w:color w:val="000000"/>
                <w:sz w:val="22"/>
                <w:szCs w:val="22"/>
              </w:rPr>
              <w:t>3,</w:t>
            </w:r>
            <w:r w:rsidR="00411234">
              <w:rPr>
                <w:color w:val="000000"/>
                <w:sz w:val="22"/>
                <w:szCs w:val="22"/>
              </w:rPr>
              <w:t>368</w:t>
            </w:r>
          </w:p>
        </w:tc>
        <w:tc>
          <w:tcPr>
            <w:tcW w:w="1241" w:type="dxa"/>
            <w:tcBorders>
              <w:top w:val="nil"/>
              <w:left w:val="nil"/>
              <w:bottom w:val="single" w:sz="8" w:space="0" w:color="auto"/>
              <w:right w:val="single" w:sz="8" w:space="0" w:color="auto"/>
            </w:tcBorders>
            <w:shd w:val="clear" w:color="auto" w:fill="auto"/>
            <w:vAlign w:val="center"/>
            <w:hideMark/>
          </w:tcPr>
          <w:p w14:paraId="0AD3F27E" w14:textId="208B1DA9" w:rsidR="00C33721" w:rsidRPr="00477ED9" w:rsidRDefault="00C33721" w:rsidP="009D1483">
            <w:pPr>
              <w:jc w:val="center"/>
              <w:rPr>
                <w:color w:val="000000"/>
                <w:sz w:val="22"/>
                <w:szCs w:val="22"/>
              </w:rPr>
            </w:pPr>
            <w:r w:rsidRPr="00477ED9">
              <w:rPr>
                <w:color w:val="000000"/>
                <w:sz w:val="22"/>
                <w:szCs w:val="22"/>
              </w:rPr>
              <w:t>$</w:t>
            </w:r>
            <w:r w:rsidR="009D1483">
              <w:rPr>
                <w:color w:val="000000"/>
                <w:sz w:val="22"/>
                <w:szCs w:val="22"/>
              </w:rPr>
              <w:t>32.84/hour</w:t>
            </w:r>
            <w:r w:rsidRPr="00477ED9">
              <w:rPr>
                <w:color w:val="000000"/>
                <w:sz w:val="22"/>
                <w:szCs w:val="22"/>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000A79DC" w14:textId="13FD9186" w:rsidR="00C33721" w:rsidRPr="00477ED9" w:rsidRDefault="00C33721" w:rsidP="009D1483">
            <w:pPr>
              <w:jc w:val="center"/>
              <w:rPr>
                <w:color w:val="000000"/>
                <w:sz w:val="22"/>
                <w:szCs w:val="22"/>
              </w:rPr>
            </w:pPr>
            <w:r w:rsidRPr="00477ED9">
              <w:rPr>
                <w:color w:val="000000"/>
                <w:sz w:val="22"/>
                <w:szCs w:val="22"/>
              </w:rPr>
              <w:t>$</w:t>
            </w:r>
            <w:r w:rsidR="009D1483">
              <w:rPr>
                <w:color w:val="000000"/>
                <w:sz w:val="22"/>
                <w:szCs w:val="22"/>
              </w:rPr>
              <w:t>65.68</w:t>
            </w:r>
            <w:r w:rsidRPr="00477ED9">
              <w:rPr>
                <w:color w:val="000000"/>
                <w:sz w:val="22"/>
                <w:szCs w:val="22"/>
              </w:rPr>
              <w:t xml:space="preserve"> </w:t>
            </w:r>
          </w:p>
        </w:tc>
        <w:tc>
          <w:tcPr>
            <w:tcW w:w="1547" w:type="dxa"/>
            <w:tcBorders>
              <w:top w:val="nil"/>
              <w:left w:val="nil"/>
              <w:bottom w:val="single" w:sz="8" w:space="0" w:color="auto"/>
              <w:right w:val="single" w:sz="8" w:space="0" w:color="auto"/>
            </w:tcBorders>
            <w:shd w:val="clear" w:color="auto" w:fill="auto"/>
            <w:vAlign w:val="center"/>
            <w:hideMark/>
          </w:tcPr>
          <w:p w14:paraId="2CF1953C" w14:textId="01C46CD8" w:rsidR="00C33721" w:rsidRPr="00477ED9" w:rsidRDefault="00C33721" w:rsidP="009D1483">
            <w:pPr>
              <w:jc w:val="center"/>
              <w:rPr>
                <w:color w:val="000000"/>
                <w:sz w:val="22"/>
                <w:szCs w:val="22"/>
              </w:rPr>
            </w:pPr>
            <w:r w:rsidRPr="00477ED9">
              <w:rPr>
                <w:color w:val="000000"/>
                <w:sz w:val="22"/>
                <w:szCs w:val="22"/>
              </w:rPr>
              <w:t>$</w:t>
            </w:r>
            <w:r w:rsidR="009D1483">
              <w:rPr>
                <w:sz w:val="22"/>
                <w:szCs w:val="22"/>
              </w:rPr>
              <w:t>110,605.12</w:t>
            </w:r>
          </w:p>
        </w:tc>
      </w:tr>
      <w:tr w:rsidR="009D1483" w:rsidRPr="00E70843" w14:paraId="081C682E" w14:textId="77777777" w:rsidTr="006A56BE">
        <w:trPr>
          <w:trHeight w:val="227"/>
        </w:trPr>
        <w:tc>
          <w:tcPr>
            <w:tcW w:w="1596" w:type="dxa"/>
            <w:tcBorders>
              <w:top w:val="nil"/>
              <w:left w:val="single" w:sz="8" w:space="0" w:color="auto"/>
              <w:bottom w:val="single" w:sz="8" w:space="0" w:color="auto"/>
              <w:right w:val="single" w:sz="8" w:space="0" w:color="auto"/>
            </w:tcBorders>
            <w:shd w:val="clear" w:color="000000" w:fill="D9D9D9"/>
            <w:vAlign w:val="center"/>
            <w:hideMark/>
          </w:tcPr>
          <w:p w14:paraId="7E1536E2" w14:textId="77777777" w:rsidR="00C33721" w:rsidRPr="00477ED9" w:rsidRDefault="00C33721" w:rsidP="006A56BE">
            <w:pPr>
              <w:jc w:val="center"/>
              <w:rPr>
                <w:b/>
                <w:bCs/>
                <w:color w:val="000000"/>
                <w:sz w:val="22"/>
                <w:szCs w:val="22"/>
              </w:rPr>
            </w:pPr>
            <w:r w:rsidRPr="00477ED9">
              <w:rPr>
                <w:b/>
                <w:bCs/>
                <w:color w:val="000000"/>
                <w:sz w:val="22"/>
                <w:szCs w:val="22"/>
              </w:rPr>
              <w:t>Totals</w:t>
            </w:r>
          </w:p>
        </w:tc>
        <w:tc>
          <w:tcPr>
            <w:tcW w:w="1250" w:type="dxa"/>
            <w:tcBorders>
              <w:top w:val="nil"/>
              <w:left w:val="nil"/>
              <w:bottom w:val="single" w:sz="8" w:space="0" w:color="auto"/>
              <w:right w:val="single" w:sz="8" w:space="0" w:color="auto"/>
            </w:tcBorders>
            <w:shd w:val="clear" w:color="000000" w:fill="D9D9D9"/>
            <w:vAlign w:val="center"/>
            <w:hideMark/>
          </w:tcPr>
          <w:p w14:paraId="0EE787D9" w14:textId="64ABAB37" w:rsidR="00C33721" w:rsidRPr="00477ED9" w:rsidRDefault="00A00A7C" w:rsidP="006A56BE">
            <w:pPr>
              <w:jc w:val="center"/>
              <w:rPr>
                <w:b/>
                <w:bCs/>
                <w:color w:val="000000"/>
                <w:sz w:val="22"/>
                <w:szCs w:val="22"/>
              </w:rPr>
            </w:pPr>
            <w:r>
              <w:rPr>
                <w:b/>
                <w:bCs/>
                <w:color w:val="000000"/>
                <w:sz w:val="22"/>
                <w:szCs w:val="22"/>
              </w:rPr>
              <w:t>214</w:t>
            </w:r>
          </w:p>
        </w:tc>
        <w:tc>
          <w:tcPr>
            <w:tcW w:w="2909" w:type="dxa"/>
            <w:tcBorders>
              <w:top w:val="nil"/>
              <w:left w:val="nil"/>
              <w:bottom w:val="single" w:sz="8" w:space="0" w:color="auto"/>
              <w:right w:val="single" w:sz="8" w:space="0" w:color="auto"/>
            </w:tcBorders>
            <w:shd w:val="clear" w:color="000000" w:fill="D9D9D9"/>
            <w:vAlign w:val="center"/>
            <w:hideMark/>
          </w:tcPr>
          <w:p w14:paraId="63533A2A" w14:textId="4546B0AE" w:rsidR="00C33721" w:rsidRPr="00477ED9" w:rsidRDefault="00A00A7C" w:rsidP="006A56BE">
            <w:pPr>
              <w:jc w:val="center"/>
              <w:rPr>
                <w:b/>
                <w:bCs/>
                <w:color w:val="000000"/>
                <w:sz w:val="22"/>
                <w:szCs w:val="22"/>
              </w:rPr>
            </w:pPr>
            <w:r>
              <w:rPr>
                <w:b/>
                <w:bCs/>
                <w:color w:val="000000"/>
                <w:sz w:val="22"/>
                <w:szCs w:val="22"/>
              </w:rPr>
              <w:t>360,376</w:t>
            </w:r>
          </w:p>
        </w:tc>
        <w:tc>
          <w:tcPr>
            <w:tcW w:w="1241" w:type="dxa"/>
            <w:tcBorders>
              <w:top w:val="nil"/>
              <w:left w:val="nil"/>
              <w:bottom w:val="single" w:sz="8" w:space="0" w:color="auto"/>
              <w:right w:val="single" w:sz="8" w:space="0" w:color="auto"/>
            </w:tcBorders>
            <w:shd w:val="clear" w:color="000000" w:fill="D9D9D9"/>
            <w:vAlign w:val="center"/>
            <w:hideMark/>
          </w:tcPr>
          <w:p w14:paraId="0AEB4F27" w14:textId="77777777" w:rsidR="00C33721" w:rsidRPr="00477ED9" w:rsidRDefault="00C33721" w:rsidP="006A56BE">
            <w:pPr>
              <w:jc w:val="center"/>
              <w:rPr>
                <w:rFonts w:ascii="Calibri" w:hAnsi="Calibri"/>
                <w:b/>
                <w:bCs/>
                <w:color w:val="000000"/>
                <w:sz w:val="22"/>
                <w:szCs w:val="22"/>
              </w:rPr>
            </w:pPr>
            <w:r w:rsidRPr="00477ED9">
              <w:rPr>
                <w:rFonts w:ascii="Calibri" w:hAnsi="Calibri"/>
                <w:b/>
                <w:bCs/>
                <w:color w:val="000000"/>
                <w:sz w:val="22"/>
                <w:szCs w:val="22"/>
              </w:rPr>
              <w:t> </w:t>
            </w:r>
          </w:p>
        </w:tc>
        <w:tc>
          <w:tcPr>
            <w:tcW w:w="1241" w:type="dxa"/>
            <w:tcBorders>
              <w:top w:val="nil"/>
              <w:left w:val="nil"/>
              <w:bottom w:val="single" w:sz="8" w:space="0" w:color="auto"/>
              <w:right w:val="single" w:sz="8" w:space="0" w:color="auto"/>
            </w:tcBorders>
            <w:shd w:val="clear" w:color="000000" w:fill="D9D9D9"/>
            <w:vAlign w:val="center"/>
            <w:hideMark/>
          </w:tcPr>
          <w:p w14:paraId="0048423F" w14:textId="67903F8E" w:rsidR="00C33721" w:rsidRPr="00477ED9" w:rsidRDefault="00C33721" w:rsidP="009D1483">
            <w:pPr>
              <w:jc w:val="center"/>
              <w:rPr>
                <w:b/>
                <w:bCs/>
                <w:color w:val="000000"/>
                <w:sz w:val="22"/>
                <w:szCs w:val="22"/>
              </w:rPr>
            </w:pPr>
            <w:r w:rsidRPr="00477ED9">
              <w:rPr>
                <w:b/>
                <w:bCs/>
                <w:color w:val="000000"/>
                <w:sz w:val="22"/>
                <w:szCs w:val="22"/>
              </w:rPr>
              <w:t>$</w:t>
            </w:r>
            <w:r w:rsidR="009D1483">
              <w:rPr>
                <w:b/>
                <w:bCs/>
                <w:color w:val="000000"/>
                <w:sz w:val="22"/>
                <w:szCs w:val="22"/>
              </w:rPr>
              <w:t>7,027.76</w:t>
            </w:r>
            <w:r w:rsidRPr="00477ED9">
              <w:rPr>
                <w:b/>
                <w:bCs/>
                <w:color w:val="000000"/>
                <w:sz w:val="22"/>
                <w:szCs w:val="22"/>
              </w:rPr>
              <w:t xml:space="preserve"> </w:t>
            </w:r>
          </w:p>
        </w:tc>
        <w:tc>
          <w:tcPr>
            <w:tcW w:w="1547" w:type="dxa"/>
            <w:tcBorders>
              <w:top w:val="nil"/>
              <w:left w:val="nil"/>
              <w:bottom w:val="single" w:sz="8" w:space="0" w:color="auto"/>
              <w:right w:val="single" w:sz="8" w:space="0" w:color="auto"/>
            </w:tcBorders>
            <w:shd w:val="clear" w:color="000000" w:fill="D9D9D9"/>
            <w:vAlign w:val="center"/>
            <w:hideMark/>
          </w:tcPr>
          <w:p w14:paraId="6F220B67" w14:textId="23E3276C" w:rsidR="00C33721" w:rsidRPr="00477ED9" w:rsidRDefault="00C33721" w:rsidP="009D1483">
            <w:pPr>
              <w:jc w:val="center"/>
              <w:rPr>
                <w:b/>
                <w:bCs/>
                <w:color w:val="000000"/>
                <w:sz w:val="22"/>
                <w:szCs w:val="22"/>
              </w:rPr>
            </w:pPr>
            <w:r w:rsidRPr="00477ED9">
              <w:rPr>
                <w:b/>
                <w:bCs/>
                <w:color w:val="000000"/>
                <w:sz w:val="22"/>
                <w:szCs w:val="22"/>
              </w:rPr>
              <w:t>$</w:t>
            </w:r>
            <w:r w:rsidR="009D1483">
              <w:rPr>
                <w:b/>
                <w:bCs/>
                <w:color w:val="000000" w:themeColor="text1"/>
                <w:sz w:val="22"/>
                <w:szCs w:val="22"/>
              </w:rPr>
              <w:t>11,834,747.84</w:t>
            </w:r>
          </w:p>
        </w:tc>
      </w:tr>
    </w:tbl>
    <w:p w14:paraId="4328002F" w14:textId="77777777" w:rsidR="00AC67DD" w:rsidRPr="00AD0DDE" w:rsidRDefault="00AC67DD" w:rsidP="00285035"/>
    <w:p w14:paraId="55E04127" w14:textId="77777777" w:rsidR="000A727E" w:rsidRPr="006A1A44" w:rsidRDefault="000A727E" w:rsidP="006A1A44">
      <w:pPr>
        <w:pStyle w:val="ListParagraph"/>
        <w:ind w:left="360"/>
      </w:pPr>
    </w:p>
    <w:p w14:paraId="49B5B49A" w14:textId="77777777" w:rsidR="00285035" w:rsidRPr="00AD0DDE" w:rsidRDefault="00285035" w:rsidP="00285035">
      <w:pPr>
        <w:pStyle w:val="ListParagraph"/>
        <w:numPr>
          <w:ilvl w:val="1"/>
          <w:numId w:val="2"/>
        </w:numPr>
      </w:pPr>
      <w:r w:rsidRPr="00AD0DDE">
        <w:rPr>
          <w:b/>
        </w:rPr>
        <w:t xml:space="preserve">  Publication/Tabulation Dates</w:t>
      </w:r>
    </w:p>
    <w:p w14:paraId="49B5B49B" w14:textId="77777777" w:rsidR="00285035" w:rsidRPr="00AD0DDE" w:rsidRDefault="00285035" w:rsidP="00285035">
      <w:pPr>
        <w:ind w:left="1890"/>
        <w:rPr>
          <w:u w:val="single"/>
        </w:rPr>
      </w:pPr>
    </w:p>
    <w:p w14:paraId="49B5B49C" w14:textId="77ED2D99" w:rsidR="00285035" w:rsidRPr="00AD0DDE" w:rsidRDefault="00285035" w:rsidP="0028503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 xml:space="preserve">CMS will not be employing any sampling techniques or statistical methods. </w:t>
      </w:r>
      <w:r w:rsidR="000123EB">
        <w:t xml:space="preserve"> </w:t>
      </w:r>
      <w:r w:rsidR="00A515A8">
        <w:t xml:space="preserve">However, CMS will allow IPFs to report data for </w:t>
      </w:r>
      <w:r w:rsidR="00CC605A">
        <w:t xml:space="preserve">certain </w:t>
      </w:r>
      <w:r w:rsidR="00A515A8">
        <w:t>measure using sampling.</w:t>
      </w:r>
    </w:p>
    <w:p w14:paraId="49B5B49D" w14:textId="41530D83" w:rsidR="00285035" w:rsidRDefault="00285035" w:rsidP="00285035">
      <w:r w:rsidRPr="00AD0DDE">
        <w:t xml:space="preserve">IPFs will submit their measures through a </w:t>
      </w:r>
      <w:r w:rsidR="0067560E">
        <w:t>W</w:t>
      </w:r>
      <w:r w:rsidRPr="00AD0DDE">
        <w:t xml:space="preserve">eb-based </w:t>
      </w:r>
      <w:r w:rsidR="0067560E">
        <w:t>M</w:t>
      </w:r>
      <w:r w:rsidRPr="00AD0DDE">
        <w:t xml:space="preserve">easures </w:t>
      </w:r>
      <w:r w:rsidR="0067560E">
        <w:t>T</w:t>
      </w:r>
      <w:r w:rsidRPr="00AD0DDE">
        <w:t xml:space="preserve">ool on </w:t>
      </w:r>
      <w:r w:rsidR="000A01D5">
        <w:t xml:space="preserve">the </w:t>
      </w:r>
      <w:r w:rsidRPr="00AD0DDE">
        <w:t>QualityNet</w:t>
      </w:r>
      <w:r w:rsidR="000A01D5">
        <w:t xml:space="preserve"> website</w:t>
      </w:r>
      <w:r w:rsidRPr="00AD0DDE">
        <w:t>.  After IPFs have previewed their data, CMS will publicly display t</w:t>
      </w:r>
      <w:r w:rsidR="00B30313">
        <w:t>he measure rates on the CMS web</w:t>
      </w:r>
      <w:r w:rsidRPr="00AD0DDE">
        <w:t>site.  The following is the planned schedule of activities to reach these objectives.</w:t>
      </w:r>
    </w:p>
    <w:p w14:paraId="49B5B49E" w14:textId="77777777" w:rsidR="00203F7B" w:rsidRPr="00AD0DDE" w:rsidRDefault="00203F7B" w:rsidP="002850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4"/>
        <w:gridCol w:w="7110"/>
      </w:tblGrid>
      <w:tr w:rsidR="00B30313" w14:paraId="49B5B4A1" w14:textId="77777777" w:rsidTr="00B30313">
        <w:tc>
          <w:tcPr>
            <w:tcW w:w="1584" w:type="dxa"/>
            <w:shd w:val="clear" w:color="auto" w:fill="D9D9D9" w:themeFill="background1" w:themeFillShade="D9"/>
            <w:tcMar>
              <w:top w:w="0" w:type="dxa"/>
              <w:left w:w="108" w:type="dxa"/>
              <w:bottom w:w="0" w:type="dxa"/>
              <w:right w:w="108" w:type="dxa"/>
            </w:tcMar>
          </w:tcPr>
          <w:p w14:paraId="49B5B49F" w14:textId="77777777" w:rsidR="00B30313" w:rsidRPr="00423629" w:rsidRDefault="00B30313" w:rsidP="00B30313">
            <w:pPr>
              <w:pStyle w:val="TableColumnHeading"/>
            </w:pPr>
            <w:r w:rsidRPr="00423629">
              <w:t>Date</w:t>
            </w:r>
          </w:p>
        </w:tc>
        <w:tc>
          <w:tcPr>
            <w:tcW w:w="7110" w:type="dxa"/>
            <w:shd w:val="clear" w:color="auto" w:fill="D9D9D9" w:themeFill="background1" w:themeFillShade="D9"/>
            <w:tcMar>
              <w:top w:w="0" w:type="dxa"/>
              <w:left w:w="108" w:type="dxa"/>
              <w:bottom w:w="0" w:type="dxa"/>
              <w:right w:w="108" w:type="dxa"/>
            </w:tcMar>
          </w:tcPr>
          <w:p w14:paraId="49B5B4A0" w14:textId="77777777" w:rsidR="00B30313" w:rsidRPr="00423629" w:rsidRDefault="00B30313" w:rsidP="00B30313">
            <w:pPr>
              <w:pStyle w:val="TableColumnHeading"/>
            </w:pPr>
            <w:r w:rsidRPr="00423629">
              <w:t>Scheduled Activity</w:t>
            </w:r>
          </w:p>
        </w:tc>
      </w:tr>
      <w:tr w:rsidR="00203F7B" w:rsidRPr="00FA1E0A" w14:paraId="49B5B4A4" w14:textId="77777777" w:rsidTr="00B30313">
        <w:tc>
          <w:tcPr>
            <w:tcW w:w="1584" w:type="dxa"/>
            <w:tcMar>
              <w:top w:w="0" w:type="dxa"/>
              <w:left w:w="108" w:type="dxa"/>
              <w:bottom w:w="0" w:type="dxa"/>
              <w:right w:w="108" w:type="dxa"/>
            </w:tcMar>
            <w:hideMark/>
          </w:tcPr>
          <w:p w14:paraId="49B5B4A2" w14:textId="1380227C" w:rsidR="00203F7B" w:rsidRPr="00FA1E0A" w:rsidRDefault="00411234" w:rsidP="00411234">
            <w:pPr>
              <w:pStyle w:val="TableText"/>
              <w:jc w:val="center"/>
              <w:rPr>
                <w:rFonts w:eastAsiaTheme="minorHAnsi"/>
              </w:rPr>
            </w:pPr>
            <w:r>
              <w:rPr>
                <w:rFonts w:eastAsiaTheme="minorHAnsi"/>
              </w:rPr>
              <w:t>4/15</w:t>
            </w:r>
            <w:r w:rsidR="00D97F5C">
              <w:rPr>
                <w:rFonts w:eastAsiaTheme="minorHAnsi"/>
              </w:rPr>
              <w:t>/201</w:t>
            </w:r>
            <w:r>
              <w:rPr>
                <w:rFonts w:eastAsiaTheme="minorHAnsi"/>
              </w:rPr>
              <w:t>6</w:t>
            </w:r>
          </w:p>
        </w:tc>
        <w:tc>
          <w:tcPr>
            <w:tcW w:w="7110" w:type="dxa"/>
            <w:tcMar>
              <w:top w:w="0" w:type="dxa"/>
              <w:left w:w="108" w:type="dxa"/>
              <w:bottom w:w="0" w:type="dxa"/>
              <w:right w:w="108" w:type="dxa"/>
            </w:tcMar>
            <w:hideMark/>
          </w:tcPr>
          <w:p w14:paraId="49B5B4A3" w14:textId="77777777" w:rsidR="00203F7B" w:rsidRPr="00FA1E0A" w:rsidRDefault="00203F7B" w:rsidP="00B30313">
            <w:pPr>
              <w:pStyle w:val="TableText"/>
              <w:rPr>
                <w:rFonts w:eastAsiaTheme="minorHAnsi"/>
              </w:rPr>
            </w:pPr>
            <w:r w:rsidRPr="00FA1E0A">
              <w:t>Proposed Rule Published</w:t>
            </w:r>
          </w:p>
        </w:tc>
      </w:tr>
      <w:tr w:rsidR="00203F7B" w14:paraId="49B5B4A7" w14:textId="77777777" w:rsidTr="00B30313">
        <w:tc>
          <w:tcPr>
            <w:tcW w:w="1584" w:type="dxa"/>
            <w:tcMar>
              <w:top w:w="0" w:type="dxa"/>
              <w:left w:w="108" w:type="dxa"/>
              <w:bottom w:w="0" w:type="dxa"/>
              <w:right w:w="108" w:type="dxa"/>
            </w:tcMar>
            <w:hideMark/>
          </w:tcPr>
          <w:p w14:paraId="49B5B4A5" w14:textId="54982CD8" w:rsidR="00203F7B" w:rsidRPr="00FA1E0A" w:rsidRDefault="00267BF3" w:rsidP="004061BA">
            <w:pPr>
              <w:pStyle w:val="TableText"/>
              <w:jc w:val="center"/>
              <w:rPr>
                <w:rFonts w:eastAsiaTheme="minorHAnsi"/>
              </w:rPr>
            </w:pPr>
            <w:r>
              <w:rPr>
                <w:rFonts w:eastAsiaTheme="minorHAnsi"/>
              </w:rPr>
              <w:t>8/1/2016</w:t>
            </w:r>
          </w:p>
        </w:tc>
        <w:tc>
          <w:tcPr>
            <w:tcW w:w="7110" w:type="dxa"/>
            <w:tcMar>
              <w:top w:w="0" w:type="dxa"/>
              <w:left w:w="108" w:type="dxa"/>
              <w:bottom w:w="0" w:type="dxa"/>
              <w:right w:w="108" w:type="dxa"/>
            </w:tcMar>
            <w:hideMark/>
          </w:tcPr>
          <w:p w14:paraId="49B5B4A6" w14:textId="77777777" w:rsidR="00203F7B" w:rsidRPr="00FA1E0A" w:rsidRDefault="00203F7B" w:rsidP="00B30313">
            <w:pPr>
              <w:pStyle w:val="TableText"/>
              <w:rPr>
                <w:rFonts w:eastAsiaTheme="minorHAnsi"/>
              </w:rPr>
            </w:pPr>
            <w:r w:rsidRPr="00FA1E0A">
              <w:t>Final Rule Published</w:t>
            </w:r>
          </w:p>
        </w:tc>
      </w:tr>
      <w:tr w:rsidR="00203F7B" w14:paraId="49B5B4AA" w14:textId="77777777" w:rsidTr="00B30313">
        <w:tc>
          <w:tcPr>
            <w:tcW w:w="1584" w:type="dxa"/>
            <w:tcMar>
              <w:top w:w="0" w:type="dxa"/>
              <w:left w:w="108" w:type="dxa"/>
              <w:bottom w:w="0" w:type="dxa"/>
              <w:right w:w="108" w:type="dxa"/>
            </w:tcMar>
            <w:hideMark/>
          </w:tcPr>
          <w:p w14:paraId="49B5B4A8" w14:textId="0E17E7CC" w:rsidR="00203F7B" w:rsidRPr="00657ACE" w:rsidRDefault="004061BA" w:rsidP="00411234">
            <w:pPr>
              <w:pStyle w:val="TableText"/>
              <w:jc w:val="center"/>
              <w:rPr>
                <w:rFonts w:eastAsiaTheme="minorHAnsi"/>
              </w:rPr>
            </w:pPr>
            <w:r w:rsidRPr="00657ACE">
              <w:t>10/</w:t>
            </w:r>
            <w:r w:rsidR="00203F7B" w:rsidRPr="00657ACE">
              <w:t>1/201</w:t>
            </w:r>
            <w:r w:rsidR="00411234">
              <w:t>6</w:t>
            </w:r>
          </w:p>
        </w:tc>
        <w:tc>
          <w:tcPr>
            <w:tcW w:w="7110" w:type="dxa"/>
            <w:tcMar>
              <w:top w:w="0" w:type="dxa"/>
              <w:left w:w="108" w:type="dxa"/>
              <w:bottom w:w="0" w:type="dxa"/>
              <w:right w:w="108" w:type="dxa"/>
            </w:tcMar>
            <w:hideMark/>
          </w:tcPr>
          <w:p w14:paraId="49B5B4A9" w14:textId="77777777" w:rsidR="00203F7B" w:rsidRPr="00657ACE" w:rsidRDefault="00203F7B" w:rsidP="00B30313">
            <w:pPr>
              <w:pStyle w:val="TableText"/>
              <w:rPr>
                <w:rFonts w:eastAsiaTheme="minorHAnsi"/>
              </w:rPr>
            </w:pPr>
            <w:r w:rsidRPr="00657ACE">
              <w:t>Measures Publicly Announced</w:t>
            </w:r>
          </w:p>
        </w:tc>
      </w:tr>
      <w:tr w:rsidR="00203F7B" w14:paraId="49B5B4AD" w14:textId="77777777" w:rsidTr="00B30313">
        <w:tc>
          <w:tcPr>
            <w:tcW w:w="1584" w:type="dxa"/>
            <w:tcMar>
              <w:top w:w="0" w:type="dxa"/>
              <w:left w:w="108" w:type="dxa"/>
              <w:bottom w:w="0" w:type="dxa"/>
              <w:right w:w="108" w:type="dxa"/>
            </w:tcMar>
            <w:hideMark/>
          </w:tcPr>
          <w:p w14:paraId="49B5B4AB" w14:textId="6454D8EF" w:rsidR="00203F7B" w:rsidRPr="00657ACE" w:rsidRDefault="004061BA" w:rsidP="00411234">
            <w:pPr>
              <w:pStyle w:val="TableText"/>
              <w:jc w:val="center"/>
              <w:rPr>
                <w:rFonts w:eastAsiaTheme="minorHAnsi"/>
              </w:rPr>
            </w:pPr>
            <w:r w:rsidRPr="00657ACE">
              <w:t>1/</w:t>
            </w:r>
            <w:r w:rsidR="00203F7B" w:rsidRPr="00657ACE">
              <w:t>1/201</w:t>
            </w:r>
            <w:r w:rsidR="00411234">
              <w:t>7</w:t>
            </w:r>
          </w:p>
        </w:tc>
        <w:tc>
          <w:tcPr>
            <w:tcW w:w="7110" w:type="dxa"/>
            <w:tcMar>
              <w:top w:w="0" w:type="dxa"/>
              <w:left w:w="108" w:type="dxa"/>
              <w:bottom w:w="0" w:type="dxa"/>
              <w:right w:w="108" w:type="dxa"/>
            </w:tcMar>
            <w:hideMark/>
          </w:tcPr>
          <w:p w14:paraId="49B5B4AC" w14:textId="792B0A85" w:rsidR="00203F7B" w:rsidRPr="00657ACE" w:rsidRDefault="00203F7B" w:rsidP="00B30313">
            <w:pPr>
              <w:pStyle w:val="TableText"/>
              <w:rPr>
                <w:rFonts w:eastAsiaTheme="minorHAnsi"/>
              </w:rPr>
            </w:pPr>
            <w:r w:rsidRPr="00657ACE">
              <w:t>Start of Reporting Period</w:t>
            </w:r>
            <w:r w:rsidR="00F2537A">
              <w:t xml:space="preserve"> (for most measures)*</w:t>
            </w:r>
            <w:r w:rsidRPr="00657ACE">
              <w:t xml:space="preserve"> </w:t>
            </w:r>
          </w:p>
        </w:tc>
      </w:tr>
      <w:tr w:rsidR="00203F7B" w14:paraId="49B5B4B0" w14:textId="77777777" w:rsidTr="00B30313">
        <w:tc>
          <w:tcPr>
            <w:tcW w:w="1584" w:type="dxa"/>
            <w:tcMar>
              <w:top w:w="0" w:type="dxa"/>
              <w:left w:w="108" w:type="dxa"/>
              <w:bottom w:w="0" w:type="dxa"/>
              <w:right w:w="108" w:type="dxa"/>
            </w:tcMar>
            <w:hideMark/>
          </w:tcPr>
          <w:p w14:paraId="49B5B4AE" w14:textId="16A0E511" w:rsidR="00203F7B" w:rsidRPr="00657ACE" w:rsidRDefault="00203F7B" w:rsidP="00411234">
            <w:pPr>
              <w:pStyle w:val="TableText"/>
              <w:jc w:val="center"/>
              <w:rPr>
                <w:rFonts w:eastAsiaTheme="minorHAnsi"/>
              </w:rPr>
            </w:pPr>
            <w:r w:rsidRPr="00657ACE">
              <w:t>12/31/201</w:t>
            </w:r>
            <w:r w:rsidR="00411234">
              <w:t>7</w:t>
            </w:r>
          </w:p>
        </w:tc>
        <w:tc>
          <w:tcPr>
            <w:tcW w:w="7110" w:type="dxa"/>
            <w:tcMar>
              <w:top w:w="0" w:type="dxa"/>
              <w:left w:w="108" w:type="dxa"/>
              <w:bottom w:w="0" w:type="dxa"/>
              <w:right w:w="108" w:type="dxa"/>
            </w:tcMar>
            <w:hideMark/>
          </w:tcPr>
          <w:p w14:paraId="49B5B4AF" w14:textId="67BDAE66" w:rsidR="00203F7B" w:rsidRPr="00657ACE" w:rsidRDefault="00203F7B" w:rsidP="00B30313">
            <w:pPr>
              <w:pStyle w:val="TableText"/>
              <w:rPr>
                <w:rFonts w:eastAsiaTheme="minorHAnsi"/>
              </w:rPr>
            </w:pPr>
            <w:r w:rsidRPr="00657ACE">
              <w:t>End of Reporting Period</w:t>
            </w:r>
            <w:r w:rsidR="00F2537A">
              <w:t>*</w:t>
            </w:r>
          </w:p>
        </w:tc>
      </w:tr>
      <w:tr w:rsidR="00203F7B" w14:paraId="49B5B4B3" w14:textId="77777777" w:rsidTr="00B30313">
        <w:tc>
          <w:tcPr>
            <w:tcW w:w="1584" w:type="dxa"/>
            <w:tcMar>
              <w:top w:w="0" w:type="dxa"/>
              <w:left w:w="108" w:type="dxa"/>
              <w:bottom w:w="0" w:type="dxa"/>
              <w:right w:w="108" w:type="dxa"/>
            </w:tcMar>
            <w:hideMark/>
          </w:tcPr>
          <w:p w14:paraId="49B5B4B1" w14:textId="4C42B8D4" w:rsidR="00203F7B" w:rsidRPr="00657ACE" w:rsidRDefault="00203F7B" w:rsidP="00411234">
            <w:pPr>
              <w:pStyle w:val="TableText"/>
              <w:jc w:val="center"/>
              <w:rPr>
                <w:rFonts w:eastAsiaTheme="minorHAnsi"/>
              </w:rPr>
            </w:pPr>
            <w:r w:rsidRPr="00657ACE">
              <w:t>7/1/201</w:t>
            </w:r>
            <w:r w:rsidR="00411234">
              <w:t>8</w:t>
            </w:r>
          </w:p>
        </w:tc>
        <w:tc>
          <w:tcPr>
            <w:tcW w:w="7110" w:type="dxa"/>
            <w:tcMar>
              <w:top w:w="0" w:type="dxa"/>
              <w:left w:w="108" w:type="dxa"/>
              <w:bottom w:w="0" w:type="dxa"/>
              <w:right w:w="108" w:type="dxa"/>
            </w:tcMar>
            <w:hideMark/>
          </w:tcPr>
          <w:p w14:paraId="49B5B4B2" w14:textId="47222389" w:rsidR="00203F7B" w:rsidRPr="00657ACE" w:rsidRDefault="00203F7B" w:rsidP="00B30313">
            <w:pPr>
              <w:pStyle w:val="TableText"/>
              <w:rPr>
                <w:rFonts w:eastAsiaTheme="minorHAnsi"/>
              </w:rPr>
            </w:pPr>
            <w:r w:rsidRPr="00657ACE">
              <w:t>Begin Data Submission</w:t>
            </w:r>
            <w:r w:rsidR="00F2537A">
              <w:t>*</w:t>
            </w:r>
          </w:p>
        </w:tc>
      </w:tr>
      <w:tr w:rsidR="00203F7B" w14:paraId="49B5B4B6" w14:textId="77777777" w:rsidTr="00B30313">
        <w:tc>
          <w:tcPr>
            <w:tcW w:w="1584" w:type="dxa"/>
            <w:tcMar>
              <w:top w:w="0" w:type="dxa"/>
              <w:left w:w="108" w:type="dxa"/>
              <w:bottom w:w="0" w:type="dxa"/>
              <w:right w:w="108" w:type="dxa"/>
            </w:tcMar>
            <w:hideMark/>
          </w:tcPr>
          <w:p w14:paraId="49B5B4B4" w14:textId="7D5814E8" w:rsidR="00203F7B" w:rsidRPr="00657ACE" w:rsidRDefault="00203F7B" w:rsidP="00411234">
            <w:pPr>
              <w:pStyle w:val="TableText"/>
              <w:jc w:val="center"/>
              <w:rPr>
                <w:rFonts w:ascii="Calibri" w:eastAsiaTheme="minorHAnsi" w:hAnsi="Calibri"/>
              </w:rPr>
            </w:pPr>
            <w:r w:rsidRPr="00657ACE">
              <w:t>8/15/201</w:t>
            </w:r>
            <w:r w:rsidR="00411234">
              <w:t>8</w:t>
            </w:r>
          </w:p>
        </w:tc>
        <w:tc>
          <w:tcPr>
            <w:tcW w:w="7110" w:type="dxa"/>
            <w:tcMar>
              <w:top w:w="0" w:type="dxa"/>
              <w:left w:w="108" w:type="dxa"/>
              <w:bottom w:w="0" w:type="dxa"/>
              <w:right w:w="108" w:type="dxa"/>
            </w:tcMar>
            <w:hideMark/>
          </w:tcPr>
          <w:p w14:paraId="49B5B4B5" w14:textId="418C6A62" w:rsidR="00203F7B" w:rsidRPr="00657ACE" w:rsidRDefault="00B30313" w:rsidP="00B30313">
            <w:pPr>
              <w:pStyle w:val="TableText"/>
              <w:rPr>
                <w:rFonts w:ascii="Calibri" w:eastAsiaTheme="minorHAnsi" w:hAnsi="Calibri"/>
              </w:rPr>
            </w:pPr>
            <w:r w:rsidRPr="00657ACE">
              <w:t xml:space="preserve">End </w:t>
            </w:r>
            <w:r w:rsidR="00203F7B" w:rsidRPr="00657ACE">
              <w:t>Submission Deadline</w:t>
            </w:r>
            <w:r w:rsidR="00F2537A">
              <w:t>*</w:t>
            </w:r>
          </w:p>
        </w:tc>
      </w:tr>
      <w:tr w:rsidR="00203F7B" w14:paraId="49B5B4B9" w14:textId="77777777" w:rsidTr="00B30313">
        <w:tc>
          <w:tcPr>
            <w:tcW w:w="1584" w:type="dxa"/>
            <w:tcMar>
              <w:top w:w="0" w:type="dxa"/>
              <w:left w:w="108" w:type="dxa"/>
              <w:bottom w:w="0" w:type="dxa"/>
              <w:right w:w="108" w:type="dxa"/>
            </w:tcMar>
            <w:hideMark/>
          </w:tcPr>
          <w:p w14:paraId="49B5B4B7" w14:textId="1ABC504D" w:rsidR="00203F7B" w:rsidRPr="00657ACE" w:rsidRDefault="00203F7B" w:rsidP="00411234">
            <w:pPr>
              <w:pStyle w:val="TableText"/>
              <w:jc w:val="center"/>
              <w:rPr>
                <w:rFonts w:eastAsiaTheme="minorHAnsi"/>
              </w:rPr>
            </w:pPr>
            <w:r w:rsidRPr="00657ACE">
              <w:t>8/15/201</w:t>
            </w:r>
            <w:r w:rsidR="00411234">
              <w:t>8</w:t>
            </w:r>
          </w:p>
        </w:tc>
        <w:tc>
          <w:tcPr>
            <w:tcW w:w="7110" w:type="dxa"/>
            <w:tcMar>
              <w:top w:w="0" w:type="dxa"/>
              <w:left w:w="108" w:type="dxa"/>
              <w:bottom w:w="0" w:type="dxa"/>
              <w:right w:w="108" w:type="dxa"/>
            </w:tcMar>
            <w:hideMark/>
          </w:tcPr>
          <w:p w14:paraId="49B5B4B8" w14:textId="77777777" w:rsidR="00203F7B" w:rsidRPr="00657ACE" w:rsidRDefault="00203F7B" w:rsidP="00B30313">
            <w:pPr>
              <w:pStyle w:val="TableText"/>
              <w:rPr>
                <w:rFonts w:eastAsiaTheme="minorHAnsi"/>
              </w:rPr>
            </w:pPr>
            <w:r w:rsidRPr="00657ACE">
              <w:t xml:space="preserve">Deadline to Complete Data Accuracy </w:t>
            </w:r>
            <w:r w:rsidR="00B30313" w:rsidRPr="00657ACE">
              <w:t>and Completeness Acknowledge</w:t>
            </w:r>
            <w:r w:rsidRPr="00657ACE">
              <w:t xml:space="preserve">ment (DACA) </w:t>
            </w:r>
          </w:p>
        </w:tc>
      </w:tr>
      <w:tr w:rsidR="00E05F27" w14:paraId="3708DAE5" w14:textId="77777777" w:rsidTr="00B30313">
        <w:tc>
          <w:tcPr>
            <w:tcW w:w="1584" w:type="dxa"/>
            <w:tcMar>
              <w:top w:w="0" w:type="dxa"/>
              <w:left w:w="108" w:type="dxa"/>
              <w:bottom w:w="0" w:type="dxa"/>
              <w:right w:w="108" w:type="dxa"/>
            </w:tcMar>
          </w:tcPr>
          <w:p w14:paraId="1DD21DE8" w14:textId="58519C9A" w:rsidR="00E05F27" w:rsidRPr="00657ACE" w:rsidRDefault="00E05F27" w:rsidP="00411234">
            <w:pPr>
              <w:pStyle w:val="TableText"/>
              <w:jc w:val="center"/>
            </w:pPr>
            <w:r>
              <w:t>FY 2019</w:t>
            </w:r>
          </w:p>
        </w:tc>
        <w:tc>
          <w:tcPr>
            <w:tcW w:w="7110" w:type="dxa"/>
            <w:tcMar>
              <w:top w:w="0" w:type="dxa"/>
              <w:left w:w="108" w:type="dxa"/>
              <w:bottom w:w="0" w:type="dxa"/>
              <w:right w:w="108" w:type="dxa"/>
            </w:tcMar>
          </w:tcPr>
          <w:p w14:paraId="20D218A9" w14:textId="5DB35A37" w:rsidR="00E05F27" w:rsidRPr="00E05F27" w:rsidRDefault="00E05F27" w:rsidP="00B30313">
            <w:pPr>
              <w:pStyle w:val="TableText"/>
            </w:pPr>
            <w:r>
              <w:t xml:space="preserve">Public Display of data on </w:t>
            </w:r>
            <w:r>
              <w:rPr>
                <w:i/>
              </w:rPr>
              <w:t>Hospital Compare**</w:t>
            </w:r>
          </w:p>
        </w:tc>
      </w:tr>
    </w:tbl>
    <w:p w14:paraId="49B5B4BF" w14:textId="26CF4918" w:rsidR="001965B3" w:rsidRDefault="00F2537A" w:rsidP="00285035">
      <w:pPr>
        <w:rPr>
          <w:sz w:val="20"/>
          <w:szCs w:val="20"/>
        </w:rPr>
      </w:pPr>
      <w:r>
        <w:t>*</w:t>
      </w:r>
      <w:r w:rsidRPr="00F2537A">
        <w:rPr>
          <w:sz w:val="20"/>
          <w:szCs w:val="20"/>
        </w:rPr>
        <w:t>Influenza Vaccination and Influenza Vaccination Among Healthcare Personnel are collected on a different schedule</w:t>
      </w:r>
    </w:p>
    <w:p w14:paraId="7933EF50" w14:textId="62C7D3DA" w:rsidR="00E05F27" w:rsidRDefault="00E05F27" w:rsidP="00285035">
      <w:r>
        <w:rPr>
          <w:sz w:val="20"/>
          <w:szCs w:val="20"/>
        </w:rPr>
        <w:t>**Specific display date to be announced via subregulatory guidance</w:t>
      </w:r>
    </w:p>
    <w:p w14:paraId="33C9E9FC" w14:textId="77777777" w:rsidR="00F2537A" w:rsidRDefault="00F2537A" w:rsidP="00285035"/>
    <w:p w14:paraId="49B5B4C0" w14:textId="77777777" w:rsidR="00285035" w:rsidRPr="00AD0DDE" w:rsidRDefault="00285035" w:rsidP="00285035">
      <w:pPr>
        <w:pStyle w:val="ListParagraph"/>
        <w:numPr>
          <w:ilvl w:val="1"/>
          <w:numId w:val="2"/>
        </w:numPr>
      </w:pPr>
      <w:r w:rsidRPr="00AD0DDE">
        <w:rPr>
          <w:b/>
        </w:rPr>
        <w:t>Expiration Date</w:t>
      </w:r>
    </w:p>
    <w:p w14:paraId="49B5B4C1" w14:textId="77777777" w:rsidR="00285035" w:rsidRPr="00AD0DDE" w:rsidRDefault="00285035" w:rsidP="00285035"/>
    <w:p w14:paraId="327A6C92" w14:textId="59FC466D" w:rsidR="001C3633" w:rsidRDefault="001C3633" w:rsidP="001C3633">
      <w:r>
        <w:t>We will display th</w:t>
      </w:r>
      <w:r w:rsidR="002A333B">
        <w:t>e</w:t>
      </w:r>
      <w:r>
        <w:t xml:space="preserve"> expiration </w:t>
      </w:r>
      <w:r w:rsidR="002A333B">
        <w:t xml:space="preserve">date </w:t>
      </w:r>
      <w:r>
        <w:t>on associated forms.</w:t>
      </w:r>
    </w:p>
    <w:p w14:paraId="144955E2" w14:textId="77777777" w:rsidR="00E71B75" w:rsidRDefault="00E71B75" w:rsidP="001C3633"/>
    <w:p w14:paraId="49B5B4C3" w14:textId="77777777" w:rsidR="00D8194F" w:rsidRDefault="00D8194F" w:rsidP="00285035"/>
    <w:p w14:paraId="49B5B4C4" w14:textId="77777777" w:rsidR="006A29F9" w:rsidRPr="006A29F9" w:rsidRDefault="006A29F9" w:rsidP="006A29F9">
      <w:pPr>
        <w:rPr>
          <w:b/>
        </w:rPr>
      </w:pPr>
      <w:r w:rsidRPr="006A29F9">
        <w:rPr>
          <w:b/>
        </w:rPr>
        <w:t>18.</w:t>
      </w:r>
      <w:r w:rsidRPr="006A29F9">
        <w:rPr>
          <w:b/>
        </w:rPr>
        <w:tab/>
        <w:t xml:space="preserve">Certification Statement </w:t>
      </w:r>
    </w:p>
    <w:p w14:paraId="49B5B4C5" w14:textId="77777777" w:rsidR="006A29F9" w:rsidRDefault="006A29F9" w:rsidP="006A29F9"/>
    <w:p w14:paraId="67B71DC6" w14:textId="77777777" w:rsidR="001C3633" w:rsidRPr="001C3633" w:rsidRDefault="001C3633" w:rsidP="001C3633">
      <w:r w:rsidRPr="001C3633">
        <w:t>There are no exceptions to the certification statement.</w:t>
      </w:r>
    </w:p>
    <w:p w14:paraId="49B5B4C7" w14:textId="77777777" w:rsidR="006A29F9" w:rsidRDefault="006A29F9" w:rsidP="006A29F9"/>
    <w:p w14:paraId="49B5B4C8" w14:textId="77777777" w:rsidR="006A29F9" w:rsidRPr="006A29F9" w:rsidRDefault="006A29F9" w:rsidP="006A29F9">
      <w:pPr>
        <w:rPr>
          <w:b/>
        </w:rPr>
      </w:pPr>
      <w:r w:rsidRPr="006A29F9">
        <w:rPr>
          <w:b/>
        </w:rPr>
        <w:t>B.</w:t>
      </w:r>
      <w:r w:rsidRPr="006A29F9">
        <w:rPr>
          <w:b/>
        </w:rPr>
        <w:tab/>
        <w:t>Collections of Information Employing Statistical Methods</w:t>
      </w:r>
    </w:p>
    <w:p w14:paraId="49B5B4C9" w14:textId="77777777" w:rsidR="006A29F9" w:rsidRDefault="006A29F9" w:rsidP="006A29F9"/>
    <w:p w14:paraId="49B5B4CA" w14:textId="77777777" w:rsidR="006A29F9" w:rsidRDefault="006A29F9" w:rsidP="006A29F9">
      <w:r>
        <w:t>Not applicable to this collection.</w:t>
      </w:r>
    </w:p>
    <w:p w14:paraId="49B5B4CB" w14:textId="77777777" w:rsidR="00D56936" w:rsidRDefault="00D56936"/>
    <w:sectPr w:rsidR="00D56936" w:rsidSect="00094AC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426D" w14:textId="77777777" w:rsidR="004A77B0" w:rsidRDefault="004A77B0" w:rsidP="00285035">
      <w:r>
        <w:separator/>
      </w:r>
    </w:p>
  </w:endnote>
  <w:endnote w:type="continuationSeparator" w:id="0">
    <w:p w14:paraId="5F8A8CC0" w14:textId="77777777" w:rsidR="004A77B0" w:rsidRDefault="004A77B0" w:rsidP="0028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787449"/>
      <w:docPartObj>
        <w:docPartGallery w:val="Page Numbers (Bottom of Page)"/>
        <w:docPartUnique/>
      </w:docPartObj>
    </w:sdtPr>
    <w:sdtEndPr>
      <w:rPr>
        <w:noProof/>
      </w:rPr>
    </w:sdtEndPr>
    <w:sdtContent>
      <w:p w14:paraId="49B5B4D0" w14:textId="55F4BA50" w:rsidR="00CB2E0D" w:rsidRDefault="00CB2E0D">
        <w:pPr>
          <w:pStyle w:val="Footer"/>
          <w:jc w:val="right"/>
        </w:pPr>
        <w:r>
          <w:fldChar w:fldCharType="begin"/>
        </w:r>
        <w:r>
          <w:instrText xml:space="preserve"> PAGE   \* MERGEFORMAT </w:instrText>
        </w:r>
        <w:r>
          <w:fldChar w:fldCharType="separate"/>
        </w:r>
        <w:r w:rsidR="004A77B0">
          <w:rPr>
            <w:noProof/>
          </w:rPr>
          <w:t>1</w:t>
        </w:r>
        <w:r>
          <w:rPr>
            <w:noProof/>
          </w:rPr>
          <w:fldChar w:fldCharType="end"/>
        </w:r>
      </w:p>
    </w:sdtContent>
  </w:sdt>
  <w:p w14:paraId="49B5B4D1" w14:textId="5B6F95F3" w:rsidR="00CB2E0D" w:rsidRDefault="00CB2E0D" w:rsidP="005E1A9E">
    <w:pPr>
      <w:pStyle w:val="Footer"/>
      <w:tabs>
        <w:tab w:val="clear" w:pos="4680"/>
        <w:tab w:val="clear" w:pos="9360"/>
        <w:tab w:val="left" w:pos="84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7C57" w14:textId="77777777" w:rsidR="004A77B0" w:rsidRDefault="004A77B0" w:rsidP="00285035">
      <w:r>
        <w:separator/>
      </w:r>
    </w:p>
  </w:footnote>
  <w:footnote w:type="continuationSeparator" w:id="0">
    <w:p w14:paraId="693C7D1E" w14:textId="77777777" w:rsidR="004A77B0" w:rsidRDefault="004A77B0" w:rsidP="00285035">
      <w:r>
        <w:continuationSeparator/>
      </w:r>
    </w:p>
  </w:footnote>
  <w:footnote w:id="1">
    <w:p w14:paraId="485EC790" w14:textId="77777777" w:rsidR="00CB2E0D" w:rsidRDefault="00CB2E0D" w:rsidP="0075329D">
      <w:pPr>
        <w:pStyle w:val="FootnoteText"/>
      </w:pPr>
      <w:r w:rsidRPr="00666B72">
        <w:rPr>
          <w:rStyle w:val="FootnoteReference"/>
        </w:rPr>
        <w:footnoteRef/>
      </w:r>
      <w:r>
        <w:t xml:space="preserve"> </w:t>
      </w:r>
      <w:hyperlink r:id="rId1" w:history="1">
        <w:r w:rsidRPr="00E14080">
          <w:rPr>
            <w:rStyle w:val="Hyperlink"/>
          </w:rPr>
          <w:t>http://www.whitehouse.gov/omb/circulars_a076_a76_incl_tech_correction</w:t>
        </w:r>
      </w:hyperlink>
      <w:r w:rsidRPr="00666B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22349"/>
    <w:multiLevelType w:val="hybridMultilevel"/>
    <w:tmpl w:val="C7AEFCA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10EE3F87"/>
    <w:multiLevelType w:val="hybridMultilevel"/>
    <w:tmpl w:val="9A1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1B3"/>
    <w:multiLevelType w:val="hybridMultilevel"/>
    <w:tmpl w:val="0116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3385A"/>
    <w:multiLevelType w:val="hybridMultilevel"/>
    <w:tmpl w:val="FA4015F6"/>
    <w:lvl w:ilvl="0" w:tplc="1396A50A">
      <w:start w:val="4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E7192"/>
    <w:multiLevelType w:val="hybridMultilevel"/>
    <w:tmpl w:val="7E6A453A"/>
    <w:lvl w:ilvl="0" w:tplc="0EDED986">
      <w:start w:val="6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421A6"/>
    <w:multiLevelType w:val="hybridMultilevel"/>
    <w:tmpl w:val="298C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1754C"/>
    <w:multiLevelType w:val="hybridMultilevel"/>
    <w:tmpl w:val="1A78BD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CF5A3B"/>
    <w:multiLevelType w:val="hybridMultilevel"/>
    <w:tmpl w:val="7E6A453A"/>
    <w:lvl w:ilvl="0" w:tplc="0EDED986">
      <w:start w:val="6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214C5"/>
    <w:multiLevelType w:val="hybridMultilevel"/>
    <w:tmpl w:val="5FEEB4E6"/>
    <w:lvl w:ilvl="0" w:tplc="8A9C1C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1170"/>
    <w:multiLevelType w:val="hybridMultilevel"/>
    <w:tmpl w:val="58F298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73555"/>
    <w:multiLevelType w:val="hybridMultilevel"/>
    <w:tmpl w:val="AAB43278"/>
    <w:lvl w:ilvl="0" w:tplc="C56C4292">
      <w:start w:val="1"/>
      <w:numFmt w:val="upperLetter"/>
      <w:lvlText w:val="%1."/>
      <w:lvlJc w:val="left"/>
      <w:pPr>
        <w:ind w:left="1080" w:hanging="360"/>
      </w:pPr>
      <w:rPr>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A636F5"/>
    <w:multiLevelType w:val="hybridMultilevel"/>
    <w:tmpl w:val="4DB22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B16648"/>
    <w:multiLevelType w:val="hybridMultilevel"/>
    <w:tmpl w:val="48C8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E0860"/>
    <w:multiLevelType w:val="hybridMultilevel"/>
    <w:tmpl w:val="A178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374B9"/>
    <w:multiLevelType w:val="hybridMultilevel"/>
    <w:tmpl w:val="718A2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2C08DA"/>
    <w:multiLevelType w:val="hybridMultilevel"/>
    <w:tmpl w:val="68D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976E4"/>
    <w:multiLevelType w:val="hybridMultilevel"/>
    <w:tmpl w:val="EEB4FE7A"/>
    <w:lvl w:ilvl="0" w:tplc="0EDED986">
      <w:start w:val="4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4"/>
  </w:num>
  <w:num w:numId="4">
    <w:abstractNumId w:val="0"/>
  </w:num>
  <w:num w:numId="5">
    <w:abstractNumId w:val="10"/>
  </w:num>
  <w:num w:numId="6">
    <w:abstractNumId w:val="17"/>
  </w:num>
  <w:num w:numId="7">
    <w:abstractNumId w:val="12"/>
  </w:num>
  <w:num w:numId="8">
    <w:abstractNumId w:val="7"/>
  </w:num>
  <w:num w:numId="9">
    <w:abstractNumId w:val="5"/>
  </w:num>
  <w:num w:numId="10">
    <w:abstractNumId w:val="6"/>
  </w:num>
  <w:num w:numId="11">
    <w:abstractNumId w:val="9"/>
  </w:num>
  <w:num w:numId="12">
    <w:abstractNumId w:val="19"/>
  </w:num>
  <w:num w:numId="13">
    <w:abstractNumId w:val="11"/>
  </w:num>
  <w:num w:numId="14">
    <w:abstractNumId w:val="16"/>
  </w:num>
  <w:num w:numId="15">
    <w:abstractNumId w:val="1"/>
  </w:num>
  <w:num w:numId="16">
    <w:abstractNumId w:val="2"/>
  </w:num>
  <w:num w:numId="17">
    <w:abstractNumId w:val="8"/>
  </w:num>
  <w:num w:numId="18">
    <w:abstractNumId w:val="15"/>
  </w:num>
  <w:num w:numId="19">
    <w:abstractNumId w:val="1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20"/>
  <w:drawingGridVerticalSpacing w:val="163"/>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5"/>
    <w:rsid w:val="0000016D"/>
    <w:rsid w:val="00000F09"/>
    <w:rsid w:val="00001DC1"/>
    <w:rsid w:val="0000243F"/>
    <w:rsid w:val="000123EB"/>
    <w:rsid w:val="00013B4E"/>
    <w:rsid w:val="0001645B"/>
    <w:rsid w:val="00017965"/>
    <w:rsid w:val="00024065"/>
    <w:rsid w:val="00026F2F"/>
    <w:rsid w:val="000274AE"/>
    <w:rsid w:val="000300B5"/>
    <w:rsid w:val="0003196C"/>
    <w:rsid w:val="00032011"/>
    <w:rsid w:val="00036938"/>
    <w:rsid w:val="00050158"/>
    <w:rsid w:val="00057F13"/>
    <w:rsid w:val="00071E5D"/>
    <w:rsid w:val="000726C0"/>
    <w:rsid w:val="000735B7"/>
    <w:rsid w:val="0007426F"/>
    <w:rsid w:val="00077C2C"/>
    <w:rsid w:val="00083248"/>
    <w:rsid w:val="000834B7"/>
    <w:rsid w:val="00083FF9"/>
    <w:rsid w:val="000843E7"/>
    <w:rsid w:val="00084BAC"/>
    <w:rsid w:val="0008790B"/>
    <w:rsid w:val="00093921"/>
    <w:rsid w:val="00094AC1"/>
    <w:rsid w:val="000A003A"/>
    <w:rsid w:val="000A01D5"/>
    <w:rsid w:val="000A1ACC"/>
    <w:rsid w:val="000A4047"/>
    <w:rsid w:val="000A727E"/>
    <w:rsid w:val="000B535A"/>
    <w:rsid w:val="000B6F5B"/>
    <w:rsid w:val="000C1286"/>
    <w:rsid w:val="000C1B11"/>
    <w:rsid w:val="000C511F"/>
    <w:rsid w:val="000D0E65"/>
    <w:rsid w:val="000D152D"/>
    <w:rsid w:val="000D201C"/>
    <w:rsid w:val="000D240E"/>
    <w:rsid w:val="000D2AF0"/>
    <w:rsid w:val="000D40CB"/>
    <w:rsid w:val="000E176C"/>
    <w:rsid w:val="000E3632"/>
    <w:rsid w:val="000E3885"/>
    <w:rsid w:val="000E60B3"/>
    <w:rsid w:val="000E63FA"/>
    <w:rsid w:val="000F0C6B"/>
    <w:rsid w:val="000F3188"/>
    <w:rsid w:val="000F347C"/>
    <w:rsid w:val="00101D32"/>
    <w:rsid w:val="00104768"/>
    <w:rsid w:val="001177C6"/>
    <w:rsid w:val="00124026"/>
    <w:rsid w:val="00124174"/>
    <w:rsid w:val="0013630F"/>
    <w:rsid w:val="00136370"/>
    <w:rsid w:val="00136F5D"/>
    <w:rsid w:val="001400BA"/>
    <w:rsid w:val="001409DB"/>
    <w:rsid w:val="00140DA6"/>
    <w:rsid w:val="00141773"/>
    <w:rsid w:val="001549EE"/>
    <w:rsid w:val="00156966"/>
    <w:rsid w:val="00156D79"/>
    <w:rsid w:val="001608E4"/>
    <w:rsid w:val="001629D2"/>
    <w:rsid w:val="00165F13"/>
    <w:rsid w:val="00176E57"/>
    <w:rsid w:val="00177378"/>
    <w:rsid w:val="00181285"/>
    <w:rsid w:val="00181B94"/>
    <w:rsid w:val="0018630A"/>
    <w:rsid w:val="00187162"/>
    <w:rsid w:val="001904EA"/>
    <w:rsid w:val="001908BB"/>
    <w:rsid w:val="00190CB4"/>
    <w:rsid w:val="00192BD7"/>
    <w:rsid w:val="00193E3B"/>
    <w:rsid w:val="00194E8F"/>
    <w:rsid w:val="00196197"/>
    <w:rsid w:val="001965B3"/>
    <w:rsid w:val="001975CD"/>
    <w:rsid w:val="001A00A1"/>
    <w:rsid w:val="001A1C15"/>
    <w:rsid w:val="001A792A"/>
    <w:rsid w:val="001B25D2"/>
    <w:rsid w:val="001C011A"/>
    <w:rsid w:val="001C0941"/>
    <w:rsid w:val="001C12C5"/>
    <w:rsid w:val="001C186E"/>
    <w:rsid w:val="001C3633"/>
    <w:rsid w:val="001C4B26"/>
    <w:rsid w:val="001C6432"/>
    <w:rsid w:val="001D1639"/>
    <w:rsid w:val="001D2CE6"/>
    <w:rsid w:val="001E0FF0"/>
    <w:rsid w:val="001E47F4"/>
    <w:rsid w:val="001F0D8B"/>
    <w:rsid w:val="001F2334"/>
    <w:rsid w:val="001F4A3F"/>
    <w:rsid w:val="001F747C"/>
    <w:rsid w:val="00202F74"/>
    <w:rsid w:val="00203F7B"/>
    <w:rsid w:val="00207B8D"/>
    <w:rsid w:val="00211B07"/>
    <w:rsid w:val="00211F3E"/>
    <w:rsid w:val="002172E4"/>
    <w:rsid w:val="00217DC7"/>
    <w:rsid w:val="00222918"/>
    <w:rsid w:val="00226646"/>
    <w:rsid w:val="00232E0A"/>
    <w:rsid w:val="0023543B"/>
    <w:rsid w:val="002505ED"/>
    <w:rsid w:val="0025273F"/>
    <w:rsid w:val="00253A77"/>
    <w:rsid w:val="00256496"/>
    <w:rsid w:val="00260693"/>
    <w:rsid w:val="00261548"/>
    <w:rsid w:val="00263653"/>
    <w:rsid w:val="002641DD"/>
    <w:rsid w:val="00264EC2"/>
    <w:rsid w:val="00267BF3"/>
    <w:rsid w:val="002742A5"/>
    <w:rsid w:val="0027687F"/>
    <w:rsid w:val="00285035"/>
    <w:rsid w:val="00292A66"/>
    <w:rsid w:val="002966E0"/>
    <w:rsid w:val="002A2EE2"/>
    <w:rsid w:val="002A333B"/>
    <w:rsid w:val="002A5FAE"/>
    <w:rsid w:val="002A6C52"/>
    <w:rsid w:val="002B3148"/>
    <w:rsid w:val="002B3E48"/>
    <w:rsid w:val="002B5895"/>
    <w:rsid w:val="002C5A1A"/>
    <w:rsid w:val="002D03EB"/>
    <w:rsid w:val="002D2438"/>
    <w:rsid w:val="002D6520"/>
    <w:rsid w:val="002E0DB0"/>
    <w:rsid w:val="002E5E09"/>
    <w:rsid w:val="002F282A"/>
    <w:rsid w:val="00303F7F"/>
    <w:rsid w:val="00305236"/>
    <w:rsid w:val="00306933"/>
    <w:rsid w:val="00310038"/>
    <w:rsid w:val="00311094"/>
    <w:rsid w:val="00320096"/>
    <w:rsid w:val="00322D6C"/>
    <w:rsid w:val="003234ED"/>
    <w:rsid w:val="0033037C"/>
    <w:rsid w:val="003314C7"/>
    <w:rsid w:val="003317CD"/>
    <w:rsid w:val="0033322D"/>
    <w:rsid w:val="003362AE"/>
    <w:rsid w:val="003377CA"/>
    <w:rsid w:val="00337D3A"/>
    <w:rsid w:val="003454F8"/>
    <w:rsid w:val="00346866"/>
    <w:rsid w:val="00352AD7"/>
    <w:rsid w:val="003548A0"/>
    <w:rsid w:val="00362009"/>
    <w:rsid w:val="00362CA6"/>
    <w:rsid w:val="003631F6"/>
    <w:rsid w:val="00372824"/>
    <w:rsid w:val="0037354E"/>
    <w:rsid w:val="00374352"/>
    <w:rsid w:val="0037530A"/>
    <w:rsid w:val="00376400"/>
    <w:rsid w:val="003773FF"/>
    <w:rsid w:val="00380DFF"/>
    <w:rsid w:val="0038644A"/>
    <w:rsid w:val="00390E58"/>
    <w:rsid w:val="003913BD"/>
    <w:rsid w:val="00392368"/>
    <w:rsid w:val="00393E07"/>
    <w:rsid w:val="003A40CB"/>
    <w:rsid w:val="003B0E68"/>
    <w:rsid w:val="003B3562"/>
    <w:rsid w:val="003C106B"/>
    <w:rsid w:val="003C2013"/>
    <w:rsid w:val="003C22F4"/>
    <w:rsid w:val="003C75A4"/>
    <w:rsid w:val="003D1F5A"/>
    <w:rsid w:val="003D6B73"/>
    <w:rsid w:val="003D7D3C"/>
    <w:rsid w:val="003E22DE"/>
    <w:rsid w:val="003E5C11"/>
    <w:rsid w:val="003E7D50"/>
    <w:rsid w:val="00402DF9"/>
    <w:rsid w:val="004061BA"/>
    <w:rsid w:val="00411234"/>
    <w:rsid w:val="0041179A"/>
    <w:rsid w:val="00413467"/>
    <w:rsid w:val="00414109"/>
    <w:rsid w:val="00423629"/>
    <w:rsid w:val="004277E1"/>
    <w:rsid w:val="0043763D"/>
    <w:rsid w:val="00437EFA"/>
    <w:rsid w:val="004402B1"/>
    <w:rsid w:val="004414E9"/>
    <w:rsid w:val="00452DD9"/>
    <w:rsid w:val="00454E69"/>
    <w:rsid w:val="00454F84"/>
    <w:rsid w:val="00455F09"/>
    <w:rsid w:val="00456A49"/>
    <w:rsid w:val="00466E42"/>
    <w:rsid w:val="004678E5"/>
    <w:rsid w:val="00467FB9"/>
    <w:rsid w:val="0047574B"/>
    <w:rsid w:val="00477ED9"/>
    <w:rsid w:val="00482682"/>
    <w:rsid w:val="004901E6"/>
    <w:rsid w:val="0049383A"/>
    <w:rsid w:val="00496985"/>
    <w:rsid w:val="00497293"/>
    <w:rsid w:val="004A0A83"/>
    <w:rsid w:val="004A2133"/>
    <w:rsid w:val="004A2288"/>
    <w:rsid w:val="004A77B0"/>
    <w:rsid w:val="004B4535"/>
    <w:rsid w:val="004B45B6"/>
    <w:rsid w:val="004B56F7"/>
    <w:rsid w:val="004B7952"/>
    <w:rsid w:val="004C3770"/>
    <w:rsid w:val="004C3DCF"/>
    <w:rsid w:val="004C6218"/>
    <w:rsid w:val="004C6F1C"/>
    <w:rsid w:val="004C7595"/>
    <w:rsid w:val="004D1DF1"/>
    <w:rsid w:val="004D21D7"/>
    <w:rsid w:val="004D3549"/>
    <w:rsid w:val="004D53A2"/>
    <w:rsid w:val="004E490D"/>
    <w:rsid w:val="004E623A"/>
    <w:rsid w:val="004F02DC"/>
    <w:rsid w:val="004F02F1"/>
    <w:rsid w:val="004F33D2"/>
    <w:rsid w:val="00500B8F"/>
    <w:rsid w:val="00531E60"/>
    <w:rsid w:val="00537FB5"/>
    <w:rsid w:val="00544832"/>
    <w:rsid w:val="00544EE8"/>
    <w:rsid w:val="00550D5A"/>
    <w:rsid w:val="005511C3"/>
    <w:rsid w:val="00554E09"/>
    <w:rsid w:val="005551CE"/>
    <w:rsid w:val="00566E3F"/>
    <w:rsid w:val="005671E8"/>
    <w:rsid w:val="00571276"/>
    <w:rsid w:val="005756A1"/>
    <w:rsid w:val="00586862"/>
    <w:rsid w:val="005873F2"/>
    <w:rsid w:val="00587586"/>
    <w:rsid w:val="005918DA"/>
    <w:rsid w:val="00597B51"/>
    <w:rsid w:val="005A37A5"/>
    <w:rsid w:val="005B76F2"/>
    <w:rsid w:val="005E1A9E"/>
    <w:rsid w:val="005E46C6"/>
    <w:rsid w:val="005F6643"/>
    <w:rsid w:val="006011DF"/>
    <w:rsid w:val="006023AD"/>
    <w:rsid w:val="00602E70"/>
    <w:rsid w:val="006037B8"/>
    <w:rsid w:val="006134A7"/>
    <w:rsid w:val="00614125"/>
    <w:rsid w:val="0061771C"/>
    <w:rsid w:val="00617E65"/>
    <w:rsid w:val="006326C3"/>
    <w:rsid w:val="0063275E"/>
    <w:rsid w:val="00636105"/>
    <w:rsid w:val="0063748E"/>
    <w:rsid w:val="00640B5C"/>
    <w:rsid w:val="006435D0"/>
    <w:rsid w:val="006533B3"/>
    <w:rsid w:val="006564DA"/>
    <w:rsid w:val="00657ACE"/>
    <w:rsid w:val="006610F3"/>
    <w:rsid w:val="00662692"/>
    <w:rsid w:val="006640AA"/>
    <w:rsid w:val="006648CE"/>
    <w:rsid w:val="0066567A"/>
    <w:rsid w:val="00667A5B"/>
    <w:rsid w:val="0067220B"/>
    <w:rsid w:val="0067318B"/>
    <w:rsid w:val="00674526"/>
    <w:rsid w:val="0067560E"/>
    <w:rsid w:val="006801E1"/>
    <w:rsid w:val="006847ED"/>
    <w:rsid w:val="00693AEF"/>
    <w:rsid w:val="006A1A44"/>
    <w:rsid w:val="006A29F9"/>
    <w:rsid w:val="006A2B6A"/>
    <w:rsid w:val="006A56BE"/>
    <w:rsid w:val="006A799D"/>
    <w:rsid w:val="006C0103"/>
    <w:rsid w:val="006C543A"/>
    <w:rsid w:val="006C6D39"/>
    <w:rsid w:val="006D0EF9"/>
    <w:rsid w:val="006D36E8"/>
    <w:rsid w:val="006D3DE5"/>
    <w:rsid w:val="006D41CF"/>
    <w:rsid w:val="006D613A"/>
    <w:rsid w:val="006E1CBC"/>
    <w:rsid w:val="006E3B00"/>
    <w:rsid w:val="006E4678"/>
    <w:rsid w:val="0070046B"/>
    <w:rsid w:val="00703375"/>
    <w:rsid w:val="0070498C"/>
    <w:rsid w:val="00705929"/>
    <w:rsid w:val="00705F59"/>
    <w:rsid w:val="00707B43"/>
    <w:rsid w:val="00710931"/>
    <w:rsid w:val="007124FC"/>
    <w:rsid w:val="007139C6"/>
    <w:rsid w:val="00715E6C"/>
    <w:rsid w:val="00715F20"/>
    <w:rsid w:val="00717837"/>
    <w:rsid w:val="00727526"/>
    <w:rsid w:val="00737FA3"/>
    <w:rsid w:val="00743E74"/>
    <w:rsid w:val="0075329D"/>
    <w:rsid w:val="00753872"/>
    <w:rsid w:val="00755771"/>
    <w:rsid w:val="0077106B"/>
    <w:rsid w:val="0077330B"/>
    <w:rsid w:val="0077336B"/>
    <w:rsid w:val="007745E5"/>
    <w:rsid w:val="0077483A"/>
    <w:rsid w:val="00780099"/>
    <w:rsid w:val="00781890"/>
    <w:rsid w:val="00784BC5"/>
    <w:rsid w:val="007A5442"/>
    <w:rsid w:val="007A769B"/>
    <w:rsid w:val="007B0DE8"/>
    <w:rsid w:val="007B6F52"/>
    <w:rsid w:val="007C08A6"/>
    <w:rsid w:val="007D7485"/>
    <w:rsid w:val="007E104B"/>
    <w:rsid w:val="007E4248"/>
    <w:rsid w:val="007F2D6F"/>
    <w:rsid w:val="008016B1"/>
    <w:rsid w:val="00801EC6"/>
    <w:rsid w:val="00806218"/>
    <w:rsid w:val="008200C3"/>
    <w:rsid w:val="0082426F"/>
    <w:rsid w:val="008264CE"/>
    <w:rsid w:val="008374D6"/>
    <w:rsid w:val="00840091"/>
    <w:rsid w:val="00843B51"/>
    <w:rsid w:val="00846E52"/>
    <w:rsid w:val="008532C7"/>
    <w:rsid w:val="008536A4"/>
    <w:rsid w:val="008549FB"/>
    <w:rsid w:val="00862E55"/>
    <w:rsid w:val="00870ED7"/>
    <w:rsid w:val="00876F39"/>
    <w:rsid w:val="008771FC"/>
    <w:rsid w:val="00881B5B"/>
    <w:rsid w:val="008822D8"/>
    <w:rsid w:val="0088634D"/>
    <w:rsid w:val="008908CD"/>
    <w:rsid w:val="008A2D41"/>
    <w:rsid w:val="008A662A"/>
    <w:rsid w:val="008A6FB2"/>
    <w:rsid w:val="008B12AD"/>
    <w:rsid w:val="008B7F82"/>
    <w:rsid w:val="008C075C"/>
    <w:rsid w:val="008C5129"/>
    <w:rsid w:val="008C53CC"/>
    <w:rsid w:val="008D0D98"/>
    <w:rsid w:val="008D5D82"/>
    <w:rsid w:val="008D6364"/>
    <w:rsid w:val="008D7A01"/>
    <w:rsid w:val="008E3BD4"/>
    <w:rsid w:val="008E63B8"/>
    <w:rsid w:val="009058D7"/>
    <w:rsid w:val="00920CCF"/>
    <w:rsid w:val="00924205"/>
    <w:rsid w:val="00925EEF"/>
    <w:rsid w:val="009303ED"/>
    <w:rsid w:val="009326CA"/>
    <w:rsid w:val="00934A99"/>
    <w:rsid w:val="009352D2"/>
    <w:rsid w:val="00940D35"/>
    <w:rsid w:val="0094437B"/>
    <w:rsid w:val="009454D2"/>
    <w:rsid w:val="00945B32"/>
    <w:rsid w:val="00951BCB"/>
    <w:rsid w:val="0096123C"/>
    <w:rsid w:val="00962FBC"/>
    <w:rsid w:val="00963251"/>
    <w:rsid w:val="00966304"/>
    <w:rsid w:val="00973922"/>
    <w:rsid w:val="00980058"/>
    <w:rsid w:val="00984229"/>
    <w:rsid w:val="0098440F"/>
    <w:rsid w:val="009849E8"/>
    <w:rsid w:val="00986494"/>
    <w:rsid w:val="009922D7"/>
    <w:rsid w:val="00994E64"/>
    <w:rsid w:val="0099675C"/>
    <w:rsid w:val="00997F58"/>
    <w:rsid w:val="009A281D"/>
    <w:rsid w:val="009A3B94"/>
    <w:rsid w:val="009A3EE6"/>
    <w:rsid w:val="009A42F5"/>
    <w:rsid w:val="009B0EE5"/>
    <w:rsid w:val="009B4BAF"/>
    <w:rsid w:val="009B53BF"/>
    <w:rsid w:val="009B56C6"/>
    <w:rsid w:val="009B6744"/>
    <w:rsid w:val="009B6EBD"/>
    <w:rsid w:val="009C0000"/>
    <w:rsid w:val="009C051B"/>
    <w:rsid w:val="009C14BA"/>
    <w:rsid w:val="009C4191"/>
    <w:rsid w:val="009C4392"/>
    <w:rsid w:val="009C5477"/>
    <w:rsid w:val="009C6794"/>
    <w:rsid w:val="009D03C6"/>
    <w:rsid w:val="009D1483"/>
    <w:rsid w:val="009E290D"/>
    <w:rsid w:val="009E4EEB"/>
    <w:rsid w:val="009E69C5"/>
    <w:rsid w:val="009F40FE"/>
    <w:rsid w:val="009F5CE3"/>
    <w:rsid w:val="009F7144"/>
    <w:rsid w:val="00A00A7C"/>
    <w:rsid w:val="00A04B4F"/>
    <w:rsid w:val="00A11926"/>
    <w:rsid w:val="00A13627"/>
    <w:rsid w:val="00A22798"/>
    <w:rsid w:val="00A22C04"/>
    <w:rsid w:val="00A2701E"/>
    <w:rsid w:val="00A2742F"/>
    <w:rsid w:val="00A3219D"/>
    <w:rsid w:val="00A34CAA"/>
    <w:rsid w:val="00A408B3"/>
    <w:rsid w:val="00A45071"/>
    <w:rsid w:val="00A515A8"/>
    <w:rsid w:val="00A51916"/>
    <w:rsid w:val="00A52654"/>
    <w:rsid w:val="00A55392"/>
    <w:rsid w:val="00A565D8"/>
    <w:rsid w:val="00A56A86"/>
    <w:rsid w:val="00A57A4B"/>
    <w:rsid w:val="00A6098F"/>
    <w:rsid w:val="00A6111B"/>
    <w:rsid w:val="00A61225"/>
    <w:rsid w:val="00A61C6E"/>
    <w:rsid w:val="00A61CE8"/>
    <w:rsid w:val="00A655AE"/>
    <w:rsid w:val="00A76F26"/>
    <w:rsid w:val="00A81262"/>
    <w:rsid w:val="00A823DB"/>
    <w:rsid w:val="00A84751"/>
    <w:rsid w:val="00A90E4D"/>
    <w:rsid w:val="00A922E6"/>
    <w:rsid w:val="00A977D0"/>
    <w:rsid w:val="00AA4264"/>
    <w:rsid w:val="00AB17B5"/>
    <w:rsid w:val="00AB3348"/>
    <w:rsid w:val="00AC097F"/>
    <w:rsid w:val="00AC5D0A"/>
    <w:rsid w:val="00AC6250"/>
    <w:rsid w:val="00AC67DD"/>
    <w:rsid w:val="00AD01E0"/>
    <w:rsid w:val="00AD1412"/>
    <w:rsid w:val="00AD3399"/>
    <w:rsid w:val="00AD7856"/>
    <w:rsid w:val="00AE0AE1"/>
    <w:rsid w:val="00AE2669"/>
    <w:rsid w:val="00AE4205"/>
    <w:rsid w:val="00AE6B69"/>
    <w:rsid w:val="00AE7AC7"/>
    <w:rsid w:val="00AF1955"/>
    <w:rsid w:val="00AF5617"/>
    <w:rsid w:val="00B00C64"/>
    <w:rsid w:val="00B00E52"/>
    <w:rsid w:val="00B10AF5"/>
    <w:rsid w:val="00B16BB6"/>
    <w:rsid w:val="00B16ECD"/>
    <w:rsid w:val="00B23172"/>
    <w:rsid w:val="00B30313"/>
    <w:rsid w:val="00B30E0C"/>
    <w:rsid w:val="00B35395"/>
    <w:rsid w:val="00B37391"/>
    <w:rsid w:val="00B41AEC"/>
    <w:rsid w:val="00B43BFC"/>
    <w:rsid w:val="00B44995"/>
    <w:rsid w:val="00B53708"/>
    <w:rsid w:val="00B54E19"/>
    <w:rsid w:val="00B62538"/>
    <w:rsid w:val="00B67C19"/>
    <w:rsid w:val="00B67E87"/>
    <w:rsid w:val="00B73C7A"/>
    <w:rsid w:val="00B74A3F"/>
    <w:rsid w:val="00B80506"/>
    <w:rsid w:val="00B824A8"/>
    <w:rsid w:val="00B82AD6"/>
    <w:rsid w:val="00B8467D"/>
    <w:rsid w:val="00B92FC0"/>
    <w:rsid w:val="00B96865"/>
    <w:rsid w:val="00BA3F86"/>
    <w:rsid w:val="00BA7C0C"/>
    <w:rsid w:val="00BC0AC5"/>
    <w:rsid w:val="00BC0CD6"/>
    <w:rsid w:val="00BC5FB0"/>
    <w:rsid w:val="00BC755D"/>
    <w:rsid w:val="00BD035C"/>
    <w:rsid w:val="00BD18DC"/>
    <w:rsid w:val="00BD2C66"/>
    <w:rsid w:val="00BD5B48"/>
    <w:rsid w:val="00BD66C3"/>
    <w:rsid w:val="00BE3301"/>
    <w:rsid w:val="00BF08B8"/>
    <w:rsid w:val="00BF4FAF"/>
    <w:rsid w:val="00BF5D41"/>
    <w:rsid w:val="00BF7D85"/>
    <w:rsid w:val="00BF7DD0"/>
    <w:rsid w:val="00C131D4"/>
    <w:rsid w:val="00C209E1"/>
    <w:rsid w:val="00C222B5"/>
    <w:rsid w:val="00C33721"/>
    <w:rsid w:val="00C4112F"/>
    <w:rsid w:val="00C463FF"/>
    <w:rsid w:val="00C5136E"/>
    <w:rsid w:val="00C54711"/>
    <w:rsid w:val="00C54FAC"/>
    <w:rsid w:val="00C5625F"/>
    <w:rsid w:val="00C56FBA"/>
    <w:rsid w:val="00C57757"/>
    <w:rsid w:val="00C57CB7"/>
    <w:rsid w:val="00C70BF7"/>
    <w:rsid w:val="00C71E7E"/>
    <w:rsid w:val="00C744A6"/>
    <w:rsid w:val="00C75983"/>
    <w:rsid w:val="00C769EE"/>
    <w:rsid w:val="00C82C0C"/>
    <w:rsid w:val="00C87F0B"/>
    <w:rsid w:val="00C90EB7"/>
    <w:rsid w:val="00C91FD2"/>
    <w:rsid w:val="00C9528C"/>
    <w:rsid w:val="00C97BAC"/>
    <w:rsid w:val="00CA711C"/>
    <w:rsid w:val="00CB2E0D"/>
    <w:rsid w:val="00CB34AE"/>
    <w:rsid w:val="00CB47EA"/>
    <w:rsid w:val="00CC06CF"/>
    <w:rsid w:val="00CC1733"/>
    <w:rsid w:val="00CC478F"/>
    <w:rsid w:val="00CC605A"/>
    <w:rsid w:val="00CC6652"/>
    <w:rsid w:val="00CD3092"/>
    <w:rsid w:val="00CD5089"/>
    <w:rsid w:val="00CE4958"/>
    <w:rsid w:val="00CF03AB"/>
    <w:rsid w:val="00CF0CEF"/>
    <w:rsid w:val="00CF4F81"/>
    <w:rsid w:val="00D000D3"/>
    <w:rsid w:val="00D00D39"/>
    <w:rsid w:val="00D05D92"/>
    <w:rsid w:val="00D114C7"/>
    <w:rsid w:val="00D1645E"/>
    <w:rsid w:val="00D17CB4"/>
    <w:rsid w:val="00D22004"/>
    <w:rsid w:val="00D2308A"/>
    <w:rsid w:val="00D24D94"/>
    <w:rsid w:val="00D2620C"/>
    <w:rsid w:val="00D27B79"/>
    <w:rsid w:val="00D31BAA"/>
    <w:rsid w:val="00D33F64"/>
    <w:rsid w:val="00D34639"/>
    <w:rsid w:val="00D36BEB"/>
    <w:rsid w:val="00D42AA7"/>
    <w:rsid w:val="00D50680"/>
    <w:rsid w:val="00D50F82"/>
    <w:rsid w:val="00D51DE9"/>
    <w:rsid w:val="00D52D60"/>
    <w:rsid w:val="00D56936"/>
    <w:rsid w:val="00D56D08"/>
    <w:rsid w:val="00D6191D"/>
    <w:rsid w:val="00D63106"/>
    <w:rsid w:val="00D71D28"/>
    <w:rsid w:val="00D72F26"/>
    <w:rsid w:val="00D76D48"/>
    <w:rsid w:val="00D80A61"/>
    <w:rsid w:val="00D8194F"/>
    <w:rsid w:val="00D83EEE"/>
    <w:rsid w:val="00D9592F"/>
    <w:rsid w:val="00D96C3B"/>
    <w:rsid w:val="00D97F5C"/>
    <w:rsid w:val="00DA6188"/>
    <w:rsid w:val="00DB72BE"/>
    <w:rsid w:val="00DC0B2D"/>
    <w:rsid w:val="00DC22A0"/>
    <w:rsid w:val="00DC245C"/>
    <w:rsid w:val="00DC6AB8"/>
    <w:rsid w:val="00DC754C"/>
    <w:rsid w:val="00DD2743"/>
    <w:rsid w:val="00DD4662"/>
    <w:rsid w:val="00DE25E1"/>
    <w:rsid w:val="00DE51B2"/>
    <w:rsid w:val="00DF0591"/>
    <w:rsid w:val="00DF17D9"/>
    <w:rsid w:val="00DF4554"/>
    <w:rsid w:val="00E01432"/>
    <w:rsid w:val="00E0537F"/>
    <w:rsid w:val="00E05F27"/>
    <w:rsid w:val="00E0638E"/>
    <w:rsid w:val="00E10541"/>
    <w:rsid w:val="00E11C52"/>
    <w:rsid w:val="00E25125"/>
    <w:rsid w:val="00E305D9"/>
    <w:rsid w:val="00E30A50"/>
    <w:rsid w:val="00E438B7"/>
    <w:rsid w:val="00E51156"/>
    <w:rsid w:val="00E526E3"/>
    <w:rsid w:val="00E53EF6"/>
    <w:rsid w:val="00E60D24"/>
    <w:rsid w:val="00E62BD4"/>
    <w:rsid w:val="00E70843"/>
    <w:rsid w:val="00E71898"/>
    <w:rsid w:val="00E71B75"/>
    <w:rsid w:val="00E73B28"/>
    <w:rsid w:val="00E77E90"/>
    <w:rsid w:val="00E9382A"/>
    <w:rsid w:val="00EA1A1E"/>
    <w:rsid w:val="00EA3E57"/>
    <w:rsid w:val="00EA5965"/>
    <w:rsid w:val="00EA6EB5"/>
    <w:rsid w:val="00EB033F"/>
    <w:rsid w:val="00EB055B"/>
    <w:rsid w:val="00EB6D3E"/>
    <w:rsid w:val="00EC273F"/>
    <w:rsid w:val="00EC31C1"/>
    <w:rsid w:val="00EC45DE"/>
    <w:rsid w:val="00EC55F0"/>
    <w:rsid w:val="00EC6F5A"/>
    <w:rsid w:val="00ED160C"/>
    <w:rsid w:val="00EE699E"/>
    <w:rsid w:val="00EE6A2D"/>
    <w:rsid w:val="00EF012B"/>
    <w:rsid w:val="00EF30EB"/>
    <w:rsid w:val="00EF4B44"/>
    <w:rsid w:val="00EF55F0"/>
    <w:rsid w:val="00F060AC"/>
    <w:rsid w:val="00F1014E"/>
    <w:rsid w:val="00F12F18"/>
    <w:rsid w:val="00F24608"/>
    <w:rsid w:val="00F2537A"/>
    <w:rsid w:val="00F25F41"/>
    <w:rsid w:val="00F313D6"/>
    <w:rsid w:val="00F3319D"/>
    <w:rsid w:val="00F35106"/>
    <w:rsid w:val="00F405C2"/>
    <w:rsid w:val="00F41084"/>
    <w:rsid w:val="00F41A81"/>
    <w:rsid w:val="00F4457A"/>
    <w:rsid w:val="00F447A4"/>
    <w:rsid w:val="00F648EA"/>
    <w:rsid w:val="00F658FC"/>
    <w:rsid w:val="00F65FF4"/>
    <w:rsid w:val="00F678E6"/>
    <w:rsid w:val="00F702EA"/>
    <w:rsid w:val="00F77130"/>
    <w:rsid w:val="00F77908"/>
    <w:rsid w:val="00F83D56"/>
    <w:rsid w:val="00F9481A"/>
    <w:rsid w:val="00FA1E0A"/>
    <w:rsid w:val="00FB1D36"/>
    <w:rsid w:val="00FC0EBC"/>
    <w:rsid w:val="00FD4042"/>
    <w:rsid w:val="00FE0264"/>
    <w:rsid w:val="00FF01FE"/>
    <w:rsid w:val="00FF1B14"/>
    <w:rsid w:val="00FF1E41"/>
    <w:rsid w:val="00FF4AAC"/>
    <w:rsid w:val="00FF6DB8"/>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rsid w:val="00285035"/>
    <w:rPr>
      <w:color w:val="0000FF"/>
      <w:u w:val="single"/>
    </w:rPr>
  </w:style>
  <w:style w:type="character" w:styleId="CommentReference">
    <w:name w:val="annotation reference"/>
    <w:basedOn w:val="DefaultParagraphFont"/>
    <w:uiPriority w:val="99"/>
    <w:semiHidden/>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B5895"/>
    <w:rPr>
      <w:sz w:val="20"/>
      <w:szCs w:val="20"/>
    </w:rPr>
  </w:style>
  <w:style w:type="character" w:customStyle="1" w:styleId="CommentTextChar">
    <w:name w:val="Comment Text Char"/>
    <w:basedOn w:val="DefaultParagraphFont"/>
    <w:link w:val="CommentText"/>
    <w:uiPriority w:val="99"/>
    <w:semiHidden/>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aliases w:val="Char18"/>
    <w:basedOn w:val="Normal"/>
    <w:link w:val="FootnoteTextChar"/>
    <w:uiPriority w:val="99"/>
    <w:unhideWhenUsed/>
    <w:qFormat/>
    <w:rsid w:val="006011DF"/>
    <w:rPr>
      <w:sz w:val="20"/>
      <w:szCs w:val="20"/>
    </w:rPr>
  </w:style>
  <w:style w:type="character" w:customStyle="1" w:styleId="FootnoteTextChar">
    <w:name w:val="Footnote Text Char"/>
    <w:aliases w:val="Char18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TableText">
    <w:name w:val="Table Text"/>
    <w:basedOn w:val="Normal"/>
    <w:qFormat/>
    <w:rsid w:val="00094AC1"/>
    <w:pPr>
      <w:spacing w:before="40" w:after="40"/>
    </w:pPr>
    <w:rPr>
      <w:sz w:val="22"/>
    </w:rPr>
  </w:style>
  <w:style w:type="paragraph" w:customStyle="1" w:styleId="TableColumnHeading">
    <w:name w:val="Table Column Heading"/>
    <w:basedOn w:val="Normal"/>
    <w:qFormat/>
    <w:rsid w:val="00094AC1"/>
    <w:pPr>
      <w:spacing w:before="40" w:after="40"/>
      <w:jc w:val="center"/>
    </w:pPr>
    <w:rPr>
      <w:rFonts w:ascii="Times New Roman Bold" w:hAnsi="Times New Roman Bold"/>
      <w:b/>
    </w:rPr>
  </w:style>
  <w:style w:type="paragraph" w:customStyle="1" w:styleId="BulletList">
    <w:name w:val="Bullet List"/>
    <w:basedOn w:val="Normal"/>
    <w:qFormat/>
    <w:rsid w:val="00B30313"/>
    <w:pPr>
      <w:spacing w:before="60" w:after="60"/>
      <w:ind w:left="720" w:hanging="360"/>
    </w:pPr>
  </w:style>
  <w:style w:type="paragraph" w:styleId="Revision">
    <w:name w:val="Revision"/>
    <w:hidden/>
    <w:uiPriority w:val="99"/>
    <w:semiHidden/>
    <w:rsid w:val="004C3770"/>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9452">
      <w:bodyDiv w:val="1"/>
      <w:marLeft w:val="0"/>
      <w:marRight w:val="0"/>
      <w:marTop w:val="0"/>
      <w:marBottom w:val="0"/>
      <w:divBdr>
        <w:top w:val="none" w:sz="0" w:space="0" w:color="auto"/>
        <w:left w:val="none" w:sz="0" w:space="0" w:color="auto"/>
        <w:bottom w:val="none" w:sz="0" w:space="0" w:color="auto"/>
        <w:right w:val="none" w:sz="0" w:space="0" w:color="auto"/>
      </w:divBdr>
    </w:div>
    <w:div w:id="79379333">
      <w:bodyDiv w:val="1"/>
      <w:marLeft w:val="0"/>
      <w:marRight w:val="0"/>
      <w:marTop w:val="0"/>
      <w:marBottom w:val="0"/>
      <w:divBdr>
        <w:top w:val="none" w:sz="0" w:space="0" w:color="auto"/>
        <w:left w:val="none" w:sz="0" w:space="0" w:color="auto"/>
        <w:bottom w:val="none" w:sz="0" w:space="0" w:color="auto"/>
        <w:right w:val="none" w:sz="0" w:space="0" w:color="auto"/>
      </w:divBdr>
    </w:div>
    <w:div w:id="108091586">
      <w:bodyDiv w:val="1"/>
      <w:marLeft w:val="0"/>
      <w:marRight w:val="0"/>
      <w:marTop w:val="0"/>
      <w:marBottom w:val="0"/>
      <w:divBdr>
        <w:top w:val="none" w:sz="0" w:space="0" w:color="auto"/>
        <w:left w:val="none" w:sz="0" w:space="0" w:color="auto"/>
        <w:bottom w:val="none" w:sz="0" w:space="0" w:color="auto"/>
        <w:right w:val="none" w:sz="0" w:space="0" w:color="auto"/>
      </w:divBdr>
    </w:div>
    <w:div w:id="122618372">
      <w:bodyDiv w:val="1"/>
      <w:marLeft w:val="0"/>
      <w:marRight w:val="0"/>
      <w:marTop w:val="0"/>
      <w:marBottom w:val="0"/>
      <w:divBdr>
        <w:top w:val="none" w:sz="0" w:space="0" w:color="auto"/>
        <w:left w:val="none" w:sz="0" w:space="0" w:color="auto"/>
        <w:bottom w:val="none" w:sz="0" w:space="0" w:color="auto"/>
        <w:right w:val="none" w:sz="0" w:space="0" w:color="auto"/>
      </w:divBdr>
    </w:div>
    <w:div w:id="142048215">
      <w:bodyDiv w:val="1"/>
      <w:marLeft w:val="0"/>
      <w:marRight w:val="0"/>
      <w:marTop w:val="0"/>
      <w:marBottom w:val="0"/>
      <w:divBdr>
        <w:top w:val="none" w:sz="0" w:space="0" w:color="auto"/>
        <w:left w:val="none" w:sz="0" w:space="0" w:color="auto"/>
        <w:bottom w:val="none" w:sz="0" w:space="0" w:color="auto"/>
        <w:right w:val="none" w:sz="0" w:space="0" w:color="auto"/>
      </w:divBdr>
    </w:div>
    <w:div w:id="174195530">
      <w:bodyDiv w:val="1"/>
      <w:marLeft w:val="0"/>
      <w:marRight w:val="0"/>
      <w:marTop w:val="0"/>
      <w:marBottom w:val="0"/>
      <w:divBdr>
        <w:top w:val="none" w:sz="0" w:space="0" w:color="auto"/>
        <w:left w:val="none" w:sz="0" w:space="0" w:color="auto"/>
        <w:bottom w:val="none" w:sz="0" w:space="0" w:color="auto"/>
        <w:right w:val="none" w:sz="0" w:space="0" w:color="auto"/>
      </w:divBdr>
    </w:div>
    <w:div w:id="356781559">
      <w:bodyDiv w:val="1"/>
      <w:marLeft w:val="0"/>
      <w:marRight w:val="0"/>
      <w:marTop w:val="0"/>
      <w:marBottom w:val="0"/>
      <w:divBdr>
        <w:top w:val="none" w:sz="0" w:space="0" w:color="auto"/>
        <w:left w:val="none" w:sz="0" w:space="0" w:color="auto"/>
        <w:bottom w:val="none" w:sz="0" w:space="0" w:color="auto"/>
        <w:right w:val="none" w:sz="0" w:space="0" w:color="auto"/>
      </w:divBdr>
    </w:div>
    <w:div w:id="376323890">
      <w:bodyDiv w:val="1"/>
      <w:marLeft w:val="0"/>
      <w:marRight w:val="0"/>
      <w:marTop w:val="0"/>
      <w:marBottom w:val="0"/>
      <w:divBdr>
        <w:top w:val="none" w:sz="0" w:space="0" w:color="auto"/>
        <w:left w:val="none" w:sz="0" w:space="0" w:color="auto"/>
        <w:bottom w:val="none" w:sz="0" w:space="0" w:color="auto"/>
        <w:right w:val="none" w:sz="0" w:space="0" w:color="auto"/>
      </w:divBdr>
    </w:div>
    <w:div w:id="377126073">
      <w:bodyDiv w:val="1"/>
      <w:marLeft w:val="0"/>
      <w:marRight w:val="0"/>
      <w:marTop w:val="0"/>
      <w:marBottom w:val="0"/>
      <w:divBdr>
        <w:top w:val="none" w:sz="0" w:space="0" w:color="auto"/>
        <w:left w:val="none" w:sz="0" w:space="0" w:color="auto"/>
        <w:bottom w:val="none" w:sz="0" w:space="0" w:color="auto"/>
        <w:right w:val="none" w:sz="0" w:space="0" w:color="auto"/>
      </w:divBdr>
    </w:div>
    <w:div w:id="412896945">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92531258">
      <w:bodyDiv w:val="1"/>
      <w:marLeft w:val="0"/>
      <w:marRight w:val="0"/>
      <w:marTop w:val="0"/>
      <w:marBottom w:val="0"/>
      <w:divBdr>
        <w:top w:val="none" w:sz="0" w:space="0" w:color="auto"/>
        <w:left w:val="none" w:sz="0" w:space="0" w:color="auto"/>
        <w:bottom w:val="none" w:sz="0" w:space="0" w:color="auto"/>
        <w:right w:val="none" w:sz="0" w:space="0" w:color="auto"/>
      </w:divBdr>
    </w:div>
    <w:div w:id="570965919">
      <w:bodyDiv w:val="1"/>
      <w:marLeft w:val="0"/>
      <w:marRight w:val="0"/>
      <w:marTop w:val="0"/>
      <w:marBottom w:val="0"/>
      <w:divBdr>
        <w:top w:val="none" w:sz="0" w:space="0" w:color="auto"/>
        <w:left w:val="none" w:sz="0" w:space="0" w:color="auto"/>
        <w:bottom w:val="none" w:sz="0" w:space="0" w:color="auto"/>
        <w:right w:val="none" w:sz="0" w:space="0" w:color="auto"/>
      </w:divBdr>
    </w:div>
    <w:div w:id="656611872">
      <w:bodyDiv w:val="1"/>
      <w:marLeft w:val="0"/>
      <w:marRight w:val="0"/>
      <w:marTop w:val="0"/>
      <w:marBottom w:val="0"/>
      <w:divBdr>
        <w:top w:val="none" w:sz="0" w:space="0" w:color="auto"/>
        <w:left w:val="none" w:sz="0" w:space="0" w:color="auto"/>
        <w:bottom w:val="none" w:sz="0" w:space="0" w:color="auto"/>
        <w:right w:val="none" w:sz="0" w:space="0" w:color="auto"/>
      </w:divBdr>
    </w:div>
    <w:div w:id="753550676">
      <w:bodyDiv w:val="1"/>
      <w:marLeft w:val="0"/>
      <w:marRight w:val="0"/>
      <w:marTop w:val="0"/>
      <w:marBottom w:val="0"/>
      <w:divBdr>
        <w:top w:val="none" w:sz="0" w:space="0" w:color="auto"/>
        <w:left w:val="none" w:sz="0" w:space="0" w:color="auto"/>
        <w:bottom w:val="none" w:sz="0" w:space="0" w:color="auto"/>
        <w:right w:val="none" w:sz="0" w:space="0" w:color="auto"/>
      </w:divBdr>
    </w:div>
    <w:div w:id="782193623">
      <w:bodyDiv w:val="1"/>
      <w:marLeft w:val="0"/>
      <w:marRight w:val="0"/>
      <w:marTop w:val="0"/>
      <w:marBottom w:val="0"/>
      <w:divBdr>
        <w:top w:val="none" w:sz="0" w:space="0" w:color="auto"/>
        <w:left w:val="none" w:sz="0" w:space="0" w:color="auto"/>
        <w:bottom w:val="none" w:sz="0" w:space="0" w:color="auto"/>
        <w:right w:val="none" w:sz="0" w:space="0" w:color="auto"/>
      </w:divBdr>
    </w:div>
    <w:div w:id="817069063">
      <w:bodyDiv w:val="1"/>
      <w:marLeft w:val="0"/>
      <w:marRight w:val="0"/>
      <w:marTop w:val="0"/>
      <w:marBottom w:val="0"/>
      <w:divBdr>
        <w:top w:val="none" w:sz="0" w:space="0" w:color="auto"/>
        <w:left w:val="none" w:sz="0" w:space="0" w:color="auto"/>
        <w:bottom w:val="none" w:sz="0" w:space="0" w:color="auto"/>
        <w:right w:val="none" w:sz="0" w:space="0" w:color="auto"/>
      </w:divBdr>
    </w:div>
    <w:div w:id="929392802">
      <w:bodyDiv w:val="1"/>
      <w:marLeft w:val="0"/>
      <w:marRight w:val="0"/>
      <w:marTop w:val="0"/>
      <w:marBottom w:val="0"/>
      <w:divBdr>
        <w:top w:val="none" w:sz="0" w:space="0" w:color="auto"/>
        <w:left w:val="none" w:sz="0" w:space="0" w:color="auto"/>
        <w:bottom w:val="none" w:sz="0" w:space="0" w:color="auto"/>
        <w:right w:val="none" w:sz="0" w:space="0" w:color="auto"/>
      </w:divBdr>
    </w:div>
    <w:div w:id="1037507515">
      <w:bodyDiv w:val="1"/>
      <w:marLeft w:val="0"/>
      <w:marRight w:val="0"/>
      <w:marTop w:val="0"/>
      <w:marBottom w:val="0"/>
      <w:divBdr>
        <w:top w:val="none" w:sz="0" w:space="0" w:color="auto"/>
        <w:left w:val="none" w:sz="0" w:space="0" w:color="auto"/>
        <w:bottom w:val="none" w:sz="0" w:space="0" w:color="auto"/>
        <w:right w:val="none" w:sz="0" w:space="0" w:color="auto"/>
      </w:divBdr>
    </w:div>
    <w:div w:id="1056516038">
      <w:bodyDiv w:val="1"/>
      <w:marLeft w:val="0"/>
      <w:marRight w:val="0"/>
      <w:marTop w:val="0"/>
      <w:marBottom w:val="0"/>
      <w:divBdr>
        <w:top w:val="none" w:sz="0" w:space="0" w:color="auto"/>
        <w:left w:val="none" w:sz="0" w:space="0" w:color="auto"/>
        <w:bottom w:val="none" w:sz="0" w:space="0" w:color="auto"/>
        <w:right w:val="none" w:sz="0" w:space="0" w:color="auto"/>
      </w:divBdr>
    </w:div>
    <w:div w:id="1106190576">
      <w:bodyDiv w:val="1"/>
      <w:marLeft w:val="0"/>
      <w:marRight w:val="0"/>
      <w:marTop w:val="0"/>
      <w:marBottom w:val="0"/>
      <w:divBdr>
        <w:top w:val="none" w:sz="0" w:space="0" w:color="auto"/>
        <w:left w:val="none" w:sz="0" w:space="0" w:color="auto"/>
        <w:bottom w:val="none" w:sz="0" w:space="0" w:color="auto"/>
        <w:right w:val="none" w:sz="0" w:space="0" w:color="auto"/>
      </w:divBdr>
    </w:div>
    <w:div w:id="1141851925">
      <w:bodyDiv w:val="1"/>
      <w:marLeft w:val="0"/>
      <w:marRight w:val="0"/>
      <w:marTop w:val="0"/>
      <w:marBottom w:val="0"/>
      <w:divBdr>
        <w:top w:val="none" w:sz="0" w:space="0" w:color="auto"/>
        <w:left w:val="none" w:sz="0" w:space="0" w:color="auto"/>
        <w:bottom w:val="none" w:sz="0" w:space="0" w:color="auto"/>
        <w:right w:val="none" w:sz="0" w:space="0" w:color="auto"/>
      </w:divBdr>
    </w:div>
    <w:div w:id="1282418378">
      <w:bodyDiv w:val="1"/>
      <w:marLeft w:val="0"/>
      <w:marRight w:val="0"/>
      <w:marTop w:val="0"/>
      <w:marBottom w:val="0"/>
      <w:divBdr>
        <w:top w:val="none" w:sz="0" w:space="0" w:color="auto"/>
        <w:left w:val="none" w:sz="0" w:space="0" w:color="auto"/>
        <w:bottom w:val="none" w:sz="0" w:space="0" w:color="auto"/>
        <w:right w:val="none" w:sz="0" w:space="0" w:color="auto"/>
      </w:divBdr>
    </w:div>
    <w:div w:id="1411388849">
      <w:bodyDiv w:val="1"/>
      <w:marLeft w:val="0"/>
      <w:marRight w:val="0"/>
      <w:marTop w:val="0"/>
      <w:marBottom w:val="0"/>
      <w:divBdr>
        <w:top w:val="none" w:sz="0" w:space="0" w:color="auto"/>
        <w:left w:val="none" w:sz="0" w:space="0" w:color="auto"/>
        <w:bottom w:val="none" w:sz="0" w:space="0" w:color="auto"/>
        <w:right w:val="none" w:sz="0" w:space="0" w:color="auto"/>
      </w:divBdr>
    </w:div>
    <w:div w:id="1428624152">
      <w:bodyDiv w:val="1"/>
      <w:marLeft w:val="0"/>
      <w:marRight w:val="0"/>
      <w:marTop w:val="0"/>
      <w:marBottom w:val="0"/>
      <w:divBdr>
        <w:top w:val="none" w:sz="0" w:space="0" w:color="auto"/>
        <w:left w:val="none" w:sz="0" w:space="0" w:color="auto"/>
        <w:bottom w:val="none" w:sz="0" w:space="0" w:color="auto"/>
        <w:right w:val="none" w:sz="0" w:space="0" w:color="auto"/>
      </w:divBdr>
    </w:div>
    <w:div w:id="1438015907">
      <w:bodyDiv w:val="1"/>
      <w:marLeft w:val="0"/>
      <w:marRight w:val="0"/>
      <w:marTop w:val="0"/>
      <w:marBottom w:val="0"/>
      <w:divBdr>
        <w:top w:val="none" w:sz="0" w:space="0" w:color="auto"/>
        <w:left w:val="none" w:sz="0" w:space="0" w:color="auto"/>
        <w:bottom w:val="none" w:sz="0" w:space="0" w:color="auto"/>
        <w:right w:val="none" w:sz="0" w:space="0" w:color="auto"/>
      </w:divBdr>
    </w:div>
    <w:div w:id="1455826613">
      <w:bodyDiv w:val="1"/>
      <w:marLeft w:val="0"/>
      <w:marRight w:val="0"/>
      <w:marTop w:val="0"/>
      <w:marBottom w:val="0"/>
      <w:divBdr>
        <w:top w:val="none" w:sz="0" w:space="0" w:color="auto"/>
        <w:left w:val="none" w:sz="0" w:space="0" w:color="auto"/>
        <w:bottom w:val="none" w:sz="0" w:space="0" w:color="auto"/>
        <w:right w:val="none" w:sz="0" w:space="0" w:color="auto"/>
      </w:divBdr>
    </w:div>
    <w:div w:id="1459446623">
      <w:bodyDiv w:val="1"/>
      <w:marLeft w:val="0"/>
      <w:marRight w:val="0"/>
      <w:marTop w:val="0"/>
      <w:marBottom w:val="0"/>
      <w:divBdr>
        <w:top w:val="none" w:sz="0" w:space="0" w:color="auto"/>
        <w:left w:val="none" w:sz="0" w:space="0" w:color="auto"/>
        <w:bottom w:val="none" w:sz="0" w:space="0" w:color="auto"/>
        <w:right w:val="none" w:sz="0" w:space="0" w:color="auto"/>
      </w:divBdr>
    </w:div>
    <w:div w:id="1510370889">
      <w:bodyDiv w:val="1"/>
      <w:marLeft w:val="0"/>
      <w:marRight w:val="0"/>
      <w:marTop w:val="0"/>
      <w:marBottom w:val="0"/>
      <w:divBdr>
        <w:top w:val="none" w:sz="0" w:space="0" w:color="auto"/>
        <w:left w:val="none" w:sz="0" w:space="0" w:color="auto"/>
        <w:bottom w:val="none" w:sz="0" w:space="0" w:color="auto"/>
        <w:right w:val="none" w:sz="0" w:space="0" w:color="auto"/>
      </w:divBdr>
    </w:div>
    <w:div w:id="1565262464">
      <w:bodyDiv w:val="1"/>
      <w:marLeft w:val="0"/>
      <w:marRight w:val="0"/>
      <w:marTop w:val="0"/>
      <w:marBottom w:val="0"/>
      <w:divBdr>
        <w:top w:val="none" w:sz="0" w:space="0" w:color="auto"/>
        <w:left w:val="none" w:sz="0" w:space="0" w:color="auto"/>
        <w:bottom w:val="none" w:sz="0" w:space="0" w:color="auto"/>
        <w:right w:val="none" w:sz="0" w:space="0" w:color="auto"/>
      </w:divBdr>
    </w:div>
    <w:div w:id="1615476030">
      <w:bodyDiv w:val="1"/>
      <w:marLeft w:val="0"/>
      <w:marRight w:val="0"/>
      <w:marTop w:val="0"/>
      <w:marBottom w:val="0"/>
      <w:divBdr>
        <w:top w:val="none" w:sz="0" w:space="0" w:color="auto"/>
        <w:left w:val="none" w:sz="0" w:space="0" w:color="auto"/>
        <w:bottom w:val="none" w:sz="0" w:space="0" w:color="auto"/>
        <w:right w:val="none" w:sz="0" w:space="0" w:color="auto"/>
      </w:divBdr>
    </w:div>
    <w:div w:id="1628046193">
      <w:bodyDiv w:val="1"/>
      <w:marLeft w:val="0"/>
      <w:marRight w:val="0"/>
      <w:marTop w:val="0"/>
      <w:marBottom w:val="0"/>
      <w:divBdr>
        <w:top w:val="none" w:sz="0" w:space="0" w:color="auto"/>
        <w:left w:val="none" w:sz="0" w:space="0" w:color="auto"/>
        <w:bottom w:val="none" w:sz="0" w:space="0" w:color="auto"/>
        <w:right w:val="none" w:sz="0" w:space="0" w:color="auto"/>
      </w:divBdr>
    </w:div>
    <w:div w:id="1655648205">
      <w:bodyDiv w:val="1"/>
      <w:marLeft w:val="0"/>
      <w:marRight w:val="0"/>
      <w:marTop w:val="0"/>
      <w:marBottom w:val="0"/>
      <w:divBdr>
        <w:top w:val="none" w:sz="0" w:space="0" w:color="auto"/>
        <w:left w:val="none" w:sz="0" w:space="0" w:color="auto"/>
        <w:bottom w:val="none" w:sz="0" w:space="0" w:color="auto"/>
        <w:right w:val="none" w:sz="0" w:space="0" w:color="auto"/>
      </w:divBdr>
    </w:div>
    <w:div w:id="1675261652">
      <w:bodyDiv w:val="1"/>
      <w:marLeft w:val="0"/>
      <w:marRight w:val="0"/>
      <w:marTop w:val="0"/>
      <w:marBottom w:val="0"/>
      <w:divBdr>
        <w:top w:val="none" w:sz="0" w:space="0" w:color="auto"/>
        <w:left w:val="none" w:sz="0" w:space="0" w:color="auto"/>
        <w:bottom w:val="none" w:sz="0" w:space="0" w:color="auto"/>
        <w:right w:val="none" w:sz="0" w:space="0" w:color="auto"/>
      </w:divBdr>
    </w:div>
    <w:div w:id="1860705193">
      <w:bodyDiv w:val="1"/>
      <w:marLeft w:val="0"/>
      <w:marRight w:val="0"/>
      <w:marTop w:val="0"/>
      <w:marBottom w:val="0"/>
      <w:divBdr>
        <w:top w:val="none" w:sz="0" w:space="0" w:color="auto"/>
        <w:left w:val="none" w:sz="0" w:space="0" w:color="auto"/>
        <w:bottom w:val="none" w:sz="0" w:space="0" w:color="auto"/>
        <w:right w:val="none" w:sz="0" w:space="0" w:color="auto"/>
      </w:divBdr>
    </w:div>
    <w:div w:id="1866793787">
      <w:bodyDiv w:val="1"/>
      <w:marLeft w:val="0"/>
      <w:marRight w:val="0"/>
      <w:marTop w:val="0"/>
      <w:marBottom w:val="0"/>
      <w:divBdr>
        <w:top w:val="none" w:sz="0" w:space="0" w:color="auto"/>
        <w:left w:val="none" w:sz="0" w:space="0" w:color="auto"/>
        <w:bottom w:val="none" w:sz="0" w:space="0" w:color="auto"/>
        <w:right w:val="none" w:sz="0" w:space="0" w:color="auto"/>
      </w:divBdr>
    </w:div>
    <w:div w:id="1929074882">
      <w:bodyDiv w:val="1"/>
      <w:marLeft w:val="0"/>
      <w:marRight w:val="0"/>
      <w:marTop w:val="0"/>
      <w:marBottom w:val="0"/>
      <w:divBdr>
        <w:top w:val="none" w:sz="0" w:space="0" w:color="auto"/>
        <w:left w:val="none" w:sz="0" w:space="0" w:color="auto"/>
        <w:bottom w:val="none" w:sz="0" w:space="0" w:color="auto"/>
        <w:right w:val="none" w:sz="0" w:space="0" w:color="auto"/>
      </w:divBdr>
    </w:div>
    <w:div w:id="1963997232">
      <w:bodyDiv w:val="1"/>
      <w:marLeft w:val="0"/>
      <w:marRight w:val="0"/>
      <w:marTop w:val="0"/>
      <w:marBottom w:val="0"/>
      <w:divBdr>
        <w:top w:val="none" w:sz="0" w:space="0" w:color="auto"/>
        <w:left w:val="none" w:sz="0" w:space="0" w:color="auto"/>
        <w:bottom w:val="none" w:sz="0" w:space="0" w:color="auto"/>
        <w:right w:val="none" w:sz="0" w:space="0" w:color="auto"/>
      </w:divBdr>
    </w:div>
    <w:div w:id="19697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tcommission.org/assets/1/6/TJC_Annual_Report_2011_9_13_11_.pdf" TargetMode="External"/><Relationship Id="rId13" Type="http://schemas.openxmlformats.org/officeDocument/2006/relationships/hyperlink" Target="http://www.ama-assn.org/apps/listserv/x-check/qmeasure.cgi?submit=PC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assn.org/apps/listserv/x-check/qmeasure.cgi?submit=PCP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intcommission.org/assets/1/6/HIQR_Jan2015_v4_4a_1_EXE.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alityforum.org/WorkArea/linkit.aspx?LinkIdentifier=id&amp;ItemID=70617" TargetMode="External"/><Relationship Id="rId4" Type="http://schemas.openxmlformats.org/officeDocument/2006/relationships/settings" Target="settings.xml"/><Relationship Id="rId9" Type="http://schemas.openxmlformats.org/officeDocument/2006/relationships/hyperlink" Target="http://www.jointcommission.org/specifications_manual_for_national_hospital_inpatient_quality_measures.asp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omb/circulars_a076_a76_incl_tech_cor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2FF4-0E3A-46EE-9C98-E338E068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2017-02-01T18:58:00Z</dcterms:created>
  <dcterms:modified xsi:type="dcterms:W3CDTF">2017-02-01T18:58:00Z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-1491387851</vt:i4>
  </property>
</Properties>
</file>