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F3265" w14:textId="77777777" w:rsidR="00617B1E" w:rsidRDefault="00617B1E" w:rsidP="00617B1E">
      <w:pPr>
        <w:tabs>
          <w:tab w:val="left" w:pos="1080"/>
        </w:tabs>
        <w:spacing w:after="240" w:line="240" w:lineRule="auto"/>
        <w:contextualSpacing/>
        <w:rPr>
          <w:rFonts w:ascii="ScalaSans-Regular" w:hAnsi="ScalaSans-Regular" w:cs="Arial"/>
          <w:b/>
          <w:bCs/>
          <w:color w:val="003D6E"/>
        </w:rPr>
      </w:pPr>
    </w:p>
    <w:p w14:paraId="4C5EBC14" w14:textId="77777777" w:rsidR="0030146F" w:rsidRDefault="0030146F" w:rsidP="00617B1E">
      <w:pPr>
        <w:tabs>
          <w:tab w:val="left" w:pos="1080"/>
        </w:tabs>
        <w:spacing w:after="240" w:line="240" w:lineRule="auto"/>
        <w:contextualSpacing/>
        <w:rPr>
          <w:rFonts w:ascii="ScalaSans-Regular" w:hAnsi="ScalaSans-Regular" w:cs="Arial"/>
          <w:b/>
          <w:bCs/>
          <w:color w:val="003D6E"/>
        </w:rPr>
      </w:pPr>
    </w:p>
    <w:p w14:paraId="67320C7A" w14:textId="00B19FF4" w:rsidR="00617D07" w:rsidRPr="00E73EAD" w:rsidRDefault="00617D07" w:rsidP="00553D02">
      <w:pPr>
        <w:tabs>
          <w:tab w:val="left" w:pos="1080"/>
        </w:tabs>
        <w:spacing w:after="240" w:line="240" w:lineRule="auto"/>
        <w:ind w:left="1080" w:hanging="1080"/>
        <w:contextualSpacing/>
        <w:rPr>
          <w:b/>
        </w:rPr>
      </w:pPr>
      <w:r w:rsidRPr="00E73EAD">
        <w:rPr>
          <w:rFonts w:ascii="ScalaSans-Regular" w:hAnsi="ScalaSans-Regular" w:cs="Arial"/>
          <w:b/>
          <w:bCs/>
          <w:color w:val="003D6E"/>
        </w:rPr>
        <w:t>To:</w:t>
      </w:r>
      <w:r w:rsidRPr="00E73EAD">
        <w:rPr>
          <w:b/>
        </w:rPr>
        <w:tab/>
      </w:r>
      <w:r w:rsidR="009B2269">
        <w:rPr>
          <w:b/>
        </w:rPr>
        <w:t xml:space="preserve"> Josh Brammer, Office of Information and Regulatory Affairs (OIRA), Office of Management and Budget (OMB)</w:t>
      </w:r>
    </w:p>
    <w:p w14:paraId="67320C7B" w14:textId="39520CD0" w:rsidR="00617D07" w:rsidRPr="00E73EAD" w:rsidRDefault="00617D07" w:rsidP="00553D02">
      <w:pPr>
        <w:tabs>
          <w:tab w:val="left" w:pos="1080"/>
        </w:tabs>
        <w:spacing w:after="240" w:line="240" w:lineRule="auto"/>
        <w:ind w:left="1080" w:hanging="1080"/>
        <w:contextualSpacing/>
        <w:outlineLvl w:val="0"/>
        <w:rPr>
          <w:b/>
        </w:rPr>
      </w:pPr>
      <w:r w:rsidRPr="00E73EAD">
        <w:rPr>
          <w:rFonts w:ascii="ScalaSans-Regular" w:hAnsi="ScalaSans-Regular" w:cs="Arial"/>
          <w:b/>
          <w:bCs/>
          <w:color w:val="003D6E"/>
        </w:rPr>
        <w:t>From:</w:t>
      </w:r>
      <w:r w:rsidRPr="00E73EAD">
        <w:rPr>
          <w:b/>
        </w:rPr>
        <w:tab/>
      </w:r>
      <w:r w:rsidR="009B2269" w:rsidRPr="009B2269">
        <w:rPr>
          <w:b/>
        </w:rPr>
        <w:t xml:space="preserve"> </w:t>
      </w:r>
      <w:r w:rsidR="009B2269" w:rsidRPr="00E73EAD">
        <w:rPr>
          <w:b/>
        </w:rPr>
        <w:t xml:space="preserve">Anna Solmeyer, </w:t>
      </w:r>
      <w:r w:rsidR="009B2269">
        <w:rPr>
          <w:b/>
        </w:rPr>
        <w:t>Office of Planning, Research and Evaluation (</w:t>
      </w:r>
      <w:r w:rsidR="009B2269" w:rsidRPr="00E73EAD">
        <w:rPr>
          <w:b/>
        </w:rPr>
        <w:t>OPRE</w:t>
      </w:r>
      <w:r w:rsidR="009B2269">
        <w:rPr>
          <w:b/>
        </w:rPr>
        <w:t>), Administration for Children and Families (ACF)</w:t>
      </w:r>
    </w:p>
    <w:p w14:paraId="67320C7C" w14:textId="7A56AC8D" w:rsidR="00617D07" w:rsidRPr="00E73EAD" w:rsidRDefault="00617D07" w:rsidP="00617B1E">
      <w:pPr>
        <w:tabs>
          <w:tab w:val="left" w:pos="1080"/>
        </w:tabs>
        <w:spacing w:after="240" w:line="240" w:lineRule="auto"/>
        <w:contextualSpacing/>
        <w:rPr>
          <w:b/>
        </w:rPr>
      </w:pPr>
      <w:r w:rsidRPr="00E73EAD">
        <w:rPr>
          <w:rFonts w:ascii="ScalaSans-Regular" w:hAnsi="ScalaSans-Regular" w:cs="Arial"/>
          <w:b/>
          <w:bCs/>
          <w:color w:val="003D6E"/>
        </w:rPr>
        <w:t>Date:</w:t>
      </w:r>
      <w:r w:rsidRPr="00E73EAD">
        <w:rPr>
          <w:b/>
        </w:rPr>
        <w:tab/>
      </w:r>
      <w:r w:rsidR="009B2269">
        <w:rPr>
          <w:b/>
        </w:rPr>
        <w:t xml:space="preserve">July </w:t>
      </w:r>
      <w:r w:rsidR="00F271C4">
        <w:rPr>
          <w:b/>
        </w:rPr>
        <w:t>28</w:t>
      </w:r>
      <w:bookmarkStart w:id="0" w:name="_GoBack"/>
      <w:bookmarkEnd w:id="0"/>
      <w:r>
        <w:rPr>
          <w:b/>
        </w:rPr>
        <w:t>, 2015</w:t>
      </w:r>
    </w:p>
    <w:p w14:paraId="09B00CB2" w14:textId="48A257B5" w:rsidR="009B314D" w:rsidRPr="009B314D" w:rsidRDefault="00617D07" w:rsidP="00553D02">
      <w:pPr>
        <w:spacing w:after="0" w:line="240" w:lineRule="auto"/>
        <w:ind w:left="1080" w:hanging="1080"/>
        <w:jc w:val="both"/>
        <w:rPr>
          <w:b/>
        </w:rPr>
      </w:pPr>
      <w:r w:rsidRPr="00E73EAD">
        <w:rPr>
          <w:rFonts w:ascii="ScalaSans-Regular" w:hAnsi="ScalaSans-Regular" w:cs="Arial"/>
          <w:b/>
          <w:bCs/>
          <w:color w:val="003D6E"/>
        </w:rPr>
        <w:t>Subject:</w:t>
      </w:r>
      <w:r w:rsidR="009B314D">
        <w:rPr>
          <w:b/>
        </w:rPr>
        <w:t xml:space="preserve">    </w:t>
      </w:r>
      <w:r w:rsidR="009B2269" w:rsidRPr="009B2269">
        <w:rPr>
          <w:b/>
        </w:rPr>
        <w:t xml:space="preserve">Request to increase burden related to the </w:t>
      </w:r>
      <w:r w:rsidR="009B2269" w:rsidRPr="00553D02">
        <w:rPr>
          <w:b/>
        </w:rPr>
        <w:t>Building Bridges and Bonds (B3) study under generic IC 0970-0356</w:t>
      </w:r>
      <w:r w:rsidR="009B2269">
        <w:t xml:space="preserve"> </w:t>
      </w:r>
    </w:p>
    <w:p w14:paraId="6B80EF06" w14:textId="44C66225" w:rsidR="0030146F" w:rsidRDefault="009B314D" w:rsidP="009B314D">
      <w:pPr>
        <w:spacing w:after="0" w:line="240" w:lineRule="auto"/>
        <w:jc w:val="both"/>
      </w:pPr>
      <w:r>
        <w:t xml:space="preserve"> </w:t>
      </w:r>
    </w:p>
    <w:p w14:paraId="47C54344" w14:textId="77777777" w:rsidR="009B314D" w:rsidRDefault="009B314D" w:rsidP="00617B1E">
      <w:pPr>
        <w:spacing w:after="240" w:line="240" w:lineRule="auto"/>
        <w:jc w:val="both"/>
      </w:pPr>
      <w:r>
        <w:t xml:space="preserve">In March, OMB provided generic clearance for the Building Bridges and Bonds (B3) study to contact organizations for purposes of gathering preliminary information from the fatherhood field. </w:t>
      </w:r>
    </w:p>
    <w:p w14:paraId="385C6025" w14:textId="221DBA54" w:rsidR="009B314D" w:rsidRDefault="009B314D" w:rsidP="00617B1E">
      <w:pPr>
        <w:spacing w:after="240" w:line="240" w:lineRule="auto"/>
        <w:jc w:val="both"/>
      </w:pPr>
      <w:r>
        <w:t xml:space="preserve">This is a request for an update to the original burden estimates.  We anticipate needing additional hours to </w:t>
      </w:r>
      <w:r w:rsidR="00F46966">
        <w:t xml:space="preserve">understand the field and discuss the field’s interest in the B3 evaluation strategies and priorities. </w:t>
      </w:r>
      <w:r>
        <w:t>We request the following changes:</w:t>
      </w:r>
    </w:p>
    <w:p w14:paraId="3C9FBE9C" w14:textId="0477A04F" w:rsidR="009B314D" w:rsidRDefault="00F46966" w:rsidP="00617B1E">
      <w:pPr>
        <w:pStyle w:val="ListParagraph"/>
        <w:numPr>
          <w:ilvl w:val="0"/>
          <w:numId w:val="44"/>
        </w:numPr>
        <w:spacing w:after="240" w:line="240" w:lineRule="auto"/>
        <w:jc w:val="both"/>
      </w:pPr>
      <w:r w:rsidRPr="00F46966">
        <w:rPr>
          <w:b/>
        </w:rPr>
        <w:t>Semi-Structured Protocol for Initial Phone Call</w:t>
      </w:r>
      <w:r>
        <w:t>. The length of the call remains the same (1 hour), however, we would like to increase the numb</w:t>
      </w:r>
      <w:r w:rsidR="0004260B">
        <w:t>er of burden hours from 90 to 18</w:t>
      </w:r>
      <w:r>
        <w:t xml:space="preserve">0. </w:t>
      </w:r>
      <w:r w:rsidR="007610E5">
        <w:t xml:space="preserve">Based on </w:t>
      </w:r>
      <w:r>
        <w:t>our initial work</w:t>
      </w:r>
      <w:r w:rsidR="007610E5">
        <w:t xml:space="preserve"> under generic clearance (</w:t>
      </w:r>
      <w:r w:rsidR="007610E5" w:rsidRPr="00F46966">
        <w:t>#0970-0356)</w:t>
      </w:r>
      <w:r>
        <w:t xml:space="preserve">, the study team identified several new </w:t>
      </w:r>
      <w:r w:rsidR="007610E5">
        <w:t>organizations</w:t>
      </w:r>
      <w:r>
        <w:t xml:space="preserve"> that are applying to the Responsible Fatherhood grant and, in addition, as the field learns about the </w:t>
      </w:r>
      <w:r w:rsidR="007610E5">
        <w:t xml:space="preserve">study, our </w:t>
      </w:r>
      <w:r>
        <w:t xml:space="preserve">team is being approached with information inquires. The additional burden hours will allow the study team to make calls to an additional number of </w:t>
      </w:r>
      <w:r w:rsidR="007610E5">
        <w:t>organizations</w:t>
      </w:r>
      <w:r>
        <w:t xml:space="preserve"> or give us the ability to accommodate more people who may request to join the one hour phone calls we host with any given organization.    </w:t>
      </w:r>
    </w:p>
    <w:p w14:paraId="1D2B884A" w14:textId="77777777" w:rsidR="00F46966" w:rsidRDefault="00F46966" w:rsidP="00F46966">
      <w:pPr>
        <w:pStyle w:val="ListParagraph"/>
        <w:spacing w:after="240" w:line="240" w:lineRule="auto"/>
        <w:jc w:val="both"/>
      </w:pPr>
    </w:p>
    <w:p w14:paraId="367794CD" w14:textId="69A5DE18" w:rsidR="00F46966" w:rsidRPr="00F46966" w:rsidRDefault="00F46966" w:rsidP="00617B1E">
      <w:pPr>
        <w:pStyle w:val="ListParagraph"/>
        <w:numPr>
          <w:ilvl w:val="0"/>
          <w:numId w:val="44"/>
        </w:numPr>
        <w:spacing w:after="240" w:line="240" w:lineRule="auto"/>
        <w:jc w:val="both"/>
        <w:rPr>
          <w:b/>
        </w:rPr>
      </w:pPr>
      <w:r w:rsidRPr="00F46966">
        <w:rPr>
          <w:b/>
        </w:rPr>
        <w:t>Semi-Structured Protocol for Teleconference or Program Visit</w:t>
      </w:r>
      <w:r>
        <w:rPr>
          <w:b/>
        </w:rPr>
        <w:t>.</w:t>
      </w:r>
      <w:r w:rsidR="0004260B">
        <w:t xml:space="preserve"> </w:t>
      </w:r>
      <w:r>
        <w:t>We would like to increase the number of burden hours and th</w:t>
      </w:r>
      <w:r w:rsidR="0004260B">
        <w:t xml:space="preserve">e average burden per response. </w:t>
      </w:r>
      <w:r>
        <w:t>Based on the initial visits we have completed under generic clearance (</w:t>
      </w:r>
      <w:r w:rsidRPr="00F46966">
        <w:t>#0970-0356)</w:t>
      </w:r>
      <w:r>
        <w:t>, the study team has found the average length of time to complete the semi-structured protocol to be slightly more than originally projected (4</w:t>
      </w:r>
      <w:r w:rsidR="00750DFA">
        <w:t>.5</w:t>
      </w:r>
      <w:r>
        <w:t xml:space="preserve"> hours vs. 3.5 hours). In addition, because of the demand described above, we anticipate making additional visits to interested organizations.  </w:t>
      </w:r>
    </w:p>
    <w:p w14:paraId="236A98B6" w14:textId="75C580CA" w:rsidR="009B314D" w:rsidRDefault="009B314D" w:rsidP="00617B1E">
      <w:pPr>
        <w:spacing w:after="240" w:line="240" w:lineRule="auto"/>
        <w:jc w:val="both"/>
      </w:pPr>
    </w:p>
    <w:p w14:paraId="67320D54" w14:textId="77777777" w:rsidR="00617D07" w:rsidRDefault="00617D07" w:rsidP="00617B1E">
      <w:pPr>
        <w:spacing w:after="240" w:line="240" w:lineRule="auto"/>
        <w:rPr>
          <w:b/>
          <w:sz w:val="28"/>
        </w:rPr>
      </w:pPr>
    </w:p>
    <w:sectPr w:rsidR="00617D07" w:rsidSect="00113F28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FE5E5" w14:textId="77777777" w:rsidR="00D314EA" w:rsidRDefault="00D314EA" w:rsidP="005D2D00">
      <w:pPr>
        <w:spacing w:after="0" w:line="240" w:lineRule="auto"/>
      </w:pPr>
      <w:r>
        <w:separator/>
      </w:r>
    </w:p>
  </w:endnote>
  <w:endnote w:type="continuationSeparator" w:id="0">
    <w:p w14:paraId="2C342C12" w14:textId="77777777" w:rsidR="00D314EA" w:rsidRDefault="00D314EA" w:rsidP="005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Sans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20D64" w14:textId="77777777" w:rsidR="00617D07" w:rsidRDefault="00BD7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71C4">
      <w:rPr>
        <w:noProof/>
      </w:rPr>
      <w:t>1</w:t>
    </w:r>
    <w:r>
      <w:rPr>
        <w:noProof/>
      </w:rPr>
      <w:fldChar w:fldCharType="end"/>
    </w:r>
  </w:p>
  <w:p w14:paraId="67320D65" w14:textId="77777777" w:rsidR="00617D07" w:rsidRDefault="00617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97A77" w14:textId="77777777" w:rsidR="00D314EA" w:rsidRDefault="00D314EA" w:rsidP="005D2D00">
      <w:pPr>
        <w:spacing w:after="0" w:line="240" w:lineRule="auto"/>
      </w:pPr>
      <w:r>
        <w:separator/>
      </w:r>
    </w:p>
  </w:footnote>
  <w:footnote w:type="continuationSeparator" w:id="0">
    <w:p w14:paraId="4944257F" w14:textId="77777777" w:rsidR="00D314EA" w:rsidRDefault="00D314EA" w:rsidP="005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AD3"/>
    <w:multiLevelType w:val="hybridMultilevel"/>
    <w:tmpl w:val="02D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31FE"/>
    <w:multiLevelType w:val="hybridMultilevel"/>
    <w:tmpl w:val="38DA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A146D"/>
    <w:multiLevelType w:val="hybridMultilevel"/>
    <w:tmpl w:val="868C1C44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D406B7"/>
    <w:multiLevelType w:val="hybridMultilevel"/>
    <w:tmpl w:val="79A6384A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B1BF8"/>
    <w:multiLevelType w:val="hybridMultilevel"/>
    <w:tmpl w:val="60EA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C1995"/>
    <w:multiLevelType w:val="hybridMultilevel"/>
    <w:tmpl w:val="A8600D5E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CD0D66"/>
    <w:multiLevelType w:val="hybridMultilevel"/>
    <w:tmpl w:val="46B8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650EF"/>
    <w:multiLevelType w:val="hybridMultilevel"/>
    <w:tmpl w:val="5AC6EAFA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109DA"/>
    <w:multiLevelType w:val="hybridMultilevel"/>
    <w:tmpl w:val="D5803C1E"/>
    <w:lvl w:ilvl="0" w:tplc="32B24E5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6E6D76"/>
    <w:multiLevelType w:val="hybridMultilevel"/>
    <w:tmpl w:val="0A3AA388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1C0B36"/>
    <w:multiLevelType w:val="hybridMultilevel"/>
    <w:tmpl w:val="A14E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B24D3"/>
    <w:multiLevelType w:val="hybridMultilevel"/>
    <w:tmpl w:val="C644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909D9"/>
    <w:multiLevelType w:val="hybridMultilevel"/>
    <w:tmpl w:val="6AD8432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26FE24F3"/>
    <w:multiLevelType w:val="hybridMultilevel"/>
    <w:tmpl w:val="689CC6FA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DD46D9"/>
    <w:multiLevelType w:val="hybridMultilevel"/>
    <w:tmpl w:val="6778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B0612"/>
    <w:multiLevelType w:val="hybridMultilevel"/>
    <w:tmpl w:val="2DA69508"/>
    <w:lvl w:ilvl="0" w:tplc="A426CF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701815"/>
    <w:multiLevelType w:val="hybridMultilevel"/>
    <w:tmpl w:val="18F8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65492"/>
    <w:multiLevelType w:val="hybridMultilevel"/>
    <w:tmpl w:val="71EC0D20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38067EBA"/>
    <w:multiLevelType w:val="hybridMultilevel"/>
    <w:tmpl w:val="E5AE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802B8"/>
    <w:multiLevelType w:val="hybridMultilevel"/>
    <w:tmpl w:val="1D7C67C0"/>
    <w:lvl w:ilvl="0" w:tplc="CABC32A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41940"/>
    <w:multiLevelType w:val="hybridMultilevel"/>
    <w:tmpl w:val="189E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40E4E"/>
    <w:multiLevelType w:val="hybridMultilevel"/>
    <w:tmpl w:val="51301BBE"/>
    <w:lvl w:ilvl="0" w:tplc="8070E5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D87D70"/>
    <w:multiLevelType w:val="hybridMultilevel"/>
    <w:tmpl w:val="583A0C22"/>
    <w:lvl w:ilvl="0" w:tplc="B6F67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6E5ABE"/>
    <w:multiLevelType w:val="hybridMultilevel"/>
    <w:tmpl w:val="D730EFBE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AE30B1"/>
    <w:multiLevelType w:val="hybridMultilevel"/>
    <w:tmpl w:val="634E31E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350FB1"/>
    <w:multiLevelType w:val="hybridMultilevel"/>
    <w:tmpl w:val="6FEC4C66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8B5298"/>
    <w:multiLevelType w:val="hybridMultilevel"/>
    <w:tmpl w:val="BD34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E6766"/>
    <w:multiLevelType w:val="hybridMultilevel"/>
    <w:tmpl w:val="E302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2408C"/>
    <w:multiLevelType w:val="hybridMultilevel"/>
    <w:tmpl w:val="9DD0BA6C"/>
    <w:lvl w:ilvl="0" w:tplc="4C1E9758">
      <w:start w:val="1"/>
      <w:numFmt w:val="decimal"/>
      <w:lvlText w:val="Option 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565E64"/>
    <w:multiLevelType w:val="hybridMultilevel"/>
    <w:tmpl w:val="F1CA826A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9357CF"/>
    <w:multiLevelType w:val="hybridMultilevel"/>
    <w:tmpl w:val="B1F237C8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3F16CA"/>
    <w:multiLevelType w:val="hybridMultilevel"/>
    <w:tmpl w:val="F94802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2411D"/>
    <w:multiLevelType w:val="hybridMultilevel"/>
    <w:tmpl w:val="561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15766"/>
    <w:multiLevelType w:val="hybridMultilevel"/>
    <w:tmpl w:val="66A6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367D60"/>
    <w:multiLevelType w:val="hybridMultilevel"/>
    <w:tmpl w:val="28907BC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>
    <w:nsid w:val="698135BE"/>
    <w:multiLevelType w:val="hybridMultilevel"/>
    <w:tmpl w:val="F2D0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E41FC0"/>
    <w:multiLevelType w:val="hybridMultilevel"/>
    <w:tmpl w:val="A5D0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9F5CE2"/>
    <w:multiLevelType w:val="hybridMultilevel"/>
    <w:tmpl w:val="2A70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33436"/>
    <w:multiLevelType w:val="hybridMultilevel"/>
    <w:tmpl w:val="5BF66B4E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7902311"/>
    <w:multiLevelType w:val="hybridMultilevel"/>
    <w:tmpl w:val="FDD0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EA04BC"/>
    <w:multiLevelType w:val="hybridMultilevel"/>
    <w:tmpl w:val="384ADDE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1">
    <w:nsid w:val="790F088B"/>
    <w:multiLevelType w:val="hybridMultilevel"/>
    <w:tmpl w:val="CFD24E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>
    <w:nsid w:val="7F16390E"/>
    <w:multiLevelType w:val="hybridMultilevel"/>
    <w:tmpl w:val="33A21C74"/>
    <w:lvl w:ilvl="0" w:tplc="F490E95A">
      <w:start w:val="1"/>
      <w:numFmt w:val="decimal"/>
      <w:lvlText w:val="Week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1"/>
  </w:num>
  <w:num w:numId="3">
    <w:abstractNumId w:val="33"/>
  </w:num>
  <w:num w:numId="4">
    <w:abstractNumId w:val="10"/>
  </w:num>
  <w:num w:numId="5">
    <w:abstractNumId w:val="27"/>
  </w:num>
  <w:num w:numId="6">
    <w:abstractNumId w:val="11"/>
  </w:num>
  <w:num w:numId="7">
    <w:abstractNumId w:val="4"/>
  </w:num>
  <w:num w:numId="8">
    <w:abstractNumId w:val="14"/>
  </w:num>
  <w:num w:numId="9">
    <w:abstractNumId w:val="32"/>
  </w:num>
  <w:num w:numId="10">
    <w:abstractNumId w:val="37"/>
  </w:num>
  <w:num w:numId="11">
    <w:abstractNumId w:val="16"/>
  </w:num>
  <w:num w:numId="12">
    <w:abstractNumId w:val="5"/>
  </w:num>
  <w:num w:numId="13">
    <w:abstractNumId w:val="5"/>
  </w:num>
  <w:num w:numId="14">
    <w:abstractNumId w:val="36"/>
  </w:num>
  <w:num w:numId="15">
    <w:abstractNumId w:val="34"/>
  </w:num>
  <w:num w:numId="16">
    <w:abstractNumId w:val="41"/>
  </w:num>
  <w:num w:numId="17">
    <w:abstractNumId w:val="40"/>
  </w:num>
  <w:num w:numId="18">
    <w:abstractNumId w:val="12"/>
  </w:num>
  <w:num w:numId="19">
    <w:abstractNumId w:val="26"/>
  </w:num>
  <w:num w:numId="20">
    <w:abstractNumId w:val="18"/>
  </w:num>
  <w:num w:numId="21">
    <w:abstractNumId w:val="28"/>
  </w:num>
  <w:num w:numId="22">
    <w:abstractNumId w:val="22"/>
  </w:num>
  <w:num w:numId="23">
    <w:abstractNumId w:val="8"/>
  </w:num>
  <w:num w:numId="24">
    <w:abstractNumId w:val="20"/>
  </w:num>
  <w:num w:numId="25">
    <w:abstractNumId w:val="21"/>
  </w:num>
  <w:num w:numId="26">
    <w:abstractNumId w:val="6"/>
  </w:num>
  <w:num w:numId="27">
    <w:abstractNumId w:val="0"/>
  </w:num>
  <w:num w:numId="28">
    <w:abstractNumId w:val="15"/>
  </w:num>
  <w:num w:numId="29">
    <w:abstractNumId w:val="19"/>
  </w:num>
  <w:num w:numId="30">
    <w:abstractNumId w:val="31"/>
  </w:num>
  <w:num w:numId="31">
    <w:abstractNumId w:val="24"/>
  </w:num>
  <w:num w:numId="32">
    <w:abstractNumId w:val="13"/>
  </w:num>
  <w:num w:numId="33">
    <w:abstractNumId w:val="17"/>
  </w:num>
  <w:num w:numId="34">
    <w:abstractNumId w:val="7"/>
  </w:num>
  <w:num w:numId="35">
    <w:abstractNumId w:val="2"/>
  </w:num>
  <w:num w:numId="36">
    <w:abstractNumId w:val="23"/>
  </w:num>
  <w:num w:numId="37">
    <w:abstractNumId w:val="29"/>
  </w:num>
  <w:num w:numId="38">
    <w:abstractNumId w:val="30"/>
  </w:num>
  <w:num w:numId="39">
    <w:abstractNumId w:val="9"/>
  </w:num>
  <w:num w:numId="40">
    <w:abstractNumId w:val="25"/>
  </w:num>
  <w:num w:numId="41">
    <w:abstractNumId w:val="3"/>
  </w:num>
  <w:num w:numId="42">
    <w:abstractNumId w:val="42"/>
  </w:num>
  <w:num w:numId="43">
    <w:abstractNumId w:val="3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7F"/>
    <w:rsid w:val="00010E77"/>
    <w:rsid w:val="00015DB5"/>
    <w:rsid w:val="00026460"/>
    <w:rsid w:val="0004260B"/>
    <w:rsid w:val="00060126"/>
    <w:rsid w:val="00076DB7"/>
    <w:rsid w:val="000774D1"/>
    <w:rsid w:val="000B70CE"/>
    <w:rsid w:val="000C1FF8"/>
    <w:rsid w:val="000C74AB"/>
    <w:rsid w:val="000F2C4B"/>
    <w:rsid w:val="0010430D"/>
    <w:rsid w:val="00106F7E"/>
    <w:rsid w:val="00113F28"/>
    <w:rsid w:val="001304DB"/>
    <w:rsid w:val="001355A2"/>
    <w:rsid w:val="00177C64"/>
    <w:rsid w:val="0018182A"/>
    <w:rsid w:val="001C7F83"/>
    <w:rsid w:val="001D0D05"/>
    <w:rsid w:val="001E2E20"/>
    <w:rsid w:val="00214120"/>
    <w:rsid w:val="0021463A"/>
    <w:rsid w:val="00237479"/>
    <w:rsid w:val="00285BE1"/>
    <w:rsid w:val="002A64A0"/>
    <w:rsid w:val="002A6EAF"/>
    <w:rsid w:val="002D7970"/>
    <w:rsid w:val="0030146F"/>
    <w:rsid w:val="003024AE"/>
    <w:rsid w:val="0033373A"/>
    <w:rsid w:val="00334CCB"/>
    <w:rsid w:val="003528CF"/>
    <w:rsid w:val="0037704C"/>
    <w:rsid w:val="003816A2"/>
    <w:rsid w:val="0039530D"/>
    <w:rsid w:val="003F2862"/>
    <w:rsid w:val="00403ADD"/>
    <w:rsid w:val="004448DA"/>
    <w:rsid w:val="004531BF"/>
    <w:rsid w:val="00453C59"/>
    <w:rsid w:val="004741D2"/>
    <w:rsid w:val="004A2AF8"/>
    <w:rsid w:val="004C5DA6"/>
    <w:rsid w:val="004C5EC2"/>
    <w:rsid w:val="004C6886"/>
    <w:rsid w:val="00541E18"/>
    <w:rsid w:val="00553D02"/>
    <w:rsid w:val="0055545E"/>
    <w:rsid w:val="00584891"/>
    <w:rsid w:val="005B0453"/>
    <w:rsid w:val="005B4E31"/>
    <w:rsid w:val="005B7507"/>
    <w:rsid w:val="005B785A"/>
    <w:rsid w:val="005D2D00"/>
    <w:rsid w:val="005E1C92"/>
    <w:rsid w:val="00617B1E"/>
    <w:rsid w:val="00617D07"/>
    <w:rsid w:val="00625E24"/>
    <w:rsid w:val="00661FD2"/>
    <w:rsid w:val="00684FC2"/>
    <w:rsid w:val="006C4C97"/>
    <w:rsid w:val="006C7E4D"/>
    <w:rsid w:val="006D5587"/>
    <w:rsid w:val="006D6A9D"/>
    <w:rsid w:val="006E63F6"/>
    <w:rsid w:val="006F394A"/>
    <w:rsid w:val="007079E5"/>
    <w:rsid w:val="00750DFA"/>
    <w:rsid w:val="00756D91"/>
    <w:rsid w:val="007610E5"/>
    <w:rsid w:val="007832B7"/>
    <w:rsid w:val="007859B6"/>
    <w:rsid w:val="00795D7C"/>
    <w:rsid w:val="007A787A"/>
    <w:rsid w:val="007B1359"/>
    <w:rsid w:val="007D0086"/>
    <w:rsid w:val="007E0AC4"/>
    <w:rsid w:val="007E212D"/>
    <w:rsid w:val="00822337"/>
    <w:rsid w:val="008576C8"/>
    <w:rsid w:val="00861459"/>
    <w:rsid w:val="008659B3"/>
    <w:rsid w:val="008C0228"/>
    <w:rsid w:val="008D592E"/>
    <w:rsid w:val="00905559"/>
    <w:rsid w:val="0090731C"/>
    <w:rsid w:val="00915182"/>
    <w:rsid w:val="009426A9"/>
    <w:rsid w:val="009703E0"/>
    <w:rsid w:val="009708D0"/>
    <w:rsid w:val="009A1D6F"/>
    <w:rsid w:val="009B2269"/>
    <w:rsid w:val="009B314D"/>
    <w:rsid w:val="009B5160"/>
    <w:rsid w:val="009D1D63"/>
    <w:rsid w:val="009D3BE9"/>
    <w:rsid w:val="009D4961"/>
    <w:rsid w:val="00A32733"/>
    <w:rsid w:val="00A340D6"/>
    <w:rsid w:val="00A34AE6"/>
    <w:rsid w:val="00A60C9C"/>
    <w:rsid w:val="00A73A34"/>
    <w:rsid w:val="00AA3195"/>
    <w:rsid w:val="00AA73F7"/>
    <w:rsid w:val="00AB4EE8"/>
    <w:rsid w:val="00AC224D"/>
    <w:rsid w:val="00AC5343"/>
    <w:rsid w:val="00AD0706"/>
    <w:rsid w:val="00B71F61"/>
    <w:rsid w:val="00B81E81"/>
    <w:rsid w:val="00BC1B19"/>
    <w:rsid w:val="00BD7307"/>
    <w:rsid w:val="00C12A83"/>
    <w:rsid w:val="00C91094"/>
    <w:rsid w:val="00CC4639"/>
    <w:rsid w:val="00CF502E"/>
    <w:rsid w:val="00D11998"/>
    <w:rsid w:val="00D206FC"/>
    <w:rsid w:val="00D24ADD"/>
    <w:rsid w:val="00D314EA"/>
    <w:rsid w:val="00D43039"/>
    <w:rsid w:val="00D53FA1"/>
    <w:rsid w:val="00D91967"/>
    <w:rsid w:val="00DB3A2C"/>
    <w:rsid w:val="00DB4DE0"/>
    <w:rsid w:val="00DD20CB"/>
    <w:rsid w:val="00DD3268"/>
    <w:rsid w:val="00DD360C"/>
    <w:rsid w:val="00DF0F3D"/>
    <w:rsid w:val="00DF4FEA"/>
    <w:rsid w:val="00DF5DD2"/>
    <w:rsid w:val="00E07E2D"/>
    <w:rsid w:val="00E1190B"/>
    <w:rsid w:val="00E31B53"/>
    <w:rsid w:val="00E73EAD"/>
    <w:rsid w:val="00E8141E"/>
    <w:rsid w:val="00EA087F"/>
    <w:rsid w:val="00EA4626"/>
    <w:rsid w:val="00EA499E"/>
    <w:rsid w:val="00EB3E1F"/>
    <w:rsid w:val="00ED0A08"/>
    <w:rsid w:val="00EF1584"/>
    <w:rsid w:val="00F1482E"/>
    <w:rsid w:val="00F26B3E"/>
    <w:rsid w:val="00F271C4"/>
    <w:rsid w:val="00F46966"/>
    <w:rsid w:val="00F52C06"/>
    <w:rsid w:val="00F62F8C"/>
    <w:rsid w:val="00F71A9C"/>
    <w:rsid w:val="00F71F2B"/>
    <w:rsid w:val="00F77963"/>
    <w:rsid w:val="00F8735B"/>
    <w:rsid w:val="00F95CA2"/>
    <w:rsid w:val="00F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20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087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A08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87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087F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08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D2D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5D2D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D0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D2D00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F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4F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4FEA"/>
    <w:rPr>
      <w:rFonts w:cs="Times New Roman"/>
    </w:rPr>
  </w:style>
  <w:style w:type="paragraph" w:customStyle="1" w:styleId="intro1">
    <w:name w:val="intro1"/>
    <w:basedOn w:val="Normal"/>
    <w:uiPriority w:val="99"/>
    <w:rsid w:val="004C5DA6"/>
    <w:pPr>
      <w:spacing w:after="315" w:line="315" w:lineRule="atLeast"/>
    </w:pPr>
    <w:rPr>
      <w:rFonts w:ascii="Arial" w:eastAsia="Times New Roman" w:hAnsi="Arial" w:cs="Arial"/>
      <w:b/>
      <w:bCs/>
      <w:color w:val="6E6E6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516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5160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10430D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95C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267"/>
    <w:rPr>
      <w:rFonts w:ascii="Times New Roman" w:hAnsi="Times New Roman"/>
      <w:sz w:val="0"/>
      <w:szCs w:val="0"/>
    </w:rPr>
  </w:style>
  <w:style w:type="paragraph" w:customStyle="1" w:styleId="Default">
    <w:name w:val="Default"/>
    <w:rsid w:val="009B31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087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A08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87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087F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08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D2D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5D2D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D0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D2D00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F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4F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4FEA"/>
    <w:rPr>
      <w:rFonts w:cs="Times New Roman"/>
    </w:rPr>
  </w:style>
  <w:style w:type="paragraph" w:customStyle="1" w:styleId="intro1">
    <w:name w:val="intro1"/>
    <w:basedOn w:val="Normal"/>
    <w:uiPriority w:val="99"/>
    <w:rsid w:val="004C5DA6"/>
    <w:pPr>
      <w:spacing w:after="315" w:line="315" w:lineRule="atLeast"/>
    </w:pPr>
    <w:rPr>
      <w:rFonts w:ascii="Arial" w:eastAsia="Times New Roman" w:hAnsi="Arial" w:cs="Arial"/>
      <w:b/>
      <w:bCs/>
      <w:color w:val="6E6E6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516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5160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10430D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95C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267"/>
    <w:rPr>
      <w:rFonts w:ascii="Times New Roman" w:hAnsi="Times New Roman"/>
      <w:sz w:val="0"/>
      <w:szCs w:val="0"/>
    </w:rPr>
  </w:style>
  <w:style w:type="paragraph" w:customStyle="1" w:styleId="Default">
    <w:name w:val="Default"/>
    <w:rsid w:val="009B31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283">
          <w:marLeft w:val="195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2284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A4A4A4"/>
                  </w:divBdr>
                  <w:divsChild>
                    <w:div w:id="6590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2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2286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1" ma:contentTypeDescription="MDRC Project Documents - includes metadata - Document Type, Site, Team" ma:contentTypeScope="" ma:versionID="224c020906a5972e64963f98640cdee3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cb55e69e94918cce6a1b1e129dd349a6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(None)"/>
          <xsd:enumeration value="Site Selection"/>
          <xsd:enumeration value="Site Start-up"/>
          <xsd:enumeration value="TA &amp; Monitoring"/>
          <xsd:enumeration value="Background"/>
          <xsd:enumeration value="Team Structure &amp; Overview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perations_x0020_Category xmlns="0cc7abcf-98bb-4ef6-9b4e-46a5fc2984fa" xsi:nil="true"/>
    <Project_x0020_Specific xmlns="f23c63e7-3264-4fa0-bbac-fd47573de8ba">
      <Value>Model Background</Value>
    </Project_x0020_Specific>
    <RightsManagement xmlns="f23c63e7-3264-4fa0-bbac-fd47573de8ba">Universal</RightsManagement>
    <Team xmlns="0cc7abcf-98bb-4ef6-9b4e-46a5fc2984fa">
      <Value>Design</Value>
      <Value>Operations</Value>
    </Team>
    <Site xmlns="0cc7abcf-98bb-4ef6-9b4e-46a5fc2984fa" xsi:nil="true"/>
    <Document_x0020_Type xmlns="0cc7abcf-98bb-4ef6-9b4e-46a5fc2984fa">
      <Value>Funder Communication</Value>
    </Document_x0020_Type>
    <Site_x0020__x0028_Program_x0029_ xmlns="0cc7abcf-98bb-4ef6-9b4e-46a5fc2984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5894B-8AEA-4AA3-BEDB-84E9AD10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8F6F26-15BE-4F34-852B-B75A91D8A197}">
  <ds:schemaRefs>
    <ds:schemaRef ds:uri="http://schemas.microsoft.com/office/2006/metadata/properties"/>
    <ds:schemaRef ds:uri="0cc7abcf-98bb-4ef6-9b4e-46a5fc2984fa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00E6C69E-2727-49E7-94A5-50BE30EA1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Israel</dc:creator>
  <cp:lastModifiedBy>Molly</cp:lastModifiedBy>
  <cp:revision>6</cp:revision>
  <cp:lastPrinted>2015-06-14T06:03:00Z</cp:lastPrinted>
  <dcterms:created xsi:type="dcterms:W3CDTF">2015-06-30T10:28:00Z</dcterms:created>
  <dcterms:modified xsi:type="dcterms:W3CDTF">2015-07-28T12:54:00Z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  <property fmtid="{D5CDD505-2E9C-101B-9397-08002B2CF9AE}" pid="3" name="Operations Category">
    <vt:lpwstr/>
  </property>
  <property fmtid="{D5CDD505-2E9C-101B-9397-08002B2CF9AE}" pid="4" name="Team">
    <vt:lpwstr>;#Design;#Operations;#</vt:lpwstr>
  </property>
  <property fmtid="{D5CDD505-2E9C-101B-9397-08002B2CF9AE}" pid="5" name="Site">
    <vt:lpwstr/>
  </property>
  <property fmtid="{D5CDD505-2E9C-101B-9397-08002B2CF9AE}" pid="6" name="Document Type">
    <vt:lpwstr>;#Funder Communication;#</vt:lpwstr>
  </property>
  <property fmtid="{D5CDD505-2E9C-101B-9397-08002B2CF9AE}" pid="7" name="Project Specific">
    <vt:lpwstr>;#Model Background;#</vt:lpwstr>
  </property>
  <property fmtid="{D5CDD505-2E9C-101B-9397-08002B2CF9AE}" pid="8" name="RightsManagement">
    <vt:lpwstr>Universal</vt:lpwstr>
  </property>
  <property fmtid="{D5CDD505-2E9C-101B-9397-08002B2CF9AE}" pid="9" name="Site (Program)">
    <vt:lpwstr/>
  </property>
</Properties>
</file>