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F10D2" w14:textId="77777777" w:rsidR="007D252C" w:rsidRPr="00E74838" w:rsidRDefault="007D252C" w:rsidP="00855F33">
      <w:pPr>
        <w:spacing w:after="0" w:line="240" w:lineRule="auto"/>
        <w:rPr>
          <w:rFonts w:cs="Times New Roman"/>
          <w:sz w:val="24"/>
          <w:szCs w:val="24"/>
        </w:rPr>
      </w:pPr>
    </w:p>
    <w:p w14:paraId="3C777BD3" w14:textId="77777777" w:rsidR="00855F33" w:rsidRPr="00E74838" w:rsidRDefault="00855F33" w:rsidP="00855F33">
      <w:pPr>
        <w:spacing w:after="0" w:line="240" w:lineRule="auto"/>
        <w:rPr>
          <w:rFonts w:cs="Times New Roman"/>
          <w:sz w:val="24"/>
          <w:szCs w:val="24"/>
        </w:rPr>
      </w:pPr>
    </w:p>
    <w:p w14:paraId="1A574139" w14:textId="77777777" w:rsidR="00855F33" w:rsidRPr="00E74838" w:rsidRDefault="00855F33" w:rsidP="00855F33">
      <w:pPr>
        <w:spacing w:after="0" w:line="240" w:lineRule="auto"/>
        <w:rPr>
          <w:rFonts w:cs="Times New Roman"/>
          <w:sz w:val="24"/>
          <w:szCs w:val="24"/>
        </w:rPr>
      </w:pPr>
    </w:p>
    <w:p w14:paraId="36536560" w14:textId="77777777" w:rsidR="00C24628" w:rsidRPr="00E74838" w:rsidRDefault="00C24628" w:rsidP="00855F33">
      <w:pPr>
        <w:spacing w:after="0" w:line="240" w:lineRule="auto"/>
        <w:rPr>
          <w:rFonts w:cs="Times New Roman"/>
          <w:sz w:val="24"/>
          <w:szCs w:val="24"/>
        </w:rPr>
      </w:pPr>
    </w:p>
    <w:p w14:paraId="5E5E52D3" w14:textId="77777777" w:rsidR="00C24628" w:rsidRPr="00E74838" w:rsidRDefault="00C24628" w:rsidP="00855F33">
      <w:pPr>
        <w:spacing w:after="0" w:line="240" w:lineRule="auto"/>
        <w:jc w:val="center"/>
        <w:rPr>
          <w:rFonts w:cs="Times New Roman"/>
          <w:b/>
          <w:sz w:val="24"/>
          <w:szCs w:val="24"/>
        </w:rPr>
      </w:pPr>
    </w:p>
    <w:p w14:paraId="7BE91A54" w14:textId="77777777" w:rsidR="00C24628" w:rsidRPr="00E74838" w:rsidRDefault="00C24628" w:rsidP="00855F33">
      <w:pPr>
        <w:spacing w:after="0" w:line="240" w:lineRule="auto"/>
        <w:jc w:val="center"/>
        <w:rPr>
          <w:rFonts w:cs="Times New Roman"/>
          <w:b/>
          <w:sz w:val="24"/>
          <w:szCs w:val="24"/>
        </w:rPr>
      </w:pPr>
    </w:p>
    <w:p w14:paraId="65B16E36" w14:textId="64FCA3D3" w:rsidR="005C6AF8" w:rsidRPr="00E74838" w:rsidRDefault="002C5E60" w:rsidP="00855F33">
      <w:pPr>
        <w:spacing w:after="0" w:line="240" w:lineRule="auto"/>
        <w:jc w:val="center"/>
        <w:rPr>
          <w:rFonts w:cs="Times New Roman"/>
          <w:b/>
          <w:sz w:val="24"/>
          <w:szCs w:val="24"/>
        </w:rPr>
      </w:pPr>
      <w:bookmarkStart w:id="0" w:name="_GoBack"/>
      <w:bookmarkEnd w:id="0"/>
      <w:r w:rsidRPr="00E74838">
        <w:rPr>
          <w:rFonts w:cs="Times New Roman"/>
          <w:b/>
          <w:sz w:val="24"/>
          <w:szCs w:val="24"/>
        </w:rPr>
        <w:t xml:space="preserve">Departments of Labor and Education </w:t>
      </w:r>
    </w:p>
    <w:p w14:paraId="5BC5C0EF" w14:textId="77777777" w:rsidR="005C6AF8" w:rsidRPr="00E74838" w:rsidRDefault="005C6AF8" w:rsidP="00855F33">
      <w:pPr>
        <w:spacing w:after="0" w:line="240" w:lineRule="auto"/>
        <w:jc w:val="center"/>
        <w:rPr>
          <w:rFonts w:cs="Times New Roman"/>
          <w:b/>
          <w:sz w:val="24"/>
          <w:szCs w:val="24"/>
        </w:rPr>
      </w:pPr>
    </w:p>
    <w:p w14:paraId="0395EC6A" w14:textId="1063882E" w:rsidR="00C24628" w:rsidRPr="00E74838" w:rsidRDefault="00C24628" w:rsidP="00855F33">
      <w:pPr>
        <w:spacing w:after="0" w:line="240" w:lineRule="auto"/>
        <w:jc w:val="center"/>
        <w:rPr>
          <w:rFonts w:cs="Times New Roman"/>
          <w:b/>
          <w:sz w:val="24"/>
          <w:szCs w:val="24"/>
        </w:rPr>
      </w:pPr>
    </w:p>
    <w:p w14:paraId="64A105AC" w14:textId="77777777" w:rsidR="00C24628" w:rsidRPr="00E74838" w:rsidRDefault="00C24628" w:rsidP="00855F33">
      <w:pPr>
        <w:spacing w:after="0" w:line="240" w:lineRule="auto"/>
        <w:jc w:val="center"/>
        <w:rPr>
          <w:rFonts w:cs="Times New Roman"/>
          <w:b/>
          <w:sz w:val="24"/>
          <w:szCs w:val="24"/>
        </w:rPr>
      </w:pPr>
    </w:p>
    <w:p w14:paraId="349579F3" w14:textId="1B62AA55" w:rsidR="00C24628" w:rsidRDefault="00C24628" w:rsidP="00855F33">
      <w:pPr>
        <w:spacing w:after="0" w:line="240" w:lineRule="auto"/>
        <w:jc w:val="center"/>
        <w:rPr>
          <w:rFonts w:cs="Times New Roman"/>
          <w:b/>
          <w:sz w:val="24"/>
          <w:szCs w:val="24"/>
        </w:rPr>
      </w:pPr>
    </w:p>
    <w:p w14:paraId="0BDC8C5E" w14:textId="77777777" w:rsidR="00222A5F" w:rsidRPr="00E74838" w:rsidRDefault="00222A5F" w:rsidP="00855F33">
      <w:pPr>
        <w:spacing w:after="0" w:line="240" w:lineRule="auto"/>
        <w:jc w:val="center"/>
        <w:rPr>
          <w:rFonts w:cs="Times New Roman"/>
          <w:b/>
          <w:sz w:val="24"/>
          <w:szCs w:val="24"/>
        </w:rPr>
      </w:pPr>
    </w:p>
    <w:p w14:paraId="765E5152" w14:textId="77777777" w:rsidR="00C24628" w:rsidRPr="00E74838" w:rsidRDefault="00C24628" w:rsidP="00855F33">
      <w:pPr>
        <w:spacing w:after="0" w:line="240" w:lineRule="auto"/>
        <w:jc w:val="center"/>
        <w:rPr>
          <w:rFonts w:cs="Times New Roman"/>
          <w:b/>
          <w:sz w:val="24"/>
          <w:szCs w:val="24"/>
        </w:rPr>
      </w:pPr>
    </w:p>
    <w:p w14:paraId="4C876D36" w14:textId="51CC5956" w:rsidR="005C6AF8" w:rsidRDefault="005C6AF8" w:rsidP="00855F33">
      <w:pPr>
        <w:spacing w:after="0" w:line="240" w:lineRule="auto"/>
        <w:jc w:val="center"/>
        <w:rPr>
          <w:rFonts w:cs="Times New Roman"/>
          <w:b/>
          <w:sz w:val="24"/>
          <w:szCs w:val="24"/>
        </w:rPr>
      </w:pPr>
      <w:r w:rsidRPr="00E74838">
        <w:rPr>
          <w:rFonts w:cs="Times New Roman"/>
          <w:b/>
          <w:sz w:val="24"/>
          <w:szCs w:val="24"/>
        </w:rPr>
        <w:t xml:space="preserve">Information </w:t>
      </w:r>
      <w:r w:rsidR="00995ADE" w:rsidRPr="00E74838">
        <w:rPr>
          <w:rFonts w:cs="Times New Roman"/>
          <w:b/>
          <w:sz w:val="24"/>
          <w:szCs w:val="24"/>
        </w:rPr>
        <w:t>Collection</w:t>
      </w:r>
      <w:r w:rsidRPr="00E74838">
        <w:rPr>
          <w:rFonts w:cs="Times New Roman"/>
          <w:b/>
          <w:sz w:val="24"/>
          <w:szCs w:val="24"/>
        </w:rPr>
        <w:t xml:space="preserve"> Request</w:t>
      </w:r>
    </w:p>
    <w:p w14:paraId="278C2352" w14:textId="77777777" w:rsidR="00920CBC" w:rsidRPr="00E74838" w:rsidRDefault="00920CBC" w:rsidP="00855F33">
      <w:pPr>
        <w:spacing w:after="0" w:line="240" w:lineRule="auto"/>
        <w:jc w:val="center"/>
        <w:rPr>
          <w:rFonts w:cs="Times New Roman"/>
          <w:b/>
          <w:sz w:val="24"/>
          <w:szCs w:val="24"/>
        </w:rPr>
      </w:pPr>
    </w:p>
    <w:p w14:paraId="08B6591D" w14:textId="529FD02E" w:rsidR="00C24628" w:rsidRPr="00E74838" w:rsidRDefault="00C24628" w:rsidP="00855F33">
      <w:pPr>
        <w:spacing w:after="0" w:line="240" w:lineRule="auto"/>
        <w:jc w:val="center"/>
        <w:rPr>
          <w:rFonts w:cs="Times New Roman"/>
          <w:b/>
          <w:sz w:val="24"/>
          <w:szCs w:val="24"/>
        </w:rPr>
      </w:pPr>
    </w:p>
    <w:p w14:paraId="059CD002" w14:textId="77777777" w:rsidR="00C24628" w:rsidRPr="00E74838" w:rsidRDefault="00C24628" w:rsidP="00855F33">
      <w:pPr>
        <w:spacing w:after="0" w:line="240" w:lineRule="auto"/>
        <w:jc w:val="center"/>
        <w:rPr>
          <w:rFonts w:cs="Times New Roman"/>
          <w:b/>
          <w:sz w:val="24"/>
          <w:szCs w:val="24"/>
        </w:rPr>
      </w:pPr>
    </w:p>
    <w:p w14:paraId="530C3A28" w14:textId="77777777" w:rsidR="00C24628" w:rsidRPr="00E74838" w:rsidRDefault="00C24628" w:rsidP="00855F33">
      <w:pPr>
        <w:spacing w:after="0" w:line="240" w:lineRule="auto"/>
        <w:jc w:val="center"/>
        <w:rPr>
          <w:rFonts w:cs="Times New Roman"/>
          <w:b/>
          <w:sz w:val="24"/>
          <w:szCs w:val="24"/>
        </w:rPr>
      </w:pPr>
    </w:p>
    <w:p w14:paraId="2551EA8C" w14:textId="77777777" w:rsidR="00C24628" w:rsidRPr="00E74838" w:rsidRDefault="00C24628" w:rsidP="00855F33">
      <w:pPr>
        <w:spacing w:after="0" w:line="240" w:lineRule="auto"/>
        <w:jc w:val="center"/>
        <w:rPr>
          <w:rFonts w:cs="Times New Roman"/>
          <w:b/>
          <w:sz w:val="24"/>
          <w:szCs w:val="24"/>
        </w:rPr>
      </w:pPr>
    </w:p>
    <w:p w14:paraId="1B6B6ACF" w14:textId="77777777" w:rsidR="00C24628" w:rsidRPr="00E74838" w:rsidRDefault="00C24628" w:rsidP="00855F33">
      <w:pPr>
        <w:spacing w:after="0" w:line="240" w:lineRule="auto"/>
        <w:jc w:val="center"/>
        <w:rPr>
          <w:rFonts w:cs="Times New Roman"/>
          <w:b/>
          <w:sz w:val="24"/>
          <w:szCs w:val="24"/>
        </w:rPr>
      </w:pPr>
    </w:p>
    <w:p w14:paraId="1F04DF62" w14:textId="521E8408" w:rsidR="005C6AF8" w:rsidRPr="00E74838" w:rsidRDefault="005C6AF8" w:rsidP="00855F33">
      <w:pPr>
        <w:spacing w:after="0" w:line="240" w:lineRule="auto"/>
        <w:jc w:val="center"/>
        <w:rPr>
          <w:rFonts w:cs="Times New Roman"/>
          <w:b/>
          <w:sz w:val="24"/>
          <w:szCs w:val="24"/>
        </w:rPr>
      </w:pPr>
      <w:r w:rsidRPr="00E74838">
        <w:rPr>
          <w:rFonts w:cs="Times New Roman"/>
          <w:b/>
          <w:sz w:val="24"/>
          <w:szCs w:val="24"/>
        </w:rPr>
        <w:t xml:space="preserve">Workforce </w:t>
      </w:r>
      <w:r w:rsidR="0054192E" w:rsidRPr="00E74838">
        <w:rPr>
          <w:rFonts w:cs="Times New Roman"/>
          <w:b/>
          <w:sz w:val="24"/>
          <w:szCs w:val="24"/>
        </w:rPr>
        <w:t xml:space="preserve">Innovation </w:t>
      </w:r>
      <w:r w:rsidRPr="00E74838">
        <w:rPr>
          <w:rFonts w:cs="Times New Roman"/>
          <w:b/>
          <w:sz w:val="24"/>
          <w:szCs w:val="24"/>
        </w:rPr>
        <w:t xml:space="preserve">and Opportunity Act (WIOA) </w:t>
      </w:r>
    </w:p>
    <w:p w14:paraId="030FC54F" w14:textId="59653131" w:rsidR="005C6AF8" w:rsidRPr="00E74838" w:rsidRDefault="007A2E6D" w:rsidP="00855F33">
      <w:pPr>
        <w:spacing w:after="0" w:line="240" w:lineRule="auto"/>
        <w:jc w:val="center"/>
        <w:rPr>
          <w:rFonts w:cs="Times New Roman"/>
          <w:b/>
          <w:sz w:val="24"/>
          <w:szCs w:val="24"/>
        </w:rPr>
      </w:pPr>
      <w:r>
        <w:rPr>
          <w:rFonts w:cs="Times New Roman"/>
          <w:b/>
          <w:sz w:val="24"/>
          <w:szCs w:val="24"/>
        </w:rPr>
        <w:t>Common</w:t>
      </w:r>
      <w:r w:rsidR="00222A5F">
        <w:rPr>
          <w:rFonts w:cs="Times New Roman"/>
          <w:b/>
          <w:sz w:val="24"/>
          <w:szCs w:val="24"/>
        </w:rPr>
        <w:t xml:space="preserve"> Performance Reporting </w:t>
      </w:r>
    </w:p>
    <w:p w14:paraId="02758909" w14:textId="77777777" w:rsidR="005C6AF8" w:rsidRPr="00E74838" w:rsidRDefault="005C6AF8" w:rsidP="00855F33">
      <w:pPr>
        <w:spacing w:after="0" w:line="240" w:lineRule="auto"/>
        <w:jc w:val="center"/>
        <w:rPr>
          <w:rFonts w:cs="Times New Roman"/>
          <w:b/>
          <w:sz w:val="24"/>
          <w:szCs w:val="24"/>
        </w:rPr>
      </w:pPr>
    </w:p>
    <w:p w14:paraId="24BBAFEC" w14:textId="587E1CB1" w:rsidR="00C24628" w:rsidRPr="00E74838" w:rsidRDefault="00C24628" w:rsidP="00855F33">
      <w:pPr>
        <w:spacing w:after="0" w:line="240" w:lineRule="auto"/>
        <w:jc w:val="center"/>
        <w:rPr>
          <w:rFonts w:cs="Times New Roman"/>
          <w:b/>
          <w:sz w:val="24"/>
          <w:szCs w:val="24"/>
        </w:rPr>
      </w:pPr>
    </w:p>
    <w:p w14:paraId="2F187646" w14:textId="77777777" w:rsidR="00C24628" w:rsidRPr="00E74838" w:rsidRDefault="00C24628" w:rsidP="00855F33">
      <w:pPr>
        <w:spacing w:after="0" w:line="240" w:lineRule="auto"/>
        <w:jc w:val="center"/>
        <w:rPr>
          <w:rFonts w:cs="Times New Roman"/>
          <w:b/>
          <w:sz w:val="24"/>
          <w:szCs w:val="24"/>
        </w:rPr>
      </w:pPr>
    </w:p>
    <w:p w14:paraId="6BDB7DDE" w14:textId="77777777" w:rsidR="00C24628" w:rsidRPr="00E74838" w:rsidRDefault="00C24628" w:rsidP="00855F33">
      <w:pPr>
        <w:spacing w:after="0" w:line="240" w:lineRule="auto"/>
        <w:jc w:val="center"/>
        <w:rPr>
          <w:rFonts w:cs="Times New Roman"/>
          <w:b/>
          <w:sz w:val="24"/>
          <w:szCs w:val="24"/>
        </w:rPr>
      </w:pPr>
    </w:p>
    <w:p w14:paraId="1302AD24" w14:textId="77777777" w:rsidR="00C24628" w:rsidRPr="00E74838" w:rsidRDefault="00C24628" w:rsidP="00855F33">
      <w:pPr>
        <w:spacing w:after="0" w:line="240" w:lineRule="auto"/>
        <w:jc w:val="center"/>
        <w:rPr>
          <w:rFonts w:cs="Times New Roman"/>
          <w:b/>
          <w:sz w:val="24"/>
          <w:szCs w:val="24"/>
        </w:rPr>
      </w:pPr>
    </w:p>
    <w:p w14:paraId="19514F2F" w14:textId="77777777" w:rsidR="00C24628" w:rsidRPr="00E74838" w:rsidRDefault="00C24628" w:rsidP="00222A5F">
      <w:pPr>
        <w:spacing w:after="0" w:line="240" w:lineRule="auto"/>
        <w:rPr>
          <w:rFonts w:cs="Times New Roman"/>
          <w:b/>
          <w:sz w:val="24"/>
          <w:szCs w:val="24"/>
        </w:rPr>
      </w:pPr>
    </w:p>
    <w:p w14:paraId="2973A6A1" w14:textId="77777777" w:rsidR="00C24628" w:rsidRPr="00E74838" w:rsidRDefault="00C24628" w:rsidP="00222A5F">
      <w:pPr>
        <w:spacing w:after="0" w:line="240" w:lineRule="auto"/>
        <w:rPr>
          <w:rFonts w:cs="Times New Roman"/>
          <w:b/>
          <w:sz w:val="24"/>
          <w:szCs w:val="24"/>
        </w:rPr>
      </w:pPr>
    </w:p>
    <w:p w14:paraId="2650A952" w14:textId="498272FC" w:rsidR="005C6AF8" w:rsidRPr="00E74838" w:rsidRDefault="005C6AF8" w:rsidP="00855F33">
      <w:pPr>
        <w:spacing w:after="0" w:line="240" w:lineRule="auto"/>
        <w:jc w:val="center"/>
        <w:rPr>
          <w:rFonts w:cs="Times New Roman"/>
          <w:b/>
          <w:sz w:val="24"/>
          <w:szCs w:val="24"/>
        </w:rPr>
      </w:pPr>
      <w:r w:rsidRPr="00E74838">
        <w:rPr>
          <w:rFonts w:cs="Times New Roman"/>
          <w:b/>
          <w:sz w:val="24"/>
          <w:szCs w:val="24"/>
        </w:rPr>
        <w:t xml:space="preserve">Summary of 30-day </w:t>
      </w:r>
      <w:r w:rsidRPr="005509F0">
        <w:rPr>
          <w:rFonts w:cs="Times New Roman"/>
          <w:b/>
          <w:sz w:val="24"/>
          <w:szCs w:val="24"/>
          <w:u w:val="single"/>
        </w:rPr>
        <w:t>Federal Register</w:t>
      </w:r>
      <w:r w:rsidRPr="005509F0">
        <w:rPr>
          <w:rFonts w:cs="Times New Roman"/>
          <w:b/>
          <w:sz w:val="24"/>
          <w:szCs w:val="24"/>
        </w:rPr>
        <w:t xml:space="preserve"> </w:t>
      </w:r>
      <w:r w:rsidRPr="00EE17DA">
        <w:rPr>
          <w:rFonts w:cs="Times New Roman"/>
          <w:b/>
          <w:sz w:val="24"/>
          <w:szCs w:val="24"/>
        </w:rPr>
        <w:t>Notice</w:t>
      </w:r>
      <w:r w:rsidRPr="00E74838">
        <w:rPr>
          <w:rFonts w:cs="Times New Roman"/>
          <w:b/>
          <w:sz w:val="24"/>
          <w:szCs w:val="24"/>
        </w:rPr>
        <w:t xml:space="preserve"> (FRN) Comments and Responses</w:t>
      </w:r>
    </w:p>
    <w:p w14:paraId="560594C1" w14:textId="77777777" w:rsidR="005C6AF8" w:rsidRPr="00E74838" w:rsidRDefault="005C6AF8" w:rsidP="00855F33">
      <w:pPr>
        <w:spacing w:after="0" w:line="240" w:lineRule="auto"/>
        <w:rPr>
          <w:rFonts w:cs="Times New Roman"/>
          <w:sz w:val="24"/>
          <w:szCs w:val="24"/>
        </w:rPr>
      </w:pPr>
    </w:p>
    <w:p w14:paraId="5B1495DE" w14:textId="77777777" w:rsidR="005C6AF8" w:rsidRPr="00E74838" w:rsidRDefault="005C6AF8" w:rsidP="00855F33">
      <w:pPr>
        <w:spacing w:after="0" w:line="240" w:lineRule="auto"/>
        <w:rPr>
          <w:rFonts w:cs="Times New Roman"/>
          <w:sz w:val="24"/>
          <w:szCs w:val="24"/>
        </w:rPr>
        <w:sectPr w:rsidR="005C6AF8" w:rsidRPr="00E74838" w:rsidSect="00FB0BB0">
          <w:headerReference w:type="default" r:id="rId12"/>
          <w:type w:val="continuous"/>
          <w:pgSz w:w="12240" w:h="15840"/>
          <w:pgMar w:top="1440" w:right="1440" w:bottom="1152" w:left="1440" w:header="720" w:footer="720" w:gutter="0"/>
          <w:cols w:space="720"/>
          <w:docGrid w:linePitch="360"/>
        </w:sectPr>
      </w:pPr>
    </w:p>
    <w:p w14:paraId="50F39735" w14:textId="47F9C6F3" w:rsidR="004F46C7" w:rsidRPr="00E74838" w:rsidRDefault="004F46C7" w:rsidP="0001000B">
      <w:pPr>
        <w:spacing w:after="0" w:line="240" w:lineRule="auto"/>
        <w:rPr>
          <w:rFonts w:cs="Times New Roman"/>
          <w:b/>
          <w:sz w:val="24"/>
          <w:szCs w:val="24"/>
        </w:rPr>
      </w:pPr>
      <w:r w:rsidRPr="00E74838">
        <w:rPr>
          <w:rFonts w:cs="Times New Roman"/>
          <w:b/>
          <w:sz w:val="24"/>
          <w:szCs w:val="24"/>
        </w:rPr>
        <w:lastRenderedPageBreak/>
        <w:t xml:space="preserve">Comments and Responses </w:t>
      </w:r>
    </w:p>
    <w:p w14:paraId="566F3C5B" w14:textId="77777777" w:rsidR="00C24628" w:rsidRPr="00E74838" w:rsidRDefault="00C24628" w:rsidP="0001000B">
      <w:pPr>
        <w:spacing w:after="0" w:line="240" w:lineRule="auto"/>
        <w:outlineLvl w:val="0"/>
        <w:rPr>
          <w:rFonts w:eastAsia="Times New Roman" w:cs="Times New Roman"/>
          <w:b/>
          <w:color w:val="000000"/>
          <w:sz w:val="24"/>
          <w:szCs w:val="24"/>
          <w:u w:val="single"/>
        </w:rPr>
      </w:pPr>
    </w:p>
    <w:p w14:paraId="29A4F1EC" w14:textId="56CF576E" w:rsidR="0053733A" w:rsidRPr="00E74838" w:rsidRDefault="0053733A" w:rsidP="0001000B">
      <w:pPr>
        <w:spacing w:after="0" w:line="240" w:lineRule="auto"/>
        <w:outlineLvl w:val="0"/>
        <w:rPr>
          <w:rFonts w:eastAsia="Times New Roman" w:cs="Times New Roman"/>
          <w:b/>
          <w:color w:val="000000"/>
          <w:sz w:val="24"/>
          <w:szCs w:val="24"/>
        </w:rPr>
      </w:pPr>
      <w:r w:rsidRPr="00E74838">
        <w:rPr>
          <w:rFonts w:eastAsia="Times New Roman" w:cs="Times New Roman"/>
          <w:b/>
          <w:color w:val="000000"/>
          <w:sz w:val="24"/>
          <w:szCs w:val="24"/>
          <w:u w:val="single"/>
        </w:rPr>
        <w:t>General Comments</w:t>
      </w:r>
      <w:r w:rsidRPr="00E74838">
        <w:rPr>
          <w:rFonts w:eastAsia="Times New Roman" w:cs="Times New Roman"/>
          <w:b/>
          <w:color w:val="000000"/>
          <w:sz w:val="24"/>
          <w:szCs w:val="24"/>
        </w:rPr>
        <w:t>:</w:t>
      </w:r>
    </w:p>
    <w:p w14:paraId="11859364" w14:textId="77777777" w:rsidR="003F293A" w:rsidRPr="00E74838" w:rsidRDefault="003F293A" w:rsidP="0001000B">
      <w:pPr>
        <w:spacing w:after="0" w:line="240" w:lineRule="auto"/>
        <w:outlineLvl w:val="0"/>
        <w:rPr>
          <w:rFonts w:eastAsia="Times New Roman" w:cs="Times New Roman"/>
          <w:color w:val="000000"/>
          <w:sz w:val="24"/>
          <w:szCs w:val="24"/>
        </w:rPr>
      </w:pPr>
      <w:bookmarkStart w:id="1" w:name="OLE_LINK65"/>
      <w:bookmarkStart w:id="2" w:name="OLE_LINK64"/>
    </w:p>
    <w:p w14:paraId="5C67FCCF" w14:textId="0AAE8764" w:rsidR="00A56AD6" w:rsidRPr="00E74838" w:rsidRDefault="00C910DA" w:rsidP="0001000B">
      <w:pPr>
        <w:pStyle w:val="PlainText"/>
        <w:rPr>
          <w:rFonts w:asciiTheme="minorHAnsi" w:hAnsiTheme="minorHAnsi"/>
          <w:sz w:val="24"/>
          <w:szCs w:val="24"/>
        </w:rPr>
      </w:pPr>
      <w:r w:rsidRPr="00E74838">
        <w:rPr>
          <w:rFonts w:asciiTheme="minorHAnsi" w:hAnsiTheme="minorHAnsi"/>
          <w:sz w:val="24"/>
          <w:szCs w:val="24"/>
        </w:rPr>
        <w:t>After reviewing all of the documentation published to date regarding the WIOA common performance reporting</w:t>
      </w:r>
      <w:bookmarkEnd w:id="1"/>
      <w:bookmarkEnd w:id="2"/>
      <w:r w:rsidRPr="00E74838">
        <w:rPr>
          <w:rFonts w:asciiTheme="minorHAnsi" w:hAnsiTheme="minorHAnsi"/>
          <w:sz w:val="24"/>
          <w:szCs w:val="24"/>
        </w:rPr>
        <w:t xml:space="preserve">, </w:t>
      </w:r>
      <w:r w:rsidR="00A56AD6" w:rsidRPr="00E74838">
        <w:rPr>
          <w:rFonts w:asciiTheme="minorHAnsi" w:hAnsiTheme="minorHAnsi"/>
          <w:sz w:val="24"/>
          <w:szCs w:val="24"/>
        </w:rPr>
        <w:t xml:space="preserve">a few commenters stated that </w:t>
      </w:r>
      <w:r w:rsidRPr="00E74838">
        <w:rPr>
          <w:rFonts w:asciiTheme="minorHAnsi" w:hAnsiTheme="minorHAnsi"/>
          <w:sz w:val="24"/>
          <w:szCs w:val="24"/>
        </w:rPr>
        <w:t xml:space="preserve">it is unclear who will be responsible for generating the </w:t>
      </w:r>
      <w:r w:rsidR="00A56AD6" w:rsidRPr="00E74838">
        <w:rPr>
          <w:rFonts w:asciiTheme="minorHAnsi" w:hAnsiTheme="minorHAnsi"/>
          <w:sz w:val="24"/>
          <w:szCs w:val="24"/>
        </w:rPr>
        <w:t>S</w:t>
      </w:r>
      <w:r w:rsidRPr="00E74838">
        <w:rPr>
          <w:rFonts w:asciiTheme="minorHAnsi" w:hAnsiTheme="minorHAnsi"/>
          <w:sz w:val="24"/>
          <w:szCs w:val="24"/>
        </w:rPr>
        <w:t xml:space="preserve">tate level reports. </w:t>
      </w:r>
      <w:r w:rsidR="0025721A" w:rsidRPr="00E74838">
        <w:rPr>
          <w:rFonts w:asciiTheme="minorHAnsi" w:hAnsiTheme="minorHAnsi"/>
          <w:sz w:val="24"/>
          <w:szCs w:val="24"/>
        </w:rPr>
        <w:t xml:space="preserve"> </w:t>
      </w:r>
      <w:r w:rsidRPr="00E74838">
        <w:rPr>
          <w:rFonts w:asciiTheme="minorHAnsi" w:hAnsiTheme="minorHAnsi"/>
          <w:sz w:val="24"/>
          <w:szCs w:val="24"/>
        </w:rPr>
        <w:t xml:space="preserve">Under the </w:t>
      </w:r>
      <w:r w:rsidR="00370B7C" w:rsidRPr="00E74838">
        <w:rPr>
          <w:rFonts w:asciiTheme="minorHAnsi" w:hAnsiTheme="minorHAnsi"/>
          <w:sz w:val="24"/>
          <w:szCs w:val="24"/>
        </w:rPr>
        <w:t>Workforce Investment Act (</w:t>
      </w:r>
      <w:r w:rsidRPr="00E74838">
        <w:rPr>
          <w:rFonts w:asciiTheme="minorHAnsi" w:hAnsiTheme="minorHAnsi"/>
          <w:sz w:val="24"/>
          <w:szCs w:val="24"/>
        </w:rPr>
        <w:t>WIA</w:t>
      </w:r>
      <w:r w:rsidR="00370B7C" w:rsidRPr="00E74838">
        <w:rPr>
          <w:rFonts w:asciiTheme="minorHAnsi" w:hAnsiTheme="minorHAnsi"/>
          <w:sz w:val="24"/>
          <w:szCs w:val="24"/>
        </w:rPr>
        <w:t>)</w:t>
      </w:r>
      <w:r w:rsidRPr="00E74838">
        <w:rPr>
          <w:rFonts w:asciiTheme="minorHAnsi" w:hAnsiTheme="minorHAnsi"/>
          <w:sz w:val="24"/>
          <w:szCs w:val="24"/>
        </w:rPr>
        <w:t xml:space="preserve"> process, </w:t>
      </w:r>
      <w:r w:rsidR="00A56AD6" w:rsidRPr="00E74838">
        <w:rPr>
          <w:rFonts w:asciiTheme="minorHAnsi" w:hAnsiTheme="minorHAnsi"/>
          <w:sz w:val="24"/>
          <w:szCs w:val="24"/>
        </w:rPr>
        <w:t>S</w:t>
      </w:r>
      <w:r w:rsidRPr="00E74838">
        <w:rPr>
          <w:rFonts w:asciiTheme="minorHAnsi" w:hAnsiTheme="minorHAnsi"/>
          <w:sz w:val="24"/>
          <w:szCs w:val="24"/>
        </w:rPr>
        <w:t>tates upload</w:t>
      </w:r>
      <w:r w:rsidR="00A56AD6" w:rsidRPr="00E74838">
        <w:rPr>
          <w:rFonts w:asciiTheme="minorHAnsi" w:hAnsiTheme="minorHAnsi"/>
          <w:sz w:val="24"/>
          <w:szCs w:val="24"/>
        </w:rPr>
        <w:t>ed</w:t>
      </w:r>
      <w:r w:rsidRPr="00E74838">
        <w:rPr>
          <w:rFonts w:asciiTheme="minorHAnsi" w:hAnsiTheme="minorHAnsi"/>
          <w:sz w:val="24"/>
          <w:szCs w:val="24"/>
        </w:rPr>
        <w:t xml:space="preserve"> data to the EDVRS website which then generate</w:t>
      </w:r>
      <w:r w:rsidR="00A56AD6" w:rsidRPr="00E74838">
        <w:rPr>
          <w:rFonts w:asciiTheme="minorHAnsi" w:hAnsiTheme="minorHAnsi"/>
          <w:sz w:val="24"/>
          <w:szCs w:val="24"/>
        </w:rPr>
        <w:t>d</w:t>
      </w:r>
      <w:r w:rsidRPr="00E74838">
        <w:rPr>
          <w:rFonts w:asciiTheme="minorHAnsi" w:hAnsiTheme="minorHAnsi"/>
          <w:sz w:val="24"/>
          <w:szCs w:val="24"/>
        </w:rPr>
        <w:t xml:space="preserve"> the reports.  </w:t>
      </w:r>
      <w:r w:rsidR="00A56AD6" w:rsidRPr="00E74838">
        <w:rPr>
          <w:rFonts w:asciiTheme="minorHAnsi" w:hAnsiTheme="minorHAnsi"/>
          <w:sz w:val="24"/>
          <w:szCs w:val="24"/>
        </w:rPr>
        <w:t xml:space="preserve">The commenters questioned whether </w:t>
      </w:r>
      <w:r w:rsidRPr="00E74838">
        <w:rPr>
          <w:rFonts w:asciiTheme="minorHAnsi" w:hAnsiTheme="minorHAnsi"/>
          <w:sz w:val="24"/>
          <w:szCs w:val="24"/>
        </w:rPr>
        <w:t xml:space="preserve">that process </w:t>
      </w:r>
      <w:r w:rsidR="00A56AD6" w:rsidRPr="00E74838">
        <w:rPr>
          <w:rFonts w:asciiTheme="minorHAnsi" w:hAnsiTheme="minorHAnsi"/>
          <w:sz w:val="24"/>
          <w:szCs w:val="24"/>
        </w:rPr>
        <w:t xml:space="preserve">would continue </w:t>
      </w:r>
      <w:r w:rsidRPr="00E74838">
        <w:rPr>
          <w:rFonts w:asciiTheme="minorHAnsi" w:hAnsiTheme="minorHAnsi"/>
          <w:sz w:val="24"/>
          <w:szCs w:val="24"/>
        </w:rPr>
        <w:t xml:space="preserve">or </w:t>
      </w:r>
      <w:r w:rsidR="000F11E3" w:rsidRPr="00E74838">
        <w:rPr>
          <w:rFonts w:asciiTheme="minorHAnsi" w:hAnsiTheme="minorHAnsi"/>
          <w:sz w:val="24"/>
          <w:szCs w:val="24"/>
        </w:rPr>
        <w:t xml:space="preserve">whether </w:t>
      </w:r>
      <w:r w:rsidR="00A56AD6" w:rsidRPr="00E74838">
        <w:rPr>
          <w:rFonts w:asciiTheme="minorHAnsi" w:hAnsiTheme="minorHAnsi"/>
          <w:sz w:val="24"/>
          <w:szCs w:val="24"/>
        </w:rPr>
        <w:t>States</w:t>
      </w:r>
      <w:r w:rsidR="000F11E3" w:rsidRPr="00E74838">
        <w:rPr>
          <w:rFonts w:asciiTheme="minorHAnsi" w:hAnsiTheme="minorHAnsi"/>
          <w:sz w:val="24"/>
          <w:szCs w:val="24"/>
        </w:rPr>
        <w:t xml:space="preserve"> would</w:t>
      </w:r>
      <w:r w:rsidR="00A56AD6" w:rsidRPr="00E74838">
        <w:rPr>
          <w:rFonts w:asciiTheme="minorHAnsi" w:hAnsiTheme="minorHAnsi"/>
          <w:sz w:val="24"/>
          <w:szCs w:val="24"/>
        </w:rPr>
        <w:t xml:space="preserve"> </w:t>
      </w:r>
      <w:r w:rsidRPr="00E74838">
        <w:rPr>
          <w:rFonts w:asciiTheme="minorHAnsi" w:hAnsiTheme="minorHAnsi"/>
          <w:sz w:val="24"/>
          <w:szCs w:val="24"/>
        </w:rPr>
        <w:t xml:space="preserve">be directly responsible for generating </w:t>
      </w:r>
      <w:r w:rsidR="00A56AD6" w:rsidRPr="00E74838">
        <w:rPr>
          <w:rFonts w:asciiTheme="minorHAnsi" w:hAnsiTheme="minorHAnsi"/>
          <w:sz w:val="24"/>
          <w:szCs w:val="24"/>
        </w:rPr>
        <w:t>S</w:t>
      </w:r>
      <w:r w:rsidRPr="00E74838">
        <w:rPr>
          <w:rFonts w:asciiTheme="minorHAnsi" w:hAnsiTheme="minorHAnsi"/>
          <w:sz w:val="24"/>
          <w:szCs w:val="24"/>
        </w:rPr>
        <w:t>tate level reports on their own</w:t>
      </w:r>
      <w:r w:rsidR="00A56AD6" w:rsidRPr="00E74838">
        <w:rPr>
          <w:rFonts w:asciiTheme="minorHAnsi" w:hAnsiTheme="minorHAnsi"/>
          <w:sz w:val="24"/>
          <w:szCs w:val="24"/>
        </w:rPr>
        <w:t xml:space="preserve">.  The commenters indicated that additional time would be needed prior to full </w:t>
      </w:r>
      <w:r w:rsidR="007F3601" w:rsidRPr="00E74838">
        <w:rPr>
          <w:rFonts w:asciiTheme="minorHAnsi" w:hAnsiTheme="minorHAnsi"/>
          <w:sz w:val="24"/>
          <w:szCs w:val="24"/>
        </w:rPr>
        <w:t xml:space="preserve">compliance </w:t>
      </w:r>
      <w:r w:rsidR="00A56AD6" w:rsidRPr="00E74838">
        <w:rPr>
          <w:rFonts w:asciiTheme="minorHAnsi" w:hAnsiTheme="minorHAnsi"/>
          <w:sz w:val="24"/>
          <w:szCs w:val="24"/>
        </w:rPr>
        <w:t>with the reporting requirements if States will be responsible for generating the reports.</w:t>
      </w:r>
    </w:p>
    <w:p w14:paraId="26052362" w14:textId="77777777" w:rsidR="007F3601" w:rsidRPr="00E74838" w:rsidRDefault="007F3601" w:rsidP="0001000B">
      <w:pPr>
        <w:pStyle w:val="PlainText"/>
        <w:rPr>
          <w:rFonts w:asciiTheme="minorHAnsi" w:hAnsiTheme="minorHAnsi"/>
          <w:sz w:val="24"/>
          <w:szCs w:val="24"/>
        </w:rPr>
      </w:pPr>
    </w:p>
    <w:p w14:paraId="7ABF945B" w14:textId="30D64AEA" w:rsidR="007F3601" w:rsidRPr="00E74838" w:rsidRDefault="007F3601" w:rsidP="0001000B">
      <w:pPr>
        <w:spacing w:after="0" w:line="240" w:lineRule="auto"/>
        <w:contextualSpacing/>
        <w:rPr>
          <w:rFonts w:cs="Times New Roman"/>
          <w:sz w:val="24"/>
          <w:szCs w:val="24"/>
        </w:rPr>
      </w:pPr>
      <w:r w:rsidRPr="00E74838">
        <w:rPr>
          <w:rFonts w:cs="Times New Roman"/>
          <w:sz w:val="24"/>
          <w:szCs w:val="24"/>
        </w:rPr>
        <w:t xml:space="preserve">One commenter stated that the NPRM is not clear as to whether the Departments expect that Program Performance Reports are to be submitted as a summary analysis of the dataset on participants generated by each program, or simply tabulation of individuals served in different categories. </w:t>
      </w:r>
    </w:p>
    <w:p w14:paraId="2E2B2278" w14:textId="77777777" w:rsidR="007F3601" w:rsidRPr="00E74838" w:rsidRDefault="007F3601" w:rsidP="0001000B">
      <w:pPr>
        <w:pStyle w:val="PlainText"/>
        <w:rPr>
          <w:rFonts w:asciiTheme="minorHAnsi" w:hAnsiTheme="minorHAnsi"/>
          <w:sz w:val="24"/>
          <w:szCs w:val="24"/>
        </w:rPr>
      </w:pPr>
    </w:p>
    <w:p w14:paraId="0F88D3CC" w14:textId="08992379" w:rsidR="00273AA2" w:rsidRPr="00E74838" w:rsidRDefault="002F3609" w:rsidP="0001000B">
      <w:pPr>
        <w:autoSpaceDE w:val="0"/>
        <w:autoSpaceDN w:val="0"/>
        <w:adjustRightInd w:val="0"/>
        <w:spacing w:after="0" w:line="240" w:lineRule="auto"/>
        <w:rPr>
          <w:rFonts w:cs="Times New Roman"/>
          <w:b/>
          <w:sz w:val="24"/>
          <w:szCs w:val="24"/>
        </w:rPr>
      </w:pPr>
      <w:r w:rsidRPr="00E74838">
        <w:rPr>
          <w:rFonts w:cs="Times New Roman"/>
          <w:sz w:val="24"/>
          <w:szCs w:val="24"/>
        </w:rPr>
        <w:t>At least one commenter asked when the initial data collection format (e.g., spreadsheet, comma delimited text file, or software API) will be released for public review and comment.</w:t>
      </w:r>
      <w:r w:rsidR="00EF0523" w:rsidRPr="00E74838">
        <w:rPr>
          <w:rFonts w:cs="Times New Roman"/>
          <w:sz w:val="24"/>
          <w:szCs w:val="24"/>
        </w:rPr>
        <w:t xml:space="preserve">  Another commenter expressed general concern about the burden imposed by the reporting requirements and indicated that the additional data collection and verification will create a significant increase in administrative time spent by front line staff and inhibit the counselor/customer relationship. </w:t>
      </w:r>
      <w:r w:rsidR="000F11E3" w:rsidRPr="00E74838">
        <w:rPr>
          <w:rFonts w:cs="Times New Roman"/>
          <w:sz w:val="24"/>
          <w:szCs w:val="24"/>
        </w:rPr>
        <w:t>The commenter stated that t</w:t>
      </w:r>
      <w:r w:rsidR="00EF0523" w:rsidRPr="00E74838">
        <w:rPr>
          <w:rFonts w:cs="Times New Roman"/>
          <w:sz w:val="24"/>
          <w:szCs w:val="24"/>
        </w:rPr>
        <w:t xml:space="preserve">his will reduce the time available to provide direct services to program participants. </w:t>
      </w:r>
      <w:r w:rsidR="0025721A" w:rsidRPr="00E74838">
        <w:rPr>
          <w:rFonts w:cs="Times New Roman"/>
          <w:sz w:val="24"/>
          <w:szCs w:val="24"/>
        </w:rPr>
        <w:t xml:space="preserve"> </w:t>
      </w:r>
      <w:r w:rsidR="00EF0523" w:rsidRPr="00E74838">
        <w:rPr>
          <w:rFonts w:cs="Times New Roman"/>
          <w:sz w:val="24"/>
          <w:szCs w:val="24"/>
        </w:rPr>
        <w:t>The commenter asserted that there is no practical utility to the collection of data more frequently than on an annual basis.</w:t>
      </w:r>
      <w:r w:rsidRPr="00E74838">
        <w:rPr>
          <w:rFonts w:cs="Times New Roman"/>
          <w:sz w:val="24"/>
          <w:szCs w:val="24"/>
        </w:rPr>
        <w:t xml:space="preserve"> </w:t>
      </w:r>
      <w:r w:rsidR="00273AA2" w:rsidRPr="00E74838">
        <w:rPr>
          <w:rFonts w:cs="Times New Roman"/>
          <w:sz w:val="24"/>
          <w:szCs w:val="24"/>
        </w:rPr>
        <w:t xml:space="preserve"> </w:t>
      </w:r>
      <w:r w:rsidR="00273AA2" w:rsidRPr="00E74838">
        <w:rPr>
          <w:rFonts w:cs="Times New Roman"/>
          <w:bCs/>
          <w:sz w:val="24"/>
          <w:szCs w:val="24"/>
        </w:rPr>
        <w:t xml:space="preserve">For WIOA core programs to accurately match participant level data, the commenter said it would be necessary </w:t>
      </w:r>
      <w:r w:rsidR="000F11E3" w:rsidRPr="00E74838">
        <w:rPr>
          <w:rFonts w:cs="Times New Roman"/>
          <w:bCs/>
          <w:sz w:val="24"/>
          <w:szCs w:val="24"/>
        </w:rPr>
        <w:t>to have</w:t>
      </w:r>
      <w:r w:rsidR="00273AA2" w:rsidRPr="00E74838">
        <w:rPr>
          <w:rFonts w:cs="Times New Roman"/>
          <w:bCs/>
          <w:sz w:val="24"/>
          <w:szCs w:val="24"/>
        </w:rPr>
        <w:t xml:space="preserve"> a common data element, such as a unique identifier. </w:t>
      </w:r>
      <w:r w:rsidR="0025721A" w:rsidRPr="00E74838">
        <w:rPr>
          <w:rFonts w:cs="Times New Roman"/>
          <w:bCs/>
          <w:sz w:val="24"/>
          <w:szCs w:val="24"/>
        </w:rPr>
        <w:t xml:space="preserve"> </w:t>
      </w:r>
      <w:r w:rsidR="00273AA2" w:rsidRPr="00E74838">
        <w:rPr>
          <w:rFonts w:cs="Times New Roman"/>
          <w:bCs/>
          <w:sz w:val="24"/>
          <w:szCs w:val="24"/>
        </w:rPr>
        <w:t xml:space="preserve">The </w:t>
      </w:r>
      <w:r w:rsidR="000F11E3" w:rsidRPr="00E74838">
        <w:rPr>
          <w:rFonts w:cs="Times New Roman"/>
          <w:bCs/>
          <w:sz w:val="24"/>
          <w:szCs w:val="24"/>
        </w:rPr>
        <w:t xml:space="preserve">commenter asserted that the </w:t>
      </w:r>
      <w:r w:rsidR="00273AA2" w:rsidRPr="00E74838">
        <w:rPr>
          <w:rFonts w:cs="Times New Roman"/>
          <w:bCs/>
          <w:sz w:val="24"/>
          <w:szCs w:val="24"/>
        </w:rPr>
        <w:t>quality of much of the data collected is dependent upon the participant’s self-attestation.</w:t>
      </w:r>
    </w:p>
    <w:p w14:paraId="01BC9F5E" w14:textId="2BA61CCF" w:rsidR="002F3609" w:rsidRPr="00E74838" w:rsidRDefault="002F3609" w:rsidP="0001000B">
      <w:pPr>
        <w:pStyle w:val="PlainText"/>
        <w:rPr>
          <w:rFonts w:asciiTheme="minorHAnsi" w:hAnsiTheme="minorHAnsi"/>
          <w:sz w:val="24"/>
          <w:szCs w:val="24"/>
        </w:rPr>
      </w:pPr>
      <w:r w:rsidRPr="00E74838">
        <w:rPr>
          <w:rFonts w:asciiTheme="minorHAnsi" w:hAnsiTheme="minorHAnsi"/>
          <w:sz w:val="24"/>
          <w:szCs w:val="24"/>
        </w:rPr>
        <w:t xml:space="preserve"> </w:t>
      </w:r>
    </w:p>
    <w:p w14:paraId="52A39CFC" w14:textId="32D1035A" w:rsidR="00C910DA" w:rsidRPr="00E74838" w:rsidRDefault="00C910DA" w:rsidP="0001000B">
      <w:pPr>
        <w:pStyle w:val="PlainText"/>
        <w:rPr>
          <w:rFonts w:asciiTheme="minorHAnsi" w:hAnsiTheme="minorHAnsi"/>
          <w:bCs/>
          <w:sz w:val="24"/>
          <w:szCs w:val="24"/>
        </w:rPr>
      </w:pPr>
      <w:r w:rsidRPr="00E74838">
        <w:rPr>
          <w:rFonts w:asciiTheme="minorHAnsi" w:eastAsia="Arial" w:hAnsiTheme="minorHAnsi"/>
          <w:b/>
          <w:sz w:val="24"/>
          <w:szCs w:val="24"/>
        </w:rPr>
        <w:t xml:space="preserve">Agencies’ Response, June 2016: </w:t>
      </w:r>
      <w:r w:rsidRPr="00E74838">
        <w:rPr>
          <w:rFonts w:asciiTheme="minorHAnsi" w:hAnsiTheme="minorHAnsi"/>
          <w:sz w:val="24"/>
          <w:szCs w:val="24"/>
        </w:rPr>
        <w:t xml:space="preserve"> </w:t>
      </w:r>
      <w:r w:rsidRPr="00E74838">
        <w:rPr>
          <w:rFonts w:asciiTheme="minorHAnsi" w:hAnsiTheme="minorHAnsi"/>
          <w:bCs/>
          <w:sz w:val="24"/>
          <w:szCs w:val="24"/>
        </w:rPr>
        <w:t xml:space="preserve">The actual method of data submission will be detailed in future guidance.  For </w:t>
      </w:r>
      <w:r w:rsidR="00294629" w:rsidRPr="00E74838">
        <w:rPr>
          <w:rFonts w:asciiTheme="minorHAnsi" w:hAnsiTheme="minorHAnsi"/>
          <w:bCs/>
          <w:sz w:val="24"/>
          <w:szCs w:val="24"/>
        </w:rPr>
        <w:t xml:space="preserve">DOL-administered </w:t>
      </w:r>
      <w:r w:rsidRPr="00E74838">
        <w:rPr>
          <w:rFonts w:asciiTheme="minorHAnsi" w:hAnsiTheme="minorHAnsi"/>
          <w:bCs/>
          <w:sz w:val="24"/>
          <w:szCs w:val="24"/>
        </w:rPr>
        <w:t>programs, the file submission process will be similar to what it was under WIA, with an electronic system to accept individual files and aggregate reports.</w:t>
      </w:r>
      <w:r w:rsidR="00C879D6" w:rsidRPr="00E74838">
        <w:rPr>
          <w:rFonts w:asciiTheme="minorHAnsi" w:hAnsiTheme="minorHAnsi"/>
          <w:bCs/>
          <w:sz w:val="24"/>
          <w:szCs w:val="24"/>
        </w:rPr>
        <w:t xml:space="preserve"> </w:t>
      </w:r>
      <w:r w:rsidR="0025721A" w:rsidRPr="00E74838">
        <w:rPr>
          <w:rFonts w:asciiTheme="minorHAnsi" w:hAnsiTheme="minorHAnsi"/>
          <w:bCs/>
          <w:sz w:val="24"/>
          <w:szCs w:val="24"/>
        </w:rPr>
        <w:t xml:space="preserve"> </w:t>
      </w:r>
      <w:r w:rsidR="00C879D6" w:rsidRPr="00E74838">
        <w:rPr>
          <w:rFonts w:asciiTheme="minorHAnsi" w:hAnsiTheme="minorHAnsi"/>
          <w:bCs/>
          <w:sz w:val="24"/>
          <w:szCs w:val="24"/>
        </w:rPr>
        <w:t xml:space="preserve">The </w:t>
      </w:r>
      <w:r w:rsidR="00B923D8" w:rsidRPr="00E74838">
        <w:rPr>
          <w:rFonts w:asciiTheme="minorHAnsi" w:hAnsiTheme="minorHAnsi"/>
          <w:bCs/>
          <w:sz w:val="24"/>
          <w:szCs w:val="24"/>
        </w:rPr>
        <w:t>Adult Education and Family Literacy Act (</w:t>
      </w:r>
      <w:r w:rsidR="00C879D6" w:rsidRPr="00E74838">
        <w:rPr>
          <w:rFonts w:asciiTheme="minorHAnsi" w:hAnsiTheme="minorHAnsi"/>
          <w:bCs/>
          <w:sz w:val="24"/>
          <w:szCs w:val="24"/>
        </w:rPr>
        <w:t>AEFLA</w:t>
      </w:r>
      <w:r w:rsidR="00B923D8" w:rsidRPr="00E74838">
        <w:rPr>
          <w:rFonts w:asciiTheme="minorHAnsi" w:hAnsiTheme="minorHAnsi"/>
          <w:bCs/>
          <w:sz w:val="24"/>
          <w:szCs w:val="24"/>
        </w:rPr>
        <w:t>)</w:t>
      </w:r>
      <w:r w:rsidR="00C879D6" w:rsidRPr="00E74838">
        <w:rPr>
          <w:rFonts w:asciiTheme="minorHAnsi" w:hAnsiTheme="minorHAnsi"/>
          <w:bCs/>
          <w:sz w:val="24"/>
          <w:szCs w:val="24"/>
        </w:rPr>
        <w:t xml:space="preserve"> program administered by </w:t>
      </w:r>
      <w:r w:rsidR="00B923D8" w:rsidRPr="00E74838">
        <w:rPr>
          <w:rFonts w:asciiTheme="minorHAnsi" w:hAnsiTheme="minorHAnsi"/>
          <w:bCs/>
          <w:sz w:val="24"/>
          <w:szCs w:val="24"/>
        </w:rPr>
        <w:t>ED’s Office of Career, Technical, and Adult Education (</w:t>
      </w:r>
      <w:r w:rsidR="00C879D6" w:rsidRPr="00E74838">
        <w:rPr>
          <w:rFonts w:asciiTheme="minorHAnsi" w:hAnsiTheme="minorHAnsi"/>
          <w:bCs/>
          <w:sz w:val="24"/>
          <w:szCs w:val="24"/>
        </w:rPr>
        <w:t>OCTAE</w:t>
      </w:r>
      <w:r w:rsidR="00B923D8" w:rsidRPr="00E74838">
        <w:rPr>
          <w:rFonts w:asciiTheme="minorHAnsi" w:hAnsiTheme="minorHAnsi"/>
          <w:bCs/>
          <w:sz w:val="24"/>
          <w:szCs w:val="24"/>
        </w:rPr>
        <w:t>)</w:t>
      </w:r>
      <w:r w:rsidR="00C879D6" w:rsidRPr="00E74838">
        <w:rPr>
          <w:rFonts w:asciiTheme="minorHAnsi" w:hAnsiTheme="minorHAnsi"/>
          <w:bCs/>
          <w:sz w:val="24"/>
          <w:szCs w:val="24"/>
        </w:rPr>
        <w:t xml:space="preserve"> will continue to collect information through its electronic data submission process.</w:t>
      </w:r>
      <w:r w:rsidR="0090397F" w:rsidRPr="00E74838">
        <w:rPr>
          <w:rFonts w:asciiTheme="minorHAnsi" w:hAnsiTheme="minorHAnsi"/>
          <w:bCs/>
          <w:sz w:val="24"/>
          <w:szCs w:val="24"/>
        </w:rPr>
        <w:t xml:space="preserve">  The VR program, administered by the Rehabilitation Services Administration (RSA), </w:t>
      </w:r>
      <w:r w:rsidR="00860E7F" w:rsidRPr="00E74838">
        <w:rPr>
          <w:rFonts w:asciiTheme="minorHAnsi" w:hAnsiTheme="minorHAnsi"/>
          <w:bCs/>
          <w:sz w:val="24"/>
          <w:szCs w:val="24"/>
        </w:rPr>
        <w:t>will utilize a secure file transfer process.  The process is outlined in the VR program specific ICR.</w:t>
      </w:r>
    </w:p>
    <w:p w14:paraId="29475F9E" w14:textId="77777777" w:rsidR="007F3601" w:rsidRPr="00E74838" w:rsidRDefault="007F3601" w:rsidP="0001000B">
      <w:pPr>
        <w:pStyle w:val="PlainText"/>
        <w:rPr>
          <w:rFonts w:asciiTheme="minorHAnsi" w:hAnsiTheme="minorHAnsi"/>
          <w:bCs/>
          <w:sz w:val="24"/>
          <w:szCs w:val="24"/>
        </w:rPr>
      </w:pPr>
    </w:p>
    <w:p w14:paraId="29087375" w14:textId="5114261F" w:rsidR="00801004" w:rsidRPr="00E74838" w:rsidRDefault="002F3609" w:rsidP="0001000B">
      <w:pPr>
        <w:pStyle w:val="PlainText"/>
        <w:rPr>
          <w:rFonts w:asciiTheme="minorHAnsi" w:hAnsiTheme="minorHAnsi"/>
          <w:sz w:val="24"/>
          <w:szCs w:val="24"/>
        </w:rPr>
      </w:pPr>
      <w:r w:rsidRPr="00E74838">
        <w:rPr>
          <w:rFonts w:asciiTheme="minorHAnsi" w:hAnsiTheme="minorHAnsi"/>
          <w:bCs/>
          <w:sz w:val="24"/>
          <w:szCs w:val="24"/>
        </w:rPr>
        <w:t xml:space="preserve">The data collection instrument </w:t>
      </w:r>
      <w:r w:rsidR="00317E6F" w:rsidRPr="00E74838">
        <w:rPr>
          <w:rFonts w:asciiTheme="minorHAnsi" w:hAnsiTheme="minorHAnsi"/>
          <w:bCs/>
          <w:sz w:val="24"/>
          <w:szCs w:val="24"/>
        </w:rPr>
        <w:t>–</w:t>
      </w:r>
      <w:r w:rsidRPr="00E74838">
        <w:rPr>
          <w:rFonts w:asciiTheme="minorHAnsi" w:hAnsiTheme="minorHAnsi"/>
          <w:bCs/>
          <w:sz w:val="24"/>
          <w:szCs w:val="24"/>
        </w:rPr>
        <w:t xml:space="preserve"> the </w:t>
      </w:r>
      <w:r w:rsidR="00317E6F" w:rsidRPr="00E74838">
        <w:rPr>
          <w:rFonts w:asciiTheme="minorHAnsi" w:hAnsiTheme="minorHAnsi"/>
          <w:bCs/>
          <w:sz w:val="24"/>
          <w:szCs w:val="24"/>
        </w:rPr>
        <w:t>Participant Individual Record Layout (</w:t>
      </w:r>
      <w:r w:rsidRPr="00E74838">
        <w:rPr>
          <w:rFonts w:asciiTheme="minorHAnsi" w:hAnsiTheme="minorHAnsi"/>
          <w:bCs/>
          <w:sz w:val="24"/>
          <w:szCs w:val="24"/>
        </w:rPr>
        <w:t>PIRL</w:t>
      </w:r>
      <w:r w:rsidR="00317E6F" w:rsidRPr="00E74838">
        <w:rPr>
          <w:rFonts w:asciiTheme="minorHAnsi" w:hAnsiTheme="minorHAnsi"/>
          <w:bCs/>
          <w:sz w:val="24"/>
          <w:szCs w:val="24"/>
        </w:rPr>
        <w:t>)</w:t>
      </w:r>
      <w:r w:rsidRPr="00E74838">
        <w:rPr>
          <w:rFonts w:asciiTheme="minorHAnsi" w:hAnsiTheme="minorHAnsi"/>
          <w:bCs/>
          <w:sz w:val="24"/>
          <w:szCs w:val="24"/>
        </w:rPr>
        <w:t xml:space="preserve"> </w:t>
      </w:r>
      <w:r w:rsidR="00B923D8" w:rsidRPr="00E74838">
        <w:rPr>
          <w:rFonts w:asciiTheme="minorHAnsi" w:hAnsiTheme="minorHAnsi"/>
          <w:bCs/>
          <w:sz w:val="24"/>
          <w:szCs w:val="24"/>
        </w:rPr>
        <w:t>–</w:t>
      </w:r>
      <w:r w:rsidRPr="00E74838">
        <w:rPr>
          <w:rFonts w:asciiTheme="minorHAnsi" w:hAnsiTheme="minorHAnsi"/>
          <w:bCs/>
          <w:sz w:val="24"/>
          <w:szCs w:val="24"/>
        </w:rPr>
        <w:t xml:space="preserve"> will be collected in a comma delimited format for the DOL-administered programs.  The V</w:t>
      </w:r>
      <w:r w:rsidR="00B923D8" w:rsidRPr="00E74838">
        <w:rPr>
          <w:rFonts w:asciiTheme="minorHAnsi" w:hAnsiTheme="minorHAnsi"/>
          <w:bCs/>
          <w:sz w:val="24"/>
          <w:szCs w:val="24"/>
        </w:rPr>
        <w:t xml:space="preserve">ocational </w:t>
      </w:r>
      <w:r w:rsidRPr="00E74838">
        <w:rPr>
          <w:rFonts w:asciiTheme="minorHAnsi" w:hAnsiTheme="minorHAnsi"/>
          <w:bCs/>
          <w:sz w:val="24"/>
          <w:szCs w:val="24"/>
        </w:rPr>
        <w:t>R</w:t>
      </w:r>
      <w:r w:rsidR="00B923D8" w:rsidRPr="00E74838">
        <w:rPr>
          <w:rFonts w:asciiTheme="minorHAnsi" w:hAnsiTheme="minorHAnsi"/>
          <w:bCs/>
          <w:sz w:val="24"/>
          <w:szCs w:val="24"/>
        </w:rPr>
        <w:t>ehabilitation (VR) program</w:t>
      </w:r>
      <w:r w:rsidRPr="00E74838">
        <w:rPr>
          <w:rFonts w:asciiTheme="minorHAnsi" w:hAnsiTheme="minorHAnsi"/>
          <w:bCs/>
          <w:sz w:val="24"/>
          <w:szCs w:val="24"/>
        </w:rPr>
        <w:t xml:space="preserve"> data collection instrument </w:t>
      </w:r>
      <w:r w:rsidR="002303D6" w:rsidRPr="00E74838">
        <w:rPr>
          <w:rFonts w:asciiTheme="minorHAnsi" w:hAnsiTheme="minorHAnsi"/>
          <w:bCs/>
          <w:sz w:val="24"/>
          <w:szCs w:val="24"/>
        </w:rPr>
        <w:t>–</w:t>
      </w:r>
      <w:r w:rsidRPr="00E74838">
        <w:rPr>
          <w:rFonts w:asciiTheme="minorHAnsi" w:hAnsiTheme="minorHAnsi"/>
          <w:bCs/>
          <w:sz w:val="24"/>
          <w:szCs w:val="24"/>
        </w:rPr>
        <w:t xml:space="preserve"> the RSA-911 </w:t>
      </w:r>
      <w:r w:rsidR="002303D6" w:rsidRPr="00E74838">
        <w:rPr>
          <w:rFonts w:asciiTheme="minorHAnsi" w:hAnsiTheme="minorHAnsi"/>
          <w:bCs/>
          <w:sz w:val="24"/>
          <w:szCs w:val="24"/>
        </w:rPr>
        <w:t>–</w:t>
      </w:r>
      <w:r w:rsidRPr="00E74838">
        <w:rPr>
          <w:rFonts w:asciiTheme="minorHAnsi" w:hAnsiTheme="minorHAnsi"/>
          <w:bCs/>
          <w:sz w:val="24"/>
          <w:szCs w:val="24"/>
        </w:rPr>
        <w:t xml:space="preserve"> will also be collected in </w:t>
      </w:r>
      <w:r w:rsidRPr="00E74838">
        <w:rPr>
          <w:rFonts w:asciiTheme="minorHAnsi" w:hAnsiTheme="minorHAnsi"/>
          <w:bCs/>
          <w:sz w:val="24"/>
          <w:szCs w:val="24"/>
        </w:rPr>
        <w:lastRenderedPageBreak/>
        <w:t>a comma delimited format.</w:t>
      </w:r>
      <w:r w:rsidR="00EF0523" w:rsidRPr="00E74838">
        <w:rPr>
          <w:rFonts w:asciiTheme="minorHAnsi" w:hAnsiTheme="minorHAnsi"/>
          <w:bCs/>
          <w:sz w:val="24"/>
          <w:szCs w:val="24"/>
        </w:rPr>
        <w:t xml:space="preserve">  </w:t>
      </w:r>
      <w:r w:rsidR="007F3601" w:rsidRPr="00E74838">
        <w:rPr>
          <w:rFonts w:asciiTheme="minorHAnsi" w:hAnsiTheme="minorHAnsi"/>
          <w:sz w:val="24"/>
          <w:szCs w:val="24"/>
        </w:rPr>
        <w:t>As in the past, DOL and ED</w:t>
      </w:r>
      <w:r w:rsidR="005B4C16" w:rsidRPr="00E74838">
        <w:rPr>
          <w:rFonts w:asciiTheme="minorHAnsi" w:hAnsiTheme="minorHAnsi"/>
          <w:sz w:val="24"/>
          <w:szCs w:val="24"/>
        </w:rPr>
        <w:t>’s Rehabilitation Services Administration (ED</w:t>
      </w:r>
      <w:r w:rsidR="007F3601" w:rsidRPr="00E74838">
        <w:rPr>
          <w:rFonts w:asciiTheme="minorHAnsi" w:hAnsiTheme="minorHAnsi"/>
          <w:sz w:val="24"/>
          <w:szCs w:val="24"/>
        </w:rPr>
        <w:t>/RSA</w:t>
      </w:r>
      <w:r w:rsidR="005B4C16" w:rsidRPr="00E74838">
        <w:rPr>
          <w:rFonts w:asciiTheme="minorHAnsi" w:hAnsiTheme="minorHAnsi"/>
          <w:sz w:val="24"/>
          <w:szCs w:val="24"/>
        </w:rPr>
        <w:t>)</w:t>
      </w:r>
      <w:r w:rsidR="007F3601" w:rsidRPr="00E74838">
        <w:rPr>
          <w:rFonts w:asciiTheme="minorHAnsi" w:hAnsiTheme="minorHAnsi"/>
          <w:sz w:val="24"/>
          <w:szCs w:val="24"/>
        </w:rPr>
        <w:t xml:space="preserve"> will each collect an individual record file on each participant for the titles I and III and the VR program</w:t>
      </w:r>
      <w:r w:rsidR="0025721A" w:rsidRPr="00E74838">
        <w:rPr>
          <w:rFonts w:asciiTheme="minorHAnsi" w:hAnsiTheme="minorHAnsi"/>
          <w:sz w:val="24"/>
          <w:szCs w:val="24"/>
        </w:rPr>
        <w:t>s</w:t>
      </w:r>
      <w:r w:rsidR="00801004" w:rsidRPr="00E74838">
        <w:rPr>
          <w:rFonts w:asciiTheme="minorHAnsi" w:hAnsiTheme="minorHAnsi"/>
          <w:sz w:val="24"/>
          <w:szCs w:val="24"/>
        </w:rPr>
        <w:t xml:space="preserve">, just as they did prior to the enactment of WIOA.  </w:t>
      </w:r>
      <w:r w:rsidR="007F3601" w:rsidRPr="00E74838">
        <w:rPr>
          <w:rFonts w:asciiTheme="minorHAnsi" w:hAnsiTheme="minorHAnsi"/>
          <w:sz w:val="24"/>
          <w:szCs w:val="24"/>
        </w:rPr>
        <w:t xml:space="preserve">States are required to submit the PIRLs to DOL </w:t>
      </w:r>
      <w:r w:rsidR="00801004" w:rsidRPr="00E74838">
        <w:rPr>
          <w:rFonts w:asciiTheme="minorHAnsi" w:hAnsiTheme="minorHAnsi"/>
          <w:sz w:val="24"/>
          <w:szCs w:val="24"/>
        </w:rPr>
        <w:t xml:space="preserve">and ED/RSA </w:t>
      </w:r>
      <w:r w:rsidR="007F3601" w:rsidRPr="00E74838">
        <w:rPr>
          <w:rFonts w:asciiTheme="minorHAnsi" w:hAnsiTheme="minorHAnsi"/>
          <w:sz w:val="24"/>
          <w:szCs w:val="24"/>
        </w:rPr>
        <w:t xml:space="preserve">quarterly, with a unique identifier that allows DOL </w:t>
      </w:r>
      <w:r w:rsidR="00801004" w:rsidRPr="00E74838">
        <w:rPr>
          <w:rFonts w:asciiTheme="minorHAnsi" w:hAnsiTheme="minorHAnsi"/>
          <w:sz w:val="24"/>
          <w:szCs w:val="24"/>
        </w:rPr>
        <w:t xml:space="preserve">and ED/RSA </w:t>
      </w:r>
      <w:r w:rsidR="007F3601" w:rsidRPr="00E74838">
        <w:rPr>
          <w:rFonts w:asciiTheme="minorHAnsi" w:hAnsiTheme="minorHAnsi"/>
          <w:sz w:val="24"/>
          <w:szCs w:val="24"/>
        </w:rPr>
        <w:t>to match repeat or duplicate customers</w:t>
      </w:r>
      <w:r w:rsidR="00801004" w:rsidRPr="00E74838">
        <w:rPr>
          <w:rFonts w:asciiTheme="minorHAnsi" w:hAnsiTheme="minorHAnsi"/>
          <w:sz w:val="24"/>
          <w:szCs w:val="24"/>
        </w:rPr>
        <w:t xml:space="preserve"> </w:t>
      </w:r>
      <w:r w:rsidR="0025721A" w:rsidRPr="00E74838">
        <w:rPr>
          <w:rFonts w:asciiTheme="minorHAnsi" w:hAnsiTheme="minorHAnsi"/>
          <w:sz w:val="24"/>
          <w:szCs w:val="24"/>
        </w:rPr>
        <w:t xml:space="preserve">within each program </w:t>
      </w:r>
      <w:r w:rsidR="00801004" w:rsidRPr="00E74838">
        <w:rPr>
          <w:rFonts w:asciiTheme="minorHAnsi" w:hAnsiTheme="minorHAnsi"/>
          <w:sz w:val="24"/>
          <w:szCs w:val="24"/>
        </w:rPr>
        <w:t>without having to use Social Security Numbers (SSNs).  States will continue to submit aggregate level data to ED/OCTAE for the AEFLA program, just as they did prior to the enactment of WIOA.</w:t>
      </w:r>
    </w:p>
    <w:p w14:paraId="370B3FBB" w14:textId="77777777" w:rsidR="00801004" w:rsidRPr="00E74838" w:rsidRDefault="00801004" w:rsidP="0001000B">
      <w:pPr>
        <w:spacing w:after="0" w:line="240" w:lineRule="auto"/>
        <w:outlineLvl w:val="0"/>
        <w:rPr>
          <w:rFonts w:cs="Times New Roman"/>
          <w:sz w:val="24"/>
          <w:szCs w:val="24"/>
        </w:rPr>
      </w:pPr>
    </w:p>
    <w:p w14:paraId="14A9B2B7" w14:textId="0A0FDFC7" w:rsidR="001A77FB" w:rsidRDefault="00EF0523" w:rsidP="0001000B">
      <w:pPr>
        <w:autoSpaceDE w:val="0"/>
        <w:autoSpaceDN w:val="0"/>
        <w:adjustRightInd w:val="0"/>
        <w:spacing w:after="0" w:line="240" w:lineRule="auto"/>
        <w:rPr>
          <w:rFonts w:cs="Times New Roman"/>
          <w:sz w:val="24"/>
          <w:szCs w:val="24"/>
        </w:rPr>
      </w:pPr>
      <w:r w:rsidRPr="00E74838">
        <w:rPr>
          <w:rFonts w:cs="Times New Roman"/>
          <w:sz w:val="24"/>
          <w:szCs w:val="24"/>
        </w:rPr>
        <w:t>In the development of the data elements, the Department</w:t>
      </w:r>
      <w:r w:rsidR="00C81D4D" w:rsidRPr="00E74838">
        <w:rPr>
          <w:rFonts w:cs="Times New Roman"/>
          <w:sz w:val="24"/>
          <w:szCs w:val="24"/>
        </w:rPr>
        <w:t>s</w:t>
      </w:r>
      <w:r w:rsidRPr="00E74838">
        <w:rPr>
          <w:rFonts w:cs="Times New Roman"/>
          <w:sz w:val="24"/>
          <w:szCs w:val="24"/>
        </w:rPr>
        <w:t xml:space="preserve"> considered the statutory requirements in the Rehabilitation Act of 1973, as amended, as well as those set forth in section 116 of WIOA for the common performance accountability system.  Most of the data elements contained in the RSA-911 are explicitly required, whereas others are developed as necessary components of the calculation of performance indicators and/or report items.  The data elements contained in the PIRL are required by WIOA.</w:t>
      </w:r>
      <w:r w:rsidR="007C5D5C" w:rsidRPr="00E74838">
        <w:rPr>
          <w:rFonts w:cs="Times New Roman"/>
          <w:sz w:val="24"/>
          <w:szCs w:val="24"/>
        </w:rPr>
        <w:t xml:space="preserve">  The VR program operate</w:t>
      </w:r>
      <w:r w:rsidR="00934FE0" w:rsidRPr="00E74838">
        <w:rPr>
          <w:rFonts w:cs="Times New Roman"/>
          <w:sz w:val="24"/>
          <w:szCs w:val="24"/>
        </w:rPr>
        <w:t>s</w:t>
      </w:r>
      <w:r w:rsidR="007C5D5C" w:rsidRPr="00E74838">
        <w:rPr>
          <w:rFonts w:cs="Times New Roman"/>
          <w:sz w:val="24"/>
          <w:szCs w:val="24"/>
        </w:rPr>
        <w:t xml:space="preserve"> and </w:t>
      </w:r>
      <w:r w:rsidR="00934FE0" w:rsidRPr="00E74838">
        <w:rPr>
          <w:rFonts w:cs="Times New Roman"/>
          <w:sz w:val="24"/>
          <w:szCs w:val="24"/>
        </w:rPr>
        <w:t xml:space="preserve">is </w:t>
      </w:r>
      <w:r w:rsidR="007C5D5C" w:rsidRPr="00E74838">
        <w:rPr>
          <w:rFonts w:cs="Times New Roman"/>
          <w:sz w:val="24"/>
          <w:szCs w:val="24"/>
        </w:rPr>
        <w:t>funded on a Federal fiscal year (October 1 through September 30) basis pursuant to sections 110</w:t>
      </w:r>
      <w:r w:rsidR="00934FE0" w:rsidRPr="00E74838">
        <w:rPr>
          <w:rFonts w:cs="Times New Roman"/>
          <w:sz w:val="24"/>
          <w:szCs w:val="24"/>
        </w:rPr>
        <w:t xml:space="preserve"> and</w:t>
      </w:r>
      <w:r w:rsidR="007C5D5C" w:rsidRPr="00E74838">
        <w:rPr>
          <w:rFonts w:cs="Times New Roman"/>
          <w:sz w:val="24"/>
          <w:szCs w:val="24"/>
        </w:rPr>
        <w:t xml:space="preserve"> 111 of the </w:t>
      </w:r>
      <w:r w:rsidR="00934FE0" w:rsidRPr="00E74838">
        <w:rPr>
          <w:rFonts w:cs="Times New Roman"/>
          <w:sz w:val="24"/>
          <w:szCs w:val="24"/>
        </w:rPr>
        <w:t xml:space="preserve">Rehabilitation </w:t>
      </w:r>
      <w:r w:rsidR="007C5D5C" w:rsidRPr="00E74838">
        <w:rPr>
          <w:rFonts w:cs="Times New Roman"/>
          <w:sz w:val="24"/>
          <w:szCs w:val="24"/>
        </w:rPr>
        <w:t xml:space="preserve">Act, whereas the other five core programs of the workforce development system operate and are funded on a Program Year basis (July 1 through June 30).  Because the WIOA program year and the Federal fiscal year are offset by one quarter (July 1 through September 30), RSA needs quarterly data submissions so that it can draw comparisons between both program and fiscal years.  If the RSA-911 was collected less </w:t>
      </w:r>
      <w:r w:rsidR="007C5D5C" w:rsidRPr="001A77FB">
        <w:rPr>
          <w:rFonts w:cs="Times New Roman"/>
          <w:sz w:val="24"/>
          <w:szCs w:val="24"/>
        </w:rPr>
        <w:t>frequently than quarterly, it would be incompatible with the performance reporting template required under title I of WIOA jointly developed by the Departments and would necessitate that VR agencies track and report the same data using two different reporting calendars.  In</w:t>
      </w:r>
      <w:r w:rsidR="007C5D5C" w:rsidRPr="008407F9">
        <w:rPr>
          <w:rFonts w:cs="Times New Roman"/>
          <w:sz w:val="24"/>
          <w:szCs w:val="24"/>
        </w:rPr>
        <w:t xml:space="preserve"> addition, several of the performance indicators – particularly the three employment-related performance indicators – require data that are based on specific quarters after a participant exits a core program.  Therefore, by RSA revising the RSA-911 report to a quarterly reporting system, the burden imposed on States is minimized significantly</w:t>
      </w:r>
      <w:r w:rsidR="007C5D5C" w:rsidRPr="001A77FB">
        <w:rPr>
          <w:rFonts w:cs="Times New Roman"/>
          <w:sz w:val="24"/>
          <w:szCs w:val="24"/>
        </w:rPr>
        <w:t>.</w:t>
      </w:r>
      <w:r w:rsidR="0030422F" w:rsidRPr="001A77FB">
        <w:rPr>
          <w:rFonts w:cs="Times New Roman"/>
          <w:sz w:val="24"/>
          <w:szCs w:val="24"/>
        </w:rPr>
        <w:t xml:space="preserve">  </w:t>
      </w:r>
    </w:p>
    <w:p w14:paraId="3C701467" w14:textId="77777777" w:rsidR="001A77FB" w:rsidRDefault="001A77FB" w:rsidP="0001000B">
      <w:pPr>
        <w:autoSpaceDE w:val="0"/>
        <w:autoSpaceDN w:val="0"/>
        <w:adjustRightInd w:val="0"/>
        <w:spacing w:after="0" w:line="240" w:lineRule="auto"/>
        <w:rPr>
          <w:rFonts w:cs="Times New Roman"/>
          <w:sz w:val="24"/>
          <w:szCs w:val="24"/>
        </w:rPr>
      </w:pPr>
    </w:p>
    <w:p w14:paraId="0FA6A7B0" w14:textId="4133C827" w:rsidR="007C5D5C" w:rsidRPr="001A77FB" w:rsidRDefault="00E92469" w:rsidP="0001000B">
      <w:pPr>
        <w:autoSpaceDE w:val="0"/>
        <w:autoSpaceDN w:val="0"/>
        <w:adjustRightInd w:val="0"/>
        <w:spacing w:after="0" w:line="240" w:lineRule="auto"/>
        <w:rPr>
          <w:rFonts w:cs="Times New Roman"/>
          <w:sz w:val="24"/>
          <w:szCs w:val="24"/>
        </w:rPr>
      </w:pPr>
      <w:r>
        <w:rPr>
          <w:rFonts w:cs="Times New Roman"/>
          <w:sz w:val="24"/>
          <w:szCs w:val="24"/>
        </w:rPr>
        <w:t xml:space="preserve">The Department of Labor has determined </w:t>
      </w:r>
      <w:r w:rsidR="001A77FB">
        <w:rPr>
          <w:rFonts w:cs="Times New Roman"/>
          <w:sz w:val="24"/>
          <w:szCs w:val="24"/>
        </w:rPr>
        <w:t xml:space="preserve">that collecting data via </w:t>
      </w:r>
      <w:r w:rsidR="001A77FB" w:rsidRPr="001A77FB">
        <w:rPr>
          <w:rFonts w:cs="Times New Roman"/>
          <w:sz w:val="24"/>
          <w:szCs w:val="24"/>
        </w:rPr>
        <w:t>quarterly</w:t>
      </w:r>
      <w:r w:rsidR="001A77FB">
        <w:rPr>
          <w:rFonts w:cs="Times New Roman"/>
          <w:sz w:val="24"/>
          <w:szCs w:val="24"/>
        </w:rPr>
        <w:t xml:space="preserve"> reports has several benefits</w:t>
      </w:r>
      <w:r>
        <w:rPr>
          <w:rFonts w:cs="Times New Roman"/>
          <w:sz w:val="24"/>
          <w:szCs w:val="24"/>
        </w:rPr>
        <w:t>, including</w:t>
      </w:r>
      <w:r w:rsidR="001A77FB">
        <w:rPr>
          <w:rFonts w:cs="Times New Roman"/>
          <w:sz w:val="24"/>
          <w:szCs w:val="24"/>
        </w:rPr>
        <w:t>:</w:t>
      </w:r>
    </w:p>
    <w:p w14:paraId="3B2C7AA3" w14:textId="77777777" w:rsidR="001A77FB" w:rsidRPr="008407F9" w:rsidRDefault="001A77FB" w:rsidP="0001000B">
      <w:pPr>
        <w:autoSpaceDE w:val="0"/>
        <w:autoSpaceDN w:val="0"/>
        <w:adjustRightInd w:val="0"/>
        <w:spacing w:after="0" w:line="240" w:lineRule="auto"/>
        <w:rPr>
          <w:rFonts w:cs="Times New Roman"/>
          <w:sz w:val="24"/>
          <w:szCs w:val="24"/>
        </w:rPr>
      </w:pPr>
    </w:p>
    <w:p w14:paraId="5277BBE1" w14:textId="5C4BC81F" w:rsidR="001A77FB" w:rsidRDefault="00E92469" w:rsidP="0001000B">
      <w:pPr>
        <w:pStyle w:val="ListParagraph"/>
        <w:numPr>
          <w:ilvl w:val="0"/>
          <w:numId w:val="43"/>
        </w:numPr>
        <w:autoSpaceDE w:val="0"/>
        <w:autoSpaceDN w:val="0"/>
        <w:adjustRightInd w:val="0"/>
        <w:spacing w:after="0" w:line="240" w:lineRule="auto"/>
        <w:rPr>
          <w:rFonts w:cs="Times New Roman"/>
          <w:szCs w:val="24"/>
        </w:rPr>
      </w:pPr>
      <w:r>
        <w:rPr>
          <w:rFonts w:asciiTheme="minorHAnsi" w:hAnsiTheme="minorHAnsi" w:cs="Times New Roman"/>
          <w:szCs w:val="24"/>
        </w:rPr>
        <w:t>Access to m</w:t>
      </w:r>
      <w:r w:rsidR="001A77FB" w:rsidRPr="00136760">
        <w:rPr>
          <w:rFonts w:asciiTheme="minorHAnsi" w:hAnsiTheme="minorHAnsi" w:cs="Times New Roman"/>
          <w:szCs w:val="24"/>
        </w:rPr>
        <w:t>ore timely data</w:t>
      </w:r>
      <w:r w:rsidR="001A77FB">
        <w:rPr>
          <w:rFonts w:asciiTheme="minorHAnsi" w:hAnsiTheme="minorHAnsi" w:cs="Times New Roman"/>
          <w:szCs w:val="24"/>
        </w:rPr>
        <w:t xml:space="preserve"> </w:t>
      </w:r>
      <w:r>
        <w:rPr>
          <w:rFonts w:asciiTheme="minorHAnsi" w:hAnsiTheme="minorHAnsi" w:cs="Times New Roman"/>
          <w:szCs w:val="24"/>
        </w:rPr>
        <w:t>to respond to</w:t>
      </w:r>
      <w:r w:rsidR="001A77FB">
        <w:rPr>
          <w:rFonts w:asciiTheme="minorHAnsi" w:hAnsiTheme="minorHAnsi" w:cs="Times New Roman"/>
          <w:szCs w:val="24"/>
        </w:rPr>
        <w:t xml:space="preserve"> data requests;</w:t>
      </w:r>
    </w:p>
    <w:p w14:paraId="137F6D3E" w14:textId="62492B72" w:rsidR="001A77FB" w:rsidRDefault="00E92469" w:rsidP="0001000B">
      <w:pPr>
        <w:pStyle w:val="ListParagraph"/>
        <w:numPr>
          <w:ilvl w:val="0"/>
          <w:numId w:val="43"/>
        </w:numPr>
        <w:autoSpaceDE w:val="0"/>
        <w:autoSpaceDN w:val="0"/>
        <w:adjustRightInd w:val="0"/>
        <w:spacing w:after="0" w:line="240" w:lineRule="auto"/>
        <w:rPr>
          <w:rFonts w:cs="Times New Roman"/>
          <w:szCs w:val="24"/>
        </w:rPr>
      </w:pPr>
      <w:r>
        <w:rPr>
          <w:rFonts w:asciiTheme="minorHAnsi" w:hAnsiTheme="minorHAnsi" w:cs="Times New Roman"/>
          <w:szCs w:val="24"/>
        </w:rPr>
        <w:t>Access to m</w:t>
      </w:r>
      <w:r w:rsidR="001A77FB">
        <w:rPr>
          <w:rFonts w:asciiTheme="minorHAnsi" w:hAnsiTheme="minorHAnsi" w:cs="Times New Roman"/>
          <w:szCs w:val="24"/>
        </w:rPr>
        <w:t>ore timely data for providing technical assistance, implementing corrective action plans, etc.;</w:t>
      </w:r>
    </w:p>
    <w:p w14:paraId="10BAB6CF" w14:textId="2D7C6FF3" w:rsidR="001A77FB" w:rsidRDefault="00E92469" w:rsidP="0001000B">
      <w:pPr>
        <w:pStyle w:val="ListParagraph"/>
        <w:numPr>
          <w:ilvl w:val="0"/>
          <w:numId w:val="43"/>
        </w:numPr>
        <w:autoSpaceDE w:val="0"/>
        <w:autoSpaceDN w:val="0"/>
        <w:adjustRightInd w:val="0"/>
        <w:spacing w:after="0" w:line="240" w:lineRule="auto"/>
        <w:rPr>
          <w:rFonts w:cs="Times New Roman"/>
          <w:szCs w:val="24"/>
        </w:rPr>
      </w:pPr>
      <w:r>
        <w:rPr>
          <w:rFonts w:asciiTheme="minorHAnsi" w:hAnsiTheme="minorHAnsi" w:cs="Times New Roman"/>
          <w:szCs w:val="24"/>
        </w:rPr>
        <w:t>Identifying p</w:t>
      </w:r>
      <w:r w:rsidR="001A77FB">
        <w:rPr>
          <w:rFonts w:asciiTheme="minorHAnsi" w:hAnsiTheme="minorHAnsi" w:cs="Times New Roman"/>
          <w:szCs w:val="24"/>
        </w:rPr>
        <w:t>roblems (with data collection or the programs themselves) sooner, rather than later</w:t>
      </w:r>
      <w:r w:rsidR="004962B5">
        <w:rPr>
          <w:rFonts w:asciiTheme="minorHAnsi" w:hAnsiTheme="minorHAnsi" w:cs="Times New Roman"/>
          <w:szCs w:val="24"/>
        </w:rPr>
        <w:t>;</w:t>
      </w:r>
    </w:p>
    <w:p w14:paraId="30F689AA" w14:textId="2D797C54" w:rsidR="001A77FB" w:rsidRDefault="00E92469" w:rsidP="0001000B">
      <w:pPr>
        <w:pStyle w:val="ListParagraph"/>
        <w:numPr>
          <w:ilvl w:val="0"/>
          <w:numId w:val="43"/>
        </w:numPr>
        <w:autoSpaceDE w:val="0"/>
        <w:autoSpaceDN w:val="0"/>
        <w:adjustRightInd w:val="0"/>
        <w:spacing w:after="0" w:line="240" w:lineRule="auto"/>
        <w:rPr>
          <w:rFonts w:cs="Times New Roman"/>
          <w:szCs w:val="24"/>
        </w:rPr>
      </w:pPr>
      <w:r>
        <w:rPr>
          <w:rFonts w:asciiTheme="minorHAnsi" w:hAnsiTheme="minorHAnsi" w:cs="Times New Roman"/>
          <w:szCs w:val="24"/>
        </w:rPr>
        <w:t>Provides m</w:t>
      </w:r>
      <w:r w:rsidR="001A77FB">
        <w:rPr>
          <w:rFonts w:asciiTheme="minorHAnsi" w:hAnsiTheme="minorHAnsi" w:cs="Times New Roman"/>
          <w:szCs w:val="24"/>
        </w:rPr>
        <w:t xml:space="preserve">ore data points </w:t>
      </w:r>
      <w:r>
        <w:rPr>
          <w:rFonts w:asciiTheme="minorHAnsi" w:hAnsiTheme="minorHAnsi" w:cs="Times New Roman"/>
          <w:szCs w:val="24"/>
        </w:rPr>
        <w:t xml:space="preserve">for </w:t>
      </w:r>
      <w:r w:rsidR="001A77FB">
        <w:rPr>
          <w:rFonts w:asciiTheme="minorHAnsi" w:hAnsiTheme="minorHAnsi" w:cs="Times New Roman"/>
          <w:szCs w:val="24"/>
        </w:rPr>
        <w:t xml:space="preserve"> more precise evaluations;</w:t>
      </w:r>
    </w:p>
    <w:p w14:paraId="7D0BFC92" w14:textId="28A368A6" w:rsidR="001A77FB" w:rsidRDefault="00136760" w:rsidP="0001000B">
      <w:pPr>
        <w:pStyle w:val="ListParagraph"/>
        <w:numPr>
          <w:ilvl w:val="0"/>
          <w:numId w:val="43"/>
        </w:numPr>
        <w:autoSpaceDE w:val="0"/>
        <w:autoSpaceDN w:val="0"/>
        <w:adjustRightInd w:val="0"/>
        <w:spacing w:after="0" w:line="240" w:lineRule="auto"/>
        <w:rPr>
          <w:rFonts w:cs="Times New Roman"/>
          <w:szCs w:val="24"/>
        </w:rPr>
      </w:pPr>
      <w:r>
        <w:rPr>
          <w:rFonts w:asciiTheme="minorHAnsi" w:hAnsiTheme="minorHAnsi" w:cs="Times New Roman"/>
          <w:szCs w:val="24"/>
        </w:rPr>
        <w:t>Provides m</w:t>
      </w:r>
      <w:r w:rsidR="001A77FB">
        <w:rPr>
          <w:rFonts w:asciiTheme="minorHAnsi" w:hAnsiTheme="minorHAnsi" w:cs="Times New Roman"/>
          <w:szCs w:val="24"/>
        </w:rPr>
        <w:t>ore data points improve the quality of the statistical model; and</w:t>
      </w:r>
    </w:p>
    <w:p w14:paraId="56C9742A" w14:textId="1FF282BF" w:rsidR="001A77FB" w:rsidRPr="001A77FB" w:rsidRDefault="00136760" w:rsidP="0001000B">
      <w:pPr>
        <w:pStyle w:val="ListParagraph"/>
        <w:numPr>
          <w:ilvl w:val="0"/>
          <w:numId w:val="43"/>
        </w:numPr>
        <w:autoSpaceDE w:val="0"/>
        <w:autoSpaceDN w:val="0"/>
        <w:adjustRightInd w:val="0"/>
        <w:spacing w:after="0" w:line="240" w:lineRule="auto"/>
        <w:rPr>
          <w:rFonts w:cs="Times New Roman"/>
          <w:szCs w:val="24"/>
        </w:rPr>
      </w:pPr>
      <w:r>
        <w:rPr>
          <w:rFonts w:asciiTheme="minorHAnsi" w:hAnsiTheme="minorHAnsi" w:cs="Times New Roman"/>
          <w:szCs w:val="24"/>
        </w:rPr>
        <w:t>Helps t</w:t>
      </w:r>
      <w:r w:rsidR="001A77FB">
        <w:rPr>
          <w:rFonts w:asciiTheme="minorHAnsi" w:hAnsiTheme="minorHAnsi" w:cs="Times New Roman"/>
          <w:szCs w:val="24"/>
        </w:rPr>
        <w:t>o identify seasonal trends in the data (participation, performance, or otherwise).</w:t>
      </w:r>
    </w:p>
    <w:p w14:paraId="41451CB4" w14:textId="77777777" w:rsidR="007C5D5C" w:rsidRPr="001A77FB" w:rsidRDefault="007C5D5C" w:rsidP="0001000B">
      <w:pPr>
        <w:spacing w:after="0" w:line="240" w:lineRule="auto"/>
        <w:outlineLvl w:val="0"/>
        <w:rPr>
          <w:rFonts w:eastAsia="Times New Roman" w:cs="Times New Roman"/>
          <w:sz w:val="24"/>
          <w:szCs w:val="24"/>
          <w:highlight w:val="yellow"/>
        </w:rPr>
      </w:pPr>
    </w:p>
    <w:p w14:paraId="3F6CDF68" w14:textId="77777777" w:rsidR="00D251C7" w:rsidRPr="00E74838" w:rsidRDefault="00D251C7" w:rsidP="0001000B">
      <w:pPr>
        <w:autoSpaceDE w:val="0"/>
        <w:autoSpaceDN w:val="0"/>
        <w:adjustRightInd w:val="0"/>
        <w:spacing w:after="0" w:line="240" w:lineRule="auto"/>
        <w:rPr>
          <w:rFonts w:cs="Times New Roman"/>
          <w:bCs/>
          <w:sz w:val="24"/>
          <w:szCs w:val="24"/>
        </w:rPr>
      </w:pPr>
      <w:r w:rsidRPr="008407F9">
        <w:rPr>
          <w:rFonts w:cs="Times New Roman"/>
          <w:bCs/>
          <w:sz w:val="24"/>
          <w:szCs w:val="24"/>
        </w:rPr>
        <w:t xml:space="preserve">Under WIOA, programs will be able to report participants who are also receiving services from other core programs.  However, there will not be a “universal” unique identifier across all core programs for each participant.  The participant will be asked to identify what other WIOA </w:t>
      </w:r>
      <w:r w:rsidRPr="008407F9">
        <w:rPr>
          <w:rFonts w:cs="Times New Roman"/>
          <w:bCs/>
          <w:sz w:val="24"/>
          <w:szCs w:val="24"/>
        </w:rPr>
        <w:lastRenderedPageBreak/>
        <w:t>programs currently provide them services.  The costs included in</w:t>
      </w:r>
      <w:r w:rsidRPr="00E74838">
        <w:rPr>
          <w:rFonts w:cs="Times New Roman"/>
          <w:bCs/>
          <w:sz w:val="24"/>
          <w:szCs w:val="24"/>
        </w:rPr>
        <w:t xml:space="preserve"> the Supporting Statement are averages and, therefore, may be more or less than an individual agency’s actual cost. </w:t>
      </w:r>
    </w:p>
    <w:p w14:paraId="4A475919" w14:textId="77777777" w:rsidR="00D251C7" w:rsidRPr="00E74838" w:rsidRDefault="00D251C7" w:rsidP="0001000B">
      <w:pPr>
        <w:spacing w:after="0" w:line="240" w:lineRule="auto"/>
        <w:outlineLvl w:val="0"/>
        <w:rPr>
          <w:rFonts w:eastAsia="Times New Roman" w:cs="Times New Roman"/>
          <w:sz w:val="24"/>
          <w:szCs w:val="24"/>
          <w:highlight w:val="yellow"/>
        </w:rPr>
      </w:pPr>
    </w:p>
    <w:p w14:paraId="5A4E5F5C" w14:textId="43F2A6D3" w:rsidR="007F3601" w:rsidRPr="00E74838" w:rsidRDefault="007F3601" w:rsidP="0001000B">
      <w:pPr>
        <w:spacing w:after="0" w:line="240" w:lineRule="auto"/>
        <w:outlineLvl w:val="0"/>
        <w:rPr>
          <w:rFonts w:eastAsia="Arial" w:cs="Times New Roman"/>
          <w:sz w:val="24"/>
          <w:szCs w:val="24"/>
        </w:rPr>
      </w:pPr>
      <w:r w:rsidRPr="00E74838">
        <w:rPr>
          <w:rFonts w:eastAsia="Times New Roman" w:cs="Times New Roman"/>
          <w:sz w:val="24"/>
          <w:szCs w:val="24"/>
        </w:rPr>
        <w:t xml:space="preserve">No change has been made in response to </w:t>
      </w:r>
      <w:r w:rsidR="00801004" w:rsidRPr="00E74838">
        <w:rPr>
          <w:rFonts w:eastAsia="Times New Roman" w:cs="Times New Roman"/>
          <w:sz w:val="24"/>
          <w:szCs w:val="24"/>
        </w:rPr>
        <w:t xml:space="preserve">these </w:t>
      </w:r>
      <w:r w:rsidRPr="00E74838">
        <w:rPr>
          <w:rFonts w:eastAsia="Times New Roman" w:cs="Times New Roman"/>
          <w:sz w:val="24"/>
          <w:szCs w:val="24"/>
        </w:rPr>
        <w:t>comment</w:t>
      </w:r>
      <w:r w:rsidR="00801004" w:rsidRPr="00E74838">
        <w:rPr>
          <w:rFonts w:eastAsia="Times New Roman" w:cs="Times New Roman"/>
          <w:sz w:val="24"/>
          <w:szCs w:val="24"/>
        </w:rPr>
        <w:t>s</w:t>
      </w:r>
      <w:r w:rsidRPr="00E74838">
        <w:rPr>
          <w:rFonts w:eastAsia="Times New Roman" w:cs="Times New Roman"/>
          <w:sz w:val="24"/>
          <w:szCs w:val="24"/>
        </w:rPr>
        <w:t>.</w:t>
      </w:r>
    </w:p>
    <w:p w14:paraId="322BEEAA" w14:textId="77777777" w:rsidR="007F3601" w:rsidRPr="00E74838" w:rsidRDefault="007F3601" w:rsidP="0001000B">
      <w:pPr>
        <w:pStyle w:val="PlainText"/>
        <w:rPr>
          <w:rFonts w:asciiTheme="minorHAnsi" w:hAnsiTheme="minorHAnsi"/>
          <w:bCs/>
          <w:sz w:val="24"/>
          <w:szCs w:val="24"/>
        </w:rPr>
      </w:pPr>
    </w:p>
    <w:p w14:paraId="6B59FF7C" w14:textId="14749E8B" w:rsidR="0053733A" w:rsidRPr="00E74838" w:rsidRDefault="0053733A" w:rsidP="0001000B">
      <w:pPr>
        <w:spacing w:after="0" w:line="240" w:lineRule="auto"/>
        <w:outlineLvl w:val="0"/>
        <w:rPr>
          <w:rFonts w:eastAsia="Times New Roman" w:cs="Times New Roman"/>
          <w:b/>
          <w:color w:val="000000"/>
          <w:sz w:val="24"/>
          <w:szCs w:val="24"/>
        </w:rPr>
      </w:pPr>
      <w:r w:rsidRPr="00E74838">
        <w:rPr>
          <w:rFonts w:eastAsia="Times New Roman" w:cs="Times New Roman"/>
          <w:b/>
          <w:color w:val="000000"/>
          <w:sz w:val="24"/>
          <w:szCs w:val="24"/>
          <w:u w:val="single"/>
        </w:rPr>
        <w:t>Transition to New Reporting Requirements</w:t>
      </w:r>
      <w:r w:rsidR="002D6914" w:rsidRPr="00E74838">
        <w:rPr>
          <w:rFonts w:eastAsia="Times New Roman" w:cs="Times New Roman"/>
          <w:b/>
          <w:color w:val="000000"/>
          <w:sz w:val="24"/>
          <w:szCs w:val="24"/>
          <w:u w:val="single"/>
        </w:rPr>
        <w:t xml:space="preserve"> -- Burden</w:t>
      </w:r>
      <w:r w:rsidRPr="00E74838">
        <w:rPr>
          <w:rFonts w:eastAsia="Times New Roman" w:cs="Times New Roman"/>
          <w:b/>
          <w:color w:val="000000"/>
          <w:sz w:val="24"/>
          <w:szCs w:val="24"/>
        </w:rPr>
        <w:t>:</w:t>
      </w:r>
    </w:p>
    <w:p w14:paraId="681D8F3E" w14:textId="77777777" w:rsidR="003F293A" w:rsidRPr="00E74838" w:rsidRDefault="003F293A" w:rsidP="0001000B">
      <w:pPr>
        <w:autoSpaceDE w:val="0"/>
        <w:autoSpaceDN w:val="0"/>
        <w:adjustRightInd w:val="0"/>
        <w:spacing w:after="0" w:line="240" w:lineRule="auto"/>
        <w:rPr>
          <w:rFonts w:cs="Times New Roman"/>
          <w:sz w:val="24"/>
          <w:szCs w:val="24"/>
        </w:rPr>
      </w:pPr>
    </w:p>
    <w:p w14:paraId="4E1A8091" w14:textId="0355F2A8" w:rsidR="00B172FE" w:rsidRPr="00E74838" w:rsidRDefault="002D6914" w:rsidP="0001000B">
      <w:pPr>
        <w:autoSpaceDE w:val="0"/>
        <w:autoSpaceDN w:val="0"/>
        <w:adjustRightInd w:val="0"/>
        <w:spacing w:after="0" w:line="240" w:lineRule="auto"/>
        <w:rPr>
          <w:rFonts w:cs="Times New Roman"/>
          <w:sz w:val="24"/>
          <w:szCs w:val="24"/>
        </w:rPr>
      </w:pPr>
      <w:r w:rsidRPr="00E74838">
        <w:rPr>
          <w:rFonts w:cs="Times New Roman"/>
          <w:sz w:val="24"/>
          <w:szCs w:val="24"/>
        </w:rPr>
        <w:t>A number of commenters assert</w:t>
      </w:r>
      <w:r w:rsidR="00C81D4D" w:rsidRPr="00E74838">
        <w:rPr>
          <w:rFonts w:cs="Times New Roman"/>
          <w:sz w:val="24"/>
          <w:szCs w:val="24"/>
        </w:rPr>
        <w:t>ed</w:t>
      </w:r>
      <w:r w:rsidRPr="00E74838">
        <w:rPr>
          <w:rFonts w:cs="Times New Roman"/>
          <w:sz w:val="24"/>
          <w:szCs w:val="24"/>
        </w:rPr>
        <w:t xml:space="preserve"> that start-up costs for the joint performance accountability system have been underestimated. </w:t>
      </w:r>
      <w:r w:rsidR="0025721A" w:rsidRPr="00E74838">
        <w:rPr>
          <w:rFonts w:cs="Times New Roman"/>
          <w:sz w:val="24"/>
          <w:szCs w:val="24"/>
        </w:rPr>
        <w:t xml:space="preserve"> </w:t>
      </w:r>
      <w:r w:rsidRPr="00E74838">
        <w:rPr>
          <w:rFonts w:cs="Times New Roman"/>
          <w:sz w:val="24"/>
          <w:szCs w:val="24"/>
        </w:rPr>
        <w:t xml:space="preserve">Two commenters believe the costs have been underestimated for three reasons: </w:t>
      </w:r>
      <w:r w:rsidR="0025721A" w:rsidRPr="00E74838">
        <w:rPr>
          <w:rFonts w:cs="Times New Roman"/>
          <w:sz w:val="24"/>
          <w:szCs w:val="24"/>
        </w:rPr>
        <w:t xml:space="preserve"> </w:t>
      </w:r>
      <w:r w:rsidRPr="00E74838">
        <w:rPr>
          <w:rFonts w:cs="Times New Roman"/>
          <w:sz w:val="24"/>
          <w:szCs w:val="24"/>
        </w:rPr>
        <w:t>(1) the specification does not match the report sample; (2) the specification has many cells with incomplete or missing data; and (3) the specification, when compared to the ETA 9169 WIOA Statewide and Local Performance Report, does not have the same calculations for the same reportable items.</w:t>
      </w:r>
      <w:r w:rsidR="007D2465" w:rsidRPr="00E74838">
        <w:rPr>
          <w:rFonts w:cs="Times New Roman"/>
          <w:sz w:val="24"/>
          <w:szCs w:val="24"/>
        </w:rPr>
        <w:t xml:space="preserve">  Another commenter asserted that the increased cost of $544,668 does not include any expenses associated with staff training to collect the new and modified data elements. Furthermore, it does not include staff time needed to collect new and modified data elements and review existing data on all current, open VR cases. </w:t>
      </w:r>
      <w:r w:rsidRPr="00E74838">
        <w:rPr>
          <w:rFonts w:cs="Times New Roman"/>
          <w:sz w:val="24"/>
          <w:szCs w:val="24"/>
        </w:rPr>
        <w:t xml:space="preserve"> </w:t>
      </w:r>
    </w:p>
    <w:p w14:paraId="1659EF42" w14:textId="653E4861" w:rsidR="002D6914" w:rsidRPr="00E74838" w:rsidRDefault="002D6914" w:rsidP="0001000B">
      <w:pPr>
        <w:autoSpaceDE w:val="0"/>
        <w:autoSpaceDN w:val="0"/>
        <w:adjustRightInd w:val="0"/>
        <w:spacing w:after="0" w:line="240" w:lineRule="auto"/>
        <w:rPr>
          <w:rFonts w:cs="Times New Roman"/>
          <w:sz w:val="24"/>
          <w:szCs w:val="24"/>
        </w:rPr>
      </w:pPr>
      <w:r w:rsidRPr="00E74838">
        <w:rPr>
          <w:rFonts w:cs="Times New Roman"/>
          <w:sz w:val="24"/>
          <w:szCs w:val="24"/>
        </w:rPr>
        <w:t>Another commenter expressed concerns about the time estimates listed in tables 5 and 6.  Specifically, the commenter</w:t>
      </w:r>
      <w:r w:rsidR="00180E64" w:rsidRPr="00E74838">
        <w:rPr>
          <w:rFonts w:cs="Times New Roman"/>
          <w:sz w:val="24"/>
          <w:szCs w:val="24"/>
        </w:rPr>
        <w:t xml:space="preserve"> </w:t>
      </w:r>
      <w:r w:rsidRPr="00E74838">
        <w:rPr>
          <w:rFonts w:cs="Times New Roman"/>
          <w:sz w:val="24"/>
          <w:szCs w:val="24"/>
        </w:rPr>
        <w:t>indicate</w:t>
      </w:r>
      <w:r w:rsidR="00180E64" w:rsidRPr="00E74838">
        <w:rPr>
          <w:rFonts w:cs="Times New Roman"/>
          <w:sz w:val="24"/>
          <w:szCs w:val="24"/>
        </w:rPr>
        <w:t>d</w:t>
      </w:r>
      <w:r w:rsidRPr="00E74838">
        <w:rPr>
          <w:rFonts w:cs="Times New Roman"/>
          <w:sz w:val="24"/>
          <w:szCs w:val="24"/>
        </w:rPr>
        <w:t xml:space="preserve"> that the time estimates in table 5 for participants to provide the information and the time estimates in table 6 for staff to collect the information provided are both under-estimated by half.</w:t>
      </w:r>
    </w:p>
    <w:p w14:paraId="7BEFE3EF" w14:textId="77777777" w:rsidR="00C81D4D" w:rsidRPr="00E74838" w:rsidRDefault="00C81D4D" w:rsidP="0001000B">
      <w:pPr>
        <w:spacing w:after="0" w:line="240" w:lineRule="auto"/>
        <w:rPr>
          <w:rFonts w:cs="Times New Roman"/>
          <w:sz w:val="24"/>
          <w:szCs w:val="24"/>
        </w:rPr>
      </w:pPr>
    </w:p>
    <w:p w14:paraId="133C69EE" w14:textId="445BA845" w:rsidR="002D6914" w:rsidRPr="00E74838" w:rsidRDefault="002D6914" w:rsidP="0001000B">
      <w:pPr>
        <w:spacing w:after="0" w:line="240" w:lineRule="auto"/>
        <w:rPr>
          <w:rFonts w:cs="Times New Roman"/>
          <w:sz w:val="24"/>
          <w:szCs w:val="24"/>
        </w:rPr>
      </w:pPr>
      <w:r w:rsidRPr="00E74838">
        <w:rPr>
          <w:rFonts w:cs="Times New Roman"/>
          <w:sz w:val="24"/>
          <w:szCs w:val="24"/>
        </w:rPr>
        <w:t>A few commenters mention</w:t>
      </w:r>
      <w:r w:rsidR="00180E64" w:rsidRPr="00E74838">
        <w:rPr>
          <w:rFonts w:cs="Times New Roman"/>
          <w:sz w:val="24"/>
          <w:szCs w:val="24"/>
        </w:rPr>
        <w:t>ed</w:t>
      </w:r>
      <w:r w:rsidRPr="00E74838">
        <w:rPr>
          <w:rFonts w:cs="Times New Roman"/>
          <w:sz w:val="24"/>
          <w:szCs w:val="24"/>
        </w:rPr>
        <w:t xml:space="preserve"> that there are two reporting systems that overlap and run simultaneously</w:t>
      </w:r>
      <w:r w:rsidR="00180E64" w:rsidRPr="00E74838">
        <w:rPr>
          <w:rFonts w:cs="Times New Roman"/>
          <w:sz w:val="24"/>
          <w:szCs w:val="24"/>
        </w:rPr>
        <w:t xml:space="preserve">, namely the reporting requirements for both </w:t>
      </w:r>
      <w:r w:rsidRPr="00E74838">
        <w:rPr>
          <w:rFonts w:cs="Times New Roman"/>
          <w:sz w:val="24"/>
          <w:szCs w:val="24"/>
        </w:rPr>
        <w:t xml:space="preserve">WIA and WIOA. </w:t>
      </w:r>
      <w:r w:rsidR="0025721A" w:rsidRPr="00E74838">
        <w:rPr>
          <w:rFonts w:cs="Times New Roman"/>
          <w:sz w:val="24"/>
          <w:szCs w:val="24"/>
        </w:rPr>
        <w:t xml:space="preserve"> </w:t>
      </w:r>
      <w:r w:rsidR="00180E64" w:rsidRPr="00E74838">
        <w:rPr>
          <w:rFonts w:cs="Times New Roman"/>
          <w:sz w:val="24"/>
          <w:szCs w:val="24"/>
        </w:rPr>
        <w:t xml:space="preserve">The overlap of these reporting requirements, according to the commenter, </w:t>
      </w:r>
      <w:r w:rsidRPr="00E74838">
        <w:rPr>
          <w:rFonts w:cs="Times New Roman"/>
          <w:sz w:val="24"/>
          <w:szCs w:val="24"/>
        </w:rPr>
        <w:t>requires additional maintenance and resources</w:t>
      </w:r>
      <w:r w:rsidR="00180E64" w:rsidRPr="00E74838">
        <w:rPr>
          <w:rFonts w:cs="Times New Roman"/>
          <w:sz w:val="24"/>
          <w:szCs w:val="24"/>
        </w:rPr>
        <w:t xml:space="preserve"> that are not accounted for in the burden estimates</w:t>
      </w:r>
      <w:r w:rsidRPr="00E74838">
        <w:rPr>
          <w:rFonts w:cs="Times New Roman"/>
          <w:sz w:val="24"/>
          <w:szCs w:val="24"/>
        </w:rPr>
        <w:t xml:space="preserve">. </w:t>
      </w:r>
    </w:p>
    <w:p w14:paraId="643472C2" w14:textId="77777777" w:rsidR="00C81D4D" w:rsidRPr="00E74838" w:rsidRDefault="00C81D4D" w:rsidP="0001000B">
      <w:pPr>
        <w:spacing w:after="0" w:line="240" w:lineRule="auto"/>
        <w:rPr>
          <w:rFonts w:cs="Times New Roman"/>
          <w:sz w:val="24"/>
          <w:szCs w:val="24"/>
        </w:rPr>
      </w:pPr>
    </w:p>
    <w:p w14:paraId="0FB896B9" w14:textId="407FC44A" w:rsidR="002D6914" w:rsidRPr="00E74838" w:rsidRDefault="002D6914" w:rsidP="0001000B">
      <w:pPr>
        <w:spacing w:after="0" w:line="240" w:lineRule="auto"/>
        <w:rPr>
          <w:rFonts w:cs="Times New Roman"/>
          <w:sz w:val="24"/>
          <w:szCs w:val="24"/>
        </w:rPr>
      </w:pPr>
      <w:r w:rsidRPr="00E74838">
        <w:rPr>
          <w:rFonts w:cs="Times New Roman"/>
          <w:sz w:val="24"/>
          <w:szCs w:val="24"/>
        </w:rPr>
        <w:t>One commenter specifically ask</w:t>
      </w:r>
      <w:r w:rsidR="00180E64" w:rsidRPr="00E74838">
        <w:rPr>
          <w:rFonts w:cs="Times New Roman"/>
          <w:sz w:val="24"/>
          <w:szCs w:val="24"/>
        </w:rPr>
        <w:t>ed</w:t>
      </w:r>
      <w:r w:rsidRPr="00E74838">
        <w:rPr>
          <w:rFonts w:cs="Times New Roman"/>
          <w:sz w:val="24"/>
          <w:szCs w:val="24"/>
        </w:rPr>
        <w:t xml:space="preserve"> for clarification on which reports will replace the ETA 9085.</w:t>
      </w:r>
    </w:p>
    <w:p w14:paraId="5A88EC9F" w14:textId="77777777" w:rsidR="00A710D5" w:rsidRPr="00E74838" w:rsidRDefault="00A710D5" w:rsidP="0001000B">
      <w:pPr>
        <w:spacing w:after="0" w:line="240" w:lineRule="auto"/>
        <w:rPr>
          <w:rFonts w:cs="Times New Roman"/>
          <w:sz w:val="24"/>
          <w:szCs w:val="24"/>
        </w:rPr>
      </w:pPr>
    </w:p>
    <w:p w14:paraId="16FCBDE4" w14:textId="69C32466" w:rsidR="00A710D5" w:rsidRPr="00E74838" w:rsidRDefault="00A710D5" w:rsidP="0001000B">
      <w:pPr>
        <w:spacing w:after="0" w:line="240" w:lineRule="auto"/>
        <w:rPr>
          <w:rFonts w:cs="Times New Roman"/>
          <w:sz w:val="24"/>
          <w:szCs w:val="24"/>
        </w:rPr>
      </w:pPr>
      <w:r w:rsidRPr="00E74838">
        <w:rPr>
          <w:rFonts w:cs="Times New Roman"/>
          <w:sz w:val="24"/>
          <w:szCs w:val="24"/>
        </w:rPr>
        <w:t>Another commenter expressed concern about the implementation of the reporting requirements, especially for the VR program, since the reporting requirements are sign</w:t>
      </w:r>
      <w:r w:rsidR="00451387" w:rsidRPr="00E74838">
        <w:rPr>
          <w:rFonts w:cs="Times New Roman"/>
          <w:sz w:val="24"/>
          <w:szCs w:val="24"/>
        </w:rPr>
        <w:t>i</w:t>
      </w:r>
      <w:r w:rsidRPr="00E74838">
        <w:rPr>
          <w:rFonts w:cs="Times New Roman"/>
          <w:sz w:val="24"/>
          <w:szCs w:val="24"/>
        </w:rPr>
        <w:t>ficantly different for that program than reporting requirements in the past.  The commenter said the VR agencies need time to implement changes in data collection methodologies and systems. </w:t>
      </w:r>
      <w:r w:rsidR="00FB0E37" w:rsidRPr="00E74838">
        <w:rPr>
          <w:rFonts w:cs="Times New Roman"/>
          <w:sz w:val="24"/>
          <w:szCs w:val="24"/>
        </w:rPr>
        <w:t xml:space="preserve"> A different commenter expressed serious concerns about the requirement to report VR data quarterly, saying such reportin</w:t>
      </w:r>
      <w:r w:rsidR="00C81D4D" w:rsidRPr="00E74838">
        <w:rPr>
          <w:rFonts w:cs="Times New Roman"/>
          <w:sz w:val="24"/>
          <w:szCs w:val="24"/>
        </w:rPr>
        <w:t>g</w:t>
      </w:r>
      <w:r w:rsidR="00FB0E37" w:rsidRPr="00E74838">
        <w:rPr>
          <w:rFonts w:cs="Times New Roman"/>
          <w:sz w:val="24"/>
          <w:szCs w:val="24"/>
        </w:rPr>
        <w:t xml:space="preserve"> adds no value for the proper performance and functions of the VR agencies.</w:t>
      </w:r>
    </w:p>
    <w:p w14:paraId="7D418FB0" w14:textId="77777777" w:rsidR="00A710D5" w:rsidRPr="00E74838" w:rsidRDefault="00A710D5" w:rsidP="0001000B">
      <w:pPr>
        <w:spacing w:after="0" w:line="240" w:lineRule="auto"/>
        <w:rPr>
          <w:rFonts w:cs="Times New Roman"/>
          <w:sz w:val="24"/>
          <w:szCs w:val="24"/>
        </w:rPr>
      </w:pPr>
    </w:p>
    <w:p w14:paraId="377AE0B8" w14:textId="1EAA4B36" w:rsidR="002D6914" w:rsidRPr="00E74838" w:rsidRDefault="00FB0E37" w:rsidP="0001000B">
      <w:pPr>
        <w:spacing w:after="0" w:line="240" w:lineRule="auto"/>
        <w:rPr>
          <w:rFonts w:cs="Times New Roman"/>
          <w:sz w:val="24"/>
          <w:szCs w:val="24"/>
        </w:rPr>
      </w:pPr>
      <w:r w:rsidRPr="00E74838">
        <w:rPr>
          <w:rFonts w:cs="Times New Roman"/>
          <w:sz w:val="24"/>
          <w:szCs w:val="24"/>
        </w:rPr>
        <w:t>F</w:t>
      </w:r>
      <w:r w:rsidR="002D6914" w:rsidRPr="00E74838">
        <w:rPr>
          <w:rFonts w:cs="Times New Roman"/>
          <w:sz w:val="24"/>
          <w:szCs w:val="24"/>
        </w:rPr>
        <w:t>inally</w:t>
      </w:r>
      <w:r w:rsidRPr="00E74838">
        <w:rPr>
          <w:rFonts w:cs="Times New Roman"/>
          <w:sz w:val="24"/>
          <w:szCs w:val="24"/>
        </w:rPr>
        <w:t>,</w:t>
      </w:r>
      <w:r w:rsidR="002D6914" w:rsidRPr="00E74838">
        <w:rPr>
          <w:rFonts w:cs="Times New Roman"/>
          <w:sz w:val="24"/>
          <w:szCs w:val="24"/>
        </w:rPr>
        <w:t xml:space="preserve"> a commenter point</w:t>
      </w:r>
      <w:r w:rsidR="004F5B91" w:rsidRPr="00E74838">
        <w:rPr>
          <w:rFonts w:cs="Times New Roman"/>
          <w:sz w:val="24"/>
          <w:szCs w:val="24"/>
        </w:rPr>
        <w:t>ed</w:t>
      </w:r>
      <w:r w:rsidR="002D6914" w:rsidRPr="00E74838">
        <w:rPr>
          <w:rFonts w:cs="Times New Roman"/>
          <w:sz w:val="24"/>
          <w:szCs w:val="24"/>
        </w:rPr>
        <w:t xml:space="preserve"> out that </w:t>
      </w:r>
      <w:r w:rsidR="004F5B91" w:rsidRPr="00E74838">
        <w:rPr>
          <w:rFonts w:cs="Times New Roman"/>
          <w:sz w:val="24"/>
          <w:szCs w:val="24"/>
        </w:rPr>
        <w:t xml:space="preserve">requiring narrative reporting necessitates </w:t>
      </w:r>
      <w:r w:rsidR="002D6914" w:rsidRPr="00E74838">
        <w:rPr>
          <w:rFonts w:cs="Times New Roman"/>
          <w:sz w:val="24"/>
          <w:szCs w:val="24"/>
        </w:rPr>
        <w:t>that local-level staff pull and analyze data and manually generate required report content</w:t>
      </w:r>
      <w:r w:rsidR="00395FCC" w:rsidRPr="00E74838">
        <w:rPr>
          <w:rFonts w:cs="Times New Roman"/>
          <w:sz w:val="24"/>
          <w:szCs w:val="24"/>
        </w:rPr>
        <w:t xml:space="preserve">, thereby requiring </w:t>
      </w:r>
      <w:r w:rsidR="002D6914" w:rsidRPr="00E74838">
        <w:rPr>
          <w:rFonts w:cs="Times New Roman"/>
          <w:sz w:val="24"/>
          <w:szCs w:val="24"/>
        </w:rPr>
        <w:t>text entry</w:t>
      </w:r>
      <w:r w:rsidR="00395FCC" w:rsidRPr="00E74838">
        <w:rPr>
          <w:rFonts w:cs="Times New Roman"/>
          <w:sz w:val="24"/>
          <w:szCs w:val="24"/>
        </w:rPr>
        <w:t xml:space="preserve">.  Consequently, </w:t>
      </w:r>
      <w:r w:rsidR="002D6914" w:rsidRPr="00E74838">
        <w:rPr>
          <w:rFonts w:cs="Times New Roman"/>
          <w:sz w:val="24"/>
          <w:szCs w:val="24"/>
        </w:rPr>
        <w:t>aggregating a narrative report and generating Pay-for-Performance (P4P) numbers is not possible.</w:t>
      </w:r>
    </w:p>
    <w:p w14:paraId="4CE71319" w14:textId="77777777" w:rsidR="003E4E42" w:rsidRPr="00E74838" w:rsidRDefault="003E4E42" w:rsidP="0001000B">
      <w:pPr>
        <w:spacing w:after="0" w:line="240" w:lineRule="auto"/>
        <w:rPr>
          <w:rFonts w:cs="Times New Roman"/>
          <w:sz w:val="24"/>
          <w:szCs w:val="24"/>
        </w:rPr>
      </w:pPr>
    </w:p>
    <w:p w14:paraId="000BBE73" w14:textId="06782FF3" w:rsidR="002D6914" w:rsidRPr="00E74838" w:rsidRDefault="002D6914" w:rsidP="0001000B">
      <w:pPr>
        <w:spacing w:after="0" w:line="240" w:lineRule="auto"/>
        <w:rPr>
          <w:rFonts w:cs="Times New Roman"/>
          <w:sz w:val="24"/>
          <w:szCs w:val="24"/>
        </w:rPr>
      </w:pPr>
      <w:r w:rsidRPr="00E74838">
        <w:rPr>
          <w:rFonts w:cs="Times New Roman"/>
          <w:b/>
          <w:sz w:val="24"/>
          <w:szCs w:val="24"/>
        </w:rPr>
        <w:lastRenderedPageBreak/>
        <w:t xml:space="preserve">Agencies’ Response, June 2016: </w:t>
      </w:r>
      <w:r w:rsidRPr="00E74838">
        <w:rPr>
          <w:rFonts w:cs="Times New Roman"/>
          <w:sz w:val="24"/>
          <w:szCs w:val="24"/>
        </w:rPr>
        <w:t xml:space="preserve"> It is important to remember that the total burden is split across several ICRs.  For example, there is associated burden included in this </w:t>
      </w:r>
      <w:r w:rsidR="00C81D4D" w:rsidRPr="00E74838">
        <w:rPr>
          <w:rFonts w:cs="Times New Roman"/>
          <w:sz w:val="24"/>
          <w:szCs w:val="24"/>
        </w:rPr>
        <w:t xml:space="preserve">Joint Performance </w:t>
      </w:r>
      <w:r w:rsidRPr="00E74838">
        <w:rPr>
          <w:rFonts w:cs="Times New Roman"/>
          <w:sz w:val="24"/>
          <w:szCs w:val="24"/>
        </w:rPr>
        <w:t xml:space="preserve">ICR for the joint elements under Wagner-Peyser, as well as additional burden accounted for under the DOL-only ICR.  The current Wagner-Peyser ICR also </w:t>
      </w:r>
      <w:r w:rsidR="00136760">
        <w:rPr>
          <w:rFonts w:cs="Times New Roman"/>
          <w:sz w:val="24"/>
          <w:szCs w:val="24"/>
        </w:rPr>
        <w:t xml:space="preserve">has </w:t>
      </w:r>
      <w:r w:rsidRPr="00E74838">
        <w:rPr>
          <w:rFonts w:cs="Times New Roman"/>
          <w:sz w:val="24"/>
          <w:szCs w:val="24"/>
        </w:rPr>
        <w:t xml:space="preserve">recently been renewed, </w:t>
      </w:r>
      <w:r w:rsidR="00136760">
        <w:rPr>
          <w:rFonts w:cs="Times New Roman"/>
          <w:sz w:val="24"/>
          <w:szCs w:val="24"/>
        </w:rPr>
        <w:t>and</w:t>
      </w:r>
      <w:r w:rsidR="00136760" w:rsidRPr="00E74838">
        <w:rPr>
          <w:rFonts w:cs="Times New Roman"/>
          <w:sz w:val="24"/>
          <w:szCs w:val="24"/>
        </w:rPr>
        <w:t xml:space="preserve"> </w:t>
      </w:r>
      <w:r w:rsidRPr="00E74838">
        <w:rPr>
          <w:rFonts w:cs="Times New Roman"/>
          <w:sz w:val="24"/>
          <w:szCs w:val="24"/>
        </w:rPr>
        <w:t xml:space="preserve">the WIA ICR 30-day public comment period </w:t>
      </w:r>
      <w:r w:rsidR="00136760">
        <w:rPr>
          <w:rFonts w:cs="Times New Roman"/>
          <w:sz w:val="24"/>
          <w:szCs w:val="24"/>
        </w:rPr>
        <w:t>closed</w:t>
      </w:r>
      <w:r w:rsidR="00136760" w:rsidRPr="00E74838">
        <w:rPr>
          <w:rFonts w:cs="Times New Roman"/>
          <w:sz w:val="24"/>
          <w:szCs w:val="24"/>
        </w:rPr>
        <w:t xml:space="preserve"> </w:t>
      </w:r>
      <w:r w:rsidRPr="00E74838">
        <w:rPr>
          <w:rFonts w:cs="Times New Roman"/>
          <w:sz w:val="24"/>
          <w:szCs w:val="24"/>
        </w:rPr>
        <w:t>on June 30, 2016, continuing the requirements for those reporting packages as well.</w:t>
      </w:r>
    </w:p>
    <w:p w14:paraId="3CAFE099" w14:textId="77777777" w:rsidR="0004172A" w:rsidRPr="00E74838" w:rsidRDefault="0004172A" w:rsidP="0001000B">
      <w:pPr>
        <w:spacing w:after="0" w:line="240" w:lineRule="auto"/>
        <w:rPr>
          <w:rFonts w:cs="Times New Roman"/>
          <w:sz w:val="24"/>
          <w:szCs w:val="24"/>
        </w:rPr>
      </w:pPr>
    </w:p>
    <w:p w14:paraId="10D901D4" w14:textId="4D613000" w:rsidR="0004172A" w:rsidRPr="00E74838" w:rsidRDefault="0004172A" w:rsidP="0001000B">
      <w:pPr>
        <w:spacing w:after="0" w:line="240" w:lineRule="auto"/>
        <w:rPr>
          <w:rFonts w:cs="Times New Roman"/>
          <w:sz w:val="24"/>
          <w:szCs w:val="24"/>
        </w:rPr>
      </w:pPr>
      <w:r w:rsidRPr="00E74838">
        <w:rPr>
          <w:rFonts w:cs="Times New Roman"/>
          <w:sz w:val="24"/>
          <w:szCs w:val="24"/>
        </w:rPr>
        <w:t>The burden associated with reporting under WIA requirements after July 1, 2016</w:t>
      </w:r>
      <w:r w:rsidR="00136760">
        <w:rPr>
          <w:rFonts w:cs="Times New Roman"/>
          <w:sz w:val="24"/>
          <w:szCs w:val="24"/>
        </w:rPr>
        <w:t>,</w:t>
      </w:r>
      <w:r w:rsidRPr="00E74838">
        <w:rPr>
          <w:rFonts w:cs="Times New Roman"/>
          <w:sz w:val="24"/>
          <w:szCs w:val="24"/>
        </w:rPr>
        <w:t xml:space="preserve"> involves keeping a data file for all individuals who exited on or before June 30, 2016 and matching those individuals to wage records to produce a “closeout” WIA report in late 2017.  There is no expectation of dual reporting of participants under WIA and WIOA.  The Departments will address some of the other comments under other more specific related topical headings.</w:t>
      </w:r>
    </w:p>
    <w:p w14:paraId="6A4B4CA7" w14:textId="77777777" w:rsidR="0004172A" w:rsidRPr="00E74838" w:rsidRDefault="0004172A" w:rsidP="0001000B">
      <w:pPr>
        <w:spacing w:after="0" w:line="240" w:lineRule="auto"/>
        <w:rPr>
          <w:rFonts w:cs="Times New Roman"/>
          <w:sz w:val="24"/>
          <w:szCs w:val="24"/>
        </w:rPr>
      </w:pPr>
    </w:p>
    <w:p w14:paraId="0FCC130D" w14:textId="6A00D2FD" w:rsidR="0004172A" w:rsidRPr="00E74838" w:rsidRDefault="0004172A" w:rsidP="0001000B">
      <w:pPr>
        <w:spacing w:after="0" w:line="240" w:lineRule="auto"/>
        <w:rPr>
          <w:rFonts w:cs="Times New Roman"/>
          <w:sz w:val="24"/>
          <w:szCs w:val="24"/>
        </w:rPr>
      </w:pPr>
      <w:r w:rsidRPr="00E74838">
        <w:rPr>
          <w:rFonts w:cs="Times New Roman"/>
          <w:sz w:val="24"/>
          <w:szCs w:val="24"/>
        </w:rPr>
        <w:t>The revised Supporting Statement includes both staff training costs and the staff time needed to collect new and modified data elements for existing participants.</w:t>
      </w:r>
    </w:p>
    <w:p w14:paraId="3AF729DE" w14:textId="77777777" w:rsidR="003E4E42" w:rsidRPr="00E74838" w:rsidRDefault="003E4E42" w:rsidP="0001000B">
      <w:pPr>
        <w:spacing w:after="0" w:line="240" w:lineRule="auto"/>
        <w:rPr>
          <w:rFonts w:cs="Times New Roman"/>
          <w:sz w:val="24"/>
          <w:szCs w:val="24"/>
        </w:rPr>
      </w:pPr>
    </w:p>
    <w:p w14:paraId="135448BD" w14:textId="68C439FD" w:rsidR="00360284" w:rsidRPr="00E74838" w:rsidRDefault="00360284" w:rsidP="0001000B">
      <w:pPr>
        <w:spacing w:after="0" w:line="240" w:lineRule="auto"/>
        <w:rPr>
          <w:rFonts w:cs="Times New Roman"/>
          <w:sz w:val="24"/>
          <w:szCs w:val="24"/>
        </w:rPr>
      </w:pPr>
      <w:r w:rsidRPr="00E74838">
        <w:rPr>
          <w:rFonts w:cs="Times New Roman"/>
          <w:sz w:val="24"/>
          <w:szCs w:val="24"/>
        </w:rPr>
        <w:t xml:space="preserve">The Departments will provide joint guidance regarding the timing for the submission of reports, as well as guidance on certain new data elements (e.g., post-exit employment) in the near future.  </w:t>
      </w:r>
      <w:r w:rsidR="00C81D4D" w:rsidRPr="00E74838">
        <w:rPr>
          <w:rFonts w:cs="Times New Roman"/>
          <w:sz w:val="24"/>
          <w:szCs w:val="24"/>
        </w:rPr>
        <w:t>ED</w:t>
      </w:r>
      <w:r w:rsidRPr="00E74838">
        <w:rPr>
          <w:rFonts w:cs="Times New Roman"/>
          <w:sz w:val="24"/>
          <w:szCs w:val="24"/>
        </w:rPr>
        <w:t xml:space="preserve"> will provide guidance on certain new reporting requirements relevant to the VR program (e.g., retroactive reporting) </w:t>
      </w:r>
      <w:r w:rsidR="00C81D4D" w:rsidRPr="00E74838">
        <w:rPr>
          <w:rFonts w:cs="Times New Roman"/>
          <w:sz w:val="24"/>
          <w:szCs w:val="24"/>
        </w:rPr>
        <w:t xml:space="preserve">in </w:t>
      </w:r>
      <w:r w:rsidRPr="00E74838">
        <w:rPr>
          <w:rFonts w:cs="Times New Roman"/>
          <w:sz w:val="24"/>
          <w:szCs w:val="24"/>
        </w:rPr>
        <w:t>the final RSA-911 documentation.</w:t>
      </w:r>
    </w:p>
    <w:p w14:paraId="5F261129" w14:textId="59A4CB90" w:rsidR="007D2465" w:rsidRPr="00E74838" w:rsidRDefault="007D2465" w:rsidP="0001000B">
      <w:pPr>
        <w:autoSpaceDE w:val="0"/>
        <w:autoSpaceDN w:val="0"/>
        <w:adjustRightInd w:val="0"/>
        <w:spacing w:after="0" w:line="240" w:lineRule="auto"/>
        <w:rPr>
          <w:rFonts w:cs="Times New Roman"/>
          <w:sz w:val="24"/>
          <w:szCs w:val="24"/>
        </w:rPr>
      </w:pPr>
    </w:p>
    <w:p w14:paraId="4BD02E41" w14:textId="2D618789" w:rsidR="00FB0E37" w:rsidRDefault="00C81D4D" w:rsidP="0001000B">
      <w:pPr>
        <w:autoSpaceDE w:val="0"/>
        <w:autoSpaceDN w:val="0"/>
        <w:adjustRightInd w:val="0"/>
        <w:spacing w:after="0" w:line="240" w:lineRule="auto"/>
        <w:rPr>
          <w:rFonts w:cs="Times New Roman"/>
          <w:sz w:val="24"/>
          <w:szCs w:val="24"/>
        </w:rPr>
      </w:pPr>
      <w:r w:rsidRPr="00E74838">
        <w:rPr>
          <w:rFonts w:cs="Times New Roman"/>
          <w:sz w:val="24"/>
          <w:szCs w:val="24"/>
        </w:rPr>
        <w:t xml:space="preserve">The </w:t>
      </w:r>
      <w:r w:rsidR="00FB0E37" w:rsidRPr="00E74838">
        <w:rPr>
          <w:rFonts w:cs="Times New Roman"/>
          <w:sz w:val="24"/>
          <w:szCs w:val="24"/>
        </w:rPr>
        <w:t>response above regarding quarterly reporting requirement</w:t>
      </w:r>
      <w:r w:rsidRPr="00E74838">
        <w:rPr>
          <w:rFonts w:cs="Times New Roman"/>
          <w:sz w:val="24"/>
          <w:szCs w:val="24"/>
        </w:rPr>
        <w:t>s</w:t>
      </w:r>
      <w:r w:rsidR="00FB0E37" w:rsidRPr="00E74838">
        <w:rPr>
          <w:rFonts w:cs="Times New Roman"/>
          <w:sz w:val="24"/>
          <w:szCs w:val="24"/>
        </w:rPr>
        <w:t xml:space="preserve"> and the statutory provisions for collection of data elements</w:t>
      </w:r>
      <w:r w:rsidRPr="00E74838">
        <w:rPr>
          <w:rFonts w:cs="Times New Roman"/>
          <w:sz w:val="24"/>
          <w:szCs w:val="24"/>
        </w:rPr>
        <w:t xml:space="preserve"> is also helpful in responding to these comments</w:t>
      </w:r>
      <w:r w:rsidR="00FB0E37" w:rsidRPr="00E74838">
        <w:rPr>
          <w:rFonts w:cs="Times New Roman"/>
          <w:sz w:val="24"/>
          <w:szCs w:val="24"/>
        </w:rPr>
        <w:t xml:space="preserve">. </w:t>
      </w:r>
      <w:r w:rsidR="002008A6" w:rsidRPr="00E74838">
        <w:rPr>
          <w:rFonts w:cs="Times New Roman"/>
          <w:sz w:val="24"/>
          <w:szCs w:val="24"/>
        </w:rPr>
        <w:t xml:space="preserve"> </w:t>
      </w:r>
      <w:r w:rsidR="00FB0E37" w:rsidRPr="00E74838">
        <w:rPr>
          <w:rFonts w:cs="Times New Roman"/>
          <w:sz w:val="24"/>
          <w:szCs w:val="24"/>
        </w:rPr>
        <w:t xml:space="preserve">As indicated in the Joint Performance ICR responses to comments, the Departments will </w:t>
      </w:r>
      <w:r w:rsidR="0004172A" w:rsidRPr="00E74838">
        <w:rPr>
          <w:rFonts w:cs="Times New Roman"/>
          <w:sz w:val="24"/>
          <w:szCs w:val="24"/>
        </w:rPr>
        <w:t xml:space="preserve">also </w:t>
      </w:r>
      <w:r w:rsidR="00FB0E37" w:rsidRPr="00E74838">
        <w:rPr>
          <w:rFonts w:cs="Times New Roman"/>
          <w:sz w:val="24"/>
          <w:szCs w:val="24"/>
        </w:rPr>
        <w:t>be issuing additional guidance related to the use of UI wage data records.</w:t>
      </w:r>
    </w:p>
    <w:p w14:paraId="55CB86B1" w14:textId="77777777" w:rsidR="0041250E" w:rsidRDefault="0041250E" w:rsidP="0001000B">
      <w:pPr>
        <w:autoSpaceDE w:val="0"/>
        <w:autoSpaceDN w:val="0"/>
        <w:adjustRightInd w:val="0"/>
        <w:spacing w:after="0" w:line="240" w:lineRule="auto"/>
        <w:rPr>
          <w:rFonts w:cs="Times New Roman"/>
          <w:sz w:val="24"/>
          <w:szCs w:val="24"/>
        </w:rPr>
      </w:pPr>
    </w:p>
    <w:p w14:paraId="6CF7E31B" w14:textId="77777777" w:rsidR="0041250E" w:rsidRPr="00E74838" w:rsidRDefault="0041250E" w:rsidP="0001000B">
      <w:pPr>
        <w:autoSpaceDE w:val="0"/>
        <w:autoSpaceDN w:val="0"/>
        <w:adjustRightInd w:val="0"/>
        <w:spacing w:after="0" w:line="240" w:lineRule="auto"/>
        <w:rPr>
          <w:rFonts w:cs="Times New Roman"/>
          <w:sz w:val="24"/>
          <w:szCs w:val="24"/>
        </w:rPr>
      </w:pPr>
      <w:r>
        <w:rPr>
          <w:rFonts w:cs="Times New Roman"/>
          <w:sz w:val="24"/>
          <w:szCs w:val="24"/>
        </w:rPr>
        <w:t xml:space="preserve">Regarding the Pay-for-Performance report, there is no requirement that each local area produce its own report.  Rather, the state would provide one cumulative report for all Pay-for-Performance contracts within a state.  If a state is using one case management stateside system, as is recommended by ETA, this disaggregation can occur at the state level without adding burden to the local areas.  </w:t>
      </w:r>
    </w:p>
    <w:p w14:paraId="38A735FA" w14:textId="77777777" w:rsidR="008D30B3" w:rsidRPr="00E74838" w:rsidRDefault="008D30B3" w:rsidP="0001000B">
      <w:pPr>
        <w:spacing w:after="0" w:line="240" w:lineRule="auto"/>
        <w:rPr>
          <w:rFonts w:eastAsia="Times New Roman" w:cs="Times New Roman"/>
          <w:b/>
          <w:color w:val="000000"/>
          <w:sz w:val="24"/>
          <w:szCs w:val="24"/>
          <w:u w:val="single"/>
        </w:rPr>
      </w:pPr>
    </w:p>
    <w:p w14:paraId="4302B61F" w14:textId="77777777" w:rsidR="002628D8" w:rsidRPr="00E74838" w:rsidRDefault="002628D8" w:rsidP="0001000B">
      <w:pPr>
        <w:spacing w:after="0" w:line="240" w:lineRule="auto"/>
        <w:outlineLvl w:val="0"/>
        <w:rPr>
          <w:rFonts w:eastAsia="Times New Roman" w:cs="Times New Roman"/>
          <w:b/>
          <w:color w:val="000000"/>
          <w:sz w:val="24"/>
          <w:szCs w:val="24"/>
          <w:u w:val="single"/>
        </w:rPr>
      </w:pPr>
      <w:r w:rsidRPr="00E74838">
        <w:rPr>
          <w:rFonts w:eastAsia="Times New Roman" w:cs="Times New Roman"/>
          <w:b/>
          <w:color w:val="000000"/>
          <w:sz w:val="24"/>
          <w:szCs w:val="24"/>
          <w:u w:val="single"/>
        </w:rPr>
        <w:t>Definitions</w:t>
      </w:r>
      <w:r w:rsidRPr="00E74838">
        <w:rPr>
          <w:rFonts w:eastAsia="Times New Roman" w:cs="Times New Roman"/>
          <w:b/>
          <w:color w:val="000000"/>
          <w:sz w:val="24"/>
          <w:szCs w:val="24"/>
        </w:rPr>
        <w:t>:</w:t>
      </w:r>
      <w:r w:rsidRPr="00E74838">
        <w:rPr>
          <w:rFonts w:eastAsia="Times New Roman" w:cs="Times New Roman"/>
          <w:b/>
          <w:color w:val="000000"/>
          <w:sz w:val="24"/>
          <w:szCs w:val="24"/>
          <w:u w:val="single"/>
        </w:rPr>
        <w:t xml:space="preserve"> </w:t>
      </w:r>
    </w:p>
    <w:p w14:paraId="1D2387FD" w14:textId="77777777" w:rsidR="003F293A" w:rsidRPr="00E74838" w:rsidRDefault="003F293A" w:rsidP="0001000B">
      <w:pPr>
        <w:spacing w:after="0" w:line="240" w:lineRule="auto"/>
        <w:outlineLvl w:val="0"/>
        <w:rPr>
          <w:rFonts w:eastAsia="Times New Roman" w:cs="Times New Roman"/>
          <w:color w:val="000000"/>
          <w:sz w:val="24"/>
          <w:szCs w:val="24"/>
        </w:rPr>
      </w:pPr>
    </w:p>
    <w:p w14:paraId="21E000BE" w14:textId="7651700B" w:rsidR="00B5620B" w:rsidRPr="00E74838" w:rsidRDefault="008E1450" w:rsidP="0001000B">
      <w:pPr>
        <w:spacing w:after="0" w:line="240" w:lineRule="auto"/>
        <w:outlineLvl w:val="0"/>
        <w:rPr>
          <w:rFonts w:eastAsia="Arial" w:cs="Times New Roman"/>
          <w:sz w:val="24"/>
          <w:szCs w:val="24"/>
        </w:rPr>
      </w:pPr>
      <w:r w:rsidRPr="00E74838">
        <w:rPr>
          <w:rFonts w:eastAsia="Times New Roman" w:cs="Times New Roman"/>
          <w:color w:val="000000"/>
          <w:sz w:val="24"/>
          <w:szCs w:val="24"/>
        </w:rPr>
        <w:t xml:space="preserve">A few </w:t>
      </w:r>
      <w:r w:rsidR="002628D8" w:rsidRPr="00E74838">
        <w:rPr>
          <w:rFonts w:eastAsia="Times New Roman" w:cs="Times New Roman"/>
          <w:color w:val="000000"/>
          <w:sz w:val="24"/>
          <w:szCs w:val="24"/>
        </w:rPr>
        <w:t>commenter</w:t>
      </w:r>
      <w:r w:rsidRPr="00E74838">
        <w:rPr>
          <w:rFonts w:eastAsia="Times New Roman" w:cs="Times New Roman"/>
          <w:color w:val="000000"/>
          <w:sz w:val="24"/>
          <w:szCs w:val="24"/>
        </w:rPr>
        <w:t>s</w:t>
      </w:r>
      <w:r w:rsidR="002628D8" w:rsidRPr="00E74838">
        <w:rPr>
          <w:rFonts w:eastAsia="Times New Roman" w:cs="Times New Roman"/>
          <w:color w:val="000000"/>
          <w:sz w:val="24"/>
          <w:szCs w:val="24"/>
        </w:rPr>
        <w:t xml:space="preserve"> sought clarification with respect to the definitions of “participant</w:t>
      </w:r>
      <w:r w:rsidRPr="00E74838">
        <w:rPr>
          <w:rFonts w:eastAsia="Times New Roman" w:cs="Times New Roman"/>
          <w:color w:val="000000"/>
          <w:sz w:val="24"/>
          <w:szCs w:val="24"/>
        </w:rPr>
        <w:t>,</w:t>
      </w:r>
      <w:r w:rsidR="002628D8" w:rsidRPr="00E74838">
        <w:rPr>
          <w:rFonts w:eastAsia="Times New Roman" w:cs="Times New Roman"/>
          <w:color w:val="000000"/>
          <w:sz w:val="24"/>
          <w:szCs w:val="24"/>
        </w:rPr>
        <w:t xml:space="preserve">” </w:t>
      </w:r>
      <w:r w:rsidRPr="00E74838">
        <w:rPr>
          <w:rFonts w:eastAsia="Times New Roman" w:cs="Times New Roman"/>
          <w:color w:val="000000"/>
          <w:sz w:val="24"/>
          <w:szCs w:val="24"/>
        </w:rPr>
        <w:t xml:space="preserve">“reportable individual,” </w:t>
      </w:r>
      <w:r w:rsidR="002628D8" w:rsidRPr="00E74838">
        <w:rPr>
          <w:rFonts w:eastAsia="Times New Roman" w:cs="Times New Roman"/>
          <w:color w:val="000000"/>
          <w:sz w:val="24"/>
          <w:szCs w:val="24"/>
        </w:rPr>
        <w:t xml:space="preserve">and “exit.”  Specifically, </w:t>
      </w:r>
      <w:r w:rsidRPr="00E74838">
        <w:rPr>
          <w:rFonts w:eastAsia="Times New Roman" w:cs="Times New Roman"/>
          <w:color w:val="000000"/>
          <w:sz w:val="24"/>
          <w:szCs w:val="24"/>
        </w:rPr>
        <w:t xml:space="preserve">one of these </w:t>
      </w:r>
      <w:r w:rsidR="002628D8" w:rsidRPr="00E74838">
        <w:rPr>
          <w:rFonts w:eastAsia="Times New Roman" w:cs="Times New Roman"/>
          <w:color w:val="000000"/>
          <w:sz w:val="24"/>
          <w:szCs w:val="24"/>
        </w:rPr>
        <w:t>commenter</w:t>
      </w:r>
      <w:r w:rsidRPr="00E74838">
        <w:rPr>
          <w:rFonts w:eastAsia="Times New Roman" w:cs="Times New Roman"/>
          <w:color w:val="000000"/>
          <w:sz w:val="24"/>
          <w:szCs w:val="24"/>
        </w:rPr>
        <w:t>s</w:t>
      </w:r>
      <w:r w:rsidR="002628D8" w:rsidRPr="00E74838">
        <w:rPr>
          <w:rFonts w:eastAsia="Times New Roman" w:cs="Times New Roman"/>
          <w:color w:val="000000"/>
          <w:sz w:val="24"/>
          <w:szCs w:val="24"/>
        </w:rPr>
        <w:t xml:space="preserve"> wanted confirmation that</w:t>
      </w:r>
      <w:r w:rsidR="00453E39" w:rsidRPr="00E74838">
        <w:rPr>
          <w:rFonts w:eastAsia="Times New Roman" w:cs="Times New Roman"/>
          <w:color w:val="000000"/>
          <w:sz w:val="24"/>
          <w:szCs w:val="24"/>
        </w:rPr>
        <w:t xml:space="preserve">: </w:t>
      </w:r>
      <w:r w:rsidR="002628D8" w:rsidRPr="00E74838">
        <w:rPr>
          <w:rFonts w:eastAsia="Times New Roman" w:cs="Times New Roman"/>
          <w:color w:val="000000"/>
          <w:sz w:val="24"/>
          <w:szCs w:val="24"/>
        </w:rPr>
        <w:t xml:space="preserve"> </w:t>
      </w:r>
      <w:r w:rsidR="00453E39" w:rsidRPr="00E74838">
        <w:rPr>
          <w:rFonts w:eastAsia="Times New Roman" w:cs="Times New Roman"/>
          <w:color w:val="000000"/>
          <w:sz w:val="24"/>
          <w:szCs w:val="24"/>
        </w:rPr>
        <w:t xml:space="preserve">(1) </w:t>
      </w:r>
      <w:r w:rsidR="002628D8" w:rsidRPr="00E74838">
        <w:rPr>
          <w:rFonts w:eastAsia="Times New Roman" w:cs="Times New Roman"/>
          <w:color w:val="000000"/>
          <w:sz w:val="24"/>
          <w:szCs w:val="24"/>
        </w:rPr>
        <w:t>an individual who receives staff-assisted supportive services, after being determined eligible for a program, is a “participant”</w:t>
      </w:r>
      <w:r w:rsidR="00453E39" w:rsidRPr="00E74838">
        <w:rPr>
          <w:rFonts w:eastAsia="Times New Roman" w:cs="Times New Roman"/>
          <w:color w:val="000000"/>
          <w:sz w:val="24"/>
          <w:szCs w:val="24"/>
        </w:rPr>
        <w:t xml:space="preserve"> even if he or she has not received other staff-assisted services;</w:t>
      </w:r>
      <w:r w:rsidR="0062746B" w:rsidRPr="00E74838">
        <w:rPr>
          <w:rFonts w:eastAsia="Times New Roman" w:cs="Times New Roman"/>
          <w:color w:val="000000"/>
          <w:sz w:val="24"/>
          <w:szCs w:val="24"/>
        </w:rPr>
        <w:t xml:space="preserve"> </w:t>
      </w:r>
      <w:r w:rsidR="00453E39" w:rsidRPr="00E74838">
        <w:rPr>
          <w:rFonts w:eastAsia="Times New Roman" w:cs="Times New Roman"/>
          <w:color w:val="000000"/>
          <w:sz w:val="24"/>
          <w:szCs w:val="24"/>
        </w:rPr>
        <w:t xml:space="preserve">(2) </w:t>
      </w:r>
      <w:r w:rsidR="002628D8" w:rsidRPr="00E74838">
        <w:rPr>
          <w:rFonts w:eastAsia="Arial" w:cs="Times New Roman"/>
          <w:sz w:val="24"/>
          <w:szCs w:val="24"/>
        </w:rPr>
        <w:t xml:space="preserve">receipt of </w:t>
      </w:r>
      <w:r w:rsidR="0062746B" w:rsidRPr="00E74838">
        <w:rPr>
          <w:rFonts w:eastAsia="Arial" w:cs="Times New Roman"/>
          <w:sz w:val="24"/>
          <w:szCs w:val="24"/>
        </w:rPr>
        <w:t>continued s</w:t>
      </w:r>
      <w:r w:rsidR="002628D8" w:rsidRPr="00E74838">
        <w:rPr>
          <w:rFonts w:eastAsia="Arial" w:cs="Times New Roman"/>
          <w:sz w:val="24"/>
          <w:szCs w:val="24"/>
        </w:rPr>
        <w:t>taff-</w:t>
      </w:r>
      <w:r w:rsidR="0062746B" w:rsidRPr="00E74838">
        <w:rPr>
          <w:rFonts w:eastAsia="Arial" w:cs="Times New Roman"/>
          <w:sz w:val="24"/>
          <w:szCs w:val="24"/>
        </w:rPr>
        <w:t>a</w:t>
      </w:r>
      <w:r w:rsidR="002628D8" w:rsidRPr="00E74838">
        <w:rPr>
          <w:rFonts w:eastAsia="Arial" w:cs="Times New Roman"/>
          <w:sz w:val="24"/>
          <w:szCs w:val="24"/>
        </w:rPr>
        <w:t xml:space="preserve">ssisted </w:t>
      </w:r>
      <w:r w:rsidR="0062746B" w:rsidRPr="00E74838">
        <w:rPr>
          <w:rFonts w:eastAsia="Arial" w:cs="Times New Roman"/>
          <w:sz w:val="24"/>
          <w:szCs w:val="24"/>
        </w:rPr>
        <w:t>s</w:t>
      </w:r>
      <w:r w:rsidR="002628D8" w:rsidRPr="00E74838">
        <w:rPr>
          <w:rFonts w:eastAsia="Arial" w:cs="Times New Roman"/>
          <w:sz w:val="24"/>
          <w:szCs w:val="24"/>
        </w:rPr>
        <w:t xml:space="preserve">upportive </w:t>
      </w:r>
      <w:r w:rsidR="0062746B" w:rsidRPr="00E74838">
        <w:rPr>
          <w:rFonts w:eastAsia="Arial" w:cs="Times New Roman"/>
          <w:sz w:val="24"/>
          <w:szCs w:val="24"/>
        </w:rPr>
        <w:t>s</w:t>
      </w:r>
      <w:r w:rsidR="002628D8" w:rsidRPr="00E74838">
        <w:rPr>
          <w:rFonts w:eastAsia="Arial" w:cs="Times New Roman"/>
          <w:sz w:val="24"/>
          <w:szCs w:val="24"/>
        </w:rPr>
        <w:t>ervices</w:t>
      </w:r>
      <w:r w:rsidR="00BD48DA" w:rsidRPr="00E74838">
        <w:rPr>
          <w:rFonts w:eastAsia="Arial" w:cs="Times New Roman"/>
          <w:sz w:val="24"/>
          <w:szCs w:val="24"/>
        </w:rPr>
        <w:t xml:space="preserve"> (e.g., career services or training services)</w:t>
      </w:r>
      <w:r w:rsidR="0062746B" w:rsidRPr="00E74838">
        <w:rPr>
          <w:rFonts w:eastAsia="Arial" w:cs="Times New Roman"/>
          <w:sz w:val="24"/>
          <w:szCs w:val="24"/>
        </w:rPr>
        <w:t>, upon the completion of other staff-assisted services,</w:t>
      </w:r>
      <w:r w:rsidR="002628D8" w:rsidRPr="00E74838">
        <w:rPr>
          <w:rFonts w:eastAsia="Arial" w:cs="Times New Roman"/>
          <w:sz w:val="24"/>
          <w:szCs w:val="24"/>
        </w:rPr>
        <w:t xml:space="preserve"> </w:t>
      </w:r>
      <w:r w:rsidR="0062746B" w:rsidRPr="00E74838">
        <w:rPr>
          <w:rFonts w:eastAsia="Arial" w:cs="Times New Roman"/>
          <w:sz w:val="24"/>
          <w:szCs w:val="24"/>
        </w:rPr>
        <w:t xml:space="preserve">by </w:t>
      </w:r>
      <w:r w:rsidR="002628D8" w:rsidRPr="00E74838">
        <w:rPr>
          <w:rFonts w:eastAsia="Arial" w:cs="Times New Roman"/>
          <w:sz w:val="24"/>
          <w:szCs w:val="24"/>
        </w:rPr>
        <w:t xml:space="preserve">a </w:t>
      </w:r>
      <w:r w:rsidR="0062746B" w:rsidRPr="00E74838">
        <w:rPr>
          <w:rFonts w:eastAsia="Arial" w:cs="Times New Roman"/>
          <w:sz w:val="24"/>
          <w:szCs w:val="24"/>
        </w:rPr>
        <w:t>“p</w:t>
      </w:r>
      <w:r w:rsidR="002628D8" w:rsidRPr="00E74838">
        <w:rPr>
          <w:rFonts w:eastAsia="Arial" w:cs="Times New Roman"/>
          <w:sz w:val="24"/>
          <w:szCs w:val="24"/>
        </w:rPr>
        <w:t>articipant</w:t>
      </w:r>
      <w:r w:rsidR="0062746B" w:rsidRPr="00E74838">
        <w:rPr>
          <w:rFonts w:eastAsia="Arial" w:cs="Times New Roman"/>
          <w:sz w:val="24"/>
          <w:szCs w:val="24"/>
        </w:rPr>
        <w:t xml:space="preserve">” means the participant has not </w:t>
      </w:r>
      <w:r w:rsidR="00453E39" w:rsidRPr="00E74838">
        <w:rPr>
          <w:rFonts w:eastAsia="Arial" w:cs="Times New Roman"/>
          <w:sz w:val="24"/>
          <w:szCs w:val="24"/>
        </w:rPr>
        <w:t xml:space="preserve">yet </w:t>
      </w:r>
      <w:r w:rsidR="0062746B" w:rsidRPr="00E74838">
        <w:rPr>
          <w:rFonts w:eastAsia="Arial" w:cs="Times New Roman"/>
          <w:sz w:val="24"/>
          <w:szCs w:val="24"/>
        </w:rPr>
        <w:t>met the definition of “exit</w:t>
      </w:r>
      <w:r w:rsidR="00453E39" w:rsidRPr="00E74838">
        <w:rPr>
          <w:rFonts w:eastAsia="Arial" w:cs="Times New Roman"/>
          <w:sz w:val="24"/>
          <w:szCs w:val="24"/>
        </w:rPr>
        <w:t>;</w:t>
      </w:r>
      <w:r w:rsidR="0062746B" w:rsidRPr="00E74838">
        <w:rPr>
          <w:rFonts w:eastAsia="Arial" w:cs="Times New Roman"/>
          <w:sz w:val="24"/>
          <w:szCs w:val="24"/>
        </w:rPr>
        <w:t>”</w:t>
      </w:r>
      <w:r w:rsidR="00453E39" w:rsidRPr="00E74838">
        <w:rPr>
          <w:rFonts w:eastAsia="Arial" w:cs="Times New Roman"/>
          <w:sz w:val="24"/>
          <w:szCs w:val="24"/>
        </w:rPr>
        <w:t xml:space="preserve"> and (3) a “reportable individual” </w:t>
      </w:r>
      <w:r w:rsidR="005373A5" w:rsidRPr="00E74838">
        <w:rPr>
          <w:rFonts w:eastAsia="Arial" w:cs="Times New Roman"/>
          <w:sz w:val="24"/>
          <w:szCs w:val="24"/>
        </w:rPr>
        <w:t xml:space="preserve">who meets the definition of “participant” </w:t>
      </w:r>
      <w:r w:rsidR="00453E39" w:rsidRPr="00E74838">
        <w:rPr>
          <w:rFonts w:eastAsia="Arial" w:cs="Times New Roman"/>
          <w:sz w:val="24"/>
          <w:szCs w:val="24"/>
        </w:rPr>
        <w:t xml:space="preserve">can still be considered a “participant” even if he or </w:t>
      </w:r>
      <w:r w:rsidR="00453E39" w:rsidRPr="00E74838">
        <w:rPr>
          <w:rFonts w:eastAsia="Arial" w:cs="Times New Roman"/>
          <w:sz w:val="24"/>
          <w:szCs w:val="24"/>
        </w:rPr>
        <w:lastRenderedPageBreak/>
        <w:t>she refuses to provide all of the data elements requested on the PIRL of the Joint Performance ICR</w:t>
      </w:r>
      <w:r w:rsidR="003D09F1" w:rsidRPr="00E74838">
        <w:rPr>
          <w:rFonts w:eastAsia="Arial" w:cs="Times New Roman"/>
          <w:sz w:val="24"/>
          <w:szCs w:val="24"/>
        </w:rPr>
        <w:t>, such as those data elements related to “barriers to employment</w:t>
      </w:r>
      <w:r w:rsidR="00453E39" w:rsidRPr="00E74838">
        <w:rPr>
          <w:rFonts w:eastAsia="Arial" w:cs="Times New Roman"/>
          <w:sz w:val="24"/>
          <w:szCs w:val="24"/>
        </w:rPr>
        <w:t>.</w:t>
      </w:r>
      <w:r w:rsidR="003D09F1" w:rsidRPr="00E74838">
        <w:rPr>
          <w:rFonts w:eastAsia="Arial" w:cs="Times New Roman"/>
          <w:sz w:val="24"/>
          <w:szCs w:val="24"/>
        </w:rPr>
        <w:t>”</w:t>
      </w:r>
    </w:p>
    <w:p w14:paraId="62304263" w14:textId="77777777" w:rsidR="00635273" w:rsidRPr="00E74838" w:rsidRDefault="00635273" w:rsidP="0001000B">
      <w:pPr>
        <w:spacing w:after="0" w:line="240" w:lineRule="auto"/>
        <w:outlineLvl w:val="0"/>
        <w:rPr>
          <w:rFonts w:eastAsia="Arial" w:cs="Times New Roman"/>
          <w:sz w:val="24"/>
          <w:szCs w:val="24"/>
        </w:rPr>
      </w:pPr>
    </w:p>
    <w:p w14:paraId="20137D6C" w14:textId="7E4F89BB" w:rsidR="0075307D" w:rsidRPr="00E74838" w:rsidRDefault="00B5620B" w:rsidP="0001000B">
      <w:pPr>
        <w:spacing w:after="0" w:line="240" w:lineRule="auto"/>
        <w:outlineLvl w:val="0"/>
        <w:rPr>
          <w:rFonts w:eastAsia="Arial" w:cs="Times New Roman"/>
          <w:b/>
          <w:sz w:val="24"/>
          <w:szCs w:val="24"/>
          <w:u w:val="single"/>
        </w:rPr>
      </w:pPr>
      <w:r w:rsidRPr="00E74838">
        <w:rPr>
          <w:rFonts w:eastAsia="Arial" w:cs="Times New Roman"/>
          <w:sz w:val="24"/>
          <w:szCs w:val="24"/>
        </w:rPr>
        <w:t>Another of these commenters requested clarification on</w:t>
      </w:r>
      <w:r w:rsidR="00CD4727" w:rsidRPr="00E74838">
        <w:rPr>
          <w:rFonts w:eastAsia="Arial" w:cs="Times New Roman"/>
          <w:sz w:val="24"/>
          <w:szCs w:val="24"/>
        </w:rPr>
        <w:t>:  (1)</w:t>
      </w:r>
      <w:r w:rsidRPr="00E74838">
        <w:rPr>
          <w:rFonts w:eastAsia="Arial" w:cs="Times New Roman"/>
          <w:sz w:val="24"/>
          <w:szCs w:val="24"/>
        </w:rPr>
        <w:t xml:space="preserve"> how “reportable individuals” are to be reported on the Joint Performance ICR PIRL because the “reportable individual” column is blank</w:t>
      </w:r>
      <w:r w:rsidR="00CD4727" w:rsidRPr="00E74838">
        <w:rPr>
          <w:rFonts w:eastAsia="Arial" w:cs="Times New Roman"/>
          <w:sz w:val="24"/>
          <w:szCs w:val="24"/>
        </w:rPr>
        <w:t>; (2) which data elements on the PIRL must be reported in order for an individual</w:t>
      </w:r>
      <w:r w:rsidR="00E157D5" w:rsidRPr="00E74838">
        <w:rPr>
          <w:rFonts w:eastAsia="Arial" w:cs="Times New Roman"/>
          <w:sz w:val="24"/>
          <w:szCs w:val="24"/>
        </w:rPr>
        <w:t xml:space="preserve">, particularly one who accesses services via technology, </w:t>
      </w:r>
      <w:r w:rsidR="00CD4727" w:rsidRPr="00E74838">
        <w:rPr>
          <w:rFonts w:eastAsia="Arial" w:cs="Times New Roman"/>
          <w:sz w:val="24"/>
          <w:szCs w:val="24"/>
        </w:rPr>
        <w:t xml:space="preserve">to count as a “participant,” rather than a “reportable individual;” </w:t>
      </w:r>
      <w:r w:rsidR="009D630A" w:rsidRPr="00E74838">
        <w:rPr>
          <w:rFonts w:eastAsia="Arial" w:cs="Times New Roman"/>
          <w:sz w:val="24"/>
          <w:szCs w:val="24"/>
        </w:rPr>
        <w:t xml:space="preserve">and </w:t>
      </w:r>
      <w:r w:rsidR="00CD4727" w:rsidRPr="00E74838">
        <w:rPr>
          <w:rFonts w:eastAsia="Arial" w:cs="Times New Roman"/>
          <w:sz w:val="24"/>
          <w:szCs w:val="24"/>
        </w:rPr>
        <w:t>(3)</w:t>
      </w:r>
      <w:r w:rsidR="009D630A" w:rsidRPr="00E74838">
        <w:rPr>
          <w:rFonts w:eastAsia="Arial" w:cs="Times New Roman"/>
          <w:sz w:val="24"/>
          <w:szCs w:val="24"/>
        </w:rPr>
        <w:t xml:space="preserve"> </w:t>
      </w:r>
      <w:r w:rsidR="00F1351E" w:rsidRPr="00E74838">
        <w:rPr>
          <w:rFonts w:eastAsia="Arial" w:cs="Times New Roman"/>
          <w:sz w:val="24"/>
          <w:szCs w:val="24"/>
        </w:rPr>
        <w:t>what constitutes significant “staff-assisted” services and when that level of service is achieved</w:t>
      </w:r>
      <w:r w:rsidR="009D630A" w:rsidRPr="00E74838">
        <w:rPr>
          <w:rFonts w:eastAsia="Arial" w:cs="Times New Roman"/>
          <w:sz w:val="24"/>
          <w:szCs w:val="24"/>
        </w:rPr>
        <w:t>.</w:t>
      </w:r>
    </w:p>
    <w:p w14:paraId="3F18BF53" w14:textId="77777777" w:rsidR="003F293A" w:rsidRPr="00E74838" w:rsidRDefault="003F293A" w:rsidP="0001000B">
      <w:pPr>
        <w:spacing w:after="0" w:line="240" w:lineRule="auto"/>
        <w:rPr>
          <w:rFonts w:cs="Times New Roman"/>
          <w:color w:val="000000" w:themeColor="text1"/>
          <w:sz w:val="24"/>
          <w:szCs w:val="24"/>
        </w:rPr>
      </w:pPr>
    </w:p>
    <w:p w14:paraId="3BF34F2A" w14:textId="77777777" w:rsidR="008B0D34" w:rsidRPr="00DC1AB9" w:rsidRDefault="0077044D" w:rsidP="0001000B">
      <w:pPr>
        <w:spacing w:after="120" w:line="240" w:lineRule="auto"/>
        <w:rPr>
          <w:rFonts w:eastAsia="Arial" w:cs="Times New Roman"/>
          <w:sz w:val="24"/>
        </w:rPr>
      </w:pPr>
      <w:r w:rsidRPr="00E74838">
        <w:rPr>
          <w:rFonts w:cs="Times New Roman"/>
          <w:color w:val="000000" w:themeColor="text1"/>
          <w:sz w:val="24"/>
          <w:szCs w:val="24"/>
        </w:rPr>
        <w:t>In order to ensure clear and accurate counts, as well as ensure consistency of the data among all programs, one commenter recommended uniform definitions</w:t>
      </w:r>
      <w:r w:rsidR="00A715F8" w:rsidRPr="00E74838">
        <w:rPr>
          <w:rFonts w:cs="Times New Roman"/>
          <w:color w:val="000000" w:themeColor="text1"/>
          <w:sz w:val="24"/>
          <w:szCs w:val="24"/>
        </w:rPr>
        <w:t>, including a definition of “staff-assisted services.”  This commenter also suggested that all participants receiving services from more than one program funded under titles I and II</w:t>
      </w:r>
      <w:r w:rsidR="000453B1" w:rsidRPr="00E74838">
        <w:rPr>
          <w:rFonts w:cs="Times New Roman"/>
          <w:color w:val="000000" w:themeColor="text1"/>
          <w:sz w:val="24"/>
          <w:szCs w:val="24"/>
        </w:rPr>
        <w:t>I should be co-enrolled.</w:t>
      </w:r>
      <w:r w:rsidR="008B0D34">
        <w:rPr>
          <w:rFonts w:cs="Times New Roman"/>
          <w:color w:val="000000" w:themeColor="text1"/>
          <w:sz w:val="24"/>
          <w:szCs w:val="24"/>
        </w:rPr>
        <w:t xml:space="preserve">  </w:t>
      </w:r>
      <w:r w:rsidR="008B0D34">
        <w:rPr>
          <w:rFonts w:cs="Times New Roman"/>
          <w:sz w:val="24"/>
          <w:szCs w:val="24"/>
        </w:rPr>
        <w:t>Another</w:t>
      </w:r>
      <w:r w:rsidR="008B0D34" w:rsidRPr="00DC1AB9">
        <w:rPr>
          <w:rFonts w:cs="Times New Roman"/>
          <w:sz w:val="24"/>
          <w:szCs w:val="24"/>
        </w:rPr>
        <w:t xml:space="preserve"> commenter </w:t>
      </w:r>
      <w:r w:rsidR="008B0D34" w:rsidRPr="00DC1AB9">
        <w:rPr>
          <w:rFonts w:eastAsia="Arial" w:cs="Times New Roman"/>
          <w:sz w:val="24"/>
        </w:rPr>
        <w:t>requested confirmation that the Departments’ intent for states and locals is to NOT provide Staff-Assisted Career and Training services to individuals seeking those services if they decline to provide “Par</w:t>
      </w:r>
      <w:r w:rsidR="008B0D34">
        <w:rPr>
          <w:rFonts w:eastAsia="Arial" w:cs="Times New Roman"/>
          <w:sz w:val="24"/>
        </w:rPr>
        <w:t>ticipant-required information”.  Specifically</w:t>
      </w:r>
      <w:r w:rsidR="008B0D34" w:rsidRPr="00DC1AB9">
        <w:rPr>
          <w:rFonts w:eastAsia="Arial" w:cs="Times New Roman"/>
          <w:sz w:val="24"/>
        </w:rPr>
        <w:t xml:space="preserve">, answering questions regarding barriers to employment they may have – especially in those instances where the PIRL does not allow for a “Participant did not self-identify” answer.  If this is not the Departments’ intent, </w:t>
      </w:r>
      <w:r w:rsidR="008B0D34">
        <w:rPr>
          <w:rFonts w:eastAsia="Arial" w:cs="Times New Roman"/>
          <w:sz w:val="24"/>
        </w:rPr>
        <w:t xml:space="preserve">the commenter </w:t>
      </w:r>
      <w:r w:rsidR="008B0D34" w:rsidRPr="00DC1AB9">
        <w:rPr>
          <w:rFonts w:eastAsia="Arial" w:cs="Times New Roman"/>
          <w:sz w:val="24"/>
        </w:rPr>
        <w:t>request</w:t>
      </w:r>
      <w:r w:rsidR="008B0D34">
        <w:rPr>
          <w:rFonts w:eastAsia="Arial" w:cs="Times New Roman"/>
          <w:sz w:val="24"/>
        </w:rPr>
        <w:t>ed</w:t>
      </w:r>
      <w:r w:rsidR="008B0D34" w:rsidRPr="00DC1AB9">
        <w:rPr>
          <w:rFonts w:eastAsia="Arial" w:cs="Times New Roman"/>
          <w:sz w:val="24"/>
        </w:rPr>
        <w:t xml:space="preserve"> that the Departments clearly explain </w:t>
      </w:r>
      <w:r w:rsidR="008B0D34">
        <w:rPr>
          <w:rFonts w:eastAsia="Arial" w:cs="Times New Roman"/>
          <w:sz w:val="24"/>
        </w:rPr>
        <w:t>their intent.</w:t>
      </w:r>
      <w:r w:rsidR="008B0D34" w:rsidRPr="00DC1AB9">
        <w:rPr>
          <w:rFonts w:eastAsia="Arial" w:cs="Times New Roman"/>
          <w:sz w:val="24"/>
        </w:rPr>
        <w:t xml:space="preserve">  </w:t>
      </w:r>
    </w:p>
    <w:p w14:paraId="4EA928B6" w14:textId="2608F6FD" w:rsidR="004D71C7" w:rsidRDefault="008B0D34" w:rsidP="00DE1008">
      <w:pPr>
        <w:spacing w:after="0" w:line="240" w:lineRule="auto"/>
        <w:rPr>
          <w:rFonts w:cs="Times New Roman"/>
          <w:sz w:val="24"/>
          <w:szCs w:val="24"/>
        </w:rPr>
      </w:pPr>
      <w:r>
        <w:rPr>
          <w:rFonts w:cs="Times New Roman"/>
          <w:color w:val="000000" w:themeColor="text1"/>
          <w:sz w:val="24"/>
          <w:szCs w:val="24"/>
        </w:rPr>
        <w:t>O</w:t>
      </w:r>
      <w:r w:rsidRPr="00E74838">
        <w:rPr>
          <w:rFonts w:cs="Times New Roman"/>
          <w:color w:val="000000" w:themeColor="text1"/>
          <w:sz w:val="24"/>
          <w:szCs w:val="24"/>
        </w:rPr>
        <w:t xml:space="preserve">ne commenter strongly opposed the Departments’ decision to allow duplicate counts of participants who exit a program more than once in a particular program year.  This commenter was especially concerned about the impact this decision would have on the AEFLA program, which has not historically permitted duplicate counts of its participants.  Another commenter sought clarification on how the calculation would be done if a participant exits a program twice in a program year and attains a credential prior to the second exit.  The commenter believes that the participant would be </w:t>
      </w:r>
      <w:r w:rsidRPr="00E74838">
        <w:rPr>
          <w:rFonts w:cs="Times New Roman"/>
          <w:sz w:val="24"/>
          <w:szCs w:val="24"/>
        </w:rPr>
        <w:t>counted twice in the credential attainment performance standard and only once in the numerator for the credential attained.</w:t>
      </w:r>
      <w:r>
        <w:rPr>
          <w:rFonts w:cs="Times New Roman"/>
          <w:sz w:val="24"/>
          <w:szCs w:val="24"/>
        </w:rPr>
        <w:t xml:space="preserve">  </w:t>
      </w:r>
    </w:p>
    <w:p w14:paraId="7402F44E" w14:textId="77777777" w:rsidR="00DE1008" w:rsidRPr="00DE1008" w:rsidRDefault="00DE1008" w:rsidP="00DE1008">
      <w:pPr>
        <w:spacing w:after="0" w:line="240" w:lineRule="auto"/>
        <w:rPr>
          <w:rFonts w:cs="Times New Roman"/>
          <w:sz w:val="24"/>
          <w:szCs w:val="24"/>
        </w:rPr>
      </w:pPr>
    </w:p>
    <w:p w14:paraId="24F8368B" w14:textId="242590C9" w:rsidR="00B5620B" w:rsidRPr="00E74838" w:rsidRDefault="004F46C7" w:rsidP="00DE1008">
      <w:pPr>
        <w:autoSpaceDE w:val="0"/>
        <w:autoSpaceDN w:val="0"/>
        <w:adjustRightInd w:val="0"/>
        <w:spacing w:after="0" w:line="240" w:lineRule="auto"/>
        <w:rPr>
          <w:rFonts w:eastAsia="Arial" w:cs="Times New Roman"/>
          <w:sz w:val="24"/>
          <w:szCs w:val="24"/>
        </w:rPr>
      </w:pPr>
      <w:r w:rsidRPr="00E74838">
        <w:rPr>
          <w:rFonts w:eastAsia="Arial" w:cs="Times New Roman"/>
          <w:b/>
          <w:sz w:val="24"/>
          <w:szCs w:val="24"/>
        </w:rPr>
        <w:t xml:space="preserve">Agencies’ </w:t>
      </w:r>
      <w:r w:rsidR="00004ADE" w:rsidRPr="00E74838">
        <w:rPr>
          <w:rFonts w:eastAsia="Arial" w:cs="Times New Roman"/>
          <w:b/>
          <w:sz w:val="24"/>
          <w:szCs w:val="24"/>
        </w:rPr>
        <w:t>Response</w:t>
      </w:r>
      <w:r w:rsidRPr="00E74838">
        <w:rPr>
          <w:rFonts w:eastAsia="Arial" w:cs="Times New Roman"/>
          <w:b/>
          <w:sz w:val="24"/>
          <w:szCs w:val="24"/>
        </w:rPr>
        <w:t>, June 2016</w:t>
      </w:r>
      <w:r w:rsidR="00004ADE" w:rsidRPr="00E74838">
        <w:rPr>
          <w:rFonts w:eastAsia="Arial" w:cs="Times New Roman"/>
          <w:b/>
          <w:sz w:val="24"/>
          <w:szCs w:val="24"/>
        </w:rPr>
        <w:t xml:space="preserve">: </w:t>
      </w:r>
      <w:r w:rsidR="00432B36" w:rsidRPr="00E74838">
        <w:rPr>
          <w:rFonts w:eastAsia="Arial" w:cs="Times New Roman"/>
          <w:b/>
          <w:sz w:val="24"/>
          <w:szCs w:val="24"/>
        </w:rPr>
        <w:t xml:space="preserve"> </w:t>
      </w:r>
      <w:r w:rsidR="005373A5" w:rsidRPr="00E74838">
        <w:rPr>
          <w:rFonts w:eastAsia="Arial" w:cs="Times New Roman"/>
          <w:sz w:val="24"/>
          <w:szCs w:val="24"/>
        </w:rPr>
        <w:t>T</w:t>
      </w:r>
      <w:r w:rsidR="003020A9" w:rsidRPr="00E74838">
        <w:rPr>
          <w:rFonts w:cs="Times New Roman"/>
          <w:sz w:val="24"/>
          <w:szCs w:val="24"/>
        </w:rPr>
        <w:t xml:space="preserve">he </w:t>
      </w:r>
      <w:r w:rsidR="005373A5" w:rsidRPr="00E74838">
        <w:rPr>
          <w:rFonts w:cs="Times New Roman"/>
          <w:sz w:val="24"/>
          <w:szCs w:val="24"/>
        </w:rPr>
        <w:t>J</w:t>
      </w:r>
      <w:r w:rsidR="00E31752" w:rsidRPr="00E74838">
        <w:rPr>
          <w:rFonts w:cs="Times New Roman"/>
          <w:sz w:val="24"/>
          <w:szCs w:val="24"/>
        </w:rPr>
        <w:t xml:space="preserve">oint Final Rule and </w:t>
      </w:r>
      <w:r w:rsidR="005373A5" w:rsidRPr="00E74838">
        <w:rPr>
          <w:rFonts w:cs="Times New Roman"/>
          <w:sz w:val="24"/>
          <w:szCs w:val="24"/>
        </w:rPr>
        <w:t>F</w:t>
      </w:r>
      <w:r w:rsidR="00E31752" w:rsidRPr="00E74838">
        <w:rPr>
          <w:rFonts w:cs="Times New Roman"/>
          <w:sz w:val="24"/>
          <w:szCs w:val="24"/>
        </w:rPr>
        <w:t xml:space="preserve">inal </w:t>
      </w:r>
      <w:r w:rsidR="005373A5" w:rsidRPr="00E74838">
        <w:rPr>
          <w:rFonts w:cs="Times New Roman"/>
          <w:sz w:val="24"/>
          <w:szCs w:val="24"/>
        </w:rPr>
        <w:t xml:space="preserve">Joint Performance </w:t>
      </w:r>
      <w:r w:rsidR="00E31752" w:rsidRPr="00E74838">
        <w:rPr>
          <w:rFonts w:cs="Times New Roman"/>
          <w:sz w:val="24"/>
          <w:szCs w:val="24"/>
        </w:rPr>
        <w:t>ICR define “participant</w:t>
      </w:r>
      <w:r w:rsidR="00BD485B" w:rsidRPr="00E74838">
        <w:rPr>
          <w:rFonts w:cs="Times New Roman"/>
          <w:sz w:val="24"/>
          <w:szCs w:val="24"/>
        </w:rPr>
        <w:t>,</w:t>
      </w:r>
      <w:r w:rsidR="00E31752" w:rsidRPr="00E74838">
        <w:rPr>
          <w:rFonts w:cs="Times New Roman"/>
          <w:sz w:val="24"/>
          <w:szCs w:val="24"/>
        </w:rPr>
        <w:t>”</w:t>
      </w:r>
      <w:r w:rsidR="00BD485B" w:rsidRPr="00E74838">
        <w:rPr>
          <w:rFonts w:cs="Times New Roman"/>
          <w:sz w:val="24"/>
          <w:szCs w:val="24"/>
        </w:rPr>
        <w:t xml:space="preserve"> in short,</w:t>
      </w:r>
      <w:r w:rsidR="00E31752" w:rsidRPr="00E74838">
        <w:rPr>
          <w:rFonts w:cs="Times New Roman"/>
          <w:sz w:val="24"/>
          <w:szCs w:val="24"/>
        </w:rPr>
        <w:t xml:space="preserve"> as an individual who has satisfied all programmatic requirements for the receipt of services, such as eligibility determination, and who receives services other than </w:t>
      </w:r>
      <w:r w:rsidR="005373A5" w:rsidRPr="00E74838">
        <w:rPr>
          <w:rFonts w:cs="Times New Roman"/>
          <w:sz w:val="24"/>
          <w:szCs w:val="24"/>
        </w:rPr>
        <w:t>“</w:t>
      </w:r>
      <w:r w:rsidR="00E31752" w:rsidRPr="00E74838">
        <w:rPr>
          <w:rFonts w:cs="Times New Roman"/>
          <w:sz w:val="24"/>
          <w:szCs w:val="24"/>
        </w:rPr>
        <w:t>self-services</w:t>
      </w:r>
      <w:r w:rsidR="005373A5" w:rsidRPr="00E74838">
        <w:rPr>
          <w:rFonts w:cs="Times New Roman"/>
          <w:sz w:val="24"/>
          <w:szCs w:val="24"/>
        </w:rPr>
        <w:t>”</w:t>
      </w:r>
      <w:r w:rsidR="00E31752" w:rsidRPr="00E74838">
        <w:rPr>
          <w:rFonts w:cs="Times New Roman"/>
          <w:sz w:val="24"/>
          <w:szCs w:val="24"/>
        </w:rPr>
        <w:t xml:space="preserve"> and </w:t>
      </w:r>
      <w:r w:rsidR="005373A5" w:rsidRPr="00E74838">
        <w:rPr>
          <w:rFonts w:cs="Times New Roman"/>
          <w:sz w:val="24"/>
          <w:szCs w:val="24"/>
        </w:rPr>
        <w:t>“</w:t>
      </w:r>
      <w:r w:rsidR="00E31752" w:rsidRPr="00E74838">
        <w:rPr>
          <w:rFonts w:cs="Times New Roman"/>
          <w:sz w:val="24"/>
          <w:szCs w:val="24"/>
        </w:rPr>
        <w:t>information-only services.</w:t>
      </w:r>
      <w:r w:rsidR="005373A5" w:rsidRPr="00E74838">
        <w:rPr>
          <w:rFonts w:cs="Times New Roman"/>
          <w:sz w:val="24"/>
          <w:szCs w:val="24"/>
        </w:rPr>
        <w:t>”</w:t>
      </w:r>
      <w:r w:rsidR="00E31752" w:rsidRPr="00E74838">
        <w:rPr>
          <w:rFonts w:cs="Times New Roman"/>
          <w:sz w:val="24"/>
          <w:szCs w:val="24"/>
        </w:rPr>
        <w:t xml:space="preserve">  </w:t>
      </w:r>
      <w:r w:rsidR="00BD485B" w:rsidRPr="00E74838">
        <w:rPr>
          <w:rFonts w:cs="Times New Roman"/>
          <w:sz w:val="24"/>
          <w:szCs w:val="24"/>
        </w:rPr>
        <w:t xml:space="preserve">Both the </w:t>
      </w:r>
      <w:r w:rsidR="005373A5" w:rsidRPr="00E74838">
        <w:rPr>
          <w:rFonts w:cs="Times New Roman"/>
          <w:sz w:val="24"/>
          <w:szCs w:val="24"/>
        </w:rPr>
        <w:t>J</w:t>
      </w:r>
      <w:r w:rsidR="00BD485B" w:rsidRPr="00E74838">
        <w:rPr>
          <w:rFonts w:cs="Times New Roman"/>
          <w:sz w:val="24"/>
          <w:szCs w:val="24"/>
        </w:rPr>
        <w:t xml:space="preserve">oint Final Rule and the </w:t>
      </w:r>
      <w:r w:rsidR="005373A5" w:rsidRPr="00E74838">
        <w:rPr>
          <w:rFonts w:cs="Times New Roman"/>
          <w:sz w:val="24"/>
          <w:szCs w:val="24"/>
        </w:rPr>
        <w:t>F</w:t>
      </w:r>
      <w:r w:rsidR="00BD485B" w:rsidRPr="00E74838">
        <w:rPr>
          <w:rFonts w:cs="Times New Roman"/>
          <w:sz w:val="24"/>
          <w:szCs w:val="24"/>
        </w:rPr>
        <w:t xml:space="preserve">inal </w:t>
      </w:r>
      <w:r w:rsidR="005373A5" w:rsidRPr="00E74838">
        <w:rPr>
          <w:rFonts w:cs="Times New Roman"/>
          <w:sz w:val="24"/>
          <w:szCs w:val="24"/>
        </w:rPr>
        <w:t xml:space="preserve">Joint Performance </w:t>
      </w:r>
      <w:r w:rsidR="00BD485B" w:rsidRPr="00E74838">
        <w:rPr>
          <w:rFonts w:cs="Times New Roman"/>
          <w:sz w:val="24"/>
          <w:szCs w:val="24"/>
        </w:rPr>
        <w:t>ICR focus on the demar</w:t>
      </w:r>
      <w:r w:rsidR="00C31531" w:rsidRPr="00E74838">
        <w:rPr>
          <w:rFonts w:cs="Times New Roman"/>
          <w:sz w:val="24"/>
          <w:szCs w:val="24"/>
        </w:rPr>
        <w:t>c</w:t>
      </w:r>
      <w:r w:rsidR="00BD485B" w:rsidRPr="00E74838">
        <w:rPr>
          <w:rFonts w:cs="Times New Roman"/>
          <w:sz w:val="24"/>
          <w:szCs w:val="24"/>
        </w:rPr>
        <w:t>ation provided by “self-services and information</w:t>
      </w:r>
      <w:r w:rsidR="00700D2C" w:rsidRPr="00E74838">
        <w:rPr>
          <w:rFonts w:cs="Times New Roman"/>
          <w:sz w:val="24"/>
          <w:szCs w:val="24"/>
        </w:rPr>
        <w:t>-</w:t>
      </w:r>
      <w:r w:rsidR="00BD485B" w:rsidRPr="00E74838">
        <w:rPr>
          <w:rFonts w:cs="Times New Roman"/>
          <w:sz w:val="24"/>
          <w:szCs w:val="24"/>
        </w:rPr>
        <w:t xml:space="preserve">only services” to distinguish between a “reportable individual” and a “participant,” rather than on the nature of “staff-assisted services” as was done in the </w:t>
      </w:r>
      <w:r w:rsidR="006A133F" w:rsidRPr="00E74838">
        <w:rPr>
          <w:rFonts w:cs="Times New Roman"/>
          <w:sz w:val="24"/>
          <w:szCs w:val="24"/>
        </w:rPr>
        <w:t>Notice of Proposed Rulemaking (</w:t>
      </w:r>
      <w:r w:rsidR="00BD485B" w:rsidRPr="00E74838">
        <w:rPr>
          <w:rFonts w:cs="Times New Roman"/>
          <w:sz w:val="24"/>
          <w:szCs w:val="24"/>
        </w:rPr>
        <w:t>NPRM</w:t>
      </w:r>
      <w:r w:rsidR="006A133F" w:rsidRPr="00E74838">
        <w:rPr>
          <w:rFonts w:cs="Times New Roman"/>
          <w:sz w:val="24"/>
          <w:szCs w:val="24"/>
        </w:rPr>
        <w:t>)</w:t>
      </w:r>
      <w:r w:rsidR="00BD485B" w:rsidRPr="00E74838">
        <w:rPr>
          <w:rFonts w:cs="Times New Roman"/>
          <w:sz w:val="24"/>
          <w:szCs w:val="24"/>
        </w:rPr>
        <w:t xml:space="preserve"> and proposed J</w:t>
      </w:r>
      <w:r w:rsidR="006A133F" w:rsidRPr="00E74838">
        <w:rPr>
          <w:rFonts w:cs="Times New Roman"/>
          <w:sz w:val="24"/>
          <w:szCs w:val="24"/>
        </w:rPr>
        <w:t xml:space="preserve">oint Performance </w:t>
      </w:r>
      <w:r w:rsidR="00BD485B" w:rsidRPr="00E74838">
        <w:rPr>
          <w:rFonts w:cs="Times New Roman"/>
          <w:sz w:val="24"/>
          <w:szCs w:val="24"/>
        </w:rPr>
        <w:t>ICR.  N</w:t>
      </w:r>
      <w:r w:rsidR="00E31752" w:rsidRPr="00E74838">
        <w:rPr>
          <w:rFonts w:cs="Times New Roman"/>
          <w:sz w:val="24"/>
          <w:szCs w:val="24"/>
        </w:rPr>
        <w:t xml:space="preserve">either </w:t>
      </w:r>
      <w:r w:rsidR="00BD485B" w:rsidRPr="00E74838">
        <w:rPr>
          <w:rFonts w:cs="Times New Roman"/>
          <w:sz w:val="24"/>
          <w:szCs w:val="24"/>
        </w:rPr>
        <w:t xml:space="preserve">the </w:t>
      </w:r>
      <w:r w:rsidR="006A133F" w:rsidRPr="00E74838">
        <w:rPr>
          <w:rFonts w:cs="Times New Roman"/>
          <w:sz w:val="24"/>
          <w:szCs w:val="24"/>
        </w:rPr>
        <w:t>J</w:t>
      </w:r>
      <w:r w:rsidR="00BD485B" w:rsidRPr="00E74838">
        <w:rPr>
          <w:rFonts w:cs="Times New Roman"/>
          <w:sz w:val="24"/>
          <w:szCs w:val="24"/>
        </w:rPr>
        <w:t xml:space="preserve">oint Final Rule nor </w:t>
      </w:r>
      <w:r w:rsidR="006A133F" w:rsidRPr="00E74838">
        <w:rPr>
          <w:rFonts w:cs="Times New Roman"/>
          <w:sz w:val="24"/>
          <w:szCs w:val="24"/>
        </w:rPr>
        <w:t>F</w:t>
      </w:r>
      <w:r w:rsidR="00BD485B" w:rsidRPr="00E74838">
        <w:rPr>
          <w:rFonts w:cs="Times New Roman"/>
          <w:sz w:val="24"/>
          <w:szCs w:val="24"/>
        </w:rPr>
        <w:t>inal J</w:t>
      </w:r>
      <w:r w:rsidR="006A133F" w:rsidRPr="00E74838">
        <w:rPr>
          <w:rFonts w:cs="Times New Roman"/>
          <w:sz w:val="24"/>
          <w:szCs w:val="24"/>
        </w:rPr>
        <w:t xml:space="preserve">oint Performance </w:t>
      </w:r>
      <w:r w:rsidR="00BD485B" w:rsidRPr="00E74838">
        <w:rPr>
          <w:rFonts w:cs="Times New Roman"/>
          <w:sz w:val="24"/>
          <w:szCs w:val="24"/>
        </w:rPr>
        <w:t>ICR define</w:t>
      </w:r>
      <w:r w:rsidR="00700D2C" w:rsidRPr="00E74838">
        <w:rPr>
          <w:rFonts w:cs="Times New Roman"/>
          <w:sz w:val="24"/>
          <w:szCs w:val="24"/>
        </w:rPr>
        <w:t>s</w:t>
      </w:r>
      <w:r w:rsidR="00BD485B" w:rsidRPr="00E74838">
        <w:rPr>
          <w:rFonts w:cs="Times New Roman"/>
          <w:sz w:val="24"/>
          <w:szCs w:val="24"/>
        </w:rPr>
        <w:t xml:space="preserve"> “participant” in terms of the receipt of staff-assisted services.</w:t>
      </w:r>
      <w:r w:rsidR="00B97EF1" w:rsidRPr="00E74838">
        <w:rPr>
          <w:rFonts w:cs="Times New Roman"/>
          <w:sz w:val="24"/>
          <w:szCs w:val="24"/>
        </w:rPr>
        <w:t xml:space="preserve">  </w:t>
      </w:r>
      <w:r w:rsidR="00B97EF1" w:rsidRPr="00E74838">
        <w:rPr>
          <w:rFonts w:eastAsia="Arial" w:cs="Times New Roman"/>
          <w:sz w:val="24"/>
          <w:szCs w:val="24"/>
        </w:rPr>
        <w:t xml:space="preserve">With respect to the </w:t>
      </w:r>
      <w:r w:rsidR="006A133F" w:rsidRPr="00E74838">
        <w:rPr>
          <w:rFonts w:eastAsia="Arial" w:cs="Times New Roman"/>
          <w:sz w:val="24"/>
          <w:szCs w:val="24"/>
        </w:rPr>
        <w:t>core programs authorized under titles I</w:t>
      </w:r>
      <w:r w:rsidR="00C879D6" w:rsidRPr="00E74838">
        <w:rPr>
          <w:rFonts w:eastAsia="Arial" w:cs="Times New Roman"/>
          <w:sz w:val="24"/>
          <w:szCs w:val="24"/>
        </w:rPr>
        <w:t xml:space="preserve">, II and </w:t>
      </w:r>
      <w:r w:rsidR="006A133F" w:rsidRPr="00E74838">
        <w:rPr>
          <w:rFonts w:eastAsia="Arial" w:cs="Times New Roman"/>
          <w:sz w:val="24"/>
          <w:szCs w:val="24"/>
        </w:rPr>
        <w:t xml:space="preserve">III, </w:t>
      </w:r>
      <w:r w:rsidR="00B97EF1" w:rsidRPr="00E74838">
        <w:rPr>
          <w:rFonts w:eastAsia="Arial" w:cs="Times New Roman"/>
          <w:sz w:val="24"/>
          <w:szCs w:val="24"/>
        </w:rPr>
        <w:t xml:space="preserve">a “participant” “exits” a </w:t>
      </w:r>
      <w:r w:rsidR="006A133F" w:rsidRPr="00E74838">
        <w:rPr>
          <w:rFonts w:eastAsia="Arial" w:cs="Times New Roman"/>
          <w:sz w:val="24"/>
          <w:szCs w:val="24"/>
        </w:rPr>
        <w:t xml:space="preserve">program, in short, </w:t>
      </w:r>
      <w:r w:rsidR="00B97EF1" w:rsidRPr="00E74838">
        <w:rPr>
          <w:rFonts w:eastAsia="Arial" w:cs="Times New Roman"/>
          <w:sz w:val="24"/>
          <w:szCs w:val="24"/>
        </w:rPr>
        <w:t>when 90 days of no services have lapsed and there are no other services planned</w:t>
      </w:r>
      <w:r w:rsidR="00BD48DA" w:rsidRPr="00E74838">
        <w:rPr>
          <w:rFonts w:eastAsia="Arial" w:cs="Times New Roman"/>
          <w:sz w:val="24"/>
          <w:szCs w:val="24"/>
        </w:rPr>
        <w:t xml:space="preserve">; a </w:t>
      </w:r>
      <w:r w:rsidR="00B97EF1" w:rsidRPr="00E74838">
        <w:rPr>
          <w:rFonts w:eastAsia="Arial" w:cs="Times New Roman"/>
          <w:sz w:val="24"/>
          <w:szCs w:val="24"/>
        </w:rPr>
        <w:t xml:space="preserve">“participant” “exits” the </w:t>
      </w:r>
      <w:r w:rsidR="00BD48DA" w:rsidRPr="00E74838">
        <w:rPr>
          <w:rFonts w:eastAsia="Arial" w:cs="Times New Roman"/>
          <w:sz w:val="24"/>
          <w:szCs w:val="24"/>
        </w:rPr>
        <w:t>Vocational Rehabilitation (</w:t>
      </w:r>
      <w:r w:rsidR="00B97EF1" w:rsidRPr="00E74838">
        <w:rPr>
          <w:rFonts w:eastAsia="Arial" w:cs="Times New Roman"/>
          <w:sz w:val="24"/>
          <w:szCs w:val="24"/>
        </w:rPr>
        <w:t>VR</w:t>
      </w:r>
      <w:r w:rsidR="00BD48DA" w:rsidRPr="00E74838">
        <w:rPr>
          <w:rFonts w:eastAsia="Arial" w:cs="Times New Roman"/>
          <w:sz w:val="24"/>
          <w:szCs w:val="24"/>
        </w:rPr>
        <w:t>)</w:t>
      </w:r>
      <w:r w:rsidR="00B97EF1" w:rsidRPr="00E74838">
        <w:rPr>
          <w:rFonts w:eastAsia="Arial" w:cs="Times New Roman"/>
          <w:sz w:val="24"/>
          <w:szCs w:val="24"/>
        </w:rPr>
        <w:t xml:space="preserve"> program when the individual’s VR record of service is closed in accordance with VR program requirements.  </w:t>
      </w:r>
      <w:r w:rsidR="00BD48DA" w:rsidRPr="00E74838">
        <w:rPr>
          <w:rFonts w:eastAsia="Arial" w:cs="Times New Roman"/>
          <w:sz w:val="24"/>
          <w:szCs w:val="24"/>
        </w:rPr>
        <w:t>If</w:t>
      </w:r>
      <w:r w:rsidR="008E0220" w:rsidRPr="00E74838">
        <w:rPr>
          <w:rFonts w:eastAsia="Arial" w:cs="Times New Roman"/>
          <w:sz w:val="24"/>
          <w:szCs w:val="24"/>
        </w:rPr>
        <w:t xml:space="preserve"> a participant continues to receive staff-assisted career </w:t>
      </w:r>
      <w:r w:rsidR="00BD48DA" w:rsidRPr="00E74838">
        <w:rPr>
          <w:rFonts w:eastAsia="Arial" w:cs="Times New Roman"/>
          <w:sz w:val="24"/>
          <w:szCs w:val="24"/>
        </w:rPr>
        <w:t xml:space="preserve">services </w:t>
      </w:r>
      <w:r w:rsidR="008E0220" w:rsidRPr="00E74838">
        <w:rPr>
          <w:rFonts w:eastAsia="Arial" w:cs="Times New Roman"/>
          <w:sz w:val="24"/>
          <w:szCs w:val="24"/>
        </w:rPr>
        <w:t xml:space="preserve">or training services, the </w:t>
      </w:r>
      <w:r w:rsidR="008E0220" w:rsidRPr="00E74838">
        <w:rPr>
          <w:rFonts w:eastAsia="Arial" w:cs="Times New Roman"/>
          <w:sz w:val="24"/>
          <w:szCs w:val="24"/>
        </w:rPr>
        <w:lastRenderedPageBreak/>
        <w:t>participant would not satisfy the definition of “exit” for any of the core programs because the participant continues to receive services other than self-services or information-only services.  As such, the individual would continue to be an active “participant.”</w:t>
      </w:r>
      <w:r w:rsidR="00ED5D06" w:rsidRPr="00E74838">
        <w:rPr>
          <w:rFonts w:eastAsia="Arial" w:cs="Times New Roman"/>
          <w:sz w:val="24"/>
          <w:szCs w:val="24"/>
        </w:rPr>
        <w:t xml:space="preserve">  W</w:t>
      </w:r>
      <w:r w:rsidR="00004ADE" w:rsidRPr="00E74838">
        <w:rPr>
          <w:rFonts w:eastAsia="Arial" w:cs="Times New Roman"/>
          <w:sz w:val="24"/>
          <w:szCs w:val="24"/>
        </w:rPr>
        <w:t xml:space="preserve">hile the “barriers to employment” elements are required to be captured by WIOA, the </w:t>
      </w:r>
      <w:r w:rsidR="006B7C3F" w:rsidRPr="00E74838">
        <w:rPr>
          <w:rFonts w:eastAsia="Arial" w:cs="Times New Roman"/>
          <w:sz w:val="24"/>
          <w:szCs w:val="24"/>
        </w:rPr>
        <w:t>D</w:t>
      </w:r>
      <w:r w:rsidR="00004ADE" w:rsidRPr="00E74838">
        <w:rPr>
          <w:rFonts w:eastAsia="Arial" w:cs="Times New Roman"/>
          <w:sz w:val="24"/>
          <w:szCs w:val="24"/>
        </w:rPr>
        <w:t xml:space="preserve">epartments recognize that some of these PIRL characteristics may not be able to be captured in all cases, hence the ability to leave </w:t>
      </w:r>
      <w:r w:rsidR="00F14DBF" w:rsidRPr="00E74838">
        <w:rPr>
          <w:rFonts w:eastAsia="Arial" w:cs="Times New Roman"/>
          <w:sz w:val="24"/>
          <w:szCs w:val="24"/>
        </w:rPr>
        <w:t xml:space="preserve">data elements </w:t>
      </w:r>
      <w:r w:rsidR="00004ADE" w:rsidRPr="00E74838">
        <w:rPr>
          <w:rFonts w:eastAsia="Arial" w:cs="Times New Roman"/>
          <w:sz w:val="24"/>
          <w:szCs w:val="24"/>
        </w:rPr>
        <w:t>blank in some cases.  Refusing to provide characteristic information will not preclude the participant from receiving WIOA services in any core program</w:t>
      </w:r>
      <w:r w:rsidR="006243B8" w:rsidRPr="00E74838">
        <w:rPr>
          <w:rFonts w:eastAsia="Arial" w:cs="Times New Roman"/>
          <w:sz w:val="24"/>
          <w:szCs w:val="24"/>
        </w:rPr>
        <w:t xml:space="preserve"> because program </w:t>
      </w:r>
      <w:r w:rsidR="00ED5D06" w:rsidRPr="00E74838">
        <w:rPr>
          <w:rFonts w:eastAsia="Arial" w:cs="Times New Roman"/>
          <w:sz w:val="24"/>
          <w:szCs w:val="24"/>
        </w:rPr>
        <w:t>eligibility is not dependent on the provision of such information</w:t>
      </w:r>
      <w:r w:rsidR="00004ADE" w:rsidRPr="00E74838">
        <w:rPr>
          <w:rFonts w:eastAsia="Arial" w:cs="Times New Roman"/>
          <w:sz w:val="24"/>
          <w:szCs w:val="24"/>
        </w:rPr>
        <w:t>.</w:t>
      </w:r>
    </w:p>
    <w:p w14:paraId="27692D5B" w14:textId="77777777" w:rsidR="002D76C3" w:rsidRPr="00E74838" w:rsidRDefault="002D76C3" w:rsidP="0001000B">
      <w:pPr>
        <w:spacing w:after="0" w:line="240" w:lineRule="auto"/>
        <w:rPr>
          <w:rFonts w:cs="Times New Roman"/>
          <w:sz w:val="24"/>
          <w:szCs w:val="24"/>
        </w:rPr>
      </w:pPr>
    </w:p>
    <w:p w14:paraId="4B350196" w14:textId="4BD42CDB" w:rsidR="00E157D5" w:rsidRPr="00E74838" w:rsidRDefault="00B5620B" w:rsidP="0001000B">
      <w:pPr>
        <w:spacing w:after="0" w:line="240" w:lineRule="auto"/>
        <w:rPr>
          <w:rFonts w:eastAsia="Arial" w:cs="Times New Roman"/>
          <w:sz w:val="24"/>
          <w:szCs w:val="24"/>
        </w:rPr>
      </w:pPr>
      <w:r w:rsidRPr="00E74838">
        <w:rPr>
          <w:rFonts w:cs="Times New Roman"/>
          <w:sz w:val="24"/>
          <w:szCs w:val="24"/>
        </w:rPr>
        <w:t>The Departments have identified the data elements required for reportable individuals in the program-specific ICRs</w:t>
      </w:r>
      <w:r w:rsidR="00E157D5" w:rsidRPr="00E74838">
        <w:rPr>
          <w:rFonts w:cs="Times New Roman"/>
          <w:sz w:val="24"/>
          <w:szCs w:val="24"/>
        </w:rPr>
        <w:t xml:space="preserve"> </w:t>
      </w:r>
      <w:r w:rsidRPr="00E74838">
        <w:rPr>
          <w:rFonts w:cs="Times New Roman"/>
          <w:sz w:val="24"/>
          <w:szCs w:val="24"/>
        </w:rPr>
        <w:t>by placing an additional column in the PIRL to identify which data elements must be reported for “reportable individuals.”</w:t>
      </w:r>
      <w:r w:rsidR="002D76C3" w:rsidRPr="00E74838">
        <w:rPr>
          <w:rFonts w:cs="Times New Roman"/>
          <w:sz w:val="24"/>
          <w:szCs w:val="24"/>
        </w:rPr>
        <w:t xml:space="preserve">  </w:t>
      </w:r>
      <w:r w:rsidR="00787117" w:rsidRPr="00E74838">
        <w:rPr>
          <w:rFonts w:cs="Times New Roman"/>
          <w:sz w:val="24"/>
          <w:szCs w:val="24"/>
        </w:rPr>
        <w:t xml:space="preserve">These data elements apply to </w:t>
      </w:r>
      <w:r w:rsidR="00635273" w:rsidRPr="00E74838">
        <w:rPr>
          <w:rFonts w:cs="Times New Roman"/>
          <w:sz w:val="24"/>
          <w:szCs w:val="24"/>
        </w:rPr>
        <w:t>t</w:t>
      </w:r>
      <w:r w:rsidR="00787117" w:rsidRPr="00E74838">
        <w:rPr>
          <w:rFonts w:cs="Times New Roman"/>
          <w:sz w:val="24"/>
          <w:szCs w:val="24"/>
        </w:rPr>
        <w:t xml:space="preserve">itles </w:t>
      </w:r>
      <w:proofErr w:type="gramStart"/>
      <w:r w:rsidR="00787117" w:rsidRPr="00E74838">
        <w:rPr>
          <w:rFonts w:cs="Times New Roman"/>
          <w:sz w:val="24"/>
          <w:szCs w:val="24"/>
        </w:rPr>
        <w:t>I</w:t>
      </w:r>
      <w:proofErr w:type="gramEnd"/>
      <w:r w:rsidR="00787117" w:rsidRPr="00E74838">
        <w:rPr>
          <w:rFonts w:cs="Times New Roman"/>
          <w:sz w:val="24"/>
          <w:szCs w:val="24"/>
        </w:rPr>
        <w:t xml:space="preserve">, III and IV.  The AEFLA program may expand its </w:t>
      </w:r>
      <w:r w:rsidR="00635273" w:rsidRPr="00E74838">
        <w:rPr>
          <w:rFonts w:cs="Times New Roman"/>
          <w:sz w:val="24"/>
          <w:szCs w:val="24"/>
        </w:rPr>
        <w:t>t</w:t>
      </w:r>
      <w:r w:rsidR="00787117" w:rsidRPr="00E74838">
        <w:rPr>
          <w:rFonts w:cs="Times New Roman"/>
          <w:sz w:val="24"/>
          <w:szCs w:val="24"/>
        </w:rPr>
        <w:t>itle II</w:t>
      </w:r>
      <w:r w:rsidR="00E86936" w:rsidRPr="00E74838">
        <w:rPr>
          <w:rFonts w:cs="Times New Roman"/>
          <w:sz w:val="24"/>
          <w:szCs w:val="24"/>
        </w:rPr>
        <w:t>-</w:t>
      </w:r>
      <w:r w:rsidR="00787117" w:rsidRPr="00E74838">
        <w:rPr>
          <w:rFonts w:cs="Times New Roman"/>
          <w:sz w:val="24"/>
          <w:szCs w:val="24"/>
        </w:rPr>
        <w:t xml:space="preserve">specific ICR to collect data on reportable individuals in the future.  </w:t>
      </w:r>
      <w:r w:rsidR="00E157D5" w:rsidRPr="00E74838">
        <w:rPr>
          <w:rFonts w:cs="Times New Roman"/>
          <w:sz w:val="24"/>
          <w:szCs w:val="24"/>
        </w:rPr>
        <w:t>The Joint Final Rule clarifies that a determination of whether an individual is a “participant” is based on the services receive</w:t>
      </w:r>
      <w:r w:rsidR="00E86936" w:rsidRPr="00E74838">
        <w:rPr>
          <w:rFonts w:cs="Times New Roman"/>
          <w:sz w:val="24"/>
          <w:szCs w:val="24"/>
        </w:rPr>
        <w:t>d</w:t>
      </w:r>
      <w:r w:rsidR="00E157D5" w:rsidRPr="00E74838">
        <w:rPr>
          <w:rFonts w:cs="Times New Roman"/>
          <w:sz w:val="24"/>
          <w:szCs w:val="24"/>
        </w:rPr>
        <w:t>, not the information the individual provides.</w:t>
      </w:r>
      <w:r w:rsidR="00F1351E" w:rsidRPr="00E74838">
        <w:rPr>
          <w:rFonts w:cs="Times New Roman"/>
          <w:sz w:val="24"/>
          <w:szCs w:val="24"/>
        </w:rPr>
        <w:t xml:space="preserve"> The Departments will provide more guidance on when an individual receives services that would </w:t>
      </w:r>
      <w:r w:rsidR="000534ED" w:rsidRPr="00E74838">
        <w:rPr>
          <w:rFonts w:cs="Times New Roman"/>
          <w:sz w:val="24"/>
          <w:szCs w:val="24"/>
        </w:rPr>
        <w:t>constitute services other than self-services and information-only services, thereby satisfying the definition of “</w:t>
      </w:r>
      <w:r w:rsidR="00F1351E" w:rsidRPr="00E74838">
        <w:rPr>
          <w:rFonts w:cs="Times New Roman"/>
          <w:sz w:val="24"/>
          <w:szCs w:val="24"/>
        </w:rPr>
        <w:t>participant.</w:t>
      </w:r>
      <w:r w:rsidR="000534ED" w:rsidRPr="00E74838">
        <w:rPr>
          <w:rFonts w:cs="Times New Roman"/>
          <w:sz w:val="24"/>
          <w:szCs w:val="24"/>
        </w:rPr>
        <w:t>”</w:t>
      </w:r>
      <w:r w:rsidR="00F1351E" w:rsidRPr="00E74838">
        <w:rPr>
          <w:rFonts w:cs="Times New Roman"/>
          <w:sz w:val="24"/>
          <w:szCs w:val="24"/>
        </w:rPr>
        <w:t xml:space="preserve"> </w:t>
      </w:r>
    </w:p>
    <w:p w14:paraId="458683C3" w14:textId="77777777" w:rsidR="00F14DBF" w:rsidRPr="00E74838" w:rsidRDefault="00F14DBF" w:rsidP="0001000B">
      <w:pPr>
        <w:autoSpaceDE w:val="0"/>
        <w:autoSpaceDN w:val="0"/>
        <w:adjustRightInd w:val="0"/>
        <w:spacing w:after="0" w:line="240" w:lineRule="auto"/>
        <w:rPr>
          <w:rFonts w:eastAsia="Arial" w:cs="Times New Roman"/>
          <w:sz w:val="24"/>
          <w:szCs w:val="24"/>
        </w:rPr>
      </w:pPr>
    </w:p>
    <w:p w14:paraId="7621B831" w14:textId="185DA916" w:rsidR="002A30D5" w:rsidRPr="00E74838" w:rsidRDefault="004125A6" w:rsidP="0001000B">
      <w:pPr>
        <w:spacing w:after="0" w:line="240" w:lineRule="auto"/>
        <w:rPr>
          <w:rFonts w:eastAsia="Times New Roman" w:cs="Times New Roman"/>
          <w:sz w:val="24"/>
          <w:szCs w:val="24"/>
        </w:rPr>
      </w:pPr>
      <w:r w:rsidRPr="00E74838">
        <w:rPr>
          <w:rFonts w:cs="Times New Roman"/>
          <w:sz w:val="24"/>
          <w:szCs w:val="24"/>
        </w:rPr>
        <w:t xml:space="preserve">The decision to </w:t>
      </w:r>
      <w:r w:rsidR="00FB49CA" w:rsidRPr="00E74838">
        <w:rPr>
          <w:rFonts w:cs="Times New Roman"/>
          <w:sz w:val="24"/>
          <w:szCs w:val="24"/>
        </w:rPr>
        <w:t>utilize</w:t>
      </w:r>
      <w:r w:rsidRPr="00E74838">
        <w:rPr>
          <w:rFonts w:cs="Times New Roman"/>
          <w:sz w:val="24"/>
          <w:szCs w:val="24"/>
        </w:rPr>
        <w:t xml:space="preserve"> duplicated counts in AEFLA was made to support common definitions across all core programs.  The </w:t>
      </w:r>
      <w:r w:rsidR="00635273" w:rsidRPr="00E74838">
        <w:rPr>
          <w:rFonts w:cs="Times New Roman"/>
          <w:sz w:val="24"/>
          <w:szCs w:val="24"/>
        </w:rPr>
        <w:t>t</w:t>
      </w:r>
      <w:r w:rsidRPr="00E74838">
        <w:rPr>
          <w:rFonts w:cs="Times New Roman"/>
          <w:sz w:val="24"/>
          <w:szCs w:val="24"/>
        </w:rPr>
        <w:t>itle II</w:t>
      </w:r>
      <w:r w:rsidR="009D3596" w:rsidRPr="00E74838">
        <w:rPr>
          <w:rFonts w:cs="Times New Roman"/>
          <w:sz w:val="24"/>
          <w:szCs w:val="24"/>
        </w:rPr>
        <w:t>-</w:t>
      </w:r>
      <w:r w:rsidRPr="00E74838">
        <w:rPr>
          <w:rFonts w:cs="Times New Roman"/>
          <w:sz w:val="24"/>
          <w:szCs w:val="24"/>
        </w:rPr>
        <w:t>specific ICR is reformatted to allow</w:t>
      </w:r>
      <w:r w:rsidR="009D3596" w:rsidRPr="00E74838">
        <w:rPr>
          <w:rFonts w:cs="Times New Roman"/>
          <w:sz w:val="24"/>
          <w:szCs w:val="24"/>
        </w:rPr>
        <w:t xml:space="preserve"> more than one</w:t>
      </w:r>
      <w:r w:rsidRPr="00E74838">
        <w:rPr>
          <w:rFonts w:cs="Times New Roman"/>
          <w:sz w:val="24"/>
          <w:szCs w:val="24"/>
        </w:rPr>
        <w:t xml:space="preserve"> </w:t>
      </w:r>
      <w:r w:rsidR="009D3596" w:rsidRPr="00E74838">
        <w:rPr>
          <w:rFonts w:cs="Times New Roman"/>
          <w:sz w:val="24"/>
          <w:szCs w:val="24"/>
        </w:rPr>
        <w:t>program entry and exit in a program year by a participant (</w:t>
      </w:r>
      <w:r w:rsidR="003D02D9">
        <w:rPr>
          <w:rFonts w:cs="Times New Roman"/>
          <w:sz w:val="24"/>
          <w:szCs w:val="24"/>
        </w:rPr>
        <w:t>each of these periods from entry to exit is referred to as a</w:t>
      </w:r>
      <w:r w:rsidR="009D3596" w:rsidRPr="00E74838">
        <w:rPr>
          <w:rFonts w:cs="Times New Roman"/>
          <w:sz w:val="24"/>
          <w:szCs w:val="24"/>
        </w:rPr>
        <w:t xml:space="preserve"> “</w:t>
      </w:r>
      <w:r w:rsidRPr="00E74838">
        <w:rPr>
          <w:rFonts w:cs="Times New Roman"/>
          <w:sz w:val="24"/>
          <w:szCs w:val="24"/>
        </w:rPr>
        <w:t>period of participation</w:t>
      </w:r>
      <w:r w:rsidR="009D3596" w:rsidRPr="00E74838">
        <w:rPr>
          <w:rFonts w:cs="Times New Roman"/>
          <w:sz w:val="24"/>
          <w:szCs w:val="24"/>
        </w:rPr>
        <w:t>”)</w:t>
      </w:r>
      <w:r w:rsidRPr="00E74838">
        <w:rPr>
          <w:rFonts w:cs="Times New Roman"/>
          <w:sz w:val="24"/>
          <w:szCs w:val="24"/>
        </w:rPr>
        <w:t xml:space="preserve"> to be recorded in a manner that is as undisruptive as possible to the AEFLA program.</w:t>
      </w:r>
      <w:r w:rsidR="004A00B9" w:rsidRPr="00E74838">
        <w:rPr>
          <w:rFonts w:cs="Times New Roman"/>
          <w:sz w:val="24"/>
          <w:szCs w:val="24"/>
        </w:rPr>
        <w:t xml:space="preserve">  Core indicators will be </w:t>
      </w:r>
      <w:r w:rsidR="003D02D9">
        <w:rPr>
          <w:rFonts w:cs="Times New Roman"/>
          <w:sz w:val="24"/>
          <w:szCs w:val="24"/>
        </w:rPr>
        <w:t xml:space="preserve">calculated </w:t>
      </w:r>
      <w:r w:rsidR="004A00B9" w:rsidRPr="00E74838">
        <w:rPr>
          <w:rFonts w:cs="Times New Roman"/>
          <w:sz w:val="24"/>
          <w:szCs w:val="24"/>
        </w:rPr>
        <w:t>based o</w:t>
      </w:r>
      <w:r w:rsidR="00693590" w:rsidRPr="00E74838">
        <w:rPr>
          <w:rFonts w:cs="Times New Roman"/>
          <w:sz w:val="24"/>
          <w:szCs w:val="24"/>
        </w:rPr>
        <w:t>n</w:t>
      </w:r>
      <w:r w:rsidR="004A00B9" w:rsidRPr="00E74838">
        <w:rPr>
          <w:rFonts w:cs="Times New Roman"/>
          <w:sz w:val="24"/>
          <w:szCs w:val="24"/>
        </w:rPr>
        <w:t xml:space="preserve"> each </w:t>
      </w:r>
      <w:r w:rsidR="003D02D9">
        <w:rPr>
          <w:rFonts w:cs="Times New Roman"/>
          <w:sz w:val="24"/>
          <w:szCs w:val="24"/>
        </w:rPr>
        <w:t>period of participation</w:t>
      </w:r>
      <w:r w:rsidR="004A00B9" w:rsidRPr="00E74838">
        <w:rPr>
          <w:rFonts w:cs="Times New Roman"/>
          <w:sz w:val="24"/>
          <w:szCs w:val="24"/>
        </w:rPr>
        <w:t xml:space="preserve">, </w:t>
      </w:r>
      <w:r w:rsidR="00787117" w:rsidRPr="00E74838">
        <w:rPr>
          <w:rFonts w:cs="Times New Roman"/>
          <w:sz w:val="24"/>
          <w:szCs w:val="24"/>
        </w:rPr>
        <w:t xml:space="preserve">and </w:t>
      </w:r>
      <w:r w:rsidR="00136760">
        <w:rPr>
          <w:rFonts w:cs="Times New Roman"/>
          <w:sz w:val="24"/>
          <w:szCs w:val="24"/>
        </w:rPr>
        <w:t>will</w:t>
      </w:r>
      <w:r w:rsidR="00136760" w:rsidRPr="00E74838">
        <w:rPr>
          <w:rFonts w:cs="Times New Roman"/>
          <w:sz w:val="24"/>
          <w:szCs w:val="24"/>
        </w:rPr>
        <w:t xml:space="preserve"> </w:t>
      </w:r>
      <w:r w:rsidR="004A00B9" w:rsidRPr="00E74838">
        <w:rPr>
          <w:rFonts w:cs="Times New Roman"/>
          <w:sz w:val="24"/>
          <w:szCs w:val="24"/>
        </w:rPr>
        <w:t>includ</w:t>
      </w:r>
      <w:r w:rsidR="00787117" w:rsidRPr="00E74838">
        <w:rPr>
          <w:rFonts w:cs="Times New Roman"/>
          <w:sz w:val="24"/>
          <w:szCs w:val="24"/>
        </w:rPr>
        <w:t>e</w:t>
      </w:r>
      <w:r w:rsidR="004A00B9" w:rsidRPr="00E74838">
        <w:rPr>
          <w:rFonts w:cs="Times New Roman"/>
          <w:sz w:val="24"/>
          <w:szCs w:val="24"/>
        </w:rPr>
        <w:t xml:space="preserve"> </w:t>
      </w:r>
      <w:r w:rsidR="00787117" w:rsidRPr="00E74838">
        <w:rPr>
          <w:rFonts w:cs="Times New Roman"/>
          <w:sz w:val="24"/>
          <w:szCs w:val="24"/>
        </w:rPr>
        <w:t xml:space="preserve">a </w:t>
      </w:r>
      <w:r w:rsidR="004A00B9" w:rsidRPr="00E74838">
        <w:rPr>
          <w:rFonts w:cs="Times New Roman"/>
          <w:sz w:val="24"/>
          <w:szCs w:val="24"/>
        </w:rPr>
        <w:t>participant</w:t>
      </w:r>
      <w:r w:rsidR="00693590" w:rsidRPr="00E74838">
        <w:rPr>
          <w:rFonts w:cs="Times New Roman"/>
          <w:sz w:val="24"/>
          <w:szCs w:val="24"/>
        </w:rPr>
        <w:t xml:space="preserve"> who</w:t>
      </w:r>
      <w:r w:rsidR="004A00B9" w:rsidRPr="00E74838">
        <w:rPr>
          <w:rFonts w:cs="Times New Roman"/>
          <w:sz w:val="24"/>
          <w:szCs w:val="24"/>
        </w:rPr>
        <w:t xml:space="preserve"> </w:t>
      </w:r>
      <w:r w:rsidR="00136760">
        <w:rPr>
          <w:rFonts w:cs="Times New Roman"/>
          <w:sz w:val="24"/>
          <w:szCs w:val="24"/>
        </w:rPr>
        <w:t xml:space="preserve">may have </w:t>
      </w:r>
      <w:r w:rsidR="004A00B9" w:rsidRPr="00E74838">
        <w:rPr>
          <w:rFonts w:cs="Times New Roman"/>
          <w:sz w:val="24"/>
          <w:szCs w:val="24"/>
        </w:rPr>
        <w:t>multiple exit dates within a program year</w:t>
      </w:r>
      <w:r w:rsidR="00787117" w:rsidRPr="00E74838">
        <w:rPr>
          <w:rFonts w:cs="Times New Roman"/>
          <w:sz w:val="24"/>
          <w:szCs w:val="24"/>
        </w:rPr>
        <w:t xml:space="preserve"> for indicators that are exit based</w:t>
      </w:r>
      <w:r w:rsidR="00136760">
        <w:rPr>
          <w:rFonts w:cs="Times New Roman"/>
          <w:sz w:val="24"/>
          <w:szCs w:val="24"/>
        </w:rPr>
        <w:t>.  A</w:t>
      </w:r>
      <w:r w:rsidR="003D02D9">
        <w:rPr>
          <w:rFonts w:cs="Times New Roman"/>
          <w:sz w:val="24"/>
          <w:szCs w:val="24"/>
        </w:rPr>
        <w:t xml:space="preserve"> participant who </w:t>
      </w:r>
      <w:r w:rsidR="00DA1FED">
        <w:rPr>
          <w:rFonts w:cs="Times New Roman"/>
          <w:sz w:val="24"/>
          <w:szCs w:val="24"/>
        </w:rPr>
        <w:t xml:space="preserve">may </w:t>
      </w:r>
      <w:r w:rsidR="003D02D9">
        <w:rPr>
          <w:rFonts w:cs="Times New Roman"/>
          <w:sz w:val="24"/>
          <w:szCs w:val="24"/>
        </w:rPr>
        <w:t>exit and reenter in the same program year will be counted multiple times in the measurable skill gains indicator.</w:t>
      </w:r>
      <w:r w:rsidR="004A00B9" w:rsidRPr="00E74838">
        <w:rPr>
          <w:rFonts w:cs="Times New Roman"/>
          <w:sz w:val="24"/>
          <w:szCs w:val="24"/>
        </w:rPr>
        <w:t xml:space="preserve">  </w:t>
      </w:r>
    </w:p>
    <w:p w14:paraId="7BD6AE62" w14:textId="77777777" w:rsidR="003D02D9" w:rsidRPr="00E74838" w:rsidRDefault="003D02D9" w:rsidP="0001000B">
      <w:pPr>
        <w:spacing w:after="0" w:line="240" w:lineRule="auto"/>
        <w:rPr>
          <w:rFonts w:cs="Times New Roman"/>
          <w:sz w:val="24"/>
          <w:szCs w:val="24"/>
        </w:rPr>
      </w:pPr>
    </w:p>
    <w:p w14:paraId="19BB48F0" w14:textId="268BCBC9" w:rsidR="00C27EA5" w:rsidRPr="00E74838" w:rsidRDefault="00C27EA5" w:rsidP="0001000B">
      <w:pPr>
        <w:autoSpaceDE w:val="0"/>
        <w:autoSpaceDN w:val="0"/>
        <w:adjustRightInd w:val="0"/>
        <w:spacing w:after="0" w:line="240" w:lineRule="auto"/>
        <w:rPr>
          <w:rFonts w:cs="Times New Roman"/>
          <w:b/>
          <w:sz w:val="24"/>
          <w:szCs w:val="24"/>
        </w:rPr>
      </w:pPr>
      <w:r w:rsidRPr="00E74838">
        <w:rPr>
          <w:rFonts w:eastAsia="Times New Roman" w:cs="Times New Roman"/>
          <w:sz w:val="24"/>
          <w:szCs w:val="24"/>
        </w:rPr>
        <w:t>No change has been made in response to th</w:t>
      </w:r>
      <w:r w:rsidR="00F14DBF" w:rsidRPr="00E74838">
        <w:rPr>
          <w:rFonts w:eastAsia="Times New Roman" w:cs="Times New Roman"/>
          <w:sz w:val="24"/>
          <w:szCs w:val="24"/>
        </w:rPr>
        <w:t xml:space="preserve">ese </w:t>
      </w:r>
      <w:r w:rsidRPr="00E74838">
        <w:rPr>
          <w:rFonts w:eastAsia="Times New Roman" w:cs="Times New Roman"/>
          <w:sz w:val="24"/>
          <w:szCs w:val="24"/>
        </w:rPr>
        <w:t>comment</w:t>
      </w:r>
      <w:r w:rsidR="00F14DBF" w:rsidRPr="00E74838">
        <w:rPr>
          <w:rFonts w:eastAsia="Times New Roman" w:cs="Times New Roman"/>
          <w:sz w:val="24"/>
          <w:szCs w:val="24"/>
        </w:rPr>
        <w:t>s</w:t>
      </w:r>
      <w:r w:rsidRPr="00E74838">
        <w:rPr>
          <w:rFonts w:eastAsia="Times New Roman" w:cs="Times New Roman"/>
          <w:sz w:val="24"/>
          <w:szCs w:val="24"/>
        </w:rPr>
        <w:t xml:space="preserve">. </w:t>
      </w:r>
    </w:p>
    <w:p w14:paraId="2348B3A0" w14:textId="77777777" w:rsidR="005509F0" w:rsidRDefault="005509F0" w:rsidP="0001000B">
      <w:pPr>
        <w:spacing w:after="0" w:line="240" w:lineRule="auto"/>
        <w:rPr>
          <w:rFonts w:eastAsia="Arial" w:cs="Times New Roman"/>
          <w:b/>
          <w:sz w:val="24"/>
          <w:szCs w:val="24"/>
          <w:u w:val="single"/>
        </w:rPr>
      </w:pPr>
    </w:p>
    <w:p w14:paraId="26EFFEA9" w14:textId="1899E0F9" w:rsidR="0075307D" w:rsidRPr="00E74838" w:rsidRDefault="007049F6" w:rsidP="0001000B">
      <w:pPr>
        <w:spacing w:after="0" w:line="240" w:lineRule="auto"/>
        <w:rPr>
          <w:rFonts w:eastAsia="Arial" w:cs="Times New Roman"/>
          <w:sz w:val="24"/>
          <w:szCs w:val="24"/>
        </w:rPr>
      </w:pPr>
      <w:r w:rsidRPr="00E74838">
        <w:rPr>
          <w:rFonts w:eastAsia="Arial" w:cs="Times New Roman"/>
          <w:b/>
          <w:sz w:val="24"/>
          <w:szCs w:val="24"/>
          <w:u w:val="single"/>
        </w:rPr>
        <w:t>Common Exit</w:t>
      </w:r>
      <w:r w:rsidRPr="00E74838">
        <w:rPr>
          <w:rFonts w:eastAsia="Arial" w:cs="Times New Roman"/>
          <w:b/>
          <w:sz w:val="24"/>
          <w:szCs w:val="24"/>
        </w:rPr>
        <w:t>:</w:t>
      </w:r>
    </w:p>
    <w:p w14:paraId="07F4289C" w14:textId="7C36A2B5" w:rsidR="003F293A" w:rsidRPr="00E74838" w:rsidRDefault="003F293A" w:rsidP="0001000B">
      <w:pPr>
        <w:spacing w:after="0" w:line="240" w:lineRule="auto"/>
        <w:rPr>
          <w:rFonts w:eastAsia="Arial" w:cs="Times New Roman"/>
          <w:sz w:val="24"/>
          <w:szCs w:val="24"/>
        </w:rPr>
      </w:pPr>
    </w:p>
    <w:p w14:paraId="31AD82F9" w14:textId="50172039" w:rsidR="003E2D72" w:rsidRPr="00E74838" w:rsidRDefault="007049F6" w:rsidP="00DF05FD">
      <w:pPr>
        <w:spacing w:after="0" w:line="240" w:lineRule="auto"/>
        <w:rPr>
          <w:rFonts w:eastAsia="Arial" w:cs="Times New Roman"/>
          <w:sz w:val="24"/>
          <w:szCs w:val="24"/>
        </w:rPr>
      </w:pPr>
      <w:r w:rsidRPr="00E74838">
        <w:rPr>
          <w:rFonts w:eastAsia="Arial" w:cs="Times New Roman"/>
          <w:sz w:val="24"/>
          <w:szCs w:val="24"/>
        </w:rPr>
        <w:t xml:space="preserve">A few commenters requested clarification on “common exit.”  Of these, one commenter expressed strong support for the common exit strategy and encouraged the Departments to allow States the flexibility to implement such a strategy for all core programs, not just the DOL-administered core programs authorized under titles </w:t>
      </w:r>
      <w:proofErr w:type="gramStart"/>
      <w:r w:rsidRPr="00E74838">
        <w:rPr>
          <w:rFonts w:eastAsia="Arial" w:cs="Times New Roman"/>
          <w:sz w:val="24"/>
          <w:szCs w:val="24"/>
        </w:rPr>
        <w:t>I</w:t>
      </w:r>
      <w:proofErr w:type="gramEnd"/>
      <w:r w:rsidRPr="00E74838">
        <w:rPr>
          <w:rFonts w:eastAsia="Arial" w:cs="Times New Roman"/>
          <w:sz w:val="24"/>
          <w:szCs w:val="24"/>
        </w:rPr>
        <w:t xml:space="preserve"> and III</w:t>
      </w:r>
      <w:r w:rsidR="006368F4" w:rsidRPr="00E74838">
        <w:rPr>
          <w:rFonts w:eastAsia="Arial" w:cs="Times New Roman"/>
          <w:sz w:val="24"/>
          <w:szCs w:val="24"/>
        </w:rPr>
        <w:t xml:space="preserve"> of WIOA</w:t>
      </w:r>
      <w:r w:rsidRPr="00E74838">
        <w:rPr>
          <w:rFonts w:eastAsia="Arial" w:cs="Times New Roman"/>
          <w:sz w:val="24"/>
          <w:szCs w:val="24"/>
        </w:rPr>
        <w:t>.</w:t>
      </w:r>
      <w:r w:rsidR="006368F4" w:rsidRPr="00E74838">
        <w:rPr>
          <w:rFonts w:eastAsia="Arial" w:cs="Times New Roman"/>
          <w:sz w:val="24"/>
          <w:szCs w:val="24"/>
        </w:rPr>
        <w:t xml:space="preserve">  The commenter asserted that allowing such strategy for all core programs would ensure data comparability and strengthen the vision of WIOA for shared accountability and alignment of services and data.</w:t>
      </w:r>
      <w:r w:rsidR="001C02E0" w:rsidRPr="00E74838">
        <w:rPr>
          <w:rFonts w:eastAsia="Arial" w:cs="Times New Roman"/>
          <w:sz w:val="24"/>
          <w:szCs w:val="24"/>
        </w:rPr>
        <w:t xml:space="preserve">  This commenter further expressed strong support for the Departments to consider permitting States to implement a process for integrated “periods of participation” (i.e., when a participant </w:t>
      </w:r>
      <w:r w:rsidR="003753A9" w:rsidRPr="00E74838">
        <w:rPr>
          <w:rFonts w:eastAsia="Arial" w:cs="Times New Roman"/>
          <w:sz w:val="24"/>
          <w:szCs w:val="24"/>
        </w:rPr>
        <w:t xml:space="preserve">enters and </w:t>
      </w:r>
      <w:r w:rsidR="001C02E0" w:rsidRPr="00E74838">
        <w:rPr>
          <w:rFonts w:eastAsia="Arial" w:cs="Times New Roman"/>
          <w:sz w:val="24"/>
          <w:szCs w:val="24"/>
        </w:rPr>
        <w:t xml:space="preserve">exits a program more than once in a program year)  with common exit, thereby ensuring shared accountability across all services and reducing duplication of data.  </w:t>
      </w:r>
    </w:p>
    <w:p w14:paraId="13BBE557" w14:textId="648482B5" w:rsidR="006B11CE" w:rsidRPr="00E74838" w:rsidRDefault="006B11CE" w:rsidP="0001000B">
      <w:pPr>
        <w:spacing w:after="0" w:line="240" w:lineRule="auto"/>
        <w:rPr>
          <w:rFonts w:cs="Times New Roman"/>
          <w:color w:val="000000" w:themeColor="text1"/>
          <w:sz w:val="24"/>
          <w:szCs w:val="24"/>
        </w:rPr>
      </w:pPr>
      <w:r w:rsidRPr="00E74838">
        <w:rPr>
          <w:rFonts w:cs="Times New Roman"/>
          <w:color w:val="000000" w:themeColor="text1"/>
          <w:sz w:val="24"/>
          <w:szCs w:val="24"/>
        </w:rPr>
        <w:lastRenderedPageBreak/>
        <w:t>Another commenter requested that the Departments issue more guidance and technical assistance in order to explain how “exit” should be used for those programs operating under a common exit policy versus those programs not included under a common exit policy.</w:t>
      </w:r>
      <w:r w:rsidRPr="00E74838">
        <w:rPr>
          <w:rFonts w:cs="Times New Roman"/>
          <w:color w:val="FF0000"/>
          <w:sz w:val="24"/>
          <w:szCs w:val="24"/>
        </w:rPr>
        <w:t xml:space="preserve"> </w:t>
      </w:r>
      <w:r w:rsidR="00860E7F" w:rsidRPr="00E74838">
        <w:rPr>
          <w:rFonts w:cs="Times New Roman"/>
          <w:color w:val="FF0000"/>
          <w:sz w:val="24"/>
          <w:szCs w:val="24"/>
        </w:rPr>
        <w:t xml:space="preserve"> </w:t>
      </w:r>
      <w:r w:rsidRPr="00E74838">
        <w:rPr>
          <w:rFonts w:cs="Times New Roman"/>
          <w:sz w:val="24"/>
          <w:szCs w:val="24"/>
        </w:rPr>
        <w:t>The commenter suggested that the Departments should</w:t>
      </w:r>
      <w:r w:rsidRPr="00E74838">
        <w:rPr>
          <w:rFonts w:cs="Times New Roman"/>
          <w:color w:val="FF0000"/>
          <w:sz w:val="24"/>
          <w:szCs w:val="24"/>
        </w:rPr>
        <w:t xml:space="preserve"> </w:t>
      </w:r>
      <w:r w:rsidRPr="00E74838">
        <w:rPr>
          <w:rFonts w:cs="Times New Roman"/>
          <w:color w:val="000000" w:themeColor="text1"/>
          <w:sz w:val="24"/>
          <w:szCs w:val="24"/>
        </w:rPr>
        <w:t>consider eliminating the exit box (quarter) and go to an all-outcome-related performance model that records all outcomes across all organizational agencies.</w:t>
      </w:r>
    </w:p>
    <w:p w14:paraId="61043ABD" w14:textId="77777777" w:rsidR="006B11CE" w:rsidRPr="00E74838" w:rsidRDefault="006B11CE" w:rsidP="0001000B">
      <w:pPr>
        <w:spacing w:after="0" w:line="240" w:lineRule="auto"/>
        <w:rPr>
          <w:rFonts w:cs="Times New Roman"/>
          <w:sz w:val="24"/>
          <w:szCs w:val="24"/>
        </w:rPr>
      </w:pPr>
    </w:p>
    <w:p w14:paraId="0827AE5A" w14:textId="322FF5DA" w:rsidR="00851673" w:rsidRPr="00E74838" w:rsidRDefault="006368F4" w:rsidP="0001000B">
      <w:pPr>
        <w:spacing w:after="0" w:line="240" w:lineRule="auto"/>
        <w:rPr>
          <w:rFonts w:eastAsia="Arial"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The Departments agree with the commenter that WIOA envisions shared accountability and alignment of services and data.  To that end, and to ensure comparability of data, all programs reporting under section 116, namely the six core programs plus other DOL-administered programs authorized under WIOA, will be using common definitions of “participant” and “exit.”  For purposes of the Final Joint Performance ICR, the Departments have clarified that a participant who </w:t>
      </w:r>
      <w:r w:rsidR="003753A9" w:rsidRPr="00E74838">
        <w:rPr>
          <w:rFonts w:eastAsia="Arial" w:cs="Times New Roman"/>
          <w:sz w:val="24"/>
          <w:szCs w:val="24"/>
        </w:rPr>
        <w:t xml:space="preserve">enters and </w:t>
      </w:r>
      <w:r w:rsidRPr="00E74838">
        <w:rPr>
          <w:rFonts w:eastAsia="Arial" w:cs="Times New Roman"/>
          <w:sz w:val="24"/>
          <w:szCs w:val="24"/>
        </w:rPr>
        <w:t>exits a core program more than once in the same program year will be counted, for performance calculation purposes</w:t>
      </w:r>
      <w:r w:rsidR="00787117" w:rsidRPr="00E74838">
        <w:rPr>
          <w:rFonts w:eastAsia="Arial" w:cs="Times New Roman"/>
          <w:sz w:val="24"/>
          <w:szCs w:val="24"/>
        </w:rPr>
        <w:t xml:space="preserve"> on exit</w:t>
      </w:r>
      <w:r w:rsidR="003753A9" w:rsidRPr="00E74838">
        <w:rPr>
          <w:rFonts w:eastAsia="Arial" w:cs="Times New Roman"/>
          <w:sz w:val="24"/>
          <w:szCs w:val="24"/>
        </w:rPr>
        <w:t>-</w:t>
      </w:r>
      <w:r w:rsidR="00787117" w:rsidRPr="00E74838">
        <w:rPr>
          <w:rFonts w:eastAsia="Arial" w:cs="Times New Roman"/>
          <w:sz w:val="24"/>
          <w:szCs w:val="24"/>
        </w:rPr>
        <w:t>based indicators</w:t>
      </w:r>
      <w:r w:rsidRPr="00E74838">
        <w:rPr>
          <w:rFonts w:eastAsia="Arial" w:cs="Times New Roman"/>
          <w:sz w:val="24"/>
          <w:szCs w:val="24"/>
        </w:rPr>
        <w:t xml:space="preserve">, each time the participant exits.  We further clarified that the period of time for which the participant receives services prior to each exit is commonly known in some programs as a “period of participation.”  </w:t>
      </w:r>
    </w:p>
    <w:p w14:paraId="4A581C57" w14:textId="77777777" w:rsidR="00C24628" w:rsidRPr="00E74838" w:rsidRDefault="00C24628" w:rsidP="0001000B">
      <w:pPr>
        <w:spacing w:after="0" w:line="240" w:lineRule="auto"/>
        <w:rPr>
          <w:rFonts w:eastAsia="Arial" w:cs="Times New Roman"/>
          <w:sz w:val="24"/>
          <w:szCs w:val="24"/>
        </w:rPr>
      </w:pPr>
    </w:p>
    <w:p w14:paraId="4D991DEC" w14:textId="4551D5FE" w:rsidR="00053406" w:rsidRPr="00E74838" w:rsidRDefault="006368F4" w:rsidP="0001000B">
      <w:pPr>
        <w:spacing w:after="0" w:line="240" w:lineRule="auto"/>
        <w:rPr>
          <w:rFonts w:eastAsia="Arial" w:cs="Times New Roman"/>
          <w:sz w:val="24"/>
          <w:szCs w:val="24"/>
        </w:rPr>
      </w:pPr>
      <w:r w:rsidRPr="00E74838">
        <w:rPr>
          <w:rFonts w:eastAsia="Arial" w:cs="Times New Roman"/>
          <w:sz w:val="24"/>
          <w:szCs w:val="24"/>
        </w:rPr>
        <w:t xml:space="preserve">In the Joint Final Rule and the Final Joint Performance ICR, </w:t>
      </w:r>
      <w:r w:rsidR="00C229E4" w:rsidRPr="00E74838">
        <w:rPr>
          <w:rFonts w:eastAsia="Arial" w:cs="Times New Roman"/>
          <w:sz w:val="24"/>
          <w:szCs w:val="24"/>
        </w:rPr>
        <w:t xml:space="preserve">States will be permitted to implement </w:t>
      </w:r>
      <w:r w:rsidRPr="00E74838">
        <w:rPr>
          <w:rFonts w:eastAsia="Arial" w:cs="Times New Roman"/>
          <w:sz w:val="24"/>
          <w:szCs w:val="24"/>
        </w:rPr>
        <w:t xml:space="preserve">common exit </w:t>
      </w:r>
      <w:r w:rsidR="00C229E4" w:rsidRPr="00E74838">
        <w:rPr>
          <w:rFonts w:eastAsia="Arial" w:cs="Times New Roman"/>
          <w:sz w:val="24"/>
          <w:szCs w:val="24"/>
        </w:rPr>
        <w:t xml:space="preserve">policies </w:t>
      </w:r>
      <w:r w:rsidRPr="00E74838">
        <w:rPr>
          <w:rFonts w:eastAsia="Arial" w:cs="Times New Roman"/>
          <w:sz w:val="24"/>
          <w:szCs w:val="24"/>
        </w:rPr>
        <w:t>for all DOL-administered programs, both the core</w:t>
      </w:r>
      <w:r w:rsidR="0049718E" w:rsidRPr="00E74838">
        <w:rPr>
          <w:rFonts w:eastAsia="Arial" w:cs="Times New Roman"/>
          <w:sz w:val="24"/>
          <w:szCs w:val="24"/>
        </w:rPr>
        <w:t xml:space="preserve"> and </w:t>
      </w:r>
      <w:r w:rsidR="00C229E4" w:rsidRPr="00E74838">
        <w:rPr>
          <w:rFonts w:eastAsia="Arial" w:cs="Times New Roman"/>
          <w:sz w:val="24"/>
          <w:szCs w:val="24"/>
        </w:rPr>
        <w:t xml:space="preserve">required </w:t>
      </w:r>
      <w:r w:rsidR="0049718E" w:rsidRPr="00E74838">
        <w:rPr>
          <w:rFonts w:eastAsia="Arial" w:cs="Times New Roman"/>
          <w:sz w:val="24"/>
          <w:szCs w:val="24"/>
        </w:rPr>
        <w:t>one-stop partner programs authorized under WIOA.</w:t>
      </w:r>
      <w:r w:rsidR="00C229E4" w:rsidRPr="00E74838">
        <w:rPr>
          <w:rFonts w:eastAsia="Arial" w:cs="Times New Roman"/>
          <w:sz w:val="24"/>
          <w:szCs w:val="24"/>
        </w:rPr>
        <w:t xml:space="preserve">  If a State chooses to implement a common exit policy for some or all of the DOL-administered programs, the policy must require that</w:t>
      </w:r>
      <w:r w:rsidR="00851673" w:rsidRPr="00E74838">
        <w:rPr>
          <w:rFonts w:eastAsia="Arial" w:cs="Times New Roman"/>
          <w:sz w:val="24"/>
          <w:szCs w:val="24"/>
        </w:rPr>
        <w:t xml:space="preserve"> the participant is reported as exiting, for performance accountability purposes, only once the individual has exited all programs from which he or she was co-enrolled.  The Departments are allowing States the flexibility to implement common exit policies for DOL-administered programs </w:t>
      </w:r>
      <w:r w:rsidRPr="00E74838">
        <w:rPr>
          <w:rFonts w:eastAsia="Arial" w:cs="Times New Roman"/>
          <w:sz w:val="24"/>
          <w:szCs w:val="24"/>
        </w:rPr>
        <w:t>because some States had implemented common exit for these program</w:t>
      </w:r>
      <w:r w:rsidR="00851673" w:rsidRPr="00E74838">
        <w:rPr>
          <w:rFonts w:eastAsia="Arial" w:cs="Times New Roman"/>
          <w:sz w:val="24"/>
          <w:szCs w:val="24"/>
        </w:rPr>
        <w:t>s</w:t>
      </w:r>
      <w:r w:rsidRPr="00E74838">
        <w:rPr>
          <w:rFonts w:eastAsia="Arial" w:cs="Times New Roman"/>
          <w:sz w:val="24"/>
          <w:szCs w:val="24"/>
        </w:rPr>
        <w:t xml:space="preserve"> under the WIA</w:t>
      </w:r>
      <w:r w:rsidR="00024F96" w:rsidRPr="00E74838">
        <w:rPr>
          <w:rFonts w:eastAsia="Arial" w:cs="Times New Roman"/>
          <w:sz w:val="24"/>
          <w:szCs w:val="24"/>
        </w:rPr>
        <w:t>,</w:t>
      </w:r>
      <w:r w:rsidRPr="00E74838">
        <w:rPr>
          <w:rFonts w:eastAsia="Arial" w:cs="Times New Roman"/>
          <w:sz w:val="24"/>
          <w:szCs w:val="24"/>
        </w:rPr>
        <w:t xml:space="preserve"> and the Departments wanted to encourage continuation of such practice.  As the Departments noted in the comment and analysis summary for the J</w:t>
      </w:r>
      <w:r w:rsidR="00851673" w:rsidRPr="00E74838">
        <w:rPr>
          <w:rFonts w:eastAsia="Arial" w:cs="Times New Roman"/>
          <w:sz w:val="24"/>
          <w:szCs w:val="24"/>
        </w:rPr>
        <w:t xml:space="preserve">oint </w:t>
      </w:r>
      <w:r w:rsidRPr="00E74838">
        <w:rPr>
          <w:rFonts w:eastAsia="Arial" w:cs="Times New Roman"/>
          <w:sz w:val="24"/>
          <w:szCs w:val="24"/>
        </w:rPr>
        <w:t>P</w:t>
      </w:r>
      <w:r w:rsidR="00851673" w:rsidRPr="00E74838">
        <w:rPr>
          <w:rFonts w:eastAsia="Arial" w:cs="Times New Roman"/>
          <w:sz w:val="24"/>
          <w:szCs w:val="24"/>
        </w:rPr>
        <w:t xml:space="preserve">erformance </w:t>
      </w:r>
      <w:r w:rsidRPr="00E74838">
        <w:rPr>
          <w:rFonts w:eastAsia="Arial" w:cs="Times New Roman"/>
          <w:sz w:val="24"/>
          <w:szCs w:val="24"/>
        </w:rPr>
        <w:t>ICR</w:t>
      </w:r>
      <w:r w:rsidR="00851673" w:rsidRPr="00E74838">
        <w:rPr>
          <w:rFonts w:eastAsia="Arial" w:cs="Times New Roman"/>
          <w:sz w:val="24"/>
          <w:szCs w:val="24"/>
        </w:rPr>
        <w:t xml:space="preserve"> 30-day Notice published on April 26, 2016</w:t>
      </w:r>
      <w:r w:rsidRPr="00E74838">
        <w:rPr>
          <w:rFonts w:eastAsia="Arial" w:cs="Times New Roman"/>
          <w:sz w:val="24"/>
          <w:szCs w:val="24"/>
        </w:rPr>
        <w:t>, to require, or even permit, such integration between the DOL-administered and ED-administered core programs is not practical because States typically have not developed data management systems that integrate DOL and ED programs.  Although we understand the commenter’s desire to integrate all core programs through a common exit strategy, we also are mindful of the many, equally strong, recommendations received in response to the NPRM and the proposed J</w:t>
      </w:r>
      <w:r w:rsidR="00851673" w:rsidRPr="00E74838">
        <w:rPr>
          <w:rFonts w:eastAsia="Arial" w:cs="Times New Roman"/>
          <w:sz w:val="24"/>
          <w:szCs w:val="24"/>
        </w:rPr>
        <w:t xml:space="preserve">oint </w:t>
      </w:r>
      <w:r w:rsidRPr="00E74838">
        <w:rPr>
          <w:rFonts w:eastAsia="Arial" w:cs="Times New Roman"/>
          <w:sz w:val="24"/>
          <w:szCs w:val="24"/>
        </w:rPr>
        <w:t>P</w:t>
      </w:r>
      <w:r w:rsidR="00851673" w:rsidRPr="00E74838">
        <w:rPr>
          <w:rFonts w:eastAsia="Arial" w:cs="Times New Roman"/>
          <w:sz w:val="24"/>
          <w:szCs w:val="24"/>
        </w:rPr>
        <w:t xml:space="preserve">erformance </w:t>
      </w:r>
      <w:r w:rsidRPr="00E74838">
        <w:rPr>
          <w:rFonts w:eastAsia="Arial" w:cs="Times New Roman"/>
          <w:sz w:val="24"/>
          <w:szCs w:val="24"/>
        </w:rPr>
        <w:t xml:space="preserve">ICR to not require or permit common exits for all core programs.  The Departments also are mindful that a common exit strategy would be an entirely new and untested concept for the AEFLA and VR programs.  Therefore, although common exits will not be permitted for the AEFLA and VR programs, </w:t>
      </w:r>
      <w:r w:rsidR="00024F96" w:rsidRPr="00E74838">
        <w:rPr>
          <w:rFonts w:eastAsia="Arial" w:cs="Times New Roman"/>
          <w:sz w:val="24"/>
          <w:szCs w:val="24"/>
        </w:rPr>
        <w:t>ED</w:t>
      </w:r>
      <w:r w:rsidRPr="00E74838">
        <w:rPr>
          <w:rFonts w:eastAsia="Arial" w:cs="Times New Roman"/>
          <w:sz w:val="24"/>
          <w:szCs w:val="24"/>
        </w:rPr>
        <w:t xml:space="preserve"> intends to study the feasibility of a common exit strategy for these programs.</w:t>
      </w:r>
      <w:r w:rsidR="00053406" w:rsidRPr="00E74838">
        <w:rPr>
          <w:rFonts w:eastAsia="Arial" w:cs="Times New Roman"/>
          <w:sz w:val="24"/>
          <w:szCs w:val="24"/>
        </w:rPr>
        <w:t xml:space="preserve">  Furthermore, the Departments intend to issue additional guidance regarding co-enrollment and common exits.</w:t>
      </w:r>
      <w:r w:rsidR="00C24628" w:rsidRPr="00E74838">
        <w:rPr>
          <w:rFonts w:eastAsia="Arial" w:cs="Times New Roman"/>
          <w:sz w:val="24"/>
          <w:szCs w:val="24"/>
        </w:rPr>
        <w:t xml:space="preserve">  </w:t>
      </w:r>
      <w:r w:rsidR="009F44AA" w:rsidRPr="00E74838">
        <w:rPr>
          <w:rFonts w:eastAsia="Arial" w:cs="Times New Roman"/>
          <w:sz w:val="24"/>
          <w:szCs w:val="24"/>
        </w:rPr>
        <w:t>In response to these comments, t</w:t>
      </w:r>
      <w:r w:rsidR="00053406" w:rsidRPr="00E74838">
        <w:rPr>
          <w:rFonts w:eastAsia="Arial" w:cs="Times New Roman"/>
          <w:sz w:val="24"/>
          <w:szCs w:val="24"/>
        </w:rPr>
        <w:t>he Departments have revised the Joint Performance ICR to permit States to include other required one-stop partners</w:t>
      </w:r>
      <w:r w:rsidR="00787117" w:rsidRPr="00E74838">
        <w:rPr>
          <w:rFonts w:eastAsia="Arial" w:cs="Times New Roman"/>
          <w:sz w:val="24"/>
          <w:szCs w:val="24"/>
        </w:rPr>
        <w:t xml:space="preserve"> </w:t>
      </w:r>
      <w:r w:rsidR="00053406" w:rsidRPr="00E74838">
        <w:rPr>
          <w:rFonts w:eastAsia="Arial" w:cs="Times New Roman"/>
          <w:sz w:val="24"/>
          <w:szCs w:val="24"/>
        </w:rPr>
        <w:t xml:space="preserve">that are administered by DOL to be included in a State’s common exit policy if a State chooses to implement such a policy.  </w:t>
      </w:r>
    </w:p>
    <w:p w14:paraId="134E133F" w14:textId="77777777" w:rsidR="006368F4" w:rsidRPr="00E74838" w:rsidRDefault="006368F4" w:rsidP="0001000B">
      <w:pPr>
        <w:spacing w:after="0" w:line="240" w:lineRule="auto"/>
        <w:rPr>
          <w:rFonts w:cs="Times New Roman"/>
          <w:color w:val="000000" w:themeColor="text1"/>
          <w:sz w:val="24"/>
          <w:szCs w:val="24"/>
        </w:rPr>
      </w:pPr>
    </w:p>
    <w:p w14:paraId="0EE5D4AB" w14:textId="77777777" w:rsidR="00024F96" w:rsidRPr="00E74838" w:rsidRDefault="007F04BE" w:rsidP="0001000B">
      <w:pPr>
        <w:spacing w:after="0" w:line="240" w:lineRule="auto"/>
        <w:rPr>
          <w:rFonts w:cs="Times New Roman"/>
          <w:b/>
          <w:sz w:val="24"/>
          <w:szCs w:val="24"/>
        </w:rPr>
      </w:pPr>
      <w:r w:rsidRPr="00E74838">
        <w:rPr>
          <w:rFonts w:cs="Times New Roman"/>
          <w:b/>
          <w:sz w:val="24"/>
          <w:szCs w:val="24"/>
          <w:u w:val="single"/>
        </w:rPr>
        <w:lastRenderedPageBreak/>
        <w:t>Co-Enrollment – Unique Identifier</w:t>
      </w:r>
      <w:r w:rsidRPr="00E74838">
        <w:rPr>
          <w:rFonts w:cs="Times New Roman"/>
          <w:b/>
          <w:sz w:val="24"/>
          <w:szCs w:val="24"/>
        </w:rPr>
        <w:t>:</w:t>
      </w:r>
    </w:p>
    <w:p w14:paraId="11189B25" w14:textId="77777777" w:rsidR="003F293A" w:rsidRPr="00E74838" w:rsidRDefault="003F293A" w:rsidP="0001000B">
      <w:pPr>
        <w:spacing w:after="0" w:line="240" w:lineRule="auto"/>
        <w:rPr>
          <w:rFonts w:cs="Times New Roman"/>
          <w:b/>
          <w:sz w:val="24"/>
          <w:szCs w:val="24"/>
        </w:rPr>
      </w:pPr>
    </w:p>
    <w:p w14:paraId="23FB772E" w14:textId="17BCDD3F" w:rsidR="007F04BE" w:rsidRPr="00E74838" w:rsidRDefault="00606A11" w:rsidP="0001000B">
      <w:pPr>
        <w:spacing w:after="0" w:line="240" w:lineRule="auto"/>
        <w:rPr>
          <w:rFonts w:cs="Times New Roman"/>
          <w:b/>
          <w:sz w:val="24"/>
          <w:szCs w:val="24"/>
        </w:rPr>
      </w:pPr>
      <w:r w:rsidRPr="00E74838">
        <w:rPr>
          <w:rFonts w:cs="Times New Roman"/>
          <w:sz w:val="24"/>
          <w:szCs w:val="24"/>
        </w:rPr>
        <w:t xml:space="preserve">One commenter sought clarification regarding co-enrollment of participants with multiple core programs and the programs’ use of a unique identifier for each of those participants.  Page 62 of </w:t>
      </w:r>
      <w:r w:rsidR="007F04BE" w:rsidRPr="00E74838">
        <w:rPr>
          <w:rFonts w:cs="Times New Roman"/>
          <w:sz w:val="24"/>
          <w:szCs w:val="24"/>
        </w:rPr>
        <w:t xml:space="preserve">Appendix </w:t>
      </w:r>
      <w:proofErr w:type="gramStart"/>
      <w:r w:rsidR="007F04BE" w:rsidRPr="00E74838">
        <w:rPr>
          <w:rFonts w:cs="Times New Roman"/>
          <w:sz w:val="24"/>
          <w:szCs w:val="24"/>
        </w:rPr>
        <w:t>A</w:t>
      </w:r>
      <w:proofErr w:type="gramEnd"/>
      <w:r w:rsidRPr="00E74838">
        <w:rPr>
          <w:rFonts w:cs="Times New Roman"/>
          <w:sz w:val="24"/>
          <w:szCs w:val="24"/>
        </w:rPr>
        <w:t xml:space="preserve"> makes clear that </w:t>
      </w:r>
      <w:r w:rsidR="007F04BE" w:rsidRPr="00E74838">
        <w:rPr>
          <w:rFonts w:cs="Times New Roman"/>
          <w:sz w:val="24"/>
          <w:szCs w:val="24"/>
        </w:rPr>
        <w:t xml:space="preserve">co-enrollment data will be aggregated at the State level for </w:t>
      </w:r>
      <w:r w:rsidRPr="00E74838">
        <w:rPr>
          <w:rFonts w:cs="Times New Roman"/>
          <w:sz w:val="24"/>
          <w:szCs w:val="24"/>
        </w:rPr>
        <w:t>the AEFLA program, but will be aggregated at the Federal level for the titles I and III and VR programs</w:t>
      </w:r>
      <w:r w:rsidR="007F04BE" w:rsidRPr="00E74838">
        <w:rPr>
          <w:rFonts w:cs="Times New Roman"/>
          <w:sz w:val="24"/>
          <w:szCs w:val="24"/>
        </w:rPr>
        <w:t xml:space="preserve">. </w:t>
      </w:r>
      <w:r w:rsidRPr="00E74838">
        <w:rPr>
          <w:rFonts w:cs="Times New Roman"/>
          <w:sz w:val="24"/>
          <w:szCs w:val="24"/>
        </w:rPr>
        <w:t>The commenter specifically sought guidance on how this aggregation of data would be possible if all the programs do not use the same unique identifier for each participant who is co-enrolled in multiple programs.</w:t>
      </w:r>
    </w:p>
    <w:p w14:paraId="0117F1E9" w14:textId="77777777" w:rsidR="007F04BE" w:rsidRPr="00E74838" w:rsidRDefault="007F04BE" w:rsidP="0001000B">
      <w:pPr>
        <w:spacing w:after="0" w:line="240" w:lineRule="auto"/>
        <w:rPr>
          <w:rFonts w:cs="Times New Roman"/>
          <w:sz w:val="24"/>
          <w:szCs w:val="24"/>
        </w:rPr>
      </w:pPr>
    </w:p>
    <w:p w14:paraId="366C89A4" w14:textId="0E14D79A" w:rsidR="00C24628" w:rsidRPr="00E74838" w:rsidRDefault="007F04BE"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Pr="00E74838">
        <w:rPr>
          <w:rFonts w:cs="Times New Roman"/>
          <w:sz w:val="24"/>
          <w:szCs w:val="24"/>
        </w:rPr>
        <w:t xml:space="preserve">While not required by statute or regulations, </w:t>
      </w:r>
      <w:r w:rsidR="003E0780" w:rsidRPr="00E74838">
        <w:rPr>
          <w:rFonts w:cs="Times New Roman"/>
          <w:sz w:val="24"/>
          <w:szCs w:val="24"/>
        </w:rPr>
        <w:t>S</w:t>
      </w:r>
      <w:r w:rsidRPr="00E74838">
        <w:rPr>
          <w:rFonts w:cs="Times New Roman"/>
          <w:sz w:val="24"/>
          <w:szCs w:val="24"/>
        </w:rPr>
        <w:t>tates may use the same unique identifier across all core programs</w:t>
      </w:r>
      <w:r w:rsidR="003E0780" w:rsidRPr="00E74838">
        <w:rPr>
          <w:rFonts w:cs="Times New Roman"/>
          <w:sz w:val="24"/>
          <w:szCs w:val="24"/>
        </w:rPr>
        <w:t xml:space="preserve">, so long as all Federal and State laws and regulations governing the confidentiality of personally-identifiable information (PII) are satisfied.  The Departments will address other </w:t>
      </w:r>
      <w:r w:rsidRPr="00E74838">
        <w:rPr>
          <w:rFonts w:cs="Times New Roman"/>
          <w:sz w:val="24"/>
          <w:szCs w:val="24"/>
        </w:rPr>
        <w:t xml:space="preserve">methods </w:t>
      </w:r>
      <w:r w:rsidR="003E0780" w:rsidRPr="00E74838">
        <w:rPr>
          <w:rFonts w:cs="Times New Roman"/>
          <w:sz w:val="24"/>
          <w:szCs w:val="24"/>
        </w:rPr>
        <w:t xml:space="preserve">for </w:t>
      </w:r>
      <w:r w:rsidRPr="00E74838">
        <w:rPr>
          <w:rFonts w:cs="Times New Roman"/>
          <w:sz w:val="24"/>
          <w:szCs w:val="24"/>
        </w:rPr>
        <w:t>determin</w:t>
      </w:r>
      <w:r w:rsidR="003E0780" w:rsidRPr="00E74838">
        <w:rPr>
          <w:rFonts w:cs="Times New Roman"/>
          <w:sz w:val="24"/>
          <w:szCs w:val="24"/>
        </w:rPr>
        <w:t xml:space="preserve">ing and tracking participants who are co-enrolled </w:t>
      </w:r>
      <w:r w:rsidRPr="00E74838">
        <w:rPr>
          <w:rFonts w:cs="Times New Roman"/>
          <w:sz w:val="24"/>
          <w:szCs w:val="24"/>
        </w:rPr>
        <w:t xml:space="preserve">in future joint guidance.  </w:t>
      </w:r>
      <w:r w:rsidRPr="00E74838">
        <w:rPr>
          <w:rFonts w:eastAsia="Times New Roman" w:cs="Times New Roman"/>
          <w:sz w:val="24"/>
          <w:szCs w:val="24"/>
        </w:rPr>
        <w:t>No change has been made in response to this comment.</w:t>
      </w:r>
    </w:p>
    <w:p w14:paraId="660964BB" w14:textId="77777777" w:rsidR="007F04BE" w:rsidRPr="00E74838" w:rsidRDefault="007F04BE" w:rsidP="0001000B">
      <w:pPr>
        <w:spacing w:after="0" w:line="240" w:lineRule="auto"/>
        <w:outlineLvl w:val="0"/>
        <w:rPr>
          <w:rFonts w:cs="Times New Roman"/>
          <w:sz w:val="24"/>
          <w:szCs w:val="24"/>
        </w:rPr>
      </w:pPr>
    </w:p>
    <w:p w14:paraId="0748347C" w14:textId="77777777" w:rsidR="00765DAE" w:rsidRPr="00E74838" w:rsidRDefault="00765DAE" w:rsidP="0001000B">
      <w:pPr>
        <w:spacing w:after="0" w:line="240" w:lineRule="auto"/>
        <w:rPr>
          <w:rFonts w:eastAsia="Times New Roman" w:cs="Times New Roman"/>
          <w:sz w:val="24"/>
          <w:szCs w:val="24"/>
        </w:rPr>
      </w:pPr>
      <w:r w:rsidRPr="00E74838">
        <w:rPr>
          <w:rFonts w:eastAsia="Times New Roman" w:cs="Times New Roman"/>
          <w:b/>
          <w:sz w:val="24"/>
          <w:szCs w:val="24"/>
          <w:u w:val="single"/>
        </w:rPr>
        <w:t>Assurance of Confidentiality</w:t>
      </w:r>
      <w:r w:rsidRPr="00E74838">
        <w:rPr>
          <w:rFonts w:eastAsia="Times New Roman" w:cs="Times New Roman"/>
          <w:b/>
          <w:sz w:val="24"/>
          <w:szCs w:val="24"/>
        </w:rPr>
        <w:t>:</w:t>
      </w:r>
      <w:r w:rsidRPr="00E74838">
        <w:rPr>
          <w:rFonts w:eastAsia="Times New Roman" w:cs="Times New Roman"/>
          <w:sz w:val="24"/>
          <w:szCs w:val="24"/>
        </w:rPr>
        <w:t xml:space="preserve">  </w:t>
      </w:r>
    </w:p>
    <w:p w14:paraId="6EFFEC9B" w14:textId="77777777" w:rsidR="003F293A" w:rsidRPr="00E74838" w:rsidRDefault="003F293A" w:rsidP="0001000B">
      <w:pPr>
        <w:spacing w:after="0" w:line="240" w:lineRule="auto"/>
        <w:rPr>
          <w:rFonts w:cs="Times New Roman"/>
          <w:sz w:val="24"/>
          <w:szCs w:val="24"/>
        </w:rPr>
      </w:pPr>
    </w:p>
    <w:p w14:paraId="78123D87" w14:textId="1896438A" w:rsidR="00765DAE" w:rsidRPr="00E74838" w:rsidRDefault="00765DAE" w:rsidP="0001000B">
      <w:pPr>
        <w:spacing w:after="0" w:line="240" w:lineRule="auto"/>
        <w:rPr>
          <w:rFonts w:cs="Times New Roman"/>
          <w:sz w:val="24"/>
          <w:szCs w:val="24"/>
        </w:rPr>
      </w:pPr>
      <w:r w:rsidRPr="00E74838">
        <w:rPr>
          <w:rFonts w:cs="Times New Roman"/>
          <w:sz w:val="24"/>
          <w:szCs w:val="24"/>
        </w:rPr>
        <w:t>One commenter pointed out a potential error in the Supporting Statement to the Joint Performance ICR in which the Departments state that titles I-III will not collect SSNs.  The commenter believes this statement is inaccurate because there would be no way to tie a participant of more than one core program together for reporting purposes if SSNs are not collected.  The commenter requested clarification.</w:t>
      </w:r>
    </w:p>
    <w:p w14:paraId="6ECF64FE" w14:textId="77777777" w:rsidR="00765DAE" w:rsidRPr="00E74838" w:rsidRDefault="00765DAE" w:rsidP="0001000B">
      <w:pPr>
        <w:spacing w:after="0" w:line="240" w:lineRule="auto"/>
        <w:rPr>
          <w:rFonts w:cs="Times New Roman"/>
          <w:sz w:val="24"/>
          <w:szCs w:val="24"/>
        </w:rPr>
      </w:pPr>
    </w:p>
    <w:p w14:paraId="61C9DEE4" w14:textId="28255026" w:rsidR="00925BA7" w:rsidRPr="00E74838" w:rsidRDefault="00765DAE" w:rsidP="0001000B">
      <w:pPr>
        <w:spacing w:after="0" w:line="240" w:lineRule="auto"/>
        <w:outlineLvl w:val="0"/>
        <w:rPr>
          <w:rFonts w:eastAsia="Times New Roman" w:cs="Times New Roman"/>
          <w:sz w:val="24"/>
          <w:szCs w:val="24"/>
        </w:rPr>
      </w:pPr>
      <w:r w:rsidRPr="00E74838">
        <w:rPr>
          <w:rFonts w:eastAsia="Arial" w:cs="Times New Roman"/>
          <w:b/>
          <w:sz w:val="24"/>
          <w:szCs w:val="24"/>
        </w:rPr>
        <w:t>Agencies’ Response, June 2016:</w:t>
      </w:r>
      <w:r w:rsidRPr="00E74838">
        <w:rPr>
          <w:rFonts w:cs="Times New Roman"/>
          <w:b/>
          <w:sz w:val="24"/>
          <w:szCs w:val="24"/>
        </w:rPr>
        <w:t xml:space="preserve">  </w:t>
      </w:r>
      <w:r w:rsidRPr="00E74838">
        <w:rPr>
          <w:rFonts w:cs="Times New Roman"/>
          <w:sz w:val="24"/>
          <w:szCs w:val="24"/>
        </w:rPr>
        <w:t>States will be expected to collect SSNs in order to conduct wage record matching.  However, there is no expectation for States to submit those SSNs to DOL</w:t>
      </w:r>
      <w:r w:rsidRPr="00E74838">
        <w:rPr>
          <w:rFonts w:eastAsia="Times New Roman" w:cs="Times New Roman"/>
          <w:sz w:val="24"/>
          <w:szCs w:val="24"/>
        </w:rPr>
        <w:t xml:space="preserve">.  OCTAE, which administers the AEFLA program, </w:t>
      </w:r>
      <w:r w:rsidRPr="00E74838">
        <w:rPr>
          <w:rFonts w:cs="Times New Roman"/>
          <w:sz w:val="24"/>
          <w:szCs w:val="24"/>
        </w:rPr>
        <w:t>does not collect</w:t>
      </w:r>
      <w:r w:rsidR="00700D2C" w:rsidRPr="00E74838">
        <w:rPr>
          <w:rFonts w:cs="Times New Roman"/>
          <w:sz w:val="24"/>
          <w:szCs w:val="24"/>
        </w:rPr>
        <w:t>,</w:t>
      </w:r>
      <w:r w:rsidRPr="00E74838">
        <w:rPr>
          <w:rFonts w:cs="Times New Roman"/>
          <w:sz w:val="24"/>
          <w:szCs w:val="24"/>
        </w:rPr>
        <w:t xml:space="preserve"> and </w:t>
      </w:r>
      <w:r w:rsidRPr="00E74838">
        <w:rPr>
          <w:rFonts w:eastAsia="Times New Roman" w:cs="Times New Roman"/>
          <w:sz w:val="24"/>
          <w:szCs w:val="24"/>
        </w:rPr>
        <w:t xml:space="preserve">States do not </w:t>
      </w:r>
      <w:r w:rsidRPr="00E74838">
        <w:rPr>
          <w:rFonts w:cs="Times New Roman"/>
          <w:sz w:val="24"/>
          <w:szCs w:val="24"/>
        </w:rPr>
        <w:t>submit</w:t>
      </w:r>
      <w:r w:rsidR="00700D2C" w:rsidRPr="00E74838">
        <w:rPr>
          <w:rFonts w:cs="Times New Roman"/>
          <w:sz w:val="24"/>
          <w:szCs w:val="24"/>
        </w:rPr>
        <w:t>,</w:t>
      </w:r>
      <w:r w:rsidRPr="00E74838">
        <w:rPr>
          <w:rFonts w:cs="Times New Roman"/>
          <w:sz w:val="24"/>
          <w:szCs w:val="24"/>
        </w:rPr>
        <w:t xml:space="preserve"> individual records</w:t>
      </w:r>
      <w:r w:rsidRPr="00E74838">
        <w:rPr>
          <w:rFonts w:eastAsia="Times New Roman" w:cs="Times New Roman"/>
          <w:sz w:val="24"/>
          <w:szCs w:val="24"/>
        </w:rPr>
        <w:t xml:space="preserve"> for AEFLA participants.  For purposes of the AEFLA program, States maintain individual records that contain PII</w:t>
      </w:r>
      <w:r w:rsidRPr="00E74838">
        <w:rPr>
          <w:rFonts w:cs="Times New Roman"/>
          <w:sz w:val="24"/>
          <w:szCs w:val="24"/>
        </w:rPr>
        <w:t xml:space="preserve">.  </w:t>
      </w:r>
      <w:r w:rsidR="00925BA7" w:rsidRPr="00E74838">
        <w:rPr>
          <w:rFonts w:cs="Times New Roman"/>
          <w:sz w:val="24"/>
          <w:szCs w:val="24"/>
        </w:rPr>
        <w:t>In accordance with section</w:t>
      </w:r>
      <w:r w:rsidR="00077E4C" w:rsidRPr="00E74838">
        <w:rPr>
          <w:rFonts w:cs="Times New Roman"/>
          <w:sz w:val="24"/>
          <w:szCs w:val="24"/>
        </w:rPr>
        <w:t xml:space="preserve"> </w:t>
      </w:r>
      <w:r w:rsidR="00925BA7" w:rsidRPr="00E74838">
        <w:rPr>
          <w:rFonts w:cs="Times New Roman"/>
          <w:sz w:val="24"/>
          <w:szCs w:val="24"/>
        </w:rPr>
        <w:t xml:space="preserve">501(b)(2) of WIOA, RSA has determined that the collection of SSNs is necessary to the proper administration and program management of the VR program, authorized by title I of the Rehabilitation Act of 1973 (Rehabilitation Act), as amended by title IV of WIOA.  </w:t>
      </w:r>
      <w:r w:rsidR="00077E4C" w:rsidRPr="00E74838">
        <w:rPr>
          <w:rFonts w:cs="Times New Roman"/>
          <w:sz w:val="24"/>
          <w:szCs w:val="24"/>
        </w:rPr>
        <w:t>S</w:t>
      </w:r>
      <w:r w:rsidR="00925BA7" w:rsidRPr="00E74838">
        <w:rPr>
          <w:rFonts w:cs="Times New Roman"/>
          <w:sz w:val="24"/>
          <w:szCs w:val="24"/>
        </w:rPr>
        <w:t>ection 131(a</w:t>
      </w:r>
      <w:proofErr w:type="gramStart"/>
      <w:r w:rsidR="00925BA7" w:rsidRPr="00E74838">
        <w:rPr>
          <w:rFonts w:cs="Times New Roman"/>
          <w:sz w:val="24"/>
          <w:szCs w:val="24"/>
        </w:rPr>
        <w:t>)(</w:t>
      </w:r>
      <w:proofErr w:type="gramEnd"/>
      <w:r w:rsidR="00925BA7" w:rsidRPr="00E74838">
        <w:rPr>
          <w:rFonts w:cs="Times New Roman"/>
          <w:sz w:val="24"/>
          <w:szCs w:val="24"/>
        </w:rPr>
        <w:t xml:space="preserve">B)(ii) of the Rehabilitation Act requires the Secretary of Education to enter into a memorandum of understanding for the purposes of exchanging data of mutual importance with the Social Security Administration.  </w:t>
      </w:r>
      <w:r w:rsidR="00925BA7" w:rsidRPr="00E74838">
        <w:rPr>
          <w:rFonts w:eastAsia="Times New Roman" w:cs="Times New Roman"/>
          <w:sz w:val="24"/>
          <w:szCs w:val="24"/>
        </w:rPr>
        <w:t>No change has been made in response to this comment.</w:t>
      </w:r>
    </w:p>
    <w:p w14:paraId="39485D05" w14:textId="77777777" w:rsidR="00883F16" w:rsidRPr="00E74838" w:rsidRDefault="00883F16" w:rsidP="0001000B">
      <w:pPr>
        <w:spacing w:after="0" w:line="240" w:lineRule="auto"/>
        <w:outlineLvl w:val="0"/>
        <w:rPr>
          <w:rFonts w:cs="Times New Roman"/>
          <w:sz w:val="24"/>
          <w:szCs w:val="24"/>
        </w:rPr>
      </w:pPr>
    </w:p>
    <w:p w14:paraId="7F934A9C" w14:textId="10056034" w:rsidR="00053406" w:rsidRPr="00E74838" w:rsidRDefault="00A47BDC" w:rsidP="0001000B">
      <w:pPr>
        <w:spacing w:after="0" w:line="240" w:lineRule="auto"/>
        <w:outlineLvl w:val="0"/>
        <w:rPr>
          <w:rFonts w:cs="Times New Roman"/>
          <w:b/>
          <w:sz w:val="24"/>
          <w:szCs w:val="24"/>
        </w:rPr>
      </w:pPr>
      <w:r w:rsidRPr="00E74838">
        <w:rPr>
          <w:rFonts w:cs="Times New Roman"/>
          <w:b/>
          <w:sz w:val="24"/>
          <w:szCs w:val="24"/>
          <w:u w:val="single"/>
        </w:rPr>
        <w:t>Exclusions from Performance Accountability</w:t>
      </w:r>
      <w:r w:rsidR="0048379F" w:rsidRPr="00E74838">
        <w:rPr>
          <w:rFonts w:cs="Times New Roman"/>
          <w:b/>
          <w:sz w:val="24"/>
          <w:szCs w:val="24"/>
          <w:u w:val="single"/>
        </w:rPr>
        <w:t xml:space="preserve"> – Participants without </w:t>
      </w:r>
      <w:r w:rsidR="008D30B3" w:rsidRPr="00E74838">
        <w:rPr>
          <w:rFonts w:cs="Times New Roman"/>
          <w:b/>
          <w:sz w:val="24"/>
          <w:szCs w:val="24"/>
          <w:u w:val="single"/>
        </w:rPr>
        <w:t xml:space="preserve">Valid </w:t>
      </w:r>
      <w:r w:rsidR="0048379F" w:rsidRPr="00E74838">
        <w:rPr>
          <w:rFonts w:cs="Times New Roman"/>
          <w:b/>
          <w:sz w:val="24"/>
          <w:szCs w:val="24"/>
          <w:u w:val="single"/>
        </w:rPr>
        <w:t>SSNs</w:t>
      </w:r>
      <w:r w:rsidRPr="00E74838">
        <w:rPr>
          <w:rFonts w:cs="Times New Roman"/>
          <w:b/>
          <w:sz w:val="24"/>
          <w:szCs w:val="24"/>
        </w:rPr>
        <w:t>:</w:t>
      </w:r>
    </w:p>
    <w:p w14:paraId="11549B08" w14:textId="77777777" w:rsidR="003F293A" w:rsidRPr="00E74838" w:rsidRDefault="003F293A" w:rsidP="0001000B">
      <w:pPr>
        <w:spacing w:after="0" w:line="240" w:lineRule="auto"/>
        <w:outlineLvl w:val="0"/>
        <w:rPr>
          <w:rFonts w:cs="Times New Roman"/>
          <w:sz w:val="24"/>
          <w:szCs w:val="24"/>
        </w:rPr>
      </w:pPr>
    </w:p>
    <w:p w14:paraId="704D1BE2" w14:textId="70DB4578" w:rsidR="00E41482" w:rsidRPr="00E74838" w:rsidRDefault="0045301D" w:rsidP="0001000B">
      <w:pPr>
        <w:spacing w:after="0" w:line="240" w:lineRule="auto"/>
        <w:rPr>
          <w:rFonts w:eastAsia="Arial" w:cs="Times New Roman"/>
          <w:sz w:val="24"/>
          <w:szCs w:val="24"/>
        </w:rPr>
      </w:pPr>
      <w:r w:rsidRPr="00E74838">
        <w:rPr>
          <w:rFonts w:cs="Times New Roman"/>
          <w:sz w:val="24"/>
          <w:szCs w:val="24"/>
        </w:rPr>
        <w:t xml:space="preserve">The Departments received several comments regarding whether certain populations or data elements would be “excluded” from the calculations for purposes of the performance accountability system.  In particular, these commenters expressed concerns related to individuals who do not provide valid Social Security Numbers (SSNs), regardless of the reason.  </w:t>
      </w:r>
      <w:r w:rsidRPr="00E74838">
        <w:rPr>
          <w:rFonts w:cs="Times New Roman"/>
          <w:sz w:val="24"/>
          <w:szCs w:val="24"/>
        </w:rPr>
        <w:lastRenderedPageBreak/>
        <w:t xml:space="preserve">One of these commenters </w:t>
      </w:r>
      <w:r w:rsidRPr="00E74838">
        <w:rPr>
          <w:rFonts w:eastAsia="Arial" w:cs="Times New Roman"/>
          <w:sz w:val="24"/>
          <w:szCs w:val="24"/>
        </w:rPr>
        <w:t xml:space="preserve">strongly recommended that the </w:t>
      </w:r>
      <w:r w:rsidR="00006503" w:rsidRPr="00E74838">
        <w:rPr>
          <w:rFonts w:eastAsia="Arial" w:cs="Times New Roman"/>
          <w:sz w:val="24"/>
          <w:szCs w:val="24"/>
        </w:rPr>
        <w:t xml:space="preserve">lack of a valid SSN </w:t>
      </w:r>
      <w:r w:rsidR="00DD0AB8" w:rsidRPr="00E74838">
        <w:rPr>
          <w:rFonts w:eastAsia="Arial" w:cs="Times New Roman"/>
          <w:sz w:val="24"/>
          <w:szCs w:val="24"/>
        </w:rPr>
        <w:t xml:space="preserve">should </w:t>
      </w:r>
      <w:r w:rsidR="00006503" w:rsidRPr="00E74838">
        <w:rPr>
          <w:rFonts w:eastAsia="Arial" w:cs="Times New Roman"/>
          <w:sz w:val="24"/>
          <w:szCs w:val="24"/>
        </w:rPr>
        <w:t>constitute an “</w:t>
      </w:r>
      <w:r w:rsidRPr="00E74838">
        <w:rPr>
          <w:rFonts w:eastAsia="Arial" w:cs="Times New Roman"/>
          <w:sz w:val="24"/>
          <w:szCs w:val="24"/>
        </w:rPr>
        <w:t xml:space="preserve">other reason for exit” in the PIRL and that </w:t>
      </w:r>
      <w:r w:rsidR="000F4543" w:rsidRPr="00E74838">
        <w:rPr>
          <w:rFonts w:eastAsia="Arial" w:cs="Times New Roman"/>
          <w:sz w:val="24"/>
          <w:szCs w:val="24"/>
        </w:rPr>
        <w:t xml:space="preserve">these particular participants should be excluded </w:t>
      </w:r>
      <w:r w:rsidRPr="00E74838">
        <w:rPr>
          <w:rFonts w:eastAsia="Arial" w:cs="Times New Roman"/>
          <w:sz w:val="24"/>
          <w:szCs w:val="24"/>
        </w:rPr>
        <w:t>from performance outcome</w:t>
      </w:r>
      <w:r w:rsidR="00006503" w:rsidRPr="00E74838">
        <w:rPr>
          <w:rFonts w:eastAsia="Arial" w:cs="Times New Roman"/>
          <w:sz w:val="24"/>
          <w:szCs w:val="24"/>
        </w:rPr>
        <w:t xml:space="preserve"> </w:t>
      </w:r>
      <w:r w:rsidR="00435EB5" w:rsidRPr="00E74838">
        <w:rPr>
          <w:rFonts w:eastAsia="Arial" w:cs="Times New Roman"/>
          <w:sz w:val="24"/>
          <w:szCs w:val="24"/>
        </w:rPr>
        <w:t>calculations</w:t>
      </w:r>
      <w:r w:rsidRPr="00E74838">
        <w:rPr>
          <w:rFonts w:eastAsia="Arial" w:cs="Times New Roman"/>
          <w:sz w:val="24"/>
          <w:szCs w:val="24"/>
        </w:rPr>
        <w:t>.</w:t>
      </w:r>
      <w:r w:rsidR="00603924" w:rsidRPr="00E74838">
        <w:rPr>
          <w:rFonts w:eastAsia="Arial" w:cs="Times New Roman"/>
          <w:sz w:val="24"/>
          <w:szCs w:val="24"/>
        </w:rPr>
        <w:t xml:space="preserve">  In the alternative, this commenter said that the Departments should allow States to use a system similar to that used by the AEFLA program.  For purposes of that program, </w:t>
      </w:r>
      <w:r w:rsidR="008F1C64" w:rsidRPr="00E74838">
        <w:rPr>
          <w:rFonts w:eastAsia="Arial" w:cs="Times New Roman"/>
          <w:sz w:val="24"/>
          <w:szCs w:val="24"/>
        </w:rPr>
        <w:t>S</w:t>
      </w:r>
      <w:r w:rsidR="00603924" w:rsidRPr="00E74838">
        <w:rPr>
          <w:rFonts w:eastAsia="Arial" w:cs="Times New Roman"/>
          <w:sz w:val="24"/>
          <w:szCs w:val="24"/>
        </w:rPr>
        <w:t xml:space="preserve">tates use </w:t>
      </w:r>
      <w:r w:rsidR="00435EB5" w:rsidRPr="00E74838">
        <w:rPr>
          <w:rFonts w:eastAsia="Arial" w:cs="Times New Roman"/>
          <w:sz w:val="24"/>
          <w:szCs w:val="24"/>
        </w:rPr>
        <w:t>the N</w:t>
      </w:r>
      <w:r w:rsidR="00603924" w:rsidRPr="00E74838">
        <w:rPr>
          <w:rFonts w:eastAsia="Arial" w:cs="Times New Roman"/>
          <w:sz w:val="24"/>
          <w:szCs w:val="24"/>
        </w:rPr>
        <w:t xml:space="preserve">ational Reporting System </w:t>
      </w:r>
      <w:r w:rsidR="004663D7" w:rsidRPr="00E74838">
        <w:rPr>
          <w:rFonts w:eastAsia="Arial" w:cs="Times New Roman"/>
          <w:sz w:val="24"/>
          <w:szCs w:val="24"/>
        </w:rPr>
        <w:t xml:space="preserve">for Adult Education </w:t>
      </w:r>
      <w:r w:rsidR="00603924" w:rsidRPr="00E74838">
        <w:rPr>
          <w:rFonts w:eastAsia="Arial" w:cs="Times New Roman"/>
          <w:sz w:val="24"/>
          <w:szCs w:val="24"/>
        </w:rPr>
        <w:t xml:space="preserve">(NRS), which takes the performance rate for those participants who are found to have achieved an outcome (e.g., </w:t>
      </w:r>
      <w:r w:rsidR="00DE3D81" w:rsidRPr="00E74838">
        <w:rPr>
          <w:rFonts w:eastAsia="Arial" w:cs="Times New Roman"/>
          <w:sz w:val="24"/>
          <w:szCs w:val="24"/>
        </w:rPr>
        <w:t>employed in the second quarter after exit</w:t>
      </w:r>
      <w:r w:rsidR="00603924" w:rsidRPr="00E74838">
        <w:rPr>
          <w:rFonts w:eastAsia="Arial" w:cs="Times New Roman"/>
          <w:sz w:val="24"/>
          <w:szCs w:val="24"/>
        </w:rPr>
        <w:t xml:space="preserve">) and use it to project the number of participants achieving the outcome out of the universe of participants who are not available for wage record matching because of a lack of a valid SSN. </w:t>
      </w:r>
      <w:r w:rsidR="008F1C64" w:rsidRPr="00E74838">
        <w:rPr>
          <w:rFonts w:eastAsia="Arial" w:cs="Times New Roman"/>
          <w:sz w:val="24"/>
          <w:szCs w:val="24"/>
        </w:rPr>
        <w:t xml:space="preserve"> This commenter explained that the net effect of either approach – exclusion from the calculations or the NRS approach</w:t>
      </w:r>
      <w:r w:rsidR="005A1E5D" w:rsidRPr="00E74838">
        <w:rPr>
          <w:rFonts w:eastAsia="Arial" w:cs="Times New Roman"/>
          <w:sz w:val="24"/>
          <w:szCs w:val="24"/>
        </w:rPr>
        <w:t xml:space="preserve"> – would be the </w:t>
      </w:r>
      <w:r w:rsidR="008F1C64" w:rsidRPr="00E74838">
        <w:rPr>
          <w:rFonts w:eastAsia="Arial" w:cs="Times New Roman"/>
          <w:sz w:val="24"/>
          <w:szCs w:val="24"/>
        </w:rPr>
        <w:t>same</w:t>
      </w:r>
      <w:r w:rsidR="00DE3D81" w:rsidRPr="00E74838">
        <w:rPr>
          <w:rFonts w:eastAsia="Arial" w:cs="Times New Roman"/>
          <w:sz w:val="24"/>
          <w:szCs w:val="24"/>
        </w:rPr>
        <w:t xml:space="preserve">, specifically participant records without valid SSNs would not:  (1) be </w:t>
      </w:r>
      <w:r w:rsidR="008F1C64" w:rsidRPr="00E74838">
        <w:rPr>
          <w:rFonts w:eastAsia="Arial" w:cs="Times New Roman"/>
          <w:sz w:val="24"/>
          <w:szCs w:val="24"/>
        </w:rPr>
        <w:t>treated as failures</w:t>
      </w:r>
      <w:r w:rsidR="00DE3D81" w:rsidRPr="00E74838">
        <w:rPr>
          <w:rFonts w:eastAsia="Arial" w:cs="Times New Roman"/>
          <w:sz w:val="24"/>
          <w:szCs w:val="24"/>
        </w:rPr>
        <w:t xml:space="preserve">; (2) </w:t>
      </w:r>
      <w:r w:rsidR="008F1C64" w:rsidRPr="00E74838">
        <w:rPr>
          <w:rFonts w:eastAsia="Arial" w:cs="Times New Roman"/>
          <w:sz w:val="24"/>
          <w:szCs w:val="24"/>
        </w:rPr>
        <w:t>negatively impact reportable performance</w:t>
      </w:r>
      <w:r w:rsidR="00DE3D81" w:rsidRPr="00E74838">
        <w:rPr>
          <w:rFonts w:eastAsia="Arial" w:cs="Times New Roman"/>
          <w:sz w:val="24"/>
          <w:szCs w:val="24"/>
        </w:rPr>
        <w:t xml:space="preserve">; and (3) </w:t>
      </w:r>
      <w:r w:rsidR="008F1C64" w:rsidRPr="00E74838">
        <w:rPr>
          <w:rFonts w:eastAsia="Arial" w:cs="Times New Roman"/>
          <w:sz w:val="24"/>
          <w:szCs w:val="24"/>
        </w:rPr>
        <w:t xml:space="preserve">put </w:t>
      </w:r>
      <w:r w:rsidR="00DE3D81" w:rsidRPr="00E74838">
        <w:rPr>
          <w:rFonts w:eastAsia="Arial" w:cs="Times New Roman"/>
          <w:sz w:val="24"/>
          <w:szCs w:val="24"/>
        </w:rPr>
        <w:t>S</w:t>
      </w:r>
      <w:r w:rsidR="008F1C64" w:rsidRPr="00E74838">
        <w:rPr>
          <w:rFonts w:eastAsia="Arial" w:cs="Times New Roman"/>
          <w:sz w:val="24"/>
          <w:szCs w:val="24"/>
        </w:rPr>
        <w:t>tates and local Boards at risk of sanction or other corrective action.</w:t>
      </w:r>
    </w:p>
    <w:p w14:paraId="76155846" w14:textId="77777777" w:rsidR="002A6120" w:rsidRPr="00E74838" w:rsidRDefault="002A6120" w:rsidP="0001000B">
      <w:pPr>
        <w:spacing w:after="0" w:line="240" w:lineRule="auto"/>
        <w:rPr>
          <w:rFonts w:eastAsia="Arial" w:cs="Times New Roman"/>
          <w:sz w:val="24"/>
          <w:szCs w:val="24"/>
        </w:rPr>
      </w:pPr>
    </w:p>
    <w:p w14:paraId="1CB807A0" w14:textId="1C3740D7" w:rsidR="001863C8" w:rsidRPr="00E74838" w:rsidRDefault="00E41482" w:rsidP="0001000B">
      <w:pPr>
        <w:spacing w:after="0" w:line="240" w:lineRule="auto"/>
        <w:rPr>
          <w:rFonts w:eastAsia="Arial" w:cs="Times New Roman"/>
          <w:sz w:val="24"/>
          <w:szCs w:val="24"/>
        </w:rPr>
      </w:pPr>
      <w:r w:rsidRPr="00E74838">
        <w:rPr>
          <w:rFonts w:eastAsia="Arial" w:cs="Times New Roman"/>
          <w:sz w:val="24"/>
          <w:szCs w:val="24"/>
        </w:rPr>
        <w:t xml:space="preserve">Multiple commenters expressed concern regarding the increased burden on the States’ staff and resources to conduct the follow-up activities. </w:t>
      </w:r>
      <w:r w:rsidR="00D551C5" w:rsidRPr="00E74838">
        <w:rPr>
          <w:rFonts w:eastAsia="Arial" w:cs="Times New Roman"/>
          <w:sz w:val="24"/>
          <w:szCs w:val="24"/>
        </w:rPr>
        <w:t xml:space="preserve"> </w:t>
      </w:r>
      <w:r w:rsidRPr="00E74838">
        <w:rPr>
          <w:rFonts w:eastAsia="Arial" w:cs="Times New Roman"/>
          <w:sz w:val="24"/>
          <w:szCs w:val="24"/>
        </w:rPr>
        <w:t xml:space="preserve">One of these commenters </w:t>
      </w:r>
      <w:r w:rsidR="00D551C5" w:rsidRPr="00E74838">
        <w:rPr>
          <w:rFonts w:eastAsia="Arial" w:cs="Times New Roman"/>
          <w:sz w:val="24"/>
          <w:szCs w:val="24"/>
        </w:rPr>
        <w:t xml:space="preserve">stated that if the Departments do not adopt one of the alternatives </w:t>
      </w:r>
      <w:r w:rsidRPr="00E74838">
        <w:rPr>
          <w:rFonts w:eastAsia="Arial" w:cs="Times New Roman"/>
          <w:sz w:val="24"/>
          <w:szCs w:val="24"/>
        </w:rPr>
        <w:t>described above</w:t>
      </w:r>
      <w:r w:rsidR="00D551C5" w:rsidRPr="00E74838">
        <w:rPr>
          <w:rFonts w:eastAsia="Arial" w:cs="Times New Roman"/>
          <w:sz w:val="24"/>
          <w:szCs w:val="24"/>
        </w:rPr>
        <w:t>, States will be forced to make a decision between spending money on service delivery and risk sanction and potential loss of funding or spend less on service delivery and more on administration doing follow-up</w:t>
      </w:r>
      <w:r w:rsidR="001863C8" w:rsidRPr="00E74838">
        <w:rPr>
          <w:rFonts w:eastAsia="Arial" w:cs="Times New Roman"/>
          <w:sz w:val="24"/>
          <w:szCs w:val="24"/>
        </w:rPr>
        <w:t xml:space="preserve"> activities</w:t>
      </w:r>
      <w:r w:rsidR="00D551C5" w:rsidRPr="00E74838">
        <w:rPr>
          <w:rFonts w:eastAsia="Arial" w:cs="Times New Roman"/>
          <w:sz w:val="24"/>
          <w:szCs w:val="24"/>
        </w:rPr>
        <w:t>.</w:t>
      </w:r>
      <w:r w:rsidR="001863C8" w:rsidRPr="00E74838">
        <w:rPr>
          <w:rFonts w:eastAsia="Arial" w:cs="Times New Roman"/>
          <w:sz w:val="24"/>
          <w:szCs w:val="24"/>
        </w:rPr>
        <w:t xml:space="preserve">  </w:t>
      </w:r>
      <w:r w:rsidR="007316C9" w:rsidRPr="00E74838">
        <w:rPr>
          <w:rFonts w:eastAsia="Arial" w:cs="Times New Roman"/>
          <w:sz w:val="24"/>
          <w:szCs w:val="24"/>
        </w:rPr>
        <w:t>O</w:t>
      </w:r>
      <w:r w:rsidR="000362A6" w:rsidRPr="00E74838">
        <w:rPr>
          <w:rFonts w:eastAsia="Arial" w:cs="Times New Roman"/>
          <w:sz w:val="24"/>
          <w:szCs w:val="24"/>
        </w:rPr>
        <w:t xml:space="preserve">ne </w:t>
      </w:r>
      <w:r w:rsidR="001863C8" w:rsidRPr="00E74838">
        <w:rPr>
          <w:rFonts w:eastAsia="Arial" w:cs="Times New Roman"/>
          <w:sz w:val="24"/>
          <w:szCs w:val="24"/>
        </w:rPr>
        <w:t xml:space="preserve">commenter encouraged the Departments, </w:t>
      </w:r>
      <w:r w:rsidR="00404BDF" w:rsidRPr="00E74838">
        <w:rPr>
          <w:rFonts w:eastAsia="Arial" w:cs="Times New Roman"/>
          <w:sz w:val="24"/>
          <w:szCs w:val="24"/>
        </w:rPr>
        <w:t>r</w:t>
      </w:r>
      <w:r w:rsidR="001863C8" w:rsidRPr="00E74838">
        <w:rPr>
          <w:rFonts w:eastAsia="Arial" w:cs="Times New Roman"/>
          <w:sz w:val="24"/>
          <w:szCs w:val="24"/>
        </w:rPr>
        <w:t xml:space="preserve">egardless of </w:t>
      </w:r>
      <w:r w:rsidR="00404BDF" w:rsidRPr="00E74838">
        <w:rPr>
          <w:rFonts w:eastAsia="Arial" w:cs="Times New Roman"/>
          <w:sz w:val="24"/>
          <w:szCs w:val="24"/>
        </w:rPr>
        <w:t xml:space="preserve">their </w:t>
      </w:r>
      <w:r w:rsidR="001863C8" w:rsidRPr="00E74838">
        <w:rPr>
          <w:rFonts w:eastAsia="Arial" w:cs="Times New Roman"/>
          <w:sz w:val="24"/>
          <w:szCs w:val="24"/>
        </w:rPr>
        <w:t>decision on the above-described alternatives,</w:t>
      </w:r>
      <w:r w:rsidR="00404BDF" w:rsidRPr="00E74838">
        <w:rPr>
          <w:rFonts w:eastAsia="Arial" w:cs="Times New Roman"/>
          <w:sz w:val="24"/>
          <w:szCs w:val="24"/>
        </w:rPr>
        <w:t xml:space="preserve"> </w:t>
      </w:r>
      <w:r w:rsidR="007316C9" w:rsidRPr="00E74838">
        <w:rPr>
          <w:rFonts w:eastAsia="Arial" w:cs="Times New Roman"/>
          <w:sz w:val="24"/>
          <w:szCs w:val="24"/>
        </w:rPr>
        <w:t xml:space="preserve">to </w:t>
      </w:r>
      <w:r w:rsidR="001863C8" w:rsidRPr="00E74838">
        <w:rPr>
          <w:rFonts w:eastAsia="Arial" w:cs="Times New Roman"/>
          <w:sz w:val="24"/>
          <w:szCs w:val="24"/>
        </w:rPr>
        <w:t xml:space="preserve">provide a means to track and </w:t>
      </w:r>
      <w:r w:rsidR="00404BDF" w:rsidRPr="00E74838">
        <w:rPr>
          <w:rFonts w:eastAsia="Arial" w:cs="Times New Roman"/>
          <w:sz w:val="24"/>
          <w:szCs w:val="24"/>
        </w:rPr>
        <w:t xml:space="preserve">report </w:t>
      </w:r>
      <w:r w:rsidR="001863C8" w:rsidRPr="00E74838">
        <w:rPr>
          <w:rFonts w:eastAsia="Arial" w:cs="Times New Roman"/>
          <w:sz w:val="24"/>
          <w:szCs w:val="24"/>
        </w:rPr>
        <w:t xml:space="preserve">that information in the PIRL in order to understand the scope and potential impact of the issue.  </w:t>
      </w:r>
    </w:p>
    <w:p w14:paraId="3046F015" w14:textId="77777777" w:rsidR="007316C9" w:rsidRPr="00E74838" w:rsidRDefault="007316C9" w:rsidP="0001000B">
      <w:pPr>
        <w:spacing w:after="0" w:line="240" w:lineRule="auto"/>
        <w:outlineLvl w:val="0"/>
        <w:rPr>
          <w:rFonts w:eastAsia="Arial" w:cs="Times New Roman"/>
          <w:sz w:val="24"/>
          <w:szCs w:val="24"/>
        </w:rPr>
      </w:pPr>
    </w:p>
    <w:p w14:paraId="59093B4C" w14:textId="6784CEAF" w:rsidR="007316C9" w:rsidRPr="00E74838" w:rsidRDefault="007316C9" w:rsidP="0001000B">
      <w:pPr>
        <w:spacing w:after="0" w:line="240" w:lineRule="auto"/>
        <w:rPr>
          <w:rFonts w:cs="Times New Roman"/>
          <w:b/>
          <w:sz w:val="24"/>
          <w:szCs w:val="24"/>
        </w:rPr>
      </w:pPr>
      <w:r w:rsidRPr="00E74838">
        <w:rPr>
          <w:rFonts w:cs="Times New Roman"/>
          <w:sz w:val="24"/>
          <w:szCs w:val="24"/>
        </w:rPr>
        <w:t xml:space="preserve">Another commenter agreed that participants with </w:t>
      </w:r>
      <w:r w:rsidR="00AA5CF7" w:rsidRPr="00E74838">
        <w:rPr>
          <w:rFonts w:cs="Times New Roman"/>
          <w:sz w:val="24"/>
          <w:szCs w:val="24"/>
        </w:rPr>
        <w:t xml:space="preserve">pseudo SSNs should </w:t>
      </w:r>
      <w:r w:rsidRPr="00E74838">
        <w:rPr>
          <w:rFonts w:cs="Times New Roman"/>
          <w:sz w:val="24"/>
          <w:szCs w:val="24"/>
        </w:rPr>
        <w:t xml:space="preserve">be included </w:t>
      </w:r>
      <w:r w:rsidR="002902BE" w:rsidRPr="00E74838">
        <w:rPr>
          <w:rFonts w:cs="Times New Roman"/>
          <w:sz w:val="24"/>
          <w:szCs w:val="24"/>
        </w:rPr>
        <w:t xml:space="preserve">for purposes of performance accountability calculations for the title I core programs, but should not be included in the calculations for the title III program.  </w:t>
      </w:r>
      <w:r w:rsidR="009A1F52" w:rsidRPr="00E74838">
        <w:rPr>
          <w:rFonts w:cs="Times New Roman"/>
          <w:sz w:val="24"/>
          <w:szCs w:val="24"/>
        </w:rPr>
        <w:t xml:space="preserve">The </w:t>
      </w:r>
      <w:r w:rsidR="002A6120" w:rsidRPr="00E74838">
        <w:rPr>
          <w:rFonts w:cs="Times New Roman"/>
          <w:sz w:val="24"/>
          <w:szCs w:val="24"/>
        </w:rPr>
        <w:t>commenter</w:t>
      </w:r>
      <w:r w:rsidR="009A1F52" w:rsidRPr="00E74838">
        <w:rPr>
          <w:rFonts w:cs="Times New Roman"/>
          <w:sz w:val="24"/>
          <w:szCs w:val="24"/>
        </w:rPr>
        <w:t xml:space="preserve"> noted that </w:t>
      </w:r>
      <w:r w:rsidRPr="00E74838">
        <w:rPr>
          <w:rFonts w:cs="Times New Roman"/>
          <w:sz w:val="24"/>
          <w:szCs w:val="24"/>
        </w:rPr>
        <w:t>Wagner-Peyser is not a case managed program</w:t>
      </w:r>
      <w:r w:rsidR="009A1F52" w:rsidRPr="00E74838">
        <w:rPr>
          <w:rFonts w:cs="Times New Roman"/>
          <w:sz w:val="24"/>
          <w:szCs w:val="24"/>
        </w:rPr>
        <w:t xml:space="preserve"> and that,</w:t>
      </w:r>
      <w:r w:rsidR="002902BE" w:rsidRPr="00E74838">
        <w:rPr>
          <w:rFonts w:cs="Times New Roman"/>
          <w:sz w:val="24"/>
          <w:szCs w:val="24"/>
        </w:rPr>
        <w:t xml:space="preserve"> therefore</w:t>
      </w:r>
      <w:r w:rsidRPr="00E74838">
        <w:rPr>
          <w:rFonts w:cs="Times New Roman"/>
          <w:sz w:val="24"/>
          <w:szCs w:val="24"/>
        </w:rPr>
        <w:t xml:space="preserve">, </w:t>
      </w:r>
      <w:r w:rsidR="002902BE" w:rsidRPr="00E74838">
        <w:rPr>
          <w:rFonts w:cs="Times New Roman"/>
          <w:sz w:val="24"/>
          <w:szCs w:val="24"/>
        </w:rPr>
        <w:t xml:space="preserve">such a </w:t>
      </w:r>
      <w:r w:rsidRPr="00E74838">
        <w:rPr>
          <w:rFonts w:cs="Times New Roman"/>
          <w:sz w:val="24"/>
          <w:szCs w:val="24"/>
        </w:rPr>
        <w:t xml:space="preserve">requirement </w:t>
      </w:r>
      <w:r w:rsidR="002902BE" w:rsidRPr="00E74838">
        <w:rPr>
          <w:rFonts w:cs="Times New Roman"/>
          <w:sz w:val="24"/>
          <w:szCs w:val="24"/>
        </w:rPr>
        <w:t xml:space="preserve">would </w:t>
      </w:r>
      <w:r w:rsidRPr="00E74838">
        <w:rPr>
          <w:rFonts w:cs="Times New Roman"/>
          <w:sz w:val="24"/>
          <w:szCs w:val="24"/>
        </w:rPr>
        <w:t>put a large burden on the program to successfully contact participants and gather supplemental data</w:t>
      </w:r>
      <w:r w:rsidR="002902BE" w:rsidRPr="00E74838">
        <w:rPr>
          <w:rFonts w:cs="Times New Roman"/>
          <w:sz w:val="24"/>
          <w:szCs w:val="24"/>
        </w:rPr>
        <w:t xml:space="preserve">.  Such burden could </w:t>
      </w:r>
      <w:r w:rsidRPr="00E74838">
        <w:rPr>
          <w:rFonts w:cs="Times New Roman"/>
          <w:sz w:val="24"/>
          <w:szCs w:val="24"/>
        </w:rPr>
        <w:t>negatively impact the program’s overall performance</w:t>
      </w:r>
      <w:r w:rsidR="00615781" w:rsidRPr="00E74838">
        <w:rPr>
          <w:rFonts w:cs="Times New Roman"/>
          <w:sz w:val="24"/>
          <w:szCs w:val="24"/>
        </w:rPr>
        <w:t xml:space="preserve"> and pose a significant cost burden</w:t>
      </w:r>
      <w:r w:rsidRPr="00E74838">
        <w:rPr>
          <w:rFonts w:cs="Times New Roman"/>
          <w:sz w:val="24"/>
          <w:szCs w:val="24"/>
        </w:rPr>
        <w:t xml:space="preserve">. </w:t>
      </w:r>
      <w:r w:rsidR="00615781" w:rsidRPr="00E74838">
        <w:rPr>
          <w:rFonts w:cs="Times New Roman"/>
          <w:sz w:val="24"/>
          <w:szCs w:val="24"/>
        </w:rPr>
        <w:t xml:space="preserve"> </w:t>
      </w:r>
    </w:p>
    <w:p w14:paraId="65EE7259" w14:textId="77777777" w:rsidR="00421C4C" w:rsidRPr="00E74838" w:rsidRDefault="00421C4C" w:rsidP="0001000B">
      <w:pPr>
        <w:spacing w:after="0" w:line="240" w:lineRule="auto"/>
        <w:outlineLvl w:val="0"/>
        <w:rPr>
          <w:rFonts w:eastAsia="Arial" w:cs="Times New Roman"/>
          <w:sz w:val="24"/>
          <w:szCs w:val="24"/>
        </w:rPr>
      </w:pPr>
    </w:p>
    <w:p w14:paraId="02629088" w14:textId="7F53B838" w:rsidR="009F44AA" w:rsidRPr="00E74838" w:rsidRDefault="00421C4C" w:rsidP="0001000B">
      <w:pPr>
        <w:spacing w:after="0" w:line="240" w:lineRule="auto"/>
        <w:outlineLvl w:val="0"/>
        <w:rPr>
          <w:rFonts w:cs="Times New Roman"/>
          <w:sz w:val="24"/>
          <w:szCs w:val="24"/>
        </w:rPr>
      </w:pPr>
      <w:r w:rsidRPr="00E74838">
        <w:rPr>
          <w:rFonts w:eastAsia="Arial" w:cs="Times New Roman"/>
          <w:sz w:val="24"/>
          <w:szCs w:val="24"/>
        </w:rPr>
        <w:t>One commenter encouraged the Departments to allow programs that could demonstrate due diligence at getting SSNs, but were unable to get the information, to exclude these participants from performance calculations.  In so doing, the programs would not be penalized for not getting the</w:t>
      </w:r>
      <w:r w:rsidR="00327E63" w:rsidRPr="00E74838">
        <w:rPr>
          <w:rFonts w:eastAsia="Arial" w:cs="Times New Roman"/>
          <w:sz w:val="24"/>
          <w:szCs w:val="24"/>
        </w:rPr>
        <w:t xml:space="preserve"> information necessary to match wage records.</w:t>
      </w:r>
      <w:r w:rsidR="002A6120" w:rsidRPr="00E74838">
        <w:rPr>
          <w:rFonts w:eastAsia="Arial" w:cs="Times New Roman"/>
          <w:sz w:val="24"/>
          <w:szCs w:val="24"/>
        </w:rPr>
        <w:t xml:space="preserve">  </w:t>
      </w:r>
      <w:r w:rsidR="00F07D73" w:rsidRPr="00E74838">
        <w:rPr>
          <w:rFonts w:cs="Times New Roman"/>
          <w:sz w:val="24"/>
          <w:szCs w:val="24"/>
        </w:rPr>
        <w:t xml:space="preserve">Finally, one commenter </w:t>
      </w:r>
      <w:r w:rsidR="009F44AA" w:rsidRPr="00E74838">
        <w:rPr>
          <w:rFonts w:cs="Times New Roman"/>
          <w:sz w:val="24"/>
          <w:szCs w:val="24"/>
        </w:rPr>
        <w:t xml:space="preserve">noted that code 98 (not a valid SSN) was removed from the list of “other reasons for exit” (code 923).    </w:t>
      </w:r>
    </w:p>
    <w:p w14:paraId="7561E6CE" w14:textId="77777777" w:rsidR="009F44AA" w:rsidRPr="00E74838" w:rsidRDefault="009F44AA" w:rsidP="0001000B">
      <w:pPr>
        <w:spacing w:after="0" w:line="240" w:lineRule="auto"/>
        <w:rPr>
          <w:rFonts w:cs="Times New Roman"/>
          <w:sz w:val="24"/>
          <w:szCs w:val="24"/>
        </w:rPr>
      </w:pPr>
    </w:p>
    <w:p w14:paraId="21501A22" w14:textId="160F97BC" w:rsidR="000F4543" w:rsidRPr="00E74838" w:rsidRDefault="00365589" w:rsidP="0001000B">
      <w:pPr>
        <w:autoSpaceDE w:val="0"/>
        <w:autoSpaceDN w:val="0"/>
        <w:adjustRightInd w:val="0"/>
        <w:spacing w:after="0" w:line="240" w:lineRule="auto"/>
        <w:rPr>
          <w:rFonts w:cs="Times New Roman"/>
          <w:sz w:val="24"/>
          <w:szCs w:val="24"/>
        </w:rPr>
      </w:pPr>
      <w:r w:rsidRPr="00E74838">
        <w:rPr>
          <w:rFonts w:eastAsia="Arial" w:cs="Times New Roman"/>
          <w:b/>
          <w:sz w:val="24"/>
          <w:szCs w:val="24"/>
        </w:rPr>
        <w:t>Agencies’ Response, June 2016:</w:t>
      </w:r>
      <w:r w:rsidR="00432B36" w:rsidRPr="00E74838">
        <w:rPr>
          <w:rFonts w:eastAsia="Arial" w:cs="Times New Roman"/>
          <w:b/>
          <w:sz w:val="24"/>
          <w:szCs w:val="24"/>
        </w:rPr>
        <w:t xml:space="preserve"> </w:t>
      </w:r>
      <w:r w:rsidRPr="00E74838">
        <w:rPr>
          <w:rFonts w:eastAsia="Arial" w:cs="Times New Roman"/>
          <w:b/>
          <w:sz w:val="24"/>
          <w:szCs w:val="24"/>
        </w:rPr>
        <w:t xml:space="preserve"> </w:t>
      </w:r>
      <w:r w:rsidR="00004ADE" w:rsidRPr="00E74838">
        <w:rPr>
          <w:rFonts w:cs="Times New Roman"/>
          <w:sz w:val="24"/>
          <w:szCs w:val="24"/>
        </w:rPr>
        <w:t xml:space="preserve">Because the number of participants with missing </w:t>
      </w:r>
      <w:r w:rsidR="000F4543" w:rsidRPr="00E74838">
        <w:rPr>
          <w:rFonts w:cs="Times New Roman"/>
          <w:sz w:val="24"/>
          <w:szCs w:val="24"/>
        </w:rPr>
        <w:t xml:space="preserve">or non-valid </w:t>
      </w:r>
      <w:r w:rsidR="00A7638A" w:rsidRPr="00E74838">
        <w:rPr>
          <w:rFonts w:cs="Times New Roman"/>
          <w:sz w:val="24"/>
          <w:szCs w:val="24"/>
        </w:rPr>
        <w:t>S</w:t>
      </w:r>
      <w:r w:rsidR="009A1F52" w:rsidRPr="00E74838">
        <w:rPr>
          <w:rFonts w:cs="Times New Roman"/>
          <w:sz w:val="24"/>
          <w:szCs w:val="24"/>
        </w:rPr>
        <w:t>S</w:t>
      </w:r>
      <w:r w:rsidR="00A7638A" w:rsidRPr="00E74838">
        <w:rPr>
          <w:rFonts w:cs="Times New Roman"/>
          <w:sz w:val="24"/>
          <w:szCs w:val="24"/>
        </w:rPr>
        <w:t>Ns</w:t>
      </w:r>
      <w:r w:rsidR="00004ADE" w:rsidRPr="00E74838">
        <w:rPr>
          <w:rFonts w:cs="Times New Roman"/>
          <w:sz w:val="24"/>
          <w:szCs w:val="24"/>
        </w:rPr>
        <w:t xml:space="preserve"> could be significant </w:t>
      </w:r>
      <w:r w:rsidR="000F4543" w:rsidRPr="00E74838">
        <w:rPr>
          <w:rFonts w:cs="Times New Roman"/>
          <w:sz w:val="24"/>
          <w:szCs w:val="24"/>
        </w:rPr>
        <w:t>for some programs</w:t>
      </w:r>
      <w:r w:rsidR="00004ADE" w:rsidRPr="00E74838">
        <w:rPr>
          <w:rFonts w:cs="Times New Roman"/>
          <w:sz w:val="24"/>
          <w:szCs w:val="24"/>
        </w:rPr>
        <w:t xml:space="preserve">, completely excluding these participants from program accountability measures </w:t>
      </w:r>
      <w:r w:rsidR="000F4543" w:rsidRPr="00E74838">
        <w:rPr>
          <w:rFonts w:cs="Times New Roman"/>
          <w:sz w:val="24"/>
          <w:szCs w:val="24"/>
        </w:rPr>
        <w:t>c</w:t>
      </w:r>
      <w:r w:rsidR="00004ADE" w:rsidRPr="00E74838">
        <w:rPr>
          <w:rFonts w:cs="Times New Roman"/>
          <w:sz w:val="24"/>
          <w:szCs w:val="24"/>
        </w:rPr>
        <w:t>ould result in a significant gap in performance data and</w:t>
      </w:r>
      <w:r w:rsidR="000F4543" w:rsidRPr="00E74838">
        <w:rPr>
          <w:rFonts w:cs="Times New Roman"/>
          <w:sz w:val="24"/>
          <w:szCs w:val="24"/>
        </w:rPr>
        <w:t>, therefore,</w:t>
      </w:r>
      <w:r w:rsidR="00004ADE" w:rsidRPr="00E74838">
        <w:rPr>
          <w:rFonts w:cs="Times New Roman"/>
          <w:sz w:val="24"/>
          <w:szCs w:val="24"/>
        </w:rPr>
        <w:t xml:space="preserve"> </w:t>
      </w:r>
      <w:r w:rsidR="000F4543" w:rsidRPr="00E74838">
        <w:rPr>
          <w:rFonts w:cs="Times New Roman"/>
          <w:sz w:val="24"/>
          <w:szCs w:val="24"/>
        </w:rPr>
        <w:t xml:space="preserve">such policy </w:t>
      </w:r>
      <w:r w:rsidR="00004ADE" w:rsidRPr="00E74838">
        <w:rPr>
          <w:rFonts w:cs="Times New Roman"/>
          <w:sz w:val="24"/>
          <w:szCs w:val="24"/>
        </w:rPr>
        <w:t xml:space="preserve">would not be aligned with the requirements of WIOA to obtain outcomes on all participants.  </w:t>
      </w:r>
      <w:r w:rsidR="000F4543" w:rsidRPr="00E74838">
        <w:rPr>
          <w:rFonts w:cs="Times New Roman"/>
          <w:sz w:val="24"/>
          <w:szCs w:val="24"/>
        </w:rPr>
        <w:t xml:space="preserve">For this reason, the Joint Final Rule and the final Joint Performance ICR </w:t>
      </w:r>
      <w:r w:rsidR="009F44AA" w:rsidRPr="00E74838">
        <w:rPr>
          <w:rFonts w:cs="Times New Roman"/>
          <w:sz w:val="24"/>
          <w:szCs w:val="24"/>
        </w:rPr>
        <w:t xml:space="preserve">do not permit participants without a valid SSN to be excluded from the performance accountability </w:t>
      </w:r>
      <w:r w:rsidR="009F44AA" w:rsidRPr="00E74838">
        <w:rPr>
          <w:rFonts w:cs="Times New Roman"/>
          <w:sz w:val="24"/>
          <w:szCs w:val="24"/>
        </w:rPr>
        <w:lastRenderedPageBreak/>
        <w:t>calculations, but do p</w:t>
      </w:r>
      <w:r w:rsidR="000F4543" w:rsidRPr="00E74838">
        <w:rPr>
          <w:rFonts w:cs="Times New Roman"/>
          <w:sz w:val="24"/>
          <w:szCs w:val="24"/>
        </w:rPr>
        <w:t>ermit States to rely on supplemental information to satisfy the performance accountability requirements when a valid SSN is not known.  I</w:t>
      </w:r>
      <w:r w:rsidR="00004ADE" w:rsidRPr="00E74838">
        <w:rPr>
          <w:rFonts w:cs="Times New Roman"/>
          <w:sz w:val="24"/>
          <w:szCs w:val="24"/>
        </w:rPr>
        <w:t xml:space="preserve">t is important to note that some </w:t>
      </w:r>
      <w:r w:rsidR="000F4543" w:rsidRPr="00E74838">
        <w:rPr>
          <w:rFonts w:cs="Times New Roman"/>
          <w:sz w:val="24"/>
          <w:szCs w:val="24"/>
        </w:rPr>
        <w:t>S</w:t>
      </w:r>
      <w:r w:rsidR="00004ADE" w:rsidRPr="00E74838">
        <w:rPr>
          <w:rFonts w:cs="Times New Roman"/>
          <w:sz w:val="24"/>
          <w:szCs w:val="24"/>
        </w:rPr>
        <w:t>tates have developed highly reliable logarithms to perform wage data matches using a combination of other personally</w:t>
      </w:r>
      <w:r w:rsidR="007F485C" w:rsidRPr="00E74838">
        <w:rPr>
          <w:rFonts w:cs="Times New Roman"/>
          <w:sz w:val="24"/>
          <w:szCs w:val="24"/>
        </w:rPr>
        <w:t>-</w:t>
      </w:r>
      <w:r w:rsidR="00004ADE" w:rsidRPr="00E74838">
        <w:rPr>
          <w:rFonts w:cs="Times New Roman"/>
          <w:sz w:val="24"/>
          <w:szCs w:val="24"/>
        </w:rPr>
        <w:t xml:space="preserve">identifiable information (PII).  Such data match logarithms eliminate the need for </w:t>
      </w:r>
      <w:r w:rsidR="00A7638A" w:rsidRPr="00E74838">
        <w:rPr>
          <w:rFonts w:cs="Times New Roman"/>
          <w:sz w:val="24"/>
          <w:szCs w:val="24"/>
        </w:rPr>
        <w:t xml:space="preserve">SSNs </w:t>
      </w:r>
      <w:r w:rsidR="00004ADE" w:rsidRPr="00E74838">
        <w:rPr>
          <w:rFonts w:cs="Times New Roman"/>
          <w:sz w:val="24"/>
          <w:szCs w:val="24"/>
        </w:rPr>
        <w:t>and reduce the burden associated with more labor-intensive follow-up methods.</w:t>
      </w:r>
      <w:r w:rsidR="00C27EA5" w:rsidRPr="00E74838">
        <w:rPr>
          <w:rFonts w:cs="Times New Roman"/>
          <w:sz w:val="24"/>
          <w:szCs w:val="24"/>
        </w:rPr>
        <w:t xml:space="preserve"> </w:t>
      </w:r>
    </w:p>
    <w:p w14:paraId="4606DDBF" w14:textId="77777777" w:rsidR="000F4543" w:rsidRPr="00E74838" w:rsidRDefault="000F4543" w:rsidP="0001000B">
      <w:pPr>
        <w:autoSpaceDE w:val="0"/>
        <w:autoSpaceDN w:val="0"/>
        <w:adjustRightInd w:val="0"/>
        <w:spacing w:after="0" w:line="240" w:lineRule="auto"/>
        <w:rPr>
          <w:rFonts w:cs="Times New Roman"/>
          <w:sz w:val="24"/>
          <w:szCs w:val="24"/>
        </w:rPr>
      </w:pPr>
    </w:p>
    <w:p w14:paraId="50E8B47B" w14:textId="6E6433D5" w:rsidR="0061180D" w:rsidRPr="00E74838" w:rsidRDefault="0061180D" w:rsidP="0001000B">
      <w:pPr>
        <w:spacing w:after="0" w:line="240" w:lineRule="auto"/>
        <w:rPr>
          <w:rFonts w:cs="Times New Roman"/>
          <w:sz w:val="24"/>
          <w:szCs w:val="24"/>
        </w:rPr>
      </w:pPr>
      <w:r w:rsidRPr="00E74838">
        <w:rPr>
          <w:rFonts w:cs="Times New Roman"/>
          <w:sz w:val="24"/>
          <w:szCs w:val="24"/>
        </w:rPr>
        <w:t xml:space="preserve">The performance calculation </w:t>
      </w:r>
      <w:r w:rsidR="00F86468" w:rsidRPr="00E74838">
        <w:rPr>
          <w:rFonts w:cs="Times New Roman"/>
          <w:sz w:val="24"/>
          <w:szCs w:val="24"/>
        </w:rPr>
        <w:t xml:space="preserve">formulas </w:t>
      </w:r>
      <w:r w:rsidRPr="00E74838">
        <w:rPr>
          <w:rFonts w:cs="Times New Roman"/>
          <w:sz w:val="24"/>
          <w:szCs w:val="24"/>
        </w:rPr>
        <w:t xml:space="preserve">used by the AEFLA program’s NRS </w:t>
      </w:r>
      <w:r w:rsidR="00F86468" w:rsidRPr="00E74838">
        <w:rPr>
          <w:rFonts w:cs="Times New Roman"/>
          <w:sz w:val="24"/>
          <w:szCs w:val="24"/>
        </w:rPr>
        <w:t>were</w:t>
      </w:r>
      <w:r w:rsidRPr="00E74838">
        <w:rPr>
          <w:rFonts w:cs="Times New Roman"/>
          <w:sz w:val="24"/>
          <w:szCs w:val="24"/>
        </w:rPr>
        <w:t xml:space="preserve"> developed to </w:t>
      </w:r>
      <w:r w:rsidR="00F86468" w:rsidRPr="00E74838">
        <w:rPr>
          <w:rFonts w:cs="Times New Roman"/>
          <w:sz w:val="24"/>
          <w:szCs w:val="24"/>
        </w:rPr>
        <w:t>yield</w:t>
      </w:r>
      <w:r w:rsidRPr="00E74838">
        <w:rPr>
          <w:rFonts w:cs="Times New Roman"/>
          <w:sz w:val="24"/>
          <w:szCs w:val="24"/>
        </w:rPr>
        <w:t xml:space="preserve"> valid and reliable data collected through </w:t>
      </w:r>
      <w:r w:rsidR="00F86468" w:rsidRPr="00E74838">
        <w:rPr>
          <w:rFonts w:cs="Times New Roman"/>
          <w:sz w:val="24"/>
          <w:szCs w:val="24"/>
        </w:rPr>
        <w:t>sampling</w:t>
      </w:r>
      <w:r w:rsidRPr="00E74838">
        <w:rPr>
          <w:rFonts w:cs="Times New Roman"/>
          <w:sz w:val="24"/>
          <w:szCs w:val="24"/>
        </w:rPr>
        <w:t xml:space="preserve">.  </w:t>
      </w:r>
      <w:r w:rsidR="00E11CB3" w:rsidRPr="00E74838">
        <w:rPr>
          <w:rFonts w:cs="Times New Roman"/>
          <w:sz w:val="24"/>
          <w:szCs w:val="24"/>
        </w:rPr>
        <w:t>Under WIA, S</w:t>
      </w:r>
      <w:r w:rsidR="00F86468" w:rsidRPr="00E74838">
        <w:rPr>
          <w:rFonts w:cs="Times New Roman"/>
          <w:sz w:val="24"/>
          <w:szCs w:val="24"/>
        </w:rPr>
        <w:t>tates that conduct</w:t>
      </w:r>
      <w:r w:rsidR="00E11CB3" w:rsidRPr="00E74838">
        <w:rPr>
          <w:rFonts w:cs="Times New Roman"/>
          <w:sz w:val="24"/>
          <w:szCs w:val="24"/>
        </w:rPr>
        <w:t>ed</w:t>
      </w:r>
      <w:r w:rsidR="00F86468" w:rsidRPr="00E74838">
        <w:rPr>
          <w:rFonts w:cs="Times New Roman"/>
          <w:sz w:val="24"/>
          <w:szCs w:val="24"/>
        </w:rPr>
        <w:t xml:space="preserve"> surveys to collect outcome data on large numbers of participants without a valid SSN </w:t>
      </w:r>
      <w:r w:rsidR="004947C1" w:rsidRPr="00E74838">
        <w:rPr>
          <w:rFonts w:cs="Times New Roman"/>
          <w:sz w:val="24"/>
          <w:szCs w:val="24"/>
        </w:rPr>
        <w:t xml:space="preserve">had the option to </w:t>
      </w:r>
      <w:r w:rsidR="00F86468" w:rsidRPr="00E74838">
        <w:rPr>
          <w:rFonts w:cs="Times New Roman"/>
          <w:sz w:val="24"/>
          <w:szCs w:val="24"/>
        </w:rPr>
        <w:t xml:space="preserve">use sampling </w:t>
      </w:r>
      <w:r w:rsidRPr="00E74838">
        <w:rPr>
          <w:rFonts w:cs="Times New Roman"/>
          <w:sz w:val="24"/>
          <w:szCs w:val="24"/>
        </w:rPr>
        <w:t xml:space="preserve">procedures </w:t>
      </w:r>
      <w:r w:rsidR="00F86468" w:rsidRPr="00E74838">
        <w:rPr>
          <w:rFonts w:cs="Times New Roman"/>
          <w:sz w:val="24"/>
          <w:szCs w:val="24"/>
        </w:rPr>
        <w:t xml:space="preserve">instead of surveying the entire universe of participants.  </w:t>
      </w:r>
      <w:r w:rsidR="00E11CB3" w:rsidRPr="00E74838">
        <w:rPr>
          <w:rFonts w:cs="Times New Roman"/>
          <w:sz w:val="24"/>
          <w:szCs w:val="24"/>
        </w:rPr>
        <w:t>For NRS purposes, p</w:t>
      </w:r>
      <w:r w:rsidRPr="00E74838">
        <w:rPr>
          <w:rFonts w:cs="Times New Roman"/>
          <w:sz w:val="24"/>
          <w:szCs w:val="24"/>
        </w:rPr>
        <w:t>articipants without valid SSNs were never excluded from the denominator for any indicator</w:t>
      </w:r>
      <w:r w:rsidR="00E11CB3" w:rsidRPr="00E74838">
        <w:rPr>
          <w:rFonts w:cs="Times New Roman"/>
          <w:sz w:val="24"/>
          <w:szCs w:val="24"/>
        </w:rPr>
        <w:t xml:space="preserve"> or from sampling procedures.</w:t>
      </w:r>
      <w:r w:rsidR="00F63ED2" w:rsidRPr="00E74838">
        <w:rPr>
          <w:rFonts w:cs="Times New Roman"/>
          <w:sz w:val="24"/>
          <w:szCs w:val="24"/>
        </w:rPr>
        <w:t xml:space="preserve">  </w:t>
      </w:r>
      <w:r w:rsidR="00FF00C4" w:rsidRPr="00E74838">
        <w:rPr>
          <w:rFonts w:cs="Times New Roman"/>
          <w:sz w:val="24"/>
          <w:szCs w:val="24"/>
        </w:rPr>
        <w:t xml:space="preserve">States were required to follow up on all participants, including those without a valid SSN.  </w:t>
      </w:r>
      <w:r w:rsidR="00F63ED2" w:rsidRPr="00E74838">
        <w:rPr>
          <w:rFonts w:cs="Times New Roman"/>
          <w:sz w:val="24"/>
          <w:szCs w:val="24"/>
        </w:rPr>
        <w:t xml:space="preserve">To allow for the possibility that some States </w:t>
      </w:r>
      <w:r w:rsidR="00FF00C4" w:rsidRPr="00E74838">
        <w:rPr>
          <w:rFonts w:cs="Times New Roman"/>
          <w:sz w:val="24"/>
          <w:szCs w:val="24"/>
        </w:rPr>
        <w:t xml:space="preserve">might </w:t>
      </w:r>
      <w:r w:rsidR="00F63ED2" w:rsidRPr="00E74838">
        <w:rPr>
          <w:rFonts w:cs="Times New Roman"/>
          <w:sz w:val="24"/>
          <w:szCs w:val="24"/>
        </w:rPr>
        <w:t>collect data through a combination of universe and representative cohorts</w:t>
      </w:r>
      <w:r w:rsidR="00FF00C4" w:rsidRPr="00E74838">
        <w:rPr>
          <w:rFonts w:cs="Times New Roman"/>
          <w:sz w:val="24"/>
          <w:szCs w:val="24"/>
        </w:rPr>
        <w:t xml:space="preserve"> for the same measure</w:t>
      </w:r>
      <w:r w:rsidR="00F63ED2" w:rsidRPr="00E74838">
        <w:rPr>
          <w:rFonts w:cs="Times New Roman"/>
          <w:sz w:val="24"/>
          <w:szCs w:val="24"/>
        </w:rPr>
        <w:t xml:space="preserve">, the NRS applied the statistical formula to all follow-up permutations, including </w:t>
      </w:r>
      <w:r w:rsidR="00C772FE" w:rsidRPr="00E74838">
        <w:rPr>
          <w:rFonts w:cs="Times New Roman"/>
          <w:sz w:val="24"/>
          <w:szCs w:val="24"/>
        </w:rPr>
        <w:t xml:space="preserve">scenarios that relied on </w:t>
      </w:r>
      <w:r w:rsidR="00FF00C4" w:rsidRPr="00E74838">
        <w:rPr>
          <w:rFonts w:cs="Times New Roman"/>
          <w:sz w:val="24"/>
          <w:szCs w:val="24"/>
        </w:rPr>
        <w:t xml:space="preserve">an exclusive universe </w:t>
      </w:r>
      <w:r w:rsidR="00F63ED2" w:rsidRPr="00E74838">
        <w:rPr>
          <w:rFonts w:cs="Times New Roman"/>
          <w:sz w:val="24"/>
          <w:szCs w:val="24"/>
        </w:rPr>
        <w:t>data match.</w:t>
      </w:r>
      <w:r w:rsidR="00FF00C4" w:rsidRPr="00E74838">
        <w:rPr>
          <w:rFonts w:cs="Times New Roman"/>
          <w:sz w:val="24"/>
          <w:szCs w:val="24"/>
        </w:rPr>
        <w:t xml:space="preserve">  This approach worked for the NRS </w:t>
      </w:r>
      <w:r w:rsidR="00F83117" w:rsidRPr="00E74838">
        <w:rPr>
          <w:rFonts w:cs="Times New Roman"/>
          <w:sz w:val="24"/>
          <w:szCs w:val="24"/>
        </w:rPr>
        <w:t xml:space="preserve">under WIA, </w:t>
      </w:r>
      <w:r w:rsidR="00FF00C4" w:rsidRPr="00E74838">
        <w:rPr>
          <w:rFonts w:cs="Times New Roman"/>
          <w:sz w:val="24"/>
          <w:szCs w:val="24"/>
        </w:rPr>
        <w:t xml:space="preserve">because it collects aggregate </w:t>
      </w:r>
      <w:r w:rsidR="005E3588" w:rsidRPr="00E74838">
        <w:rPr>
          <w:rFonts w:cs="Times New Roman"/>
          <w:sz w:val="24"/>
          <w:szCs w:val="24"/>
        </w:rPr>
        <w:t>S</w:t>
      </w:r>
      <w:r w:rsidR="00FF00C4" w:rsidRPr="00E74838">
        <w:rPr>
          <w:rFonts w:cs="Times New Roman"/>
          <w:sz w:val="24"/>
          <w:szCs w:val="24"/>
        </w:rPr>
        <w:t xml:space="preserve">tate data.  </w:t>
      </w:r>
      <w:r w:rsidR="006901C2" w:rsidRPr="00E74838">
        <w:rPr>
          <w:rFonts w:cs="Times New Roman"/>
          <w:sz w:val="24"/>
          <w:szCs w:val="24"/>
        </w:rPr>
        <w:t>However, i</w:t>
      </w:r>
      <w:r w:rsidR="00FF00C4" w:rsidRPr="00E74838">
        <w:rPr>
          <w:rFonts w:cs="Times New Roman"/>
          <w:sz w:val="24"/>
          <w:szCs w:val="24"/>
        </w:rPr>
        <w:t xml:space="preserve">t would not be feasible </w:t>
      </w:r>
      <w:r w:rsidR="00C74003" w:rsidRPr="00E74838">
        <w:rPr>
          <w:rFonts w:cs="Times New Roman"/>
          <w:sz w:val="24"/>
          <w:szCs w:val="24"/>
        </w:rPr>
        <w:t xml:space="preserve">for </w:t>
      </w:r>
      <w:r w:rsidR="005E3588" w:rsidRPr="00E74838">
        <w:rPr>
          <w:rFonts w:cs="Times New Roman"/>
          <w:sz w:val="24"/>
          <w:szCs w:val="24"/>
        </w:rPr>
        <w:t>F</w:t>
      </w:r>
      <w:r w:rsidR="00FF00C4" w:rsidRPr="00E74838">
        <w:rPr>
          <w:rFonts w:cs="Times New Roman"/>
          <w:sz w:val="24"/>
          <w:szCs w:val="24"/>
        </w:rPr>
        <w:t>ederal data system</w:t>
      </w:r>
      <w:r w:rsidR="00402328" w:rsidRPr="00E74838">
        <w:rPr>
          <w:rFonts w:cs="Times New Roman"/>
          <w:sz w:val="24"/>
          <w:szCs w:val="24"/>
        </w:rPr>
        <w:t>s</w:t>
      </w:r>
      <w:r w:rsidR="00FF00C4" w:rsidRPr="00E74838">
        <w:rPr>
          <w:rFonts w:cs="Times New Roman"/>
          <w:sz w:val="24"/>
          <w:szCs w:val="24"/>
        </w:rPr>
        <w:t xml:space="preserve"> that collect individual records.  </w:t>
      </w:r>
      <w:r w:rsidR="00A8624D" w:rsidRPr="00E74838">
        <w:rPr>
          <w:rFonts w:cs="Times New Roman"/>
          <w:sz w:val="24"/>
          <w:szCs w:val="24"/>
        </w:rPr>
        <w:t xml:space="preserve">To align with performance reporting </w:t>
      </w:r>
      <w:r w:rsidR="003329FC" w:rsidRPr="00E74838">
        <w:rPr>
          <w:rFonts w:cs="Times New Roman"/>
          <w:sz w:val="24"/>
          <w:szCs w:val="24"/>
        </w:rPr>
        <w:t xml:space="preserve">procedures </w:t>
      </w:r>
      <w:r w:rsidR="00A8624D" w:rsidRPr="00E74838">
        <w:rPr>
          <w:rFonts w:cs="Times New Roman"/>
          <w:sz w:val="24"/>
          <w:szCs w:val="24"/>
        </w:rPr>
        <w:t xml:space="preserve">of other WIOA </w:t>
      </w:r>
      <w:r w:rsidR="005E3588" w:rsidRPr="00E74838">
        <w:rPr>
          <w:rFonts w:cs="Times New Roman"/>
          <w:sz w:val="24"/>
          <w:szCs w:val="24"/>
        </w:rPr>
        <w:t>core</w:t>
      </w:r>
      <w:r w:rsidR="00A8624D" w:rsidRPr="00E74838">
        <w:rPr>
          <w:rFonts w:cs="Times New Roman"/>
          <w:sz w:val="24"/>
          <w:szCs w:val="24"/>
        </w:rPr>
        <w:t xml:space="preserve"> programs</w:t>
      </w:r>
      <w:r w:rsidR="00E11CB3" w:rsidRPr="00E74838">
        <w:rPr>
          <w:rFonts w:cs="Times New Roman"/>
          <w:sz w:val="24"/>
          <w:szCs w:val="24"/>
        </w:rPr>
        <w:t xml:space="preserve">, </w:t>
      </w:r>
      <w:r w:rsidR="00FF00C4" w:rsidRPr="00E74838">
        <w:rPr>
          <w:rFonts w:cs="Times New Roman"/>
          <w:sz w:val="24"/>
          <w:szCs w:val="24"/>
        </w:rPr>
        <w:t xml:space="preserve">the NRS will not allow sampling and thus will not apply the </w:t>
      </w:r>
      <w:r w:rsidR="009E0D88" w:rsidRPr="00E74838">
        <w:rPr>
          <w:rFonts w:cs="Times New Roman"/>
          <w:sz w:val="24"/>
          <w:szCs w:val="24"/>
        </w:rPr>
        <w:t xml:space="preserve">performance calculation </w:t>
      </w:r>
      <w:r w:rsidR="00FF00C4" w:rsidRPr="00E74838">
        <w:rPr>
          <w:rFonts w:cs="Times New Roman"/>
          <w:sz w:val="24"/>
          <w:szCs w:val="24"/>
        </w:rPr>
        <w:t xml:space="preserve">methods used </w:t>
      </w:r>
      <w:r w:rsidR="00C865ED" w:rsidRPr="00E74838">
        <w:rPr>
          <w:rFonts w:cs="Times New Roman"/>
          <w:sz w:val="24"/>
          <w:szCs w:val="24"/>
        </w:rPr>
        <w:t xml:space="preserve">for sampling </w:t>
      </w:r>
      <w:r w:rsidR="00FF00C4" w:rsidRPr="00E74838">
        <w:rPr>
          <w:rFonts w:cs="Times New Roman"/>
          <w:sz w:val="24"/>
          <w:szCs w:val="24"/>
        </w:rPr>
        <w:t>under WIA.</w:t>
      </w:r>
    </w:p>
    <w:p w14:paraId="566F005E" w14:textId="77777777" w:rsidR="0061180D" w:rsidRPr="00E74838" w:rsidRDefault="0061180D" w:rsidP="0001000B">
      <w:pPr>
        <w:spacing w:after="0" w:line="240" w:lineRule="auto"/>
        <w:rPr>
          <w:rFonts w:cs="Times New Roman"/>
          <w:sz w:val="24"/>
          <w:szCs w:val="24"/>
        </w:rPr>
      </w:pPr>
    </w:p>
    <w:p w14:paraId="6A74C4DA" w14:textId="5C2C7DCB" w:rsidR="00D551C5" w:rsidRPr="00E74838" w:rsidRDefault="00D551C5" w:rsidP="0001000B">
      <w:pPr>
        <w:spacing w:after="0" w:line="240" w:lineRule="auto"/>
        <w:rPr>
          <w:rFonts w:eastAsia="Arial" w:cs="Times New Roman"/>
          <w:b/>
          <w:sz w:val="24"/>
          <w:szCs w:val="24"/>
        </w:rPr>
      </w:pPr>
      <w:r w:rsidRPr="00E74838">
        <w:rPr>
          <w:rFonts w:cs="Times New Roman"/>
          <w:sz w:val="24"/>
          <w:szCs w:val="24"/>
        </w:rPr>
        <w:t xml:space="preserve">The Departments recognize the concern that some States may incur additional burden to collect supplemental wage data due to missing SSNs.  We have accounted for that data collection burden in the regulatory impact analysis (RIA) for the </w:t>
      </w:r>
      <w:r w:rsidR="00206F1E" w:rsidRPr="00E74838">
        <w:rPr>
          <w:rFonts w:cs="Times New Roman"/>
          <w:sz w:val="24"/>
          <w:szCs w:val="24"/>
        </w:rPr>
        <w:t>J</w:t>
      </w:r>
      <w:r w:rsidRPr="00E74838">
        <w:rPr>
          <w:rFonts w:cs="Times New Roman"/>
          <w:sz w:val="24"/>
          <w:szCs w:val="24"/>
        </w:rPr>
        <w:t xml:space="preserve">oint </w:t>
      </w:r>
      <w:r w:rsidR="00206F1E" w:rsidRPr="00E74838">
        <w:rPr>
          <w:rFonts w:cs="Times New Roman"/>
          <w:sz w:val="24"/>
          <w:szCs w:val="24"/>
        </w:rPr>
        <w:t>F</w:t>
      </w:r>
      <w:r w:rsidRPr="00E74838">
        <w:rPr>
          <w:rFonts w:cs="Times New Roman"/>
          <w:sz w:val="24"/>
          <w:szCs w:val="24"/>
        </w:rPr>
        <w:t xml:space="preserve">inal </w:t>
      </w:r>
      <w:r w:rsidR="00206F1E" w:rsidRPr="00E74838">
        <w:rPr>
          <w:rFonts w:cs="Times New Roman"/>
          <w:sz w:val="24"/>
          <w:szCs w:val="24"/>
        </w:rPr>
        <w:t>R</w:t>
      </w:r>
      <w:r w:rsidRPr="00E74838">
        <w:rPr>
          <w:rFonts w:cs="Times New Roman"/>
          <w:sz w:val="24"/>
          <w:szCs w:val="24"/>
        </w:rPr>
        <w:t>ule.  As stated above, we remain convinced, despite the potential burden, such methods are necessary to ensure an accurate reporting of programmatic activities for those programs that might have higher rates of individuals who refuse to provide SSNs.  </w:t>
      </w:r>
    </w:p>
    <w:p w14:paraId="51826E8C" w14:textId="77777777" w:rsidR="00404BDF" w:rsidRPr="00E74838" w:rsidRDefault="00404BDF" w:rsidP="0001000B">
      <w:pPr>
        <w:autoSpaceDE w:val="0"/>
        <w:autoSpaceDN w:val="0"/>
        <w:adjustRightInd w:val="0"/>
        <w:spacing w:after="0" w:line="240" w:lineRule="auto"/>
        <w:rPr>
          <w:rFonts w:cs="Times New Roman"/>
          <w:sz w:val="24"/>
          <w:szCs w:val="24"/>
        </w:rPr>
      </w:pPr>
    </w:p>
    <w:p w14:paraId="218FC8BB" w14:textId="00EC938F" w:rsidR="00615781" w:rsidRPr="00E74838" w:rsidRDefault="00615781" w:rsidP="0001000B">
      <w:pPr>
        <w:spacing w:after="0" w:line="240" w:lineRule="auto"/>
        <w:outlineLvl w:val="0"/>
        <w:rPr>
          <w:rFonts w:eastAsia="Arial" w:cs="Times New Roman"/>
          <w:sz w:val="24"/>
          <w:szCs w:val="24"/>
        </w:rPr>
      </w:pPr>
      <w:r w:rsidRPr="00E74838">
        <w:rPr>
          <w:rFonts w:cs="Times New Roman"/>
          <w:sz w:val="24"/>
          <w:szCs w:val="24"/>
        </w:rPr>
        <w:t xml:space="preserve">The Departments understand the commenter’s concern regarding increased burden of reporting on individuals without a valid </w:t>
      </w:r>
      <w:r w:rsidR="00327E63" w:rsidRPr="00E74838">
        <w:rPr>
          <w:rFonts w:cs="Times New Roman"/>
          <w:sz w:val="24"/>
          <w:szCs w:val="24"/>
        </w:rPr>
        <w:t>S</w:t>
      </w:r>
      <w:r w:rsidRPr="00E74838">
        <w:rPr>
          <w:rFonts w:cs="Times New Roman"/>
          <w:sz w:val="24"/>
          <w:szCs w:val="24"/>
        </w:rPr>
        <w:t>SN, including the burden such a requirement imposes on the Wagner-Peyser Act Employment Service program.  However, section 116 of WIOA requires that all program participants be tracked for purposes of the performance accountability system and, except for exceptions specified in section 116, there is no statutory basis to exclude participants</w:t>
      </w:r>
      <w:r w:rsidR="004E6312" w:rsidRPr="00E74838">
        <w:rPr>
          <w:rFonts w:cs="Times New Roman"/>
          <w:sz w:val="24"/>
          <w:szCs w:val="24"/>
        </w:rPr>
        <w:t xml:space="preserve"> </w:t>
      </w:r>
      <w:r w:rsidRPr="00E74838">
        <w:rPr>
          <w:rFonts w:cs="Times New Roman"/>
          <w:sz w:val="24"/>
          <w:szCs w:val="24"/>
        </w:rPr>
        <w:t>for particular programs</w:t>
      </w:r>
      <w:r w:rsidR="004E6312" w:rsidRPr="00E74838">
        <w:rPr>
          <w:rFonts w:cs="Times New Roman"/>
          <w:sz w:val="24"/>
          <w:szCs w:val="24"/>
        </w:rPr>
        <w:t>,</w:t>
      </w:r>
      <w:r w:rsidRPr="00E74838">
        <w:rPr>
          <w:rFonts w:cs="Times New Roman"/>
          <w:sz w:val="24"/>
          <w:szCs w:val="24"/>
        </w:rPr>
        <w:t xml:space="preserve"> as the commenter recommends.  </w:t>
      </w:r>
    </w:p>
    <w:p w14:paraId="5FD449AC" w14:textId="77777777" w:rsidR="00615781" w:rsidRPr="00E74838" w:rsidRDefault="00615781" w:rsidP="0001000B">
      <w:pPr>
        <w:autoSpaceDE w:val="0"/>
        <w:autoSpaceDN w:val="0"/>
        <w:adjustRightInd w:val="0"/>
        <w:spacing w:after="0" w:line="240" w:lineRule="auto"/>
        <w:rPr>
          <w:rFonts w:cs="Times New Roman"/>
          <w:sz w:val="24"/>
          <w:szCs w:val="24"/>
        </w:rPr>
      </w:pPr>
    </w:p>
    <w:p w14:paraId="560AFCC6" w14:textId="2748875F" w:rsidR="00327E63" w:rsidRPr="00E74838" w:rsidRDefault="00327E63" w:rsidP="0001000B">
      <w:pPr>
        <w:autoSpaceDE w:val="0"/>
        <w:autoSpaceDN w:val="0"/>
        <w:adjustRightInd w:val="0"/>
        <w:spacing w:after="0" w:line="240" w:lineRule="auto"/>
        <w:rPr>
          <w:rFonts w:eastAsia="Times New Roman" w:cs="Times New Roman"/>
          <w:sz w:val="24"/>
          <w:szCs w:val="24"/>
        </w:rPr>
      </w:pPr>
      <w:r w:rsidRPr="00E74838">
        <w:rPr>
          <w:rFonts w:cs="Times New Roman"/>
          <w:sz w:val="24"/>
          <w:szCs w:val="24"/>
        </w:rPr>
        <w:t>The Departments disagree with comments indicating</w:t>
      </w:r>
      <w:r w:rsidR="00F4756E" w:rsidRPr="00E74838">
        <w:rPr>
          <w:rFonts w:cs="Times New Roman"/>
          <w:sz w:val="24"/>
          <w:szCs w:val="24"/>
        </w:rPr>
        <w:t xml:space="preserve"> that</w:t>
      </w:r>
      <w:r w:rsidRPr="00E74838">
        <w:rPr>
          <w:rFonts w:cs="Times New Roman"/>
          <w:sz w:val="24"/>
          <w:szCs w:val="24"/>
        </w:rPr>
        <w:t xml:space="preserve"> a State should not be held accountable for its participants if supplemental data collection methods do not produce desired information.  Such a policy could create disincentives to implement effective supplemental data collection procedures.  </w:t>
      </w:r>
    </w:p>
    <w:p w14:paraId="70A37D48" w14:textId="77777777" w:rsidR="00327E63" w:rsidRPr="00E74838" w:rsidRDefault="00327E63" w:rsidP="0001000B">
      <w:pPr>
        <w:autoSpaceDE w:val="0"/>
        <w:autoSpaceDN w:val="0"/>
        <w:adjustRightInd w:val="0"/>
        <w:spacing w:after="0" w:line="240" w:lineRule="auto"/>
        <w:rPr>
          <w:rFonts w:cs="Times New Roman"/>
          <w:sz w:val="24"/>
          <w:szCs w:val="24"/>
        </w:rPr>
      </w:pPr>
    </w:p>
    <w:p w14:paraId="6A1112C9" w14:textId="57D902B8" w:rsidR="00A57E33" w:rsidRPr="00E74838" w:rsidRDefault="00A57E33" w:rsidP="0001000B">
      <w:pPr>
        <w:autoSpaceDE w:val="0"/>
        <w:autoSpaceDN w:val="0"/>
        <w:adjustRightInd w:val="0"/>
        <w:spacing w:after="0" w:line="240" w:lineRule="auto"/>
        <w:rPr>
          <w:rFonts w:cs="Times New Roman"/>
          <w:b/>
          <w:sz w:val="24"/>
          <w:szCs w:val="24"/>
        </w:rPr>
      </w:pPr>
      <w:r w:rsidRPr="00E74838">
        <w:rPr>
          <w:rFonts w:eastAsia="Times New Roman" w:cs="Times New Roman"/>
          <w:sz w:val="24"/>
          <w:szCs w:val="24"/>
        </w:rPr>
        <w:t>No change has been made in response to th</w:t>
      </w:r>
      <w:r w:rsidR="009F44AA" w:rsidRPr="00E74838">
        <w:rPr>
          <w:rFonts w:eastAsia="Times New Roman" w:cs="Times New Roman"/>
          <w:sz w:val="24"/>
          <w:szCs w:val="24"/>
        </w:rPr>
        <w:t xml:space="preserve">ese </w:t>
      </w:r>
      <w:r w:rsidRPr="00E74838">
        <w:rPr>
          <w:rFonts w:eastAsia="Times New Roman" w:cs="Times New Roman"/>
          <w:sz w:val="24"/>
          <w:szCs w:val="24"/>
        </w:rPr>
        <w:t>comment</w:t>
      </w:r>
      <w:r w:rsidR="009F44AA" w:rsidRPr="00E74838">
        <w:rPr>
          <w:rFonts w:eastAsia="Times New Roman" w:cs="Times New Roman"/>
          <w:sz w:val="24"/>
          <w:szCs w:val="24"/>
        </w:rPr>
        <w:t>s</w:t>
      </w:r>
      <w:r w:rsidRPr="00E74838">
        <w:rPr>
          <w:rFonts w:eastAsia="Times New Roman" w:cs="Times New Roman"/>
          <w:sz w:val="24"/>
          <w:szCs w:val="24"/>
        </w:rPr>
        <w:t xml:space="preserve">. </w:t>
      </w:r>
    </w:p>
    <w:p w14:paraId="5C3AE004" w14:textId="77777777" w:rsidR="00A57E33" w:rsidRPr="00E74838" w:rsidRDefault="00A57E33" w:rsidP="0001000B">
      <w:pPr>
        <w:autoSpaceDE w:val="0"/>
        <w:autoSpaceDN w:val="0"/>
        <w:adjustRightInd w:val="0"/>
        <w:spacing w:after="0" w:line="240" w:lineRule="auto"/>
        <w:rPr>
          <w:rFonts w:cs="Times New Roman"/>
          <w:sz w:val="24"/>
          <w:szCs w:val="24"/>
        </w:rPr>
      </w:pPr>
    </w:p>
    <w:p w14:paraId="2E8EF332" w14:textId="6A2F2C8F" w:rsidR="008E7109" w:rsidRPr="00E74838" w:rsidRDefault="008E7109" w:rsidP="0001000B">
      <w:pPr>
        <w:spacing w:after="0" w:line="240" w:lineRule="auto"/>
        <w:outlineLvl w:val="0"/>
        <w:rPr>
          <w:rFonts w:cs="Times New Roman"/>
          <w:b/>
          <w:sz w:val="24"/>
          <w:szCs w:val="24"/>
        </w:rPr>
      </w:pPr>
      <w:r w:rsidRPr="00E74838">
        <w:rPr>
          <w:rFonts w:cs="Times New Roman"/>
          <w:b/>
          <w:sz w:val="24"/>
          <w:szCs w:val="24"/>
          <w:u w:val="single"/>
        </w:rPr>
        <w:lastRenderedPageBreak/>
        <w:t>Exclusions from Performance Accountability – Participants who are Criminal Offenders</w:t>
      </w:r>
      <w:r w:rsidRPr="00E74838">
        <w:rPr>
          <w:rFonts w:cs="Times New Roman"/>
          <w:b/>
          <w:sz w:val="24"/>
          <w:szCs w:val="24"/>
        </w:rPr>
        <w:t>:</w:t>
      </w:r>
    </w:p>
    <w:p w14:paraId="7BD3A821" w14:textId="77777777" w:rsidR="003F293A" w:rsidRPr="00E74838" w:rsidRDefault="003F293A" w:rsidP="0001000B">
      <w:pPr>
        <w:spacing w:after="0" w:line="240" w:lineRule="auto"/>
        <w:outlineLvl w:val="0"/>
        <w:rPr>
          <w:rFonts w:cs="Times New Roman"/>
          <w:sz w:val="24"/>
          <w:szCs w:val="24"/>
        </w:rPr>
      </w:pPr>
    </w:p>
    <w:p w14:paraId="5DD0D1C9" w14:textId="02FA384B" w:rsidR="008E7109" w:rsidRPr="00E74838" w:rsidRDefault="008E7109" w:rsidP="0001000B">
      <w:pPr>
        <w:autoSpaceDE w:val="0"/>
        <w:autoSpaceDN w:val="0"/>
        <w:adjustRightInd w:val="0"/>
        <w:spacing w:after="0" w:line="240" w:lineRule="auto"/>
        <w:rPr>
          <w:rFonts w:cs="Times New Roman"/>
          <w:sz w:val="24"/>
          <w:szCs w:val="24"/>
        </w:rPr>
      </w:pPr>
      <w:r w:rsidRPr="00E74838">
        <w:rPr>
          <w:rFonts w:cs="Times New Roman"/>
          <w:sz w:val="24"/>
          <w:szCs w:val="24"/>
        </w:rPr>
        <w:t>One commenter requested clarification regarding the addition of “criminal offender” to the list of “other reasons for exit.”  Specifically, the commenter indicated that “criminal offender</w:t>
      </w:r>
      <w:r w:rsidR="00F4756E" w:rsidRPr="00E74838">
        <w:rPr>
          <w:rFonts w:cs="Times New Roman"/>
          <w:sz w:val="24"/>
          <w:szCs w:val="24"/>
        </w:rPr>
        <w:t>”</w:t>
      </w:r>
      <w:r w:rsidRPr="00E74838">
        <w:rPr>
          <w:rFonts w:cs="Times New Roman"/>
          <w:sz w:val="24"/>
          <w:szCs w:val="24"/>
        </w:rPr>
        <w:t xml:space="preserve"> is more of a characteristic rather than a reason for exclusion.  The commenter asked whether the “criminal offender” data element is limited to the AEFLA program.</w:t>
      </w:r>
    </w:p>
    <w:p w14:paraId="1EA1262A" w14:textId="77777777" w:rsidR="008E7109" w:rsidRPr="00E74838" w:rsidRDefault="008E7109" w:rsidP="0001000B">
      <w:pPr>
        <w:autoSpaceDE w:val="0"/>
        <w:autoSpaceDN w:val="0"/>
        <w:adjustRightInd w:val="0"/>
        <w:spacing w:after="0" w:line="240" w:lineRule="auto"/>
        <w:rPr>
          <w:rFonts w:cs="Times New Roman"/>
          <w:sz w:val="24"/>
          <w:szCs w:val="24"/>
        </w:rPr>
      </w:pPr>
    </w:p>
    <w:p w14:paraId="0332E7FA" w14:textId="71571ECF" w:rsidR="000362A6" w:rsidRPr="00E74838" w:rsidRDefault="000362A6" w:rsidP="0001000B">
      <w:pPr>
        <w:spacing w:after="0" w:line="240" w:lineRule="auto"/>
        <w:rPr>
          <w:rFonts w:eastAsia="Arial" w:cs="Times New Roman"/>
          <w:sz w:val="24"/>
          <w:szCs w:val="24"/>
        </w:rPr>
      </w:pPr>
      <w:r w:rsidRPr="00E74838">
        <w:rPr>
          <w:rFonts w:eastAsia="Arial" w:cs="Times New Roman"/>
          <w:b/>
          <w:sz w:val="24"/>
          <w:szCs w:val="24"/>
        </w:rPr>
        <w:t>Agencies’ Response, June 2016:</w:t>
      </w:r>
      <w:r w:rsidRPr="00E74838">
        <w:rPr>
          <w:rFonts w:cs="Times New Roman"/>
          <w:sz w:val="24"/>
          <w:szCs w:val="24"/>
        </w:rPr>
        <w:t xml:space="preserve">  </w:t>
      </w:r>
      <w:r w:rsidR="00BE613C" w:rsidRPr="00E74838">
        <w:rPr>
          <w:rFonts w:cs="Times New Roman"/>
          <w:sz w:val="24"/>
          <w:szCs w:val="24"/>
        </w:rPr>
        <w:t xml:space="preserve">The Departments provide detailed guidance on this </w:t>
      </w:r>
      <w:r w:rsidRPr="00E74838">
        <w:rPr>
          <w:rFonts w:cs="Times New Roman"/>
          <w:sz w:val="24"/>
          <w:szCs w:val="24"/>
        </w:rPr>
        <w:t xml:space="preserve">issue in the </w:t>
      </w:r>
      <w:r w:rsidR="00BE613C" w:rsidRPr="00E74838">
        <w:rPr>
          <w:rFonts w:cs="Times New Roman"/>
          <w:sz w:val="24"/>
          <w:szCs w:val="24"/>
        </w:rPr>
        <w:t>Joint Final Rule</w:t>
      </w:r>
      <w:r w:rsidRPr="00E74838">
        <w:rPr>
          <w:rFonts w:cs="Times New Roman"/>
          <w:sz w:val="24"/>
          <w:szCs w:val="24"/>
        </w:rPr>
        <w:t xml:space="preserve">.  </w:t>
      </w:r>
      <w:r w:rsidRPr="00E74838">
        <w:rPr>
          <w:rFonts w:cs="Times New Roman"/>
          <w:iCs/>
          <w:sz w:val="24"/>
          <w:szCs w:val="24"/>
        </w:rPr>
        <w:t xml:space="preserve">The Departments have added such exclusions </w:t>
      </w:r>
      <w:r w:rsidR="00F621DC" w:rsidRPr="00E74838">
        <w:rPr>
          <w:rFonts w:cs="Times New Roman"/>
          <w:iCs/>
          <w:sz w:val="24"/>
          <w:szCs w:val="24"/>
        </w:rPr>
        <w:t xml:space="preserve">pursuant to </w:t>
      </w:r>
      <w:r w:rsidRPr="00E74838">
        <w:rPr>
          <w:rFonts w:cs="Times New Roman"/>
          <w:iCs/>
          <w:sz w:val="24"/>
          <w:szCs w:val="24"/>
        </w:rPr>
        <w:t xml:space="preserve">comments </w:t>
      </w:r>
      <w:r w:rsidR="00F621DC" w:rsidRPr="00E74838">
        <w:rPr>
          <w:rFonts w:cs="Times New Roman"/>
          <w:iCs/>
          <w:sz w:val="24"/>
          <w:szCs w:val="24"/>
        </w:rPr>
        <w:t xml:space="preserve">we received in response to the Joint NPRM </w:t>
      </w:r>
      <w:r w:rsidRPr="00E74838">
        <w:rPr>
          <w:rFonts w:cs="Times New Roman"/>
          <w:iCs/>
          <w:sz w:val="24"/>
          <w:szCs w:val="24"/>
        </w:rPr>
        <w:t xml:space="preserve">regarding those who are “not in the labor force.” The Departments, in general, disagreed with </w:t>
      </w:r>
      <w:r w:rsidR="00F621DC" w:rsidRPr="00E74838">
        <w:rPr>
          <w:rFonts w:cs="Times New Roman"/>
          <w:iCs/>
          <w:sz w:val="24"/>
          <w:szCs w:val="24"/>
        </w:rPr>
        <w:t xml:space="preserve">commenters who requested </w:t>
      </w:r>
      <w:r w:rsidRPr="00E74838">
        <w:rPr>
          <w:rFonts w:cs="Times New Roman"/>
          <w:iCs/>
          <w:sz w:val="24"/>
          <w:szCs w:val="24"/>
        </w:rPr>
        <w:t xml:space="preserve">broad exclusions </w:t>
      </w:r>
      <w:r w:rsidR="00F621DC" w:rsidRPr="00E74838">
        <w:rPr>
          <w:rFonts w:cs="Times New Roman"/>
          <w:iCs/>
          <w:sz w:val="24"/>
          <w:szCs w:val="24"/>
        </w:rPr>
        <w:t xml:space="preserve">for purposes of the primary </w:t>
      </w:r>
      <w:r w:rsidRPr="00E74838">
        <w:rPr>
          <w:rFonts w:cs="Times New Roman"/>
          <w:iCs/>
          <w:sz w:val="24"/>
          <w:szCs w:val="24"/>
        </w:rPr>
        <w:t>performance indicators for individuals who are not actively looking for work.  However</w:t>
      </w:r>
      <w:r w:rsidR="008300E2" w:rsidRPr="00E74838">
        <w:rPr>
          <w:rFonts w:cs="Times New Roman"/>
          <w:iCs/>
          <w:sz w:val="24"/>
          <w:szCs w:val="24"/>
        </w:rPr>
        <w:t xml:space="preserve">, the Departments </w:t>
      </w:r>
      <w:r w:rsidRPr="00E74838">
        <w:rPr>
          <w:rFonts w:cs="Times New Roman"/>
          <w:iCs/>
          <w:sz w:val="24"/>
          <w:szCs w:val="24"/>
        </w:rPr>
        <w:t xml:space="preserve">recognize and acknowledge in both the </w:t>
      </w:r>
      <w:r w:rsidR="008300E2" w:rsidRPr="00E74838">
        <w:rPr>
          <w:rFonts w:cs="Times New Roman"/>
          <w:iCs/>
          <w:sz w:val="24"/>
          <w:szCs w:val="24"/>
        </w:rPr>
        <w:t xml:space="preserve">final regulatory text </w:t>
      </w:r>
      <w:r w:rsidRPr="00E74838">
        <w:rPr>
          <w:rFonts w:cs="Times New Roman"/>
          <w:iCs/>
          <w:sz w:val="24"/>
          <w:szCs w:val="24"/>
        </w:rPr>
        <w:t xml:space="preserve">and preamble </w:t>
      </w:r>
      <w:r w:rsidR="008300E2" w:rsidRPr="00E74838">
        <w:rPr>
          <w:rFonts w:cs="Times New Roman"/>
          <w:iCs/>
          <w:sz w:val="24"/>
          <w:szCs w:val="24"/>
        </w:rPr>
        <w:t xml:space="preserve">for </w:t>
      </w:r>
      <w:r w:rsidR="00F4756E" w:rsidRPr="00E74838">
        <w:rPr>
          <w:rFonts w:cs="Times New Roman"/>
          <w:iCs/>
          <w:sz w:val="24"/>
          <w:szCs w:val="24"/>
        </w:rPr>
        <w:t>§</w:t>
      </w:r>
      <w:r w:rsidRPr="00E74838">
        <w:rPr>
          <w:rFonts w:cs="Times New Roman"/>
          <w:iCs/>
          <w:sz w:val="24"/>
          <w:szCs w:val="24"/>
        </w:rPr>
        <w:t xml:space="preserve"> 677.155 </w:t>
      </w:r>
      <w:r w:rsidR="00F4756E" w:rsidRPr="00E74838">
        <w:rPr>
          <w:rFonts w:cs="Times New Roman"/>
          <w:iCs/>
          <w:sz w:val="24"/>
          <w:szCs w:val="24"/>
        </w:rPr>
        <w:t xml:space="preserve">in the Joint Final Rule </w:t>
      </w:r>
      <w:r w:rsidRPr="00E74838">
        <w:rPr>
          <w:rFonts w:cs="Times New Roman"/>
          <w:iCs/>
          <w:sz w:val="24"/>
          <w:szCs w:val="24"/>
        </w:rPr>
        <w:t xml:space="preserve">that there are limited circumstances </w:t>
      </w:r>
      <w:r w:rsidR="00F4756E" w:rsidRPr="00E74838">
        <w:rPr>
          <w:rFonts w:cs="Times New Roman"/>
          <w:iCs/>
          <w:sz w:val="24"/>
          <w:szCs w:val="24"/>
        </w:rPr>
        <w:t xml:space="preserve">under which </w:t>
      </w:r>
      <w:r w:rsidRPr="00E74838">
        <w:rPr>
          <w:rFonts w:cs="Times New Roman"/>
          <w:iCs/>
          <w:sz w:val="24"/>
          <w:szCs w:val="24"/>
        </w:rPr>
        <w:t xml:space="preserve">certain </w:t>
      </w:r>
      <w:r w:rsidR="008300E2" w:rsidRPr="00E74838">
        <w:rPr>
          <w:rFonts w:cs="Times New Roman"/>
          <w:iCs/>
          <w:sz w:val="24"/>
          <w:szCs w:val="24"/>
        </w:rPr>
        <w:t>participants</w:t>
      </w:r>
      <w:r w:rsidRPr="00E74838">
        <w:rPr>
          <w:rFonts w:cs="Times New Roman"/>
          <w:iCs/>
          <w:sz w:val="24"/>
          <w:szCs w:val="24"/>
        </w:rPr>
        <w:t xml:space="preserve">, such as those who are incarcerated and receiving services under </w:t>
      </w:r>
      <w:r w:rsidR="00F4756E" w:rsidRPr="00E74838">
        <w:rPr>
          <w:rFonts w:cs="Times New Roman"/>
          <w:iCs/>
          <w:sz w:val="24"/>
          <w:szCs w:val="24"/>
        </w:rPr>
        <w:t>s</w:t>
      </w:r>
      <w:r w:rsidRPr="00E74838">
        <w:rPr>
          <w:rFonts w:cs="Times New Roman"/>
          <w:iCs/>
          <w:sz w:val="24"/>
          <w:szCs w:val="24"/>
        </w:rPr>
        <w:t>ec</w:t>
      </w:r>
      <w:r w:rsidR="00F4756E" w:rsidRPr="00E74838">
        <w:rPr>
          <w:rFonts w:cs="Times New Roman"/>
          <w:iCs/>
          <w:sz w:val="24"/>
          <w:szCs w:val="24"/>
        </w:rPr>
        <w:t>tion</w:t>
      </w:r>
      <w:r w:rsidRPr="00E74838">
        <w:rPr>
          <w:rFonts w:cs="Times New Roman"/>
          <w:iCs/>
          <w:sz w:val="24"/>
          <w:szCs w:val="24"/>
        </w:rPr>
        <w:t xml:space="preserve"> 225 of WIOA, should not be included in the performance calculations for certain indicators. </w:t>
      </w:r>
      <w:r w:rsidR="00C708BA" w:rsidRPr="00E74838">
        <w:rPr>
          <w:rFonts w:cs="Times New Roman"/>
          <w:iCs/>
          <w:sz w:val="24"/>
          <w:szCs w:val="24"/>
        </w:rPr>
        <w:t xml:space="preserve"> </w:t>
      </w:r>
      <w:r w:rsidRPr="00E74838">
        <w:rPr>
          <w:rFonts w:cs="Times New Roman"/>
          <w:iCs/>
          <w:sz w:val="24"/>
          <w:szCs w:val="24"/>
        </w:rPr>
        <w:t xml:space="preserve">The Departments have decided to exclude such individuals receiving services under </w:t>
      </w:r>
      <w:r w:rsidR="008300E2" w:rsidRPr="00E74838">
        <w:rPr>
          <w:rFonts w:cs="Times New Roman"/>
          <w:iCs/>
          <w:sz w:val="24"/>
          <w:szCs w:val="24"/>
        </w:rPr>
        <w:t>s</w:t>
      </w:r>
      <w:r w:rsidRPr="00E74838">
        <w:rPr>
          <w:rFonts w:cs="Times New Roman"/>
          <w:iCs/>
          <w:sz w:val="24"/>
          <w:szCs w:val="24"/>
        </w:rPr>
        <w:t>ec</w:t>
      </w:r>
      <w:r w:rsidR="00F4756E" w:rsidRPr="00E74838">
        <w:rPr>
          <w:rFonts w:cs="Times New Roman"/>
          <w:iCs/>
          <w:sz w:val="24"/>
          <w:szCs w:val="24"/>
        </w:rPr>
        <w:t>tion</w:t>
      </w:r>
      <w:r w:rsidRPr="00E74838">
        <w:rPr>
          <w:rFonts w:cs="Times New Roman"/>
          <w:iCs/>
          <w:sz w:val="24"/>
          <w:szCs w:val="24"/>
        </w:rPr>
        <w:t xml:space="preserve"> 225 of WIOA </w:t>
      </w:r>
      <w:r w:rsidR="008300E2" w:rsidRPr="00E74838">
        <w:rPr>
          <w:rFonts w:cs="Times New Roman"/>
          <w:iCs/>
          <w:sz w:val="24"/>
          <w:szCs w:val="24"/>
        </w:rPr>
        <w:t xml:space="preserve">because </w:t>
      </w:r>
      <w:r w:rsidRPr="00E74838">
        <w:rPr>
          <w:rFonts w:cs="Times New Roman"/>
          <w:iCs/>
          <w:sz w:val="24"/>
          <w:szCs w:val="24"/>
        </w:rPr>
        <w:t xml:space="preserve">they do not have the opportunity to obtain employment or participate in education or training programs in the same manner as other participants who are in the general population.  </w:t>
      </w:r>
      <w:r w:rsidR="008300E2" w:rsidRPr="00E74838">
        <w:rPr>
          <w:rFonts w:cs="Times New Roman"/>
          <w:iCs/>
          <w:sz w:val="24"/>
          <w:szCs w:val="24"/>
        </w:rPr>
        <w:t>The Departments included the exclusion for sec</w:t>
      </w:r>
      <w:r w:rsidR="00F4756E" w:rsidRPr="00E74838">
        <w:rPr>
          <w:rFonts w:cs="Times New Roman"/>
          <w:iCs/>
          <w:sz w:val="24"/>
          <w:szCs w:val="24"/>
        </w:rPr>
        <w:t>tion</w:t>
      </w:r>
      <w:r w:rsidR="008300E2" w:rsidRPr="00E74838">
        <w:rPr>
          <w:rFonts w:cs="Times New Roman"/>
          <w:iCs/>
          <w:sz w:val="24"/>
          <w:szCs w:val="24"/>
        </w:rPr>
        <w:t xml:space="preserve"> 225 participants from all calculations for performance accountability purposes except for calculations specific to the measurable skill gain</w:t>
      </w:r>
      <w:r w:rsidR="00F4756E" w:rsidRPr="00E74838">
        <w:rPr>
          <w:rFonts w:cs="Times New Roman"/>
          <w:iCs/>
          <w:sz w:val="24"/>
          <w:szCs w:val="24"/>
        </w:rPr>
        <w:t>s</w:t>
      </w:r>
      <w:r w:rsidR="008300E2" w:rsidRPr="00E74838">
        <w:rPr>
          <w:rFonts w:cs="Times New Roman"/>
          <w:iCs/>
          <w:sz w:val="24"/>
          <w:szCs w:val="24"/>
        </w:rPr>
        <w:t xml:space="preserve"> indicator in </w:t>
      </w:r>
      <w:r w:rsidR="00F4756E" w:rsidRPr="00E74838">
        <w:rPr>
          <w:rFonts w:cs="Times New Roman"/>
          <w:iCs/>
          <w:sz w:val="24"/>
          <w:szCs w:val="24"/>
        </w:rPr>
        <w:t>§</w:t>
      </w:r>
      <w:r w:rsidR="008300E2" w:rsidRPr="00E74838">
        <w:rPr>
          <w:rFonts w:cs="Times New Roman"/>
          <w:iCs/>
          <w:sz w:val="24"/>
          <w:szCs w:val="24"/>
        </w:rPr>
        <w:t xml:space="preserve"> </w:t>
      </w:r>
      <w:r w:rsidRPr="00E74838">
        <w:rPr>
          <w:rFonts w:cs="Times New Roman"/>
          <w:iCs/>
          <w:sz w:val="24"/>
          <w:szCs w:val="24"/>
        </w:rPr>
        <w:t xml:space="preserve">677.155(a)(2) </w:t>
      </w:r>
      <w:r w:rsidR="008300E2" w:rsidRPr="00E74838">
        <w:rPr>
          <w:rFonts w:cs="Times New Roman"/>
          <w:iCs/>
          <w:sz w:val="24"/>
          <w:szCs w:val="24"/>
        </w:rPr>
        <w:t>in the Joint Final Rule</w:t>
      </w:r>
      <w:r w:rsidRPr="00E74838">
        <w:rPr>
          <w:rFonts w:cs="Times New Roman"/>
          <w:iCs/>
          <w:sz w:val="24"/>
          <w:szCs w:val="24"/>
        </w:rPr>
        <w:t xml:space="preserve">.  </w:t>
      </w:r>
      <w:r w:rsidRPr="00E74838">
        <w:rPr>
          <w:rFonts w:eastAsia="Times New Roman" w:cs="Times New Roman"/>
          <w:sz w:val="24"/>
          <w:szCs w:val="24"/>
        </w:rPr>
        <w:t xml:space="preserve">No </w:t>
      </w:r>
      <w:r w:rsidR="00802C96" w:rsidRPr="00E74838">
        <w:rPr>
          <w:rFonts w:eastAsia="Times New Roman" w:cs="Times New Roman"/>
          <w:sz w:val="24"/>
          <w:szCs w:val="24"/>
        </w:rPr>
        <w:t xml:space="preserve">further </w:t>
      </w:r>
      <w:r w:rsidRPr="00E74838">
        <w:rPr>
          <w:rFonts w:eastAsia="Times New Roman" w:cs="Times New Roman"/>
          <w:sz w:val="24"/>
          <w:szCs w:val="24"/>
        </w:rPr>
        <w:t>change has been made in response to this comment.</w:t>
      </w:r>
    </w:p>
    <w:p w14:paraId="380F3467" w14:textId="77777777" w:rsidR="00CD241A" w:rsidRPr="00E74838" w:rsidRDefault="00CD241A" w:rsidP="0001000B">
      <w:pPr>
        <w:autoSpaceDE w:val="0"/>
        <w:autoSpaceDN w:val="0"/>
        <w:adjustRightInd w:val="0"/>
        <w:spacing w:after="0" w:line="240" w:lineRule="auto"/>
        <w:rPr>
          <w:rFonts w:cs="Times New Roman"/>
          <w:sz w:val="24"/>
          <w:szCs w:val="24"/>
        </w:rPr>
      </w:pPr>
    </w:p>
    <w:p w14:paraId="5137D967" w14:textId="4345E106" w:rsidR="007B4B0D" w:rsidRPr="00E74838" w:rsidRDefault="007B4B0D" w:rsidP="0001000B">
      <w:pPr>
        <w:autoSpaceDE w:val="0"/>
        <w:autoSpaceDN w:val="0"/>
        <w:adjustRightInd w:val="0"/>
        <w:spacing w:after="0" w:line="240" w:lineRule="auto"/>
        <w:rPr>
          <w:rFonts w:cs="Times New Roman"/>
          <w:b/>
          <w:sz w:val="24"/>
          <w:szCs w:val="24"/>
        </w:rPr>
      </w:pPr>
      <w:r w:rsidRPr="00E74838">
        <w:rPr>
          <w:rFonts w:cs="Times New Roman"/>
          <w:b/>
          <w:sz w:val="24"/>
          <w:szCs w:val="24"/>
          <w:u w:val="single"/>
        </w:rPr>
        <w:t>Performance Periods for Reporting Purposes</w:t>
      </w:r>
      <w:r w:rsidRPr="00E74838">
        <w:rPr>
          <w:rFonts w:cs="Times New Roman"/>
          <w:b/>
          <w:sz w:val="24"/>
          <w:szCs w:val="24"/>
        </w:rPr>
        <w:t>:</w:t>
      </w:r>
    </w:p>
    <w:p w14:paraId="45059515" w14:textId="77777777" w:rsidR="003F293A" w:rsidRPr="00E74838" w:rsidRDefault="003F293A" w:rsidP="0001000B">
      <w:pPr>
        <w:autoSpaceDE w:val="0"/>
        <w:autoSpaceDN w:val="0"/>
        <w:adjustRightInd w:val="0"/>
        <w:spacing w:after="0" w:line="240" w:lineRule="auto"/>
        <w:rPr>
          <w:rFonts w:cs="Times New Roman"/>
          <w:sz w:val="24"/>
          <w:szCs w:val="24"/>
        </w:rPr>
      </w:pPr>
    </w:p>
    <w:p w14:paraId="1A817252" w14:textId="5C540D8F" w:rsidR="00402F3C" w:rsidRPr="00E74838" w:rsidRDefault="00402F3C" w:rsidP="0001000B">
      <w:pPr>
        <w:autoSpaceDE w:val="0"/>
        <w:autoSpaceDN w:val="0"/>
        <w:adjustRightInd w:val="0"/>
        <w:spacing w:after="0" w:line="240" w:lineRule="auto"/>
        <w:rPr>
          <w:rFonts w:cs="Times New Roman"/>
          <w:sz w:val="24"/>
          <w:szCs w:val="24"/>
        </w:rPr>
      </w:pPr>
      <w:r w:rsidRPr="00E74838">
        <w:rPr>
          <w:rFonts w:cs="Times New Roman"/>
          <w:sz w:val="24"/>
          <w:szCs w:val="24"/>
        </w:rPr>
        <w:t>A few commenters requested clarification regarding which quarters were to be used for reporting periods of participation for</w:t>
      </w:r>
      <w:r w:rsidR="00886733" w:rsidRPr="00E74838">
        <w:rPr>
          <w:rFonts w:cs="Times New Roman"/>
          <w:sz w:val="24"/>
          <w:szCs w:val="24"/>
        </w:rPr>
        <w:t xml:space="preserve"> </w:t>
      </w:r>
      <w:r w:rsidRPr="00E74838">
        <w:rPr>
          <w:rFonts w:cs="Times New Roman"/>
          <w:sz w:val="24"/>
          <w:szCs w:val="24"/>
        </w:rPr>
        <w:t xml:space="preserve">purposes of the performance accountability system.  </w:t>
      </w:r>
      <w:r w:rsidR="00024892" w:rsidRPr="00E74838">
        <w:rPr>
          <w:rFonts w:cs="Times New Roman"/>
          <w:sz w:val="24"/>
          <w:szCs w:val="24"/>
        </w:rPr>
        <w:t>These commenters</w:t>
      </w:r>
      <w:r w:rsidRPr="00E74838">
        <w:rPr>
          <w:rFonts w:cs="Times New Roman"/>
          <w:sz w:val="24"/>
          <w:szCs w:val="24"/>
        </w:rPr>
        <w:t>, in particular</w:t>
      </w:r>
      <w:r w:rsidR="00E27633" w:rsidRPr="00E74838">
        <w:rPr>
          <w:rFonts w:cs="Times New Roman"/>
          <w:sz w:val="24"/>
          <w:szCs w:val="24"/>
        </w:rPr>
        <w:t>,</w:t>
      </w:r>
      <w:r w:rsidRPr="00E74838">
        <w:rPr>
          <w:rFonts w:cs="Times New Roman"/>
          <w:sz w:val="24"/>
          <w:szCs w:val="24"/>
        </w:rPr>
        <w:t xml:space="preserve"> questioned the specific quarters that were to be used for the annual report.  Th</w:t>
      </w:r>
      <w:r w:rsidR="00024892" w:rsidRPr="00E74838">
        <w:rPr>
          <w:rFonts w:cs="Times New Roman"/>
          <w:sz w:val="24"/>
          <w:szCs w:val="24"/>
        </w:rPr>
        <w:t xml:space="preserve">e </w:t>
      </w:r>
      <w:r w:rsidRPr="00E74838">
        <w:rPr>
          <w:rFonts w:cs="Times New Roman"/>
          <w:sz w:val="24"/>
          <w:szCs w:val="24"/>
        </w:rPr>
        <w:t>commenter</w:t>
      </w:r>
      <w:r w:rsidR="00024892" w:rsidRPr="00E74838">
        <w:rPr>
          <w:rFonts w:cs="Times New Roman"/>
          <w:sz w:val="24"/>
          <w:szCs w:val="24"/>
        </w:rPr>
        <w:t>s</w:t>
      </w:r>
      <w:r w:rsidRPr="00E74838">
        <w:rPr>
          <w:rFonts w:cs="Times New Roman"/>
          <w:sz w:val="24"/>
          <w:szCs w:val="24"/>
        </w:rPr>
        <w:t xml:space="preserve"> suggested there may be an error in the Joint Performance ICR</w:t>
      </w:r>
      <w:r w:rsidR="00D10726" w:rsidRPr="00E74838">
        <w:rPr>
          <w:rFonts w:cs="Times New Roman"/>
          <w:sz w:val="24"/>
          <w:szCs w:val="24"/>
        </w:rPr>
        <w:t xml:space="preserve"> with</w:t>
      </w:r>
      <w:r w:rsidR="00C24628" w:rsidRPr="00E74838">
        <w:rPr>
          <w:rFonts w:cs="Times New Roman"/>
          <w:sz w:val="24"/>
          <w:szCs w:val="24"/>
        </w:rPr>
        <w:t xml:space="preserve"> </w:t>
      </w:r>
      <w:r w:rsidR="00D10726" w:rsidRPr="00E74838">
        <w:rPr>
          <w:rFonts w:cs="Times New Roman"/>
          <w:sz w:val="24"/>
          <w:szCs w:val="24"/>
        </w:rPr>
        <w:t>respect to a lag time in the quarters</w:t>
      </w:r>
      <w:r w:rsidR="00454FD9" w:rsidRPr="00E74838">
        <w:rPr>
          <w:rFonts w:cs="Times New Roman"/>
          <w:sz w:val="24"/>
          <w:szCs w:val="24"/>
        </w:rPr>
        <w:t xml:space="preserve"> for some of the performance indicators</w:t>
      </w:r>
      <w:r w:rsidRPr="00E74838">
        <w:rPr>
          <w:rFonts w:cs="Times New Roman"/>
          <w:sz w:val="24"/>
          <w:szCs w:val="24"/>
        </w:rPr>
        <w:t>.</w:t>
      </w:r>
      <w:r w:rsidR="00D10726" w:rsidRPr="00E74838">
        <w:rPr>
          <w:rFonts w:cs="Times New Roman"/>
          <w:sz w:val="24"/>
          <w:szCs w:val="24"/>
        </w:rPr>
        <w:t xml:space="preserve">  Another </w:t>
      </w:r>
      <w:r w:rsidR="00886733" w:rsidRPr="00E74838">
        <w:rPr>
          <w:rFonts w:cs="Times New Roman"/>
          <w:sz w:val="24"/>
          <w:szCs w:val="24"/>
        </w:rPr>
        <w:t xml:space="preserve">of these </w:t>
      </w:r>
      <w:r w:rsidR="00D10726" w:rsidRPr="00E74838">
        <w:rPr>
          <w:rFonts w:cs="Times New Roman"/>
          <w:sz w:val="24"/>
          <w:szCs w:val="24"/>
        </w:rPr>
        <w:t>commenter</w:t>
      </w:r>
      <w:r w:rsidR="00886733" w:rsidRPr="00E74838">
        <w:rPr>
          <w:rFonts w:cs="Times New Roman"/>
          <w:sz w:val="24"/>
          <w:szCs w:val="24"/>
        </w:rPr>
        <w:t>s</w:t>
      </w:r>
      <w:r w:rsidR="00D10726" w:rsidRPr="00E74838">
        <w:rPr>
          <w:rFonts w:cs="Times New Roman"/>
          <w:sz w:val="24"/>
          <w:szCs w:val="24"/>
        </w:rPr>
        <w:t xml:space="preserve"> expressed concern that the additional two-quarter lag time could affect the relevance of the data.</w:t>
      </w:r>
      <w:r w:rsidR="00886733" w:rsidRPr="00E74838">
        <w:rPr>
          <w:rFonts w:cs="Times New Roman"/>
          <w:sz w:val="24"/>
          <w:szCs w:val="24"/>
        </w:rPr>
        <w:t xml:space="preserve">  Still another of these commenters asserted that the reporting period for the employer effectiveness measure does not reach back far enough to accurately capture the employee retention rate.</w:t>
      </w:r>
    </w:p>
    <w:p w14:paraId="74E13C96" w14:textId="77777777" w:rsidR="00D10726" w:rsidRPr="00E74838" w:rsidRDefault="00D10726" w:rsidP="0001000B">
      <w:pPr>
        <w:autoSpaceDE w:val="0"/>
        <w:autoSpaceDN w:val="0"/>
        <w:adjustRightInd w:val="0"/>
        <w:spacing w:after="0" w:line="240" w:lineRule="auto"/>
        <w:rPr>
          <w:rFonts w:cs="Times New Roman"/>
          <w:sz w:val="24"/>
          <w:szCs w:val="24"/>
        </w:rPr>
      </w:pPr>
    </w:p>
    <w:p w14:paraId="5F29E8BB" w14:textId="01F9DE91" w:rsidR="0081437F" w:rsidRPr="00E74838" w:rsidRDefault="00454FD9" w:rsidP="0001000B">
      <w:pPr>
        <w:autoSpaceDE w:val="0"/>
        <w:autoSpaceDN w:val="0"/>
        <w:adjustRightInd w:val="0"/>
        <w:spacing w:after="0" w:line="240" w:lineRule="auto"/>
        <w:rPr>
          <w:rFonts w:cs="Times New Roman"/>
          <w:sz w:val="24"/>
          <w:szCs w:val="24"/>
        </w:rPr>
      </w:pPr>
      <w:r w:rsidRPr="00E74838">
        <w:rPr>
          <w:rFonts w:cs="Times New Roman"/>
          <w:sz w:val="24"/>
          <w:szCs w:val="24"/>
        </w:rPr>
        <w:t xml:space="preserve">One </w:t>
      </w:r>
      <w:r w:rsidR="00E42024" w:rsidRPr="00E74838">
        <w:rPr>
          <w:rFonts w:cs="Times New Roman"/>
          <w:sz w:val="24"/>
          <w:szCs w:val="24"/>
        </w:rPr>
        <w:t>commenter also sought clarification regarding the performance periods that should be reported for purposes of the “effectiveness of serving employers” performance indicator.  Specifically, this commenter raised two concerns</w:t>
      </w:r>
      <w:r w:rsidR="00BA7EAE" w:rsidRPr="00E74838">
        <w:rPr>
          <w:rFonts w:cs="Times New Roman"/>
          <w:sz w:val="24"/>
          <w:szCs w:val="24"/>
        </w:rPr>
        <w:t xml:space="preserve"> with Appendix D of the Joint Performance ICR</w:t>
      </w:r>
      <w:r w:rsidR="00E42024" w:rsidRPr="00E74838">
        <w:rPr>
          <w:rFonts w:cs="Times New Roman"/>
          <w:sz w:val="24"/>
          <w:szCs w:val="24"/>
        </w:rPr>
        <w:t>:</w:t>
      </w:r>
    </w:p>
    <w:p w14:paraId="4D35271B" w14:textId="77777777" w:rsidR="0081437F" w:rsidRPr="00E74838" w:rsidRDefault="0081437F" w:rsidP="0001000B">
      <w:pPr>
        <w:autoSpaceDE w:val="0"/>
        <w:autoSpaceDN w:val="0"/>
        <w:adjustRightInd w:val="0"/>
        <w:spacing w:after="0" w:line="240" w:lineRule="auto"/>
        <w:rPr>
          <w:rFonts w:cs="Times New Roman"/>
          <w:sz w:val="24"/>
          <w:szCs w:val="24"/>
        </w:rPr>
      </w:pPr>
    </w:p>
    <w:p w14:paraId="500F08A8" w14:textId="1F1D6C9A" w:rsidR="00E42024" w:rsidRDefault="0081437F" w:rsidP="0001000B">
      <w:pPr>
        <w:pStyle w:val="ListParagraph"/>
        <w:numPr>
          <w:ilvl w:val="0"/>
          <w:numId w:val="35"/>
        </w:numPr>
        <w:autoSpaceDE w:val="0"/>
        <w:autoSpaceDN w:val="0"/>
        <w:adjustRightInd w:val="0"/>
        <w:spacing w:after="0" w:line="240" w:lineRule="auto"/>
        <w:rPr>
          <w:rFonts w:asciiTheme="minorHAnsi" w:eastAsia="Arial" w:hAnsiTheme="minorHAnsi" w:cs="Times New Roman"/>
          <w:szCs w:val="24"/>
        </w:rPr>
      </w:pPr>
      <w:r w:rsidRPr="00E74838">
        <w:rPr>
          <w:rFonts w:asciiTheme="minorHAnsi" w:hAnsiTheme="minorHAnsi" w:cs="Times New Roman"/>
          <w:szCs w:val="24"/>
        </w:rPr>
        <w:t>Em</w:t>
      </w:r>
      <w:r w:rsidR="00E42024" w:rsidRPr="00E74838">
        <w:rPr>
          <w:rFonts w:asciiTheme="minorHAnsi" w:eastAsia="Arial" w:hAnsiTheme="minorHAnsi" w:cs="Times New Roman"/>
          <w:szCs w:val="24"/>
        </w:rPr>
        <w:t>ployee Retention focuses on remaining employed with the 2</w:t>
      </w:r>
      <w:r w:rsidR="00E42024" w:rsidRPr="00E74838">
        <w:rPr>
          <w:rFonts w:asciiTheme="minorHAnsi" w:eastAsia="Arial" w:hAnsiTheme="minorHAnsi" w:cs="Times New Roman"/>
          <w:szCs w:val="24"/>
          <w:vertAlign w:val="superscript"/>
        </w:rPr>
        <w:t>nd</w:t>
      </w:r>
      <w:r w:rsidR="00E42024" w:rsidRPr="00E74838">
        <w:rPr>
          <w:rFonts w:asciiTheme="minorHAnsi" w:eastAsia="Arial" w:hAnsiTheme="minorHAnsi" w:cs="Times New Roman"/>
          <w:szCs w:val="24"/>
        </w:rPr>
        <w:t xml:space="preserve"> and 4</w:t>
      </w:r>
      <w:r w:rsidR="00E42024" w:rsidRPr="00E74838">
        <w:rPr>
          <w:rFonts w:asciiTheme="minorHAnsi" w:eastAsia="Arial" w:hAnsiTheme="minorHAnsi" w:cs="Times New Roman"/>
          <w:szCs w:val="24"/>
          <w:vertAlign w:val="superscript"/>
        </w:rPr>
        <w:t>th</w:t>
      </w:r>
      <w:r w:rsidR="00E42024" w:rsidRPr="00E74838">
        <w:rPr>
          <w:rFonts w:asciiTheme="minorHAnsi" w:eastAsia="Arial" w:hAnsiTheme="minorHAnsi" w:cs="Times New Roman"/>
          <w:szCs w:val="24"/>
        </w:rPr>
        <w:t xml:space="preserve"> quarters post-exit.  While </w:t>
      </w:r>
      <w:r w:rsidRPr="00E74838">
        <w:rPr>
          <w:rFonts w:asciiTheme="minorHAnsi" w:eastAsia="Arial" w:hAnsiTheme="minorHAnsi" w:cs="Times New Roman"/>
          <w:szCs w:val="24"/>
        </w:rPr>
        <w:t xml:space="preserve">the </w:t>
      </w:r>
      <w:r w:rsidR="00E42024" w:rsidRPr="00E74838">
        <w:rPr>
          <w:rFonts w:asciiTheme="minorHAnsi" w:eastAsia="Arial" w:hAnsiTheme="minorHAnsi" w:cs="Times New Roman"/>
          <w:szCs w:val="24"/>
        </w:rPr>
        <w:t xml:space="preserve">commenter disagrees with this being an exit-based measure, it </w:t>
      </w:r>
      <w:r w:rsidR="00E42024" w:rsidRPr="00E74838">
        <w:rPr>
          <w:rFonts w:asciiTheme="minorHAnsi" w:eastAsia="Arial" w:hAnsiTheme="minorHAnsi" w:cs="Times New Roman"/>
          <w:szCs w:val="24"/>
        </w:rPr>
        <w:lastRenderedPageBreak/>
        <w:t>needs to follow the performance period for the Employed Q4 Post-Exit measure, not the Employed Q2 Post-Exit measure</w:t>
      </w:r>
      <w:r w:rsidRPr="00E74838">
        <w:rPr>
          <w:rFonts w:asciiTheme="minorHAnsi" w:eastAsia="Arial" w:hAnsiTheme="minorHAnsi" w:cs="Times New Roman"/>
          <w:szCs w:val="24"/>
        </w:rPr>
        <w:t>.</w:t>
      </w:r>
    </w:p>
    <w:p w14:paraId="64621EE9" w14:textId="77777777" w:rsidR="005509F0" w:rsidRPr="00E74838" w:rsidRDefault="005509F0" w:rsidP="0001000B">
      <w:pPr>
        <w:pStyle w:val="ListParagraph"/>
        <w:autoSpaceDE w:val="0"/>
        <w:autoSpaceDN w:val="0"/>
        <w:adjustRightInd w:val="0"/>
        <w:spacing w:after="0" w:line="240" w:lineRule="auto"/>
        <w:ind w:left="1080"/>
        <w:rPr>
          <w:rFonts w:asciiTheme="minorHAnsi" w:eastAsia="Arial" w:hAnsiTheme="minorHAnsi" w:cs="Times New Roman"/>
          <w:szCs w:val="24"/>
        </w:rPr>
      </w:pPr>
    </w:p>
    <w:p w14:paraId="6BCBFE3A" w14:textId="28B92B40" w:rsidR="00E42024" w:rsidRPr="00E74838" w:rsidRDefault="0081437F" w:rsidP="0001000B">
      <w:pPr>
        <w:pStyle w:val="ListParagraph"/>
        <w:numPr>
          <w:ilvl w:val="0"/>
          <w:numId w:val="35"/>
        </w:numPr>
        <w:autoSpaceDE w:val="0"/>
        <w:autoSpaceDN w:val="0"/>
        <w:adjustRightInd w:val="0"/>
        <w:spacing w:after="0" w:line="240" w:lineRule="auto"/>
        <w:rPr>
          <w:rFonts w:asciiTheme="minorHAnsi" w:eastAsia="Arial" w:hAnsiTheme="minorHAnsi" w:cs="Times New Roman"/>
          <w:szCs w:val="24"/>
        </w:rPr>
      </w:pPr>
      <w:r w:rsidRPr="00E74838">
        <w:rPr>
          <w:rFonts w:asciiTheme="minorHAnsi" w:eastAsia="Arial" w:hAnsiTheme="minorHAnsi" w:cs="Times New Roman"/>
          <w:szCs w:val="24"/>
        </w:rPr>
        <w:t xml:space="preserve">It is </w:t>
      </w:r>
      <w:r w:rsidR="00E42024" w:rsidRPr="00E74838">
        <w:rPr>
          <w:rFonts w:asciiTheme="minorHAnsi" w:eastAsia="Arial" w:hAnsiTheme="minorHAnsi" w:cs="Times New Roman"/>
          <w:szCs w:val="24"/>
        </w:rPr>
        <w:t>not clear why Employer Penetration and Repeat Employer Customer, which are “service-based” measures, much like “Participants Served”, need to be reported on a delayed cycle like Employee Retention.</w:t>
      </w:r>
    </w:p>
    <w:p w14:paraId="21E6BAA6" w14:textId="77777777" w:rsidR="00E42024" w:rsidRPr="00E74838" w:rsidRDefault="00E42024" w:rsidP="0001000B">
      <w:pPr>
        <w:autoSpaceDE w:val="0"/>
        <w:autoSpaceDN w:val="0"/>
        <w:adjustRightInd w:val="0"/>
        <w:spacing w:after="0" w:line="240" w:lineRule="auto"/>
        <w:rPr>
          <w:rFonts w:cs="Times New Roman"/>
          <w:sz w:val="24"/>
          <w:szCs w:val="24"/>
        </w:rPr>
      </w:pPr>
    </w:p>
    <w:p w14:paraId="1FB08A60" w14:textId="5F0DC95A" w:rsidR="00A762AF" w:rsidRPr="00E74838" w:rsidRDefault="00A762AF" w:rsidP="0001000B">
      <w:pPr>
        <w:autoSpaceDE w:val="0"/>
        <w:autoSpaceDN w:val="0"/>
        <w:adjustRightInd w:val="0"/>
        <w:spacing w:after="0" w:line="240" w:lineRule="auto"/>
        <w:rPr>
          <w:rFonts w:cs="Times New Roman"/>
          <w:sz w:val="24"/>
          <w:szCs w:val="24"/>
        </w:rPr>
      </w:pPr>
      <w:r w:rsidRPr="00E74838">
        <w:rPr>
          <w:rFonts w:cs="Times New Roman"/>
          <w:sz w:val="24"/>
          <w:szCs w:val="24"/>
        </w:rPr>
        <w:t>Another commenter identified an apparent error for a performance period date for the Effectiveness in Serving Employers for PY 2018.</w:t>
      </w:r>
    </w:p>
    <w:p w14:paraId="0EC5F21A" w14:textId="77777777" w:rsidR="00A762AF" w:rsidRPr="00E74838" w:rsidRDefault="00A762AF" w:rsidP="0001000B">
      <w:pPr>
        <w:autoSpaceDE w:val="0"/>
        <w:autoSpaceDN w:val="0"/>
        <w:adjustRightInd w:val="0"/>
        <w:spacing w:after="0" w:line="240" w:lineRule="auto"/>
        <w:rPr>
          <w:rFonts w:cs="Times New Roman"/>
          <w:sz w:val="24"/>
          <w:szCs w:val="24"/>
        </w:rPr>
      </w:pPr>
    </w:p>
    <w:p w14:paraId="022C8655" w14:textId="08DAFFA1" w:rsidR="00EF4D29" w:rsidRPr="00E74838" w:rsidRDefault="00A762AF" w:rsidP="0001000B">
      <w:pPr>
        <w:autoSpaceDE w:val="0"/>
        <w:autoSpaceDN w:val="0"/>
        <w:adjustRightInd w:val="0"/>
        <w:spacing w:after="0" w:line="240" w:lineRule="auto"/>
        <w:rPr>
          <w:rFonts w:eastAsia="Arial" w:cs="Times New Roman"/>
          <w:sz w:val="24"/>
          <w:szCs w:val="24"/>
        </w:rPr>
      </w:pPr>
      <w:r w:rsidRPr="00E74838">
        <w:rPr>
          <w:rFonts w:cs="Times New Roman"/>
          <w:sz w:val="24"/>
          <w:szCs w:val="24"/>
        </w:rPr>
        <w:t xml:space="preserve">One </w:t>
      </w:r>
      <w:r w:rsidR="00EF4D29" w:rsidRPr="00E74838">
        <w:rPr>
          <w:rFonts w:cs="Times New Roman"/>
          <w:sz w:val="24"/>
          <w:szCs w:val="24"/>
        </w:rPr>
        <w:t xml:space="preserve">commenter also expressed concerns about the performance periods to be used for reporting performance </w:t>
      </w:r>
      <w:r w:rsidR="00454FD9" w:rsidRPr="00E74838">
        <w:rPr>
          <w:rFonts w:cs="Times New Roman"/>
          <w:sz w:val="24"/>
          <w:szCs w:val="24"/>
        </w:rPr>
        <w:t xml:space="preserve">for </w:t>
      </w:r>
      <w:r w:rsidR="00EF4D29" w:rsidRPr="00E74838">
        <w:rPr>
          <w:rFonts w:cs="Times New Roman"/>
          <w:sz w:val="24"/>
          <w:szCs w:val="24"/>
        </w:rPr>
        <w:t>the measureable skill gain</w:t>
      </w:r>
      <w:r w:rsidR="00DF231B" w:rsidRPr="00E74838">
        <w:rPr>
          <w:rFonts w:cs="Times New Roman"/>
          <w:sz w:val="24"/>
          <w:szCs w:val="24"/>
        </w:rPr>
        <w:t>s</w:t>
      </w:r>
      <w:r w:rsidR="00EF4D29" w:rsidRPr="00E74838">
        <w:rPr>
          <w:rFonts w:cs="Times New Roman"/>
          <w:sz w:val="24"/>
          <w:szCs w:val="24"/>
        </w:rPr>
        <w:t xml:space="preserve"> indicator.  Specifically, the commenter stated that a significant majority of individuals captured under the measurable skill gain</w:t>
      </w:r>
      <w:r w:rsidR="00DF231B" w:rsidRPr="00E74838">
        <w:rPr>
          <w:rFonts w:cs="Times New Roman"/>
          <w:sz w:val="24"/>
          <w:szCs w:val="24"/>
        </w:rPr>
        <w:t>s</w:t>
      </w:r>
      <w:r w:rsidR="00EF4D29" w:rsidRPr="00E74838">
        <w:rPr>
          <w:rFonts w:cs="Times New Roman"/>
          <w:sz w:val="24"/>
          <w:szCs w:val="24"/>
        </w:rPr>
        <w:t xml:space="preserve"> indicator will be AEFLA participants, with the majority of those doing so through </w:t>
      </w:r>
      <w:r w:rsidR="00EF4D29" w:rsidRPr="00E74838">
        <w:rPr>
          <w:rFonts w:eastAsia="Arial" w:cs="Times New Roman"/>
          <w:sz w:val="24"/>
          <w:szCs w:val="24"/>
        </w:rPr>
        <w:t>“pre/post-testing” method.</w:t>
      </w:r>
      <w:r w:rsidR="00EF4D29" w:rsidRPr="00E74838" w:rsidDel="00DF231B">
        <w:rPr>
          <w:rFonts w:eastAsia="Arial" w:cs="Times New Roman"/>
          <w:sz w:val="24"/>
          <w:szCs w:val="24"/>
        </w:rPr>
        <w:t xml:space="preserve">  </w:t>
      </w:r>
      <w:r w:rsidR="00EF4D29" w:rsidRPr="00E74838">
        <w:rPr>
          <w:rFonts w:cs="Times New Roman"/>
          <w:sz w:val="24"/>
          <w:szCs w:val="24"/>
        </w:rPr>
        <w:t xml:space="preserve">Therefore, the commenter suggested that the Departments should </w:t>
      </w:r>
      <w:r w:rsidR="00EF4D29" w:rsidRPr="00E74838">
        <w:rPr>
          <w:rFonts w:eastAsia="Arial" w:cs="Times New Roman"/>
          <w:sz w:val="24"/>
          <w:szCs w:val="24"/>
        </w:rPr>
        <w:t>develop a lag that would work reasonably well for pre/post-testing.</w:t>
      </w:r>
      <w:r w:rsidR="00D43E53" w:rsidRPr="00E74838">
        <w:rPr>
          <w:rFonts w:eastAsia="Arial" w:cs="Times New Roman"/>
          <w:sz w:val="24"/>
          <w:szCs w:val="24"/>
        </w:rPr>
        <w:t xml:space="preserve">  The commenter proposed setting </w:t>
      </w:r>
      <w:r w:rsidR="00EF4D29" w:rsidRPr="00E74838">
        <w:rPr>
          <w:rFonts w:eastAsia="Arial" w:cs="Times New Roman"/>
          <w:sz w:val="24"/>
          <w:szCs w:val="24"/>
        </w:rPr>
        <w:t>the denominator one quarter prior to the “Participant Served” performance period, but the numerator would be based on any gain achieved prior to the end of the report quarter.</w:t>
      </w:r>
      <w:r w:rsidR="00E976AB" w:rsidRPr="00E74838">
        <w:rPr>
          <w:rFonts w:eastAsia="Arial" w:cs="Times New Roman"/>
          <w:sz w:val="24"/>
          <w:szCs w:val="24"/>
        </w:rPr>
        <w:t xml:space="preserve">  The commenter also expressed concern about the impact of enrolling participants late in a program year could have on performance levels and suggested revisions to Appendix D to address these concerns.</w:t>
      </w:r>
      <w:r w:rsidR="00EF4D29" w:rsidRPr="00E74838">
        <w:rPr>
          <w:rFonts w:eastAsia="Arial" w:cs="Times New Roman"/>
          <w:sz w:val="24"/>
          <w:szCs w:val="24"/>
        </w:rPr>
        <w:t xml:space="preserve">  </w:t>
      </w:r>
    </w:p>
    <w:p w14:paraId="7B3773BF" w14:textId="77777777" w:rsidR="00EF4D29" w:rsidRPr="00E74838" w:rsidRDefault="00EF4D29" w:rsidP="0001000B">
      <w:pPr>
        <w:autoSpaceDE w:val="0"/>
        <w:autoSpaceDN w:val="0"/>
        <w:adjustRightInd w:val="0"/>
        <w:spacing w:after="0" w:line="240" w:lineRule="auto"/>
        <w:rPr>
          <w:rFonts w:cs="Times New Roman"/>
          <w:sz w:val="24"/>
          <w:szCs w:val="24"/>
        </w:rPr>
      </w:pPr>
    </w:p>
    <w:p w14:paraId="311DB51A" w14:textId="68897F89" w:rsidR="00FE11CE" w:rsidRDefault="00857C72" w:rsidP="0001000B">
      <w:pPr>
        <w:spacing w:after="0" w:line="240" w:lineRule="auto"/>
        <w:rPr>
          <w:rFonts w:eastAsia="Arial" w:cs="Times New Roman"/>
          <w:sz w:val="24"/>
          <w:szCs w:val="24"/>
        </w:rPr>
      </w:pPr>
      <w:r w:rsidRPr="00E74838">
        <w:rPr>
          <w:rFonts w:eastAsia="Arial" w:cs="Times New Roman"/>
          <w:b/>
          <w:sz w:val="24"/>
          <w:szCs w:val="24"/>
        </w:rPr>
        <w:t>Agencies’ Response, June 2016:</w:t>
      </w:r>
      <w:r w:rsidR="00004ADE" w:rsidRPr="00E74838">
        <w:rPr>
          <w:rFonts w:eastAsia="Arial" w:cs="Times New Roman"/>
          <w:b/>
          <w:sz w:val="24"/>
          <w:szCs w:val="24"/>
        </w:rPr>
        <w:t xml:space="preserve"> </w:t>
      </w:r>
      <w:r w:rsidR="00432B36" w:rsidRPr="00E74838">
        <w:rPr>
          <w:rFonts w:eastAsia="Arial" w:cs="Times New Roman"/>
          <w:b/>
          <w:sz w:val="24"/>
          <w:szCs w:val="24"/>
        </w:rPr>
        <w:t xml:space="preserve"> </w:t>
      </w:r>
      <w:r w:rsidR="00004ADE" w:rsidRPr="00E74838">
        <w:rPr>
          <w:rFonts w:eastAsia="Arial" w:cs="Times New Roman"/>
          <w:sz w:val="24"/>
          <w:szCs w:val="24"/>
        </w:rPr>
        <w:t xml:space="preserve">Some of the lag times shown in Appendix D were inadvertently pushed back an additional quarter which is unnecessary. </w:t>
      </w:r>
      <w:r w:rsidR="00C708BA" w:rsidRPr="00E74838">
        <w:rPr>
          <w:rFonts w:eastAsia="Arial" w:cs="Times New Roman"/>
          <w:sz w:val="24"/>
          <w:szCs w:val="24"/>
        </w:rPr>
        <w:t xml:space="preserve"> </w:t>
      </w:r>
      <w:r w:rsidR="00402F3C" w:rsidRPr="00E74838">
        <w:rPr>
          <w:rFonts w:eastAsia="Arial" w:cs="Times New Roman"/>
          <w:sz w:val="24"/>
          <w:szCs w:val="24"/>
        </w:rPr>
        <w:t xml:space="preserve">In response to the comments and further Departments’ review, the Departments revised </w:t>
      </w:r>
      <w:r w:rsidR="00004ADE" w:rsidRPr="00E74838">
        <w:rPr>
          <w:rFonts w:eastAsia="Arial" w:cs="Times New Roman"/>
          <w:sz w:val="24"/>
          <w:szCs w:val="24"/>
        </w:rPr>
        <w:t>Appendix D to get the necessary performance indicator data in the quickest way possible.</w:t>
      </w:r>
      <w:r w:rsidR="00CA59DE" w:rsidRPr="00E74838">
        <w:rPr>
          <w:rFonts w:eastAsia="Arial" w:cs="Times New Roman"/>
          <w:sz w:val="24"/>
          <w:szCs w:val="24"/>
        </w:rPr>
        <w:t xml:space="preserve">  Please see Appendix D for the </w:t>
      </w:r>
      <w:r w:rsidR="00B929BD" w:rsidRPr="00E74838">
        <w:rPr>
          <w:rFonts w:eastAsia="Arial" w:cs="Times New Roman"/>
          <w:sz w:val="24"/>
          <w:szCs w:val="24"/>
        </w:rPr>
        <w:t>corrected time cohorts for each indicator.</w:t>
      </w:r>
      <w:r w:rsidR="00B76712" w:rsidRPr="00E74838">
        <w:rPr>
          <w:rFonts w:eastAsia="Arial" w:cs="Times New Roman"/>
          <w:sz w:val="24"/>
          <w:szCs w:val="24"/>
        </w:rPr>
        <w:t xml:space="preserve">  </w:t>
      </w:r>
    </w:p>
    <w:p w14:paraId="0E76ECAF" w14:textId="77777777" w:rsidR="00DA1FED" w:rsidRPr="00E74838" w:rsidRDefault="00DA1FED" w:rsidP="0001000B">
      <w:pPr>
        <w:spacing w:after="0" w:line="240" w:lineRule="auto"/>
        <w:rPr>
          <w:rFonts w:eastAsia="Arial" w:cs="Times New Roman"/>
          <w:sz w:val="24"/>
          <w:szCs w:val="24"/>
        </w:rPr>
      </w:pPr>
    </w:p>
    <w:p w14:paraId="541A0767" w14:textId="7DEEA460" w:rsidR="004C73CA" w:rsidRPr="00E74838" w:rsidRDefault="004C73CA" w:rsidP="0001000B">
      <w:pPr>
        <w:spacing w:after="0" w:line="240" w:lineRule="auto"/>
        <w:rPr>
          <w:rFonts w:eastAsia="Arial" w:cs="Times New Roman"/>
          <w:sz w:val="24"/>
          <w:szCs w:val="24"/>
        </w:rPr>
      </w:pPr>
      <w:r w:rsidRPr="00E74838">
        <w:rPr>
          <w:rFonts w:eastAsia="Arial" w:cs="Times New Roman"/>
          <w:sz w:val="24"/>
          <w:szCs w:val="24"/>
        </w:rPr>
        <w:t xml:space="preserve">To align all three sub-measures of this indicator, </w:t>
      </w:r>
      <w:r w:rsidR="00B76712" w:rsidRPr="00E74838">
        <w:rPr>
          <w:rFonts w:eastAsia="Arial" w:cs="Times New Roman"/>
          <w:sz w:val="24"/>
          <w:szCs w:val="24"/>
        </w:rPr>
        <w:t>S</w:t>
      </w:r>
      <w:r w:rsidRPr="00E74838">
        <w:rPr>
          <w:rFonts w:eastAsia="Arial" w:cs="Times New Roman"/>
          <w:sz w:val="24"/>
          <w:szCs w:val="24"/>
        </w:rPr>
        <w:t>tates should submit data for all parts of the indicator based on the same time period for each.</w:t>
      </w:r>
    </w:p>
    <w:p w14:paraId="212F34A1" w14:textId="77777777" w:rsidR="00B76712" w:rsidRPr="00E74838" w:rsidRDefault="00B76712" w:rsidP="0001000B">
      <w:pPr>
        <w:spacing w:after="0" w:line="240" w:lineRule="auto"/>
        <w:rPr>
          <w:rFonts w:cs="Times New Roman"/>
          <w:sz w:val="24"/>
          <w:szCs w:val="24"/>
        </w:rPr>
      </w:pPr>
    </w:p>
    <w:p w14:paraId="2E7DFD25" w14:textId="72C14E40" w:rsidR="00004ADE" w:rsidRPr="00E74838" w:rsidRDefault="00004ADE" w:rsidP="0001000B">
      <w:pPr>
        <w:spacing w:after="0" w:line="240" w:lineRule="auto"/>
        <w:rPr>
          <w:rFonts w:cs="Times New Roman"/>
          <w:sz w:val="24"/>
          <w:szCs w:val="24"/>
        </w:rPr>
      </w:pPr>
      <w:r w:rsidRPr="00E74838">
        <w:rPr>
          <w:rFonts w:cs="Times New Roman"/>
          <w:sz w:val="24"/>
          <w:szCs w:val="24"/>
        </w:rPr>
        <w:t xml:space="preserve">As stated in the 60-day </w:t>
      </w:r>
      <w:r w:rsidR="00D43E53" w:rsidRPr="00E74838">
        <w:rPr>
          <w:rFonts w:cs="Times New Roman"/>
          <w:sz w:val="24"/>
          <w:szCs w:val="24"/>
        </w:rPr>
        <w:t>N</w:t>
      </w:r>
      <w:r w:rsidRPr="00E74838">
        <w:rPr>
          <w:rFonts w:cs="Times New Roman"/>
          <w:sz w:val="24"/>
          <w:szCs w:val="24"/>
        </w:rPr>
        <w:t>otice</w:t>
      </w:r>
      <w:r w:rsidR="00D43E53" w:rsidRPr="00E74838">
        <w:rPr>
          <w:rFonts w:cs="Times New Roman"/>
          <w:sz w:val="24"/>
          <w:szCs w:val="24"/>
        </w:rPr>
        <w:t>’s Summary of Comments and Responses</w:t>
      </w:r>
      <w:r w:rsidRPr="00E74838">
        <w:rPr>
          <w:rFonts w:cs="Times New Roman"/>
          <w:sz w:val="24"/>
          <w:szCs w:val="24"/>
        </w:rPr>
        <w:t xml:space="preserve">, </w:t>
      </w:r>
      <w:r w:rsidR="00D43E53" w:rsidRPr="00E74838">
        <w:rPr>
          <w:rFonts w:cs="Times New Roman"/>
          <w:sz w:val="24"/>
          <w:szCs w:val="24"/>
        </w:rPr>
        <w:t>section 116(b)(2)(A)(i)(V) of WIOA makes clear that the measurable skill gain</w:t>
      </w:r>
      <w:r w:rsidR="00DF231B" w:rsidRPr="00E74838">
        <w:rPr>
          <w:rFonts w:cs="Times New Roman"/>
          <w:sz w:val="24"/>
          <w:szCs w:val="24"/>
        </w:rPr>
        <w:t>s</w:t>
      </w:r>
      <w:r w:rsidR="00D43E53" w:rsidRPr="00E74838">
        <w:rPr>
          <w:rFonts w:cs="Times New Roman"/>
          <w:sz w:val="24"/>
          <w:szCs w:val="24"/>
        </w:rPr>
        <w:t xml:space="preserve"> indicator is not limited to those participants who have exited a program.</w:t>
      </w:r>
      <w:r w:rsidR="001D263C" w:rsidRPr="00E74838">
        <w:rPr>
          <w:rFonts w:cs="Times New Roman"/>
          <w:sz w:val="24"/>
          <w:szCs w:val="24"/>
        </w:rPr>
        <w:t xml:space="preserve"> </w:t>
      </w:r>
      <w:r w:rsidR="00C708BA" w:rsidRPr="00E74838">
        <w:rPr>
          <w:rFonts w:cs="Times New Roman"/>
          <w:sz w:val="24"/>
          <w:szCs w:val="24"/>
        </w:rPr>
        <w:t xml:space="preserve"> </w:t>
      </w:r>
      <w:r w:rsidR="001D263C" w:rsidRPr="00E74838">
        <w:rPr>
          <w:rFonts w:cs="Times New Roman"/>
          <w:sz w:val="24"/>
          <w:szCs w:val="24"/>
        </w:rPr>
        <w:t>Of all of the primary indicators described at section 116(b</w:t>
      </w:r>
      <w:proofErr w:type="gramStart"/>
      <w:r w:rsidR="001D263C" w:rsidRPr="00E74838">
        <w:rPr>
          <w:rFonts w:cs="Times New Roman"/>
          <w:sz w:val="24"/>
          <w:szCs w:val="24"/>
        </w:rPr>
        <w:t>)(</w:t>
      </w:r>
      <w:proofErr w:type="gramEnd"/>
      <w:r w:rsidR="001D263C" w:rsidRPr="00E74838">
        <w:rPr>
          <w:rFonts w:cs="Times New Roman"/>
          <w:sz w:val="24"/>
          <w:szCs w:val="24"/>
        </w:rPr>
        <w:t>2)(A)(i) of WIOA, the measurable skill gain</w:t>
      </w:r>
      <w:r w:rsidR="00DF231B" w:rsidRPr="00E74838">
        <w:rPr>
          <w:rFonts w:cs="Times New Roman"/>
          <w:sz w:val="24"/>
          <w:szCs w:val="24"/>
        </w:rPr>
        <w:t>s</w:t>
      </w:r>
      <w:r w:rsidR="001D263C" w:rsidRPr="00E74838">
        <w:rPr>
          <w:rFonts w:cs="Times New Roman"/>
          <w:sz w:val="24"/>
          <w:szCs w:val="24"/>
        </w:rPr>
        <w:t xml:space="preserve"> indicator in section 116(b)(2)(A)(i)(V) is the only one that refers to participants achieving an indicator </w:t>
      </w:r>
      <w:r w:rsidRPr="00E74838">
        <w:rPr>
          <w:rFonts w:cs="Times New Roman"/>
          <w:sz w:val="24"/>
          <w:szCs w:val="24"/>
        </w:rPr>
        <w:t>“during a program year</w:t>
      </w:r>
      <w:r w:rsidR="001D263C" w:rsidRPr="00E74838">
        <w:rPr>
          <w:rFonts w:cs="Times New Roman"/>
          <w:sz w:val="24"/>
          <w:szCs w:val="24"/>
        </w:rPr>
        <w:t>”.  Therefore</w:t>
      </w:r>
      <w:r w:rsidRPr="00E74838">
        <w:rPr>
          <w:rFonts w:cs="Times New Roman"/>
          <w:sz w:val="24"/>
          <w:szCs w:val="24"/>
        </w:rPr>
        <w:t xml:space="preserve">, participants are included in this performance indicator </w:t>
      </w:r>
      <w:r w:rsidR="00BE53A2">
        <w:rPr>
          <w:rFonts w:cs="Times New Roman"/>
          <w:sz w:val="24"/>
          <w:szCs w:val="24"/>
        </w:rPr>
        <w:t>at the point in which they become a participant.</w:t>
      </w:r>
    </w:p>
    <w:p w14:paraId="4C07F20B" w14:textId="77777777" w:rsidR="008D30B3" w:rsidRPr="00E74838" w:rsidRDefault="008D30B3" w:rsidP="0001000B">
      <w:pPr>
        <w:spacing w:after="0" w:line="240" w:lineRule="auto"/>
        <w:rPr>
          <w:rFonts w:cs="Times New Roman"/>
          <w:sz w:val="24"/>
          <w:szCs w:val="24"/>
        </w:rPr>
      </w:pPr>
    </w:p>
    <w:p w14:paraId="4FBF6FA0" w14:textId="54B28DDF" w:rsidR="00D10726" w:rsidRPr="00E74838" w:rsidRDefault="00D10726" w:rsidP="0001000B">
      <w:pPr>
        <w:spacing w:after="0" w:line="240" w:lineRule="auto"/>
        <w:rPr>
          <w:rFonts w:cs="Times New Roman"/>
          <w:sz w:val="24"/>
          <w:szCs w:val="24"/>
        </w:rPr>
      </w:pPr>
      <w:r w:rsidRPr="00E74838">
        <w:rPr>
          <w:rFonts w:cs="Times New Roman"/>
          <w:sz w:val="24"/>
          <w:szCs w:val="24"/>
        </w:rPr>
        <w:t>No changes have been made in response to these comments.</w:t>
      </w:r>
    </w:p>
    <w:p w14:paraId="297B494A" w14:textId="77777777" w:rsidR="00D10726" w:rsidRDefault="00D10726" w:rsidP="0001000B">
      <w:pPr>
        <w:spacing w:after="0" w:line="240" w:lineRule="auto"/>
        <w:rPr>
          <w:rFonts w:cs="Times New Roman"/>
          <w:sz w:val="24"/>
          <w:szCs w:val="24"/>
        </w:rPr>
      </w:pPr>
    </w:p>
    <w:p w14:paraId="6F6D7CED" w14:textId="77777777" w:rsidR="00820D61" w:rsidRDefault="00820D61" w:rsidP="0001000B">
      <w:pPr>
        <w:spacing w:after="0" w:line="240" w:lineRule="auto"/>
        <w:rPr>
          <w:rFonts w:cs="Times New Roman"/>
          <w:sz w:val="24"/>
          <w:szCs w:val="24"/>
        </w:rPr>
      </w:pPr>
    </w:p>
    <w:p w14:paraId="565E7972" w14:textId="77777777" w:rsidR="00820D61" w:rsidRPr="00E74838" w:rsidRDefault="00820D61" w:rsidP="0001000B">
      <w:pPr>
        <w:spacing w:after="0" w:line="240" w:lineRule="auto"/>
        <w:rPr>
          <w:rFonts w:cs="Times New Roman"/>
          <w:sz w:val="24"/>
          <w:szCs w:val="24"/>
        </w:rPr>
      </w:pPr>
    </w:p>
    <w:p w14:paraId="79B76622" w14:textId="3A11A69F" w:rsidR="00D10726" w:rsidRPr="00E74838" w:rsidRDefault="00F20AD7" w:rsidP="0001000B">
      <w:pPr>
        <w:spacing w:after="0" w:line="240" w:lineRule="auto"/>
        <w:rPr>
          <w:rFonts w:cs="Times New Roman"/>
          <w:b/>
          <w:sz w:val="24"/>
          <w:szCs w:val="24"/>
        </w:rPr>
      </w:pPr>
      <w:r w:rsidRPr="00E74838">
        <w:rPr>
          <w:rFonts w:cs="Times New Roman"/>
          <w:b/>
          <w:sz w:val="24"/>
          <w:szCs w:val="24"/>
          <w:u w:val="single"/>
        </w:rPr>
        <w:lastRenderedPageBreak/>
        <w:t xml:space="preserve">Submission of </w:t>
      </w:r>
      <w:r w:rsidR="00D10726" w:rsidRPr="00E74838">
        <w:rPr>
          <w:rFonts w:cs="Times New Roman"/>
          <w:b/>
          <w:sz w:val="24"/>
          <w:szCs w:val="24"/>
          <w:u w:val="single"/>
        </w:rPr>
        <w:t>Performance Reports</w:t>
      </w:r>
      <w:r w:rsidR="00D10726" w:rsidRPr="00E74838">
        <w:rPr>
          <w:rFonts w:cs="Times New Roman"/>
          <w:b/>
          <w:sz w:val="24"/>
          <w:szCs w:val="24"/>
        </w:rPr>
        <w:t>:</w:t>
      </w:r>
    </w:p>
    <w:p w14:paraId="28D1B30F" w14:textId="77777777" w:rsidR="00DF231B" w:rsidRPr="00E74838" w:rsidRDefault="00DF231B" w:rsidP="0001000B">
      <w:pPr>
        <w:spacing w:after="0" w:line="240" w:lineRule="auto"/>
        <w:rPr>
          <w:rFonts w:cs="Times New Roman"/>
          <w:sz w:val="24"/>
          <w:szCs w:val="24"/>
        </w:rPr>
      </w:pPr>
    </w:p>
    <w:p w14:paraId="56B35545" w14:textId="0253EA9E" w:rsidR="003E0C88" w:rsidRPr="00E74838" w:rsidRDefault="00D36DB0" w:rsidP="0001000B">
      <w:pPr>
        <w:spacing w:after="0" w:line="240" w:lineRule="auto"/>
        <w:rPr>
          <w:rFonts w:eastAsia="Arial" w:cs="Times New Roman"/>
          <w:sz w:val="24"/>
          <w:szCs w:val="24"/>
        </w:rPr>
      </w:pPr>
      <w:r w:rsidRPr="00E74838">
        <w:rPr>
          <w:rFonts w:cs="Times New Roman"/>
          <w:sz w:val="24"/>
          <w:szCs w:val="24"/>
        </w:rPr>
        <w:t>A few commenters expressed concern that States and local areas will not be able to submit the first quarterly report for PY 2016 in November 2016 as expected.  These commenters indicated that the delay in the publication of the Joint Final Rule and the final Joint Performance ICRs have delayed States and local areas in revising their</w:t>
      </w:r>
      <w:r w:rsidR="003E0C88" w:rsidRPr="00E74838">
        <w:rPr>
          <w:rFonts w:cs="Times New Roman"/>
          <w:sz w:val="24"/>
          <w:szCs w:val="24"/>
        </w:rPr>
        <w:t xml:space="preserve"> data systems to accommodate all of the requirements.  Therefore, at least one of these commenters strongly recommended that States be permitted to submit only an annual report for PY 2016 and begin submitting quarterly reports for PY 2017.</w:t>
      </w:r>
      <w:r w:rsidR="002A60EA" w:rsidRPr="00E74838">
        <w:rPr>
          <w:rFonts w:cs="Times New Roman"/>
          <w:sz w:val="24"/>
          <w:szCs w:val="24"/>
        </w:rPr>
        <w:t xml:space="preserve">  </w:t>
      </w:r>
      <w:r w:rsidR="00E92F92" w:rsidRPr="00E74838">
        <w:rPr>
          <w:rFonts w:cs="Times New Roman"/>
          <w:sz w:val="24"/>
          <w:szCs w:val="24"/>
        </w:rPr>
        <w:t xml:space="preserve">Another commenter expressed concern that data could be missing from the early reports if additional time is not given to the States for submitting the reports.  </w:t>
      </w:r>
      <w:r w:rsidR="00E92F92" w:rsidRPr="00E74838">
        <w:rPr>
          <w:rFonts w:eastAsia="Arial" w:cs="Times New Roman"/>
          <w:sz w:val="24"/>
          <w:szCs w:val="24"/>
        </w:rPr>
        <w:t>One commenter questioned the need to negotiate levels of performance for purposes of reporting outcome data for PY 2016 and requested guidance on this issue.</w:t>
      </w:r>
      <w:r w:rsidR="007E1A96" w:rsidRPr="00E74838">
        <w:rPr>
          <w:rFonts w:eastAsia="Arial" w:cs="Times New Roman"/>
          <w:sz w:val="24"/>
          <w:szCs w:val="24"/>
        </w:rPr>
        <w:t xml:space="preserve">  No changes were made in response to these comments.</w:t>
      </w:r>
    </w:p>
    <w:p w14:paraId="01A80A50" w14:textId="77777777" w:rsidR="00A429C1" w:rsidRPr="00E74838" w:rsidRDefault="00A429C1" w:rsidP="0001000B">
      <w:pPr>
        <w:spacing w:after="0" w:line="240" w:lineRule="auto"/>
        <w:rPr>
          <w:rFonts w:eastAsia="Arial" w:cs="Times New Roman"/>
          <w:sz w:val="24"/>
          <w:szCs w:val="24"/>
        </w:rPr>
      </w:pPr>
    </w:p>
    <w:p w14:paraId="1A7B1629" w14:textId="3D157F7D" w:rsidR="002B616E" w:rsidRPr="00E74838" w:rsidRDefault="00857C72" w:rsidP="0001000B">
      <w:pPr>
        <w:autoSpaceDE w:val="0"/>
        <w:autoSpaceDN w:val="0"/>
        <w:adjustRightInd w:val="0"/>
        <w:spacing w:after="0" w:line="240" w:lineRule="auto"/>
        <w:rPr>
          <w:rFonts w:eastAsia="Arial" w:cs="Times New Roman"/>
          <w:sz w:val="24"/>
          <w:szCs w:val="24"/>
        </w:rPr>
      </w:pPr>
      <w:r w:rsidRPr="00E74838">
        <w:rPr>
          <w:rFonts w:eastAsia="Arial" w:cs="Times New Roman"/>
          <w:b/>
          <w:sz w:val="24"/>
          <w:szCs w:val="24"/>
        </w:rPr>
        <w:t>Agencies’ Response, June 2016:</w:t>
      </w:r>
      <w:r w:rsidR="00004ADE" w:rsidRPr="00E74838">
        <w:rPr>
          <w:rFonts w:eastAsia="Arial" w:cs="Times New Roman"/>
          <w:b/>
          <w:sz w:val="24"/>
          <w:szCs w:val="24"/>
        </w:rPr>
        <w:t xml:space="preserve"> </w:t>
      </w:r>
      <w:r w:rsidR="00DB7B3D" w:rsidRPr="00E74838">
        <w:rPr>
          <w:rFonts w:eastAsia="Arial" w:cs="Times New Roman"/>
          <w:b/>
          <w:sz w:val="24"/>
          <w:szCs w:val="24"/>
        </w:rPr>
        <w:t xml:space="preserve"> </w:t>
      </w:r>
      <w:r w:rsidR="00263613" w:rsidRPr="00E74838">
        <w:rPr>
          <w:rFonts w:cs="Times New Roman"/>
          <w:sz w:val="24"/>
          <w:szCs w:val="24"/>
        </w:rPr>
        <w:t xml:space="preserve">The Departments </w:t>
      </w:r>
      <w:r w:rsidR="00263613" w:rsidRPr="00E74838">
        <w:rPr>
          <w:rFonts w:eastAsia="Arial" w:cs="Times New Roman"/>
          <w:sz w:val="24"/>
          <w:szCs w:val="24"/>
        </w:rPr>
        <w:t>are cognizant of the work required by States to adhere to the WIOA performance requirements</w:t>
      </w:r>
      <w:r w:rsidR="00263613" w:rsidRPr="00E74838">
        <w:rPr>
          <w:rFonts w:cs="Times New Roman"/>
          <w:sz w:val="24"/>
          <w:szCs w:val="24"/>
        </w:rPr>
        <w:t xml:space="preserve"> and acknowledge that time is needed for the</w:t>
      </w:r>
      <w:r w:rsidR="002B616E" w:rsidRPr="00E74838">
        <w:rPr>
          <w:rFonts w:cs="Times New Roman"/>
          <w:sz w:val="24"/>
          <w:szCs w:val="24"/>
        </w:rPr>
        <w:t xml:space="preserve"> i</w:t>
      </w:r>
      <w:r w:rsidR="00263613" w:rsidRPr="00E74838">
        <w:rPr>
          <w:rFonts w:cs="Times New Roman"/>
          <w:sz w:val="24"/>
          <w:szCs w:val="24"/>
        </w:rPr>
        <w:t xml:space="preserve">mplementation of those data requirements.  </w:t>
      </w:r>
      <w:r w:rsidR="00263613" w:rsidRPr="00E74838">
        <w:rPr>
          <w:rFonts w:eastAsia="Arial" w:cs="Times New Roman"/>
          <w:sz w:val="24"/>
          <w:szCs w:val="24"/>
        </w:rPr>
        <w:t>However, WIOA requires that reporting begin with P</w:t>
      </w:r>
      <w:r w:rsidR="002B616E" w:rsidRPr="00E74838">
        <w:rPr>
          <w:rFonts w:eastAsia="Arial" w:cs="Times New Roman"/>
          <w:sz w:val="24"/>
          <w:szCs w:val="24"/>
        </w:rPr>
        <w:t xml:space="preserve">Y </w:t>
      </w:r>
      <w:r w:rsidR="00263613" w:rsidRPr="00E74838">
        <w:rPr>
          <w:rFonts w:eastAsia="Arial" w:cs="Times New Roman"/>
          <w:sz w:val="24"/>
          <w:szCs w:val="24"/>
        </w:rPr>
        <w:t xml:space="preserve">2016 (which begins July 1, 2016).  It is expected that States will be able to meet the performance requirements at differing points throughout the program year.  The Departments will work with </w:t>
      </w:r>
      <w:r w:rsidR="00B76712" w:rsidRPr="00E74838">
        <w:rPr>
          <w:rFonts w:eastAsia="Arial" w:cs="Times New Roman"/>
          <w:sz w:val="24"/>
          <w:szCs w:val="24"/>
        </w:rPr>
        <w:t>S</w:t>
      </w:r>
      <w:r w:rsidR="00263613" w:rsidRPr="00E74838">
        <w:rPr>
          <w:rFonts w:eastAsia="Arial" w:cs="Times New Roman"/>
          <w:sz w:val="24"/>
          <w:szCs w:val="24"/>
        </w:rPr>
        <w:t xml:space="preserve">tates on an individual case basis to provide technical assistance with the goal of being able to produce PIRL-driven data files as quickly as possible.  </w:t>
      </w:r>
    </w:p>
    <w:p w14:paraId="50E8B78E" w14:textId="77777777" w:rsidR="002B616E" w:rsidRPr="00E74838" w:rsidRDefault="002B616E" w:rsidP="0001000B">
      <w:pPr>
        <w:autoSpaceDE w:val="0"/>
        <w:autoSpaceDN w:val="0"/>
        <w:adjustRightInd w:val="0"/>
        <w:spacing w:after="0" w:line="240" w:lineRule="auto"/>
        <w:rPr>
          <w:rFonts w:eastAsia="Arial" w:cs="Times New Roman"/>
          <w:sz w:val="24"/>
          <w:szCs w:val="24"/>
        </w:rPr>
      </w:pPr>
    </w:p>
    <w:p w14:paraId="1A524509" w14:textId="00D30CE5" w:rsidR="00E92F92" w:rsidRPr="00E74838" w:rsidRDefault="00E92F92" w:rsidP="0001000B">
      <w:pPr>
        <w:autoSpaceDE w:val="0"/>
        <w:autoSpaceDN w:val="0"/>
        <w:adjustRightInd w:val="0"/>
        <w:spacing w:after="0" w:line="240" w:lineRule="auto"/>
        <w:rPr>
          <w:rFonts w:eastAsia="Arial" w:cs="Times New Roman"/>
          <w:b/>
          <w:sz w:val="24"/>
          <w:szCs w:val="24"/>
        </w:rPr>
      </w:pPr>
      <w:r w:rsidRPr="00E74838">
        <w:rPr>
          <w:rFonts w:eastAsia="Arial" w:cs="Times New Roman"/>
          <w:b/>
          <w:sz w:val="24"/>
          <w:szCs w:val="24"/>
          <w:u w:val="single"/>
        </w:rPr>
        <w:t>Negotiations of Levels of Performance</w:t>
      </w:r>
      <w:r w:rsidR="007E1A96" w:rsidRPr="00E74838">
        <w:rPr>
          <w:rFonts w:eastAsia="Arial" w:cs="Times New Roman"/>
          <w:b/>
          <w:sz w:val="24"/>
          <w:szCs w:val="24"/>
          <w:u w:val="single"/>
        </w:rPr>
        <w:t xml:space="preserve"> for PY 2016</w:t>
      </w:r>
      <w:r w:rsidRPr="00E74838">
        <w:rPr>
          <w:rFonts w:eastAsia="Arial" w:cs="Times New Roman"/>
          <w:b/>
          <w:sz w:val="24"/>
          <w:szCs w:val="24"/>
        </w:rPr>
        <w:t>:</w:t>
      </w:r>
    </w:p>
    <w:p w14:paraId="3BD17471" w14:textId="77777777" w:rsidR="003F293A" w:rsidRPr="00E74838" w:rsidRDefault="003F293A" w:rsidP="0001000B">
      <w:pPr>
        <w:autoSpaceDE w:val="0"/>
        <w:autoSpaceDN w:val="0"/>
        <w:adjustRightInd w:val="0"/>
        <w:spacing w:after="0" w:line="240" w:lineRule="auto"/>
        <w:rPr>
          <w:rFonts w:eastAsia="Arial" w:cs="Times New Roman"/>
          <w:sz w:val="24"/>
          <w:szCs w:val="24"/>
        </w:rPr>
      </w:pPr>
    </w:p>
    <w:p w14:paraId="61D1998B" w14:textId="59A23E02" w:rsidR="00E92F92" w:rsidRPr="00E74838" w:rsidRDefault="00E92F92" w:rsidP="0001000B">
      <w:pPr>
        <w:spacing w:after="0" w:line="240" w:lineRule="auto"/>
        <w:rPr>
          <w:rFonts w:eastAsia="Arial" w:cs="Times New Roman"/>
          <w:sz w:val="24"/>
          <w:szCs w:val="24"/>
        </w:rPr>
      </w:pPr>
      <w:r w:rsidRPr="00E74838">
        <w:rPr>
          <w:rFonts w:eastAsia="Arial" w:cs="Times New Roman"/>
          <w:sz w:val="24"/>
          <w:szCs w:val="24"/>
        </w:rPr>
        <w:t>At least two commenters questioned whether States were required to negotiate levels of performance with the Departments for purposes of reporting outcome data for PY 2016 and requested guidance on this issue.</w:t>
      </w:r>
      <w:r w:rsidR="00024892" w:rsidRPr="00E74838">
        <w:rPr>
          <w:rFonts w:eastAsia="Arial" w:cs="Times New Roman"/>
          <w:sz w:val="24"/>
          <w:szCs w:val="24"/>
        </w:rPr>
        <w:t xml:space="preserve">  </w:t>
      </w:r>
      <w:r w:rsidR="006B04DF" w:rsidRPr="00E74838">
        <w:rPr>
          <w:rFonts w:eastAsia="Arial" w:cs="Times New Roman"/>
          <w:sz w:val="24"/>
          <w:szCs w:val="24"/>
        </w:rPr>
        <w:t>One of these commenters asked whether States would be given leniency in meeting negotiated levels of performance in PY 2016 and PY 2017 s</w:t>
      </w:r>
      <w:r w:rsidR="006B04DF" w:rsidRPr="00E74838">
        <w:rPr>
          <w:rFonts w:cs="Times New Roman"/>
          <w:sz w:val="24"/>
          <w:szCs w:val="24"/>
        </w:rPr>
        <w:t xml:space="preserve">ince performance data </w:t>
      </w:r>
      <w:r w:rsidR="00C858C2" w:rsidRPr="00E74838">
        <w:rPr>
          <w:rFonts w:cs="Times New Roman"/>
          <w:sz w:val="24"/>
          <w:szCs w:val="24"/>
        </w:rPr>
        <w:t xml:space="preserve">in those years will not include </w:t>
      </w:r>
      <w:r w:rsidR="006B04DF" w:rsidRPr="00E74838">
        <w:rPr>
          <w:rFonts w:cs="Times New Roman"/>
          <w:sz w:val="24"/>
          <w:szCs w:val="24"/>
        </w:rPr>
        <w:t>all four quarters of data</w:t>
      </w:r>
      <w:r w:rsidR="00C858C2" w:rsidRPr="00E74838">
        <w:rPr>
          <w:rFonts w:cs="Times New Roman"/>
          <w:sz w:val="24"/>
          <w:szCs w:val="24"/>
        </w:rPr>
        <w:t xml:space="preserve">.  </w:t>
      </w:r>
      <w:r w:rsidR="00024892" w:rsidRPr="00E74838">
        <w:rPr>
          <w:rFonts w:eastAsia="Arial" w:cs="Times New Roman"/>
          <w:sz w:val="24"/>
          <w:szCs w:val="24"/>
        </w:rPr>
        <w:t>Another commenter questioned whether there would be negotiations in PY 2017.</w:t>
      </w:r>
    </w:p>
    <w:p w14:paraId="64B97C02" w14:textId="77777777" w:rsidR="00E92F92" w:rsidRPr="00E74838" w:rsidRDefault="00E92F92" w:rsidP="0001000B">
      <w:pPr>
        <w:spacing w:after="0" w:line="240" w:lineRule="auto"/>
        <w:rPr>
          <w:rFonts w:cs="Times New Roman"/>
          <w:sz w:val="24"/>
          <w:szCs w:val="24"/>
        </w:rPr>
      </w:pPr>
    </w:p>
    <w:p w14:paraId="2FA0D91E" w14:textId="785795AD" w:rsidR="00BB0241" w:rsidRPr="00E74838" w:rsidRDefault="00BB0241" w:rsidP="0001000B">
      <w:pPr>
        <w:spacing w:after="0" w:line="240" w:lineRule="auto"/>
        <w:rPr>
          <w:rFonts w:cs="Times New Roman"/>
          <w:sz w:val="24"/>
          <w:szCs w:val="24"/>
        </w:rPr>
      </w:pPr>
      <w:r w:rsidRPr="00E74838">
        <w:rPr>
          <w:rFonts w:cs="Times New Roman"/>
          <w:sz w:val="24"/>
          <w:szCs w:val="24"/>
        </w:rPr>
        <w:t xml:space="preserve">Finally, a different commenter requested information about the protocol if the State can demonstrate that the Federal statistical adjustment level is inaccurate due to fields included in the State model which have been left out of the Federal statistical adjustment model. </w:t>
      </w:r>
    </w:p>
    <w:p w14:paraId="35B09200" w14:textId="77777777" w:rsidR="00A429C1" w:rsidRPr="00E74838" w:rsidRDefault="00A429C1" w:rsidP="0001000B">
      <w:pPr>
        <w:spacing w:after="0" w:line="240" w:lineRule="auto"/>
        <w:rPr>
          <w:rFonts w:cs="Times New Roman"/>
          <w:sz w:val="24"/>
          <w:szCs w:val="24"/>
        </w:rPr>
      </w:pPr>
    </w:p>
    <w:p w14:paraId="51760F2B" w14:textId="069377A5" w:rsidR="00BB0241" w:rsidRPr="00E74838" w:rsidRDefault="00E92F92" w:rsidP="0001000B">
      <w:pPr>
        <w:spacing w:after="0" w:line="240" w:lineRule="auto"/>
        <w:rPr>
          <w:rFonts w:cs="Times New Roman"/>
          <w:sz w:val="24"/>
          <w:szCs w:val="24"/>
        </w:rPr>
      </w:pPr>
      <w:r w:rsidRPr="00E74838">
        <w:rPr>
          <w:rFonts w:eastAsia="Arial" w:cs="Times New Roman"/>
          <w:b/>
          <w:sz w:val="24"/>
          <w:szCs w:val="24"/>
        </w:rPr>
        <w:t xml:space="preserve">Agencies’ Response, June 2016:  </w:t>
      </w:r>
      <w:r w:rsidR="002B616E" w:rsidRPr="00E74838">
        <w:rPr>
          <w:rFonts w:cs="Times New Roman"/>
          <w:sz w:val="24"/>
          <w:szCs w:val="24"/>
        </w:rPr>
        <w:t xml:space="preserve">With respect to guidance related to the negotiations process, </w:t>
      </w:r>
      <w:r w:rsidRPr="00E74838">
        <w:rPr>
          <w:rFonts w:cs="Times New Roman"/>
          <w:sz w:val="24"/>
          <w:szCs w:val="24"/>
        </w:rPr>
        <w:t xml:space="preserve">OCTAE issued guidance in April 2016 applicable to the AEFLA program.  </w:t>
      </w:r>
      <w:r w:rsidR="007E1A96" w:rsidRPr="00E74838">
        <w:rPr>
          <w:rFonts w:cs="Times New Roman"/>
          <w:sz w:val="24"/>
          <w:szCs w:val="24"/>
        </w:rPr>
        <w:t>OCTAE completed the negotiations process with States by June 30, 2016.  D</w:t>
      </w:r>
      <w:r w:rsidR="002B616E" w:rsidRPr="00E74838">
        <w:rPr>
          <w:rFonts w:cs="Times New Roman"/>
          <w:sz w:val="24"/>
          <w:szCs w:val="24"/>
        </w:rPr>
        <w:t>OL issue</w:t>
      </w:r>
      <w:r w:rsidR="003954CE" w:rsidRPr="00E74838">
        <w:rPr>
          <w:rFonts w:cs="Times New Roman"/>
          <w:sz w:val="24"/>
          <w:szCs w:val="24"/>
        </w:rPr>
        <w:t>d Training and Employment Guidance Letter (TEGL) 26-15</w:t>
      </w:r>
      <w:r w:rsidR="002B616E" w:rsidRPr="00E74838">
        <w:rPr>
          <w:rFonts w:cs="Times New Roman"/>
          <w:sz w:val="24"/>
          <w:szCs w:val="24"/>
        </w:rPr>
        <w:t xml:space="preserve"> </w:t>
      </w:r>
      <w:r w:rsidR="003954CE" w:rsidRPr="00E74838">
        <w:rPr>
          <w:rFonts w:cs="Times New Roman"/>
          <w:sz w:val="24"/>
          <w:szCs w:val="24"/>
        </w:rPr>
        <w:t>on</w:t>
      </w:r>
      <w:r w:rsidR="002B616E" w:rsidRPr="00E74838">
        <w:rPr>
          <w:rFonts w:cs="Times New Roman"/>
          <w:sz w:val="24"/>
          <w:szCs w:val="24"/>
        </w:rPr>
        <w:t xml:space="preserve"> June</w:t>
      </w:r>
      <w:r w:rsidR="003954CE" w:rsidRPr="00E74838">
        <w:rPr>
          <w:rFonts w:cs="Times New Roman"/>
          <w:sz w:val="24"/>
          <w:szCs w:val="24"/>
        </w:rPr>
        <w:t xml:space="preserve"> 29,</w:t>
      </w:r>
      <w:r w:rsidR="002B616E" w:rsidRPr="00E74838">
        <w:rPr>
          <w:rFonts w:cs="Times New Roman"/>
          <w:sz w:val="24"/>
          <w:szCs w:val="24"/>
        </w:rPr>
        <w:t xml:space="preserve"> 2016 applicable to the DOL-administered programs</w:t>
      </w:r>
      <w:r w:rsidR="007E1A96" w:rsidRPr="00E74838">
        <w:rPr>
          <w:rFonts w:cs="Times New Roman"/>
          <w:sz w:val="24"/>
          <w:szCs w:val="24"/>
        </w:rPr>
        <w:t xml:space="preserve"> and </w:t>
      </w:r>
      <w:r w:rsidR="003954CE" w:rsidRPr="00E74838">
        <w:rPr>
          <w:rFonts w:cs="Times New Roman"/>
          <w:sz w:val="24"/>
          <w:szCs w:val="24"/>
        </w:rPr>
        <w:t xml:space="preserve">expects </w:t>
      </w:r>
      <w:r w:rsidR="007E1A96" w:rsidRPr="00E74838">
        <w:rPr>
          <w:rFonts w:cs="Times New Roman"/>
          <w:sz w:val="24"/>
          <w:szCs w:val="24"/>
        </w:rPr>
        <w:t xml:space="preserve">to complete the negotiation process with States by August 15, 2016.  </w:t>
      </w:r>
      <w:r w:rsidR="002B616E" w:rsidRPr="00E74838">
        <w:rPr>
          <w:rFonts w:cs="Times New Roman"/>
          <w:sz w:val="24"/>
          <w:szCs w:val="24"/>
        </w:rPr>
        <w:t xml:space="preserve"> RSA</w:t>
      </w:r>
      <w:r w:rsidR="00FB2C21" w:rsidRPr="00E74838">
        <w:rPr>
          <w:rFonts w:cs="Times New Roman"/>
          <w:sz w:val="24"/>
          <w:szCs w:val="24"/>
        </w:rPr>
        <w:t xml:space="preserve"> </w:t>
      </w:r>
      <w:r w:rsidR="002B616E" w:rsidRPr="00E74838">
        <w:rPr>
          <w:rFonts w:cs="Times New Roman"/>
          <w:sz w:val="24"/>
          <w:szCs w:val="24"/>
        </w:rPr>
        <w:t>will issue guidance</w:t>
      </w:r>
      <w:r w:rsidR="00FB2C21" w:rsidRPr="00E74838">
        <w:rPr>
          <w:rFonts w:cs="Times New Roman"/>
          <w:sz w:val="24"/>
          <w:szCs w:val="24"/>
        </w:rPr>
        <w:t xml:space="preserve"> applicable to the VR program</w:t>
      </w:r>
      <w:r w:rsidRPr="00E74838">
        <w:rPr>
          <w:rFonts w:cs="Times New Roman"/>
          <w:sz w:val="24"/>
          <w:szCs w:val="24"/>
        </w:rPr>
        <w:t xml:space="preserve"> prior to the sub</w:t>
      </w:r>
      <w:r w:rsidR="007E1A96" w:rsidRPr="00E74838">
        <w:rPr>
          <w:rFonts w:cs="Times New Roman"/>
          <w:sz w:val="24"/>
          <w:szCs w:val="24"/>
        </w:rPr>
        <w:t>m</w:t>
      </w:r>
      <w:r w:rsidRPr="00E74838">
        <w:rPr>
          <w:rFonts w:cs="Times New Roman"/>
          <w:sz w:val="24"/>
          <w:szCs w:val="24"/>
        </w:rPr>
        <w:t>ission of the Unified or Combined State Plan modifications in 2018</w:t>
      </w:r>
      <w:r w:rsidR="007E1A96" w:rsidRPr="00E74838">
        <w:rPr>
          <w:rFonts w:cs="Times New Roman"/>
          <w:sz w:val="24"/>
          <w:szCs w:val="24"/>
        </w:rPr>
        <w:t>, which will be the first year that RSA will negotiate levels of performance with States</w:t>
      </w:r>
      <w:r w:rsidRPr="00E74838">
        <w:rPr>
          <w:rFonts w:cs="Times New Roman"/>
          <w:sz w:val="24"/>
          <w:szCs w:val="24"/>
        </w:rPr>
        <w:t>.</w:t>
      </w:r>
      <w:r w:rsidR="00C858C2" w:rsidRPr="00E74838">
        <w:rPr>
          <w:rFonts w:cs="Times New Roman"/>
          <w:sz w:val="24"/>
          <w:szCs w:val="24"/>
        </w:rPr>
        <w:t xml:space="preserve">  As the commenter stated, the Departments recognize that States will </w:t>
      </w:r>
      <w:r w:rsidR="00C858C2" w:rsidRPr="00E74838">
        <w:rPr>
          <w:rFonts w:cs="Times New Roman"/>
          <w:sz w:val="24"/>
          <w:szCs w:val="24"/>
        </w:rPr>
        <w:lastRenderedPageBreak/>
        <w:t>not have full performance data reporting in PY</w:t>
      </w:r>
      <w:r w:rsidR="00FE11CE" w:rsidRPr="00E74838">
        <w:rPr>
          <w:rFonts w:cs="Times New Roman"/>
          <w:sz w:val="24"/>
          <w:szCs w:val="24"/>
        </w:rPr>
        <w:t xml:space="preserve"> </w:t>
      </w:r>
      <w:r w:rsidR="00C858C2" w:rsidRPr="00E74838">
        <w:rPr>
          <w:rFonts w:cs="Times New Roman"/>
          <w:sz w:val="24"/>
          <w:szCs w:val="24"/>
        </w:rPr>
        <w:t xml:space="preserve">2016 and PY 2017.  Levels of performance and sanctions will only be based on the data </w:t>
      </w:r>
      <w:r w:rsidR="00F6077D" w:rsidRPr="00E74838">
        <w:rPr>
          <w:rFonts w:cs="Times New Roman"/>
          <w:sz w:val="24"/>
          <w:szCs w:val="24"/>
        </w:rPr>
        <w:t xml:space="preserve">that </w:t>
      </w:r>
      <w:r w:rsidR="00C858C2" w:rsidRPr="00E74838">
        <w:rPr>
          <w:rFonts w:cs="Times New Roman"/>
          <w:sz w:val="24"/>
          <w:szCs w:val="24"/>
        </w:rPr>
        <w:t xml:space="preserve">can be collected and reported at the time.  </w:t>
      </w:r>
      <w:r w:rsidR="00F6077D" w:rsidRPr="00E74838">
        <w:rPr>
          <w:rFonts w:cs="Times New Roman"/>
          <w:sz w:val="24"/>
          <w:szCs w:val="24"/>
        </w:rPr>
        <w:t xml:space="preserve">The Departments will address this issue in future </w:t>
      </w:r>
      <w:r w:rsidR="00C858C2" w:rsidRPr="00E74838">
        <w:rPr>
          <w:rFonts w:cs="Times New Roman"/>
          <w:sz w:val="24"/>
          <w:szCs w:val="24"/>
        </w:rPr>
        <w:t xml:space="preserve">guidance.  </w:t>
      </w:r>
    </w:p>
    <w:p w14:paraId="1C5859F1" w14:textId="77777777" w:rsidR="00BB0241" w:rsidRPr="00E74838" w:rsidRDefault="00BB0241" w:rsidP="0001000B">
      <w:pPr>
        <w:spacing w:after="0" w:line="240" w:lineRule="auto"/>
        <w:rPr>
          <w:rFonts w:cs="Times New Roman"/>
          <w:sz w:val="24"/>
          <w:szCs w:val="24"/>
        </w:rPr>
      </w:pPr>
    </w:p>
    <w:p w14:paraId="74C083E6" w14:textId="4F332BA6" w:rsidR="00BB0241" w:rsidRPr="00E74838" w:rsidRDefault="00BB0241" w:rsidP="0001000B">
      <w:pPr>
        <w:spacing w:after="0" w:line="240" w:lineRule="auto"/>
        <w:rPr>
          <w:rFonts w:cs="Times New Roman"/>
          <w:sz w:val="24"/>
          <w:szCs w:val="24"/>
        </w:rPr>
      </w:pPr>
      <w:r w:rsidRPr="00E74838">
        <w:rPr>
          <w:rFonts w:cs="Times New Roman"/>
          <w:sz w:val="24"/>
          <w:szCs w:val="24"/>
        </w:rPr>
        <w:t xml:space="preserve">The variables included in the Federal statistical adjustment model will be identical to those variables included in State models.  In fact, there is only one model framework that will be applied to all core programs </w:t>
      </w:r>
      <w:r w:rsidR="00C75CDF" w:rsidRPr="00E74838">
        <w:rPr>
          <w:rFonts w:cs="Times New Roman"/>
          <w:sz w:val="24"/>
          <w:szCs w:val="24"/>
        </w:rPr>
        <w:t>federally</w:t>
      </w:r>
      <w:r w:rsidRPr="00E74838">
        <w:rPr>
          <w:rFonts w:cs="Times New Roman"/>
          <w:sz w:val="24"/>
          <w:szCs w:val="24"/>
        </w:rPr>
        <w:t xml:space="preserve">, at the State level, and locally.  </w:t>
      </w:r>
    </w:p>
    <w:p w14:paraId="6031C974" w14:textId="77777777" w:rsidR="00BB0241" w:rsidRPr="00E74838" w:rsidRDefault="00BB0241" w:rsidP="0001000B">
      <w:pPr>
        <w:spacing w:after="0" w:line="240" w:lineRule="auto"/>
        <w:rPr>
          <w:rFonts w:cs="Times New Roman"/>
          <w:sz w:val="24"/>
          <w:szCs w:val="24"/>
        </w:rPr>
      </w:pPr>
    </w:p>
    <w:p w14:paraId="2440DA87" w14:textId="3930B339" w:rsidR="00263613" w:rsidRPr="00E74838" w:rsidRDefault="00263613" w:rsidP="0001000B">
      <w:pPr>
        <w:spacing w:after="0" w:line="240" w:lineRule="auto"/>
        <w:rPr>
          <w:rFonts w:cs="Times New Roman"/>
          <w:b/>
          <w:sz w:val="24"/>
          <w:szCs w:val="24"/>
        </w:rPr>
      </w:pPr>
      <w:r w:rsidRPr="00E74838">
        <w:rPr>
          <w:rFonts w:eastAsia="Times New Roman" w:cs="Times New Roman"/>
          <w:sz w:val="24"/>
          <w:szCs w:val="24"/>
        </w:rPr>
        <w:t xml:space="preserve">No change has been made in response to these comments. </w:t>
      </w:r>
    </w:p>
    <w:p w14:paraId="5D973CDF" w14:textId="7D29A047" w:rsidR="00263613" w:rsidRPr="00E74838" w:rsidRDefault="00263613" w:rsidP="0001000B">
      <w:pPr>
        <w:spacing w:after="0" w:line="240" w:lineRule="auto"/>
        <w:outlineLvl w:val="0"/>
        <w:rPr>
          <w:rFonts w:cs="Times New Roman"/>
          <w:sz w:val="24"/>
          <w:szCs w:val="24"/>
        </w:rPr>
      </w:pPr>
    </w:p>
    <w:p w14:paraId="59113DC9" w14:textId="4F88222F" w:rsidR="00EB5407" w:rsidRPr="00E74838" w:rsidRDefault="00EB5407" w:rsidP="0001000B">
      <w:pPr>
        <w:spacing w:after="0" w:line="240" w:lineRule="auto"/>
        <w:outlineLvl w:val="0"/>
        <w:rPr>
          <w:rFonts w:cs="Times New Roman"/>
          <w:b/>
          <w:sz w:val="24"/>
          <w:szCs w:val="24"/>
        </w:rPr>
      </w:pPr>
      <w:r w:rsidRPr="00E74838">
        <w:rPr>
          <w:rFonts w:cs="Times New Roman"/>
          <w:b/>
          <w:sz w:val="24"/>
          <w:szCs w:val="24"/>
          <w:u w:val="single"/>
        </w:rPr>
        <w:t xml:space="preserve">Eligible Training Provider </w:t>
      </w:r>
      <w:r w:rsidR="00442B82" w:rsidRPr="00E74838">
        <w:rPr>
          <w:rFonts w:cs="Times New Roman"/>
          <w:b/>
          <w:sz w:val="24"/>
          <w:szCs w:val="24"/>
          <w:u w:val="single"/>
        </w:rPr>
        <w:t xml:space="preserve">(ETP) </w:t>
      </w:r>
      <w:r w:rsidRPr="00E74838">
        <w:rPr>
          <w:rFonts w:cs="Times New Roman"/>
          <w:b/>
          <w:sz w:val="24"/>
          <w:szCs w:val="24"/>
          <w:u w:val="single"/>
        </w:rPr>
        <w:t>Report</w:t>
      </w:r>
      <w:r w:rsidR="00442B82" w:rsidRPr="00E74838">
        <w:rPr>
          <w:rFonts w:cs="Times New Roman"/>
          <w:b/>
          <w:sz w:val="24"/>
          <w:szCs w:val="24"/>
          <w:u w:val="single"/>
        </w:rPr>
        <w:t>ing</w:t>
      </w:r>
      <w:r w:rsidR="005F702B" w:rsidRPr="00E74838">
        <w:rPr>
          <w:rFonts w:cs="Times New Roman"/>
          <w:b/>
          <w:sz w:val="24"/>
          <w:szCs w:val="24"/>
          <w:u w:val="single"/>
        </w:rPr>
        <w:t xml:space="preserve"> -- Burden</w:t>
      </w:r>
      <w:r w:rsidRPr="00E74838">
        <w:rPr>
          <w:rFonts w:cs="Times New Roman"/>
          <w:b/>
          <w:sz w:val="24"/>
          <w:szCs w:val="24"/>
        </w:rPr>
        <w:t>:</w:t>
      </w:r>
    </w:p>
    <w:p w14:paraId="5872C483" w14:textId="77777777" w:rsidR="003F293A" w:rsidRPr="00E74838" w:rsidRDefault="003F293A" w:rsidP="0001000B">
      <w:pPr>
        <w:spacing w:after="0" w:line="240" w:lineRule="auto"/>
        <w:outlineLvl w:val="0"/>
        <w:rPr>
          <w:rFonts w:cs="Times New Roman"/>
          <w:sz w:val="24"/>
          <w:szCs w:val="24"/>
        </w:rPr>
      </w:pPr>
    </w:p>
    <w:p w14:paraId="72FABDB9" w14:textId="531E4541" w:rsidR="00427D13" w:rsidRPr="00E74838" w:rsidRDefault="00442B82" w:rsidP="0001000B">
      <w:pPr>
        <w:spacing w:after="0" w:line="240" w:lineRule="auto"/>
        <w:outlineLvl w:val="0"/>
        <w:rPr>
          <w:rFonts w:eastAsia="Arial" w:cs="Times New Roman"/>
          <w:sz w:val="24"/>
          <w:szCs w:val="24"/>
        </w:rPr>
      </w:pPr>
      <w:r w:rsidRPr="00E74838">
        <w:rPr>
          <w:rFonts w:cs="Times New Roman"/>
          <w:sz w:val="24"/>
          <w:szCs w:val="24"/>
        </w:rPr>
        <w:t>Several commenters expressed concerns about the ETP reporting requirements</w:t>
      </w:r>
      <w:r w:rsidR="001A0159" w:rsidRPr="00E74838">
        <w:rPr>
          <w:rFonts w:cs="Times New Roman"/>
          <w:sz w:val="24"/>
          <w:szCs w:val="24"/>
        </w:rPr>
        <w:t xml:space="preserve"> and the burden they could impose</w:t>
      </w:r>
      <w:r w:rsidRPr="00E74838">
        <w:rPr>
          <w:rFonts w:cs="Times New Roman"/>
          <w:sz w:val="24"/>
          <w:szCs w:val="24"/>
        </w:rPr>
        <w:t xml:space="preserve">.  One of these commenters was concerned that the Departments were considering requiring a narrative portion of the Annual ETP Report.  This commenter </w:t>
      </w:r>
      <w:r w:rsidRPr="00E74838">
        <w:rPr>
          <w:rFonts w:eastAsia="Arial" w:cs="Times New Roman"/>
          <w:sz w:val="24"/>
          <w:szCs w:val="24"/>
        </w:rPr>
        <w:t>recommended that the Departments optimize their reporting requirements in such a way that they gather maximum information with minimal effort on the part of the ETPs.</w:t>
      </w:r>
      <w:r w:rsidR="00427D13" w:rsidRPr="00E74838">
        <w:rPr>
          <w:rFonts w:eastAsia="Arial" w:cs="Times New Roman"/>
          <w:sz w:val="24"/>
          <w:szCs w:val="24"/>
        </w:rPr>
        <w:t xml:space="preserve">  This commenter expressed concern that ETPs may drop out of the system if faced with burdensome reporting requirements.  </w:t>
      </w:r>
    </w:p>
    <w:p w14:paraId="67CE7577" w14:textId="77777777" w:rsidR="00427D13" w:rsidRPr="00E74838" w:rsidRDefault="00427D13" w:rsidP="0001000B">
      <w:pPr>
        <w:spacing w:after="0" w:line="240" w:lineRule="auto"/>
        <w:outlineLvl w:val="0"/>
        <w:rPr>
          <w:rFonts w:eastAsia="Arial" w:cs="Times New Roman"/>
          <w:sz w:val="24"/>
          <w:szCs w:val="24"/>
        </w:rPr>
      </w:pPr>
    </w:p>
    <w:p w14:paraId="4A0F3B99" w14:textId="007A481C" w:rsidR="001A0159" w:rsidRPr="00E74838" w:rsidRDefault="001A0159" w:rsidP="0001000B">
      <w:pPr>
        <w:spacing w:after="0" w:line="240" w:lineRule="auto"/>
        <w:outlineLvl w:val="0"/>
        <w:rPr>
          <w:rFonts w:eastAsia="Arial" w:cs="Times New Roman"/>
          <w:sz w:val="24"/>
          <w:szCs w:val="24"/>
        </w:rPr>
      </w:pPr>
      <w:r w:rsidRPr="00E74838">
        <w:rPr>
          <w:rFonts w:eastAsia="Arial" w:cs="Times New Roman"/>
          <w:sz w:val="24"/>
          <w:szCs w:val="24"/>
        </w:rPr>
        <w:t xml:space="preserve">The commenter also expressed concern about the burden that could be imposed on ETPs if they were required to do both an annual report under section 116 of WIOA and a recertification report under section 122 of WIOA.  The commenter recommended that the two reporting requirements be aligned in order to maximize value with minimized effort.  </w:t>
      </w:r>
    </w:p>
    <w:p w14:paraId="6278DA03" w14:textId="77777777" w:rsidR="001A0159" w:rsidRPr="00E74838" w:rsidRDefault="001A0159" w:rsidP="0001000B">
      <w:pPr>
        <w:spacing w:after="0" w:line="240" w:lineRule="auto"/>
        <w:outlineLvl w:val="0"/>
        <w:rPr>
          <w:rFonts w:eastAsia="Arial" w:cs="Times New Roman"/>
          <w:sz w:val="24"/>
          <w:szCs w:val="24"/>
        </w:rPr>
      </w:pPr>
    </w:p>
    <w:p w14:paraId="0DAA25B0" w14:textId="77777777" w:rsidR="005F702B" w:rsidRPr="00E74838" w:rsidRDefault="0057133E" w:rsidP="0001000B">
      <w:pPr>
        <w:spacing w:after="0" w:line="240" w:lineRule="auto"/>
        <w:outlineLvl w:val="0"/>
        <w:rPr>
          <w:rFonts w:eastAsia="Arial" w:cs="Times New Roman"/>
          <w:sz w:val="24"/>
          <w:szCs w:val="24"/>
        </w:rPr>
      </w:pPr>
      <w:r w:rsidRPr="00E74838">
        <w:rPr>
          <w:rFonts w:eastAsia="Arial" w:cs="Times New Roman"/>
          <w:sz w:val="24"/>
          <w:szCs w:val="24"/>
        </w:rPr>
        <w:t>One commenter encouraged the Departments to use the transition authority under section 503 to delay or phase-in the ETP reporting requirements.  In so doing, the Departments would be giving States the time to work with partners in higher education to access individual or aggregate data that ETPs already submit to those partners to minimize duplicative reporting on ETPs.</w:t>
      </w:r>
      <w:r w:rsidR="005F702B" w:rsidRPr="00E74838">
        <w:rPr>
          <w:rFonts w:eastAsia="Arial" w:cs="Times New Roman"/>
          <w:sz w:val="24"/>
          <w:szCs w:val="24"/>
        </w:rPr>
        <w:t xml:space="preserve">  </w:t>
      </w:r>
    </w:p>
    <w:p w14:paraId="39225B82" w14:textId="77777777" w:rsidR="005F702B" w:rsidRPr="00E74838" w:rsidRDefault="005F702B" w:rsidP="0001000B">
      <w:pPr>
        <w:spacing w:after="0" w:line="240" w:lineRule="auto"/>
        <w:outlineLvl w:val="0"/>
        <w:rPr>
          <w:rFonts w:eastAsia="Arial" w:cs="Times New Roman"/>
          <w:sz w:val="24"/>
          <w:szCs w:val="24"/>
        </w:rPr>
      </w:pPr>
    </w:p>
    <w:p w14:paraId="7F11BEC6" w14:textId="53748BC1" w:rsidR="0057133E" w:rsidRPr="00E74838" w:rsidRDefault="005F702B" w:rsidP="0001000B">
      <w:pPr>
        <w:spacing w:after="0" w:line="240" w:lineRule="auto"/>
        <w:outlineLvl w:val="0"/>
        <w:rPr>
          <w:rFonts w:eastAsia="Arial" w:cs="Times New Roman"/>
          <w:sz w:val="24"/>
          <w:szCs w:val="24"/>
        </w:rPr>
      </w:pPr>
      <w:r w:rsidRPr="00E74838">
        <w:rPr>
          <w:rFonts w:eastAsia="Arial" w:cs="Times New Roman"/>
          <w:sz w:val="24"/>
          <w:szCs w:val="24"/>
        </w:rPr>
        <w:t>Furthermore, a commenter said it would be unreasonable to expect an ETP to conduct manual follow-up activities in order to comply with the requirements imposed by the primary performance indicators for those participants who do not provide a valid SSN.  This commenter asserted that ETPs receive a small amount of funding under WIOA – sufficient to serve only 5 percent of their trainees and students – and that such manual follow-up requirement would be too burdensome.</w:t>
      </w:r>
    </w:p>
    <w:p w14:paraId="5A1F0430" w14:textId="77777777" w:rsidR="0057133E" w:rsidRPr="00E74838" w:rsidRDefault="0057133E" w:rsidP="0001000B">
      <w:pPr>
        <w:spacing w:after="0" w:line="240" w:lineRule="auto"/>
        <w:outlineLvl w:val="0"/>
        <w:rPr>
          <w:rFonts w:eastAsia="Arial" w:cs="Times New Roman"/>
          <w:sz w:val="24"/>
          <w:szCs w:val="24"/>
        </w:rPr>
      </w:pPr>
    </w:p>
    <w:p w14:paraId="44D46DE3" w14:textId="0B0AA1D4" w:rsidR="007E78CE" w:rsidRPr="00E74838" w:rsidRDefault="00857C72" w:rsidP="0001000B">
      <w:pPr>
        <w:autoSpaceDE w:val="0"/>
        <w:autoSpaceDN w:val="0"/>
        <w:adjustRightInd w:val="0"/>
        <w:spacing w:after="0" w:line="240" w:lineRule="auto"/>
        <w:rPr>
          <w:rFonts w:eastAsia="Arial" w:cs="Times New Roman"/>
          <w:sz w:val="24"/>
          <w:szCs w:val="24"/>
        </w:rPr>
      </w:pPr>
      <w:r w:rsidRPr="00E74838">
        <w:rPr>
          <w:rFonts w:eastAsia="Arial" w:cs="Times New Roman"/>
          <w:b/>
          <w:sz w:val="24"/>
          <w:szCs w:val="24"/>
        </w:rPr>
        <w:t>Agencies’ Response, June 2016:</w:t>
      </w:r>
      <w:r w:rsidR="00004ADE" w:rsidRPr="00E74838">
        <w:rPr>
          <w:rFonts w:eastAsia="Arial" w:cs="Times New Roman"/>
          <w:b/>
          <w:sz w:val="24"/>
          <w:szCs w:val="24"/>
        </w:rPr>
        <w:t xml:space="preserve"> </w:t>
      </w:r>
      <w:r w:rsidR="00004ADE" w:rsidRPr="00E74838">
        <w:rPr>
          <w:rFonts w:eastAsia="Arial" w:cs="Times New Roman"/>
          <w:sz w:val="24"/>
          <w:szCs w:val="24"/>
        </w:rPr>
        <w:t xml:space="preserve">To be clear, </w:t>
      </w:r>
      <w:r w:rsidR="00ED398D" w:rsidRPr="00E74838">
        <w:rPr>
          <w:rFonts w:eastAsia="Arial" w:cs="Times New Roman"/>
          <w:sz w:val="24"/>
          <w:szCs w:val="24"/>
        </w:rPr>
        <w:t xml:space="preserve">the Departments are not requiring </w:t>
      </w:r>
      <w:r w:rsidR="00004ADE" w:rsidRPr="00E74838">
        <w:rPr>
          <w:rFonts w:eastAsia="Arial" w:cs="Times New Roman"/>
          <w:sz w:val="24"/>
          <w:szCs w:val="24"/>
        </w:rPr>
        <w:t xml:space="preserve">a written report for ETPs, </w:t>
      </w:r>
      <w:r w:rsidR="00ED398D" w:rsidRPr="00E74838">
        <w:rPr>
          <w:rFonts w:eastAsia="Arial" w:cs="Times New Roman"/>
          <w:sz w:val="24"/>
          <w:szCs w:val="24"/>
        </w:rPr>
        <w:t xml:space="preserve">but are requiring such reports </w:t>
      </w:r>
      <w:r w:rsidR="00004ADE" w:rsidRPr="00E74838">
        <w:rPr>
          <w:rFonts w:eastAsia="Arial" w:cs="Times New Roman"/>
          <w:sz w:val="24"/>
          <w:szCs w:val="24"/>
        </w:rPr>
        <w:t>for Pay-for-Performance contracts.</w:t>
      </w:r>
      <w:r w:rsidR="007E78CE" w:rsidRPr="00E74838">
        <w:rPr>
          <w:rFonts w:eastAsia="Arial" w:cs="Times New Roman"/>
          <w:sz w:val="24"/>
          <w:szCs w:val="24"/>
        </w:rPr>
        <w:t xml:space="preserve">  </w:t>
      </w:r>
    </w:p>
    <w:p w14:paraId="23D40BCF" w14:textId="77777777" w:rsidR="007E78CE" w:rsidRPr="00E74838" w:rsidRDefault="007E78CE" w:rsidP="0001000B">
      <w:pPr>
        <w:autoSpaceDE w:val="0"/>
        <w:autoSpaceDN w:val="0"/>
        <w:adjustRightInd w:val="0"/>
        <w:spacing w:after="0" w:line="240" w:lineRule="auto"/>
        <w:rPr>
          <w:rFonts w:eastAsia="Arial" w:cs="Times New Roman"/>
          <w:sz w:val="24"/>
          <w:szCs w:val="24"/>
        </w:rPr>
      </w:pPr>
    </w:p>
    <w:p w14:paraId="0BA080CA" w14:textId="6B0C47D7" w:rsidR="009C2509" w:rsidRPr="00E74838" w:rsidRDefault="009C2509" w:rsidP="0001000B">
      <w:pPr>
        <w:autoSpaceDE w:val="0"/>
        <w:autoSpaceDN w:val="0"/>
        <w:adjustRightInd w:val="0"/>
        <w:spacing w:after="0" w:line="240" w:lineRule="auto"/>
        <w:rPr>
          <w:rFonts w:eastAsia="Arial" w:cs="Times New Roman"/>
          <w:sz w:val="24"/>
          <w:szCs w:val="24"/>
        </w:rPr>
      </w:pPr>
      <w:r w:rsidRPr="00E74838">
        <w:rPr>
          <w:rFonts w:eastAsia="Arial" w:cs="Times New Roman"/>
          <w:sz w:val="24"/>
          <w:szCs w:val="24"/>
        </w:rPr>
        <w:lastRenderedPageBreak/>
        <w:t xml:space="preserve">With respect to the concerns raised regarding the reporting required by section 116 and the recertification reporting required by section 122 of WIOA, the Departments have addressed these concerns in the </w:t>
      </w:r>
      <w:r w:rsidR="0057133E" w:rsidRPr="00E74838">
        <w:rPr>
          <w:rFonts w:eastAsia="Arial" w:cs="Times New Roman"/>
          <w:sz w:val="24"/>
          <w:szCs w:val="24"/>
        </w:rPr>
        <w:t>f</w:t>
      </w:r>
      <w:r w:rsidRPr="00E74838">
        <w:rPr>
          <w:rFonts w:eastAsia="Arial" w:cs="Times New Roman"/>
          <w:sz w:val="24"/>
          <w:szCs w:val="24"/>
        </w:rPr>
        <w:t>inal Joint Performance ICR.</w:t>
      </w:r>
    </w:p>
    <w:p w14:paraId="6E2ADBCB" w14:textId="77777777" w:rsidR="007E78CE" w:rsidRPr="00E74838" w:rsidRDefault="007E78CE" w:rsidP="0001000B">
      <w:pPr>
        <w:autoSpaceDE w:val="0"/>
        <w:autoSpaceDN w:val="0"/>
        <w:adjustRightInd w:val="0"/>
        <w:spacing w:after="0" w:line="240" w:lineRule="auto"/>
        <w:rPr>
          <w:rFonts w:eastAsia="Arial" w:cs="Times New Roman"/>
          <w:sz w:val="24"/>
          <w:szCs w:val="24"/>
        </w:rPr>
      </w:pPr>
    </w:p>
    <w:p w14:paraId="5A1259CC" w14:textId="5897EBE0" w:rsidR="0057133E" w:rsidRPr="00E74838" w:rsidRDefault="0057133E" w:rsidP="0001000B">
      <w:pPr>
        <w:autoSpaceDE w:val="0"/>
        <w:autoSpaceDN w:val="0"/>
        <w:adjustRightInd w:val="0"/>
        <w:spacing w:after="0" w:line="240" w:lineRule="auto"/>
        <w:rPr>
          <w:rFonts w:cs="Times New Roman"/>
          <w:b/>
          <w:sz w:val="24"/>
          <w:szCs w:val="24"/>
        </w:rPr>
      </w:pPr>
      <w:r w:rsidRPr="00E74838">
        <w:rPr>
          <w:rFonts w:eastAsia="Arial" w:cs="Times New Roman"/>
          <w:sz w:val="24"/>
          <w:szCs w:val="24"/>
        </w:rPr>
        <w:t xml:space="preserve">Since the ETP report is an annual requirement, the Departments anticipate that States will begin collecting the requisite ETP data as soon as possible, with the first report being due by October 1, 2017.  </w:t>
      </w:r>
    </w:p>
    <w:p w14:paraId="696F58FC" w14:textId="77777777" w:rsidR="0057133E" w:rsidRPr="00E74838" w:rsidRDefault="0057133E" w:rsidP="0001000B">
      <w:pPr>
        <w:autoSpaceDE w:val="0"/>
        <w:autoSpaceDN w:val="0"/>
        <w:adjustRightInd w:val="0"/>
        <w:spacing w:after="0" w:line="240" w:lineRule="auto"/>
        <w:rPr>
          <w:rFonts w:eastAsia="Arial" w:cs="Times New Roman"/>
          <w:sz w:val="24"/>
          <w:szCs w:val="24"/>
        </w:rPr>
      </w:pPr>
    </w:p>
    <w:p w14:paraId="0B69669C" w14:textId="4B9FC24C" w:rsidR="00B95C31" w:rsidRPr="00E74838" w:rsidRDefault="00B95C31" w:rsidP="0001000B">
      <w:pPr>
        <w:autoSpaceDE w:val="0"/>
        <w:autoSpaceDN w:val="0"/>
        <w:adjustRightInd w:val="0"/>
        <w:spacing w:after="0" w:line="240" w:lineRule="auto"/>
        <w:rPr>
          <w:rFonts w:eastAsia="Arial" w:cs="Times New Roman"/>
          <w:sz w:val="24"/>
          <w:szCs w:val="24"/>
        </w:rPr>
      </w:pPr>
      <w:r w:rsidRPr="00E74838">
        <w:rPr>
          <w:rFonts w:eastAsia="Arial" w:cs="Times New Roman"/>
          <w:sz w:val="24"/>
          <w:szCs w:val="24"/>
        </w:rPr>
        <w:t xml:space="preserve">Because the primary performance indicators </w:t>
      </w:r>
      <w:r w:rsidR="00FE11CE" w:rsidRPr="00E74838">
        <w:rPr>
          <w:rFonts w:eastAsia="Arial" w:cs="Times New Roman"/>
          <w:sz w:val="24"/>
          <w:szCs w:val="24"/>
        </w:rPr>
        <w:t>–</w:t>
      </w:r>
      <w:r w:rsidRPr="00E74838">
        <w:rPr>
          <w:rFonts w:eastAsia="Arial" w:cs="Times New Roman"/>
          <w:sz w:val="24"/>
          <w:szCs w:val="24"/>
        </w:rPr>
        <w:t xml:space="preserve"> including the employment-related performance indicators </w:t>
      </w:r>
      <w:r w:rsidR="00FE11CE" w:rsidRPr="00E74838">
        <w:rPr>
          <w:rFonts w:eastAsia="Arial" w:cs="Times New Roman"/>
          <w:sz w:val="24"/>
          <w:szCs w:val="24"/>
        </w:rPr>
        <w:t>–</w:t>
      </w:r>
      <w:r w:rsidRPr="00E74838">
        <w:rPr>
          <w:rFonts w:eastAsia="Arial" w:cs="Times New Roman"/>
          <w:sz w:val="24"/>
          <w:szCs w:val="24"/>
        </w:rPr>
        <w:t xml:space="preserve"> are required for ETP reporting, the SSN is a vital part of conducting the wage match to produce performance outcomes.  </w:t>
      </w:r>
      <w:r w:rsidR="002D7C48" w:rsidRPr="00E74838">
        <w:rPr>
          <w:rFonts w:eastAsia="Arial" w:cs="Times New Roman"/>
          <w:sz w:val="24"/>
          <w:szCs w:val="24"/>
        </w:rPr>
        <w:t xml:space="preserve">As with </w:t>
      </w:r>
      <w:r w:rsidRPr="00E74838">
        <w:rPr>
          <w:rFonts w:eastAsia="Arial" w:cs="Times New Roman"/>
          <w:sz w:val="24"/>
          <w:szCs w:val="24"/>
        </w:rPr>
        <w:t xml:space="preserve">the </w:t>
      </w:r>
      <w:r w:rsidR="00B76712" w:rsidRPr="00E74838">
        <w:rPr>
          <w:rFonts w:eastAsia="Arial" w:cs="Times New Roman"/>
          <w:sz w:val="24"/>
          <w:szCs w:val="24"/>
        </w:rPr>
        <w:t>S</w:t>
      </w:r>
      <w:r w:rsidRPr="00E74838">
        <w:rPr>
          <w:rFonts w:eastAsia="Arial" w:cs="Times New Roman"/>
          <w:sz w:val="24"/>
          <w:szCs w:val="24"/>
        </w:rPr>
        <w:t>tates themselves, if an ETP does not produce a</w:t>
      </w:r>
      <w:r w:rsidR="00FE11CE" w:rsidRPr="00E74838">
        <w:rPr>
          <w:rFonts w:eastAsia="Arial" w:cs="Times New Roman"/>
          <w:sz w:val="24"/>
          <w:szCs w:val="24"/>
        </w:rPr>
        <w:t>n</w:t>
      </w:r>
      <w:r w:rsidRPr="00E74838">
        <w:rPr>
          <w:rFonts w:eastAsia="Arial" w:cs="Times New Roman"/>
          <w:sz w:val="24"/>
          <w:szCs w:val="24"/>
        </w:rPr>
        <w:t xml:space="preserve"> SSN for wage matching, the</w:t>
      </w:r>
      <w:r w:rsidR="002D7C48" w:rsidRPr="00E74838">
        <w:rPr>
          <w:rFonts w:eastAsia="Arial" w:cs="Times New Roman"/>
          <w:sz w:val="24"/>
          <w:szCs w:val="24"/>
        </w:rPr>
        <w:t xml:space="preserve"> </w:t>
      </w:r>
      <w:r w:rsidR="008B0D34">
        <w:rPr>
          <w:rFonts w:eastAsia="Arial" w:cs="Times New Roman"/>
          <w:sz w:val="24"/>
          <w:szCs w:val="24"/>
        </w:rPr>
        <w:t>State</w:t>
      </w:r>
      <w:r w:rsidR="002D7C48" w:rsidRPr="00E74838">
        <w:rPr>
          <w:rFonts w:eastAsia="Arial" w:cs="Times New Roman"/>
          <w:sz w:val="24"/>
          <w:szCs w:val="24"/>
        </w:rPr>
        <w:t xml:space="preserve"> must </w:t>
      </w:r>
      <w:r w:rsidRPr="00E74838">
        <w:rPr>
          <w:rFonts w:eastAsia="Arial" w:cs="Times New Roman"/>
          <w:sz w:val="24"/>
          <w:szCs w:val="24"/>
        </w:rPr>
        <w:t xml:space="preserve">obtain that SSN through follow-up, or obtain the actual performance outcome information through follow-up means.  </w:t>
      </w:r>
    </w:p>
    <w:p w14:paraId="1B3336B6" w14:textId="77777777" w:rsidR="002D7C48" w:rsidRPr="00E74838" w:rsidRDefault="002D7C48" w:rsidP="0001000B">
      <w:pPr>
        <w:autoSpaceDE w:val="0"/>
        <w:autoSpaceDN w:val="0"/>
        <w:adjustRightInd w:val="0"/>
        <w:spacing w:after="0" w:line="240" w:lineRule="auto"/>
        <w:rPr>
          <w:rFonts w:eastAsia="Times New Roman" w:cs="Times New Roman"/>
          <w:sz w:val="24"/>
          <w:szCs w:val="24"/>
        </w:rPr>
      </w:pPr>
    </w:p>
    <w:p w14:paraId="336E0C95" w14:textId="307E85CA" w:rsidR="009540EF" w:rsidRPr="00E74838" w:rsidRDefault="009540EF" w:rsidP="0001000B">
      <w:pPr>
        <w:autoSpaceDE w:val="0"/>
        <w:autoSpaceDN w:val="0"/>
        <w:adjustRightInd w:val="0"/>
        <w:spacing w:after="0" w:line="240" w:lineRule="auto"/>
        <w:rPr>
          <w:rFonts w:cs="Times New Roman"/>
          <w:b/>
          <w:sz w:val="24"/>
          <w:szCs w:val="24"/>
        </w:rPr>
      </w:pPr>
      <w:r w:rsidRPr="00E74838">
        <w:rPr>
          <w:rFonts w:eastAsia="Times New Roman" w:cs="Times New Roman"/>
          <w:sz w:val="24"/>
          <w:szCs w:val="24"/>
        </w:rPr>
        <w:t xml:space="preserve">No </w:t>
      </w:r>
      <w:r w:rsidR="009C2509" w:rsidRPr="00E74838">
        <w:rPr>
          <w:rFonts w:eastAsia="Times New Roman" w:cs="Times New Roman"/>
          <w:sz w:val="24"/>
          <w:szCs w:val="24"/>
        </w:rPr>
        <w:t xml:space="preserve">further changes have </w:t>
      </w:r>
      <w:r w:rsidRPr="00E74838">
        <w:rPr>
          <w:rFonts w:eastAsia="Times New Roman" w:cs="Times New Roman"/>
          <w:sz w:val="24"/>
          <w:szCs w:val="24"/>
        </w:rPr>
        <w:t>been made in response to th</w:t>
      </w:r>
      <w:r w:rsidR="009C2509" w:rsidRPr="00E74838">
        <w:rPr>
          <w:rFonts w:eastAsia="Times New Roman" w:cs="Times New Roman"/>
          <w:sz w:val="24"/>
          <w:szCs w:val="24"/>
        </w:rPr>
        <w:t>ese comments</w:t>
      </w:r>
      <w:r w:rsidRPr="00E74838">
        <w:rPr>
          <w:rFonts w:eastAsia="Times New Roman" w:cs="Times New Roman"/>
          <w:sz w:val="24"/>
          <w:szCs w:val="24"/>
        </w:rPr>
        <w:t xml:space="preserve">. </w:t>
      </w:r>
    </w:p>
    <w:p w14:paraId="2E7DFD3F" w14:textId="1363D666" w:rsidR="00004ADE" w:rsidRPr="00E74838" w:rsidRDefault="00004ADE" w:rsidP="0001000B">
      <w:pPr>
        <w:spacing w:after="0" w:line="240" w:lineRule="auto"/>
        <w:rPr>
          <w:rFonts w:eastAsia="Arial" w:cs="Times New Roman"/>
          <w:sz w:val="24"/>
          <w:szCs w:val="24"/>
        </w:rPr>
      </w:pPr>
    </w:p>
    <w:p w14:paraId="462BA25F" w14:textId="47CA0245" w:rsidR="005F702B" w:rsidRPr="00E74838" w:rsidRDefault="005F702B" w:rsidP="0001000B">
      <w:pPr>
        <w:spacing w:after="0" w:line="240" w:lineRule="auto"/>
        <w:rPr>
          <w:rFonts w:eastAsia="Arial" w:cs="Times New Roman"/>
          <w:b/>
          <w:sz w:val="24"/>
          <w:szCs w:val="24"/>
        </w:rPr>
      </w:pPr>
      <w:r w:rsidRPr="00E74838">
        <w:rPr>
          <w:rFonts w:eastAsia="Arial" w:cs="Times New Roman"/>
          <w:b/>
          <w:sz w:val="24"/>
          <w:szCs w:val="24"/>
          <w:u w:val="single"/>
        </w:rPr>
        <w:t>ETP Reporting – Miscellaneous</w:t>
      </w:r>
      <w:r w:rsidRPr="00E74838">
        <w:rPr>
          <w:rFonts w:eastAsia="Arial" w:cs="Times New Roman"/>
          <w:b/>
          <w:sz w:val="24"/>
          <w:szCs w:val="24"/>
        </w:rPr>
        <w:t>:</w:t>
      </w:r>
    </w:p>
    <w:p w14:paraId="0E6DC74E" w14:textId="77777777" w:rsidR="003F293A" w:rsidRPr="00E74838" w:rsidRDefault="003F293A" w:rsidP="0001000B">
      <w:pPr>
        <w:spacing w:after="0" w:line="240" w:lineRule="auto"/>
        <w:rPr>
          <w:rFonts w:eastAsia="Arial" w:cs="Times New Roman"/>
          <w:sz w:val="24"/>
          <w:szCs w:val="24"/>
        </w:rPr>
      </w:pPr>
    </w:p>
    <w:p w14:paraId="6154AB27" w14:textId="01309A81" w:rsidR="005F702B" w:rsidRPr="00E74838" w:rsidRDefault="005F702B" w:rsidP="0001000B">
      <w:pPr>
        <w:spacing w:after="0" w:line="240" w:lineRule="auto"/>
        <w:outlineLvl w:val="0"/>
        <w:rPr>
          <w:rFonts w:eastAsia="Arial" w:cs="Times New Roman"/>
          <w:sz w:val="24"/>
          <w:szCs w:val="24"/>
        </w:rPr>
      </w:pPr>
      <w:r w:rsidRPr="00E74838">
        <w:rPr>
          <w:rFonts w:eastAsia="Arial" w:cs="Times New Roman"/>
          <w:sz w:val="24"/>
          <w:szCs w:val="24"/>
        </w:rPr>
        <w:t>One commenter recommended that State laws or regulations supersede any requirement that the Departments would impose, if such requirements are more stringent, with respect to the suppression of data to protect the confidentiality of personal information  in the case of small sample size for any given data cell.</w:t>
      </w:r>
    </w:p>
    <w:p w14:paraId="2BC5E43D" w14:textId="77777777" w:rsidR="005F702B" w:rsidRPr="00E74838" w:rsidRDefault="005F702B" w:rsidP="0001000B">
      <w:pPr>
        <w:spacing w:after="0" w:line="240" w:lineRule="auto"/>
        <w:rPr>
          <w:rFonts w:eastAsia="Arial" w:cs="Times New Roman"/>
          <w:sz w:val="24"/>
          <w:szCs w:val="24"/>
        </w:rPr>
      </w:pPr>
    </w:p>
    <w:p w14:paraId="152DB126" w14:textId="3A5A1AE6" w:rsidR="000660CE" w:rsidRPr="00CD241A" w:rsidRDefault="000660CE" w:rsidP="0001000B">
      <w:pPr>
        <w:spacing w:after="0" w:line="240" w:lineRule="auto"/>
        <w:rPr>
          <w:rFonts w:eastAsia="Times New Roman" w:cs="Times New Roman"/>
          <w:sz w:val="24"/>
          <w:szCs w:val="24"/>
        </w:rPr>
      </w:pPr>
      <w:r w:rsidRPr="00E74838">
        <w:rPr>
          <w:rFonts w:eastAsia="Arial" w:cs="Times New Roman"/>
          <w:sz w:val="24"/>
          <w:szCs w:val="24"/>
        </w:rPr>
        <w:t>Another commenter noted that o</w:t>
      </w:r>
      <w:r w:rsidRPr="00E74838">
        <w:rPr>
          <w:rFonts w:eastAsia="Times New Roman" w:cs="Times New Roman"/>
          <w:sz w:val="24"/>
          <w:szCs w:val="24"/>
        </w:rPr>
        <w:t xml:space="preserve">ne of the data elements required to be reported in relation to ETPs is the “percentage of participants in a program, authorized under WIOA </w:t>
      </w:r>
      <w:r w:rsidR="00635273" w:rsidRPr="00E74838">
        <w:rPr>
          <w:rFonts w:eastAsia="Times New Roman" w:cs="Times New Roman"/>
          <w:sz w:val="24"/>
          <w:szCs w:val="24"/>
        </w:rPr>
        <w:t>t</w:t>
      </w:r>
      <w:r w:rsidRPr="00E74838">
        <w:rPr>
          <w:rFonts w:eastAsia="Times New Roman" w:cs="Times New Roman"/>
          <w:sz w:val="24"/>
          <w:szCs w:val="24"/>
        </w:rPr>
        <w:t>itle I who received training services and obtained unsubsidized employment in a field related to the training received.</w:t>
      </w:r>
      <w:r w:rsidR="0090397F" w:rsidRPr="00E74838">
        <w:rPr>
          <w:rFonts w:eastAsia="Times New Roman" w:cs="Times New Roman"/>
          <w:sz w:val="24"/>
          <w:szCs w:val="24"/>
        </w:rPr>
        <w:t xml:space="preserve">”  </w:t>
      </w:r>
      <w:r w:rsidRPr="00E74838">
        <w:rPr>
          <w:rFonts w:eastAsia="Times New Roman" w:cs="Times New Roman"/>
          <w:sz w:val="24"/>
          <w:szCs w:val="24"/>
        </w:rPr>
        <w:t xml:space="preserve">The commenter added that Unemployment Insurance (UI) wage data do not accurately identify the occupational title of each individual, outside of data input by </w:t>
      </w:r>
      <w:r w:rsidR="00635273" w:rsidRPr="00E74838">
        <w:rPr>
          <w:rFonts w:eastAsia="Times New Roman" w:cs="Times New Roman"/>
          <w:sz w:val="24"/>
          <w:szCs w:val="24"/>
        </w:rPr>
        <w:t>t</w:t>
      </w:r>
      <w:r w:rsidRPr="00E74838">
        <w:rPr>
          <w:rFonts w:eastAsia="Times New Roman" w:cs="Times New Roman"/>
          <w:sz w:val="24"/>
          <w:szCs w:val="24"/>
        </w:rPr>
        <w:t xml:space="preserve">itle I staff regarding employment outcomes. </w:t>
      </w:r>
      <w:r w:rsidR="0090397F" w:rsidRPr="00E74838">
        <w:rPr>
          <w:rFonts w:eastAsia="Times New Roman" w:cs="Times New Roman"/>
          <w:sz w:val="24"/>
          <w:szCs w:val="24"/>
        </w:rPr>
        <w:t xml:space="preserve"> </w:t>
      </w:r>
      <w:r w:rsidRPr="00E74838">
        <w:rPr>
          <w:rFonts w:eastAsia="Times New Roman" w:cs="Times New Roman"/>
          <w:sz w:val="24"/>
          <w:szCs w:val="24"/>
        </w:rPr>
        <w:t xml:space="preserve">This measure will not be able to be identified using wage data alone.  </w:t>
      </w:r>
      <w:r w:rsidR="0022000A" w:rsidRPr="00E74838">
        <w:rPr>
          <w:rFonts w:eastAsia="Times New Roman" w:cs="Times New Roman"/>
          <w:sz w:val="24"/>
          <w:szCs w:val="24"/>
        </w:rPr>
        <w:t xml:space="preserve">The commenter was unclear </w:t>
      </w:r>
      <w:r w:rsidRPr="00E74838">
        <w:rPr>
          <w:rFonts w:eastAsia="Times New Roman" w:cs="Times New Roman"/>
          <w:sz w:val="24"/>
          <w:szCs w:val="24"/>
        </w:rPr>
        <w:t xml:space="preserve">how the ETP report for all students will be able to measure this data without significant burden to the ETP. </w:t>
      </w:r>
    </w:p>
    <w:p w14:paraId="5F330D0F" w14:textId="3FA1C1B2" w:rsidR="0022000A" w:rsidRPr="00E74838" w:rsidRDefault="0022000A" w:rsidP="0001000B">
      <w:pPr>
        <w:spacing w:after="0" w:line="240" w:lineRule="auto"/>
        <w:rPr>
          <w:rFonts w:eastAsia="Times New Roman" w:cs="Times New Roman"/>
          <w:sz w:val="24"/>
          <w:szCs w:val="24"/>
        </w:rPr>
      </w:pPr>
      <w:r w:rsidRPr="00E74838">
        <w:rPr>
          <w:rFonts w:eastAsia="Times New Roman" w:cs="Times New Roman"/>
          <w:sz w:val="24"/>
          <w:szCs w:val="24"/>
        </w:rPr>
        <w:t>This same commenter noted that one of the measures to be included in the ETA-9171 is the percentage of individuals who obtain a secondary school diploma or its recognized equivalent</w:t>
      </w:r>
      <w:r w:rsidR="00D1505E" w:rsidRPr="00E74838">
        <w:rPr>
          <w:rFonts w:eastAsia="Times New Roman" w:cs="Times New Roman"/>
          <w:sz w:val="24"/>
          <w:szCs w:val="24"/>
        </w:rPr>
        <w:t>,</w:t>
      </w:r>
      <w:r w:rsidRPr="00E74838">
        <w:rPr>
          <w:rFonts w:eastAsia="Times New Roman" w:cs="Times New Roman"/>
          <w:sz w:val="24"/>
          <w:szCs w:val="24"/>
        </w:rPr>
        <w:t xml:space="preserve"> which would appear to imply that the ETP list must include all high schools and all AEFLA programs and any others that offer high school completion or high school equivalency training.  If this is the case, the commenter stated that this would require significant additions to </w:t>
      </w:r>
      <w:r w:rsidR="00A47CE6" w:rsidRPr="00E74838">
        <w:rPr>
          <w:rFonts w:eastAsia="Times New Roman" w:cs="Times New Roman"/>
          <w:sz w:val="24"/>
          <w:szCs w:val="24"/>
        </w:rPr>
        <w:t xml:space="preserve">current </w:t>
      </w:r>
      <w:r w:rsidRPr="00E74838">
        <w:rPr>
          <w:rFonts w:eastAsia="Times New Roman" w:cs="Times New Roman"/>
          <w:sz w:val="24"/>
          <w:szCs w:val="24"/>
        </w:rPr>
        <w:t>ETP list</w:t>
      </w:r>
      <w:r w:rsidR="00A47CE6" w:rsidRPr="00E74838">
        <w:rPr>
          <w:rFonts w:eastAsia="Times New Roman" w:cs="Times New Roman"/>
          <w:sz w:val="24"/>
          <w:szCs w:val="24"/>
        </w:rPr>
        <w:t>s</w:t>
      </w:r>
      <w:r w:rsidRPr="00E74838">
        <w:rPr>
          <w:rFonts w:eastAsia="Times New Roman" w:cs="Times New Roman"/>
          <w:sz w:val="24"/>
          <w:szCs w:val="24"/>
        </w:rPr>
        <w:t xml:space="preserve"> and </w:t>
      </w:r>
      <w:r w:rsidR="00A47CE6" w:rsidRPr="00E74838">
        <w:rPr>
          <w:rFonts w:eastAsia="Times New Roman" w:cs="Times New Roman"/>
          <w:sz w:val="24"/>
          <w:szCs w:val="24"/>
        </w:rPr>
        <w:t xml:space="preserve">would require </w:t>
      </w:r>
      <w:r w:rsidRPr="00E74838">
        <w:rPr>
          <w:rFonts w:eastAsia="Times New Roman" w:cs="Times New Roman"/>
          <w:sz w:val="24"/>
          <w:szCs w:val="24"/>
        </w:rPr>
        <w:t xml:space="preserve">significantly more time </w:t>
      </w:r>
      <w:r w:rsidR="0031012E" w:rsidRPr="00E74838">
        <w:rPr>
          <w:rFonts w:eastAsia="Times New Roman" w:cs="Times New Roman"/>
          <w:sz w:val="24"/>
          <w:szCs w:val="24"/>
        </w:rPr>
        <w:t xml:space="preserve">to </w:t>
      </w:r>
      <w:r w:rsidRPr="00E74838">
        <w:rPr>
          <w:rFonts w:eastAsia="Times New Roman" w:cs="Times New Roman"/>
          <w:sz w:val="24"/>
          <w:szCs w:val="24"/>
        </w:rPr>
        <w:t>enter and approv</w:t>
      </w:r>
      <w:r w:rsidR="0031012E" w:rsidRPr="00E74838">
        <w:rPr>
          <w:rFonts w:eastAsia="Times New Roman" w:cs="Times New Roman"/>
          <w:sz w:val="24"/>
          <w:szCs w:val="24"/>
        </w:rPr>
        <w:t>e</w:t>
      </w:r>
      <w:r w:rsidRPr="00E74838">
        <w:rPr>
          <w:rFonts w:eastAsia="Times New Roman" w:cs="Times New Roman"/>
          <w:sz w:val="24"/>
          <w:szCs w:val="24"/>
        </w:rPr>
        <w:t xml:space="preserve"> these programs. </w:t>
      </w:r>
    </w:p>
    <w:p w14:paraId="3B6FB49F" w14:textId="77777777" w:rsidR="0022000A" w:rsidRPr="00E74838" w:rsidRDefault="0022000A" w:rsidP="0001000B">
      <w:pPr>
        <w:spacing w:after="0" w:line="240" w:lineRule="auto"/>
        <w:rPr>
          <w:rFonts w:eastAsia="Arial" w:cs="Times New Roman"/>
          <w:sz w:val="24"/>
          <w:szCs w:val="24"/>
        </w:rPr>
      </w:pPr>
    </w:p>
    <w:p w14:paraId="56694D40" w14:textId="75377732" w:rsidR="0031012E" w:rsidRDefault="0031012E" w:rsidP="0001000B">
      <w:pPr>
        <w:spacing w:after="0" w:line="240" w:lineRule="auto"/>
        <w:rPr>
          <w:rFonts w:cs="Times New Roman"/>
          <w:sz w:val="24"/>
          <w:szCs w:val="24"/>
        </w:rPr>
      </w:pPr>
      <w:r w:rsidRPr="00E74838">
        <w:rPr>
          <w:rFonts w:eastAsia="Arial" w:cs="Times New Roman"/>
          <w:sz w:val="24"/>
          <w:szCs w:val="24"/>
        </w:rPr>
        <w:t xml:space="preserve">One commenter </w:t>
      </w:r>
      <w:r w:rsidR="00823A1A" w:rsidRPr="00E74838">
        <w:rPr>
          <w:rFonts w:eastAsia="Arial" w:cs="Times New Roman"/>
          <w:sz w:val="24"/>
          <w:szCs w:val="24"/>
        </w:rPr>
        <w:t xml:space="preserve">expressed concerns about the definition of “type of entity” for purposes of ETPs. </w:t>
      </w:r>
      <w:r w:rsidR="0023320E" w:rsidRPr="00E74838">
        <w:rPr>
          <w:rFonts w:eastAsia="Arial" w:cs="Times New Roman"/>
          <w:sz w:val="24"/>
          <w:szCs w:val="24"/>
        </w:rPr>
        <w:t xml:space="preserve"> </w:t>
      </w:r>
      <w:r w:rsidR="00823A1A" w:rsidRPr="00E74838">
        <w:rPr>
          <w:rFonts w:eastAsia="Arial" w:cs="Times New Roman"/>
          <w:sz w:val="24"/>
          <w:szCs w:val="24"/>
        </w:rPr>
        <w:t xml:space="preserve">A “type of entity” </w:t>
      </w:r>
      <w:r w:rsidRPr="00E74838">
        <w:rPr>
          <w:rFonts w:cs="Times New Roman"/>
          <w:sz w:val="24"/>
          <w:szCs w:val="24"/>
        </w:rPr>
        <w:t>includes</w:t>
      </w:r>
      <w:r w:rsidR="00823A1A" w:rsidRPr="00E74838">
        <w:rPr>
          <w:rFonts w:cs="Times New Roman"/>
          <w:sz w:val="24"/>
          <w:szCs w:val="24"/>
        </w:rPr>
        <w:t>:</w:t>
      </w:r>
      <w:r w:rsidRPr="00E74838">
        <w:rPr>
          <w:rFonts w:cs="Times New Roman"/>
          <w:sz w:val="24"/>
          <w:szCs w:val="24"/>
        </w:rPr>
        <w:t xml:space="preserve"> </w:t>
      </w:r>
    </w:p>
    <w:p w14:paraId="1B14E780" w14:textId="77777777" w:rsidR="005509F0" w:rsidRPr="00E74838" w:rsidRDefault="005509F0" w:rsidP="0001000B">
      <w:pPr>
        <w:spacing w:after="0" w:line="240" w:lineRule="auto"/>
        <w:rPr>
          <w:rFonts w:cs="Times New Roman"/>
          <w:b/>
          <w:sz w:val="24"/>
          <w:szCs w:val="24"/>
        </w:rPr>
      </w:pPr>
    </w:p>
    <w:p w14:paraId="0C01D4EC" w14:textId="08AB09EE" w:rsidR="005509F0" w:rsidRPr="00820D61" w:rsidRDefault="0031012E" w:rsidP="00820D61">
      <w:pPr>
        <w:pStyle w:val="PlainText"/>
        <w:numPr>
          <w:ilvl w:val="0"/>
          <w:numId w:val="48"/>
        </w:numPr>
        <w:rPr>
          <w:rFonts w:asciiTheme="minorHAnsi" w:hAnsiTheme="minorHAnsi"/>
          <w:sz w:val="24"/>
          <w:szCs w:val="24"/>
        </w:rPr>
      </w:pPr>
      <w:r w:rsidRPr="00E74838">
        <w:rPr>
          <w:rFonts w:asciiTheme="minorHAnsi" w:hAnsiTheme="minorHAnsi"/>
          <w:sz w:val="24"/>
          <w:szCs w:val="24"/>
        </w:rPr>
        <w:t>Institution of Higher Education that only awards</w:t>
      </w:r>
      <w:r w:rsidR="00823A1A" w:rsidRPr="00E74838">
        <w:rPr>
          <w:rFonts w:asciiTheme="minorHAnsi" w:hAnsiTheme="minorHAnsi"/>
          <w:sz w:val="24"/>
          <w:szCs w:val="24"/>
        </w:rPr>
        <w:t>,</w:t>
      </w:r>
      <w:r w:rsidRPr="00E74838">
        <w:rPr>
          <w:rFonts w:asciiTheme="minorHAnsi" w:hAnsiTheme="minorHAnsi"/>
          <w:sz w:val="24"/>
          <w:szCs w:val="24"/>
        </w:rPr>
        <w:t xml:space="preserve"> or the majority of credentials awarded are</w:t>
      </w:r>
      <w:r w:rsidR="00823A1A" w:rsidRPr="00E74838">
        <w:rPr>
          <w:rFonts w:asciiTheme="minorHAnsi" w:hAnsiTheme="minorHAnsi"/>
          <w:sz w:val="24"/>
          <w:szCs w:val="24"/>
        </w:rPr>
        <w:t>,</w:t>
      </w:r>
      <w:r w:rsidRPr="00E74838">
        <w:rPr>
          <w:rFonts w:asciiTheme="minorHAnsi" w:hAnsiTheme="minorHAnsi"/>
          <w:sz w:val="24"/>
          <w:szCs w:val="24"/>
        </w:rPr>
        <w:t xml:space="preserve"> associates degrees</w:t>
      </w:r>
      <w:r w:rsidR="00823A1A" w:rsidRPr="00E74838">
        <w:rPr>
          <w:rFonts w:asciiTheme="minorHAnsi" w:hAnsiTheme="minorHAnsi"/>
          <w:sz w:val="24"/>
          <w:szCs w:val="24"/>
        </w:rPr>
        <w:t xml:space="preserve">; and </w:t>
      </w:r>
      <w:r w:rsidRPr="00E74838">
        <w:rPr>
          <w:rFonts w:asciiTheme="minorHAnsi" w:hAnsiTheme="minorHAnsi"/>
          <w:sz w:val="24"/>
          <w:szCs w:val="24"/>
        </w:rPr>
        <w:t xml:space="preserve"> </w:t>
      </w:r>
    </w:p>
    <w:p w14:paraId="51473D3B" w14:textId="4AF0C516" w:rsidR="0031012E" w:rsidRPr="00E74838" w:rsidRDefault="0031012E" w:rsidP="0001000B">
      <w:pPr>
        <w:pStyle w:val="PlainText"/>
        <w:numPr>
          <w:ilvl w:val="0"/>
          <w:numId w:val="48"/>
        </w:numPr>
        <w:rPr>
          <w:rFonts w:asciiTheme="minorHAnsi" w:hAnsiTheme="minorHAnsi"/>
          <w:sz w:val="24"/>
          <w:szCs w:val="24"/>
        </w:rPr>
      </w:pPr>
      <w:r w:rsidRPr="00E74838">
        <w:rPr>
          <w:rFonts w:asciiTheme="minorHAnsi" w:hAnsiTheme="minorHAnsi"/>
          <w:sz w:val="24"/>
          <w:szCs w:val="24"/>
        </w:rPr>
        <w:lastRenderedPageBreak/>
        <w:t>Institute of Higher Education where the majority of credentials awarded are a Community college certificate of completion</w:t>
      </w:r>
      <w:r w:rsidR="00823A1A" w:rsidRPr="00E74838">
        <w:rPr>
          <w:rFonts w:asciiTheme="minorHAnsi" w:hAnsiTheme="minorHAnsi"/>
          <w:sz w:val="24"/>
          <w:szCs w:val="24"/>
        </w:rPr>
        <w:t>.</w:t>
      </w:r>
    </w:p>
    <w:p w14:paraId="3504F480" w14:textId="77777777" w:rsidR="0031012E" w:rsidRPr="00E74838" w:rsidRDefault="0031012E" w:rsidP="0001000B">
      <w:pPr>
        <w:pStyle w:val="PlainText"/>
        <w:rPr>
          <w:rFonts w:asciiTheme="minorHAnsi" w:hAnsiTheme="minorHAnsi"/>
          <w:sz w:val="24"/>
          <w:szCs w:val="24"/>
        </w:rPr>
      </w:pPr>
    </w:p>
    <w:p w14:paraId="06EC734B" w14:textId="7DDCF51C" w:rsidR="00633764" w:rsidRPr="00E74838" w:rsidRDefault="0031012E" w:rsidP="0001000B">
      <w:pPr>
        <w:pStyle w:val="PlainText"/>
        <w:rPr>
          <w:rFonts w:asciiTheme="minorHAnsi" w:hAnsiTheme="minorHAnsi"/>
          <w:sz w:val="24"/>
          <w:szCs w:val="24"/>
        </w:rPr>
      </w:pPr>
      <w:r w:rsidRPr="00E74838">
        <w:rPr>
          <w:rFonts w:asciiTheme="minorHAnsi" w:hAnsiTheme="minorHAnsi"/>
          <w:sz w:val="24"/>
          <w:szCs w:val="24"/>
        </w:rPr>
        <w:t xml:space="preserve">The </w:t>
      </w:r>
      <w:r w:rsidR="00823A1A" w:rsidRPr="00E74838">
        <w:rPr>
          <w:rFonts w:asciiTheme="minorHAnsi" w:hAnsiTheme="minorHAnsi"/>
          <w:sz w:val="24"/>
          <w:szCs w:val="24"/>
        </w:rPr>
        <w:t xml:space="preserve">commenter explained that the </w:t>
      </w:r>
      <w:r w:rsidRPr="00E74838">
        <w:rPr>
          <w:rFonts w:asciiTheme="minorHAnsi" w:hAnsiTheme="minorHAnsi"/>
          <w:sz w:val="24"/>
          <w:szCs w:val="24"/>
        </w:rPr>
        <w:t xml:space="preserve">proposed distinction is a fluid one in a world of increasing use of technical associates degrees and stackable certificate programs where students earn a series of certificates that cumulate to an Associate’s degree.  Given that some institutions might change back and forth across this majority rule from year to year, data collected by it would be of uncertain meaning, particularly for use in identifying </w:t>
      </w:r>
      <w:r w:rsidR="001B56AF" w:rsidRPr="00E74838">
        <w:rPr>
          <w:rFonts w:asciiTheme="minorHAnsi" w:hAnsiTheme="minorHAnsi"/>
          <w:sz w:val="24"/>
          <w:szCs w:val="24"/>
        </w:rPr>
        <w:t xml:space="preserve">trends.  </w:t>
      </w:r>
      <w:r w:rsidR="00F00F7D" w:rsidRPr="00E74838">
        <w:rPr>
          <w:rFonts w:asciiTheme="minorHAnsi" w:hAnsiTheme="minorHAnsi"/>
          <w:sz w:val="24"/>
          <w:szCs w:val="24"/>
        </w:rPr>
        <w:t>Therefore, the commenter cautioned against adopting such a narrow definition of the term when it is not defined in WIOA.</w:t>
      </w:r>
      <w:r w:rsidR="00633764" w:rsidRPr="00E74838">
        <w:rPr>
          <w:rFonts w:asciiTheme="minorHAnsi" w:hAnsiTheme="minorHAnsi"/>
          <w:sz w:val="24"/>
          <w:szCs w:val="24"/>
        </w:rPr>
        <w:t xml:space="preserve">  Another commenter raised questions about various entities and asked whether they would meet the definition of “type of entity” for purposes of </w:t>
      </w:r>
      <w:r w:rsidR="001C5257" w:rsidRPr="00E74838">
        <w:rPr>
          <w:rFonts w:asciiTheme="minorHAnsi" w:hAnsiTheme="minorHAnsi"/>
          <w:sz w:val="24"/>
          <w:szCs w:val="24"/>
        </w:rPr>
        <w:t xml:space="preserve">qualifying as an </w:t>
      </w:r>
      <w:r w:rsidR="00633764" w:rsidRPr="00E74838">
        <w:rPr>
          <w:rFonts w:asciiTheme="minorHAnsi" w:hAnsiTheme="minorHAnsi"/>
          <w:sz w:val="24"/>
          <w:szCs w:val="24"/>
        </w:rPr>
        <w:t>ETP.</w:t>
      </w:r>
      <w:r w:rsidR="001C5257" w:rsidRPr="00E74838">
        <w:rPr>
          <w:rFonts w:asciiTheme="minorHAnsi" w:hAnsiTheme="minorHAnsi"/>
          <w:sz w:val="24"/>
          <w:szCs w:val="24"/>
        </w:rPr>
        <w:t xml:space="preserve">  The same commenter raised a question about an apparent overlap between other definitions related to “program of study” and “by potential outcome.”</w:t>
      </w:r>
    </w:p>
    <w:p w14:paraId="4EB75DFD" w14:textId="77777777" w:rsidR="00633764" w:rsidRPr="00E74838" w:rsidRDefault="00633764" w:rsidP="0001000B">
      <w:pPr>
        <w:pStyle w:val="PlainText"/>
        <w:rPr>
          <w:rFonts w:asciiTheme="minorHAnsi" w:hAnsiTheme="minorHAnsi"/>
          <w:sz w:val="24"/>
          <w:szCs w:val="24"/>
        </w:rPr>
      </w:pPr>
    </w:p>
    <w:p w14:paraId="099B47B1" w14:textId="39393CDD" w:rsidR="0031012E" w:rsidRPr="00E74838" w:rsidRDefault="00633764" w:rsidP="0001000B">
      <w:pPr>
        <w:pStyle w:val="PlainText"/>
        <w:rPr>
          <w:rFonts w:asciiTheme="minorHAnsi" w:hAnsiTheme="minorHAnsi"/>
          <w:sz w:val="24"/>
          <w:szCs w:val="24"/>
        </w:rPr>
      </w:pPr>
      <w:r w:rsidRPr="00E74838">
        <w:rPr>
          <w:rFonts w:asciiTheme="minorHAnsi" w:hAnsiTheme="minorHAnsi"/>
          <w:sz w:val="24"/>
          <w:szCs w:val="24"/>
        </w:rPr>
        <w:t>A</w:t>
      </w:r>
      <w:r w:rsidR="00EF1193" w:rsidRPr="00E74838">
        <w:rPr>
          <w:rFonts w:asciiTheme="minorHAnsi" w:hAnsiTheme="minorHAnsi"/>
          <w:sz w:val="24"/>
          <w:szCs w:val="24"/>
        </w:rPr>
        <w:t xml:space="preserve"> commenter also noted that </w:t>
      </w:r>
      <w:r w:rsidR="008B0D34">
        <w:rPr>
          <w:rFonts w:asciiTheme="minorHAnsi" w:hAnsiTheme="minorHAnsi"/>
          <w:sz w:val="24"/>
          <w:szCs w:val="24"/>
        </w:rPr>
        <w:t>Program of Study</w:t>
      </w:r>
      <w:r w:rsidR="0031012E" w:rsidRPr="00E74838">
        <w:rPr>
          <w:rFonts w:asciiTheme="minorHAnsi" w:hAnsiTheme="minorHAnsi"/>
          <w:sz w:val="24"/>
          <w:szCs w:val="24"/>
        </w:rPr>
        <w:t>* CIP Code - CIP Code set may be inadequate.</w:t>
      </w:r>
      <w:r w:rsidR="00EF1193" w:rsidRPr="00E74838">
        <w:rPr>
          <w:rFonts w:asciiTheme="minorHAnsi" w:hAnsiTheme="minorHAnsi"/>
          <w:sz w:val="24"/>
          <w:szCs w:val="24"/>
        </w:rPr>
        <w:t xml:space="preserve">  Given </w:t>
      </w:r>
      <w:r w:rsidR="0031012E" w:rsidRPr="00E74838">
        <w:rPr>
          <w:rFonts w:asciiTheme="minorHAnsi" w:hAnsiTheme="minorHAnsi"/>
          <w:sz w:val="24"/>
          <w:szCs w:val="24"/>
        </w:rPr>
        <w:t>the extension of ETP</w:t>
      </w:r>
      <w:r w:rsidR="008B0D34">
        <w:rPr>
          <w:rFonts w:asciiTheme="minorHAnsi" w:hAnsiTheme="minorHAnsi"/>
          <w:sz w:val="24"/>
          <w:szCs w:val="24"/>
        </w:rPr>
        <w:t xml:space="preserve">-like </w:t>
      </w:r>
      <w:r w:rsidR="0031012E" w:rsidRPr="00E74838">
        <w:rPr>
          <w:rFonts w:asciiTheme="minorHAnsi" w:hAnsiTheme="minorHAnsi"/>
          <w:sz w:val="24"/>
          <w:szCs w:val="24"/>
        </w:rPr>
        <w:t xml:space="preserve">processes created by sec 122(h), sec 123, and further elaborated in the NPRM, </w:t>
      </w:r>
      <w:r w:rsidR="00EF1193" w:rsidRPr="00E74838">
        <w:rPr>
          <w:rFonts w:asciiTheme="minorHAnsi" w:hAnsiTheme="minorHAnsi"/>
          <w:sz w:val="24"/>
          <w:szCs w:val="24"/>
        </w:rPr>
        <w:t xml:space="preserve">the commenter said </w:t>
      </w:r>
      <w:r w:rsidR="0031012E" w:rsidRPr="00E74838">
        <w:rPr>
          <w:rFonts w:asciiTheme="minorHAnsi" w:hAnsiTheme="minorHAnsi"/>
          <w:sz w:val="24"/>
          <w:szCs w:val="24"/>
        </w:rPr>
        <w:t xml:space="preserve">it needs to be evaluated whether types of training services not covered in the CIP may be acquired through </w:t>
      </w:r>
      <w:r w:rsidR="00EF1193" w:rsidRPr="00E74838">
        <w:rPr>
          <w:rFonts w:asciiTheme="minorHAnsi" w:hAnsiTheme="minorHAnsi"/>
          <w:sz w:val="24"/>
          <w:szCs w:val="24"/>
        </w:rPr>
        <w:t>individualized training accounts (ITAs)</w:t>
      </w:r>
      <w:r w:rsidR="0031012E" w:rsidRPr="00E74838">
        <w:rPr>
          <w:rFonts w:asciiTheme="minorHAnsi" w:hAnsiTheme="minorHAnsi"/>
          <w:sz w:val="24"/>
          <w:szCs w:val="24"/>
        </w:rPr>
        <w:t>, or based on an ETP-like performance process</w:t>
      </w:r>
      <w:r w:rsidR="00EF1193" w:rsidRPr="00E74838">
        <w:rPr>
          <w:rFonts w:asciiTheme="minorHAnsi" w:hAnsiTheme="minorHAnsi"/>
          <w:sz w:val="24"/>
          <w:szCs w:val="24"/>
        </w:rPr>
        <w:t xml:space="preserve">, such as </w:t>
      </w:r>
      <w:r w:rsidR="0031012E" w:rsidRPr="00E74838">
        <w:rPr>
          <w:rFonts w:asciiTheme="minorHAnsi" w:hAnsiTheme="minorHAnsi"/>
          <w:sz w:val="24"/>
          <w:szCs w:val="24"/>
        </w:rPr>
        <w:t>entrepreneurial training or pre-apprenticeship.</w:t>
      </w:r>
      <w:r w:rsidR="00B339CA" w:rsidRPr="00E74838">
        <w:rPr>
          <w:rFonts w:asciiTheme="minorHAnsi" w:hAnsiTheme="minorHAnsi"/>
          <w:sz w:val="24"/>
          <w:szCs w:val="24"/>
        </w:rPr>
        <w:t xml:space="preserve">  Another commenter indicated that the six-digit </w:t>
      </w:r>
      <w:r w:rsidR="00DD0C73" w:rsidRPr="00E74838">
        <w:rPr>
          <w:rFonts w:asciiTheme="minorHAnsi" w:hAnsiTheme="minorHAnsi"/>
          <w:sz w:val="24"/>
          <w:szCs w:val="24"/>
        </w:rPr>
        <w:t xml:space="preserve">(not four digits) </w:t>
      </w:r>
      <w:r w:rsidR="00B339CA" w:rsidRPr="00E74838">
        <w:rPr>
          <w:rFonts w:asciiTheme="minorHAnsi" w:hAnsiTheme="minorHAnsi"/>
          <w:sz w:val="24"/>
          <w:szCs w:val="24"/>
        </w:rPr>
        <w:t xml:space="preserve">CIP code plus the program of study outcome </w:t>
      </w:r>
      <w:r w:rsidR="00DD0C73" w:rsidRPr="00E74838">
        <w:rPr>
          <w:rFonts w:asciiTheme="minorHAnsi" w:hAnsiTheme="minorHAnsi"/>
          <w:sz w:val="24"/>
          <w:szCs w:val="24"/>
        </w:rPr>
        <w:t>is not sufficient information to identify a sin</w:t>
      </w:r>
      <w:r w:rsidR="003F293A" w:rsidRPr="00E74838">
        <w:rPr>
          <w:rFonts w:asciiTheme="minorHAnsi" w:hAnsiTheme="minorHAnsi"/>
          <w:sz w:val="24"/>
          <w:szCs w:val="24"/>
        </w:rPr>
        <w:t>g</w:t>
      </w:r>
      <w:r w:rsidR="00DD0C73" w:rsidRPr="00E74838">
        <w:rPr>
          <w:rFonts w:asciiTheme="minorHAnsi" w:hAnsiTheme="minorHAnsi"/>
          <w:sz w:val="24"/>
          <w:szCs w:val="24"/>
        </w:rPr>
        <w:t>le program of study.  The commenter suggested that the name of the program of study should be collected along with the name of the ETP.</w:t>
      </w:r>
      <w:r w:rsidR="00CA0DF7" w:rsidRPr="00E74838">
        <w:rPr>
          <w:rFonts w:asciiTheme="minorHAnsi" w:hAnsiTheme="minorHAnsi"/>
          <w:sz w:val="24"/>
          <w:szCs w:val="24"/>
        </w:rPr>
        <w:t xml:space="preserve">  Another commenter stated that the “program of study” codes are ambiguous</w:t>
      </w:r>
      <w:r w:rsidR="00F00C96" w:rsidRPr="00E74838">
        <w:rPr>
          <w:rFonts w:asciiTheme="minorHAnsi" w:hAnsiTheme="minorHAnsi"/>
          <w:sz w:val="24"/>
          <w:szCs w:val="24"/>
        </w:rPr>
        <w:t xml:space="preserve"> because the c</w:t>
      </w:r>
      <w:r w:rsidR="00CA0DF7" w:rsidRPr="00E74838">
        <w:rPr>
          <w:rFonts w:asciiTheme="minorHAnsi" w:hAnsiTheme="minorHAnsi"/>
          <w:sz w:val="24"/>
          <w:szCs w:val="24"/>
        </w:rPr>
        <w:t xml:space="preserve">ategories are not mutually exclusive. </w:t>
      </w:r>
      <w:r w:rsidR="00C708BA" w:rsidRPr="00E74838">
        <w:rPr>
          <w:rFonts w:asciiTheme="minorHAnsi" w:hAnsiTheme="minorHAnsi"/>
          <w:sz w:val="24"/>
          <w:szCs w:val="24"/>
        </w:rPr>
        <w:t xml:space="preserve"> </w:t>
      </w:r>
      <w:r w:rsidR="00CA0DF7" w:rsidRPr="00E74838">
        <w:rPr>
          <w:rFonts w:asciiTheme="minorHAnsi" w:hAnsiTheme="minorHAnsi"/>
          <w:sz w:val="24"/>
          <w:szCs w:val="24"/>
        </w:rPr>
        <w:t xml:space="preserve">For example, a code 1 “program leading to an industry-recognized certificate or certification” can also be one of the modules in #4 “program leading to an </w:t>
      </w:r>
      <w:r w:rsidR="00C75CDF">
        <w:rPr>
          <w:rFonts w:asciiTheme="minorHAnsi" w:hAnsiTheme="minorHAnsi"/>
          <w:sz w:val="24"/>
          <w:szCs w:val="24"/>
        </w:rPr>
        <w:t>A</w:t>
      </w:r>
      <w:r w:rsidR="00CA0DF7" w:rsidRPr="00E74838">
        <w:rPr>
          <w:rFonts w:asciiTheme="minorHAnsi" w:hAnsiTheme="minorHAnsi"/>
          <w:sz w:val="24"/>
          <w:szCs w:val="24"/>
        </w:rPr>
        <w:t>ssociate</w:t>
      </w:r>
      <w:r w:rsidR="00C75CDF">
        <w:rPr>
          <w:rFonts w:asciiTheme="minorHAnsi" w:hAnsiTheme="minorHAnsi"/>
          <w:sz w:val="24"/>
          <w:szCs w:val="24"/>
        </w:rPr>
        <w:t>’</w:t>
      </w:r>
      <w:r w:rsidR="00CA0DF7" w:rsidRPr="00E74838">
        <w:rPr>
          <w:rFonts w:asciiTheme="minorHAnsi" w:hAnsiTheme="minorHAnsi"/>
          <w:sz w:val="24"/>
          <w:szCs w:val="24"/>
        </w:rPr>
        <w:t xml:space="preserve">s degree” and possibly </w:t>
      </w:r>
      <w:r w:rsidR="00F00C96" w:rsidRPr="00E74838">
        <w:rPr>
          <w:rFonts w:asciiTheme="minorHAnsi" w:hAnsiTheme="minorHAnsi"/>
          <w:sz w:val="24"/>
          <w:szCs w:val="24"/>
        </w:rPr>
        <w:t xml:space="preserve">could be </w:t>
      </w:r>
      <w:r w:rsidR="00CA0DF7" w:rsidRPr="00E74838">
        <w:rPr>
          <w:rFonts w:asciiTheme="minorHAnsi" w:hAnsiTheme="minorHAnsi"/>
          <w:sz w:val="24"/>
          <w:szCs w:val="24"/>
        </w:rPr>
        <w:t xml:space="preserve">confused with codes 6, 8, </w:t>
      </w:r>
      <w:r w:rsidR="00F00C96" w:rsidRPr="00E74838">
        <w:rPr>
          <w:rFonts w:asciiTheme="minorHAnsi" w:hAnsiTheme="minorHAnsi"/>
          <w:sz w:val="24"/>
          <w:szCs w:val="24"/>
        </w:rPr>
        <w:t xml:space="preserve">and </w:t>
      </w:r>
      <w:r w:rsidR="00CA0DF7" w:rsidRPr="00E74838">
        <w:rPr>
          <w:rFonts w:asciiTheme="minorHAnsi" w:hAnsiTheme="minorHAnsi"/>
          <w:sz w:val="24"/>
          <w:szCs w:val="24"/>
        </w:rPr>
        <w:t xml:space="preserve">9.  </w:t>
      </w:r>
      <w:r w:rsidR="00DD0C73" w:rsidRPr="00E74838">
        <w:rPr>
          <w:rFonts w:asciiTheme="minorHAnsi" w:hAnsiTheme="minorHAnsi"/>
          <w:sz w:val="24"/>
          <w:szCs w:val="24"/>
        </w:rPr>
        <w:t xml:space="preserve"> </w:t>
      </w:r>
    </w:p>
    <w:p w14:paraId="251A0740" w14:textId="77777777" w:rsidR="0031012E" w:rsidRPr="00E74838" w:rsidRDefault="0031012E" w:rsidP="0001000B">
      <w:pPr>
        <w:pStyle w:val="PlainText"/>
        <w:rPr>
          <w:rFonts w:asciiTheme="minorHAnsi" w:hAnsiTheme="minorHAnsi"/>
          <w:sz w:val="24"/>
          <w:szCs w:val="24"/>
        </w:rPr>
      </w:pPr>
    </w:p>
    <w:p w14:paraId="090B1554" w14:textId="4019AA42" w:rsidR="001B56AF" w:rsidRPr="00E74838" w:rsidRDefault="001B56AF" w:rsidP="0001000B">
      <w:pPr>
        <w:pStyle w:val="PlainText"/>
        <w:rPr>
          <w:rFonts w:asciiTheme="minorHAnsi" w:hAnsiTheme="minorHAnsi"/>
          <w:sz w:val="24"/>
          <w:szCs w:val="24"/>
        </w:rPr>
      </w:pPr>
      <w:r w:rsidRPr="00E74838">
        <w:rPr>
          <w:rFonts w:asciiTheme="minorHAnsi" w:hAnsiTheme="minorHAnsi"/>
          <w:sz w:val="24"/>
          <w:szCs w:val="24"/>
        </w:rPr>
        <w:t>Another commenter expressed concern that the ETP reporting requirements under section 116 of WIOA are inconsistent with the Governor’s authority with respect to ETP reporting and the information that mus</w:t>
      </w:r>
      <w:r w:rsidR="00633764" w:rsidRPr="00E74838">
        <w:rPr>
          <w:rFonts w:asciiTheme="minorHAnsi" w:hAnsiTheme="minorHAnsi"/>
          <w:sz w:val="24"/>
          <w:szCs w:val="24"/>
        </w:rPr>
        <w:t>t</w:t>
      </w:r>
      <w:r w:rsidRPr="00E74838">
        <w:rPr>
          <w:rFonts w:asciiTheme="minorHAnsi" w:hAnsiTheme="minorHAnsi"/>
          <w:sz w:val="24"/>
          <w:szCs w:val="24"/>
        </w:rPr>
        <w:t xml:space="preserve"> accompany ETP lists under section 122.  The commenter believed it would be more appropriate for the Governor to develop a reporting system and that the section 116 ETP reporting should be based on the system created by the Governor.</w:t>
      </w:r>
    </w:p>
    <w:p w14:paraId="1E79AA2E" w14:textId="093DE8BF" w:rsidR="001B56AF" w:rsidRPr="00E74838" w:rsidRDefault="001B56AF" w:rsidP="0001000B">
      <w:pPr>
        <w:pStyle w:val="PlainText"/>
        <w:rPr>
          <w:rFonts w:asciiTheme="minorHAnsi" w:hAnsiTheme="minorHAnsi"/>
          <w:sz w:val="24"/>
          <w:szCs w:val="24"/>
        </w:rPr>
      </w:pPr>
      <w:r w:rsidRPr="00E74838">
        <w:rPr>
          <w:rFonts w:asciiTheme="minorHAnsi" w:hAnsiTheme="minorHAnsi"/>
          <w:sz w:val="24"/>
          <w:szCs w:val="24"/>
        </w:rPr>
        <w:t xml:space="preserve">  </w:t>
      </w:r>
    </w:p>
    <w:p w14:paraId="2E7DFD4C" w14:textId="2ECC6485" w:rsidR="00004ADE" w:rsidRPr="00E74838" w:rsidRDefault="00093D06" w:rsidP="0001000B">
      <w:pPr>
        <w:autoSpaceDE w:val="0"/>
        <w:autoSpaceDN w:val="0"/>
        <w:adjustRightInd w:val="0"/>
        <w:spacing w:after="0" w:line="240" w:lineRule="auto"/>
        <w:rPr>
          <w:rFonts w:eastAsia="Times New Roman" w:cs="Times New Roman"/>
          <w:sz w:val="24"/>
          <w:szCs w:val="24"/>
        </w:rPr>
      </w:pPr>
      <w:r w:rsidRPr="00E74838">
        <w:rPr>
          <w:rFonts w:eastAsia="Arial" w:cs="Times New Roman"/>
          <w:b/>
          <w:sz w:val="24"/>
          <w:szCs w:val="24"/>
        </w:rPr>
        <w:t>Agencies’ Response, June 2016:</w:t>
      </w:r>
      <w:r w:rsidR="00004ADE" w:rsidRPr="00E74838">
        <w:rPr>
          <w:rFonts w:eastAsia="Arial" w:cs="Times New Roman"/>
          <w:b/>
          <w:sz w:val="24"/>
          <w:szCs w:val="24"/>
        </w:rPr>
        <w:t xml:space="preserve"> </w:t>
      </w:r>
      <w:r w:rsidR="00B95C31" w:rsidRPr="00E74838">
        <w:rPr>
          <w:rFonts w:eastAsia="Arial" w:cs="Times New Roman"/>
          <w:b/>
          <w:sz w:val="24"/>
          <w:szCs w:val="24"/>
        </w:rPr>
        <w:t xml:space="preserve"> </w:t>
      </w:r>
      <w:r w:rsidR="00B95C31" w:rsidRPr="00E74838">
        <w:rPr>
          <w:rFonts w:eastAsia="Arial" w:cs="Times New Roman"/>
          <w:sz w:val="24"/>
          <w:szCs w:val="24"/>
        </w:rPr>
        <w:t xml:space="preserve">DOL intends to issue guidance regarding ETP requirements, including requirements for the suppression of data to protect the confidentiality of small sample size of trainees or students in any given data cell.  </w:t>
      </w:r>
    </w:p>
    <w:p w14:paraId="791A5606" w14:textId="77777777" w:rsidR="007901A3" w:rsidRPr="00E74838" w:rsidRDefault="007901A3" w:rsidP="0001000B">
      <w:pPr>
        <w:autoSpaceDE w:val="0"/>
        <w:autoSpaceDN w:val="0"/>
        <w:adjustRightInd w:val="0"/>
        <w:spacing w:after="0" w:line="240" w:lineRule="auto"/>
        <w:rPr>
          <w:rFonts w:cs="Times New Roman"/>
          <w:b/>
          <w:sz w:val="24"/>
          <w:szCs w:val="24"/>
        </w:rPr>
      </w:pPr>
    </w:p>
    <w:p w14:paraId="1A63976B" w14:textId="2F3E69CA" w:rsidR="00B339CA" w:rsidRPr="00E74838" w:rsidRDefault="009663DF" w:rsidP="0001000B">
      <w:pPr>
        <w:spacing w:after="0" w:line="240" w:lineRule="auto"/>
        <w:rPr>
          <w:rFonts w:eastAsia="Arial" w:cs="Times New Roman"/>
          <w:b/>
          <w:sz w:val="24"/>
          <w:szCs w:val="24"/>
          <w:u w:val="single"/>
        </w:rPr>
      </w:pPr>
      <w:r w:rsidRPr="00E74838">
        <w:rPr>
          <w:rFonts w:cs="Times New Roman"/>
          <w:sz w:val="24"/>
          <w:szCs w:val="24"/>
        </w:rPr>
        <w:t xml:space="preserve">The DOL-only final regulations at 20 CFR 680.200(d)(1) outline the  types of entities qualified to be an ETP:  institutions of higher education that provide a program which leads to a recognized postsecondary credential; entities that carry out programs registered under the National Apprenticeship Act (29 U.S.C. 50 et seq.); other public or private providers of training services which may include community-based organizations, Joint labor-management organizations; and </w:t>
      </w:r>
      <w:r w:rsidRPr="00E74838">
        <w:rPr>
          <w:rFonts w:cs="Times New Roman"/>
          <w:sz w:val="24"/>
          <w:szCs w:val="24"/>
        </w:rPr>
        <w:lastRenderedPageBreak/>
        <w:t>eligible providers of adult education and literacy activities under title II of WIOA if such activities are provided in combination with training services described at § 680.350.  Community colleges are considered institutes of higher education.   Regarding Registered Apprenticeships, WIOA Section 677.230(b) specifies that the registered apprenticeships programs referred to are those registered under the National Apprenticeship Act.</w:t>
      </w:r>
      <w:r w:rsidR="00B339CA" w:rsidRPr="00E74838">
        <w:rPr>
          <w:rFonts w:cs="Times New Roman"/>
          <w:sz w:val="24"/>
          <w:szCs w:val="24"/>
        </w:rPr>
        <w:t xml:space="preserve">  Regarding the overlap of program of study, this was intentional.  However, a revision was made to the ETP definitions that instruct States to “list all programs that apply”, so States will not have to differentiate only one type.  Specific examples that do not fit the majority of cases will be discussed further in ETP-related guidance.</w:t>
      </w:r>
    </w:p>
    <w:p w14:paraId="25B64833" w14:textId="40113E1F" w:rsidR="009663DF" w:rsidRPr="00E74838" w:rsidRDefault="009663DF" w:rsidP="0001000B">
      <w:pPr>
        <w:spacing w:after="0" w:line="240" w:lineRule="auto"/>
        <w:rPr>
          <w:rFonts w:cs="Times New Roman"/>
          <w:sz w:val="24"/>
          <w:szCs w:val="24"/>
        </w:rPr>
      </w:pPr>
    </w:p>
    <w:p w14:paraId="538E62FE" w14:textId="62DA1C71" w:rsidR="00DD0C73" w:rsidRPr="00E74838" w:rsidRDefault="00CA25F3" w:rsidP="0001000B">
      <w:pPr>
        <w:spacing w:after="0" w:line="240" w:lineRule="auto"/>
        <w:outlineLvl w:val="0"/>
        <w:rPr>
          <w:rFonts w:eastAsia="Arial" w:cs="Times New Roman"/>
          <w:b/>
          <w:sz w:val="24"/>
          <w:szCs w:val="24"/>
          <w:u w:val="single"/>
        </w:rPr>
      </w:pPr>
      <w:r w:rsidRPr="00E74838">
        <w:rPr>
          <w:rFonts w:eastAsia="Arial" w:cs="Times New Roman"/>
          <w:sz w:val="24"/>
          <w:szCs w:val="24"/>
        </w:rPr>
        <w:t xml:space="preserve">The Departments agree with the commenter that </w:t>
      </w:r>
      <w:r w:rsidR="00DD0C73" w:rsidRPr="00E74838">
        <w:rPr>
          <w:rFonts w:eastAsia="Arial" w:cs="Times New Roman"/>
          <w:sz w:val="24"/>
          <w:szCs w:val="24"/>
        </w:rPr>
        <w:t>CIP codes are a maximum of six digits, but we are requesting only the first four to help reduc</w:t>
      </w:r>
      <w:r w:rsidR="00F72E09" w:rsidRPr="00E74838">
        <w:rPr>
          <w:rFonts w:eastAsia="Arial" w:cs="Times New Roman"/>
          <w:sz w:val="24"/>
          <w:szCs w:val="24"/>
        </w:rPr>
        <w:t>e</w:t>
      </w:r>
      <w:r w:rsidR="00DD0C73" w:rsidRPr="00E74838">
        <w:rPr>
          <w:rFonts w:eastAsia="Arial" w:cs="Times New Roman"/>
          <w:sz w:val="24"/>
          <w:szCs w:val="24"/>
        </w:rPr>
        <w:t xml:space="preserve"> coding burden and to broaden the categories of programs of study</w:t>
      </w:r>
      <w:r w:rsidR="00F72E09" w:rsidRPr="00E74838">
        <w:rPr>
          <w:rFonts w:eastAsia="Arial" w:cs="Times New Roman"/>
          <w:sz w:val="24"/>
          <w:szCs w:val="24"/>
        </w:rPr>
        <w:t xml:space="preserve">.  Therefore, only the </w:t>
      </w:r>
      <w:r w:rsidR="00DD0C73" w:rsidRPr="00E74838">
        <w:rPr>
          <w:rFonts w:eastAsia="Arial" w:cs="Times New Roman"/>
          <w:sz w:val="24"/>
          <w:szCs w:val="24"/>
        </w:rPr>
        <w:t>first four CIP digits</w:t>
      </w:r>
      <w:r w:rsidR="00F72E09" w:rsidRPr="00E74838">
        <w:rPr>
          <w:rFonts w:eastAsia="Arial" w:cs="Times New Roman"/>
          <w:sz w:val="24"/>
          <w:szCs w:val="24"/>
        </w:rPr>
        <w:t xml:space="preserve"> must be reported</w:t>
      </w:r>
      <w:r w:rsidR="00DD0C73" w:rsidRPr="00E74838">
        <w:rPr>
          <w:rFonts w:eastAsia="Arial" w:cs="Times New Roman"/>
          <w:sz w:val="24"/>
          <w:szCs w:val="24"/>
        </w:rPr>
        <w:t>.</w:t>
      </w:r>
      <w:r w:rsidR="00F00C96" w:rsidRPr="00E74838">
        <w:rPr>
          <w:rFonts w:eastAsia="Arial" w:cs="Times New Roman"/>
          <w:sz w:val="24"/>
          <w:szCs w:val="24"/>
        </w:rPr>
        <w:t xml:space="preserve">  </w:t>
      </w:r>
      <w:r w:rsidR="001C2FC4" w:rsidRPr="00E74838">
        <w:rPr>
          <w:rFonts w:cs="Times New Roman"/>
          <w:sz w:val="24"/>
          <w:szCs w:val="24"/>
        </w:rPr>
        <w:t xml:space="preserve">Use of the established list of CIP codes by </w:t>
      </w:r>
      <w:r w:rsidR="00C35F96" w:rsidRPr="00E74838">
        <w:rPr>
          <w:rFonts w:cs="Times New Roman"/>
          <w:sz w:val="24"/>
          <w:szCs w:val="24"/>
        </w:rPr>
        <w:t>ED</w:t>
      </w:r>
      <w:r w:rsidR="001C2FC4" w:rsidRPr="00E74838">
        <w:rPr>
          <w:rFonts w:cs="Times New Roman"/>
          <w:sz w:val="24"/>
          <w:szCs w:val="24"/>
        </w:rPr>
        <w:t xml:space="preserve"> provides a uniform list from which all participants and case managers </w:t>
      </w:r>
      <w:r w:rsidR="00C35F96" w:rsidRPr="00E74838">
        <w:rPr>
          <w:rFonts w:cs="Times New Roman"/>
          <w:sz w:val="24"/>
          <w:szCs w:val="24"/>
        </w:rPr>
        <w:t>may</w:t>
      </w:r>
      <w:r w:rsidR="001C2FC4" w:rsidRPr="00E74838">
        <w:rPr>
          <w:rFonts w:cs="Times New Roman"/>
          <w:sz w:val="24"/>
          <w:szCs w:val="24"/>
        </w:rPr>
        <w:t xml:space="preserve"> select.  </w:t>
      </w:r>
      <w:r w:rsidR="00F00C96" w:rsidRPr="00E74838">
        <w:rPr>
          <w:rFonts w:eastAsia="Arial" w:cs="Times New Roman"/>
          <w:sz w:val="24"/>
          <w:szCs w:val="24"/>
        </w:rPr>
        <w:t>With respect to the codes for program of study categories, t</w:t>
      </w:r>
      <w:r w:rsidR="00F00C96" w:rsidRPr="00E74838">
        <w:rPr>
          <w:rFonts w:cs="Times New Roman"/>
          <w:sz w:val="24"/>
          <w:szCs w:val="24"/>
        </w:rPr>
        <w:t xml:space="preserve">he coding structure was designed to capture the goal related to a program of study, namely the specific degree or certificate attached to completion of the training program.  </w:t>
      </w:r>
    </w:p>
    <w:p w14:paraId="64B85005" w14:textId="77777777" w:rsidR="009663DF" w:rsidRPr="00E74838" w:rsidRDefault="009663DF" w:rsidP="0001000B">
      <w:pPr>
        <w:autoSpaceDE w:val="0"/>
        <w:autoSpaceDN w:val="0"/>
        <w:adjustRightInd w:val="0"/>
        <w:spacing w:after="0" w:line="240" w:lineRule="auto"/>
        <w:rPr>
          <w:rFonts w:cs="Times New Roman"/>
          <w:b/>
          <w:sz w:val="24"/>
          <w:szCs w:val="24"/>
        </w:rPr>
      </w:pPr>
    </w:p>
    <w:p w14:paraId="78565BF5" w14:textId="77777777" w:rsidR="0022000A" w:rsidRPr="00E74838" w:rsidRDefault="00FF163B" w:rsidP="0001000B">
      <w:pPr>
        <w:spacing w:after="0" w:line="240" w:lineRule="auto"/>
        <w:outlineLvl w:val="0"/>
        <w:rPr>
          <w:rFonts w:eastAsia="Times New Roman" w:cs="Times New Roman"/>
          <w:sz w:val="24"/>
          <w:szCs w:val="24"/>
          <w:highlight w:val="yellow"/>
        </w:rPr>
      </w:pPr>
      <w:r w:rsidRPr="00E74838">
        <w:rPr>
          <w:rFonts w:eastAsia="Times New Roman" w:cs="Times New Roman"/>
          <w:sz w:val="24"/>
          <w:szCs w:val="24"/>
        </w:rPr>
        <w:t xml:space="preserve">The commenter is correct as there is no automated way to determine “training related employment”.  As was the case under WIA, case manager intervention is required to determine </w:t>
      </w:r>
      <w:r w:rsidR="0022000A" w:rsidRPr="00E74838">
        <w:rPr>
          <w:rFonts w:eastAsia="Times New Roman" w:cs="Times New Roman"/>
          <w:sz w:val="24"/>
          <w:szCs w:val="24"/>
        </w:rPr>
        <w:t xml:space="preserve">whether </w:t>
      </w:r>
      <w:r w:rsidRPr="00E74838">
        <w:rPr>
          <w:rFonts w:eastAsia="Times New Roman" w:cs="Times New Roman"/>
          <w:sz w:val="24"/>
          <w:szCs w:val="24"/>
        </w:rPr>
        <w:t>the employment gained was related to the training received.</w:t>
      </w:r>
      <w:r w:rsidRPr="00E74838">
        <w:rPr>
          <w:rFonts w:eastAsia="Times New Roman" w:cs="Times New Roman"/>
          <w:sz w:val="24"/>
          <w:szCs w:val="24"/>
          <w:highlight w:val="yellow"/>
        </w:rPr>
        <w:t xml:space="preserve"> </w:t>
      </w:r>
    </w:p>
    <w:p w14:paraId="7DEC00C6" w14:textId="77777777" w:rsidR="0022000A" w:rsidRPr="00E74838" w:rsidRDefault="0022000A" w:rsidP="0001000B">
      <w:pPr>
        <w:spacing w:after="0" w:line="240" w:lineRule="auto"/>
        <w:outlineLvl w:val="0"/>
        <w:rPr>
          <w:rFonts w:eastAsia="Times New Roman" w:cs="Times New Roman"/>
          <w:sz w:val="24"/>
          <w:szCs w:val="24"/>
          <w:highlight w:val="yellow"/>
        </w:rPr>
      </w:pPr>
    </w:p>
    <w:p w14:paraId="78502F13" w14:textId="040B81A3" w:rsidR="00A47CE6" w:rsidRPr="00E74838" w:rsidRDefault="00A47CE6" w:rsidP="0001000B">
      <w:pPr>
        <w:spacing w:after="0" w:line="240" w:lineRule="auto"/>
        <w:contextualSpacing/>
        <w:rPr>
          <w:rFonts w:cs="Times New Roman"/>
          <w:sz w:val="24"/>
          <w:szCs w:val="24"/>
        </w:rPr>
      </w:pPr>
      <w:r w:rsidRPr="00E74838">
        <w:rPr>
          <w:rFonts w:cs="Times New Roman"/>
          <w:sz w:val="24"/>
          <w:szCs w:val="24"/>
        </w:rPr>
        <w:t xml:space="preserve">The Departments want to make clear that there is no requirement to add all high schools and/or AEFLA programs.  Rather, States and ETPs have a location in the report template to display the number of secondary school diplomas that were earned.  </w:t>
      </w:r>
    </w:p>
    <w:p w14:paraId="7010F0FE" w14:textId="77777777" w:rsidR="00633764" w:rsidRPr="00E74838" w:rsidRDefault="00633764" w:rsidP="0001000B">
      <w:pPr>
        <w:autoSpaceDE w:val="0"/>
        <w:autoSpaceDN w:val="0"/>
        <w:adjustRightInd w:val="0"/>
        <w:spacing w:after="0" w:line="240" w:lineRule="auto"/>
        <w:rPr>
          <w:rFonts w:cs="Times New Roman"/>
          <w:sz w:val="24"/>
          <w:szCs w:val="24"/>
        </w:rPr>
      </w:pPr>
    </w:p>
    <w:p w14:paraId="766A1C37" w14:textId="48758EBD" w:rsidR="00D15B72" w:rsidRPr="00E74838" w:rsidRDefault="00D15B72" w:rsidP="0001000B">
      <w:pPr>
        <w:autoSpaceDE w:val="0"/>
        <w:autoSpaceDN w:val="0"/>
        <w:adjustRightInd w:val="0"/>
        <w:spacing w:after="0" w:line="240" w:lineRule="auto"/>
        <w:rPr>
          <w:rFonts w:eastAsia="Times New Roman" w:cs="Times New Roman"/>
          <w:sz w:val="24"/>
          <w:szCs w:val="24"/>
        </w:rPr>
      </w:pPr>
      <w:r w:rsidRPr="00E74838">
        <w:rPr>
          <w:rFonts w:cs="Times New Roman"/>
          <w:sz w:val="24"/>
          <w:szCs w:val="24"/>
        </w:rPr>
        <w:t xml:space="preserve">The Departments believe that while WIOA sections 116 and 122 are related, the requirements within each are different.  For example, there are distinct requirements for ETPs to report on under section 116, which is what is included in this ICR.  Additionally, there will be more information regarding the ETP reporting requirements in an upcoming amended ICR which will include the form/layout of the final data report.  </w:t>
      </w:r>
    </w:p>
    <w:p w14:paraId="768B2131" w14:textId="77777777" w:rsidR="009F1D76" w:rsidRPr="00E74838" w:rsidRDefault="009F1D76" w:rsidP="0001000B">
      <w:pPr>
        <w:spacing w:after="0" w:line="240" w:lineRule="auto"/>
        <w:outlineLvl w:val="0"/>
        <w:rPr>
          <w:rFonts w:eastAsia="Arial" w:cs="Times New Roman"/>
          <w:b/>
          <w:sz w:val="24"/>
          <w:szCs w:val="24"/>
        </w:rPr>
      </w:pPr>
    </w:p>
    <w:p w14:paraId="70B0A9B3" w14:textId="77777777" w:rsidR="009F1D76" w:rsidRPr="00E74838" w:rsidRDefault="00F23932" w:rsidP="0001000B">
      <w:pPr>
        <w:spacing w:after="0" w:line="240" w:lineRule="auto"/>
        <w:outlineLvl w:val="0"/>
        <w:rPr>
          <w:rFonts w:eastAsia="Arial" w:cs="Times New Roman"/>
          <w:sz w:val="24"/>
          <w:szCs w:val="24"/>
        </w:rPr>
      </w:pPr>
      <w:r w:rsidRPr="00E74838">
        <w:rPr>
          <w:rFonts w:eastAsia="Arial" w:cs="Times New Roman"/>
          <w:b/>
          <w:sz w:val="24"/>
          <w:szCs w:val="24"/>
          <w:u w:val="single"/>
        </w:rPr>
        <w:t>Reporting on Reportable Individuals</w:t>
      </w:r>
      <w:r w:rsidR="00C06B0A" w:rsidRPr="00E74838">
        <w:rPr>
          <w:rFonts w:eastAsia="Arial" w:cs="Times New Roman"/>
          <w:b/>
          <w:sz w:val="24"/>
          <w:szCs w:val="24"/>
        </w:rPr>
        <w:t>:</w:t>
      </w:r>
      <w:r w:rsidR="00C06B0A" w:rsidRPr="00E74838">
        <w:rPr>
          <w:rFonts w:eastAsia="Arial" w:cs="Times New Roman"/>
          <w:sz w:val="24"/>
          <w:szCs w:val="24"/>
        </w:rPr>
        <w:t xml:space="preserve">  </w:t>
      </w:r>
    </w:p>
    <w:p w14:paraId="35277F79" w14:textId="77777777" w:rsidR="003F293A" w:rsidRPr="00E74838" w:rsidRDefault="003F293A" w:rsidP="0001000B">
      <w:pPr>
        <w:spacing w:after="0" w:line="240" w:lineRule="auto"/>
        <w:outlineLvl w:val="0"/>
        <w:rPr>
          <w:rFonts w:eastAsia="Arial" w:cs="Times New Roman"/>
          <w:sz w:val="24"/>
          <w:szCs w:val="24"/>
        </w:rPr>
      </w:pPr>
    </w:p>
    <w:p w14:paraId="02852DBB" w14:textId="64FC9524" w:rsidR="0090397F" w:rsidRPr="00E74838" w:rsidRDefault="009F1D76" w:rsidP="0001000B">
      <w:pPr>
        <w:spacing w:after="0" w:line="240" w:lineRule="auto"/>
        <w:outlineLvl w:val="0"/>
        <w:rPr>
          <w:rFonts w:eastAsia="Arial" w:cs="Times New Roman"/>
          <w:sz w:val="24"/>
          <w:szCs w:val="24"/>
        </w:rPr>
      </w:pPr>
      <w:r w:rsidRPr="00E74838">
        <w:rPr>
          <w:rFonts w:eastAsia="Arial" w:cs="Times New Roman"/>
          <w:sz w:val="24"/>
          <w:szCs w:val="24"/>
        </w:rPr>
        <w:t xml:space="preserve">One commenter supported the Departments’ decision not to capture the Joint PIRL data elements for reportable individuals who have not yet met the definition of a “participant.”  This approach will reduce the burden on programs, particularly the title III program. </w:t>
      </w:r>
    </w:p>
    <w:p w14:paraId="14134E40" w14:textId="77777777" w:rsidR="0090397F" w:rsidRPr="00E74838" w:rsidRDefault="0090397F" w:rsidP="0001000B">
      <w:pPr>
        <w:spacing w:after="0" w:line="240" w:lineRule="auto"/>
        <w:outlineLvl w:val="0"/>
        <w:rPr>
          <w:rFonts w:eastAsia="Arial" w:cs="Times New Roman"/>
          <w:sz w:val="24"/>
          <w:szCs w:val="24"/>
        </w:rPr>
      </w:pPr>
    </w:p>
    <w:p w14:paraId="227FB7E0" w14:textId="293A5B71" w:rsidR="00F23932" w:rsidRPr="00E74838" w:rsidRDefault="006F36CE"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t>
      </w:r>
      <w:r w:rsidR="00F23932" w:rsidRPr="00E74838">
        <w:rPr>
          <w:rFonts w:eastAsia="Arial" w:cs="Times New Roman"/>
          <w:sz w:val="24"/>
          <w:szCs w:val="24"/>
        </w:rPr>
        <w:t xml:space="preserve">The data collection requirements for Reportable Individuals </w:t>
      </w:r>
      <w:r w:rsidR="00C06B0A" w:rsidRPr="00E74838">
        <w:rPr>
          <w:rFonts w:eastAsia="Arial" w:cs="Times New Roman"/>
          <w:sz w:val="24"/>
          <w:szCs w:val="24"/>
        </w:rPr>
        <w:t>are</w:t>
      </w:r>
      <w:r w:rsidR="00F23932" w:rsidRPr="00E74838">
        <w:rPr>
          <w:rFonts w:eastAsia="Arial" w:cs="Times New Roman"/>
          <w:sz w:val="24"/>
          <w:szCs w:val="24"/>
        </w:rPr>
        <w:t xml:space="preserve"> unique to each core program and, therefore, will be includ</w:t>
      </w:r>
      <w:r w:rsidR="00C06B0A" w:rsidRPr="00E74838">
        <w:rPr>
          <w:rFonts w:eastAsia="Arial" w:cs="Times New Roman"/>
          <w:sz w:val="24"/>
          <w:szCs w:val="24"/>
        </w:rPr>
        <w:t xml:space="preserve">ed in each core program’s ICR.  </w:t>
      </w:r>
      <w:r w:rsidR="00C06B0A" w:rsidRPr="00E74838">
        <w:rPr>
          <w:rFonts w:eastAsia="Times New Roman" w:cs="Times New Roman"/>
          <w:sz w:val="24"/>
          <w:szCs w:val="24"/>
        </w:rPr>
        <w:t>No change has been made in response to this comment.</w:t>
      </w:r>
    </w:p>
    <w:p w14:paraId="2427AC01" w14:textId="77777777" w:rsidR="009F1D76" w:rsidRDefault="009F1D76" w:rsidP="0001000B">
      <w:pPr>
        <w:spacing w:after="0" w:line="240" w:lineRule="auto"/>
        <w:outlineLvl w:val="0"/>
        <w:rPr>
          <w:rFonts w:eastAsia="Arial" w:cs="Times New Roman"/>
          <w:b/>
          <w:sz w:val="24"/>
          <w:szCs w:val="24"/>
        </w:rPr>
      </w:pPr>
      <w:bookmarkStart w:id="3" w:name="OLE_LINK44"/>
      <w:bookmarkStart w:id="4" w:name="OLE_LINK45"/>
    </w:p>
    <w:p w14:paraId="24A8B033" w14:textId="77777777" w:rsidR="00820D61" w:rsidRPr="00E74838" w:rsidRDefault="00820D61" w:rsidP="0001000B">
      <w:pPr>
        <w:spacing w:after="0" w:line="240" w:lineRule="auto"/>
        <w:outlineLvl w:val="0"/>
        <w:rPr>
          <w:rFonts w:eastAsia="Arial" w:cs="Times New Roman"/>
          <w:b/>
          <w:sz w:val="24"/>
          <w:szCs w:val="24"/>
        </w:rPr>
      </w:pPr>
    </w:p>
    <w:p w14:paraId="74077FD1" w14:textId="4ECD952E" w:rsidR="00503B39" w:rsidRPr="00E74838" w:rsidRDefault="00E76F20" w:rsidP="0001000B">
      <w:pPr>
        <w:spacing w:after="0" w:line="240" w:lineRule="auto"/>
        <w:outlineLvl w:val="0"/>
        <w:rPr>
          <w:rFonts w:eastAsia="Arial" w:cs="Times New Roman"/>
          <w:sz w:val="24"/>
          <w:szCs w:val="24"/>
        </w:rPr>
      </w:pPr>
      <w:bookmarkStart w:id="5" w:name="OLE_LINK46"/>
      <w:bookmarkStart w:id="6" w:name="OLE_LINK47"/>
      <w:bookmarkEnd w:id="3"/>
      <w:bookmarkEnd w:id="4"/>
      <w:r w:rsidRPr="00E74838">
        <w:rPr>
          <w:rFonts w:eastAsia="Arial" w:cs="Times New Roman"/>
          <w:b/>
          <w:sz w:val="24"/>
          <w:szCs w:val="24"/>
          <w:u w:val="single"/>
        </w:rPr>
        <w:lastRenderedPageBreak/>
        <w:t xml:space="preserve">Joint PIRL -- </w:t>
      </w:r>
      <w:r w:rsidR="00F23932" w:rsidRPr="00E74838">
        <w:rPr>
          <w:rFonts w:eastAsia="Arial" w:cs="Times New Roman"/>
          <w:b/>
          <w:sz w:val="24"/>
          <w:szCs w:val="24"/>
          <w:u w:val="single"/>
        </w:rPr>
        <w:t>Pre-Participation Employment/Earnings</w:t>
      </w:r>
      <w:r w:rsidR="00C06B0A" w:rsidRPr="00E74838">
        <w:rPr>
          <w:rFonts w:eastAsia="Arial" w:cs="Times New Roman"/>
          <w:b/>
          <w:sz w:val="24"/>
          <w:szCs w:val="24"/>
        </w:rPr>
        <w:t>:</w:t>
      </w:r>
      <w:bookmarkEnd w:id="5"/>
      <w:bookmarkEnd w:id="6"/>
      <w:r w:rsidR="00C06B0A" w:rsidRPr="00E74838">
        <w:rPr>
          <w:rFonts w:eastAsia="Arial" w:cs="Times New Roman"/>
          <w:sz w:val="24"/>
          <w:szCs w:val="24"/>
        </w:rPr>
        <w:t xml:space="preserve">  </w:t>
      </w:r>
    </w:p>
    <w:p w14:paraId="1B5A15DD" w14:textId="77777777" w:rsidR="003F293A" w:rsidRPr="00E74838" w:rsidRDefault="003F293A" w:rsidP="0001000B">
      <w:pPr>
        <w:spacing w:after="0" w:line="240" w:lineRule="auto"/>
        <w:outlineLvl w:val="0"/>
        <w:rPr>
          <w:rFonts w:eastAsia="Arial" w:cs="Times New Roman"/>
          <w:sz w:val="24"/>
          <w:szCs w:val="24"/>
        </w:rPr>
      </w:pPr>
    </w:p>
    <w:p w14:paraId="74A2EA70" w14:textId="16873E56" w:rsidR="00D86438" w:rsidRPr="00E74838" w:rsidRDefault="00503B39" w:rsidP="0001000B">
      <w:pPr>
        <w:spacing w:after="0" w:line="240" w:lineRule="auto"/>
        <w:outlineLvl w:val="0"/>
        <w:rPr>
          <w:rFonts w:eastAsia="Arial" w:cs="Times New Roman"/>
          <w:sz w:val="24"/>
          <w:szCs w:val="24"/>
        </w:rPr>
      </w:pPr>
      <w:r w:rsidRPr="00E74838">
        <w:rPr>
          <w:rFonts w:eastAsia="Arial" w:cs="Times New Roman"/>
          <w:sz w:val="24"/>
          <w:szCs w:val="24"/>
        </w:rPr>
        <w:t>This commenter strongly encouraged the Departments, in response to the 60-day FRN on the Joint Performance ICR, to collect pre-participation earnings information.  The commenter believed such information is one of the best predictors of post-participation</w:t>
      </w:r>
      <w:r w:rsidR="00D86438" w:rsidRPr="00E74838">
        <w:rPr>
          <w:rFonts w:eastAsia="Arial" w:cs="Times New Roman"/>
          <w:sz w:val="24"/>
          <w:szCs w:val="24"/>
        </w:rPr>
        <w:t xml:space="preserve"> earnings.  In response to that comment, the Departments declined to make the change.  The commenter strongly encourages the Departments to reconsider and collect pre-participation earnings information in the Joint PIRL.</w:t>
      </w:r>
    </w:p>
    <w:p w14:paraId="5B221602" w14:textId="77777777" w:rsidR="0090397F" w:rsidRPr="00E74838" w:rsidRDefault="0090397F" w:rsidP="0001000B">
      <w:pPr>
        <w:spacing w:after="0" w:line="240" w:lineRule="auto"/>
        <w:outlineLvl w:val="0"/>
        <w:rPr>
          <w:rFonts w:eastAsia="Arial" w:cs="Times New Roman"/>
          <w:sz w:val="24"/>
          <w:szCs w:val="24"/>
        </w:rPr>
      </w:pPr>
    </w:p>
    <w:p w14:paraId="28D485F0" w14:textId="57BFD71A" w:rsidR="00F23932" w:rsidRPr="00E74838" w:rsidRDefault="006F36CE" w:rsidP="0001000B">
      <w:pPr>
        <w:spacing w:after="0" w:line="240" w:lineRule="auto"/>
        <w:rPr>
          <w:rFonts w:eastAsia="Arial"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t>
      </w:r>
      <w:r w:rsidR="00F23932" w:rsidRPr="00E74838">
        <w:rPr>
          <w:rFonts w:eastAsia="Arial" w:cs="Times New Roman"/>
          <w:sz w:val="24"/>
          <w:szCs w:val="24"/>
        </w:rPr>
        <w:t xml:space="preserve">The </w:t>
      </w:r>
      <w:r w:rsidR="00D86438" w:rsidRPr="00E74838">
        <w:rPr>
          <w:rFonts w:eastAsia="Arial" w:cs="Times New Roman"/>
          <w:sz w:val="24"/>
          <w:szCs w:val="24"/>
        </w:rPr>
        <w:t>J</w:t>
      </w:r>
      <w:r w:rsidR="00F23932" w:rsidRPr="00E74838">
        <w:rPr>
          <w:rFonts w:eastAsia="Arial" w:cs="Times New Roman"/>
          <w:sz w:val="24"/>
          <w:szCs w:val="24"/>
        </w:rPr>
        <w:t xml:space="preserve">oint PIRL only </w:t>
      </w:r>
      <w:r w:rsidR="00D86438" w:rsidRPr="00E74838">
        <w:rPr>
          <w:rFonts w:eastAsia="Arial" w:cs="Times New Roman"/>
          <w:sz w:val="24"/>
          <w:szCs w:val="24"/>
        </w:rPr>
        <w:t xml:space="preserve">collects </w:t>
      </w:r>
      <w:r w:rsidR="00F23932" w:rsidRPr="00E74838">
        <w:rPr>
          <w:rFonts w:eastAsia="Arial" w:cs="Times New Roman"/>
          <w:sz w:val="24"/>
          <w:szCs w:val="24"/>
        </w:rPr>
        <w:t>the WIOA</w:t>
      </w:r>
      <w:r w:rsidR="00D86438" w:rsidRPr="00E74838">
        <w:rPr>
          <w:rFonts w:eastAsia="Arial" w:cs="Times New Roman"/>
          <w:sz w:val="24"/>
          <w:szCs w:val="24"/>
        </w:rPr>
        <w:t>-</w:t>
      </w:r>
      <w:r w:rsidR="00F23932" w:rsidRPr="00E74838">
        <w:rPr>
          <w:rFonts w:eastAsia="Arial" w:cs="Times New Roman"/>
          <w:sz w:val="24"/>
          <w:szCs w:val="24"/>
        </w:rPr>
        <w:t xml:space="preserve">required data elements.  However, </w:t>
      </w:r>
      <w:r w:rsidR="00D86438" w:rsidRPr="00E74838">
        <w:rPr>
          <w:rFonts w:eastAsia="Arial" w:cs="Times New Roman"/>
          <w:sz w:val="24"/>
          <w:szCs w:val="24"/>
        </w:rPr>
        <w:t xml:space="preserve">the Departments agree with the commenter that pre-participation earnings information can provide valuable information on a participant.  Therefore, the Departments have revised the DOL program-specific and the VR program-specific </w:t>
      </w:r>
      <w:r w:rsidR="008F7362" w:rsidRPr="00E74838">
        <w:rPr>
          <w:rFonts w:eastAsia="Arial" w:cs="Times New Roman"/>
          <w:sz w:val="24"/>
          <w:szCs w:val="24"/>
        </w:rPr>
        <w:t xml:space="preserve">ICRs to </w:t>
      </w:r>
      <w:r w:rsidR="00F23932" w:rsidRPr="00E74838">
        <w:rPr>
          <w:rFonts w:eastAsia="Arial" w:cs="Times New Roman"/>
          <w:sz w:val="24"/>
          <w:szCs w:val="24"/>
        </w:rPr>
        <w:t>collect pre-participation wages.</w:t>
      </w:r>
      <w:r w:rsidRPr="00E74838">
        <w:rPr>
          <w:rFonts w:eastAsia="Arial" w:cs="Times New Roman"/>
          <w:sz w:val="24"/>
          <w:szCs w:val="24"/>
        </w:rPr>
        <w:t xml:space="preserve"> </w:t>
      </w:r>
      <w:r w:rsidR="004E2085" w:rsidRPr="00E74838">
        <w:rPr>
          <w:rFonts w:eastAsia="Arial" w:cs="Times New Roman"/>
          <w:sz w:val="24"/>
          <w:szCs w:val="24"/>
        </w:rPr>
        <w:t xml:space="preserve"> </w:t>
      </w:r>
      <w:r w:rsidR="00C06B0A" w:rsidRPr="00E74838">
        <w:rPr>
          <w:rFonts w:eastAsia="Times New Roman" w:cs="Times New Roman"/>
          <w:sz w:val="24"/>
          <w:szCs w:val="24"/>
        </w:rPr>
        <w:t xml:space="preserve">No change has been made </w:t>
      </w:r>
      <w:r w:rsidR="00DA6262" w:rsidRPr="00E74838">
        <w:rPr>
          <w:rFonts w:eastAsia="Times New Roman" w:cs="Times New Roman"/>
          <w:sz w:val="24"/>
          <w:szCs w:val="24"/>
        </w:rPr>
        <w:t xml:space="preserve">to the Joint Performance ICR </w:t>
      </w:r>
      <w:r w:rsidR="00C06B0A" w:rsidRPr="00E74838">
        <w:rPr>
          <w:rFonts w:eastAsia="Times New Roman" w:cs="Times New Roman"/>
          <w:sz w:val="24"/>
          <w:szCs w:val="24"/>
        </w:rPr>
        <w:t>in response to this comment.</w:t>
      </w:r>
    </w:p>
    <w:p w14:paraId="57F76769" w14:textId="77777777" w:rsidR="00DA6262" w:rsidRPr="00E74838" w:rsidRDefault="00DA6262" w:rsidP="0001000B">
      <w:pPr>
        <w:spacing w:after="0" w:line="240" w:lineRule="auto"/>
        <w:outlineLvl w:val="0"/>
        <w:rPr>
          <w:rFonts w:eastAsia="Arial" w:cs="Times New Roman"/>
          <w:b/>
          <w:sz w:val="24"/>
          <w:szCs w:val="24"/>
          <w:u w:val="single"/>
        </w:rPr>
      </w:pPr>
      <w:bookmarkStart w:id="7" w:name="OLE_LINK48"/>
      <w:bookmarkStart w:id="8" w:name="OLE_LINK49"/>
    </w:p>
    <w:p w14:paraId="3BB1B1AA" w14:textId="77777777" w:rsidR="00C35F96" w:rsidRPr="00E74838" w:rsidRDefault="00E76F20" w:rsidP="0001000B">
      <w:pPr>
        <w:spacing w:after="0" w:line="240" w:lineRule="auto"/>
        <w:outlineLvl w:val="0"/>
        <w:rPr>
          <w:rFonts w:eastAsia="Arial" w:cs="Times New Roman"/>
          <w:b/>
          <w:sz w:val="24"/>
          <w:szCs w:val="24"/>
        </w:rPr>
      </w:pPr>
      <w:r w:rsidRPr="00E74838">
        <w:rPr>
          <w:rFonts w:eastAsia="Arial" w:cs="Times New Roman"/>
          <w:b/>
          <w:sz w:val="24"/>
          <w:szCs w:val="24"/>
          <w:u w:val="single"/>
        </w:rPr>
        <w:t xml:space="preserve">Joint PIRL -- </w:t>
      </w:r>
      <w:r w:rsidR="00F23932" w:rsidRPr="00E74838">
        <w:rPr>
          <w:rFonts w:eastAsia="Arial" w:cs="Times New Roman"/>
          <w:b/>
          <w:sz w:val="24"/>
          <w:szCs w:val="24"/>
          <w:u w:val="single"/>
        </w:rPr>
        <w:t>Changing Customer Characteristics</w:t>
      </w:r>
      <w:r w:rsidR="00C06B0A" w:rsidRPr="00E74838">
        <w:rPr>
          <w:rFonts w:eastAsia="Arial" w:cs="Times New Roman"/>
          <w:b/>
          <w:sz w:val="24"/>
          <w:szCs w:val="24"/>
        </w:rPr>
        <w:t>:</w:t>
      </w:r>
      <w:bookmarkEnd w:id="7"/>
      <w:bookmarkEnd w:id="8"/>
    </w:p>
    <w:p w14:paraId="64EB6202" w14:textId="77777777" w:rsidR="004E2085" w:rsidRPr="00E74838" w:rsidRDefault="004E2085" w:rsidP="0001000B">
      <w:pPr>
        <w:spacing w:after="0" w:line="240" w:lineRule="auto"/>
        <w:outlineLvl w:val="0"/>
        <w:rPr>
          <w:rFonts w:eastAsia="Arial" w:cs="Times New Roman"/>
          <w:sz w:val="24"/>
          <w:szCs w:val="24"/>
        </w:rPr>
      </w:pPr>
    </w:p>
    <w:p w14:paraId="6E0D89DA" w14:textId="491BE691" w:rsidR="00F16B7B" w:rsidRPr="00E74838" w:rsidRDefault="00F16B7B" w:rsidP="0001000B">
      <w:pPr>
        <w:spacing w:after="0" w:line="240" w:lineRule="auto"/>
        <w:outlineLvl w:val="0"/>
        <w:rPr>
          <w:rFonts w:eastAsia="Arial" w:cs="Times New Roman"/>
          <w:sz w:val="24"/>
          <w:szCs w:val="24"/>
        </w:rPr>
      </w:pPr>
      <w:r w:rsidRPr="00E74838">
        <w:rPr>
          <w:rFonts w:eastAsia="Arial" w:cs="Times New Roman"/>
          <w:sz w:val="24"/>
          <w:szCs w:val="24"/>
        </w:rPr>
        <w:t xml:space="preserve">One </w:t>
      </w:r>
      <w:r w:rsidR="006E180D" w:rsidRPr="00E74838">
        <w:rPr>
          <w:rFonts w:eastAsia="Arial" w:cs="Times New Roman"/>
          <w:sz w:val="24"/>
          <w:szCs w:val="24"/>
        </w:rPr>
        <w:t xml:space="preserve">commenter expressed concern regarding whether data </w:t>
      </w:r>
      <w:r w:rsidR="00E76F20" w:rsidRPr="00E74838">
        <w:rPr>
          <w:rFonts w:eastAsia="Arial" w:cs="Times New Roman"/>
          <w:sz w:val="24"/>
          <w:szCs w:val="24"/>
        </w:rPr>
        <w:t xml:space="preserve">related to </w:t>
      </w:r>
      <w:r w:rsidR="006E180D" w:rsidRPr="00E74838">
        <w:rPr>
          <w:rFonts w:eastAsia="Arial" w:cs="Times New Roman"/>
          <w:sz w:val="24"/>
          <w:szCs w:val="24"/>
        </w:rPr>
        <w:t>changes in customer characteristics should be updated or remain the same as was true at the time of</w:t>
      </w:r>
      <w:r w:rsidR="00934196" w:rsidRPr="00E74838">
        <w:rPr>
          <w:rFonts w:eastAsia="Arial" w:cs="Times New Roman"/>
          <w:sz w:val="24"/>
          <w:szCs w:val="24"/>
        </w:rPr>
        <w:t xml:space="preserve"> participation in the program.  Specifically, the commenter believe</w:t>
      </w:r>
      <w:r w:rsidRPr="00E74838">
        <w:rPr>
          <w:rFonts w:eastAsia="Arial" w:cs="Times New Roman"/>
          <w:sz w:val="24"/>
          <w:szCs w:val="24"/>
        </w:rPr>
        <w:t>s</w:t>
      </w:r>
      <w:r w:rsidR="00934196" w:rsidRPr="00E74838">
        <w:rPr>
          <w:rFonts w:eastAsia="Arial" w:cs="Times New Roman"/>
          <w:sz w:val="24"/>
          <w:szCs w:val="24"/>
        </w:rPr>
        <w:t xml:space="preserve"> that some characteristics, by their very </w:t>
      </w:r>
      <w:r w:rsidR="00E76F20" w:rsidRPr="00E74838">
        <w:rPr>
          <w:rFonts w:eastAsia="Arial" w:cs="Times New Roman"/>
          <w:sz w:val="24"/>
          <w:szCs w:val="24"/>
        </w:rPr>
        <w:t>n</w:t>
      </w:r>
      <w:r w:rsidR="00934196" w:rsidRPr="00E74838">
        <w:rPr>
          <w:rFonts w:eastAsia="Arial" w:cs="Times New Roman"/>
          <w:sz w:val="24"/>
          <w:szCs w:val="24"/>
        </w:rPr>
        <w:t xml:space="preserve">ature should not be updated </w:t>
      </w:r>
      <w:r w:rsidR="00CD53F0" w:rsidRPr="00E74838">
        <w:rPr>
          <w:rFonts w:eastAsia="Arial" w:cs="Times New Roman"/>
          <w:sz w:val="24"/>
          <w:szCs w:val="24"/>
        </w:rPr>
        <w:t xml:space="preserve">(e.g., long-term unemployment at application) </w:t>
      </w:r>
      <w:r w:rsidR="00934196" w:rsidRPr="00E74838">
        <w:rPr>
          <w:rFonts w:eastAsia="Arial" w:cs="Times New Roman"/>
          <w:sz w:val="24"/>
          <w:szCs w:val="24"/>
        </w:rPr>
        <w:t>whereas others should be updated</w:t>
      </w:r>
      <w:r w:rsidR="00CD53F0" w:rsidRPr="00E74838">
        <w:rPr>
          <w:rFonts w:eastAsia="Arial" w:cs="Times New Roman"/>
          <w:sz w:val="24"/>
          <w:szCs w:val="24"/>
        </w:rPr>
        <w:t xml:space="preserve"> (e.g., disability and employment status).  One of these commenters stated that updated data for characteristics such as these are relevant for application of the statistical adjustment model, which is to adjust expectations based on the characteristics of the participants being served.</w:t>
      </w:r>
      <w:r w:rsidRPr="00E74838">
        <w:rPr>
          <w:rFonts w:eastAsia="Arial" w:cs="Times New Roman"/>
          <w:sz w:val="24"/>
          <w:szCs w:val="24"/>
        </w:rPr>
        <w:t xml:space="preserve">  Another commenter supported the collection of data related to </w:t>
      </w:r>
      <w:r w:rsidR="00903C7D" w:rsidRPr="00E74838">
        <w:rPr>
          <w:rFonts w:eastAsia="Arial" w:cs="Times New Roman"/>
          <w:sz w:val="24"/>
          <w:szCs w:val="24"/>
        </w:rPr>
        <w:t xml:space="preserve">all of the </w:t>
      </w:r>
      <w:r w:rsidRPr="00E74838">
        <w:rPr>
          <w:rFonts w:eastAsia="Arial" w:cs="Times New Roman"/>
          <w:sz w:val="24"/>
          <w:szCs w:val="24"/>
        </w:rPr>
        <w:t>barriers to employment.</w:t>
      </w:r>
    </w:p>
    <w:p w14:paraId="72C45D5B" w14:textId="77777777" w:rsidR="0090397F" w:rsidRPr="00E74838" w:rsidRDefault="0090397F" w:rsidP="0001000B">
      <w:pPr>
        <w:spacing w:after="0" w:line="240" w:lineRule="auto"/>
        <w:outlineLvl w:val="0"/>
        <w:rPr>
          <w:rFonts w:eastAsia="Arial" w:cs="Times New Roman"/>
          <w:sz w:val="24"/>
          <w:szCs w:val="24"/>
        </w:rPr>
      </w:pPr>
    </w:p>
    <w:p w14:paraId="0B6BD21C" w14:textId="72577EBB" w:rsidR="00F23932" w:rsidRPr="00E74838" w:rsidRDefault="006F36CE" w:rsidP="0001000B">
      <w:pPr>
        <w:spacing w:after="0" w:line="240" w:lineRule="auto"/>
        <w:rPr>
          <w:rFonts w:eastAsia="Times New Roman"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t>
      </w:r>
      <w:r w:rsidR="00F23932" w:rsidRPr="00E74838">
        <w:rPr>
          <w:rFonts w:eastAsia="Arial" w:cs="Times New Roman"/>
          <w:sz w:val="24"/>
          <w:szCs w:val="24"/>
        </w:rPr>
        <w:t xml:space="preserve">While there are advantages to updating certain variables, the Departments have </w:t>
      </w:r>
      <w:r w:rsidR="00CD53F0" w:rsidRPr="00E74838">
        <w:rPr>
          <w:rFonts w:eastAsia="Arial" w:cs="Times New Roman"/>
          <w:sz w:val="24"/>
          <w:szCs w:val="24"/>
        </w:rPr>
        <w:t xml:space="preserve">decided </w:t>
      </w:r>
      <w:r w:rsidR="00F23932" w:rsidRPr="00E74838">
        <w:rPr>
          <w:rFonts w:eastAsia="Arial" w:cs="Times New Roman"/>
          <w:sz w:val="24"/>
          <w:szCs w:val="24"/>
        </w:rPr>
        <w:t xml:space="preserve">not </w:t>
      </w:r>
      <w:r w:rsidR="00CD53F0" w:rsidRPr="00E74838">
        <w:rPr>
          <w:rFonts w:eastAsia="Arial" w:cs="Times New Roman"/>
          <w:sz w:val="24"/>
          <w:szCs w:val="24"/>
        </w:rPr>
        <w:t xml:space="preserve">to </w:t>
      </w:r>
      <w:r w:rsidR="00F23932" w:rsidRPr="00E74838">
        <w:rPr>
          <w:rFonts w:eastAsia="Arial" w:cs="Times New Roman"/>
          <w:sz w:val="24"/>
          <w:szCs w:val="24"/>
        </w:rPr>
        <w:t xml:space="preserve">update the data after initial collection for two reasons: </w:t>
      </w:r>
      <w:r w:rsidR="00CD53F0" w:rsidRPr="00E74838">
        <w:rPr>
          <w:rFonts w:eastAsia="Arial" w:cs="Times New Roman"/>
          <w:sz w:val="24"/>
          <w:szCs w:val="24"/>
        </w:rPr>
        <w:t xml:space="preserve">(1) </w:t>
      </w:r>
      <w:r w:rsidR="00F23932" w:rsidRPr="00E74838">
        <w:rPr>
          <w:rFonts w:eastAsia="Arial" w:cs="Times New Roman"/>
          <w:sz w:val="24"/>
          <w:szCs w:val="24"/>
        </w:rPr>
        <w:t xml:space="preserve">to be consistent with all </w:t>
      </w:r>
      <w:r w:rsidR="00CD53F0" w:rsidRPr="00E74838">
        <w:rPr>
          <w:rFonts w:eastAsia="Arial" w:cs="Times New Roman"/>
          <w:sz w:val="24"/>
          <w:szCs w:val="24"/>
        </w:rPr>
        <w:t xml:space="preserve">data </w:t>
      </w:r>
      <w:r w:rsidR="00F23932" w:rsidRPr="00E74838">
        <w:rPr>
          <w:rFonts w:eastAsia="Arial" w:cs="Times New Roman"/>
          <w:sz w:val="24"/>
          <w:szCs w:val="24"/>
        </w:rPr>
        <w:t>elements (instead of being able to update some variables but not all)</w:t>
      </w:r>
      <w:r w:rsidR="00CD53F0" w:rsidRPr="00E74838">
        <w:rPr>
          <w:rFonts w:eastAsia="Arial" w:cs="Times New Roman"/>
          <w:sz w:val="24"/>
          <w:szCs w:val="24"/>
        </w:rPr>
        <w:t>;</w:t>
      </w:r>
      <w:r w:rsidR="00F23932" w:rsidRPr="00E74838">
        <w:rPr>
          <w:rFonts w:eastAsia="Arial" w:cs="Times New Roman"/>
          <w:sz w:val="24"/>
          <w:szCs w:val="24"/>
        </w:rPr>
        <w:t xml:space="preserve"> and </w:t>
      </w:r>
      <w:r w:rsidR="00CD53F0" w:rsidRPr="00E74838">
        <w:rPr>
          <w:rFonts w:eastAsia="Arial" w:cs="Times New Roman"/>
          <w:sz w:val="24"/>
          <w:szCs w:val="24"/>
        </w:rPr>
        <w:t xml:space="preserve">(2) </w:t>
      </w:r>
      <w:r w:rsidR="00F23932" w:rsidRPr="00E74838">
        <w:rPr>
          <w:rFonts w:eastAsia="Arial" w:cs="Times New Roman"/>
          <w:sz w:val="24"/>
          <w:szCs w:val="24"/>
        </w:rPr>
        <w:t xml:space="preserve">to ease collection burden on </w:t>
      </w:r>
      <w:r w:rsidR="00CD53F0" w:rsidRPr="00E74838">
        <w:rPr>
          <w:rFonts w:eastAsia="Arial" w:cs="Times New Roman"/>
          <w:sz w:val="24"/>
          <w:szCs w:val="24"/>
        </w:rPr>
        <w:t>S</w:t>
      </w:r>
      <w:r w:rsidR="00F23932" w:rsidRPr="00E74838">
        <w:rPr>
          <w:rFonts w:eastAsia="Arial" w:cs="Times New Roman"/>
          <w:sz w:val="24"/>
          <w:szCs w:val="24"/>
        </w:rPr>
        <w:t xml:space="preserve">tates.  Due to the length of time participants may be served in </w:t>
      </w:r>
      <w:r w:rsidR="00F16B7B" w:rsidRPr="00E74838">
        <w:rPr>
          <w:rFonts w:eastAsia="Arial" w:cs="Times New Roman"/>
          <w:sz w:val="24"/>
          <w:szCs w:val="24"/>
        </w:rPr>
        <w:t>certain programs (e.g., the VR program)</w:t>
      </w:r>
      <w:proofErr w:type="gramStart"/>
      <w:r w:rsidR="00F16B7B" w:rsidRPr="00E74838">
        <w:rPr>
          <w:rFonts w:eastAsia="Arial" w:cs="Times New Roman"/>
          <w:sz w:val="24"/>
          <w:szCs w:val="24"/>
        </w:rPr>
        <w:t>,</w:t>
      </w:r>
      <w:proofErr w:type="gramEnd"/>
      <w:r w:rsidR="00F16B7B" w:rsidRPr="00E74838">
        <w:rPr>
          <w:rFonts w:eastAsia="Arial" w:cs="Times New Roman"/>
          <w:sz w:val="24"/>
          <w:szCs w:val="24"/>
        </w:rPr>
        <w:t xml:space="preserve"> </w:t>
      </w:r>
      <w:r w:rsidR="00F23932" w:rsidRPr="00E74838">
        <w:rPr>
          <w:rFonts w:eastAsia="Arial" w:cs="Times New Roman"/>
          <w:sz w:val="24"/>
          <w:szCs w:val="24"/>
        </w:rPr>
        <w:t>there are some data elements that may be updated over the period of program participation.  These data elements are identified in the VR program</w:t>
      </w:r>
      <w:r w:rsidR="00903C7D" w:rsidRPr="00E74838">
        <w:rPr>
          <w:rFonts w:eastAsia="Arial" w:cs="Times New Roman"/>
          <w:sz w:val="24"/>
          <w:szCs w:val="24"/>
        </w:rPr>
        <w:t>-</w:t>
      </w:r>
      <w:r w:rsidR="00F23932" w:rsidRPr="00E74838">
        <w:rPr>
          <w:rFonts w:eastAsia="Arial" w:cs="Times New Roman"/>
          <w:sz w:val="24"/>
          <w:szCs w:val="24"/>
        </w:rPr>
        <w:t>specific ICR.</w:t>
      </w:r>
      <w:r w:rsidRPr="00E74838">
        <w:rPr>
          <w:rFonts w:eastAsia="Arial" w:cs="Times New Roman"/>
          <w:sz w:val="24"/>
          <w:szCs w:val="24"/>
        </w:rPr>
        <w:t xml:space="preserve"> </w:t>
      </w:r>
      <w:r w:rsidR="00C06B0A" w:rsidRPr="00E74838">
        <w:rPr>
          <w:rFonts w:eastAsia="Arial" w:cs="Times New Roman"/>
          <w:b/>
          <w:sz w:val="24"/>
          <w:szCs w:val="24"/>
        </w:rPr>
        <w:t xml:space="preserve"> </w:t>
      </w:r>
    </w:p>
    <w:p w14:paraId="401A1689" w14:textId="77777777" w:rsidR="00DA6262" w:rsidRPr="00E74838" w:rsidRDefault="00DA6262" w:rsidP="0001000B">
      <w:pPr>
        <w:spacing w:after="0" w:line="240" w:lineRule="auto"/>
        <w:rPr>
          <w:rFonts w:eastAsia="Times New Roman" w:cs="Times New Roman"/>
          <w:sz w:val="24"/>
          <w:szCs w:val="24"/>
        </w:rPr>
      </w:pPr>
    </w:p>
    <w:p w14:paraId="4FFF6214" w14:textId="28DCCB23" w:rsidR="00196E2D" w:rsidRPr="00E74838" w:rsidRDefault="001A6C1D" w:rsidP="0001000B">
      <w:pPr>
        <w:spacing w:after="0" w:line="240" w:lineRule="auto"/>
        <w:rPr>
          <w:rFonts w:cs="Times New Roman"/>
          <w:sz w:val="24"/>
          <w:szCs w:val="24"/>
        </w:rPr>
      </w:pPr>
      <w:r w:rsidRPr="00E74838">
        <w:rPr>
          <w:rFonts w:cs="Times New Roman"/>
          <w:sz w:val="24"/>
          <w:szCs w:val="24"/>
        </w:rPr>
        <w:t>T</w:t>
      </w:r>
      <w:r w:rsidR="00196E2D" w:rsidRPr="00E74838">
        <w:rPr>
          <w:rFonts w:cs="Times New Roman"/>
          <w:sz w:val="24"/>
          <w:szCs w:val="24"/>
        </w:rPr>
        <w:t xml:space="preserve">he Departments concur with the commenter that the data pertaining to all relevant barriers to employment are important in developing expected, negotiated, and adjusted levels of performance.  </w:t>
      </w:r>
      <w:r w:rsidR="001B2190">
        <w:rPr>
          <w:rFonts w:cs="Times New Roman"/>
          <w:sz w:val="24"/>
          <w:szCs w:val="24"/>
        </w:rPr>
        <w:t xml:space="preserve">However, when developing the statistical adjustment model, the </w:t>
      </w:r>
      <w:r w:rsidR="00196E2D" w:rsidRPr="00E74838">
        <w:rPr>
          <w:rFonts w:cs="Times New Roman"/>
          <w:sz w:val="24"/>
          <w:szCs w:val="24"/>
        </w:rPr>
        <w:t xml:space="preserve">Departments </w:t>
      </w:r>
      <w:r w:rsidR="00E251DC">
        <w:rPr>
          <w:rFonts w:cs="Times New Roman"/>
          <w:sz w:val="24"/>
          <w:szCs w:val="24"/>
        </w:rPr>
        <w:t>considered the barriers outlined in WIOA sec. 116 (b</w:t>
      </w:r>
      <w:proofErr w:type="gramStart"/>
      <w:r w:rsidR="00E251DC">
        <w:rPr>
          <w:rFonts w:cs="Times New Roman"/>
          <w:sz w:val="24"/>
          <w:szCs w:val="24"/>
        </w:rPr>
        <w:t>)(</w:t>
      </w:r>
      <w:proofErr w:type="gramEnd"/>
      <w:r w:rsidR="00E251DC">
        <w:rPr>
          <w:rFonts w:cs="Times New Roman"/>
          <w:sz w:val="24"/>
          <w:szCs w:val="24"/>
        </w:rPr>
        <w:t xml:space="preserve">v)(II)(bb).  </w:t>
      </w:r>
      <w:r w:rsidR="00DA1FED">
        <w:rPr>
          <w:rFonts w:cs="Times New Roman"/>
          <w:sz w:val="24"/>
          <w:szCs w:val="24"/>
        </w:rPr>
        <w:t xml:space="preserve">Initially, </w:t>
      </w:r>
      <w:r w:rsidR="00D23A37">
        <w:rPr>
          <w:rFonts w:cs="Times New Roman"/>
          <w:sz w:val="24"/>
          <w:szCs w:val="24"/>
        </w:rPr>
        <w:t>no additional barriers</w:t>
      </w:r>
      <w:r w:rsidR="00DA1FED">
        <w:rPr>
          <w:rFonts w:cs="Times New Roman"/>
          <w:sz w:val="24"/>
          <w:szCs w:val="24"/>
        </w:rPr>
        <w:t xml:space="preserve"> were included</w:t>
      </w:r>
      <w:r w:rsidR="00D23A37">
        <w:rPr>
          <w:rFonts w:cs="Times New Roman"/>
          <w:sz w:val="24"/>
          <w:szCs w:val="24"/>
        </w:rPr>
        <w:t xml:space="preserve"> in the development of the model.  As the model evolves over time, the Departments may </w:t>
      </w:r>
      <w:r w:rsidR="00DA1FED">
        <w:rPr>
          <w:rFonts w:cs="Times New Roman"/>
          <w:sz w:val="24"/>
          <w:szCs w:val="24"/>
        </w:rPr>
        <w:t xml:space="preserve">consider adjustments to the barriers of employment. </w:t>
      </w:r>
      <w:r w:rsidR="00D23A37">
        <w:rPr>
          <w:rFonts w:cs="Times New Roman"/>
          <w:sz w:val="24"/>
          <w:szCs w:val="24"/>
        </w:rPr>
        <w:t xml:space="preserve">  </w:t>
      </w:r>
      <w:r w:rsidR="00196E2D" w:rsidRPr="00E74838">
        <w:rPr>
          <w:rFonts w:cs="Times New Roman"/>
          <w:sz w:val="24"/>
          <w:szCs w:val="24"/>
        </w:rPr>
        <w:t xml:space="preserve"> </w:t>
      </w:r>
    </w:p>
    <w:p w14:paraId="20575E2E" w14:textId="77777777" w:rsidR="00820D61" w:rsidRPr="00E74838" w:rsidRDefault="00820D61" w:rsidP="0001000B">
      <w:pPr>
        <w:spacing w:after="0" w:line="240" w:lineRule="auto"/>
        <w:rPr>
          <w:rFonts w:eastAsia="Times New Roman" w:cs="Times New Roman"/>
          <w:sz w:val="24"/>
          <w:szCs w:val="24"/>
        </w:rPr>
      </w:pPr>
    </w:p>
    <w:p w14:paraId="6C3AD6E9" w14:textId="77777777" w:rsidR="00C35F96" w:rsidRPr="00E74838" w:rsidRDefault="00F23932" w:rsidP="0001000B">
      <w:pPr>
        <w:spacing w:after="0" w:line="240" w:lineRule="auto"/>
        <w:outlineLvl w:val="0"/>
        <w:rPr>
          <w:rFonts w:eastAsia="Arial" w:cs="Times New Roman"/>
          <w:b/>
          <w:sz w:val="24"/>
          <w:szCs w:val="24"/>
        </w:rPr>
      </w:pPr>
      <w:bookmarkStart w:id="9" w:name="OLE_LINK50"/>
      <w:bookmarkStart w:id="10" w:name="OLE_LINK51"/>
      <w:r w:rsidRPr="00E74838">
        <w:rPr>
          <w:rFonts w:eastAsia="Arial" w:cs="Times New Roman"/>
          <w:b/>
          <w:sz w:val="24"/>
          <w:szCs w:val="24"/>
          <w:u w:val="single"/>
        </w:rPr>
        <w:lastRenderedPageBreak/>
        <w:t>Annual Report</w:t>
      </w:r>
      <w:r w:rsidR="00DF3AD9" w:rsidRPr="00E74838">
        <w:rPr>
          <w:rFonts w:eastAsia="Arial" w:cs="Times New Roman"/>
          <w:b/>
          <w:sz w:val="24"/>
          <w:szCs w:val="24"/>
          <w:u w:val="single"/>
        </w:rPr>
        <w:t xml:space="preserve"> Specs -- </w:t>
      </w:r>
      <w:r w:rsidRPr="00E74838">
        <w:rPr>
          <w:rFonts w:eastAsia="Arial" w:cs="Times New Roman"/>
          <w:b/>
          <w:sz w:val="24"/>
          <w:szCs w:val="24"/>
          <w:u w:val="single"/>
        </w:rPr>
        <w:t>Participants Served/Expenditures/Average Cost</w:t>
      </w:r>
      <w:r w:rsidR="00C06B0A" w:rsidRPr="00E74838">
        <w:rPr>
          <w:rFonts w:eastAsia="Arial" w:cs="Times New Roman"/>
          <w:b/>
          <w:sz w:val="24"/>
          <w:szCs w:val="24"/>
        </w:rPr>
        <w:t>:</w:t>
      </w:r>
      <w:bookmarkEnd w:id="9"/>
      <w:bookmarkEnd w:id="10"/>
    </w:p>
    <w:p w14:paraId="3FF3562D" w14:textId="77777777" w:rsidR="004E2085" w:rsidRPr="00E74838" w:rsidRDefault="004E2085" w:rsidP="0001000B">
      <w:pPr>
        <w:spacing w:after="0" w:line="240" w:lineRule="auto"/>
        <w:outlineLvl w:val="0"/>
        <w:rPr>
          <w:rFonts w:eastAsia="Arial" w:cs="Times New Roman"/>
          <w:sz w:val="24"/>
          <w:szCs w:val="24"/>
        </w:rPr>
      </w:pPr>
    </w:p>
    <w:p w14:paraId="59006FC5" w14:textId="1A02454E" w:rsidR="00DF3AD9" w:rsidRPr="00E74838" w:rsidRDefault="00DF3AD9" w:rsidP="0001000B">
      <w:pPr>
        <w:spacing w:after="0" w:line="240" w:lineRule="auto"/>
        <w:outlineLvl w:val="0"/>
        <w:rPr>
          <w:rFonts w:eastAsia="Arial" w:cs="Times New Roman"/>
          <w:sz w:val="24"/>
          <w:szCs w:val="24"/>
        </w:rPr>
      </w:pPr>
      <w:r w:rsidRPr="00E74838">
        <w:rPr>
          <w:rFonts w:eastAsia="Arial" w:cs="Times New Roman"/>
          <w:sz w:val="24"/>
          <w:szCs w:val="24"/>
        </w:rPr>
        <w:t>One commenter identified a potential inconsistency between the plain text specifications and the technical specifications with respect to the “number of participants who received training services</w:t>
      </w:r>
      <w:r w:rsidR="00C35F96" w:rsidRPr="00E74838">
        <w:rPr>
          <w:rFonts w:eastAsia="Arial" w:cs="Times New Roman"/>
          <w:sz w:val="24"/>
          <w:szCs w:val="24"/>
        </w:rPr>
        <w:t>”</w:t>
      </w:r>
      <w:r w:rsidRPr="00E74838">
        <w:rPr>
          <w:rFonts w:eastAsia="Arial" w:cs="Times New Roman"/>
          <w:sz w:val="24"/>
          <w:szCs w:val="24"/>
        </w:rPr>
        <w:t xml:space="preserve"> during the reporting period.  The plain text specifications describe the data to be collected accurately, but the technical specifications are not written in a way that clearly limits the data to those participants who received the training services during the report period.</w:t>
      </w:r>
    </w:p>
    <w:p w14:paraId="47161AC4" w14:textId="77777777" w:rsidR="00DF3AD9" w:rsidRPr="00E74838" w:rsidRDefault="00DF3AD9" w:rsidP="0001000B">
      <w:pPr>
        <w:spacing w:after="0" w:line="240" w:lineRule="auto"/>
        <w:outlineLvl w:val="0"/>
        <w:rPr>
          <w:rFonts w:eastAsia="Arial" w:cs="Times New Roman"/>
          <w:sz w:val="24"/>
          <w:szCs w:val="24"/>
        </w:rPr>
      </w:pPr>
    </w:p>
    <w:p w14:paraId="0298F0E1" w14:textId="3DF2D088" w:rsidR="001D56FE" w:rsidRPr="00E74838" w:rsidRDefault="00DF3AD9" w:rsidP="0001000B">
      <w:pPr>
        <w:spacing w:after="0" w:line="240" w:lineRule="auto"/>
        <w:outlineLvl w:val="0"/>
        <w:rPr>
          <w:rFonts w:eastAsia="Arial" w:cs="Times New Roman"/>
          <w:sz w:val="24"/>
          <w:szCs w:val="24"/>
        </w:rPr>
      </w:pPr>
      <w:r w:rsidRPr="00E74838">
        <w:rPr>
          <w:rFonts w:eastAsia="Arial" w:cs="Times New Roman"/>
          <w:sz w:val="24"/>
          <w:szCs w:val="24"/>
        </w:rPr>
        <w:t>The commenter also identified another potential inconsistency with respect to expenditure</w:t>
      </w:r>
      <w:r w:rsidR="004A7473" w:rsidRPr="00E74838">
        <w:rPr>
          <w:rFonts w:eastAsia="Arial" w:cs="Times New Roman"/>
          <w:sz w:val="24"/>
          <w:szCs w:val="24"/>
        </w:rPr>
        <w:t xml:space="preserve"> and average cost specifications.  For example, in the 60-day FRN for the proposed Joint Performance ICR, the Departments made clear that the</w:t>
      </w:r>
      <w:r w:rsidR="003900A0" w:rsidRPr="00E74838">
        <w:rPr>
          <w:rFonts w:eastAsia="Arial" w:cs="Times New Roman"/>
          <w:sz w:val="24"/>
          <w:szCs w:val="24"/>
        </w:rPr>
        <w:t xml:space="preserve"> total cost per participant for career services </w:t>
      </w:r>
      <w:r w:rsidR="001D56FE" w:rsidRPr="00E74838">
        <w:rPr>
          <w:rFonts w:eastAsia="Arial" w:cs="Times New Roman"/>
          <w:sz w:val="24"/>
          <w:szCs w:val="24"/>
        </w:rPr>
        <w:t>or training services i</w:t>
      </w:r>
      <w:r w:rsidR="003900A0" w:rsidRPr="00E74838">
        <w:rPr>
          <w:rFonts w:eastAsia="Arial" w:cs="Times New Roman"/>
          <w:sz w:val="24"/>
          <w:szCs w:val="24"/>
        </w:rPr>
        <w:t>s</w:t>
      </w:r>
      <w:r w:rsidR="001D56FE" w:rsidRPr="00E74838">
        <w:rPr>
          <w:rFonts w:eastAsia="Arial" w:cs="Times New Roman"/>
          <w:sz w:val="24"/>
          <w:szCs w:val="24"/>
        </w:rPr>
        <w:t xml:space="preserve"> the total cost per career services per participant or total training service costs per participant.  However, according to the commenter, the report specs do not match that guidance.</w:t>
      </w:r>
    </w:p>
    <w:p w14:paraId="6945CEC3" w14:textId="77777777" w:rsidR="00C35F96" w:rsidRPr="00E74838" w:rsidRDefault="00C35F96" w:rsidP="0001000B">
      <w:pPr>
        <w:spacing w:after="0" w:line="240" w:lineRule="auto"/>
        <w:outlineLvl w:val="0"/>
        <w:rPr>
          <w:rFonts w:eastAsia="Arial" w:cs="Times New Roman"/>
          <w:sz w:val="24"/>
          <w:szCs w:val="24"/>
        </w:rPr>
      </w:pPr>
    </w:p>
    <w:p w14:paraId="33D92411" w14:textId="3223D21B" w:rsidR="00F23932" w:rsidRPr="00E74838" w:rsidRDefault="006F36CE"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t>
      </w:r>
      <w:r w:rsidR="00F23932" w:rsidRPr="00E74838">
        <w:rPr>
          <w:rFonts w:eastAsia="Arial" w:cs="Times New Roman"/>
          <w:sz w:val="24"/>
          <w:szCs w:val="24"/>
        </w:rPr>
        <w:t>The cost per participant definitions will remain the same</w:t>
      </w:r>
      <w:r w:rsidR="005E38AA" w:rsidRPr="00E74838">
        <w:rPr>
          <w:rFonts w:eastAsia="Arial" w:cs="Times New Roman"/>
          <w:sz w:val="24"/>
          <w:szCs w:val="24"/>
        </w:rPr>
        <w:t xml:space="preserve"> in the Joint Performance ICR.  However, the Departments </w:t>
      </w:r>
      <w:r w:rsidR="00F23932" w:rsidRPr="00E74838">
        <w:rPr>
          <w:rFonts w:eastAsia="Arial" w:cs="Times New Roman"/>
          <w:sz w:val="24"/>
          <w:szCs w:val="24"/>
        </w:rPr>
        <w:t>will issue additional guidance</w:t>
      </w:r>
      <w:r w:rsidR="005E38AA" w:rsidRPr="00E74838">
        <w:rPr>
          <w:rFonts w:eastAsia="Arial" w:cs="Times New Roman"/>
          <w:sz w:val="24"/>
          <w:szCs w:val="24"/>
        </w:rPr>
        <w:t xml:space="preserve">, including program-specific guidance, </w:t>
      </w:r>
      <w:r w:rsidR="00F23932" w:rsidRPr="00E74838">
        <w:rPr>
          <w:rFonts w:eastAsia="Arial" w:cs="Times New Roman"/>
          <w:sz w:val="24"/>
          <w:szCs w:val="24"/>
        </w:rPr>
        <w:t>regarding what types of services are to be included in the broader training and career service categories.  For the VR program, this information is included in the program specific ICR.</w:t>
      </w:r>
      <w:r w:rsidR="00C06B0A" w:rsidRPr="00E74838">
        <w:rPr>
          <w:rFonts w:eastAsia="Arial" w:cs="Times New Roman"/>
          <w:sz w:val="24"/>
          <w:szCs w:val="24"/>
        </w:rPr>
        <w:t xml:space="preserve"> </w:t>
      </w:r>
      <w:r w:rsidR="00C06B0A" w:rsidRPr="00E74838">
        <w:rPr>
          <w:rFonts w:eastAsia="Times New Roman" w:cs="Times New Roman"/>
          <w:sz w:val="24"/>
          <w:szCs w:val="24"/>
        </w:rPr>
        <w:t xml:space="preserve"> No change has been made in response to this comment.</w:t>
      </w:r>
    </w:p>
    <w:p w14:paraId="347BC005" w14:textId="5B6C20A2" w:rsidR="0005057F" w:rsidRPr="00E74838" w:rsidRDefault="0005057F" w:rsidP="0001000B">
      <w:pPr>
        <w:spacing w:after="0" w:line="240" w:lineRule="auto"/>
        <w:outlineLvl w:val="0"/>
        <w:rPr>
          <w:rFonts w:eastAsia="Arial" w:cs="Times New Roman"/>
          <w:b/>
          <w:sz w:val="24"/>
          <w:szCs w:val="24"/>
        </w:rPr>
      </w:pPr>
      <w:bookmarkStart w:id="11" w:name="OLE_LINK52"/>
      <w:bookmarkStart w:id="12" w:name="OLE_LINK53"/>
    </w:p>
    <w:p w14:paraId="529727AE" w14:textId="2FF14EDC" w:rsidR="008F61D9" w:rsidRPr="00E74838" w:rsidRDefault="00B8387F" w:rsidP="0001000B">
      <w:pPr>
        <w:spacing w:after="0" w:line="240" w:lineRule="auto"/>
        <w:rPr>
          <w:rFonts w:cs="Times New Roman"/>
          <w:b/>
          <w:sz w:val="24"/>
          <w:szCs w:val="24"/>
        </w:rPr>
      </w:pPr>
      <w:r w:rsidRPr="00E74838">
        <w:rPr>
          <w:rFonts w:cs="Times New Roman"/>
          <w:b/>
          <w:sz w:val="24"/>
          <w:szCs w:val="24"/>
          <w:u w:val="single"/>
        </w:rPr>
        <w:t xml:space="preserve">Performance Indicator – Credential Attainment -- </w:t>
      </w:r>
      <w:r w:rsidR="008F61D9" w:rsidRPr="00E74838">
        <w:rPr>
          <w:rFonts w:cs="Times New Roman"/>
          <w:b/>
          <w:sz w:val="24"/>
          <w:szCs w:val="24"/>
          <w:u w:val="single"/>
        </w:rPr>
        <w:t>Inconsistencies and Questions</w:t>
      </w:r>
      <w:r w:rsidR="008F61D9" w:rsidRPr="00E74838">
        <w:rPr>
          <w:rFonts w:cs="Times New Roman"/>
          <w:b/>
          <w:sz w:val="24"/>
          <w:szCs w:val="24"/>
        </w:rPr>
        <w:t>:</w:t>
      </w:r>
    </w:p>
    <w:p w14:paraId="2095BFCA" w14:textId="77777777" w:rsidR="004E2085" w:rsidRPr="00E74838" w:rsidRDefault="004E2085" w:rsidP="0001000B">
      <w:pPr>
        <w:spacing w:after="0" w:line="240" w:lineRule="auto"/>
        <w:rPr>
          <w:rFonts w:cs="Times New Roman"/>
          <w:b/>
          <w:sz w:val="24"/>
          <w:szCs w:val="24"/>
          <w:u w:val="single"/>
        </w:rPr>
      </w:pPr>
    </w:p>
    <w:p w14:paraId="0BDA1FC5" w14:textId="2DA02844" w:rsidR="008F61D9" w:rsidRPr="00E74838" w:rsidRDefault="008F61D9" w:rsidP="0001000B">
      <w:pPr>
        <w:shd w:val="clear" w:color="auto" w:fill="FFFFFF" w:themeFill="background1"/>
        <w:spacing w:after="0" w:line="240" w:lineRule="auto"/>
        <w:rPr>
          <w:rFonts w:cs="Times New Roman"/>
          <w:sz w:val="24"/>
          <w:szCs w:val="24"/>
        </w:rPr>
      </w:pPr>
      <w:r w:rsidRPr="00E74838">
        <w:rPr>
          <w:rFonts w:eastAsia="Times New Roman" w:cs="Times New Roman"/>
          <w:sz w:val="24"/>
          <w:szCs w:val="24"/>
        </w:rPr>
        <w:t xml:space="preserve">Several commenters sought clarification with respect to credential attainment specifications, variable names, data sources, and data element formats. </w:t>
      </w:r>
      <w:r w:rsidR="00C708BA" w:rsidRPr="00E74838">
        <w:rPr>
          <w:rFonts w:eastAsia="Times New Roman" w:cs="Times New Roman"/>
          <w:sz w:val="24"/>
          <w:szCs w:val="24"/>
        </w:rPr>
        <w:t xml:space="preserve"> </w:t>
      </w:r>
      <w:r w:rsidRPr="00E74838">
        <w:rPr>
          <w:rFonts w:eastAsia="Times New Roman" w:cs="Times New Roman"/>
          <w:sz w:val="24"/>
          <w:szCs w:val="24"/>
        </w:rPr>
        <w:t xml:space="preserve">One </w:t>
      </w:r>
      <w:r w:rsidRPr="00E74838">
        <w:rPr>
          <w:rFonts w:cs="Times New Roman"/>
          <w:sz w:val="24"/>
          <w:szCs w:val="24"/>
        </w:rPr>
        <w:t>commenter noted several discrepancies between report and technical specifications for Item 28,</w:t>
      </w:r>
      <w:r w:rsidRPr="00E74838">
        <w:rPr>
          <w:rFonts w:eastAsia="Arial" w:cs="Times New Roman"/>
          <w:sz w:val="24"/>
          <w:szCs w:val="24"/>
        </w:rPr>
        <w:t xml:space="preserve"> Credential Rate Denominator of Appendix C Performance Report Specifications and that these discrepancies are relevant to inclusion and exclusion of types of participants. </w:t>
      </w:r>
      <w:r w:rsidR="00C708BA" w:rsidRPr="00E74838">
        <w:rPr>
          <w:rFonts w:eastAsia="Arial" w:cs="Times New Roman"/>
          <w:sz w:val="24"/>
          <w:szCs w:val="24"/>
        </w:rPr>
        <w:t xml:space="preserve"> </w:t>
      </w:r>
      <w:r w:rsidRPr="00E74838">
        <w:rPr>
          <w:rFonts w:eastAsia="Arial" w:cs="Times New Roman"/>
          <w:sz w:val="24"/>
          <w:szCs w:val="24"/>
        </w:rPr>
        <w:t xml:space="preserve">Another </w:t>
      </w:r>
      <w:r w:rsidRPr="00E74838">
        <w:rPr>
          <w:rFonts w:cs="Times New Roman"/>
          <w:sz w:val="24"/>
          <w:szCs w:val="24"/>
        </w:rPr>
        <w:t xml:space="preserve">commenter pointed out that an obsolete variable is referenced in the Credential Rate Denominator, Appendix C. </w:t>
      </w:r>
      <w:r w:rsidR="00C708BA" w:rsidRPr="00E74838">
        <w:rPr>
          <w:rFonts w:cs="Times New Roman"/>
          <w:sz w:val="24"/>
          <w:szCs w:val="24"/>
        </w:rPr>
        <w:t xml:space="preserve"> </w:t>
      </w:r>
      <w:r w:rsidRPr="00E74838">
        <w:rPr>
          <w:rFonts w:cs="Times New Roman"/>
          <w:sz w:val="24"/>
          <w:szCs w:val="24"/>
        </w:rPr>
        <w:t>Another commenter recommended that federal agencies establish free access to National Student Clearinghouse (NCS) data and ensure that specifications for the date enrolled field be compatible with enrollment data obtainable from NSC.</w:t>
      </w:r>
    </w:p>
    <w:p w14:paraId="4A018F13" w14:textId="77777777" w:rsidR="008F61D9" w:rsidRPr="00E74838" w:rsidRDefault="008F61D9" w:rsidP="0001000B">
      <w:pPr>
        <w:spacing w:after="0" w:line="240" w:lineRule="auto"/>
        <w:rPr>
          <w:rFonts w:cs="Times New Roman"/>
          <w:sz w:val="24"/>
          <w:szCs w:val="24"/>
        </w:rPr>
      </w:pPr>
    </w:p>
    <w:p w14:paraId="5AFCFD0A" w14:textId="52C4CCF2" w:rsidR="001F2C25" w:rsidRPr="00820D61" w:rsidRDefault="008F61D9" w:rsidP="0001000B">
      <w:pPr>
        <w:spacing w:after="0" w:line="240" w:lineRule="auto"/>
        <w:rPr>
          <w:rFonts w:eastAsia="Arial"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The references to Adult Education, Job Corps, and Youth Build have been removed from technical specification Item 28; the phrase “</w:t>
      </w:r>
      <w:r w:rsidRPr="00E74838">
        <w:rPr>
          <w:rFonts w:cs="Times New Roman"/>
          <w:sz w:val="24"/>
          <w:szCs w:val="24"/>
        </w:rPr>
        <w:t>other than On-The-Job training or customized training” will be added to the</w:t>
      </w:r>
      <w:r w:rsidRPr="00E74838">
        <w:rPr>
          <w:rFonts w:eastAsia="Arial" w:cs="Times New Roman"/>
          <w:sz w:val="24"/>
          <w:szCs w:val="24"/>
        </w:rPr>
        <w:t xml:space="preserve"> plain text report specifications for Item 28 Credential Rate Denominator of Appendix C Performance Report Specifications. </w:t>
      </w:r>
      <w:r w:rsidR="00C708BA" w:rsidRPr="00E74838">
        <w:rPr>
          <w:rFonts w:eastAsia="Arial" w:cs="Times New Roman"/>
          <w:sz w:val="24"/>
          <w:szCs w:val="24"/>
        </w:rPr>
        <w:t xml:space="preserve"> </w:t>
      </w:r>
      <w:r w:rsidRPr="00E74838">
        <w:rPr>
          <w:rFonts w:eastAsia="Arial" w:cs="Times New Roman"/>
          <w:sz w:val="24"/>
          <w:szCs w:val="24"/>
        </w:rPr>
        <w:t xml:space="preserve">The obsolete variable, </w:t>
      </w:r>
      <w:r w:rsidRPr="00E74838">
        <w:rPr>
          <w:rFonts w:cs="Times New Roman"/>
          <w:sz w:val="24"/>
          <w:szCs w:val="24"/>
        </w:rPr>
        <w:t>Enrolled in Post-Secondary Education Program, was renamed as PIRL 1811 “Date Enrolled in Education or Training Program Leading to a Recognized Postsecondary Credential or Employment During the Program (WIOA)”; specifications for the Credential Attainment Rate will be edited to reflect this change in data element name.</w:t>
      </w:r>
      <w:r w:rsidRPr="00E74838">
        <w:rPr>
          <w:rFonts w:eastAsia="Arial" w:cs="Times New Roman"/>
          <w:sz w:val="24"/>
          <w:szCs w:val="24"/>
        </w:rPr>
        <w:t xml:space="preserve"> </w:t>
      </w:r>
      <w:r w:rsidR="00C708BA" w:rsidRPr="00E74838">
        <w:rPr>
          <w:rFonts w:eastAsia="Arial" w:cs="Times New Roman"/>
          <w:sz w:val="24"/>
          <w:szCs w:val="24"/>
        </w:rPr>
        <w:t xml:space="preserve"> </w:t>
      </w:r>
      <w:r w:rsidRPr="00E74838">
        <w:rPr>
          <w:rFonts w:eastAsia="Arial" w:cs="Times New Roman"/>
          <w:sz w:val="24"/>
          <w:szCs w:val="24"/>
        </w:rPr>
        <w:t>The Departments will provide f</w:t>
      </w:r>
      <w:r w:rsidRPr="00E74838">
        <w:rPr>
          <w:rFonts w:cs="Times New Roman"/>
          <w:sz w:val="24"/>
          <w:szCs w:val="24"/>
        </w:rPr>
        <w:t>uture guidance on how States can provide the date enrolled data element.  No</w:t>
      </w:r>
      <w:r w:rsidRPr="00E74838">
        <w:rPr>
          <w:rFonts w:eastAsia="Times New Roman" w:cs="Times New Roman"/>
          <w:sz w:val="24"/>
          <w:szCs w:val="24"/>
        </w:rPr>
        <w:t xml:space="preserve"> </w:t>
      </w:r>
      <w:r w:rsidR="009211CC">
        <w:rPr>
          <w:rFonts w:eastAsia="Times New Roman" w:cs="Times New Roman"/>
          <w:sz w:val="24"/>
          <w:szCs w:val="24"/>
        </w:rPr>
        <w:t xml:space="preserve">other </w:t>
      </w:r>
      <w:r w:rsidRPr="00E74838">
        <w:rPr>
          <w:rFonts w:eastAsia="Times New Roman" w:cs="Times New Roman"/>
          <w:sz w:val="24"/>
          <w:szCs w:val="24"/>
        </w:rPr>
        <w:t>changes have been made in response to these comments.</w:t>
      </w:r>
    </w:p>
    <w:p w14:paraId="36A520BD" w14:textId="17B4EAD2" w:rsidR="008F61D9" w:rsidRPr="00E74838" w:rsidRDefault="00B8387F" w:rsidP="0001000B">
      <w:pPr>
        <w:spacing w:after="0" w:line="240" w:lineRule="auto"/>
        <w:rPr>
          <w:rFonts w:cs="Times New Roman"/>
          <w:sz w:val="24"/>
          <w:szCs w:val="24"/>
        </w:rPr>
      </w:pPr>
      <w:r w:rsidRPr="00E74838">
        <w:rPr>
          <w:rFonts w:cs="Times New Roman"/>
          <w:b/>
          <w:sz w:val="24"/>
          <w:szCs w:val="24"/>
          <w:u w:val="single"/>
        </w:rPr>
        <w:lastRenderedPageBreak/>
        <w:t xml:space="preserve">Performance Indicator – Credential Attainment -- </w:t>
      </w:r>
      <w:r w:rsidR="008F61D9" w:rsidRPr="00E74838">
        <w:rPr>
          <w:rFonts w:cs="Times New Roman"/>
          <w:b/>
          <w:sz w:val="24"/>
          <w:szCs w:val="24"/>
          <w:u w:val="single"/>
        </w:rPr>
        <w:t>Inclusions/Exclusions</w:t>
      </w:r>
      <w:r w:rsidR="008F61D9" w:rsidRPr="00E74838">
        <w:rPr>
          <w:rFonts w:cs="Times New Roman"/>
          <w:sz w:val="24"/>
          <w:szCs w:val="24"/>
        </w:rPr>
        <w:t xml:space="preserve">: </w:t>
      </w:r>
    </w:p>
    <w:p w14:paraId="516C27AA" w14:textId="77777777" w:rsidR="004E2085" w:rsidRPr="00E74838" w:rsidRDefault="004E2085" w:rsidP="0001000B">
      <w:pPr>
        <w:spacing w:after="0" w:line="240" w:lineRule="auto"/>
        <w:rPr>
          <w:rFonts w:cs="Times New Roman"/>
          <w:sz w:val="24"/>
          <w:szCs w:val="24"/>
        </w:rPr>
      </w:pPr>
    </w:p>
    <w:p w14:paraId="77E5D351" w14:textId="25FEA365" w:rsidR="008F61D9" w:rsidRPr="00E74838" w:rsidRDefault="008F61D9" w:rsidP="0001000B">
      <w:pPr>
        <w:autoSpaceDE w:val="0"/>
        <w:autoSpaceDN w:val="0"/>
        <w:adjustRightInd w:val="0"/>
        <w:spacing w:after="0" w:line="240" w:lineRule="auto"/>
        <w:rPr>
          <w:rFonts w:cs="Times New Roman"/>
          <w:sz w:val="24"/>
          <w:szCs w:val="24"/>
        </w:rPr>
      </w:pPr>
      <w:r w:rsidRPr="00E74838">
        <w:rPr>
          <w:rFonts w:cs="Times New Roman"/>
          <w:sz w:val="24"/>
          <w:szCs w:val="24"/>
        </w:rPr>
        <w:t xml:space="preserve">Several commenters pointed to a lack of clarity about certain types of individuals who are not counted in the credential attainment rate indicator. </w:t>
      </w:r>
      <w:r w:rsidR="00C708BA" w:rsidRPr="00E74838">
        <w:rPr>
          <w:rFonts w:cs="Times New Roman"/>
          <w:sz w:val="24"/>
          <w:szCs w:val="24"/>
        </w:rPr>
        <w:t xml:space="preserve"> </w:t>
      </w:r>
      <w:r w:rsidRPr="00E74838">
        <w:rPr>
          <w:rFonts w:cs="Times New Roman"/>
          <w:sz w:val="24"/>
          <w:szCs w:val="24"/>
        </w:rPr>
        <w:t xml:space="preserve">Varied opinions were expressed about whether these groups should be included in credential attainment measures. </w:t>
      </w:r>
      <w:r w:rsidR="00C708BA" w:rsidRPr="00E74838">
        <w:rPr>
          <w:rFonts w:cs="Times New Roman"/>
          <w:sz w:val="24"/>
          <w:szCs w:val="24"/>
        </w:rPr>
        <w:t xml:space="preserve"> </w:t>
      </w:r>
      <w:r w:rsidRPr="00E74838">
        <w:rPr>
          <w:rFonts w:eastAsia="Arial" w:cs="Times New Roman"/>
          <w:sz w:val="24"/>
          <w:szCs w:val="24"/>
        </w:rPr>
        <w:t xml:space="preserve">A commenter expressed concern about including those Enrolled in Postsecondary Education at Date of Program Entry in the measure if the program or system did not fund the postsecondary education; they noted that counting a participant who had received services for only a brief time might not be appropriate. </w:t>
      </w:r>
      <w:r w:rsidR="00C708BA" w:rsidRPr="00E74838">
        <w:rPr>
          <w:rFonts w:eastAsia="Arial" w:cs="Times New Roman"/>
          <w:sz w:val="24"/>
          <w:szCs w:val="24"/>
        </w:rPr>
        <w:t xml:space="preserve"> </w:t>
      </w:r>
      <w:r w:rsidRPr="00E74838">
        <w:rPr>
          <w:rFonts w:eastAsia="Arial" w:cs="Times New Roman"/>
          <w:sz w:val="24"/>
          <w:szCs w:val="24"/>
        </w:rPr>
        <w:t>Commenters noted the following exclusions:</w:t>
      </w:r>
      <w:r w:rsidRPr="00E74838">
        <w:rPr>
          <w:rFonts w:cs="Times New Roman"/>
          <w:sz w:val="24"/>
          <w:szCs w:val="24"/>
        </w:rPr>
        <w:t xml:space="preserve"> individuals enrolled in On-The-Job and customized training programs that do not lead to a credential; </w:t>
      </w:r>
      <w:r w:rsidRPr="00E74838">
        <w:rPr>
          <w:rFonts w:eastAsia="Arial" w:cs="Times New Roman"/>
          <w:sz w:val="24"/>
          <w:szCs w:val="24"/>
        </w:rPr>
        <w:t xml:space="preserve">criminal offenders who exit a program upon obtaining work; and participants who score low levels of literacy (e.g., those with low levels of English proficiency) unless they are enrolled in programs that provide instruction at or above the ninth grade level. </w:t>
      </w:r>
      <w:r w:rsidR="00C708BA" w:rsidRPr="00E74838">
        <w:rPr>
          <w:rFonts w:eastAsia="Arial" w:cs="Times New Roman"/>
          <w:sz w:val="24"/>
          <w:szCs w:val="24"/>
        </w:rPr>
        <w:t xml:space="preserve"> </w:t>
      </w:r>
      <w:r w:rsidRPr="00E74838">
        <w:rPr>
          <w:rFonts w:cs="Times New Roman"/>
          <w:sz w:val="24"/>
          <w:szCs w:val="24"/>
        </w:rPr>
        <w:t xml:space="preserve">Two commenters stated strong support for measuring credential attainment among all exiters and indicated that the Departments’ decision to exclude certain participants creates an indicator that measures enrollee success rates rather than overall credential attainment achieved under WIOA. </w:t>
      </w:r>
      <w:r w:rsidR="00C708BA" w:rsidRPr="00E74838">
        <w:rPr>
          <w:rFonts w:cs="Times New Roman"/>
          <w:sz w:val="24"/>
          <w:szCs w:val="24"/>
        </w:rPr>
        <w:t xml:space="preserve"> </w:t>
      </w:r>
      <w:r w:rsidRPr="00E74838">
        <w:rPr>
          <w:rFonts w:cs="Times New Roman"/>
          <w:sz w:val="24"/>
          <w:szCs w:val="24"/>
        </w:rPr>
        <w:t xml:space="preserve">Additional comments described the policy as creating disincentives for programs to enroll individuals with barriers to employment because placing such individuals in training increases the risk of a lower credential attainment rate. </w:t>
      </w:r>
    </w:p>
    <w:p w14:paraId="46E8B067" w14:textId="77777777" w:rsidR="008F61D9" w:rsidRPr="00E74838" w:rsidRDefault="008F61D9" w:rsidP="0001000B">
      <w:pPr>
        <w:autoSpaceDE w:val="0"/>
        <w:autoSpaceDN w:val="0"/>
        <w:adjustRightInd w:val="0"/>
        <w:spacing w:after="0" w:line="240" w:lineRule="auto"/>
        <w:rPr>
          <w:rFonts w:cs="Times New Roman"/>
          <w:sz w:val="24"/>
          <w:szCs w:val="24"/>
        </w:rPr>
      </w:pPr>
    </w:p>
    <w:p w14:paraId="67C4417F" w14:textId="3344A669" w:rsidR="008F61D9" w:rsidRPr="00E74838" w:rsidRDefault="008F61D9" w:rsidP="0001000B">
      <w:pPr>
        <w:autoSpaceDE w:val="0"/>
        <w:autoSpaceDN w:val="0"/>
        <w:adjustRightInd w:val="0"/>
        <w:spacing w:after="0" w:line="240" w:lineRule="auto"/>
        <w:rPr>
          <w:rFonts w:eastAsia="Times New Roman"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t>
      </w:r>
      <w:r w:rsidR="00C95566" w:rsidRPr="00E74838">
        <w:rPr>
          <w:rFonts w:eastAsia="Arial" w:cs="Times New Roman"/>
          <w:sz w:val="24"/>
          <w:szCs w:val="24"/>
        </w:rPr>
        <w:t xml:space="preserve">The denominator of the credential </w:t>
      </w:r>
      <w:r w:rsidR="00BA3209" w:rsidRPr="00E74838">
        <w:rPr>
          <w:rFonts w:eastAsia="Arial" w:cs="Times New Roman"/>
          <w:sz w:val="24"/>
          <w:szCs w:val="24"/>
        </w:rPr>
        <w:t xml:space="preserve">attainment </w:t>
      </w:r>
      <w:r w:rsidR="00C95566" w:rsidRPr="00E74838">
        <w:rPr>
          <w:rFonts w:eastAsia="Arial" w:cs="Times New Roman"/>
          <w:sz w:val="24"/>
          <w:szCs w:val="24"/>
        </w:rPr>
        <w:t xml:space="preserve">rate indicator is defined as the number of </w:t>
      </w:r>
      <w:r w:rsidR="00BA3209" w:rsidRPr="00E74838">
        <w:rPr>
          <w:rFonts w:eastAsia="Arial" w:cs="Times New Roman"/>
          <w:sz w:val="24"/>
          <w:szCs w:val="24"/>
        </w:rPr>
        <w:t>participants</w:t>
      </w:r>
      <w:r w:rsidR="00C95566" w:rsidRPr="00E74838">
        <w:rPr>
          <w:rFonts w:eastAsia="Arial" w:cs="Times New Roman"/>
          <w:sz w:val="24"/>
          <w:szCs w:val="24"/>
        </w:rPr>
        <w:t xml:space="preserve"> who exited and were in a postsecondary education or training program during program participation PLUS the number of participants who exited and were in a secondary education program at or above the ninth grade level without a </w:t>
      </w:r>
      <w:r w:rsidR="00BA3209" w:rsidRPr="00E74838">
        <w:rPr>
          <w:rFonts w:eastAsia="Arial" w:cs="Times New Roman"/>
          <w:sz w:val="24"/>
          <w:szCs w:val="24"/>
        </w:rPr>
        <w:t>secondary</w:t>
      </w:r>
      <w:r w:rsidR="00C95566" w:rsidRPr="00E74838">
        <w:rPr>
          <w:rFonts w:eastAsia="Arial" w:cs="Times New Roman"/>
          <w:sz w:val="24"/>
          <w:szCs w:val="24"/>
        </w:rPr>
        <w:t xml:space="preserve"> school diploma.  </w:t>
      </w:r>
      <w:r w:rsidR="00BC7153" w:rsidRPr="00E74838">
        <w:rPr>
          <w:rFonts w:eastAsia="Arial" w:cs="Times New Roman"/>
          <w:sz w:val="24"/>
          <w:szCs w:val="24"/>
        </w:rPr>
        <w:t xml:space="preserve">The denominator is defined to </w:t>
      </w:r>
      <w:r w:rsidR="000011FF">
        <w:rPr>
          <w:rFonts w:eastAsia="Arial" w:cs="Times New Roman"/>
          <w:sz w:val="24"/>
          <w:szCs w:val="24"/>
        </w:rPr>
        <w:t>include</w:t>
      </w:r>
      <w:r w:rsidR="000011FF" w:rsidRPr="00E74838">
        <w:rPr>
          <w:rFonts w:eastAsia="Arial" w:cs="Times New Roman"/>
          <w:sz w:val="24"/>
          <w:szCs w:val="24"/>
        </w:rPr>
        <w:t xml:space="preserve"> </w:t>
      </w:r>
      <w:r w:rsidR="005B1F08" w:rsidRPr="00E74838">
        <w:rPr>
          <w:rFonts w:eastAsia="Arial" w:cs="Times New Roman"/>
          <w:sz w:val="24"/>
          <w:szCs w:val="24"/>
        </w:rPr>
        <w:t xml:space="preserve">whether </w:t>
      </w:r>
      <w:r w:rsidRPr="00E74838">
        <w:rPr>
          <w:rFonts w:eastAsia="Arial" w:cs="Times New Roman"/>
          <w:sz w:val="24"/>
          <w:szCs w:val="24"/>
        </w:rPr>
        <w:t xml:space="preserve">there is a reasonable expectation of attaining a credential or certificate from that </w:t>
      </w:r>
      <w:r w:rsidR="00BC7153" w:rsidRPr="00E74838">
        <w:rPr>
          <w:rFonts w:eastAsia="Arial" w:cs="Times New Roman"/>
          <w:sz w:val="24"/>
          <w:szCs w:val="24"/>
        </w:rPr>
        <w:t xml:space="preserve">education or </w:t>
      </w:r>
      <w:r w:rsidRPr="00E74838">
        <w:rPr>
          <w:rFonts w:eastAsia="Arial" w:cs="Times New Roman"/>
          <w:sz w:val="24"/>
          <w:szCs w:val="24"/>
        </w:rPr>
        <w:t>training, regardless of who is funding the education</w:t>
      </w:r>
      <w:r w:rsidR="002976D9" w:rsidRPr="00E74838">
        <w:rPr>
          <w:rFonts w:eastAsia="Arial" w:cs="Times New Roman"/>
          <w:sz w:val="24"/>
          <w:szCs w:val="24"/>
        </w:rPr>
        <w:t xml:space="preserve"> or training</w:t>
      </w:r>
      <w:r w:rsidRPr="00E74838">
        <w:rPr>
          <w:rFonts w:eastAsia="Times New Roman" w:cs="Times New Roman"/>
          <w:sz w:val="24"/>
          <w:szCs w:val="24"/>
        </w:rPr>
        <w:t xml:space="preserve">. </w:t>
      </w:r>
      <w:r w:rsidR="0023320E" w:rsidRPr="00E74838">
        <w:rPr>
          <w:rFonts w:eastAsia="Times New Roman" w:cs="Times New Roman"/>
          <w:sz w:val="24"/>
          <w:szCs w:val="24"/>
        </w:rPr>
        <w:t xml:space="preserve"> </w:t>
      </w:r>
      <w:r w:rsidRPr="00E74838">
        <w:rPr>
          <w:rFonts w:cs="Times New Roman"/>
          <w:sz w:val="24"/>
          <w:szCs w:val="24"/>
        </w:rPr>
        <w:t>Criminal offenders served under section 225 are not included in employment and earnings and credential attainment indicator calculations because they generally do not have reasonable access to programs through which they might attain a credential</w:t>
      </w:r>
      <w:r w:rsidRPr="00E74838">
        <w:rPr>
          <w:rFonts w:eastAsia="Times New Roman" w:cs="Times New Roman"/>
          <w:sz w:val="24"/>
          <w:szCs w:val="24"/>
        </w:rPr>
        <w:t>.</w:t>
      </w:r>
      <w:r w:rsidRPr="00E74838">
        <w:rPr>
          <w:rFonts w:eastAsia="Arial" w:cs="Times New Roman"/>
          <w:b/>
          <w:sz w:val="24"/>
          <w:szCs w:val="24"/>
        </w:rPr>
        <w:t xml:space="preserve">  </w:t>
      </w:r>
      <w:r w:rsidRPr="00E74838">
        <w:rPr>
          <w:rFonts w:eastAsia="Times New Roman" w:cs="Times New Roman"/>
          <w:bCs/>
          <w:sz w:val="24"/>
          <w:szCs w:val="24"/>
        </w:rPr>
        <w:t>Because most apprenticeship programs offer an industry-recognized credential upon program completion, apprenticeships would not be excluded from this indicator</w:t>
      </w:r>
      <w:r w:rsidRPr="00E74838">
        <w:rPr>
          <w:rFonts w:cs="Times New Roman"/>
          <w:sz w:val="24"/>
          <w:szCs w:val="24"/>
        </w:rPr>
        <w:t>.</w:t>
      </w:r>
      <w:r w:rsidR="00C708BA" w:rsidRPr="00E74838">
        <w:rPr>
          <w:rFonts w:cs="Times New Roman"/>
          <w:sz w:val="24"/>
          <w:szCs w:val="24"/>
        </w:rPr>
        <w:t xml:space="preserve"> </w:t>
      </w:r>
      <w:r w:rsidRPr="00E74838">
        <w:rPr>
          <w:rFonts w:cs="Times New Roman"/>
          <w:sz w:val="24"/>
          <w:szCs w:val="24"/>
        </w:rPr>
        <w:t xml:space="preserve"> In response to requests to include all participants who have exited in the credential attainment rate indicator calculations, </w:t>
      </w:r>
      <w:r w:rsidRPr="00E74838">
        <w:rPr>
          <w:rFonts w:eastAsia="Times New Roman" w:cs="Times New Roman"/>
          <w:bCs/>
          <w:sz w:val="24"/>
          <w:szCs w:val="24"/>
        </w:rPr>
        <w:t>the</w:t>
      </w:r>
      <w:r w:rsidRPr="00E74838">
        <w:rPr>
          <w:rFonts w:cs="Times New Roman"/>
          <w:sz w:val="24"/>
          <w:szCs w:val="24"/>
        </w:rPr>
        <w:t xml:space="preserve"> Departments believe this indicator should only measure those who reasonably have an opportunity to succeed, for instance, as a result of having ready access to programs offering credentials.  The Departments believe that including all participants who have exited would, in effect, create an “indicator of funding” and one that measures who can receive training or education.</w:t>
      </w:r>
      <w:r w:rsidRPr="00E74838">
        <w:rPr>
          <w:rFonts w:eastAsia="Times New Roman" w:cs="Times New Roman"/>
          <w:sz w:val="24"/>
          <w:szCs w:val="24"/>
        </w:rPr>
        <w:t xml:space="preserve">  No changes have been made in response to these comments.</w:t>
      </w:r>
    </w:p>
    <w:p w14:paraId="6F119C6C" w14:textId="77777777" w:rsidR="008F61D9" w:rsidRDefault="008F61D9" w:rsidP="0001000B">
      <w:pPr>
        <w:spacing w:after="0" w:line="240" w:lineRule="auto"/>
        <w:outlineLvl w:val="0"/>
        <w:rPr>
          <w:rFonts w:eastAsia="Arial" w:cs="Times New Roman"/>
          <w:b/>
          <w:sz w:val="24"/>
          <w:szCs w:val="24"/>
          <w:u w:val="single"/>
        </w:rPr>
      </w:pPr>
    </w:p>
    <w:p w14:paraId="2B8AC17C" w14:textId="12BBBBF6" w:rsidR="000C7D5B" w:rsidRPr="00C75CDF" w:rsidRDefault="000C7D5B" w:rsidP="0001000B">
      <w:pPr>
        <w:pStyle w:val="Default"/>
        <w:rPr>
          <w:rFonts w:asciiTheme="minorHAnsi" w:hAnsiTheme="minorHAnsi"/>
          <w:color w:val="auto"/>
        </w:rPr>
      </w:pPr>
      <w:r w:rsidRPr="00C75CDF">
        <w:rPr>
          <w:rFonts w:asciiTheme="minorHAnsi" w:hAnsiTheme="minorHAnsi"/>
          <w:color w:val="auto"/>
        </w:rPr>
        <w:t xml:space="preserve">One commenter was disappointed that the Departments chose to define credential attainment rate in a way that will provide disincentives for programs to place low-income or lower-skilled participants into education and training.  By deciding that the denominator of the credential attainment rate will include only those in education and training, programs will have no incentives to take a chance on individuals with barriers to employment because by placing such </w:t>
      </w:r>
      <w:r w:rsidRPr="00C75CDF">
        <w:rPr>
          <w:rFonts w:asciiTheme="minorHAnsi" w:hAnsiTheme="minorHAnsi"/>
          <w:color w:val="auto"/>
        </w:rPr>
        <w:lastRenderedPageBreak/>
        <w:t xml:space="preserve">individuals in training, the program may risk a lower attainment rate. In the face of this disincentive, programs will likely limit the number of participants they place in education and training to reduce this risk. </w:t>
      </w:r>
    </w:p>
    <w:p w14:paraId="052D855F" w14:textId="77777777" w:rsidR="000C7D5B" w:rsidRPr="00C75CDF" w:rsidRDefault="000C7D5B" w:rsidP="0001000B">
      <w:pPr>
        <w:pStyle w:val="Default"/>
        <w:rPr>
          <w:rFonts w:asciiTheme="minorHAnsi" w:hAnsiTheme="minorHAnsi"/>
          <w:color w:val="auto"/>
        </w:rPr>
      </w:pPr>
    </w:p>
    <w:p w14:paraId="3E624063" w14:textId="42A70C27" w:rsidR="000C7D5B" w:rsidRPr="00C75CDF" w:rsidRDefault="009211CC" w:rsidP="0001000B">
      <w:pPr>
        <w:spacing w:line="240" w:lineRule="auto"/>
        <w:rPr>
          <w:rFonts w:cs="Times New Roman"/>
          <w:sz w:val="24"/>
          <w:szCs w:val="24"/>
        </w:rPr>
      </w:pPr>
      <w:r>
        <w:rPr>
          <w:rFonts w:cs="Times New Roman"/>
          <w:sz w:val="24"/>
          <w:szCs w:val="24"/>
        </w:rPr>
        <w:t>The same commenter stated that t</w:t>
      </w:r>
      <w:r w:rsidR="000C7D5B" w:rsidRPr="00C75CDF">
        <w:rPr>
          <w:rFonts w:cs="Times New Roman"/>
          <w:sz w:val="24"/>
          <w:szCs w:val="24"/>
        </w:rPr>
        <w:t>he Departments’ response uses circular logic to support the decision to not use the statutory description of the credential attainment rate</w:t>
      </w:r>
      <w:r>
        <w:rPr>
          <w:rFonts w:cs="Times New Roman"/>
          <w:sz w:val="24"/>
          <w:szCs w:val="24"/>
        </w:rPr>
        <w:t>,</w:t>
      </w:r>
      <w:r w:rsidR="000C7D5B" w:rsidRPr="00C75CDF">
        <w:rPr>
          <w:rFonts w:cs="Times New Roman"/>
          <w:sz w:val="24"/>
          <w:szCs w:val="24"/>
        </w:rPr>
        <w:t xml:space="preserve"> </w:t>
      </w:r>
      <w:r>
        <w:rPr>
          <w:rFonts w:cs="Times New Roman"/>
          <w:sz w:val="24"/>
          <w:szCs w:val="24"/>
        </w:rPr>
        <w:t xml:space="preserve">referring to the Departments’ statement </w:t>
      </w:r>
      <w:r w:rsidR="000C7D5B" w:rsidRPr="00C75CDF">
        <w:rPr>
          <w:rFonts w:cs="Times New Roman"/>
          <w:sz w:val="24"/>
          <w:szCs w:val="24"/>
        </w:rPr>
        <w:t xml:space="preserve">that “the indicator focuses on participants who are enrolled in an education or training program, because the purpose of the indicator is to measure related to attainment of these credentials; therefore, it would not be reasonable to measure credential attainment against a universe that includes other individuals…” </w:t>
      </w:r>
      <w:r>
        <w:rPr>
          <w:rFonts w:cs="Times New Roman"/>
          <w:sz w:val="24"/>
          <w:szCs w:val="24"/>
        </w:rPr>
        <w:t xml:space="preserve">The commenter then asserted that </w:t>
      </w:r>
      <w:r w:rsidR="000C7D5B" w:rsidRPr="00C75CDF">
        <w:rPr>
          <w:rFonts w:cs="Times New Roman"/>
          <w:sz w:val="24"/>
          <w:szCs w:val="24"/>
        </w:rPr>
        <w:t>the clear intent of the statute is for the term “program participants” to refer to participants in a WIOA program (e.g., title I-b-adult, title II, title IV, etc.), not merely participants in the training component of a program.</w:t>
      </w:r>
    </w:p>
    <w:p w14:paraId="11AABBAC" w14:textId="6BB0DDC3" w:rsidR="008F61D9" w:rsidRPr="00E74838" w:rsidRDefault="008F61D9"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Pr="00E74838">
        <w:rPr>
          <w:rFonts w:cs="Times New Roman"/>
          <w:sz w:val="24"/>
          <w:szCs w:val="24"/>
        </w:rPr>
        <w:t xml:space="preserve"> </w:t>
      </w:r>
      <w:r w:rsidR="000011FF">
        <w:rPr>
          <w:rFonts w:cs="Times New Roman"/>
          <w:sz w:val="24"/>
          <w:szCs w:val="24"/>
        </w:rPr>
        <w:t>The Departments</w:t>
      </w:r>
      <w:r w:rsidR="000011FF" w:rsidRPr="00E74838">
        <w:rPr>
          <w:rFonts w:cs="Times New Roman"/>
          <w:sz w:val="24"/>
          <w:szCs w:val="24"/>
        </w:rPr>
        <w:t xml:space="preserve"> </w:t>
      </w:r>
      <w:r w:rsidRPr="00E74838">
        <w:rPr>
          <w:rFonts w:cs="Times New Roman"/>
          <w:sz w:val="24"/>
          <w:szCs w:val="24"/>
        </w:rPr>
        <w:t xml:space="preserve">disagree with the comment and believe the explanation provided clarifies the position.  It is discussed in the preamble to the rule. </w:t>
      </w:r>
      <w:r w:rsidR="0023320E" w:rsidRPr="00E74838">
        <w:rPr>
          <w:rFonts w:cs="Times New Roman"/>
          <w:sz w:val="24"/>
          <w:szCs w:val="24"/>
        </w:rPr>
        <w:t xml:space="preserve"> </w:t>
      </w:r>
      <w:r w:rsidRPr="00E74838">
        <w:rPr>
          <w:rFonts w:eastAsia="Times New Roman" w:cs="Times New Roman"/>
          <w:sz w:val="24"/>
          <w:szCs w:val="24"/>
        </w:rPr>
        <w:t>No change has been made in response to this comment.</w:t>
      </w:r>
    </w:p>
    <w:p w14:paraId="5DEE6044" w14:textId="77777777" w:rsidR="008F61D9" w:rsidRPr="00E74838" w:rsidRDefault="008F61D9" w:rsidP="0001000B">
      <w:pPr>
        <w:autoSpaceDE w:val="0"/>
        <w:autoSpaceDN w:val="0"/>
        <w:adjustRightInd w:val="0"/>
        <w:spacing w:after="0" w:line="240" w:lineRule="auto"/>
        <w:rPr>
          <w:rFonts w:eastAsia="Times New Roman" w:cs="Times New Roman"/>
          <w:sz w:val="24"/>
          <w:szCs w:val="24"/>
        </w:rPr>
      </w:pPr>
    </w:p>
    <w:p w14:paraId="1CF0060B" w14:textId="1F00E74B" w:rsidR="008F61D9" w:rsidRPr="00E74838" w:rsidRDefault="00B8387F" w:rsidP="0001000B">
      <w:pPr>
        <w:spacing w:after="0" w:line="240" w:lineRule="auto"/>
        <w:rPr>
          <w:rFonts w:cs="Times New Roman"/>
          <w:b/>
          <w:sz w:val="24"/>
          <w:szCs w:val="24"/>
        </w:rPr>
      </w:pPr>
      <w:r w:rsidRPr="00E74838">
        <w:rPr>
          <w:rFonts w:cs="Times New Roman"/>
          <w:b/>
          <w:sz w:val="24"/>
          <w:szCs w:val="24"/>
          <w:u w:val="single"/>
        </w:rPr>
        <w:t xml:space="preserve">Performance Indicator – Credential Attainment -- </w:t>
      </w:r>
      <w:r w:rsidR="008F61D9" w:rsidRPr="00E74838">
        <w:rPr>
          <w:rFonts w:cs="Times New Roman"/>
          <w:b/>
          <w:sz w:val="24"/>
          <w:szCs w:val="24"/>
          <w:u w:val="single"/>
        </w:rPr>
        <w:t>Requests for Guidance and Technical Assistance</w:t>
      </w:r>
      <w:r w:rsidR="008F61D9" w:rsidRPr="00E74838">
        <w:rPr>
          <w:rFonts w:cs="Times New Roman"/>
          <w:b/>
          <w:sz w:val="24"/>
          <w:szCs w:val="24"/>
        </w:rPr>
        <w:t>:</w:t>
      </w:r>
    </w:p>
    <w:p w14:paraId="253626B5" w14:textId="77777777" w:rsidR="002976D9" w:rsidRPr="00E74838" w:rsidRDefault="002976D9" w:rsidP="0001000B">
      <w:pPr>
        <w:spacing w:after="0" w:line="240" w:lineRule="auto"/>
        <w:rPr>
          <w:rFonts w:cs="Times New Roman"/>
          <w:b/>
          <w:sz w:val="24"/>
          <w:szCs w:val="24"/>
        </w:rPr>
      </w:pPr>
    </w:p>
    <w:p w14:paraId="3F2498B5" w14:textId="77777777" w:rsidR="008F61D9" w:rsidRPr="00E74838" w:rsidRDefault="008F61D9" w:rsidP="0001000B">
      <w:pPr>
        <w:spacing w:after="0" w:line="240" w:lineRule="auto"/>
        <w:rPr>
          <w:rFonts w:cs="Times New Roman"/>
          <w:sz w:val="24"/>
          <w:szCs w:val="24"/>
        </w:rPr>
      </w:pPr>
      <w:r w:rsidRPr="00E74838">
        <w:rPr>
          <w:rFonts w:cs="Times New Roman"/>
          <w:sz w:val="24"/>
          <w:szCs w:val="24"/>
        </w:rPr>
        <w:t>A commenter requested the code for a completed Apprentice in a trade without formal licensure.</w:t>
      </w:r>
    </w:p>
    <w:p w14:paraId="0E81A3FB" w14:textId="77777777" w:rsidR="002976D9" w:rsidRPr="00E74838" w:rsidRDefault="002976D9" w:rsidP="0001000B">
      <w:pPr>
        <w:spacing w:after="0" w:line="240" w:lineRule="auto"/>
        <w:rPr>
          <w:rFonts w:cs="Times New Roman"/>
          <w:sz w:val="24"/>
          <w:szCs w:val="24"/>
        </w:rPr>
      </w:pPr>
    </w:p>
    <w:p w14:paraId="7A0320E1" w14:textId="77777777" w:rsidR="008F61D9" w:rsidRPr="00E74838" w:rsidRDefault="008F61D9" w:rsidP="0001000B">
      <w:pPr>
        <w:spacing w:after="0" w:line="240" w:lineRule="auto"/>
        <w:rPr>
          <w:rFonts w:cs="Times New Roman"/>
          <w:sz w:val="24"/>
          <w:szCs w:val="24"/>
        </w:rPr>
      </w:pPr>
      <w:r w:rsidRPr="00E74838">
        <w:rPr>
          <w:rFonts w:eastAsia="Arial" w:cs="Times New Roman"/>
          <w:b/>
          <w:sz w:val="24"/>
          <w:szCs w:val="24"/>
        </w:rPr>
        <w:t xml:space="preserve">Agencies’ Response, June 2016: </w:t>
      </w:r>
      <w:r w:rsidRPr="00E74838">
        <w:rPr>
          <w:rFonts w:cs="Times New Roman"/>
          <w:sz w:val="24"/>
          <w:szCs w:val="24"/>
        </w:rPr>
        <w:t>This issue will be addressed in future guidance.</w:t>
      </w:r>
    </w:p>
    <w:p w14:paraId="7208648C" w14:textId="77777777" w:rsidR="00F17FFD" w:rsidRPr="00E74838" w:rsidRDefault="00F17FFD" w:rsidP="0001000B">
      <w:pPr>
        <w:spacing w:after="0" w:line="240" w:lineRule="auto"/>
        <w:outlineLvl w:val="0"/>
        <w:rPr>
          <w:rFonts w:eastAsia="Arial" w:cs="Times New Roman"/>
          <w:b/>
          <w:sz w:val="24"/>
          <w:szCs w:val="24"/>
        </w:rPr>
      </w:pPr>
    </w:p>
    <w:p w14:paraId="0BF488A4" w14:textId="7B3876F3" w:rsidR="00F17FFD" w:rsidRPr="00E74838" w:rsidRDefault="00F17FFD" w:rsidP="0001000B">
      <w:pPr>
        <w:spacing w:after="0" w:line="240" w:lineRule="auto"/>
        <w:rPr>
          <w:rFonts w:cs="Times New Roman"/>
          <w:b/>
          <w:sz w:val="24"/>
          <w:szCs w:val="24"/>
        </w:rPr>
      </w:pPr>
      <w:r w:rsidRPr="00E74838">
        <w:rPr>
          <w:rFonts w:cs="Times New Roman"/>
          <w:b/>
          <w:sz w:val="24"/>
          <w:szCs w:val="24"/>
          <w:u w:val="single"/>
        </w:rPr>
        <w:t>Performance Indicator – Measurable Skill Gain</w:t>
      </w:r>
      <w:r w:rsidR="002976D9" w:rsidRPr="00E74838">
        <w:rPr>
          <w:rFonts w:cs="Times New Roman"/>
          <w:b/>
          <w:sz w:val="24"/>
          <w:szCs w:val="24"/>
          <w:u w:val="single"/>
        </w:rPr>
        <w:t>s</w:t>
      </w:r>
      <w:r w:rsidR="000011FF">
        <w:rPr>
          <w:rFonts w:cs="Times New Roman"/>
          <w:b/>
          <w:sz w:val="24"/>
          <w:szCs w:val="24"/>
          <w:u w:val="single"/>
        </w:rPr>
        <w:t xml:space="preserve"> (MSG)</w:t>
      </w:r>
      <w:r w:rsidRPr="00E74838">
        <w:rPr>
          <w:rFonts w:cs="Times New Roman"/>
          <w:b/>
          <w:sz w:val="24"/>
          <w:szCs w:val="24"/>
          <w:u w:val="single"/>
        </w:rPr>
        <w:t xml:space="preserve"> </w:t>
      </w:r>
      <w:r w:rsidR="00EE740B" w:rsidRPr="00E74838">
        <w:rPr>
          <w:rFonts w:cs="Times New Roman"/>
          <w:b/>
          <w:sz w:val="24"/>
          <w:szCs w:val="24"/>
          <w:u w:val="single"/>
        </w:rPr>
        <w:t>–</w:t>
      </w:r>
      <w:r w:rsidRPr="00E74838">
        <w:rPr>
          <w:rFonts w:cs="Times New Roman"/>
          <w:b/>
          <w:sz w:val="24"/>
          <w:szCs w:val="24"/>
          <w:u w:val="single"/>
        </w:rPr>
        <w:t xml:space="preserve"> Inconsistencies</w:t>
      </w:r>
      <w:r w:rsidR="00EE740B" w:rsidRPr="00E74838">
        <w:rPr>
          <w:rFonts w:cs="Times New Roman"/>
          <w:b/>
          <w:sz w:val="24"/>
          <w:szCs w:val="24"/>
          <w:u w:val="single"/>
        </w:rPr>
        <w:t xml:space="preserve">/Questions about </w:t>
      </w:r>
      <w:r w:rsidRPr="00E74838">
        <w:rPr>
          <w:rFonts w:cs="Times New Roman"/>
          <w:b/>
          <w:sz w:val="24"/>
          <w:szCs w:val="24"/>
          <w:u w:val="single"/>
        </w:rPr>
        <w:t>Specifications/Codes</w:t>
      </w:r>
      <w:r w:rsidRPr="00E74838">
        <w:rPr>
          <w:rFonts w:cs="Times New Roman"/>
          <w:b/>
          <w:sz w:val="24"/>
          <w:szCs w:val="24"/>
        </w:rPr>
        <w:t>:</w:t>
      </w:r>
    </w:p>
    <w:p w14:paraId="4B36145B" w14:textId="77777777" w:rsidR="002976D9" w:rsidRPr="00E74838" w:rsidRDefault="002976D9" w:rsidP="0001000B">
      <w:pPr>
        <w:spacing w:after="0" w:line="240" w:lineRule="auto"/>
        <w:rPr>
          <w:rFonts w:cs="Times New Roman"/>
          <w:b/>
          <w:sz w:val="24"/>
          <w:szCs w:val="24"/>
          <w:u w:val="single"/>
        </w:rPr>
      </w:pPr>
    </w:p>
    <w:p w14:paraId="3F2AB499" w14:textId="181A5A8A" w:rsidR="00F17FFD" w:rsidRPr="00E74838" w:rsidRDefault="00F17FFD" w:rsidP="0001000B">
      <w:pPr>
        <w:spacing w:after="0" w:line="240" w:lineRule="auto"/>
        <w:rPr>
          <w:rFonts w:cs="Times New Roman"/>
          <w:sz w:val="24"/>
          <w:szCs w:val="24"/>
        </w:rPr>
      </w:pPr>
      <w:r w:rsidRPr="00E74838">
        <w:rPr>
          <w:rFonts w:cs="Times New Roman"/>
          <w:sz w:val="24"/>
          <w:szCs w:val="24"/>
        </w:rPr>
        <w:t xml:space="preserve">A few commenters sought clarification with respect to specifications, codes, and where to report completion of specific achievements. </w:t>
      </w:r>
      <w:r w:rsidR="00C708BA" w:rsidRPr="00E74838">
        <w:rPr>
          <w:rFonts w:cs="Times New Roman"/>
          <w:sz w:val="24"/>
          <w:szCs w:val="24"/>
        </w:rPr>
        <w:t xml:space="preserve"> </w:t>
      </w:r>
      <w:r w:rsidRPr="00E74838">
        <w:rPr>
          <w:rFonts w:cs="Times New Roman"/>
          <w:sz w:val="24"/>
          <w:szCs w:val="24"/>
        </w:rPr>
        <w:t xml:space="preserve">One commenter noted that references to the “Date of Most Recent Measurable Skill Gain: Performance” still appear in Appendixes B and C, although this variable is no longer allowable as a means of demonstrating a gain. </w:t>
      </w:r>
      <w:r w:rsidR="00C708BA" w:rsidRPr="00E74838">
        <w:rPr>
          <w:rFonts w:cs="Times New Roman"/>
          <w:sz w:val="24"/>
          <w:szCs w:val="24"/>
        </w:rPr>
        <w:t xml:space="preserve"> </w:t>
      </w:r>
      <w:r w:rsidRPr="00E74838">
        <w:rPr>
          <w:rFonts w:cs="Times New Roman"/>
          <w:sz w:val="24"/>
          <w:szCs w:val="24"/>
        </w:rPr>
        <w:t>Another commenter asked whether the response value for “</w:t>
      </w:r>
      <w:r w:rsidR="00BE5802">
        <w:rPr>
          <w:rFonts w:cs="Times New Roman"/>
          <w:sz w:val="24"/>
          <w:szCs w:val="24"/>
        </w:rPr>
        <w:t xml:space="preserve">Date </w:t>
      </w:r>
      <w:r w:rsidRPr="00E74838">
        <w:rPr>
          <w:rFonts w:cs="Times New Roman"/>
          <w:sz w:val="24"/>
          <w:szCs w:val="24"/>
        </w:rPr>
        <w:t>Enrolled in Education or Training Program Leading to a Recognized Postsecondary Credential or Employment” is a date. Two commenters pointed to a lack of clarity around where to report completion of academic Associate’s or Bachelor’s degrees.</w:t>
      </w:r>
    </w:p>
    <w:p w14:paraId="474622B1" w14:textId="77777777" w:rsidR="002976D9" w:rsidRPr="00E74838" w:rsidRDefault="002976D9" w:rsidP="0001000B">
      <w:pPr>
        <w:spacing w:after="0" w:line="240" w:lineRule="auto"/>
        <w:rPr>
          <w:rFonts w:eastAsiaTheme="minorEastAsia" w:cs="Times New Roman"/>
          <w:sz w:val="24"/>
          <w:szCs w:val="24"/>
          <w:lang w:eastAsia="ja-JP"/>
        </w:rPr>
      </w:pPr>
    </w:p>
    <w:p w14:paraId="645F3430" w14:textId="1B681212" w:rsidR="00F17FFD" w:rsidRPr="00E74838" w:rsidRDefault="00F17FFD" w:rsidP="0001000B">
      <w:pPr>
        <w:spacing w:after="0" w:line="240" w:lineRule="auto"/>
        <w:rPr>
          <w:rFonts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The report specifications have been revised. </w:t>
      </w:r>
      <w:r w:rsidR="00C708BA" w:rsidRPr="00E74838">
        <w:rPr>
          <w:rFonts w:eastAsia="Arial" w:cs="Times New Roman"/>
          <w:sz w:val="24"/>
          <w:szCs w:val="24"/>
        </w:rPr>
        <w:t xml:space="preserve"> </w:t>
      </w:r>
      <w:r w:rsidRPr="00E74838">
        <w:rPr>
          <w:rFonts w:eastAsia="Arial" w:cs="Times New Roman"/>
          <w:sz w:val="24"/>
          <w:szCs w:val="24"/>
        </w:rPr>
        <w:t>“Date of Most Recent Measurable Skill Gain: Performance” (Item #6) has been removed from specification #30 in the specifications tab of Appendix C; Appendix B has been removed from the final ICR. The</w:t>
      </w:r>
      <w:r w:rsidR="00BE5802">
        <w:rPr>
          <w:rFonts w:eastAsia="Arial" w:cs="Times New Roman"/>
          <w:sz w:val="24"/>
          <w:szCs w:val="24"/>
        </w:rPr>
        <w:t xml:space="preserve"> name of data element 1811 is “Date </w:t>
      </w:r>
      <w:r w:rsidRPr="00E74838">
        <w:rPr>
          <w:rFonts w:cs="Times New Roman"/>
          <w:sz w:val="24"/>
          <w:szCs w:val="24"/>
        </w:rPr>
        <w:t xml:space="preserve">Enrolled </w:t>
      </w:r>
      <w:proofErr w:type="gramStart"/>
      <w:r w:rsidR="00BE5802">
        <w:rPr>
          <w:rFonts w:cs="Times New Roman"/>
          <w:sz w:val="24"/>
          <w:szCs w:val="24"/>
        </w:rPr>
        <w:t>During</w:t>
      </w:r>
      <w:proofErr w:type="gramEnd"/>
      <w:r w:rsidR="00BE5802">
        <w:rPr>
          <w:rFonts w:cs="Times New Roman"/>
          <w:sz w:val="24"/>
          <w:szCs w:val="24"/>
        </w:rPr>
        <w:t xml:space="preserve"> Program Participation </w:t>
      </w:r>
      <w:r w:rsidRPr="00E74838">
        <w:rPr>
          <w:rFonts w:cs="Times New Roman"/>
          <w:sz w:val="24"/>
          <w:szCs w:val="24"/>
        </w:rPr>
        <w:t xml:space="preserve">in </w:t>
      </w:r>
      <w:r w:rsidR="00BE5802">
        <w:rPr>
          <w:rFonts w:cs="Times New Roman"/>
          <w:sz w:val="24"/>
          <w:szCs w:val="24"/>
        </w:rPr>
        <w:t xml:space="preserve">an </w:t>
      </w:r>
      <w:r w:rsidRPr="00E74838">
        <w:rPr>
          <w:rFonts w:cs="Times New Roman"/>
          <w:sz w:val="24"/>
          <w:szCs w:val="24"/>
        </w:rPr>
        <w:t xml:space="preserve">Education or Training Program Leading to a Recognized Postsecondary Credential or Employment.” </w:t>
      </w:r>
      <w:r w:rsidR="00BE5802">
        <w:rPr>
          <w:rFonts w:cs="Times New Roman"/>
          <w:sz w:val="24"/>
          <w:szCs w:val="24"/>
        </w:rPr>
        <w:t xml:space="preserve">It is a </w:t>
      </w:r>
      <w:r w:rsidR="00BE5802">
        <w:rPr>
          <w:rFonts w:cs="Times New Roman"/>
          <w:sz w:val="24"/>
          <w:szCs w:val="24"/>
        </w:rPr>
        <w:lastRenderedPageBreak/>
        <w:t>date field with Data Type/Field Length</w:t>
      </w:r>
      <w:r w:rsidR="00622A65">
        <w:rPr>
          <w:rFonts w:cs="Times New Roman"/>
          <w:sz w:val="24"/>
          <w:szCs w:val="24"/>
        </w:rPr>
        <w:t xml:space="preserve"> “DT8</w:t>
      </w:r>
      <w:proofErr w:type="gramStart"/>
      <w:r w:rsidR="00BE5802">
        <w:rPr>
          <w:rFonts w:cs="Times New Roman"/>
          <w:sz w:val="24"/>
          <w:szCs w:val="24"/>
        </w:rPr>
        <w:t>“</w:t>
      </w:r>
      <w:r w:rsidR="00622A65">
        <w:rPr>
          <w:rFonts w:cs="Times New Roman"/>
          <w:sz w:val="24"/>
          <w:szCs w:val="24"/>
        </w:rPr>
        <w:t xml:space="preserve"> </w:t>
      </w:r>
      <w:r w:rsidR="00BE5802">
        <w:rPr>
          <w:rFonts w:cs="Times New Roman"/>
          <w:sz w:val="24"/>
          <w:szCs w:val="24"/>
        </w:rPr>
        <w:t>and</w:t>
      </w:r>
      <w:proofErr w:type="gramEnd"/>
      <w:r w:rsidR="00BE5802">
        <w:rPr>
          <w:rFonts w:cs="Times New Roman"/>
          <w:sz w:val="24"/>
          <w:szCs w:val="24"/>
        </w:rPr>
        <w:t xml:space="preserve"> Code Value “YYYYMMDD”.  </w:t>
      </w:r>
      <w:r w:rsidR="00622A65">
        <w:rPr>
          <w:rFonts w:cs="Times New Roman"/>
          <w:sz w:val="24"/>
          <w:szCs w:val="24"/>
        </w:rPr>
        <w:t>Associate and Bachelor degrees would be recorded in data element 1800, “Type of Recognized Credential”.</w:t>
      </w:r>
    </w:p>
    <w:p w14:paraId="34CE4935" w14:textId="77777777" w:rsidR="000C62DD" w:rsidRPr="00E74838" w:rsidRDefault="000C62DD" w:rsidP="0001000B">
      <w:pPr>
        <w:spacing w:after="0" w:line="240" w:lineRule="auto"/>
        <w:rPr>
          <w:rFonts w:cs="Times New Roman"/>
          <w:sz w:val="24"/>
          <w:szCs w:val="24"/>
        </w:rPr>
      </w:pPr>
    </w:p>
    <w:p w14:paraId="3361F0C7" w14:textId="56E2B3F1" w:rsidR="00F17FFD" w:rsidRPr="00E74838" w:rsidRDefault="00F17FFD" w:rsidP="0001000B">
      <w:pPr>
        <w:spacing w:after="0" w:line="240" w:lineRule="auto"/>
        <w:rPr>
          <w:rFonts w:cs="Times New Roman"/>
          <w:b/>
          <w:sz w:val="24"/>
          <w:szCs w:val="24"/>
          <w:u w:val="single"/>
        </w:rPr>
      </w:pPr>
      <w:r w:rsidRPr="00E74838">
        <w:rPr>
          <w:rFonts w:cs="Times New Roman"/>
          <w:b/>
          <w:sz w:val="24"/>
          <w:szCs w:val="24"/>
          <w:u w:val="single"/>
        </w:rPr>
        <w:t>Performance Indicator – Measurable Skill Gain</w:t>
      </w:r>
      <w:r w:rsidR="002976D9" w:rsidRPr="00E74838">
        <w:rPr>
          <w:rFonts w:cs="Times New Roman"/>
          <w:b/>
          <w:sz w:val="24"/>
          <w:szCs w:val="24"/>
          <w:u w:val="single"/>
        </w:rPr>
        <w:t>s</w:t>
      </w:r>
      <w:r w:rsidRPr="00E74838">
        <w:rPr>
          <w:rFonts w:cs="Times New Roman"/>
          <w:b/>
          <w:sz w:val="24"/>
          <w:szCs w:val="24"/>
          <w:u w:val="single"/>
        </w:rPr>
        <w:t xml:space="preserve"> -- Comparability of Training Gain Measures</w:t>
      </w:r>
      <w:r w:rsidRPr="00E74838">
        <w:rPr>
          <w:rFonts w:cs="Times New Roman"/>
          <w:b/>
          <w:sz w:val="24"/>
          <w:szCs w:val="24"/>
        </w:rPr>
        <w:t>:</w:t>
      </w:r>
    </w:p>
    <w:p w14:paraId="11543D02" w14:textId="77777777" w:rsidR="002976D9" w:rsidRPr="00E74838" w:rsidRDefault="002976D9" w:rsidP="0001000B">
      <w:pPr>
        <w:spacing w:after="0" w:line="240" w:lineRule="auto"/>
        <w:rPr>
          <w:rFonts w:cs="Times New Roman"/>
          <w:b/>
          <w:sz w:val="24"/>
          <w:szCs w:val="24"/>
          <w:u w:val="single"/>
        </w:rPr>
      </w:pPr>
    </w:p>
    <w:p w14:paraId="4F5EC5E1" w14:textId="613F1E29" w:rsidR="00F17FFD" w:rsidRPr="00E74838" w:rsidRDefault="00F17FFD" w:rsidP="0001000B">
      <w:pPr>
        <w:spacing w:after="0" w:line="240" w:lineRule="auto"/>
        <w:rPr>
          <w:rFonts w:eastAsiaTheme="minorEastAsia" w:cs="Times New Roman"/>
          <w:sz w:val="24"/>
          <w:szCs w:val="24"/>
          <w:lang w:eastAsia="ja-JP"/>
        </w:rPr>
      </w:pPr>
      <w:r w:rsidRPr="00E74838">
        <w:rPr>
          <w:rFonts w:cs="Times New Roman"/>
          <w:sz w:val="24"/>
          <w:szCs w:val="24"/>
        </w:rPr>
        <w:t xml:space="preserve">Another commenter pointed to a lack of comparability among training gain measures, noting that a high level of variance among additional reporting elements under </w:t>
      </w:r>
      <w:r w:rsidR="000011FF">
        <w:rPr>
          <w:rFonts w:cs="Times New Roman"/>
          <w:sz w:val="24"/>
          <w:szCs w:val="24"/>
        </w:rPr>
        <w:t xml:space="preserve">the MSG indicator </w:t>
      </w:r>
      <w:r w:rsidRPr="00E74838">
        <w:rPr>
          <w:rFonts w:cs="Times New Roman"/>
          <w:sz w:val="24"/>
          <w:szCs w:val="24"/>
        </w:rPr>
        <w:t xml:space="preserve">reduces the usefulness of the combined attainment rate. </w:t>
      </w:r>
    </w:p>
    <w:p w14:paraId="030E29E4" w14:textId="77777777" w:rsidR="00C708BA" w:rsidRPr="00E74838" w:rsidRDefault="00C708BA" w:rsidP="0001000B">
      <w:pPr>
        <w:spacing w:after="0" w:line="240" w:lineRule="auto"/>
        <w:rPr>
          <w:rFonts w:eastAsiaTheme="minorEastAsia" w:cs="Times New Roman"/>
          <w:sz w:val="24"/>
          <w:szCs w:val="24"/>
          <w:lang w:eastAsia="ja-JP"/>
        </w:rPr>
      </w:pPr>
    </w:p>
    <w:p w14:paraId="01DA1C70" w14:textId="7FAB18E5" w:rsidR="00F17FFD" w:rsidRPr="00E74838" w:rsidRDefault="00F17FFD"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Pr="00E74838">
        <w:rPr>
          <w:rFonts w:cs="Times New Roman"/>
          <w:sz w:val="24"/>
          <w:szCs w:val="24"/>
        </w:rPr>
        <w:t xml:space="preserve">The design of this report is to provide a break-out of each type of gain within the indicator. </w:t>
      </w:r>
      <w:r w:rsidR="00C708BA" w:rsidRPr="00E74838">
        <w:rPr>
          <w:rFonts w:cs="Times New Roman"/>
          <w:sz w:val="24"/>
          <w:szCs w:val="24"/>
        </w:rPr>
        <w:t xml:space="preserve"> </w:t>
      </w:r>
      <w:r w:rsidRPr="00E74838">
        <w:rPr>
          <w:rFonts w:cs="Times New Roman"/>
          <w:sz w:val="24"/>
          <w:szCs w:val="24"/>
        </w:rPr>
        <w:t xml:space="preserve">The sum of each type of gain will show the sum of the total gains in a given area, but the performance accountability of this indicator looks at the number of participants who achieved a gain. </w:t>
      </w:r>
      <w:r w:rsidRPr="00E74838">
        <w:rPr>
          <w:rFonts w:eastAsia="Times New Roman" w:cs="Times New Roman"/>
          <w:sz w:val="24"/>
          <w:szCs w:val="24"/>
        </w:rPr>
        <w:t xml:space="preserve"> No change has been made in response to this comment.</w:t>
      </w:r>
    </w:p>
    <w:p w14:paraId="16095914" w14:textId="77777777" w:rsidR="00C708BA" w:rsidRPr="00E74838" w:rsidRDefault="00C708BA" w:rsidP="0001000B">
      <w:pPr>
        <w:spacing w:after="0" w:line="240" w:lineRule="auto"/>
        <w:outlineLvl w:val="0"/>
        <w:rPr>
          <w:rFonts w:eastAsia="Arial" w:cs="Times New Roman"/>
          <w:sz w:val="24"/>
          <w:szCs w:val="24"/>
        </w:rPr>
      </w:pPr>
    </w:p>
    <w:p w14:paraId="2781A40B" w14:textId="521E1253" w:rsidR="00F17FFD" w:rsidRPr="00E74838" w:rsidRDefault="00F17FFD" w:rsidP="0001000B">
      <w:pPr>
        <w:spacing w:after="0" w:line="240" w:lineRule="auto"/>
        <w:rPr>
          <w:rFonts w:cs="Times New Roman"/>
          <w:b/>
          <w:sz w:val="24"/>
          <w:szCs w:val="24"/>
          <w:u w:val="single"/>
        </w:rPr>
      </w:pPr>
      <w:r w:rsidRPr="00E74838">
        <w:rPr>
          <w:rFonts w:cs="Times New Roman"/>
          <w:b/>
          <w:sz w:val="24"/>
          <w:szCs w:val="24"/>
          <w:u w:val="single"/>
        </w:rPr>
        <w:t>Performance Indicator – Measurable Skill Gain</w:t>
      </w:r>
      <w:r w:rsidR="002976D9" w:rsidRPr="00E74838">
        <w:rPr>
          <w:rFonts w:cs="Times New Roman"/>
          <w:b/>
          <w:sz w:val="24"/>
          <w:szCs w:val="24"/>
          <w:u w:val="single"/>
        </w:rPr>
        <w:t>s</w:t>
      </w:r>
      <w:r w:rsidRPr="00E74838">
        <w:rPr>
          <w:rFonts w:cs="Times New Roman"/>
          <w:b/>
          <w:sz w:val="24"/>
          <w:szCs w:val="24"/>
          <w:u w:val="single"/>
        </w:rPr>
        <w:t xml:space="preserve"> -- Inclusion/Exclusion:</w:t>
      </w:r>
    </w:p>
    <w:p w14:paraId="7CF71FF2" w14:textId="77777777" w:rsidR="002976D9" w:rsidRPr="00E74838" w:rsidRDefault="002976D9" w:rsidP="0001000B">
      <w:pPr>
        <w:spacing w:after="0" w:line="240" w:lineRule="auto"/>
        <w:rPr>
          <w:rFonts w:cs="Times New Roman"/>
          <w:b/>
          <w:sz w:val="24"/>
          <w:szCs w:val="24"/>
          <w:u w:val="single"/>
        </w:rPr>
      </w:pPr>
    </w:p>
    <w:p w14:paraId="337F0C0C" w14:textId="4D74E69B" w:rsidR="00F17FFD" w:rsidRPr="00E74838" w:rsidRDefault="00F17FFD" w:rsidP="0001000B">
      <w:pPr>
        <w:spacing w:after="0" w:line="240" w:lineRule="auto"/>
        <w:rPr>
          <w:rFonts w:eastAsiaTheme="minorEastAsia" w:cs="Times New Roman"/>
          <w:sz w:val="24"/>
          <w:szCs w:val="24"/>
          <w:lang w:eastAsia="ja-JP"/>
        </w:rPr>
      </w:pPr>
      <w:r w:rsidRPr="00E74838">
        <w:rPr>
          <w:rFonts w:cs="Times New Roman"/>
          <w:sz w:val="24"/>
          <w:szCs w:val="24"/>
        </w:rPr>
        <w:t xml:space="preserve">Several commenters expressed concerns about the impact of including or excluding participants from the </w:t>
      </w:r>
      <w:r w:rsidR="000011FF">
        <w:rPr>
          <w:rFonts w:cs="Times New Roman"/>
          <w:sz w:val="24"/>
          <w:szCs w:val="24"/>
        </w:rPr>
        <w:t>MSG</w:t>
      </w:r>
      <w:r w:rsidRPr="00E74838">
        <w:rPr>
          <w:rFonts w:cs="Times New Roman"/>
          <w:sz w:val="24"/>
          <w:szCs w:val="24"/>
        </w:rPr>
        <w:t xml:space="preserve"> indicator. </w:t>
      </w:r>
      <w:r w:rsidR="00C708BA" w:rsidRPr="00E74838">
        <w:rPr>
          <w:rFonts w:cs="Times New Roman"/>
          <w:sz w:val="24"/>
          <w:szCs w:val="24"/>
        </w:rPr>
        <w:t xml:space="preserve"> </w:t>
      </w:r>
      <w:r w:rsidRPr="00E74838">
        <w:rPr>
          <w:rFonts w:cs="Times New Roman"/>
          <w:sz w:val="24"/>
          <w:szCs w:val="24"/>
        </w:rPr>
        <w:t xml:space="preserve">One commenter remarked that persons who had completed training but were still receiving program services are excluded from the MSG numerator. </w:t>
      </w:r>
      <w:r w:rsidR="00C708BA" w:rsidRPr="00E74838">
        <w:rPr>
          <w:rFonts w:cs="Times New Roman"/>
          <w:sz w:val="24"/>
          <w:szCs w:val="24"/>
        </w:rPr>
        <w:t xml:space="preserve"> </w:t>
      </w:r>
      <w:r w:rsidRPr="00E74838">
        <w:rPr>
          <w:rFonts w:cs="Times New Roman"/>
          <w:sz w:val="24"/>
          <w:szCs w:val="24"/>
        </w:rPr>
        <w:t xml:space="preserve">Another commenter recommended excluding persons whose time in a training program had been too short to show a measurable gain within a program year. </w:t>
      </w:r>
      <w:r w:rsidR="00C708BA" w:rsidRPr="00E74838">
        <w:rPr>
          <w:rFonts w:cs="Times New Roman"/>
          <w:sz w:val="24"/>
          <w:szCs w:val="24"/>
        </w:rPr>
        <w:t xml:space="preserve"> </w:t>
      </w:r>
      <w:r w:rsidRPr="00E74838">
        <w:rPr>
          <w:rFonts w:eastAsia="Times New Roman" w:cs="Times New Roman"/>
          <w:sz w:val="24"/>
          <w:szCs w:val="24"/>
        </w:rPr>
        <w:t xml:space="preserve">A commenter pointed out that </w:t>
      </w:r>
      <w:r w:rsidR="000011FF">
        <w:rPr>
          <w:rFonts w:eastAsia="Times New Roman" w:cs="Times New Roman"/>
          <w:sz w:val="24"/>
          <w:szCs w:val="24"/>
        </w:rPr>
        <w:t xml:space="preserve">the </w:t>
      </w:r>
      <w:r w:rsidRPr="00E74838">
        <w:rPr>
          <w:rFonts w:eastAsia="Times New Roman" w:cs="Times New Roman"/>
          <w:sz w:val="24"/>
          <w:szCs w:val="24"/>
        </w:rPr>
        <w:t xml:space="preserve">MSG </w:t>
      </w:r>
      <w:r w:rsidR="000011FF">
        <w:rPr>
          <w:rFonts w:eastAsia="Times New Roman" w:cs="Times New Roman"/>
          <w:sz w:val="24"/>
          <w:szCs w:val="24"/>
        </w:rPr>
        <w:t xml:space="preserve">indicator </w:t>
      </w:r>
      <w:r w:rsidRPr="00E74838">
        <w:rPr>
          <w:rFonts w:eastAsia="Times New Roman" w:cs="Times New Roman"/>
          <w:sz w:val="24"/>
          <w:szCs w:val="24"/>
        </w:rPr>
        <w:t xml:space="preserve">appears to exclude Vocational Rehabilitation services that contribute to participant success as well as summer youth, entrepreneurial, and pre-apprenticeship training, and another noted that some individualized enhancement paths (e.g., a combination of academic and technical courses and training) would not be recognized as a measurable skill gain.  </w:t>
      </w:r>
    </w:p>
    <w:p w14:paraId="432DFDD0" w14:textId="77777777" w:rsidR="00C708BA" w:rsidRPr="00E74838" w:rsidRDefault="00C708BA" w:rsidP="0001000B">
      <w:pPr>
        <w:spacing w:after="0" w:line="240" w:lineRule="auto"/>
        <w:rPr>
          <w:rFonts w:eastAsiaTheme="minorEastAsia" w:cs="Times New Roman"/>
          <w:sz w:val="24"/>
          <w:szCs w:val="24"/>
          <w:lang w:eastAsia="ja-JP"/>
        </w:rPr>
      </w:pPr>
    </w:p>
    <w:p w14:paraId="2BFDEEDE" w14:textId="6084D45C" w:rsidR="00F17FFD" w:rsidRPr="00E74838" w:rsidRDefault="00F17FFD" w:rsidP="0001000B">
      <w:pPr>
        <w:autoSpaceDE w:val="0"/>
        <w:autoSpaceDN w:val="0"/>
        <w:adjustRightInd w:val="0"/>
        <w:spacing w:after="0" w:line="240" w:lineRule="auto"/>
        <w:rPr>
          <w:rFonts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With multiple ways to succeed in this indicator, the participant does not need to be enrolled in training to be included in the numerator of this indicator. </w:t>
      </w:r>
      <w:r w:rsidR="00C708BA" w:rsidRPr="00E74838">
        <w:rPr>
          <w:rFonts w:eastAsia="Arial" w:cs="Times New Roman"/>
          <w:sz w:val="24"/>
          <w:szCs w:val="24"/>
        </w:rPr>
        <w:t xml:space="preserve"> </w:t>
      </w:r>
      <w:r w:rsidRPr="00E74838">
        <w:rPr>
          <w:rFonts w:cs="Times New Roman"/>
          <w:sz w:val="24"/>
          <w:szCs w:val="24"/>
        </w:rPr>
        <w:t>The Departments have determined that the specific mention of “during a program year” in the statute means this indicator is measured within a given program year, regardless of the time spent in the program.</w:t>
      </w:r>
      <w:r w:rsidRPr="00E74838">
        <w:rPr>
          <w:rFonts w:eastAsia="Times New Roman" w:cs="Times New Roman"/>
          <w:sz w:val="24"/>
          <w:szCs w:val="24"/>
        </w:rPr>
        <w:t xml:space="preserve"> </w:t>
      </w:r>
      <w:r w:rsidR="00C708BA" w:rsidRPr="00E74838">
        <w:rPr>
          <w:rFonts w:eastAsia="Times New Roman" w:cs="Times New Roman"/>
          <w:sz w:val="24"/>
          <w:szCs w:val="24"/>
        </w:rPr>
        <w:t xml:space="preserve"> </w:t>
      </w:r>
      <w:r w:rsidRPr="00E74838">
        <w:rPr>
          <w:rFonts w:cs="Times New Roman"/>
          <w:sz w:val="24"/>
          <w:szCs w:val="24"/>
        </w:rPr>
        <w:t xml:space="preserve">Regarding apparent exclusions from </w:t>
      </w:r>
      <w:r w:rsidR="000011FF">
        <w:rPr>
          <w:rFonts w:cs="Times New Roman"/>
          <w:sz w:val="24"/>
          <w:szCs w:val="24"/>
        </w:rPr>
        <w:t xml:space="preserve">the </w:t>
      </w:r>
      <w:r w:rsidRPr="00E74838">
        <w:rPr>
          <w:rFonts w:cs="Times New Roman"/>
          <w:sz w:val="24"/>
          <w:szCs w:val="24"/>
        </w:rPr>
        <w:t>MSG</w:t>
      </w:r>
      <w:r w:rsidR="000011FF">
        <w:rPr>
          <w:rFonts w:cs="Times New Roman"/>
          <w:sz w:val="24"/>
          <w:szCs w:val="24"/>
        </w:rPr>
        <w:t xml:space="preserve"> indicator</w:t>
      </w:r>
      <w:r w:rsidRPr="00E74838">
        <w:rPr>
          <w:rFonts w:cs="Times New Roman"/>
          <w:sz w:val="24"/>
          <w:szCs w:val="24"/>
        </w:rPr>
        <w:t>, the Departments will release subsequent guidance on all six core indicators, providing a more detailed explanation for each.  No changes have been made in response to these comments.</w:t>
      </w:r>
    </w:p>
    <w:p w14:paraId="31D65554" w14:textId="77777777" w:rsidR="00C708BA" w:rsidRPr="00E74838" w:rsidRDefault="00C708BA" w:rsidP="0001000B">
      <w:pPr>
        <w:autoSpaceDE w:val="0"/>
        <w:autoSpaceDN w:val="0"/>
        <w:adjustRightInd w:val="0"/>
        <w:spacing w:after="0" w:line="240" w:lineRule="auto"/>
        <w:rPr>
          <w:rFonts w:cs="Times New Roman"/>
          <w:b/>
          <w:sz w:val="24"/>
          <w:szCs w:val="24"/>
        </w:rPr>
      </w:pPr>
    </w:p>
    <w:p w14:paraId="47C19191" w14:textId="66B1C89A" w:rsidR="00F17FFD" w:rsidRPr="00E74838" w:rsidRDefault="00F17FFD" w:rsidP="0001000B">
      <w:pPr>
        <w:spacing w:after="0" w:line="240" w:lineRule="auto"/>
        <w:rPr>
          <w:rFonts w:cs="Times New Roman"/>
          <w:b/>
          <w:sz w:val="24"/>
          <w:szCs w:val="24"/>
          <w:u w:val="single"/>
        </w:rPr>
      </w:pPr>
      <w:r w:rsidRPr="00E74838">
        <w:rPr>
          <w:rFonts w:cs="Times New Roman"/>
          <w:b/>
          <w:sz w:val="24"/>
          <w:szCs w:val="24"/>
          <w:u w:val="single"/>
        </w:rPr>
        <w:t>Performance Indicator – Measurable Skill Gain</w:t>
      </w:r>
      <w:r w:rsidR="00A83F06" w:rsidRPr="00E74838">
        <w:rPr>
          <w:rFonts w:cs="Times New Roman"/>
          <w:b/>
          <w:sz w:val="24"/>
          <w:szCs w:val="24"/>
          <w:u w:val="single"/>
        </w:rPr>
        <w:t>s</w:t>
      </w:r>
      <w:r w:rsidRPr="00E74838">
        <w:rPr>
          <w:rFonts w:cs="Times New Roman"/>
          <w:b/>
          <w:sz w:val="24"/>
          <w:szCs w:val="24"/>
          <w:u w:val="single"/>
        </w:rPr>
        <w:t xml:space="preserve"> -- Requests for Guidance and Technical Assistance</w:t>
      </w:r>
      <w:r w:rsidRPr="00E74838">
        <w:rPr>
          <w:rFonts w:cs="Times New Roman"/>
          <w:b/>
          <w:sz w:val="24"/>
          <w:szCs w:val="24"/>
        </w:rPr>
        <w:t>:</w:t>
      </w:r>
    </w:p>
    <w:p w14:paraId="76FDFA42" w14:textId="77777777" w:rsidR="00A83F06" w:rsidRPr="00E74838" w:rsidRDefault="00A83F06" w:rsidP="0001000B">
      <w:pPr>
        <w:spacing w:after="0" w:line="240" w:lineRule="auto"/>
        <w:rPr>
          <w:rFonts w:cs="Times New Roman"/>
          <w:b/>
          <w:sz w:val="24"/>
          <w:szCs w:val="24"/>
          <w:u w:val="single"/>
        </w:rPr>
      </w:pPr>
    </w:p>
    <w:p w14:paraId="67FA3620" w14:textId="18BFAEBD" w:rsidR="00F17FFD" w:rsidRPr="00E74838" w:rsidRDefault="00F17FFD" w:rsidP="0001000B">
      <w:pPr>
        <w:spacing w:after="0" w:line="240" w:lineRule="auto"/>
        <w:rPr>
          <w:rFonts w:eastAsiaTheme="minorEastAsia" w:cs="Times New Roman"/>
          <w:sz w:val="24"/>
          <w:szCs w:val="24"/>
          <w:lang w:eastAsia="ja-JP"/>
        </w:rPr>
      </w:pPr>
      <w:r w:rsidRPr="00E74838">
        <w:rPr>
          <w:rFonts w:cs="Times New Roman"/>
          <w:sz w:val="24"/>
          <w:szCs w:val="24"/>
        </w:rPr>
        <w:t xml:space="preserve">Several commenters requested clarification, guidance, and technical assistance. </w:t>
      </w:r>
      <w:r w:rsidR="00531353" w:rsidRPr="00E74838">
        <w:rPr>
          <w:rFonts w:cs="Times New Roman"/>
          <w:sz w:val="24"/>
          <w:szCs w:val="24"/>
        </w:rPr>
        <w:t xml:space="preserve"> </w:t>
      </w:r>
      <w:r w:rsidRPr="00E74838">
        <w:rPr>
          <w:rFonts w:cs="Times New Roman"/>
          <w:sz w:val="24"/>
          <w:szCs w:val="24"/>
        </w:rPr>
        <w:t xml:space="preserve">Several commenters stated that title II programs should be allowed to use all five types of MSG available to WIOA core programs instead of limiting these programs to achievement of one or more educational functioning level (EFL) gains. </w:t>
      </w:r>
      <w:r w:rsidR="00531353" w:rsidRPr="00E74838">
        <w:rPr>
          <w:rFonts w:cs="Times New Roman"/>
          <w:sz w:val="24"/>
          <w:szCs w:val="24"/>
        </w:rPr>
        <w:t xml:space="preserve"> </w:t>
      </w:r>
      <w:r w:rsidRPr="00E74838">
        <w:rPr>
          <w:rFonts w:cs="Times New Roman"/>
          <w:sz w:val="24"/>
          <w:szCs w:val="24"/>
        </w:rPr>
        <w:t xml:space="preserve">The commenters stated that expanding </w:t>
      </w:r>
      <w:r w:rsidR="000011FF">
        <w:rPr>
          <w:rFonts w:cs="Times New Roman"/>
          <w:sz w:val="24"/>
          <w:szCs w:val="24"/>
        </w:rPr>
        <w:t xml:space="preserve">the use of the MSG indicator </w:t>
      </w:r>
      <w:r w:rsidRPr="00E74838">
        <w:rPr>
          <w:rFonts w:cs="Times New Roman"/>
          <w:sz w:val="24"/>
          <w:szCs w:val="24"/>
        </w:rPr>
        <w:t xml:space="preserve">would enable the title II program to enjoy benefits of innovative practices </w:t>
      </w:r>
      <w:r w:rsidRPr="00E74838">
        <w:rPr>
          <w:rFonts w:cs="Times New Roman"/>
          <w:sz w:val="24"/>
          <w:szCs w:val="24"/>
        </w:rPr>
        <w:lastRenderedPageBreak/>
        <w:t xml:space="preserve">and supports to cross-program alignment on integrated education and training (IET) programs that blend title I funds for occupational training and title II funds for contextualized basic skills education bridge programs. </w:t>
      </w:r>
      <w:r w:rsidR="00531353" w:rsidRPr="00E74838">
        <w:rPr>
          <w:rFonts w:cs="Times New Roman"/>
          <w:sz w:val="24"/>
          <w:szCs w:val="24"/>
        </w:rPr>
        <w:t xml:space="preserve"> </w:t>
      </w:r>
      <w:r w:rsidRPr="00E74838">
        <w:rPr>
          <w:rFonts w:cs="Times New Roman"/>
          <w:sz w:val="24"/>
          <w:szCs w:val="24"/>
        </w:rPr>
        <w:t xml:space="preserve">Another commenter disagreed, stating that EFLs are the measures most relevant to title II objectives; other types of measurable skill gains are inappropriate or redundant. </w:t>
      </w:r>
      <w:r w:rsidR="00531353" w:rsidRPr="00E74838">
        <w:rPr>
          <w:rFonts w:cs="Times New Roman"/>
          <w:sz w:val="24"/>
          <w:szCs w:val="24"/>
        </w:rPr>
        <w:t xml:space="preserve"> </w:t>
      </w:r>
      <w:r w:rsidRPr="00E74838">
        <w:rPr>
          <w:rFonts w:cs="Times New Roman"/>
          <w:sz w:val="24"/>
          <w:szCs w:val="24"/>
        </w:rPr>
        <w:t xml:space="preserve">One commenter noted that a lack of comparability between training gain measures creates an incentive for selective enrollment in easier-to-complete programs (i.e., tracking). </w:t>
      </w:r>
      <w:r w:rsidR="00531353" w:rsidRPr="00E74838">
        <w:rPr>
          <w:rFonts w:cs="Times New Roman"/>
          <w:sz w:val="24"/>
          <w:szCs w:val="24"/>
        </w:rPr>
        <w:t xml:space="preserve"> </w:t>
      </w:r>
      <w:r w:rsidRPr="00E74838">
        <w:rPr>
          <w:rFonts w:cs="Times New Roman"/>
          <w:sz w:val="24"/>
          <w:szCs w:val="24"/>
        </w:rPr>
        <w:t>Several commenters strongly urged the Departments to (1) issue guidance on eliminating the practices of creaming (focusing service on those most likely to succeed) and tracking; and (2) provide technical assistance to States and local areas to ensure they understand and adhere to these principles.</w:t>
      </w:r>
    </w:p>
    <w:p w14:paraId="6414CBE6" w14:textId="77777777" w:rsidR="00B76712" w:rsidRPr="00E74838" w:rsidRDefault="00B76712" w:rsidP="0001000B">
      <w:pPr>
        <w:spacing w:after="0" w:line="240" w:lineRule="auto"/>
        <w:rPr>
          <w:rFonts w:eastAsiaTheme="minorEastAsia" w:cs="Times New Roman"/>
          <w:sz w:val="24"/>
          <w:szCs w:val="24"/>
          <w:lang w:eastAsia="ja-JP"/>
        </w:rPr>
      </w:pPr>
    </w:p>
    <w:p w14:paraId="04FB4A49" w14:textId="76E95E49" w:rsidR="00F17FFD" w:rsidRPr="00E74838" w:rsidRDefault="00F17FFD" w:rsidP="0001000B">
      <w:pPr>
        <w:spacing w:after="0" w:line="240" w:lineRule="auto"/>
        <w:outlineLvl w:val="0"/>
        <w:rPr>
          <w:rFonts w:cs="Times New Roman"/>
          <w:sz w:val="24"/>
          <w:szCs w:val="24"/>
        </w:rPr>
      </w:pPr>
      <w:r w:rsidRPr="00E74838">
        <w:rPr>
          <w:rFonts w:eastAsia="Arial" w:cs="Times New Roman"/>
          <w:b/>
          <w:sz w:val="24"/>
          <w:szCs w:val="24"/>
        </w:rPr>
        <w:t xml:space="preserve">Agencies’ Response, June 2016: </w:t>
      </w:r>
      <w:r w:rsidR="00531353" w:rsidRPr="00E74838">
        <w:rPr>
          <w:rFonts w:eastAsia="Arial" w:cs="Times New Roman"/>
          <w:b/>
          <w:sz w:val="24"/>
          <w:szCs w:val="24"/>
        </w:rPr>
        <w:t xml:space="preserve"> </w:t>
      </w:r>
      <w:r w:rsidRPr="00E74838">
        <w:rPr>
          <w:rFonts w:cs="Times New Roman"/>
          <w:sz w:val="24"/>
          <w:szCs w:val="24"/>
        </w:rPr>
        <w:t xml:space="preserve">The Departments agree with comments indicating that the AEFLA program should not limit the types of gains that may be used under the measurable skill gains indicator to only the demonstration of an EFL gain. </w:t>
      </w:r>
      <w:r w:rsidR="00531353" w:rsidRPr="00E74838">
        <w:rPr>
          <w:rFonts w:cs="Times New Roman"/>
          <w:sz w:val="24"/>
          <w:szCs w:val="24"/>
        </w:rPr>
        <w:t xml:space="preserve"> </w:t>
      </w:r>
      <w:r w:rsidRPr="00E74838">
        <w:rPr>
          <w:rFonts w:cs="Times New Roman"/>
          <w:sz w:val="24"/>
          <w:szCs w:val="24"/>
        </w:rPr>
        <w:t xml:space="preserve">The Departments will issue program-specific guidance regarding the most appropriate measurable skill gains options for the core programs. </w:t>
      </w:r>
      <w:r w:rsidR="00531353" w:rsidRPr="00E74838">
        <w:rPr>
          <w:rFonts w:cs="Times New Roman"/>
          <w:sz w:val="24"/>
          <w:szCs w:val="24"/>
        </w:rPr>
        <w:t xml:space="preserve"> </w:t>
      </w:r>
      <w:r w:rsidRPr="00E74838">
        <w:rPr>
          <w:rFonts w:cs="Times New Roman"/>
          <w:sz w:val="24"/>
          <w:szCs w:val="24"/>
        </w:rPr>
        <w:t xml:space="preserve">In response to concerns about tracking, the Departments noted that in order to achieve a measurable skill gain, one must achieve at least 12 academic credits, if the career pathway calls for classroom training.  No changes have been made in response to these comments.  </w:t>
      </w:r>
    </w:p>
    <w:p w14:paraId="47E0C988" w14:textId="77777777" w:rsidR="00087C89" w:rsidRPr="00E74838" w:rsidRDefault="00087C89" w:rsidP="0001000B">
      <w:pPr>
        <w:spacing w:after="0" w:line="240" w:lineRule="auto"/>
        <w:outlineLvl w:val="0"/>
        <w:rPr>
          <w:rFonts w:eastAsia="Arial" w:cs="Times New Roman"/>
          <w:b/>
          <w:sz w:val="24"/>
          <w:szCs w:val="24"/>
        </w:rPr>
      </w:pPr>
    </w:p>
    <w:p w14:paraId="306E3BD9" w14:textId="6CE84969" w:rsidR="00087C89" w:rsidRPr="00E74838" w:rsidRDefault="00087C89" w:rsidP="0001000B">
      <w:pPr>
        <w:spacing w:after="0" w:line="240" w:lineRule="auto"/>
        <w:rPr>
          <w:rFonts w:cs="Times New Roman"/>
          <w:b/>
          <w:sz w:val="24"/>
          <w:szCs w:val="24"/>
        </w:rPr>
      </w:pPr>
      <w:r w:rsidRPr="00E74838">
        <w:rPr>
          <w:rFonts w:cs="Times New Roman"/>
          <w:b/>
          <w:sz w:val="24"/>
          <w:szCs w:val="24"/>
          <w:u w:val="single"/>
        </w:rPr>
        <w:t>Performance Indicator -- Employer Effectiveness -- General</w:t>
      </w:r>
      <w:r w:rsidRPr="00E74838">
        <w:rPr>
          <w:rFonts w:cs="Times New Roman"/>
          <w:b/>
          <w:sz w:val="24"/>
          <w:szCs w:val="24"/>
        </w:rPr>
        <w:t>:</w:t>
      </w:r>
    </w:p>
    <w:p w14:paraId="18A01628" w14:textId="77777777" w:rsidR="00A83F06" w:rsidRPr="00E74838" w:rsidRDefault="00A83F06" w:rsidP="0001000B">
      <w:pPr>
        <w:spacing w:after="0" w:line="240" w:lineRule="auto"/>
        <w:rPr>
          <w:rFonts w:cs="Times New Roman"/>
          <w:b/>
          <w:sz w:val="24"/>
          <w:szCs w:val="24"/>
          <w:u w:val="single"/>
        </w:rPr>
      </w:pPr>
    </w:p>
    <w:p w14:paraId="75053EE8" w14:textId="30E9B0D2" w:rsidR="00531353" w:rsidRPr="00E74838" w:rsidRDefault="00087C89" w:rsidP="0001000B">
      <w:pPr>
        <w:spacing w:after="0" w:line="240" w:lineRule="auto"/>
        <w:rPr>
          <w:rFonts w:cs="Times New Roman"/>
          <w:sz w:val="24"/>
          <w:szCs w:val="24"/>
        </w:rPr>
      </w:pPr>
      <w:r w:rsidRPr="00E74838">
        <w:rPr>
          <w:rFonts w:cs="Times New Roman"/>
          <w:sz w:val="24"/>
          <w:szCs w:val="24"/>
        </w:rPr>
        <w:t xml:space="preserve">One commenter noted that it uses a business services measurement system in its database to allow staff to easily enter information, and for leadership to extract reports that show data by date and area. </w:t>
      </w:r>
      <w:r w:rsidR="00531353" w:rsidRPr="00E74838">
        <w:rPr>
          <w:rFonts w:cs="Times New Roman"/>
          <w:sz w:val="24"/>
          <w:szCs w:val="24"/>
        </w:rPr>
        <w:t xml:space="preserve"> </w:t>
      </w:r>
      <w:r w:rsidRPr="00E74838">
        <w:rPr>
          <w:rFonts w:cs="Times New Roman"/>
          <w:sz w:val="24"/>
          <w:szCs w:val="24"/>
        </w:rPr>
        <w:t xml:space="preserve">The commenter proposed that some of these measures for services should be used in performance measure six. </w:t>
      </w:r>
      <w:r w:rsidR="00531353" w:rsidRPr="00E74838">
        <w:rPr>
          <w:rFonts w:cs="Times New Roman"/>
          <w:sz w:val="24"/>
          <w:szCs w:val="24"/>
        </w:rPr>
        <w:t xml:space="preserve"> </w:t>
      </w:r>
      <w:r w:rsidRPr="00E74838">
        <w:rPr>
          <w:rFonts w:cs="Times New Roman"/>
          <w:sz w:val="24"/>
          <w:szCs w:val="24"/>
        </w:rPr>
        <w:t xml:space="preserve">These services include Business Education, Hiring Event, Labor Market Information, and Training and Retraining, along with a handful of others.  For each service, a survey is sent to employers when they access the service. </w:t>
      </w:r>
      <w:r w:rsidR="00531353" w:rsidRPr="00E74838">
        <w:rPr>
          <w:rFonts w:cs="Times New Roman"/>
          <w:sz w:val="24"/>
          <w:szCs w:val="24"/>
        </w:rPr>
        <w:t xml:space="preserve"> </w:t>
      </w:r>
      <w:r w:rsidRPr="00E74838">
        <w:rPr>
          <w:rFonts w:cs="Times New Roman"/>
          <w:sz w:val="24"/>
          <w:szCs w:val="24"/>
        </w:rPr>
        <w:t xml:space="preserve">A specific benefit of this model is that it was developed with a focus on learning how to serve employers better and ensure that the right data is captured to drive improvements. </w:t>
      </w:r>
    </w:p>
    <w:p w14:paraId="4F9BF98C" w14:textId="77777777" w:rsidR="00531353" w:rsidRPr="00E74838" w:rsidRDefault="00531353" w:rsidP="0001000B">
      <w:pPr>
        <w:spacing w:after="0" w:line="240" w:lineRule="auto"/>
        <w:rPr>
          <w:rFonts w:cs="Times New Roman"/>
          <w:sz w:val="24"/>
          <w:szCs w:val="24"/>
        </w:rPr>
      </w:pPr>
    </w:p>
    <w:p w14:paraId="2DC15E88" w14:textId="2DC6CE56" w:rsidR="00531353" w:rsidRPr="00CD241A" w:rsidRDefault="00087C89" w:rsidP="0001000B">
      <w:pPr>
        <w:spacing w:after="0" w:line="240" w:lineRule="auto"/>
        <w:rPr>
          <w:rFonts w:cs="Times New Roman"/>
          <w:sz w:val="24"/>
          <w:szCs w:val="24"/>
        </w:rPr>
      </w:pPr>
      <w:r w:rsidRPr="00E74838">
        <w:rPr>
          <w:rFonts w:cs="Times New Roman"/>
          <w:sz w:val="24"/>
          <w:szCs w:val="24"/>
        </w:rPr>
        <w:t>The commenter also questioned how employers were engaged in the development of these three metrics and which of these measures employers believe to have the most value.  The commenter suggested that the final ICR should detail how employers were engaged in the development of these measures or clarify that employer input is part of the baseline period between now and PY 2018.</w:t>
      </w:r>
    </w:p>
    <w:p w14:paraId="6C867DEC" w14:textId="77777777" w:rsidR="00087C89" w:rsidRPr="00E74838" w:rsidRDefault="00087C89" w:rsidP="0001000B">
      <w:pPr>
        <w:spacing w:after="0" w:line="240" w:lineRule="auto"/>
        <w:rPr>
          <w:rFonts w:cs="Times New Roman"/>
          <w:sz w:val="24"/>
          <w:szCs w:val="24"/>
        </w:rPr>
      </w:pPr>
      <w:r w:rsidRPr="00E74838">
        <w:rPr>
          <w:rFonts w:cs="Times New Roman"/>
          <w:sz w:val="24"/>
          <w:szCs w:val="24"/>
        </w:rPr>
        <w:t>Finally, the commenter suggested that to clarify and support that these measures are reported on separately by each program, option 1 should read: "An employee retention rate of program participants..." rather than WIOA participants.</w:t>
      </w:r>
    </w:p>
    <w:p w14:paraId="27129A8A" w14:textId="77777777" w:rsidR="001D699A" w:rsidRPr="00E74838" w:rsidRDefault="001D699A" w:rsidP="0001000B">
      <w:pPr>
        <w:spacing w:after="0" w:line="240" w:lineRule="auto"/>
        <w:rPr>
          <w:rFonts w:cs="Times New Roman"/>
          <w:sz w:val="24"/>
          <w:szCs w:val="24"/>
        </w:rPr>
      </w:pPr>
    </w:p>
    <w:p w14:paraId="4369B5C0" w14:textId="62F74FA1" w:rsidR="00531353" w:rsidRPr="00820D61" w:rsidRDefault="001D699A" w:rsidP="0001000B">
      <w:pPr>
        <w:spacing w:after="0" w:line="240" w:lineRule="auto"/>
        <w:rPr>
          <w:rFonts w:cs="Times New Roman"/>
          <w:sz w:val="24"/>
          <w:szCs w:val="24"/>
        </w:rPr>
      </w:pPr>
      <w:r w:rsidRPr="00E74838">
        <w:rPr>
          <w:rFonts w:cs="Times New Roman"/>
          <w:sz w:val="24"/>
          <w:szCs w:val="24"/>
        </w:rPr>
        <w:t>Another commenter said it was unclear whether the denominator for the Employer Retention Rate is the number of clients employed during the 2</w:t>
      </w:r>
      <w:r w:rsidRPr="00E74838">
        <w:rPr>
          <w:rFonts w:cs="Times New Roman"/>
          <w:sz w:val="24"/>
          <w:szCs w:val="24"/>
          <w:vertAlign w:val="superscript"/>
        </w:rPr>
        <w:t>nd</w:t>
      </w:r>
      <w:r w:rsidRPr="00E74838">
        <w:rPr>
          <w:rFonts w:cs="Times New Roman"/>
          <w:sz w:val="24"/>
          <w:szCs w:val="24"/>
        </w:rPr>
        <w:t xml:space="preserve"> quarter following exit or the number of clients who exited the program two quarters prior.</w:t>
      </w:r>
    </w:p>
    <w:p w14:paraId="7E99ACEF" w14:textId="584FE696" w:rsidR="00087C89" w:rsidRPr="00E74838" w:rsidRDefault="00087C89" w:rsidP="0001000B">
      <w:pPr>
        <w:spacing w:after="0" w:line="240" w:lineRule="auto"/>
        <w:rPr>
          <w:rFonts w:cs="Times New Roman"/>
          <w:sz w:val="24"/>
          <w:szCs w:val="24"/>
        </w:rPr>
      </w:pPr>
      <w:r w:rsidRPr="00E74838">
        <w:rPr>
          <w:rFonts w:cs="Times New Roman"/>
          <w:b/>
          <w:sz w:val="24"/>
          <w:szCs w:val="24"/>
        </w:rPr>
        <w:lastRenderedPageBreak/>
        <w:t>Agencies’ Response, June 2016:</w:t>
      </w:r>
      <w:r w:rsidRPr="00E74838">
        <w:rPr>
          <w:rFonts w:cs="Times New Roman"/>
          <w:sz w:val="24"/>
          <w:szCs w:val="24"/>
        </w:rPr>
        <w:t xml:space="preserve">  In the preamble of the Joint Final Rule concerning § 677.155(a)(1)(vi), the Departments acknowledge the development of indicators by States and reiterate that States may test and use any additional measures related to effectiveness in serving employers, and report the results to the Departments.  With respect to employer engagement in the development of the measures, the Departments held one town hall meeting specifically dedicated to employers in an effort to gain suggestions and ideas for the development of this indicator of performance.  Additionally, we conducted a general town hall meeting in an effort to gather suggestions regarding all indicators of performance.  Employers and other stakeholders were also invited to attend webinar sessions designed to gather feedback from participants. </w:t>
      </w:r>
      <w:r w:rsidR="000011FF">
        <w:rPr>
          <w:rFonts w:cs="Times New Roman"/>
          <w:sz w:val="24"/>
          <w:szCs w:val="24"/>
        </w:rPr>
        <w:t xml:space="preserve">  Finally, the Departments sought comments during the 60-day comment period and during the 30-day comment period on the ICRs.  </w:t>
      </w:r>
    </w:p>
    <w:p w14:paraId="167BEF54" w14:textId="77777777" w:rsidR="000011FF" w:rsidRDefault="000011FF" w:rsidP="0001000B">
      <w:pPr>
        <w:spacing w:after="0" w:line="240" w:lineRule="auto"/>
        <w:rPr>
          <w:rFonts w:cs="Times New Roman"/>
          <w:sz w:val="24"/>
          <w:szCs w:val="24"/>
        </w:rPr>
      </w:pPr>
    </w:p>
    <w:p w14:paraId="136D7048" w14:textId="77777777" w:rsidR="004D608C" w:rsidRPr="00E74838" w:rsidRDefault="00087C89" w:rsidP="0001000B">
      <w:pPr>
        <w:spacing w:after="0" w:line="240" w:lineRule="auto"/>
        <w:rPr>
          <w:rFonts w:cs="Times New Roman"/>
          <w:sz w:val="24"/>
          <w:szCs w:val="24"/>
        </w:rPr>
      </w:pPr>
      <w:r w:rsidRPr="00E74838">
        <w:rPr>
          <w:rFonts w:cs="Times New Roman"/>
          <w:sz w:val="24"/>
          <w:szCs w:val="24"/>
        </w:rPr>
        <w:t xml:space="preserve">The Departments agree with the comment regarding how option 1 should read, and have revised the language accordingly.  </w:t>
      </w:r>
    </w:p>
    <w:p w14:paraId="0E2B76C2" w14:textId="77777777" w:rsidR="004D608C" w:rsidRPr="00E74838" w:rsidRDefault="004D608C" w:rsidP="0001000B">
      <w:pPr>
        <w:spacing w:after="0" w:line="240" w:lineRule="auto"/>
        <w:rPr>
          <w:rFonts w:cs="Times New Roman"/>
          <w:sz w:val="24"/>
          <w:szCs w:val="24"/>
        </w:rPr>
      </w:pPr>
    </w:p>
    <w:p w14:paraId="3E977D00" w14:textId="24D108F6" w:rsidR="004D608C" w:rsidRPr="00E74838" w:rsidRDefault="004D608C" w:rsidP="0001000B">
      <w:pPr>
        <w:spacing w:after="0" w:line="240" w:lineRule="auto"/>
        <w:rPr>
          <w:rFonts w:eastAsia="Times New Roman" w:cs="Times New Roman"/>
          <w:sz w:val="24"/>
          <w:szCs w:val="24"/>
        </w:rPr>
      </w:pPr>
      <w:r w:rsidRPr="00E74838">
        <w:rPr>
          <w:rFonts w:cs="Times New Roman"/>
          <w:sz w:val="24"/>
          <w:szCs w:val="24"/>
        </w:rPr>
        <w:t xml:space="preserve">The technical specification for this indicator is found in Appendix C and reads as follows: </w:t>
      </w:r>
      <w:r w:rsidRPr="00E74838">
        <w:rPr>
          <w:rFonts w:eastAsia="Times New Roman" w:cs="Times New Roman"/>
          <w:sz w:val="24"/>
          <w:szCs w:val="24"/>
        </w:rPr>
        <w:t xml:space="preserve">Retention with Same Employer in the 2nd and 4th Quarters </w:t>
      </w:r>
      <w:proofErr w:type="gramStart"/>
      <w:r w:rsidRPr="00E74838">
        <w:rPr>
          <w:rFonts w:eastAsia="Times New Roman" w:cs="Times New Roman"/>
          <w:sz w:val="24"/>
          <w:szCs w:val="24"/>
        </w:rPr>
        <w:t>After</w:t>
      </w:r>
      <w:proofErr w:type="gramEnd"/>
      <w:r w:rsidRPr="00E74838">
        <w:rPr>
          <w:rFonts w:eastAsia="Times New Roman" w:cs="Times New Roman"/>
          <w:sz w:val="24"/>
          <w:szCs w:val="24"/>
        </w:rPr>
        <w:t xml:space="preserve"> Exit Numerator ÷ Retention with Same Employer in the 2</w:t>
      </w:r>
      <w:r w:rsidRPr="00E74838">
        <w:rPr>
          <w:rFonts w:cs="Times New Roman"/>
          <w:iCs/>
          <w:sz w:val="24"/>
          <w:szCs w:val="24"/>
          <w:vertAlign w:val="superscript"/>
        </w:rPr>
        <w:t>nd</w:t>
      </w:r>
      <w:r w:rsidRPr="00E74838">
        <w:rPr>
          <w:rFonts w:eastAsia="Times New Roman" w:cs="Times New Roman"/>
          <w:sz w:val="24"/>
          <w:szCs w:val="24"/>
        </w:rPr>
        <w:t xml:space="preserve"> and 4</w:t>
      </w:r>
      <w:r w:rsidRPr="00E74838">
        <w:rPr>
          <w:rFonts w:cs="Times New Roman"/>
          <w:iCs/>
          <w:sz w:val="24"/>
          <w:szCs w:val="24"/>
          <w:vertAlign w:val="superscript"/>
        </w:rPr>
        <w:t>th</w:t>
      </w:r>
      <w:r w:rsidRPr="00E74838">
        <w:rPr>
          <w:rFonts w:eastAsia="Times New Roman" w:cs="Times New Roman"/>
          <w:sz w:val="24"/>
          <w:szCs w:val="24"/>
        </w:rPr>
        <w:t xml:space="preserve"> Quarters After Exit Denominator X 100.  This definition will not change as it is correct as written.  </w:t>
      </w:r>
    </w:p>
    <w:p w14:paraId="1EDA5710" w14:textId="77777777" w:rsidR="00643918" w:rsidRPr="00E74838" w:rsidRDefault="00643918" w:rsidP="0001000B">
      <w:pPr>
        <w:spacing w:after="0" w:line="240" w:lineRule="auto"/>
        <w:rPr>
          <w:rFonts w:cs="Times New Roman"/>
          <w:sz w:val="24"/>
          <w:szCs w:val="24"/>
        </w:rPr>
      </w:pPr>
    </w:p>
    <w:p w14:paraId="688C43BC" w14:textId="68793D24" w:rsidR="00087C89" w:rsidRPr="00E74838" w:rsidRDefault="00087C89" w:rsidP="0001000B">
      <w:pPr>
        <w:spacing w:after="0" w:line="240" w:lineRule="auto"/>
        <w:rPr>
          <w:rFonts w:cs="Times New Roman"/>
          <w:sz w:val="24"/>
          <w:szCs w:val="24"/>
        </w:rPr>
      </w:pPr>
      <w:r w:rsidRPr="00E74838">
        <w:rPr>
          <w:rFonts w:cs="Times New Roman"/>
          <w:sz w:val="24"/>
          <w:szCs w:val="24"/>
        </w:rPr>
        <w:t>No other changes have been made in response to these comments.</w:t>
      </w:r>
    </w:p>
    <w:p w14:paraId="680F6753" w14:textId="77777777" w:rsidR="00087C89" w:rsidRPr="00E74838" w:rsidRDefault="00087C89" w:rsidP="0001000B">
      <w:pPr>
        <w:spacing w:after="0" w:line="240" w:lineRule="auto"/>
        <w:rPr>
          <w:rFonts w:cs="Times New Roman"/>
          <w:sz w:val="24"/>
          <w:szCs w:val="24"/>
        </w:rPr>
      </w:pPr>
    </w:p>
    <w:p w14:paraId="20984F90" w14:textId="7EFD8EA0" w:rsidR="00087C89" w:rsidRPr="00E74838" w:rsidRDefault="00087C89" w:rsidP="0001000B">
      <w:pPr>
        <w:spacing w:after="0" w:line="240" w:lineRule="auto"/>
        <w:rPr>
          <w:rFonts w:cs="Times New Roman"/>
          <w:b/>
          <w:sz w:val="24"/>
          <w:szCs w:val="24"/>
        </w:rPr>
      </w:pPr>
      <w:r w:rsidRPr="00E74838">
        <w:rPr>
          <w:rFonts w:cs="Times New Roman"/>
          <w:b/>
          <w:sz w:val="24"/>
          <w:szCs w:val="24"/>
          <w:u w:val="single"/>
        </w:rPr>
        <w:t>Performance Indicator -- Effectiveness in Serving Employers -- Implementation</w:t>
      </w:r>
      <w:r w:rsidRPr="00E74838">
        <w:rPr>
          <w:rFonts w:cs="Times New Roman"/>
          <w:b/>
          <w:sz w:val="24"/>
          <w:szCs w:val="24"/>
        </w:rPr>
        <w:t>:</w:t>
      </w:r>
    </w:p>
    <w:p w14:paraId="0E310C2D" w14:textId="77777777" w:rsidR="00087C89" w:rsidRPr="00E74838" w:rsidRDefault="00087C89" w:rsidP="0001000B">
      <w:pPr>
        <w:spacing w:after="0" w:line="240" w:lineRule="auto"/>
        <w:rPr>
          <w:rFonts w:cs="Times New Roman"/>
          <w:sz w:val="24"/>
          <w:szCs w:val="24"/>
        </w:rPr>
      </w:pPr>
    </w:p>
    <w:p w14:paraId="0AACCB0E" w14:textId="15B3BA43" w:rsidR="00087C89" w:rsidRPr="00E74838" w:rsidRDefault="00087C89" w:rsidP="0001000B">
      <w:pPr>
        <w:spacing w:after="0" w:line="240" w:lineRule="auto"/>
        <w:rPr>
          <w:rFonts w:cs="Times New Roman"/>
          <w:sz w:val="24"/>
          <w:szCs w:val="24"/>
        </w:rPr>
      </w:pPr>
      <w:r w:rsidRPr="00E74838">
        <w:rPr>
          <w:rFonts w:cs="Times New Roman"/>
          <w:sz w:val="24"/>
          <w:szCs w:val="24"/>
        </w:rPr>
        <w:t xml:space="preserve">Several commenters supported the flexibility that the States have to pick two </w:t>
      </w:r>
      <w:proofErr w:type="gramStart"/>
      <w:r w:rsidRPr="00E74838">
        <w:rPr>
          <w:rFonts w:cs="Times New Roman"/>
          <w:sz w:val="24"/>
          <w:szCs w:val="24"/>
        </w:rPr>
        <w:t>of the three Effectiveness</w:t>
      </w:r>
      <w:proofErr w:type="gramEnd"/>
      <w:r w:rsidRPr="00E74838">
        <w:rPr>
          <w:rFonts w:cs="Times New Roman"/>
          <w:sz w:val="24"/>
          <w:szCs w:val="24"/>
        </w:rPr>
        <w:t xml:space="preserve"> in Serving Employers measures.  One commenter requested clarification regarding whether a State will be choosing the same two of three measures for all of the WIOA core programs or whether each core program could choose a different set of measures during the trial period.  One commenter expresse</w:t>
      </w:r>
      <w:r w:rsidR="00C75CDF">
        <w:rPr>
          <w:rFonts w:cs="Times New Roman"/>
          <w:sz w:val="24"/>
          <w:szCs w:val="24"/>
        </w:rPr>
        <w:t>d concerns that implementing a s</w:t>
      </w:r>
      <w:r w:rsidRPr="00E74838">
        <w:rPr>
          <w:rFonts w:cs="Times New Roman"/>
          <w:sz w:val="24"/>
          <w:szCs w:val="24"/>
        </w:rPr>
        <w:t>tatewide employer effectiveness measure would be difficult because each program would be utilizing its own reporting system.</w:t>
      </w:r>
    </w:p>
    <w:p w14:paraId="21F68E1D" w14:textId="77777777" w:rsidR="00087C89" w:rsidRPr="00E74838" w:rsidRDefault="00087C89" w:rsidP="0001000B">
      <w:pPr>
        <w:spacing w:after="0" w:line="240" w:lineRule="auto"/>
        <w:rPr>
          <w:rFonts w:cs="Times New Roman"/>
          <w:sz w:val="24"/>
          <w:szCs w:val="24"/>
        </w:rPr>
      </w:pPr>
    </w:p>
    <w:p w14:paraId="0AB6A097" w14:textId="1031461A" w:rsidR="00087C89" w:rsidRPr="00E74838" w:rsidRDefault="00087C89" w:rsidP="0001000B">
      <w:pPr>
        <w:spacing w:after="0" w:line="240" w:lineRule="auto"/>
        <w:rPr>
          <w:rFonts w:cs="Times New Roman"/>
          <w:sz w:val="24"/>
          <w:szCs w:val="24"/>
        </w:rPr>
      </w:pPr>
      <w:r w:rsidRPr="00E74838">
        <w:rPr>
          <w:rFonts w:cs="Times New Roman"/>
          <w:sz w:val="24"/>
          <w:szCs w:val="24"/>
        </w:rPr>
        <w:t>A few commenters noted that the numerator and denominator of the Repeat Business Customer measure appeared to be reversed.  They stated that the denominator should be the total number served in the current year and the numerator should be a subset of the denominator.  One commenter recommended that the Repeat Customer indicator include those served more than once in the current year.  Another commenter recommended that the Departments modify the Effectiveness in Serving Employers report to break out Repeat Customer performance by size of employer to better account for State-specific differences when comparing data or target setting.  One commenter recommended that States only be required to report data element 1618 (Retention with the same employer in the 2</w:t>
      </w:r>
      <w:r w:rsidRPr="00E74838">
        <w:rPr>
          <w:rFonts w:cs="Times New Roman"/>
          <w:sz w:val="24"/>
          <w:szCs w:val="24"/>
          <w:vertAlign w:val="superscript"/>
        </w:rPr>
        <w:t>nd</w:t>
      </w:r>
      <w:r w:rsidRPr="00E74838">
        <w:rPr>
          <w:rFonts w:cs="Times New Roman"/>
          <w:sz w:val="24"/>
          <w:szCs w:val="24"/>
        </w:rPr>
        <w:t xml:space="preserve"> Quarter and the 4</w:t>
      </w:r>
      <w:r w:rsidRPr="00E74838">
        <w:rPr>
          <w:rFonts w:cs="Times New Roman"/>
          <w:sz w:val="24"/>
          <w:szCs w:val="24"/>
          <w:vertAlign w:val="superscript"/>
        </w:rPr>
        <w:t>th</w:t>
      </w:r>
      <w:r w:rsidRPr="00E74838">
        <w:rPr>
          <w:rFonts w:cs="Times New Roman"/>
          <w:sz w:val="24"/>
          <w:szCs w:val="24"/>
        </w:rPr>
        <w:t xml:space="preserve"> Quarter after exit) if the State elects this as one of its measures for Effectiveness in Serving Employers.  Another commenter requested clarification regarding whether employer </w:t>
      </w:r>
      <w:r w:rsidRPr="00E74838">
        <w:rPr>
          <w:rFonts w:cs="Times New Roman"/>
          <w:sz w:val="24"/>
          <w:szCs w:val="24"/>
        </w:rPr>
        <w:lastRenderedPageBreak/>
        <w:t>services are required to be reported regardless of the two employer effectiveness measures chosen by the State.</w:t>
      </w:r>
    </w:p>
    <w:p w14:paraId="1B3B8139" w14:textId="77777777" w:rsidR="00087C89" w:rsidRPr="00E74838" w:rsidRDefault="00087C89" w:rsidP="0001000B">
      <w:pPr>
        <w:spacing w:after="0" w:line="240" w:lineRule="auto"/>
        <w:rPr>
          <w:rFonts w:cs="Times New Roman"/>
          <w:sz w:val="24"/>
          <w:szCs w:val="24"/>
        </w:rPr>
      </w:pPr>
    </w:p>
    <w:p w14:paraId="668DCC22" w14:textId="5CDC44C7" w:rsidR="00087C89" w:rsidRPr="00E74838" w:rsidRDefault="00087C89" w:rsidP="0001000B">
      <w:pPr>
        <w:spacing w:after="0" w:line="240" w:lineRule="auto"/>
        <w:rPr>
          <w:rFonts w:cs="Times New Roman"/>
          <w:sz w:val="24"/>
          <w:szCs w:val="24"/>
        </w:rPr>
      </w:pPr>
      <w:r w:rsidRPr="00E74838">
        <w:rPr>
          <w:rFonts w:cs="Times New Roman"/>
          <w:b/>
          <w:sz w:val="24"/>
          <w:szCs w:val="24"/>
        </w:rPr>
        <w:t>Agencies’ Response, June 2016:</w:t>
      </w:r>
      <w:r w:rsidR="00B76712" w:rsidRPr="00E74838">
        <w:rPr>
          <w:rFonts w:cs="Times New Roman"/>
          <w:b/>
          <w:sz w:val="24"/>
          <w:szCs w:val="24"/>
        </w:rPr>
        <w:t xml:space="preserve">  </w:t>
      </w:r>
      <w:r w:rsidRPr="00E74838">
        <w:rPr>
          <w:rFonts w:cs="Times New Roman"/>
          <w:sz w:val="24"/>
          <w:szCs w:val="24"/>
        </w:rPr>
        <w:t xml:space="preserve">For the trial period, </w:t>
      </w:r>
      <w:r w:rsidR="00B96588">
        <w:rPr>
          <w:rFonts w:cs="Times New Roman"/>
          <w:sz w:val="24"/>
          <w:szCs w:val="24"/>
        </w:rPr>
        <w:t xml:space="preserve">each </w:t>
      </w:r>
      <w:r w:rsidRPr="00E74838">
        <w:rPr>
          <w:rFonts w:cs="Times New Roman"/>
          <w:sz w:val="24"/>
          <w:szCs w:val="24"/>
        </w:rPr>
        <w:t xml:space="preserve">State will select </w:t>
      </w:r>
      <w:r w:rsidR="00DA3F96">
        <w:rPr>
          <w:rFonts w:cs="Times New Roman"/>
          <w:sz w:val="24"/>
          <w:szCs w:val="24"/>
        </w:rPr>
        <w:t xml:space="preserve">two of </w:t>
      </w:r>
      <w:r w:rsidRPr="00E74838">
        <w:rPr>
          <w:rFonts w:cs="Times New Roman"/>
          <w:sz w:val="24"/>
          <w:szCs w:val="24"/>
        </w:rPr>
        <w:t xml:space="preserve">the </w:t>
      </w:r>
      <w:proofErr w:type="gramStart"/>
      <w:r w:rsidRPr="00E74838">
        <w:rPr>
          <w:rFonts w:cs="Times New Roman"/>
          <w:sz w:val="24"/>
          <w:szCs w:val="24"/>
        </w:rPr>
        <w:t xml:space="preserve">same </w:t>
      </w:r>
      <w:r w:rsidR="005509F0">
        <w:rPr>
          <w:rFonts w:cs="Times New Roman"/>
          <w:sz w:val="24"/>
          <w:szCs w:val="24"/>
        </w:rPr>
        <w:t xml:space="preserve"> three</w:t>
      </w:r>
      <w:proofErr w:type="gramEnd"/>
      <w:r w:rsidR="005509F0">
        <w:rPr>
          <w:rFonts w:cs="Times New Roman"/>
          <w:sz w:val="24"/>
          <w:szCs w:val="24"/>
        </w:rPr>
        <w:t xml:space="preserve"> </w:t>
      </w:r>
      <w:r w:rsidRPr="00E74838">
        <w:rPr>
          <w:rFonts w:cs="Times New Roman"/>
          <w:sz w:val="24"/>
          <w:szCs w:val="24"/>
        </w:rPr>
        <w:t xml:space="preserve">Effectiveness in Serving Employers measures </w:t>
      </w:r>
      <w:r w:rsidR="00DA3F96">
        <w:rPr>
          <w:rFonts w:cs="Times New Roman"/>
          <w:sz w:val="24"/>
          <w:szCs w:val="24"/>
        </w:rPr>
        <w:t>to apply to</w:t>
      </w:r>
      <w:r w:rsidRPr="00E74838">
        <w:rPr>
          <w:rFonts w:cs="Times New Roman"/>
          <w:sz w:val="24"/>
          <w:szCs w:val="24"/>
        </w:rPr>
        <w:t xml:space="preserve"> all </w:t>
      </w:r>
      <w:r w:rsidR="007A6AC9">
        <w:rPr>
          <w:rFonts w:cs="Times New Roman"/>
          <w:sz w:val="24"/>
          <w:szCs w:val="24"/>
        </w:rPr>
        <w:t xml:space="preserve">of the </w:t>
      </w:r>
      <w:r w:rsidRPr="00E74838">
        <w:rPr>
          <w:rFonts w:cs="Times New Roman"/>
          <w:sz w:val="24"/>
          <w:szCs w:val="24"/>
        </w:rPr>
        <w:t>core programs</w:t>
      </w:r>
      <w:r w:rsidR="007A6AC9">
        <w:rPr>
          <w:rFonts w:cs="Times New Roman"/>
          <w:sz w:val="24"/>
          <w:szCs w:val="24"/>
        </w:rPr>
        <w:t xml:space="preserve"> within the State</w:t>
      </w:r>
      <w:r w:rsidRPr="00E74838">
        <w:rPr>
          <w:rFonts w:cs="Times New Roman"/>
          <w:sz w:val="24"/>
          <w:szCs w:val="24"/>
        </w:rPr>
        <w:t>.  The Departments encourage State core program agencies to work collaboratively to determine the one shared outcome for each selected measure.  The Departments plan to issue guidance on this topic.</w:t>
      </w:r>
    </w:p>
    <w:p w14:paraId="68DD2E8F" w14:textId="77777777" w:rsidR="00087C89" w:rsidRPr="00E74838" w:rsidRDefault="00087C89" w:rsidP="0001000B">
      <w:pPr>
        <w:spacing w:after="0" w:line="240" w:lineRule="auto"/>
        <w:rPr>
          <w:rFonts w:cs="Times New Roman"/>
          <w:sz w:val="24"/>
          <w:szCs w:val="24"/>
        </w:rPr>
      </w:pPr>
    </w:p>
    <w:p w14:paraId="0850079C" w14:textId="77777777" w:rsidR="00087C89" w:rsidRPr="00E74838" w:rsidRDefault="00087C89" w:rsidP="0001000B">
      <w:pPr>
        <w:spacing w:after="0" w:line="240" w:lineRule="auto"/>
        <w:rPr>
          <w:rFonts w:cs="Times New Roman"/>
          <w:sz w:val="24"/>
          <w:szCs w:val="24"/>
        </w:rPr>
      </w:pPr>
      <w:r w:rsidRPr="00E74838">
        <w:rPr>
          <w:rFonts w:cs="Times New Roman"/>
          <w:sz w:val="24"/>
          <w:szCs w:val="24"/>
        </w:rPr>
        <w:t>With respect to the Repeat Business Customer measure, while the Departments disagree with the recommendation to reverse the numerator and denominator, we agree that the proposed language is unclear and have modified the language to add clarity.  In response to this comment, the Departments have modified the language to read:</w:t>
      </w:r>
    </w:p>
    <w:p w14:paraId="01408F1E" w14:textId="77777777" w:rsidR="00087C89" w:rsidRPr="00E74838" w:rsidRDefault="00087C89" w:rsidP="0001000B">
      <w:pPr>
        <w:spacing w:after="0" w:line="240" w:lineRule="auto"/>
        <w:rPr>
          <w:rFonts w:cs="Times New Roman"/>
          <w:sz w:val="24"/>
          <w:szCs w:val="24"/>
        </w:rPr>
      </w:pPr>
    </w:p>
    <w:p w14:paraId="24BF2227" w14:textId="77777777" w:rsidR="00087C89" w:rsidRPr="005509F0" w:rsidRDefault="00087C89" w:rsidP="0001000B">
      <w:pPr>
        <w:spacing w:after="0" w:line="240" w:lineRule="auto"/>
        <w:rPr>
          <w:rFonts w:cs="Times New Roman"/>
          <w:sz w:val="24"/>
          <w:szCs w:val="24"/>
          <w:u w:val="single"/>
        </w:rPr>
      </w:pPr>
      <w:r w:rsidRPr="005509F0">
        <w:rPr>
          <w:rFonts w:cs="Times New Roman"/>
          <w:sz w:val="24"/>
          <w:szCs w:val="24"/>
          <w:u w:val="single"/>
        </w:rPr>
        <w:t>Repeat Business Numerator:</w:t>
      </w:r>
    </w:p>
    <w:p w14:paraId="538E0B1C" w14:textId="77777777" w:rsidR="00087C89" w:rsidRPr="00E74838" w:rsidRDefault="00087C89" w:rsidP="0001000B">
      <w:pPr>
        <w:spacing w:after="0" w:line="240" w:lineRule="auto"/>
        <w:rPr>
          <w:rFonts w:cs="Times New Roman"/>
          <w:sz w:val="24"/>
          <w:szCs w:val="24"/>
        </w:rPr>
      </w:pPr>
      <w:r w:rsidRPr="00E74838">
        <w:rPr>
          <w:rFonts w:cs="Times New Roman"/>
          <w:sz w:val="24"/>
          <w:szCs w:val="24"/>
        </w:rPr>
        <w:t>Record the total number of unique business customers (establishments, as defined by the Bureau of Labor Statistics Quarterly Census of Earnings and Wages program) that received an employer service or, if it is an ongoing activity, are continuing to receive an employer service or other assistance during the reporting period (E1), AND that received an employer service anytime within the previous three program years.</w:t>
      </w:r>
    </w:p>
    <w:p w14:paraId="0B4D0775" w14:textId="77777777" w:rsidR="00087C89" w:rsidRPr="00E74838" w:rsidRDefault="00087C89" w:rsidP="0001000B">
      <w:pPr>
        <w:spacing w:after="0" w:line="240" w:lineRule="auto"/>
        <w:rPr>
          <w:rFonts w:cs="Times New Roman"/>
          <w:sz w:val="24"/>
          <w:szCs w:val="24"/>
        </w:rPr>
      </w:pPr>
    </w:p>
    <w:p w14:paraId="2523B9F2" w14:textId="77777777" w:rsidR="00087C89" w:rsidRPr="005509F0" w:rsidRDefault="00087C89" w:rsidP="0001000B">
      <w:pPr>
        <w:spacing w:after="0" w:line="240" w:lineRule="auto"/>
        <w:rPr>
          <w:rFonts w:cs="Times New Roman"/>
          <w:sz w:val="24"/>
          <w:szCs w:val="24"/>
          <w:u w:val="single"/>
        </w:rPr>
      </w:pPr>
      <w:r w:rsidRPr="005509F0">
        <w:rPr>
          <w:rFonts w:cs="Times New Roman"/>
          <w:sz w:val="24"/>
          <w:szCs w:val="24"/>
          <w:u w:val="single"/>
        </w:rPr>
        <w:t>Repeat Business Denominator:</w:t>
      </w:r>
    </w:p>
    <w:p w14:paraId="66A1335B" w14:textId="77777777" w:rsidR="00087C89" w:rsidRPr="00E74838" w:rsidRDefault="00087C89" w:rsidP="0001000B">
      <w:pPr>
        <w:spacing w:after="0" w:line="240" w:lineRule="auto"/>
        <w:rPr>
          <w:rFonts w:cs="Times New Roman"/>
          <w:sz w:val="24"/>
          <w:szCs w:val="24"/>
        </w:rPr>
      </w:pPr>
      <w:r w:rsidRPr="00E74838">
        <w:rPr>
          <w:rFonts w:cs="Times New Roman"/>
          <w:sz w:val="24"/>
          <w:szCs w:val="24"/>
        </w:rPr>
        <w:t>Record the number of unique business customers (establishments - as defined by the Bureau of Labor Statistics Quarterly Census of Earnings and Wages program) that received an employer service anytime within the previous three program years.</w:t>
      </w:r>
    </w:p>
    <w:p w14:paraId="513C1DF9" w14:textId="77777777" w:rsidR="00087C89" w:rsidRPr="00E74838" w:rsidRDefault="00087C89" w:rsidP="0001000B">
      <w:pPr>
        <w:spacing w:after="0" w:line="240" w:lineRule="auto"/>
        <w:rPr>
          <w:rFonts w:cs="Times New Roman"/>
          <w:sz w:val="24"/>
          <w:szCs w:val="24"/>
        </w:rPr>
      </w:pPr>
    </w:p>
    <w:p w14:paraId="0A56B33A" w14:textId="77777777" w:rsidR="00087C89" w:rsidRPr="00E74838" w:rsidRDefault="00087C89" w:rsidP="0001000B">
      <w:pPr>
        <w:spacing w:after="0" w:line="240" w:lineRule="auto"/>
        <w:rPr>
          <w:rFonts w:cs="Times New Roman"/>
          <w:sz w:val="24"/>
          <w:szCs w:val="24"/>
        </w:rPr>
      </w:pPr>
      <w:r w:rsidRPr="00E74838">
        <w:rPr>
          <w:rFonts w:cs="Times New Roman"/>
          <w:sz w:val="24"/>
          <w:szCs w:val="24"/>
        </w:rPr>
        <w:t>Regarding the suggestion to include those served more than once in the current year for purposes of the Repeat Customer measure, the Departments note that the fact that a business customer is served multiple times in a year would have no bearing on the calculation of the Repeat Customer measure.  Even if a customer was served multiple times during a program year the resulting Repeat Customer measure calculation would remain the same.  No change has been made in response to this comment.</w:t>
      </w:r>
    </w:p>
    <w:p w14:paraId="3B265C69" w14:textId="77777777" w:rsidR="00087C89" w:rsidRPr="00E74838" w:rsidRDefault="00087C89" w:rsidP="0001000B">
      <w:pPr>
        <w:spacing w:after="0" w:line="240" w:lineRule="auto"/>
        <w:rPr>
          <w:rFonts w:cs="Times New Roman"/>
          <w:sz w:val="24"/>
          <w:szCs w:val="24"/>
        </w:rPr>
      </w:pPr>
    </w:p>
    <w:p w14:paraId="1A49CBE2" w14:textId="1FC72ABA" w:rsidR="00087C89" w:rsidRPr="00E74838" w:rsidRDefault="00087C89" w:rsidP="0001000B">
      <w:pPr>
        <w:spacing w:after="0" w:line="240" w:lineRule="auto"/>
        <w:rPr>
          <w:rFonts w:cs="Times New Roman"/>
          <w:sz w:val="24"/>
          <w:szCs w:val="24"/>
        </w:rPr>
      </w:pPr>
      <w:r w:rsidRPr="00E74838">
        <w:rPr>
          <w:rFonts w:cs="Times New Roman"/>
          <w:sz w:val="24"/>
          <w:szCs w:val="24"/>
        </w:rPr>
        <w:t>The Departments concluded that additional burden would be imposed on the States if the Departments were to implement the recommendation that the Departments modify the Effectiveness in Serving Employers Report to breakout Repeat Customer performance by size of employer.  No change has been made in response to this comment.</w:t>
      </w:r>
    </w:p>
    <w:p w14:paraId="1C1F6C61" w14:textId="0700F644" w:rsidR="00087C89" w:rsidRPr="00E74838" w:rsidRDefault="00087C89" w:rsidP="0001000B">
      <w:pPr>
        <w:spacing w:after="0" w:line="240" w:lineRule="auto"/>
        <w:rPr>
          <w:rFonts w:cs="Times New Roman"/>
          <w:sz w:val="24"/>
          <w:szCs w:val="24"/>
        </w:rPr>
      </w:pPr>
      <w:r w:rsidRPr="00E74838">
        <w:rPr>
          <w:rFonts w:cs="Times New Roman"/>
          <w:sz w:val="24"/>
          <w:szCs w:val="24"/>
        </w:rPr>
        <w:t xml:space="preserve">Finally, retention with the same employer is one of the three options for </w:t>
      </w:r>
      <w:r w:rsidR="00E61DD5">
        <w:rPr>
          <w:rFonts w:cs="Times New Roman"/>
          <w:sz w:val="24"/>
          <w:szCs w:val="24"/>
        </w:rPr>
        <w:t xml:space="preserve">this indicator.  </w:t>
      </w:r>
      <w:r w:rsidRPr="00E74838">
        <w:rPr>
          <w:rFonts w:cs="Times New Roman"/>
          <w:sz w:val="24"/>
          <w:szCs w:val="24"/>
        </w:rPr>
        <w:t xml:space="preserve">  If a State selects this </w:t>
      </w:r>
      <w:r w:rsidR="00E61DD5">
        <w:rPr>
          <w:rFonts w:cs="Times New Roman"/>
          <w:sz w:val="24"/>
          <w:szCs w:val="24"/>
        </w:rPr>
        <w:t>option</w:t>
      </w:r>
      <w:r w:rsidRPr="00E74838">
        <w:rPr>
          <w:rFonts w:cs="Times New Roman"/>
          <w:sz w:val="24"/>
          <w:szCs w:val="24"/>
        </w:rPr>
        <w:t xml:space="preserve">, </w:t>
      </w:r>
      <w:r w:rsidR="00E61DD5">
        <w:rPr>
          <w:rFonts w:cs="Times New Roman"/>
          <w:sz w:val="24"/>
          <w:szCs w:val="24"/>
        </w:rPr>
        <w:t xml:space="preserve">it must also provide data on </w:t>
      </w:r>
      <w:r w:rsidR="007A6AC9">
        <w:rPr>
          <w:rFonts w:cs="Times New Roman"/>
          <w:sz w:val="24"/>
          <w:szCs w:val="24"/>
        </w:rPr>
        <w:t xml:space="preserve">either </w:t>
      </w:r>
      <w:r w:rsidRPr="00E74838">
        <w:rPr>
          <w:rFonts w:cs="Times New Roman"/>
          <w:sz w:val="24"/>
          <w:szCs w:val="24"/>
        </w:rPr>
        <w:t>the Employer Penetration Rate or Repeat Customers.   For the two measures that a State selects for employer effectiveness, the State must report the data in the Program Performance Report.</w:t>
      </w:r>
    </w:p>
    <w:p w14:paraId="6684F13D" w14:textId="77777777" w:rsidR="00087C89" w:rsidRDefault="00087C89" w:rsidP="0001000B">
      <w:pPr>
        <w:spacing w:after="0" w:line="240" w:lineRule="auto"/>
        <w:rPr>
          <w:rFonts w:cs="Times New Roman"/>
          <w:sz w:val="24"/>
          <w:szCs w:val="24"/>
        </w:rPr>
      </w:pPr>
    </w:p>
    <w:p w14:paraId="44B6CD06" w14:textId="77777777" w:rsidR="00820D61" w:rsidRPr="00E74838" w:rsidRDefault="00820D61" w:rsidP="0001000B">
      <w:pPr>
        <w:spacing w:after="0" w:line="240" w:lineRule="auto"/>
        <w:rPr>
          <w:rFonts w:cs="Times New Roman"/>
          <w:sz w:val="24"/>
          <w:szCs w:val="24"/>
        </w:rPr>
      </w:pPr>
    </w:p>
    <w:p w14:paraId="4BEA0C04" w14:textId="0DAAC908" w:rsidR="005E38AA" w:rsidRPr="00E74838" w:rsidRDefault="0005057F" w:rsidP="0001000B">
      <w:pPr>
        <w:spacing w:after="0" w:line="240" w:lineRule="auto"/>
        <w:outlineLvl w:val="0"/>
        <w:rPr>
          <w:rFonts w:eastAsia="Arial" w:cs="Times New Roman"/>
          <w:b/>
          <w:sz w:val="24"/>
          <w:szCs w:val="24"/>
        </w:rPr>
      </w:pPr>
      <w:r w:rsidRPr="00E74838">
        <w:rPr>
          <w:rFonts w:eastAsia="Arial" w:cs="Times New Roman"/>
          <w:b/>
          <w:sz w:val="24"/>
          <w:szCs w:val="24"/>
          <w:u w:val="single"/>
        </w:rPr>
        <w:lastRenderedPageBreak/>
        <w:t xml:space="preserve">Annual Report </w:t>
      </w:r>
      <w:r w:rsidR="00B06002" w:rsidRPr="00E74838">
        <w:rPr>
          <w:rFonts w:eastAsia="Arial" w:cs="Times New Roman"/>
          <w:b/>
          <w:sz w:val="24"/>
          <w:szCs w:val="24"/>
          <w:u w:val="single"/>
        </w:rPr>
        <w:t xml:space="preserve">Template </w:t>
      </w:r>
      <w:r w:rsidRPr="00E74838">
        <w:rPr>
          <w:rFonts w:eastAsia="Arial" w:cs="Times New Roman"/>
          <w:b/>
          <w:sz w:val="24"/>
          <w:szCs w:val="24"/>
          <w:u w:val="single"/>
        </w:rPr>
        <w:t xml:space="preserve">-- </w:t>
      </w:r>
      <w:r w:rsidR="00F23932" w:rsidRPr="00E74838">
        <w:rPr>
          <w:rFonts w:eastAsia="Arial" w:cs="Times New Roman"/>
          <w:b/>
          <w:sz w:val="24"/>
          <w:szCs w:val="24"/>
          <w:u w:val="single"/>
        </w:rPr>
        <w:t xml:space="preserve">Effectiveness </w:t>
      </w:r>
      <w:r w:rsidRPr="00E74838">
        <w:rPr>
          <w:rFonts w:eastAsia="Arial" w:cs="Times New Roman"/>
          <w:b/>
          <w:sz w:val="24"/>
          <w:szCs w:val="24"/>
          <w:u w:val="single"/>
        </w:rPr>
        <w:t xml:space="preserve">in </w:t>
      </w:r>
      <w:r w:rsidR="00F23932" w:rsidRPr="00E74838">
        <w:rPr>
          <w:rFonts w:eastAsia="Arial" w:cs="Times New Roman"/>
          <w:b/>
          <w:sz w:val="24"/>
          <w:szCs w:val="24"/>
          <w:u w:val="single"/>
        </w:rPr>
        <w:t>Serving Employe</w:t>
      </w:r>
      <w:r w:rsidRPr="00E74838">
        <w:rPr>
          <w:rFonts w:eastAsia="Arial" w:cs="Times New Roman"/>
          <w:b/>
          <w:sz w:val="24"/>
          <w:szCs w:val="24"/>
          <w:u w:val="single"/>
        </w:rPr>
        <w:t>rs</w:t>
      </w:r>
      <w:r w:rsidRPr="00E74838">
        <w:rPr>
          <w:rFonts w:eastAsia="Arial" w:cs="Times New Roman"/>
          <w:b/>
          <w:sz w:val="24"/>
          <w:szCs w:val="24"/>
        </w:rPr>
        <w:t>:</w:t>
      </w:r>
    </w:p>
    <w:bookmarkEnd w:id="11"/>
    <w:bookmarkEnd w:id="12"/>
    <w:p w14:paraId="23A29E3A" w14:textId="77777777" w:rsidR="004E2085" w:rsidRPr="00E74838" w:rsidRDefault="004E2085" w:rsidP="0001000B">
      <w:pPr>
        <w:spacing w:after="0" w:line="240" w:lineRule="auto"/>
        <w:outlineLvl w:val="0"/>
        <w:rPr>
          <w:rFonts w:eastAsia="Arial" w:cs="Times New Roman"/>
          <w:sz w:val="24"/>
          <w:szCs w:val="24"/>
        </w:rPr>
      </w:pPr>
    </w:p>
    <w:p w14:paraId="41A81987" w14:textId="09C4CF19" w:rsidR="00B06002" w:rsidRPr="00E74838" w:rsidRDefault="0005057F" w:rsidP="0001000B">
      <w:pPr>
        <w:spacing w:after="0" w:line="240" w:lineRule="auto"/>
        <w:outlineLvl w:val="0"/>
        <w:rPr>
          <w:rFonts w:eastAsia="Arial" w:cs="Times New Roman"/>
          <w:sz w:val="24"/>
          <w:szCs w:val="24"/>
        </w:rPr>
      </w:pPr>
      <w:r w:rsidRPr="00E74838">
        <w:rPr>
          <w:rFonts w:eastAsia="Arial" w:cs="Times New Roman"/>
          <w:sz w:val="24"/>
          <w:szCs w:val="24"/>
        </w:rPr>
        <w:t xml:space="preserve">One commenter questioned why the annual report template </w:t>
      </w:r>
      <w:r w:rsidR="00B06002" w:rsidRPr="00E74838">
        <w:rPr>
          <w:rFonts w:eastAsia="Arial" w:cs="Times New Roman"/>
          <w:sz w:val="24"/>
          <w:szCs w:val="24"/>
        </w:rPr>
        <w:t xml:space="preserve">requires the submitter to </w:t>
      </w:r>
      <w:r w:rsidRPr="00E74838">
        <w:rPr>
          <w:rFonts w:eastAsia="Arial" w:cs="Times New Roman"/>
          <w:sz w:val="24"/>
          <w:szCs w:val="24"/>
        </w:rPr>
        <w:t>identify</w:t>
      </w:r>
      <w:r w:rsidR="00B06002" w:rsidRPr="00E74838">
        <w:rPr>
          <w:rFonts w:eastAsia="Arial" w:cs="Times New Roman"/>
          <w:sz w:val="24"/>
          <w:szCs w:val="24"/>
        </w:rPr>
        <w:t xml:space="preserve"> the program, when the employer effectiveness data are supposed to be reported in the aggregate across all six core programs.  The commenter further questions why the submitter must only identify the DOL-administered core programs.</w:t>
      </w:r>
    </w:p>
    <w:p w14:paraId="76AD3C17" w14:textId="77777777" w:rsidR="00B76712" w:rsidRPr="00E74838" w:rsidRDefault="00B76712" w:rsidP="0001000B">
      <w:pPr>
        <w:spacing w:after="0" w:line="240" w:lineRule="auto"/>
        <w:outlineLvl w:val="0"/>
        <w:rPr>
          <w:rFonts w:eastAsia="Arial" w:cs="Times New Roman"/>
          <w:sz w:val="24"/>
          <w:szCs w:val="24"/>
        </w:rPr>
      </w:pPr>
    </w:p>
    <w:p w14:paraId="5D7C2D7E" w14:textId="5AE4951B" w:rsidR="00F23932" w:rsidRPr="00E74838" w:rsidRDefault="006F36CE" w:rsidP="0001000B">
      <w:pPr>
        <w:spacing w:after="0" w:line="240" w:lineRule="auto"/>
        <w:rPr>
          <w:rFonts w:eastAsia="Arial"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t>
      </w:r>
      <w:r w:rsidR="00F23932" w:rsidRPr="00E74838">
        <w:rPr>
          <w:rFonts w:eastAsia="Arial" w:cs="Times New Roman"/>
          <w:sz w:val="24"/>
          <w:szCs w:val="24"/>
        </w:rPr>
        <w:t xml:space="preserve">The Departments agree with this comment and will delete the referenced programs from the </w:t>
      </w:r>
      <w:r w:rsidR="00B06002" w:rsidRPr="00E74838">
        <w:rPr>
          <w:rFonts w:eastAsia="Arial" w:cs="Times New Roman"/>
          <w:sz w:val="24"/>
          <w:szCs w:val="24"/>
        </w:rPr>
        <w:t xml:space="preserve">annual </w:t>
      </w:r>
      <w:r w:rsidR="00F23932" w:rsidRPr="00E74838">
        <w:rPr>
          <w:rFonts w:eastAsia="Arial" w:cs="Times New Roman"/>
          <w:sz w:val="24"/>
          <w:szCs w:val="24"/>
        </w:rPr>
        <w:t>report</w:t>
      </w:r>
      <w:r w:rsidR="00B06002" w:rsidRPr="00E74838">
        <w:rPr>
          <w:rFonts w:eastAsia="Arial" w:cs="Times New Roman"/>
          <w:sz w:val="24"/>
          <w:szCs w:val="24"/>
        </w:rPr>
        <w:t xml:space="preserve"> template</w:t>
      </w:r>
      <w:r w:rsidR="00F23932" w:rsidRPr="00E74838">
        <w:rPr>
          <w:rFonts w:eastAsia="Arial" w:cs="Times New Roman"/>
          <w:sz w:val="24"/>
          <w:szCs w:val="24"/>
        </w:rPr>
        <w:t>.</w:t>
      </w:r>
      <w:r w:rsidRPr="00E74838">
        <w:rPr>
          <w:rFonts w:eastAsia="Arial" w:cs="Times New Roman"/>
          <w:sz w:val="24"/>
          <w:szCs w:val="24"/>
        </w:rPr>
        <w:t xml:space="preserve"> </w:t>
      </w:r>
      <w:r w:rsidR="00531353" w:rsidRPr="00E74838">
        <w:rPr>
          <w:rFonts w:eastAsia="Arial" w:cs="Times New Roman"/>
          <w:sz w:val="24"/>
          <w:szCs w:val="24"/>
        </w:rPr>
        <w:t xml:space="preserve"> </w:t>
      </w:r>
      <w:r w:rsidR="00C06B0A" w:rsidRPr="00E74838">
        <w:rPr>
          <w:rFonts w:eastAsia="Arial" w:cs="Times New Roman"/>
          <w:sz w:val="24"/>
          <w:szCs w:val="24"/>
        </w:rPr>
        <w:t xml:space="preserve">The Departments </w:t>
      </w:r>
      <w:r w:rsidR="00705D28" w:rsidRPr="00E74838">
        <w:rPr>
          <w:rFonts w:eastAsia="Arial" w:cs="Times New Roman"/>
          <w:sz w:val="24"/>
          <w:szCs w:val="24"/>
        </w:rPr>
        <w:t xml:space="preserve">have deleted </w:t>
      </w:r>
      <w:r w:rsidR="00F23932" w:rsidRPr="00E74838">
        <w:rPr>
          <w:rFonts w:eastAsia="Arial" w:cs="Times New Roman"/>
          <w:sz w:val="24"/>
          <w:szCs w:val="24"/>
        </w:rPr>
        <w:t>the contents of box #3 on the “Effectiveness in Serving Emp.” Tab in Appendix C.</w:t>
      </w:r>
    </w:p>
    <w:p w14:paraId="394B6567" w14:textId="77777777" w:rsidR="001A43CA" w:rsidRPr="00E74838" w:rsidRDefault="001A43CA" w:rsidP="0001000B">
      <w:pPr>
        <w:spacing w:after="0" w:line="240" w:lineRule="auto"/>
        <w:outlineLvl w:val="0"/>
        <w:rPr>
          <w:rFonts w:eastAsia="Arial" w:cs="Times New Roman"/>
          <w:b/>
          <w:sz w:val="24"/>
          <w:szCs w:val="24"/>
          <w:u w:val="single"/>
        </w:rPr>
      </w:pPr>
      <w:bookmarkStart w:id="13" w:name="OLE_LINK54"/>
      <w:bookmarkStart w:id="14" w:name="OLE_LINK55"/>
    </w:p>
    <w:p w14:paraId="6BE42056" w14:textId="77777777" w:rsidR="00827DA3" w:rsidRPr="00E74838" w:rsidRDefault="00827DA3" w:rsidP="0001000B">
      <w:pPr>
        <w:spacing w:after="0" w:line="240" w:lineRule="auto"/>
        <w:rPr>
          <w:rFonts w:cs="Times New Roman"/>
          <w:sz w:val="24"/>
          <w:szCs w:val="24"/>
        </w:rPr>
      </w:pPr>
      <w:r w:rsidRPr="00E74838">
        <w:rPr>
          <w:rFonts w:cs="Times New Roman"/>
          <w:b/>
          <w:sz w:val="24"/>
          <w:szCs w:val="24"/>
          <w:u w:val="single"/>
        </w:rPr>
        <w:t>Performance Report Template and Specifications</w:t>
      </w:r>
      <w:r w:rsidRPr="00E74838">
        <w:rPr>
          <w:rFonts w:cs="Times New Roman"/>
          <w:sz w:val="24"/>
          <w:szCs w:val="24"/>
        </w:rPr>
        <w:t>:</w:t>
      </w:r>
    </w:p>
    <w:p w14:paraId="4BAA584A" w14:textId="77777777" w:rsidR="004E2085" w:rsidRPr="00E74838" w:rsidRDefault="004E2085" w:rsidP="0001000B">
      <w:pPr>
        <w:spacing w:after="0" w:line="240" w:lineRule="auto"/>
        <w:rPr>
          <w:rFonts w:cs="Times New Roman"/>
          <w:sz w:val="24"/>
          <w:szCs w:val="24"/>
        </w:rPr>
      </w:pPr>
    </w:p>
    <w:p w14:paraId="4B1193E3" w14:textId="0BCDDF4C" w:rsidR="00827DA3" w:rsidRPr="00E74838" w:rsidRDefault="00827DA3" w:rsidP="0001000B">
      <w:pPr>
        <w:spacing w:after="0" w:line="240" w:lineRule="auto"/>
        <w:rPr>
          <w:rFonts w:cs="Times New Roman"/>
          <w:sz w:val="24"/>
          <w:szCs w:val="24"/>
        </w:rPr>
      </w:pPr>
      <w:r w:rsidRPr="00E74838">
        <w:rPr>
          <w:rFonts w:cs="Times New Roman"/>
          <w:sz w:val="24"/>
          <w:szCs w:val="24"/>
        </w:rPr>
        <w:t>One commenter asked what the intent of the Program Performance Report (ETA-9173) is and what reports it would replace.  Some commenters noted that the Departments posted two sets of differing data specifications for the Program Performance Report Template and Specifications (Appendix B and Appendix C) in the Joint Performance ICR.  Another commenter noted that there were mistakes in the Program Performance Report Template and Specifications.  For example, the data element titled Measurable Skills Gain: Enrolled in Secondary Education Program did not contain the code value “1”.  Another commenter noted that in Appendix C, it is unclear whether the denominator for the Employee Retention Rate is either the number of clients employed during the 2</w:t>
      </w:r>
      <w:r w:rsidRPr="00E74838">
        <w:rPr>
          <w:rFonts w:cs="Times New Roman"/>
          <w:sz w:val="24"/>
          <w:szCs w:val="24"/>
          <w:vertAlign w:val="superscript"/>
        </w:rPr>
        <w:t>nd</w:t>
      </w:r>
      <w:r w:rsidRPr="00E74838">
        <w:rPr>
          <w:rFonts w:cs="Times New Roman"/>
          <w:sz w:val="24"/>
          <w:szCs w:val="24"/>
        </w:rPr>
        <w:t xml:space="preserve"> quarter following exit or the number of clients who exited the program two quarters prior.  </w:t>
      </w:r>
    </w:p>
    <w:p w14:paraId="7C634D9E" w14:textId="77777777" w:rsidR="00827DA3" w:rsidRPr="00E74838" w:rsidRDefault="00827DA3" w:rsidP="0001000B">
      <w:pPr>
        <w:spacing w:after="0" w:line="240" w:lineRule="auto"/>
        <w:rPr>
          <w:rFonts w:cs="Times New Roman"/>
          <w:sz w:val="24"/>
          <w:szCs w:val="24"/>
        </w:rPr>
      </w:pPr>
    </w:p>
    <w:p w14:paraId="07A62C81" w14:textId="2F559F7B" w:rsidR="00827DA3" w:rsidRPr="00E74838" w:rsidRDefault="00827DA3" w:rsidP="0001000B">
      <w:pPr>
        <w:spacing w:after="0" w:line="240" w:lineRule="auto"/>
        <w:rPr>
          <w:rFonts w:cs="Times New Roman"/>
          <w:sz w:val="24"/>
          <w:szCs w:val="24"/>
        </w:rPr>
      </w:pPr>
      <w:r w:rsidRPr="00E74838">
        <w:rPr>
          <w:rFonts w:cs="Times New Roman"/>
          <w:b/>
          <w:sz w:val="24"/>
          <w:szCs w:val="24"/>
          <w:u w:val="single"/>
        </w:rPr>
        <w:t>Agencies’ Response, June 2016</w:t>
      </w:r>
      <w:r w:rsidRPr="00E74838">
        <w:rPr>
          <w:rFonts w:cs="Times New Roman"/>
          <w:sz w:val="24"/>
          <w:szCs w:val="24"/>
        </w:rPr>
        <w:t>:</w:t>
      </w:r>
      <w:r w:rsidR="00B76712" w:rsidRPr="00E74838">
        <w:rPr>
          <w:rFonts w:cs="Times New Roman"/>
          <w:sz w:val="24"/>
          <w:szCs w:val="24"/>
        </w:rPr>
        <w:t xml:space="preserve"> </w:t>
      </w:r>
      <w:r w:rsidRPr="00E74838">
        <w:rPr>
          <w:rFonts w:cs="Times New Roman"/>
          <w:sz w:val="24"/>
          <w:szCs w:val="24"/>
        </w:rPr>
        <w:t>The ETA-9173 is designed to display the aggregated values from the State data submitted using the PIRL format.  For performance reporting under WIOA, the ETA-9173 will replace prior forms such as the 9002 or 9090.  DOL is currently building a new reporting system to gather the WIOA-required data element</w:t>
      </w:r>
      <w:r w:rsidR="00C2309E" w:rsidRPr="00E74838">
        <w:rPr>
          <w:rFonts w:cs="Times New Roman"/>
          <w:sz w:val="24"/>
          <w:szCs w:val="24"/>
        </w:rPr>
        <w:t>s</w:t>
      </w:r>
      <w:r w:rsidRPr="00E74838">
        <w:rPr>
          <w:rFonts w:cs="Times New Roman"/>
          <w:sz w:val="24"/>
          <w:szCs w:val="24"/>
        </w:rPr>
        <w:t xml:space="preserve"> and will be providing guidance on this system and its implementation.</w:t>
      </w:r>
    </w:p>
    <w:p w14:paraId="0D06113B" w14:textId="77777777" w:rsidR="00827DA3" w:rsidRPr="00E74838" w:rsidRDefault="00827DA3" w:rsidP="0001000B">
      <w:pPr>
        <w:spacing w:after="0" w:line="240" w:lineRule="auto"/>
        <w:ind w:left="720"/>
        <w:rPr>
          <w:rFonts w:cs="Times New Roman"/>
          <w:sz w:val="24"/>
          <w:szCs w:val="24"/>
        </w:rPr>
      </w:pPr>
    </w:p>
    <w:p w14:paraId="3CCFB909" w14:textId="16482945" w:rsidR="00827DA3" w:rsidRPr="00E74838" w:rsidRDefault="00827DA3" w:rsidP="0001000B">
      <w:pPr>
        <w:spacing w:after="0" w:line="240" w:lineRule="auto"/>
        <w:rPr>
          <w:rFonts w:cs="Times New Roman"/>
          <w:sz w:val="24"/>
          <w:szCs w:val="24"/>
        </w:rPr>
      </w:pPr>
      <w:r w:rsidRPr="00E74838">
        <w:rPr>
          <w:rFonts w:cs="Times New Roman"/>
          <w:sz w:val="24"/>
          <w:szCs w:val="24"/>
        </w:rPr>
        <w:t>Appendix B was mistakenly included in the Joint Performance ICR and was duplicative of Appendix C.  The Departments removed Appendix B from the Joint Performance ICR.  Additionally, the Departments made several minor typographical edits to ensure consistency and uniformity.  For example, the missing code value “1” was added to the data element titled Measurable Skill Gains: Enrolled in Secondary Education Program.  The technical specification for the Employee Retention Rate indicator reads as follows:  Retention with Same Employer in the 2</w:t>
      </w:r>
      <w:r w:rsidRPr="00E74838">
        <w:rPr>
          <w:rFonts w:cs="Times New Roman"/>
          <w:sz w:val="24"/>
          <w:szCs w:val="24"/>
          <w:vertAlign w:val="superscript"/>
        </w:rPr>
        <w:t>nd</w:t>
      </w:r>
      <w:r w:rsidRPr="00E74838">
        <w:rPr>
          <w:rFonts w:cs="Times New Roman"/>
          <w:sz w:val="24"/>
          <w:szCs w:val="24"/>
        </w:rPr>
        <w:t xml:space="preserve"> and 4</w:t>
      </w:r>
      <w:r w:rsidRPr="00E74838">
        <w:rPr>
          <w:rFonts w:cs="Times New Roman"/>
          <w:sz w:val="24"/>
          <w:szCs w:val="24"/>
          <w:vertAlign w:val="superscript"/>
        </w:rPr>
        <w:t>th</w:t>
      </w:r>
      <w:r w:rsidRPr="00E74838">
        <w:rPr>
          <w:rFonts w:cs="Times New Roman"/>
          <w:sz w:val="24"/>
          <w:szCs w:val="24"/>
        </w:rPr>
        <w:t xml:space="preserve"> Quarters </w:t>
      </w:r>
      <w:proofErr w:type="gramStart"/>
      <w:r w:rsidRPr="00E74838">
        <w:rPr>
          <w:rFonts w:cs="Times New Roman"/>
          <w:sz w:val="24"/>
          <w:szCs w:val="24"/>
        </w:rPr>
        <w:t>After</w:t>
      </w:r>
      <w:proofErr w:type="gramEnd"/>
      <w:r w:rsidRPr="00E74838">
        <w:rPr>
          <w:rFonts w:cs="Times New Roman"/>
          <w:sz w:val="24"/>
          <w:szCs w:val="24"/>
        </w:rPr>
        <w:t xml:space="preserve"> Exit Numerator divided by Retention with Same Employer in the 2</w:t>
      </w:r>
      <w:r w:rsidRPr="00E74838">
        <w:rPr>
          <w:rFonts w:cs="Times New Roman"/>
          <w:sz w:val="24"/>
          <w:szCs w:val="24"/>
          <w:vertAlign w:val="superscript"/>
        </w:rPr>
        <w:t>nd</w:t>
      </w:r>
      <w:r w:rsidRPr="00E74838">
        <w:rPr>
          <w:rFonts w:cs="Times New Roman"/>
          <w:sz w:val="24"/>
          <w:szCs w:val="24"/>
        </w:rPr>
        <w:t xml:space="preserve"> and 4</w:t>
      </w:r>
      <w:r w:rsidRPr="00E74838">
        <w:rPr>
          <w:rFonts w:cs="Times New Roman"/>
          <w:sz w:val="24"/>
          <w:szCs w:val="24"/>
          <w:vertAlign w:val="superscript"/>
        </w:rPr>
        <w:t>th</w:t>
      </w:r>
      <w:r w:rsidRPr="00E74838">
        <w:rPr>
          <w:rFonts w:cs="Times New Roman"/>
          <w:sz w:val="24"/>
          <w:szCs w:val="24"/>
        </w:rPr>
        <w:t xml:space="preserve"> Quarters After Exit Denominator x 100.  This definition is correct as written, and the denominator </w:t>
      </w:r>
      <w:r w:rsidR="00431F08">
        <w:rPr>
          <w:rFonts w:cs="Times New Roman"/>
          <w:sz w:val="24"/>
          <w:szCs w:val="24"/>
        </w:rPr>
        <w:t xml:space="preserve">indicates the number of </w:t>
      </w:r>
      <w:r w:rsidR="007A6AC9">
        <w:rPr>
          <w:rFonts w:cs="Times New Roman"/>
          <w:sz w:val="24"/>
          <w:szCs w:val="24"/>
        </w:rPr>
        <w:t>participants</w:t>
      </w:r>
      <w:r w:rsidR="00431F08">
        <w:rPr>
          <w:rFonts w:cs="Times New Roman"/>
          <w:sz w:val="24"/>
          <w:szCs w:val="24"/>
        </w:rPr>
        <w:t xml:space="preserve"> who </w:t>
      </w:r>
      <w:r w:rsidR="007A6AC9">
        <w:rPr>
          <w:rFonts w:cs="Times New Roman"/>
          <w:sz w:val="24"/>
          <w:szCs w:val="24"/>
        </w:rPr>
        <w:t xml:space="preserve">were </w:t>
      </w:r>
      <w:r w:rsidR="00431F08">
        <w:rPr>
          <w:rFonts w:cs="Times New Roman"/>
          <w:sz w:val="24"/>
          <w:szCs w:val="24"/>
        </w:rPr>
        <w:t>employed during the second quarter following exit</w:t>
      </w:r>
      <w:r w:rsidRPr="00E74838">
        <w:rPr>
          <w:rFonts w:cs="Times New Roman"/>
          <w:sz w:val="24"/>
          <w:szCs w:val="24"/>
        </w:rPr>
        <w:t>. No change has been made in response to this comment.</w:t>
      </w:r>
    </w:p>
    <w:p w14:paraId="07FA5561" w14:textId="77777777" w:rsidR="00827DA3" w:rsidRDefault="00827DA3" w:rsidP="0001000B">
      <w:pPr>
        <w:spacing w:after="0" w:line="240" w:lineRule="auto"/>
        <w:rPr>
          <w:rFonts w:cs="Times New Roman"/>
          <w:sz w:val="24"/>
          <w:szCs w:val="24"/>
        </w:rPr>
      </w:pPr>
    </w:p>
    <w:p w14:paraId="33E42A7C" w14:textId="77777777" w:rsidR="00820D61" w:rsidRDefault="00820D61" w:rsidP="0001000B">
      <w:pPr>
        <w:spacing w:after="0" w:line="240" w:lineRule="auto"/>
        <w:rPr>
          <w:rFonts w:cs="Times New Roman"/>
          <w:sz w:val="24"/>
          <w:szCs w:val="24"/>
        </w:rPr>
      </w:pPr>
    </w:p>
    <w:p w14:paraId="533E9F94" w14:textId="77777777" w:rsidR="00820D61" w:rsidRPr="00E74838" w:rsidRDefault="00820D61" w:rsidP="0001000B">
      <w:pPr>
        <w:spacing w:after="0" w:line="240" w:lineRule="auto"/>
        <w:rPr>
          <w:rFonts w:cs="Times New Roman"/>
          <w:sz w:val="24"/>
          <w:szCs w:val="24"/>
        </w:rPr>
      </w:pPr>
    </w:p>
    <w:p w14:paraId="29AA2C2D" w14:textId="6058DD25" w:rsidR="00827DA3" w:rsidRPr="00E74838" w:rsidRDefault="00EE740B" w:rsidP="0001000B">
      <w:pPr>
        <w:spacing w:after="0" w:line="240" w:lineRule="auto"/>
        <w:rPr>
          <w:rFonts w:cs="Times New Roman"/>
          <w:b/>
          <w:sz w:val="24"/>
          <w:szCs w:val="24"/>
        </w:rPr>
      </w:pPr>
      <w:r w:rsidRPr="00E74838">
        <w:rPr>
          <w:rFonts w:cs="Times New Roman"/>
          <w:b/>
          <w:sz w:val="24"/>
          <w:szCs w:val="24"/>
          <w:u w:val="single"/>
        </w:rPr>
        <w:lastRenderedPageBreak/>
        <w:t xml:space="preserve">Joint PIRL -- </w:t>
      </w:r>
      <w:r w:rsidR="00827DA3" w:rsidRPr="00E74838">
        <w:rPr>
          <w:rFonts w:cs="Times New Roman"/>
          <w:b/>
          <w:sz w:val="24"/>
          <w:szCs w:val="24"/>
          <w:u w:val="single"/>
        </w:rPr>
        <w:t>General Comments</w:t>
      </w:r>
      <w:r w:rsidR="00827DA3" w:rsidRPr="00E74838">
        <w:rPr>
          <w:rFonts w:cs="Times New Roman"/>
          <w:b/>
          <w:sz w:val="24"/>
          <w:szCs w:val="24"/>
        </w:rPr>
        <w:t>:</w:t>
      </w:r>
    </w:p>
    <w:p w14:paraId="21DD3383" w14:textId="77777777" w:rsidR="004E2085" w:rsidRPr="00E74838" w:rsidRDefault="004E2085" w:rsidP="0001000B">
      <w:pPr>
        <w:spacing w:after="0" w:line="240" w:lineRule="auto"/>
        <w:rPr>
          <w:rFonts w:cs="Times New Roman"/>
          <w:sz w:val="24"/>
          <w:szCs w:val="24"/>
        </w:rPr>
      </w:pPr>
    </w:p>
    <w:p w14:paraId="05F4D176" w14:textId="77777777" w:rsidR="00827DA3" w:rsidRPr="00E74838" w:rsidRDefault="00827DA3" w:rsidP="0001000B">
      <w:pPr>
        <w:spacing w:after="0" w:line="240" w:lineRule="auto"/>
        <w:rPr>
          <w:rFonts w:cs="Times New Roman"/>
          <w:sz w:val="24"/>
          <w:szCs w:val="24"/>
        </w:rPr>
      </w:pPr>
      <w:r w:rsidRPr="00E74838">
        <w:rPr>
          <w:rFonts w:cs="Times New Roman"/>
          <w:sz w:val="24"/>
          <w:szCs w:val="24"/>
        </w:rPr>
        <w:t>One commenter stated that it was unclear whether the published document DOL PIRL (ETA-9172) represented a data dictionary or the report layout.  The commenter inquired as to when the initial data collection format would be released for public comment.  One commenter recommended that the Departments provide detailed data specific SQL statements as part of the definition of each data element.  According to the commenter, such technical specifications would remove any ambiguity, greatly reduce development time for programmers and database administrators, and reduce errors.  One commenter noted that the column headers in the PIRL represent only DOL-funded programs and, therefore, it is not clear what programs each column represents.</w:t>
      </w:r>
    </w:p>
    <w:p w14:paraId="1C143F50" w14:textId="77777777" w:rsidR="00827DA3" w:rsidRPr="00E74838" w:rsidRDefault="00827DA3" w:rsidP="0001000B">
      <w:pPr>
        <w:spacing w:after="0" w:line="240" w:lineRule="auto"/>
        <w:rPr>
          <w:rFonts w:cs="Times New Roman"/>
          <w:sz w:val="24"/>
          <w:szCs w:val="24"/>
        </w:rPr>
      </w:pPr>
    </w:p>
    <w:p w14:paraId="4FCD9BD1" w14:textId="094570A6" w:rsidR="00827DA3" w:rsidRPr="00E74838" w:rsidRDefault="00827DA3" w:rsidP="0001000B">
      <w:pPr>
        <w:spacing w:after="0" w:line="240" w:lineRule="auto"/>
        <w:rPr>
          <w:rFonts w:cs="Times New Roman"/>
          <w:sz w:val="24"/>
          <w:szCs w:val="24"/>
        </w:rPr>
      </w:pPr>
      <w:r w:rsidRPr="00E74838">
        <w:rPr>
          <w:rFonts w:cs="Times New Roman"/>
          <w:sz w:val="24"/>
          <w:szCs w:val="24"/>
        </w:rPr>
        <w:t xml:space="preserve">One commenter recommended that in addition to collecting disaggregated data for Asian American (data element 212) and Native Hawaiian/Other Pacific Islander (data element 214) participants, the Departments should require States to collect disaggregated data on Asian American and Pacific Islander (AAPI) participants.  One commenter requested that the code value “not in the labor force” identify those individuals who were not employed and not actively looking for work when they entered the programs.   This commenter also supported inclusion of educational attainment in foreign countries in the definition of “highest educational level completed at program entry” (data element 408).  Another commenter recommended that a code for youth placed in long term employment subsidized by some other non-governmental funding stream be included in the code values for </w:t>
      </w:r>
      <w:r w:rsidR="00635273" w:rsidRPr="00E74838">
        <w:rPr>
          <w:rFonts w:cs="Times New Roman"/>
          <w:sz w:val="24"/>
          <w:szCs w:val="24"/>
        </w:rPr>
        <w:t>t</w:t>
      </w:r>
      <w:r w:rsidRPr="00E74838">
        <w:rPr>
          <w:rFonts w:cs="Times New Roman"/>
          <w:sz w:val="24"/>
          <w:szCs w:val="24"/>
        </w:rPr>
        <w:t xml:space="preserve">itle I-specific data elements 1900 and 1901.  </w:t>
      </w:r>
    </w:p>
    <w:p w14:paraId="1DDF8884" w14:textId="77777777" w:rsidR="00827DA3" w:rsidRPr="00E74838" w:rsidRDefault="00827DA3" w:rsidP="0001000B">
      <w:pPr>
        <w:spacing w:after="0" w:line="240" w:lineRule="auto"/>
        <w:rPr>
          <w:rFonts w:cs="Times New Roman"/>
          <w:sz w:val="24"/>
          <w:szCs w:val="24"/>
        </w:rPr>
      </w:pPr>
    </w:p>
    <w:p w14:paraId="2384FB2F" w14:textId="77777777" w:rsidR="00827DA3" w:rsidRPr="00E74838" w:rsidRDefault="00827DA3" w:rsidP="0001000B">
      <w:pPr>
        <w:spacing w:after="0" w:line="240" w:lineRule="auto"/>
        <w:rPr>
          <w:rFonts w:cs="Times New Roman"/>
          <w:sz w:val="24"/>
          <w:szCs w:val="24"/>
        </w:rPr>
      </w:pPr>
      <w:r w:rsidRPr="00E74838">
        <w:rPr>
          <w:rFonts w:cs="Times New Roman"/>
          <w:sz w:val="24"/>
          <w:szCs w:val="24"/>
        </w:rPr>
        <w:t>One commenter requested clarification regarding whether agencies are required to collect all eligibility information at the time of providing staff-assisted services and how to serve individuals that refuse to provide information at program entry.  The commenter also requested further clarification regarding Supportive Services.</w:t>
      </w:r>
    </w:p>
    <w:p w14:paraId="3FA4FBA3" w14:textId="77777777" w:rsidR="00827DA3" w:rsidRPr="00E74838" w:rsidRDefault="00827DA3" w:rsidP="0001000B">
      <w:pPr>
        <w:spacing w:after="0" w:line="240" w:lineRule="auto"/>
        <w:rPr>
          <w:rFonts w:cs="Times New Roman"/>
          <w:sz w:val="24"/>
          <w:szCs w:val="24"/>
        </w:rPr>
      </w:pPr>
    </w:p>
    <w:p w14:paraId="37567395" w14:textId="77777777" w:rsidR="00827DA3" w:rsidRPr="00E74838" w:rsidRDefault="00827DA3" w:rsidP="0001000B">
      <w:pPr>
        <w:spacing w:after="0" w:line="240" w:lineRule="auto"/>
        <w:rPr>
          <w:rFonts w:cs="Times New Roman"/>
          <w:sz w:val="24"/>
          <w:szCs w:val="24"/>
        </w:rPr>
      </w:pPr>
      <w:r w:rsidRPr="00E74838">
        <w:rPr>
          <w:rFonts w:cs="Times New Roman"/>
          <w:sz w:val="24"/>
          <w:szCs w:val="24"/>
        </w:rPr>
        <w:t xml:space="preserve">One commenter requested clarification regarding whether VR agencies are required to report the post-exit data elements for the first and third quarters after the exit quarter.  </w:t>
      </w:r>
    </w:p>
    <w:p w14:paraId="0A9CED07" w14:textId="77777777" w:rsidR="00827DA3" w:rsidRPr="00E74838" w:rsidRDefault="00827DA3" w:rsidP="0001000B">
      <w:pPr>
        <w:spacing w:after="0" w:line="240" w:lineRule="auto"/>
        <w:rPr>
          <w:rFonts w:cs="Times New Roman"/>
          <w:sz w:val="24"/>
          <w:szCs w:val="24"/>
        </w:rPr>
      </w:pPr>
    </w:p>
    <w:p w14:paraId="413DED79" w14:textId="77777777" w:rsidR="00827DA3" w:rsidRPr="00E74838" w:rsidRDefault="00827DA3" w:rsidP="0001000B">
      <w:pPr>
        <w:spacing w:after="0" w:line="240" w:lineRule="auto"/>
        <w:rPr>
          <w:rFonts w:cs="Times New Roman"/>
          <w:sz w:val="24"/>
          <w:szCs w:val="24"/>
        </w:rPr>
      </w:pPr>
      <w:r w:rsidRPr="00E74838">
        <w:rPr>
          <w:rFonts w:cs="Times New Roman"/>
          <w:sz w:val="24"/>
          <w:szCs w:val="24"/>
        </w:rPr>
        <w:t>One commenter stated that information regarding TANF, SSI and SSDI participation would be burdensome for agencies and programs that do not have access to a State system for verification of status.  Several commenters noted that the reporting requirements for post-exit data are burdensome for programs that rely on data gathered by case managers.</w:t>
      </w:r>
    </w:p>
    <w:p w14:paraId="7FCC232E" w14:textId="77777777" w:rsidR="00827DA3" w:rsidRPr="00E74838" w:rsidRDefault="00827DA3" w:rsidP="0001000B">
      <w:pPr>
        <w:spacing w:after="0" w:line="240" w:lineRule="auto"/>
        <w:rPr>
          <w:rFonts w:cs="Times New Roman"/>
          <w:sz w:val="24"/>
          <w:szCs w:val="24"/>
        </w:rPr>
      </w:pPr>
    </w:p>
    <w:p w14:paraId="2A70E418" w14:textId="247CC403" w:rsidR="00827DA3" w:rsidRPr="00E74838" w:rsidRDefault="00827DA3" w:rsidP="00820D61">
      <w:pPr>
        <w:spacing w:after="0" w:line="240" w:lineRule="auto"/>
        <w:rPr>
          <w:rFonts w:cs="Times New Roman"/>
          <w:sz w:val="24"/>
          <w:szCs w:val="24"/>
        </w:rPr>
      </w:pPr>
      <w:r w:rsidRPr="00E74838">
        <w:rPr>
          <w:rFonts w:cs="Times New Roman"/>
          <w:b/>
          <w:sz w:val="24"/>
          <w:szCs w:val="24"/>
        </w:rPr>
        <w:t>Agencies’ Response, June 2016:</w:t>
      </w:r>
      <w:r w:rsidR="00B76712" w:rsidRPr="00E74838">
        <w:rPr>
          <w:rFonts w:cs="Times New Roman"/>
          <w:sz w:val="24"/>
          <w:szCs w:val="24"/>
        </w:rPr>
        <w:t xml:space="preserve">  </w:t>
      </w:r>
      <w:r w:rsidRPr="00E74838">
        <w:rPr>
          <w:rFonts w:cs="Times New Roman"/>
          <w:sz w:val="24"/>
          <w:szCs w:val="24"/>
        </w:rPr>
        <w:t>The PIRL (ETA-917</w:t>
      </w:r>
      <w:r w:rsidR="00E32B6F" w:rsidRPr="00E74838">
        <w:rPr>
          <w:rFonts w:cs="Times New Roman"/>
          <w:sz w:val="24"/>
          <w:szCs w:val="24"/>
        </w:rPr>
        <w:t>0</w:t>
      </w:r>
      <w:r w:rsidRPr="00E74838">
        <w:rPr>
          <w:rFonts w:cs="Times New Roman"/>
          <w:sz w:val="24"/>
          <w:szCs w:val="24"/>
        </w:rPr>
        <w:t xml:space="preserve">) </w:t>
      </w:r>
      <w:r w:rsidR="00E32B6F" w:rsidRPr="00E74838">
        <w:rPr>
          <w:rFonts w:cs="Times New Roman"/>
          <w:sz w:val="24"/>
          <w:szCs w:val="24"/>
        </w:rPr>
        <w:t>is</w:t>
      </w:r>
      <w:r w:rsidRPr="00E74838">
        <w:rPr>
          <w:rFonts w:cs="Times New Roman"/>
          <w:sz w:val="24"/>
          <w:szCs w:val="24"/>
        </w:rPr>
        <w:t xml:space="preserve"> not intended to be used as a data reporting form and, instead, represents a data </w:t>
      </w:r>
      <w:r w:rsidR="00E32B6F" w:rsidRPr="00E74838">
        <w:rPr>
          <w:rFonts w:cs="Times New Roman"/>
          <w:sz w:val="24"/>
          <w:szCs w:val="24"/>
        </w:rPr>
        <w:t xml:space="preserve">collection instrument </w:t>
      </w:r>
      <w:r w:rsidRPr="00E74838">
        <w:rPr>
          <w:rFonts w:cs="Times New Roman"/>
          <w:sz w:val="24"/>
          <w:szCs w:val="24"/>
        </w:rPr>
        <w:t>including the data element names, definitions, and code values.  The actual data will be submitted in a comma delimited format for DOL programs.  The VR data collection instrument is the RSA-911, and it will also be collected in a comma delimited format.  The AEFLA data collection instrument is the AEFLA Reporting Tables in the National Reporting System for Adult Education.</w:t>
      </w:r>
    </w:p>
    <w:p w14:paraId="47EB33FA" w14:textId="03E65964" w:rsidR="00827DA3" w:rsidRPr="00E74838" w:rsidRDefault="00827DA3" w:rsidP="0001000B">
      <w:pPr>
        <w:spacing w:after="0" w:line="240" w:lineRule="auto"/>
        <w:rPr>
          <w:rFonts w:cs="Times New Roman"/>
          <w:sz w:val="24"/>
          <w:szCs w:val="24"/>
        </w:rPr>
      </w:pPr>
      <w:r w:rsidRPr="00E74838">
        <w:rPr>
          <w:rFonts w:cs="Times New Roman"/>
          <w:sz w:val="24"/>
          <w:szCs w:val="24"/>
        </w:rPr>
        <w:lastRenderedPageBreak/>
        <w:t>With respect to the recommendation that the Departments include data specific SQL statements as part of each data element, writing such technical specifications would require additional resources and would be complicated by the variation in data element definitions among the core programs (e.g., participation, exit).  The Departments provided a general template for SQL statements by creating a “plain text” specification as well as a pseudo-code version of the specification that is intended for use by programmers and database administrators.  No change has been made in response to this comment.</w:t>
      </w:r>
    </w:p>
    <w:p w14:paraId="2535CDB2" w14:textId="77777777" w:rsidR="00827DA3" w:rsidRPr="00E74838" w:rsidRDefault="00827DA3" w:rsidP="0001000B">
      <w:pPr>
        <w:spacing w:after="0" w:line="240" w:lineRule="auto"/>
        <w:rPr>
          <w:rFonts w:cs="Times New Roman"/>
          <w:sz w:val="24"/>
          <w:szCs w:val="24"/>
        </w:rPr>
      </w:pPr>
    </w:p>
    <w:p w14:paraId="1C20F145" w14:textId="09476A8D" w:rsidR="00827DA3" w:rsidRPr="00E74838" w:rsidRDefault="00827DA3" w:rsidP="0001000B">
      <w:pPr>
        <w:spacing w:after="0" w:line="240" w:lineRule="auto"/>
        <w:rPr>
          <w:rFonts w:cs="Times New Roman"/>
          <w:sz w:val="24"/>
          <w:szCs w:val="24"/>
        </w:rPr>
      </w:pPr>
      <w:r w:rsidRPr="00E74838">
        <w:rPr>
          <w:rFonts w:cs="Times New Roman"/>
          <w:sz w:val="24"/>
          <w:szCs w:val="24"/>
        </w:rPr>
        <w:t xml:space="preserve">The race categories included in the Joint Performance ICR reflect those categories defined in OMB Statistical Directive 15 FRN, 97 Fed. Reg. 28653 (October 30, </w:t>
      </w:r>
      <w:r w:rsidR="00B96588">
        <w:rPr>
          <w:rFonts w:cs="Times New Roman"/>
          <w:sz w:val="24"/>
          <w:szCs w:val="24"/>
        </w:rPr>
        <w:t>1997</w:t>
      </w:r>
      <w:r w:rsidRPr="00E74838">
        <w:rPr>
          <w:rFonts w:cs="Times New Roman"/>
          <w:sz w:val="24"/>
          <w:szCs w:val="24"/>
        </w:rPr>
        <w:t xml:space="preserve">).  Furthermore, the level of disaggregation required is aligned with what is statutorily required by WIOA. The Departments considered the requests to add the code value “not in the labor force” to identify those individuals who were not employed and not actively looking for work when they entered the programs and to include educational attainment in foreign countries in the definition of “highest educational level completed at program entry” (data element 408); however, no change was made in response to these requests.  The Departments have determined that the six code values included in </w:t>
      </w:r>
      <w:r w:rsidR="00635273" w:rsidRPr="00E74838">
        <w:rPr>
          <w:rFonts w:cs="Times New Roman"/>
          <w:sz w:val="24"/>
          <w:szCs w:val="24"/>
        </w:rPr>
        <w:t>t</w:t>
      </w:r>
      <w:r w:rsidRPr="00E74838">
        <w:rPr>
          <w:rFonts w:cs="Times New Roman"/>
          <w:sz w:val="24"/>
          <w:szCs w:val="24"/>
        </w:rPr>
        <w:t>itle I data elements 1900 and 1901 are sufficient to accurately measure placement for youth in the 2</w:t>
      </w:r>
      <w:r w:rsidRPr="00E74838">
        <w:rPr>
          <w:rFonts w:cs="Times New Roman"/>
          <w:sz w:val="24"/>
          <w:szCs w:val="24"/>
          <w:vertAlign w:val="superscript"/>
        </w:rPr>
        <w:t>nd</w:t>
      </w:r>
      <w:r w:rsidRPr="00E74838">
        <w:rPr>
          <w:rFonts w:cs="Times New Roman"/>
          <w:sz w:val="24"/>
          <w:szCs w:val="24"/>
        </w:rPr>
        <w:t xml:space="preserve"> and 4</w:t>
      </w:r>
      <w:r w:rsidRPr="00E74838">
        <w:rPr>
          <w:rFonts w:cs="Times New Roman"/>
          <w:sz w:val="24"/>
          <w:szCs w:val="24"/>
          <w:vertAlign w:val="superscript"/>
        </w:rPr>
        <w:t>th</w:t>
      </w:r>
      <w:r w:rsidRPr="00E74838">
        <w:rPr>
          <w:rFonts w:cs="Times New Roman"/>
          <w:sz w:val="24"/>
          <w:szCs w:val="24"/>
        </w:rPr>
        <w:t xml:space="preserve"> quarters after exit .</w:t>
      </w:r>
    </w:p>
    <w:p w14:paraId="36D4A21C" w14:textId="77777777" w:rsidR="00827DA3" w:rsidRPr="00E74838" w:rsidRDefault="00827DA3" w:rsidP="0001000B">
      <w:pPr>
        <w:spacing w:after="0" w:line="240" w:lineRule="auto"/>
        <w:rPr>
          <w:rFonts w:cs="Times New Roman"/>
          <w:sz w:val="24"/>
          <w:szCs w:val="24"/>
        </w:rPr>
      </w:pPr>
    </w:p>
    <w:p w14:paraId="165BCEF0" w14:textId="77777777" w:rsidR="00827DA3" w:rsidRPr="00E74838" w:rsidRDefault="00827DA3" w:rsidP="0001000B">
      <w:pPr>
        <w:spacing w:after="0" w:line="240" w:lineRule="auto"/>
        <w:rPr>
          <w:rFonts w:cs="Times New Roman"/>
          <w:sz w:val="24"/>
          <w:szCs w:val="24"/>
        </w:rPr>
      </w:pPr>
      <w:r w:rsidRPr="00E74838">
        <w:rPr>
          <w:rFonts w:cs="Times New Roman"/>
          <w:sz w:val="24"/>
          <w:szCs w:val="24"/>
        </w:rPr>
        <w:t xml:space="preserve">With regard to the request for clarification regarding staff-assisted services, supportive services, and guidance on how to serve individuals that refuse to provide required information at program entry, the Departments will issue guidance to address these issues.  </w:t>
      </w:r>
    </w:p>
    <w:p w14:paraId="5B1E7A98" w14:textId="77777777" w:rsidR="00827DA3" w:rsidRPr="00E74838" w:rsidRDefault="00827DA3" w:rsidP="0001000B">
      <w:pPr>
        <w:spacing w:after="0" w:line="240" w:lineRule="auto"/>
        <w:ind w:left="720"/>
        <w:rPr>
          <w:rFonts w:cs="Times New Roman"/>
          <w:sz w:val="24"/>
          <w:szCs w:val="24"/>
        </w:rPr>
      </w:pPr>
    </w:p>
    <w:p w14:paraId="15F6ADC1" w14:textId="30987D25" w:rsidR="00256DEE" w:rsidRPr="005509F0" w:rsidRDefault="00827DA3" w:rsidP="0001000B">
      <w:pPr>
        <w:spacing w:after="0" w:line="240" w:lineRule="auto"/>
        <w:rPr>
          <w:rFonts w:cs="Times New Roman"/>
          <w:sz w:val="24"/>
          <w:szCs w:val="24"/>
        </w:rPr>
      </w:pPr>
      <w:r w:rsidRPr="00E74838">
        <w:rPr>
          <w:rFonts w:cs="Times New Roman"/>
          <w:sz w:val="24"/>
          <w:szCs w:val="24"/>
        </w:rPr>
        <w:t xml:space="preserve">For the VR program, the employment data for the first and third completed quarters after exit are only required when necessary to document credential attainment for students who attained a secondary education credential. The collection of first and third quarter after exit employment and wage information is integral in the calculation of the credential attainment rate. Specifically, </w:t>
      </w:r>
      <w:r w:rsidR="00256DEE">
        <w:rPr>
          <w:rFonts w:cs="Times New Roman"/>
          <w:sz w:val="24"/>
          <w:szCs w:val="24"/>
        </w:rPr>
        <w:t>the number of participants who exited must meet BOTH of the following criteria:</w:t>
      </w:r>
    </w:p>
    <w:p w14:paraId="0116F601" w14:textId="37000F98" w:rsidR="00256DEE" w:rsidRPr="005509F0" w:rsidRDefault="00256DEE" w:rsidP="0001000B">
      <w:pPr>
        <w:spacing w:after="0" w:line="240" w:lineRule="auto"/>
        <w:rPr>
          <w:rFonts w:cs="Times New Roman"/>
          <w:sz w:val="24"/>
          <w:szCs w:val="24"/>
        </w:rPr>
      </w:pPr>
    </w:p>
    <w:p w14:paraId="38D01AA6" w14:textId="2BB1F8E0" w:rsidR="00256DEE" w:rsidRPr="005509F0" w:rsidRDefault="00256DEE" w:rsidP="0001000B">
      <w:pPr>
        <w:pStyle w:val="ListParagraph"/>
        <w:numPr>
          <w:ilvl w:val="0"/>
          <w:numId w:val="44"/>
        </w:numPr>
        <w:spacing w:after="0" w:line="240" w:lineRule="auto"/>
        <w:rPr>
          <w:rFonts w:asciiTheme="minorHAnsi" w:hAnsiTheme="minorHAnsi" w:cs="Times New Roman"/>
          <w:szCs w:val="24"/>
        </w:rPr>
      </w:pPr>
      <w:r w:rsidRPr="005509F0">
        <w:rPr>
          <w:rFonts w:asciiTheme="minorHAnsi" w:hAnsiTheme="minorHAnsi" w:cs="Times New Roman"/>
          <w:szCs w:val="24"/>
        </w:rPr>
        <w:t xml:space="preserve">Be enrolled in a </w:t>
      </w:r>
      <w:r w:rsidR="00827DA3" w:rsidRPr="005509F0">
        <w:rPr>
          <w:rFonts w:asciiTheme="minorHAnsi" w:hAnsiTheme="minorHAnsi" w:cs="Times New Roman"/>
          <w:szCs w:val="24"/>
        </w:rPr>
        <w:t>secondary education program and obtain a secondary school diploma or its equivalent during the program or within one year after exit</w:t>
      </w:r>
      <w:r w:rsidRPr="005509F0">
        <w:rPr>
          <w:rFonts w:asciiTheme="minorHAnsi" w:hAnsiTheme="minorHAnsi" w:cs="Times New Roman"/>
          <w:szCs w:val="24"/>
        </w:rPr>
        <w:t>;</w:t>
      </w:r>
      <w:r w:rsidR="00827DA3" w:rsidRPr="005509F0">
        <w:rPr>
          <w:rFonts w:asciiTheme="minorHAnsi" w:hAnsiTheme="minorHAnsi" w:cs="Times New Roman"/>
          <w:szCs w:val="24"/>
        </w:rPr>
        <w:t xml:space="preserve"> </w:t>
      </w:r>
      <w:r w:rsidR="00827DA3" w:rsidRPr="005509F0">
        <w:rPr>
          <w:rFonts w:asciiTheme="minorHAnsi" w:hAnsiTheme="minorHAnsi" w:cs="Times New Roman"/>
          <w:i/>
          <w:szCs w:val="24"/>
        </w:rPr>
        <w:t>AND</w:t>
      </w:r>
      <w:r w:rsidR="00827DA3" w:rsidRPr="005509F0">
        <w:rPr>
          <w:rFonts w:asciiTheme="minorHAnsi" w:hAnsiTheme="minorHAnsi" w:cs="Times New Roman"/>
          <w:szCs w:val="24"/>
        </w:rPr>
        <w:t xml:space="preserve"> </w:t>
      </w:r>
    </w:p>
    <w:p w14:paraId="3B51F5E8" w14:textId="3FF8DB40" w:rsidR="00827DA3" w:rsidRPr="005509F0" w:rsidRDefault="00256DEE" w:rsidP="0001000B">
      <w:pPr>
        <w:pStyle w:val="ListParagraph"/>
        <w:numPr>
          <w:ilvl w:val="0"/>
          <w:numId w:val="44"/>
        </w:numPr>
        <w:spacing w:after="0" w:line="240" w:lineRule="auto"/>
        <w:rPr>
          <w:rFonts w:asciiTheme="minorHAnsi" w:hAnsiTheme="minorHAnsi" w:cs="Times New Roman"/>
          <w:szCs w:val="24"/>
        </w:rPr>
      </w:pPr>
      <w:r w:rsidRPr="005509F0">
        <w:rPr>
          <w:rFonts w:asciiTheme="minorHAnsi" w:hAnsiTheme="minorHAnsi" w:cs="Times New Roman"/>
          <w:szCs w:val="24"/>
        </w:rPr>
        <w:t xml:space="preserve">Be </w:t>
      </w:r>
      <w:r w:rsidR="00827DA3" w:rsidRPr="005509F0">
        <w:rPr>
          <w:rFonts w:asciiTheme="minorHAnsi" w:hAnsiTheme="minorHAnsi" w:cs="Times New Roman"/>
          <w:szCs w:val="24"/>
        </w:rPr>
        <w:t>employed or enrolled in an education or training program leading to a recognized postsecondary credential within one year after exit.</w:t>
      </w:r>
    </w:p>
    <w:p w14:paraId="52539335" w14:textId="77777777" w:rsidR="00827DA3" w:rsidRPr="005509F0" w:rsidRDefault="00827DA3" w:rsidP="0001000B">
      <w:pPr>
        <w:spacing w:after="0" w:line="240" w:lineRule="auto"/>
        <w:ind w:left="720" w:hanging="720"/>
        <w:rPr>
          <w:rFonts w:cs="Times New Roman"/>
          <w:sz w:val="24"/>
          <w:szCs w:val="24"/>
        </w:rPr>
      </w:pPr>
    </w:p>
    <w:p w14:paraId="6B432E7E" w14:textId="6553D1A6" w:rsidR="00827DA3" w:rsidRPr="00E74838" w:rsidRDefault="00827DA3" w:rsidP="0001000B">
      <w:pPr>
        <w:spacing w:after="0" w:line="240" w:lineRule="auto"/>
        <w:rPr>
          <w:rFonts w:cs="Times New Roman"/>
          <w:sz w:val="24"/>
          <w:szCs w:val="24"/>
        </w:rPr>
      </w:pPr>
      <w:r w:rsidRPr="00E74838">
        <w:rPr>
          <w:rFonts w:cs="Times New Roman"/>
          <w:sz w:val="24"/>
          <w:szCs w:val="24"/>
        </w:rPr>
        <w:t>The collection of TANF, SSI and SSDI information is not dependent on an agency’s access to a State system to independently verify enrollment in these programs.  This data can be collected from the participant via self-attestation or source documentation provided by the participant.  Section 167(c</w:t>
      </w:r>
      <w:proofErr w:type="gramStart"/>
      <w:r w:rsidRPr="00E74838">
        <w:rPr>
          <w:rFonts w:cs="Times New Roman"/>
          <w:sz w:val="24"/>
          <w:szCs w:val="24"/>
        </w:rPr>
        <w:t>)(</w:t>
      </w:r>
      <w:proofErr w:type="gramEnd"/>
      <w:r w:rsidRPr="00E74838">
        <w:rPr>
          <w:rFonts w:cs="Times New Roman"/>
          <w:sz w:val="24"/>
          <w:szCs w:val="24"/>
        </w:rPr>
        <w:t xml:space="preserve">2)(c) of WIOA requires the use of the primary indicators of performance described in sec 116(b)(2)(A), including the “percentage of program participants who are in unsubsidized employment during the fourth quarter after exit from the program,” and “the percentage of program participants who are in education or training activities, or in </w:t>
      </w:r>
      <w:r w:rsidRPr="00E74838">
        <w:rPr>
          <w:rFonts w:cs="Times New Roman"/>
          <w:sz w:val="24"/>
          <w:szCs w:val="24"/>
        </w:rPr>
        <w:lastRenderedPageBreak/>
        <w:t>unsubsidized employment, during the fourth quarter after exit from the program.”  These are statutory requirements.  No changes have been made in response to these comments.</w:t>
      </w:r>
    </w:p>
    <w:p w14:paraId="0B5B9A9A" w14:textId="77777777" w:rsidR="00827DA3" w:rsidRPr="00E74838" w:rsidRDefault="00827DA3" w:rsidP="0001000B">
      <w:pPr>
        <w:spacing w:after="0" w:line="240" w:lineRule="auto"/>
        <w:rPr>
          <w:rFonts w:cs="Times New Roman"/>
          <w:b/>
          <w:sz w:val="24"/>
          <w:szCs w:val="24"/>
          <w:u w:val="single"/>
        </w:rPr>
      </w:pPr>
    </w:p>
    <w:p w14:paraId="5446BEF7" w14:textId="094D6ED7" w:rsidR="00827DA3" w:rsidRPr="00E74838" w:rsidRDefault="00EE740B" w:rsidP="0001000B">
      <w:pPr>
        <w:spacing w:after="0" w:line="240" w:lineRule="auto"/>
        <w:rPr>
          <w:rFonts w:cs="Times New Roman"/>
          <w:b/>
          <w:sz w:val="24"/>
          <w:szCs w:val="24"/>
        </w:rPr>
      </w:pPr>
      <w:r w:rsidRPr="00E74838">
        <w:rPr>
          <w:rFonts w:cs="Times New Roman"/>
          <w:b/>
          <w:sz w:val="24"/>
          <w:szCs w:val="24"/>
          <w:u w:val="single"/>
        </w:rPr>
        <w:t xml:space="preserve">Joint PIRL -- </w:t>
      </w:r>
      <w:r w:rsidR="00827DA3" w:rsidRPr="00E74838">
        <w:rPr>
          <w:rFonts w:cs="Times New Roman"/>
          <w:b/>
          <w:sz w:val="24"/>
          <w:szCs w:val="24"/>
          <w:u w:val="single"/>
        </w:rPr>
        <w:t>Data Elements</w:t>
      </w:r>
      <w:r w:rsidR="00827DA3" w:rsidRPr="00E74838">
        <w:rPr>
          <w:rFonts w:cs="Times New Roman"/>
          <w:b/>
          <w:sz w:val="24"/>
          <w:szCs w:val="24"/>
        </w:rPr>
        <w:t>:</w:t>
      </w:r>
    </w:p>
    <w:p w14:paraId="3918EC56" w14:textId="77777777" w:rsidR="00827DA3" w:rsidRPr="00E74838" w:rsidRDefault="00827DA3" w:rsidP="0001000B">
      <w:pPr>
        <w:spacing w:after="0" w:line="240" w:lineRule="auto"/>
        <w:rPr>
          <w:rFonts w:cs="Times New Roman"/>
          <w:sz w:val="24"/>
          <w:szCs w:val="24"/>
        </w:rPr>
      </w:pPr>
    </w:p>
    <w:p w14:paraId="51CEA6D0" w14:textId="77777777" w:rsidR="000617A4" w:rsidRPr="00E74838" w:rsidRDefault="00EE740B" w:rsidP="0001000B">
      <w:pPr>
        <w:spacing w:after="0" w:line="240" w:lineRule="auto"/>
        <w:rPr>
          <w:rFonts w:cs="Times New Roman"/>
          <w:b/>
          <w:sz w:val="24"/>
          <w:szCs w:val="24"/>
        </w:rPr>
      </w:pPr>
      <w:r w:rsidRPr="00E74838">
        <w:rPr>
          <w:rFonts w:cs="Times New Roman"/>
          <w:b/>
          <w:sz w:val="24"/>
          <w:szCs w:val="24"/>
          <w:u w:val="single"/>
        </w:rPr>
        <w:t xml:space="preserve">Joint PIRL -- </w:t>
      </w:r>
      <w:r w:rsidR="00827DA3" w:rsidRPr="00E74838">
        <w:rPr>
          <w:rFonts w:cs="Times New Roman"/>
          <w:b/>
          <w:sz w:val="24"/>
          <w:szCs w:val="24"/>
          <w:u w:val="single"/>
        </w:rPr>
        <w:t>Data Element 805 (Cultural Barriers)</w:t>
      </w:r>
      <w:r w:rsidR="00827DA3" w:rsidRPr="00E74838">
        <w:rPr>
          <w:rFonts w:cs="Times New Roman"/>
          <w:b/>
          <w:sz w:val="24"/>
          <w:szCs w:val="24"/>
        </w:rPr>
        <w:t>:</w:t>
      </w:r>
    </w:p>
    <w:p w14:paraId="1DF010F0" w14:textId="7FE24922" w:rsidR="00EE740B" w:rsidRPr="00E74838" w:rsidRDefault="00827DA3" w:rsidP="0001000B">
      <w:pPr>
        <w:spacing w:after="0" w:line="240" w:lineRule="auto"/>
        <w:rPr>
          <w:rFonts w:cs="Times New Roman"/>
          <w:sz w:val="24"/>
          <w:szCs w:val="24"/>
        </w:rPr>
      </w:pPr>
      <w:r w:rsidRPr="00E74838">
        <w:rPr>
          <w:rFonts w:cs="Times New Roman"/>
          <w:sz w:val="24"/>
          <w:szCs w:val="24"/>
        </w:rPr>
        <w:t xml:space="preserve">  </w:t>
      </w:r>
    </w:p>
    <w:p w14:paraId="567E6F39" w14:textId="3A8E61AA" w:rsidR="00827DA3" w:rsidRPr="00E74838" w:rsidRDefault="00827DA3" w:rsidP="0001000B">
      <w:pPr>
        <w:spacing w:after="0" w:line="240" w:lineRule="auto"/>
        <w:rPr>
          <w:rFonts w:cs="Times New Roman"/>
          <w:sz w:val="24"/>
          <w:szCs w:val="24"/>
        </w:rPr>
      </w:pPr>
      <w:r w:rsidRPr="00E74838">
        <w:rPr>
          <w:rFonts w:cs="Times New Roman"/>
          <w:sz w:val="24"/>
          <w:szCs w:val="24"/>
        </w:rPr>
        <w:t>One commenter stated three concerns related to this data element: 1) the collection of this data element is overly burdensome due to program participants being unware of cultural barriers that may hinder their change of employment; 2) it will be very difficult to pose this question to program participants in a way that does not appear judgmental or culturally biased; 3) the usefulness and scientific viability of the data element is suspect.  Another commenter stated that the definition of “cultural barrier” is too narrow and relies on an inaccurate assumption that participants can understand and self-identify if they have cultural barriers to employment.  The commenter recommended that the definition of “cultural barrier” be broadened to include limited English abilities.  One commenter asked whether cultural barriers to employment at program entry refer to widespread beliefs by SSI/SSDI recipients that employment could result in the loss of health benefits.</w:t>
      </w:r>
    </w:p>
    <w:p w14:paraId="4B7DB393" w14:textId="77777777" w:rsidR="00827DA3" w:rsidRPr="00E74838" w:rsidRDefault="00827DA3" w:rsidP="0001000B">
      <w:pPr>
        <w:spacing w:after="0" w:line="240" w:lineRule="auto"/>
        <w:rPr>
          <w:rFonts w:cs="Times New Roman"/>
          <w:sz w:val="24"/>
          <w:szCs w:val="24"/>
        </w:rPr>
      </w:pPr>
    </w:p>
    <w:p w14:paraId="305EEE63" w14:textId="021EA42A" w:rsidR="00827DA3" w:rsidRPr="00E74838" w:rsidRDefault="00827DA3" w:rsidP="0001000B">
      <w:pPr>
        <w:spacing w:after="0" w:line="240" w:lineRule="auto"/>
        <w:rPr>
          <w:rFonts w:cs="Times New Roman"/>
          <w:sz w:val="24"/>
          <w:szCs w:val="24"/>
        </w:rPr>
      </w:pPr>
      <w:r w:rsidRPr="00E74838">
        <w:rPr>
          <w:rFonts w:cs="Times New Roman"/>
          <w:b/>
          <w:sz w:val="24"/>
          <w:szCs w:val="24"/>
        </w:rPr>
        <w:t>Agencies’ Response, June 2016:</w:t>
      </w:r>
      <w:r w:rsidRPr="00E74838">
        <w:rPr>
          <w:rFonts w:cs="Times New Roman"/>
          <w:sz w:val="24"/>
          <w:szCs w:val="24"/>
        </w:rPr>
        <w:t xml:space="preserve"> Section 116(d</w:t>
      </w:r>
      <w:proofErr w:type="gramStart"/>
      <w:r w:rsidRPr="00E74838">
        <w:rPr>
          <w:rFonts w:cs="Times New Roman"/>
          <w:sz w:val="24"/>
          <w:szCs w:val="24"/>
        </w:rPr>
        <w:t>)(</w:t>
      </w:r>
      <w:proofErr w:type="gramEnd"/>
      <w:r w:rsidRPr="00E74838">
        <w:rPr>
          <w:rFonts w:cs="Times New Roman"/>
          <w:sz w:val="24"/>
          <w:szCs w:val="24"/>
        </w:rPr>
        <w:t>2)(B) of WIOA requires the collection of data with respect to individuals with barriers to employment, which, based on the definition in section 3(24)(I) of WIOA, includes individuals facing substantial cultural barriers.  This measure is based on the participant’s perception of himself or herself.  The Departments will provide guidance on collecting this data and may use this data to help design service delivery approaches and inform future guidance.  The definition of “individuals with barriers to employment” in section 3(24</w:t>
      </w:r>
      <w:proofErr w:type="gramStart"/>
      <w:r w:rsidRPr="00E74838">
        <w:rPr>
          <w:rFonts w:cs="Times New Roman"/>
          <w:sz w:val="24"/>
          <w:szCs w:val="24"/>
        </w:rPr>
        <w:t>)(</w:t>
      </w:r>
      <w:proofErr w:type="gramEnd"/>
      <w:r w:rsidRPr="00E74838">
        <w:rPr>
          <w:rFonts w:cs="Times New Roman"/>
          <w:sz w:val="24"/>
          <w:szCs w:val="24"/>
        </w:rPr>
        <w:t xml:space="preserve">I) also includes individuals who are English language learners, and individuals with low English proficiency are also included as a separate category of individuals with barriers to employment in the Joint Performance ICR because it is a characteristic of participants that is a required factor for purposes of the Statistical Adjustment Model.  The Departments have determined that “cultural barriers” is a sufficiently broad term such that it permits self-identification.  </w:t>
      </w:r>
      <w:r w:rsidR="001D3BFC" w:rsidRPr="00E74838">
        <w:rPr>
          <w:rFonts w:cs="Times New Roman"/>
          <w:sz w:val="24"/>
          <w:szCs w:val="24"/>
        </w:rPr>
        <w:t xml:space="preserve">With regard to the comment on whether </w:t>
      </w:r>
      <w:r w:rsidR="000617A4" w:rsidRPr="00E74838">
        <w:rPr>
          <w:rFonts w:cs="Times New Roman"/>
          <w:sz w:val="24"/>
          <w:szCs w:val="24"/>
        </w:rPr>
        <w:t xml:space="preserve">it is a cultural barrier that SSI/SSDI recipients have </w:t>
      </w:r>
      <w:r w:rsidR="001D3BFC" w:rsidRPr="00E74838">
        <w:rPr>
          <w:rFonts w:cs="Times New Roman"/>
          <w:sz w:val="24"/>
          <w:szCs w:val="24"/>
        </w:rPr>
        <w:t xml:space="preserve">a perception </w:t>
      </w:r>
      <w:r w:rsidR="000617A4" w:rsidRPr="00E74838">
        <w:rPr>
          <w:rFonts w:cs="Times New Roman"/>
          <w:sz w:val="24"/>
          <w:szCs w:val="24"/>
        </w:rPr>
        <w:t>that employment could affect their</w:t>
      </w:r>
      <w:r w:rsidR="001D3BFC" w:rsidRPr="00E74838">
        <w:rPr>
          <w:rFonts w:cs="Times New Roman"/>
          <w:sz w:val="24"/>
          <w:szCs w:val="24"/>
        </w:rPr>
        <w:t xml:space="preserve"> health benefits</w:t>
      </w:r>
      <w:r w:rsidR="000617A4" w:rsidRPr="00E74838">
        <w:rPr>
          <w:rFonts w:cs="Times New Roman"/>
          <w:sz w:val="24"/>
          <w:szCs w:val="24"/>
        </w:rPr>
        <w:t>,</w:t>
      </w:r>
      <w:r w:rsidR="00B76712" w:rsidRPr="00E74838">
        <w:rPr>
          <w:rFonts w:cs="Times New Roman"/>
          <w:sz w:val="24"/>
          <w:szCs w:val="24"/>
        </w:rPr>
        <w:t xml:space="preserve"> </w:t>
      </w:r>
      <w:r w:rsidRPr="00E74838">
        <w:rPr>
          <w:rFonts w:cs="Times New Roman"/>
          <w:sz w:val="24"/>
          <w:szCs w:val="24"/>
        </w:rPr>
        <w:t xml:space="preserve">the Departments do not believe that </w:t>
      </w:r>
      <w:r w:rsidR="001D3BFC" w:rsidRPr="00E74838">
        <w:rPr>
          <w:rFonts w:cs="Times New Roman"/>
          <w:sz w:val="24"/>
          <w:szCs w:val="24"/>
        </w:rPr>
        <w:t xml:space="preserve">an individual’s perception </w:t>
      </w:r>
      <w:r w:rsidR="000617A4" w:rsidRPr="00E74838">
        <w:rPr>
          <w:rFonts w:cs="Times New Roman"/>
          <w:sz w:val="24"/>
          <w:szCs w:val="24"/>
        </w:rPr>
        <w:t>about</w:t>
      </w:r>
      <w:r w:rsidR="001D3BFC" w:rsidRPr="00E74838">
        <w:rPr>
          <w:rFonts w:cs="Times New Roman"/>
          <w:sz w:val="24"/>
          <w:szCs w:val="24"/>
        </w:rPr>
        <w:t xml:space="preserve"> </w:t>
      </w:r>
      <w:r w:rsidRPr="00E74838">
        <w:rPr>
          <w:rFonts w:cs="Times New Roman"/>
          <w:sz w:val="24"/>
          <w:szCs w:val="24"/>
        </w:rPr>
        <w:t xml:space="preserve">receipt of SSI or SSDI benefits </w:t>
      </w:r>
      <w:r w:rsidR="001D3BFC" w:rsidRPr="00E74838">
        <w:rPr>
          <w:rFonts w:cs="Times New Roman"/>
          <w:sz w:val="24"/>
          <w:szCs w:val="24"/>
        </w:rPr>
        <w:t xml:space="preserve">is based on a cultural belief, but rather on a lack of information about the effect of </w:t>
      </w:r>
      <w:r w:rsidR="008A5788" w:rsidRPr="00E74838">
        <w:rPr>
          <w:rFonts w:cs="Times New Roman"/>
          <w:sz w:val="24"/>
          <w:szCs w:val="24"/>
        </w:rPr>
        <w:t>employment</w:t>
      </w:r>
      <w:r w:rsidR="001D3BFC" w:rsidRPr="00E74838">
        <w:rPr>
          <w:rFonts w:cs="Times New Roman"/>
          <w:sz w:val="24"/>
          <w:szCs w:val="24"/>
        </w:rPr>
        <w:t xml:space="preserve"> on health </w:t>
      </w:r>
      <w:r w:rsidR="008A5788" w:rsidRPr="00E74838">
        <w:rPr>
          <w:rFonts w:cs="Times New Roman"/>
          <w:sz w:val="24"/>
          <w:szCs w:val="24"/>
        </w:rPr>
        <w:t>benefits</w:t>
      </w:r>
      <w:r w:rsidR="001D3BFC" w:rsidRPr="00E74838">
        <w:rPr>
          <w:rFonts w:cs="Times New Roman"/>
          <w:sz w:val="24"/>
          <w:szCs w:val="24"/>
        </w:rPr>
        <w:t xml:space="preserve">. </w:t>
      </w:r>
      <w:r w:rsidRPr="00E74838">
        <w:rPr>
          <w:rFonts w:cs="Times New Roman"/>
          <w:sz w:val="24"/>
          <w:szCs w:val="24"/>
        </w:rPr>
        <w:t xml:space="preserve"> No changes have been made in response to these comments.</w:t>
      </w:r>
    </w:p>
    <w:p w14:paraId="44EC1997" w14:textId="77777777" w:rsidR="00827DA3" w:rsidRPr="00E74838" w:rsidRDefault="00827DA3" w:rsidP="0001000B">
      <w:pPr>
        <w:spacing w:after="0" w:line="240" w:lineRule="auto"/>
        <w:rPr>
          <w:rFonts w:cs="Times New Roman"/>
          <w:sz w:val="24"/>
          <w:szCs w:val="24"/>
        </w:rPr>
      </w:pPr>
    </w:p>
    <w:p w14:paraId="344483CA" w14:textId="77777777" w:rsidR="008A5788" w:rsidRPr="00E74838" w:rsidRDefault="00EE740B" w:rsidP="0001000B">
      <w:pPr>
        <w:spacing w:after="0" w:line="240" w:lineRule="auto"/>
        <w:rPr>
          <w:rFonts w:cs="Times New Roman"/>
          <w:b/>
          <w:sz w:val="24"/>
          <w:szCs w:val="24"/>
        </w:rPr>
      </w:pPr>
      <w:r w:rsidRPr="00E74838">
        <w:rPr>
          <w:rFonts w:cs="Times New Roman"/>
          <w:b/>
          <w:sz w:val="24"/>
          <w:szCs w:val="24"/>
          <w:u w:val="single"/>
        </w:rPr>
        <w:t xml:space="preserve">Joint PIRL -- </w:t>
      </w:r>
      <w:r w:rsidR="00827DA3" w:rsidRPr="00E74838">
        <w:rPr>
          <w:rFonts w:cs="Times New Roman"/>
          <w:b/>
          <w:sz w:val="24"/>
          <w:szCs w:val="24"/>
          <w:u w:val="single"/>
        </w:rPr>
        <w:t>Data Element 808 (Migrant and Seasonal Farmworker Status)</w:t>
      </w:r>
      <w:r w:rsidR="00827DA3" w:rsidRPr="00E74838">
        <w:rPr>
          <w:rFonts w:cs="Times New Roman"/>
          <w:b/>
          <w:sz w:val="24"/>
          <w:szCs w:val="24"/>
        </w:rPr>
        <w:t>:</w:t>
      </w:r>
    </w:p>
    <w:p w14:paraId="4C68B429" w14:textId="49000AE1" w:rsidR="001A232E" w:rsidRPr="00E74838" w:rsidRDefault="00827DA3" w:rsidP="0001000B">
      <w:pPr>
        <w:spacing w:after="0" w:line="240" w:lineRule="auto"/>
        <w:rPr>
          <w:rFonts w:cs="Times New Roman"/>
          <w:sz w:val="24"/>
          <w:szCs w:val="24"/>
        </w:rPr>
      </w:pPr>
      <w:r w:rsidRPr="00E74838">
        <w:rPr>
          <w:rFonts w:cs="Times New Roman"/>
          <w:sz w:val="24"/>
          <w:szCs w:val="24"/>
        </w:rPr>
        <w:t xml:space="preserve">  </w:t>
      </w:r>
    </w:p>
    <w:p w14:paraId="4F03E570" w14:textId="36BEEA8D" w:rsidR="00827DA3" w:rsidRPr="00E74838" w:rsidRDefault="00827DA3" w:rsidP="0001000B">
      <w:pPr>
        <w:spacing w:after="0" w:line="240" w:lineRule="auto"/>
        <w:rPr>
          <w:rFonts w:cs="Times New Roman"/>
          <w:sz w:val="24"/>
          <w:szCs w:val="24"/>
        </w:rPr>
      </w:pPr>
      <w:r w:rsidRPr="00E74838">
        <w:rPr>
          <w:rFonts w:cs="Times New Roman"/>
          <w:sz w:val="24"/>
          <w:szCs w:val="24"/>
        </w:rPr>
        <w:t>One DOL commenter noted that previously, under WIA, NFJP grantees were able to extend the eligibility period for individuals who were unable to work due to circumstances such as incarceration beyond the most recent 24 months.  The proposed wording of this PIRL data element would disqualify those individuals.</w:t>
      </w:r>
    </w:p>
    <w:p w14:paraId="6385D792" w14:textId="77777777" w:rsidR="00827DA3" w:rsidRPr="00E74838" w:rsidRDefault="00827DA3" w:rsidP="0001000B">
      <w:pPr>
        <w:spacing w:after="0" w:line="240" w:lineRule="auto"/>
        <w:rPr>
          <w:rFonts w:cs="Times New Roman"/>
          <w:sz w:val="24"/>
          <w:szCs w:val="24"/>
        </w:rPr>
      </w:pPr>
      <w:r w:rsidRPr="00E74838">
        <w:rPr>
          <w:rFonts w:cs="Times New Roman"/>
          <w:b/>
          <w:sz w:val="24"/>
          <w:szCs w:val="24"/>
        </w:rPr>
        <w:lastRenderedPageBreak/>
        <w:t>Agencies’ Response, June 2016:</w:t>
      </w:r>
      <w:r w:rsidRPr="00E74838">
        <w:rPr>
          <w:rFonts w:cs="Times New Roman"/>
          <w:sz w:val="24"/>
          <w:szCs w:val="24"/>
        </w:rPr>
        <w:t xml:space="preserve"> This data element reflects the WIOA statutory definition of seasonal farmworkers and migrant farmworkers (sec 167(i</w:t>
      </w:r>
      <w:proofErr w:type="gramStart"/>
      <w:r w:rsidRPr="00E74838">
        <w:rPr>
          <w:rFonts w:cs="Times New Roman"/>
          <w:sz w:val="24"/>
          <w:szCs w:val="24"/>
        </w:rPr>
        <w:t>)(</w:t>
      </w:r>
      <w:proofErr w:type="gramEnd"/>
      <w:r w:rsidRPr="00E74838">
        <w:rPr>
          <w:rFonts w:cs="Times New Roman"/>
          <w:sz w:val="24"/>
          <w:szCs w:val="24"/>
        </w:rPr>
        <w:t>2) and 167(i)(3)).  No change has been made in response to this comment.</w:t>
      </w:r>
    </w:p>
    <w:p w14:paraId="20ABECBC" w14:textId="77777777" w:rsidR="00827DA3" w:rsidRPr="00E74838" w:rsidRDefault="00827DA3" w:rsidP="0001000B">
      <w:pPr>
        <w:spacing w:after="0" w:line="240" w:lineRule="auto"/>
        <w:rPr>
          <w:rFonts w:cs="Times New Roman"/>
          <w:sz w:val="24"/>
          <w:szCs w:val="24"/>
        </w:rPr>
      </w:pPr>
    </w:p>
    <w:p w14:paraId="5D2E1851" w14:textId="77777777" w:rsidR="008A5788" w:rsidRPr="00E74838" w:rsidRDefault="00827DA3" w:rsidP="0001000B">
      <w:pPr>
        <w:spacing w:after="0" w:line="240" w:lineRule="auto"/>
        <w:rPr>
          <w:rFonts w:cs="Times New Roman"/>
          <w:b/>
          <w:sz w:val="24"/>
          <w:szCs w:val="24"/>
        </w:rPr>
      </w:pPr>
      <w:r w:rsidRPr="00E74838">
        <w:rPr>
          <w:rFonts w:cs="Times New Roman"/>
          <w:b/>
          <w:sz w:val="24"/>
          <w:szCs w:val="24"/>
          <w:u w:val="single"/>
        </w:rPr>
        <w:t>Joint PIRL -- Data element 1618 (Retention with the same employer in the 2nd Quarter and the 4th Quarter)</w:t>
      </w:r>
      <w:r w:rsidRPr="00E74838">
        <w:rPr>
          <w:rFonts w:cs="Times New Roman"/>
          <w:b/>
          <w:sz w:val="24"/>
          <w:szCs w:val="24"/>
        </w:rPr>
        <w:t>:</w:t>
      </w:r>
    </w:p>
    <w:p w14:paraId="6119EE05" w14:textId="21AE3168" w:rsidR="001A232E" w:rsidRPr="00E74838" w:rsidRDefault="00827DA3" w:rsidP="0001000B">
      <w:pPr>
        <w:spacing w:after="0" w:line="240" w:lineRule="auto"/>
        <w:rPr>
          <w:rFonts w:cs="Times New Roman"/>
          <w:sz w:val="24"/>
          <w:szCs w:val="24"/>
        </w:rPr>
      </w:pPr>
      <w:r w:rsidRPr="00E74838">
        <w:rPr>
          <w:rFonts w:cs="Times New Roman"/>
          <w:sz w:val="24"/>
          <w:szCs w:val="24"/>
        </w:rPr>
        <w:t xml:space="preserve">  </w:t>
      </w:r>
    </w:p>
    <w:p w14:paraId="7EA5A2F6" w14:textId="6C8C9820" w:rsidR="00827DA3" w:rsidRPr="00E74838" w:rsidRDefault="00827DA3" w:rsidP="0001000B">
      <w:pPr>
        <w:spacing w:after="0" w:line="240" w:lineRule="auto"/>
        <w:rPr>
          <w:rFonts w:cs="Times New Roman"/>
          <w:sz w:val="24"/>
          <w:szCs w:val="24"/>
        </w:rPr>
      </w:pPr>
      <w:r w:rsidRPr="00E74838">
        <w:rPr>
          <w:rFonts w:cs="Times New Roman"/>
          <w:sz w:val="24"/>
          <w:szCs w:val="24"/>
        </w:rPr>
        <w:t xml:space="preserve">One commenter stated that the specification for this data element needs to take into account the fact that participants, not infrequently, have multiple employers.  </w:t>
      </w:r>
    </w:p>
    <w:p w14:paraId="3369C030" w14:textId="77777777" w:rsidR="00827DA3" w:rsidRPr="00E74838" w:rsidRDefault="00827DA3" w:rsidP="0001000B">
      <w:pPr>
        <w:spacing w:after="0" w:line="240" w:lineRule="auto"/>
        <w:rPr>
          <w:rFonts w:cs="Times New Roman"/>
          <w:sz w:val="24"/>
          <w:szCs w:val="24"/>
        </w:rPr>
      </w:pPr>
    </w:p>
    <w:p w14:paraId="7AFEBED6" w14:textId="3DBF049B" w:rsidR="00827DA3" w:rsidRPr="00E74838" w:rsidRDefault="00827DA3" w:rsidP="0001000B">
      <w:pPr>
        <w:spacing w:after="0" w:line="240" w:lineRule="auto"/>
        <w:rPr>
          <w:rFonts w:cs="Times New Roman"/>
          <w:sz w:val="24"/>
          <w:szCs w:val="24"/>
          <w:u w:val="single"/>
        </w:rPr>
      </w:pPr>
      <w:r w:rsidRPr="00E74838">
        <w:rPr>
          <w:rFonts w:cs="Times New Roman"/>
          <w:b/>
          <w:sz w:val="24"/>
          <w:szCs w:val="24"/>
        </w:rPr>
        <w:t>Agencies’ Response, June 2016:</w:t>
      </w:r>
      <w:r w:rsidRPr="00E74838">
        <w:rPr>
          <w:rFonts w:cs="Times New Roman"/>
          <w:sz w:val="24"/>
          <w:szCs w:val="24"/>
        </w:rPr>
        <w:t xml:space="preserve">  The Departments agree with this comment and </w:t>
      </w:r>
      <w:r w:rsidR="008F7992">
        <w:rPr>
          <w:rFonts w:cs="Times New Roman"/>
          <w:sz w:val="24"/>
          <w:szCs w:val="24"/>
        </w:rPr>
        <w:t xml:space="preserve">will address this issue in subsequent guidance.  </w:t>
      </w:r>
    </w:p>
    <w:p w14:paraId="19EC09F0" w14:textId="77777777" w:rsidR="00827DA3" w:rsidRPr="00E74838" w:rsidRDefault="00827DA3" w:rsidP="0001000B">
      <w:pPr>
        <w:spacing w:after="0" w:line="240" w:lineRule="auto"/>
        <w:rPr>
          <w:rFonts w:cs="Times New Roman"/>
          <w:sz w:val="24"/>
          <w:szCs w:val="24"/>
        </w:rPr>
      </w:pPr>
    </w:p>
    <w:p w14:paraId="250082D3" w14:textId="4C71A158" w:rsidR="00106A57" w:rsidRPr="00E74838" w:rsidRDefault="000D530D" w:rsidP="0001000B">
      <w:pPr>
        <w:spacing w:after="0" w:line="240" w:lineRule="auto"/>
        <w:outlineLvl w:val="0"/>
        <w:rPr>
          <w:rFonts w:eastAsia="Arial" w:cs="Times New Roman"/>
          <w:b/>
          <w:sz w:val="24"/>
          <w:szCs w:val="24"/>
        </w:rPr>
      </w:pPr>
      <w:r w:rsidRPr="00E74838">
        <w:rPr>
          <w:rFonts w:eastAsia="Arial" w:cs="Times New Roman"/>
          <w:b/>
          <w:sz w:val="24"/>
          <w:szCs w:val="24"/>
          <w:u w:val="single"/>
        </w:rPr>
        <w:t xml:space="preserve">Joint PIRL -- </w:t>
      </w:r>
      <w:r w:rsidR="00F23932" w:rsidRPr="00E74838">
        <w:rPr>
          <w:rFonts w:eastAsia="Arial" w:cs="Times New Roman"/>
          <w:b/>
          <w:sz w:val="24"/>
          <w:szCs w:val="24"/>
          <w:u w:val="single"/>
        </w:rPr>
        <w:t>Funding Stream Coding Issues</w:t>
      </w:r>
      <w:r w:rsidR="00F23932" w:rsidRPr="00E74838">
        <w:rPr>
          <w:rFonts w:eastAsia="Arial" w:cs="Times New Roman"/>
          <w:b/>
          <w:sz w:val="24"/>
          <w:szCs w:val="24"/>
        </w:rPr>
        <w:t>:</w:t>
      </w:r>
      <w:bookmarkEnd w:id="13"/>
      <w:bookmarkEnd w:id="14"/>
    </w:p>
    <w:p w14:paraId="1B51EC38" w14:textId="77777777" w:rsidR="001A232E" w:rsidRPr="00E74838" w:rsidRDefault="001A232E" w:rsidP="0001000B">
      <w:pPr>
        <w:spacing w:after="0" w:line="240" w:lineRule="auto"/>
        <w:outlineLvl w:val="0"/>
        <w:rPr>
          <w:rFonts w:eastAsia="Arial" w:cs="Times New Roman"/>
          <w:sz w:val="24"/>
          <w:szCs w:val="24"/>
        </w:rPr>
      </w:pPr>
    </w:p>
    <w:p w14:paraId="365867DD" w14:textId="47D3B8D9" w:rsidR="00106A57" w:rsidRPr="00E74838" w:rsidRDefault="000D4AFF" w:rsidP="0001000B">
      <w:pPr>
        <w:spacing w:after="0" w:line="240" w:lineRule="auto"/>
        <w:outlineLvl w:val="0"/>
        <w:rPr>
          <w:rFonts w:eastAsia="Arial" w:cs="Times New Roman"/>
          <w:sz w:val="24"/>
          <w:szCs w:val="24"/>
        </w:rPr>
      </w:pPr>
      <w:r w:rsidRPr="00E74838">
        <w:rPr>
          <w:rFonts w:eastAsia="Arial" w:cs="Times New Roman"/>
          <w:sz w:val="24"/>
          <w:szCs w:val="24"/>
        </w:rPr>
        <w:t xml:space="preserve">Two commenters </w:t>
      </w:r>
      <w:r w:rsidR="00106A57" w:rsidRPr="00E74838">
        <w:rPr>
          <w:rFonts w:eastAsia="Arial" w:cs="Times New Roman"/>
          <w:sz w:val="24"/>
          <w:szCs w:val="24"/>
        </w:rPr>
        <w:t>raised several concerns with respect to the funding codes:</w:t>
      </w:r>
    </w:p>
    <w:p w14:paraId="64D396A7" w14:textId="77777777" w:rsidR="00B76712" w:rsidRPr="00E74838" w:rsidRDefault="00B76712" w:rsidP="0001000B">
      <w:pPr>
        <w:spacing w:after="0" w:line="240" w:lineRule="auto"/>
        <w:outlineLvl w:val="0"/>
        <w:rPr>
          <w:rFonts w:eastAsia="Arial" w:cs="Times New Roman"/>
          <w:sz w:val="24"/>
          <w:szCs w:val="24"/>
        </w:rPr>
      </w:pPr>
    </w:p>
    <w:p w14:paraId="54DD3D69" w14:textId="26937AF1" w:rsidR="00F23932" w:rsidRDefault="00106A57" w:rsidP="0001000B">
      <w:pPr>
        <w:pStyle w:val="ListParagraph"/>
        <w:numPr>
          <w:ilvl w:val="0"/>
          <w:numId w:val="45"/>
        </w:numPr>
        <w:spacing w:after="0" w:line="240" w:lineRule="auto"/>
        <w:outlineLvl w:val="0"/>
        <w:rPr>
          <w:rFonts w:asciiTheme="minorHAnsi" w:eastAsia="Arial" w:hAnsiTheme="minorHAnsi" w:cs="Times New Roman"/>
          <w:szCs w:val="24"/>
        </w:rPr>
      </w:pPr>
      <w:r w:rsidRPr="00E74838">
        <w:rPr>
          <w:rFonts w:asciiTheme="minorHAnsi" w:eastAsia="Arial" w:hAnsiTheme="minorHAnsi" w:cs="Times New Roman"/>
          <w:szCs w:val="24"/>
        </w:rPr>
        <w:t xml:space="preserve">VR should be </w:t>
      </w:r>
      <w:r w:rsidR="00F23932" w:rsidRPr="00E74838">
        <w:rPr>
          <w:rFonts w:asciiTheme="minorHAnsi" w:eastAsia="Arial" w:hAnsiTheme="minorHAnsi" w:cs="Times New Roman"/>
          <w:szCs w:val="24"/>
        </w:rPr>
        <w:t>“VOCATIONAL REHABILITATION &gt; 0 and &lt; 9”, not “&gt; 0 and &gt; 9”.</w:t>
      </w:r>
    </w:p>
    <w:p w14:paraId="25C93145" w14:textId="77777777" w:rsidR="005509F0" w:rsidRPr="00E74838" w:rsidRDefault="005509F0" w:rsidP="0001000B">
      <w:pPr>
        <w:pStyle w:val="ListParagraph"/>
        <w:spacing w:after="0" w:line="240" w:lineRule="auto"/>
        <w:ind w:left="780"/>
        <w:outlineLvl w:val="0"/>
        <w:rPr>
          <w:rFonts w:asciiTheme="minorHAnsi" w:eastAsia="Arial" w:hAnsiTheme="minorHAnsi" w:cs="Times New Roman"/>
          <w:szCs w:val="24"/>
        </w:rPr>
      </w:pPr>
    </w:p>
    <w:p w14:paraId="058D98C2" w14:textId="77E0DD78" w:rsidR="000D530D" w:rsidRDefault="000D530D" w:rsidP="0001000B">
      <w:pPr>
        <w:pStyle w:val="ListParagraph"/>
        <w:numPr>
          <w:ilvl w:val="0"/>
          <w:numId w:val="45"/>
        </w:numPr>
        <w:spacing w:after="0" w:line="240" w:lineRule="auto"/>
        <w:outlineLvl w:val="0"/>
        <w:rPr>
          <w:rFonts w:asciiTheme="minorHAnsi" w:eastAsia="Arial" w:hAnsiTheme="minorHAnsi" w:cs="Times New Roman"/>
          <w:szCs w:val="24"/>
        </w:rPr>
      </w:pPr>
      <w:r w:rsidRPr="00E74838">
        <w:rPr>
          <w:rFonts w:asciiTheme="minorHAnsi" w:eastAsia="Arial" w:hAnsiTheme="minorHAnsi" w:cs="Times New Roman"/>
          <w:szCs w:val="24"/>
        </w:rPr>
        <w:t>The propose Joint PIRL includes separate Local Workforce Investment Areas (LWIA) WIOA Funding Stream Coding for the AEFLA, VR, and Wagner-Peyser programs, which is not consistent with the Departments’ response to a comment following the 60-day FRN on the Joint Performance ICR in which the Departments stated that they were going to require only the title I programs to be included at this particular data element because such decision was consistent with the requirements of WIOA §116.</w:t>
      </w:r>
    </w:p>
    <w:p w14:paraId="3273E4A8" w14:textId="77777777" w:rsidR="005509F0" w:rsidRPr="005509F0" w:rsidRDefault="005509F0" w:rsidP="0001000B">
      <w:pPr>
        <w:spacing w:after="0" w:line="240" w:lineRule="auto"/>
        <w:outlineLvl w:val="0"/>
        <w:rPr>
          <w:rFonts w:eastAsia="Arial" w:cs="Times New Roman"/>
          <w:szCs w:val="24"/>
        </w:rPr>
      </w:pPr>
    </w:p>
    <w:p w14:paraId="1DFF0BA3" w14:textId="029A6DB1" w:rsidR="00EC0261" w:rsidRDefault="00EC0261" w:rsidP="0001000B">
      <w:pPr>
        <w:pStyle w:val="ListParagraph"/>
        <w:numPr>
          <w:ilvl w:val="0"/>
          <w:numId w:val="45"/>
        </w:numPr>
        <w:spacing w:after="0" w:line="240" w:lineRule="auto"/>
        <w:rPr>
          <w:rFonts w:asciiTheme="minorHAnsi" w:eastAsia="Arial" w:hAnsiTheme="minorHAnsi" w:cs="Times New Roman"/>
          <w:szCs w:val="24"/>
        </w:rPr>
      </w:pPr>
      <w:r w:rsidRPr="00E74838">
        <w:rPr>
          <w:rFonts w:asciiTheme="minorHAnsi" w:eastAsia="Arial" w:hAnsiTheme="minorHAnsi" w:cs="Times New Roman"/>
          <w:szCs w:val="24"/>
        </w:rPr>
        <w:t xml:space="preserve">The LWIA funding codes for WIOA Adult, Dislocated Worker, and Youth only count Participants funded with Local Formula funding.  This ignores the fact that a </w:t>
      </w:r>
      <w:r w:rsidR="00635273" w:rsidRPr="00E74838">
        <w:rPr>
          <w:rFonts w:asciiTheme="minorHAnsi" w:eastAsia="Arial" w:hAnsiTheme="minorHAnsi" w:cs="Times New Roman"/>
          <w:szCs w:val="24"/>
        </w:rPr>
        <w:t>t</w:t>
      </w:r>
      <w:r w:rsidRPr="00E74838">
        <w:rPr>
          <w:rFonts w:asciiTheme="minorHAnsi" w:eastAsia="Arial" w:hAnsiTheme="minorHAnsi" w:cs="Times New Roman"/>
          <w:szCs w:val="24"/>
        </w:rPr>
        <w:t xml:space="preserve">itle I participant can be served with both Local Formula and </w:t>
      </w:r>
      <w:proofErr w:type="gramStart"/>
      <w:r w:rsidRPr="00E74838">
        <w:rPr>
          <w:rFonts w:asciiTheme="minorHAnsi" w:eastAsia="Arial" w:hAnsiTheme="minorHAnsi" w:cs="Times New Roman"/>
          <w:szCs w:val="24"/>
        </w:rPr>
        <w:t>Statewide</w:t>
      </w:r>
      <w:proofErr w:type="gramEnd"/>
      <w:r w:rsidRPr="00E74838">
        <w:rPr>
          <w:rFonts w:asciiTheme="minorHAnsi" w:eastAsia="Arial" w:hAnsiTheme="minorHAnsi" w:cs="Times New Roman"/>
          <w:szCs w:val="24"/>
        </w:rPr>
        <w:t xml:space="preserve"> funding.</w:t>
      </w:r>
    </w:p>
    <w:p w14:paraId="4DDE536B" w14:textId="77777777" w:rsidR="005509F0" w:rsidRPr="005509F0" w:rsidRDefault="005509F0" w:rsidP="0001000B">
      <w:pPr>
        <w:spacing w:after="0" w:line="240" w:lineRule="auto"/>
        <w:rPr>
          <w:rFonts w:eastAsia="Arial" w:cs="Times New Roman"/>
          <w:szCs w:val="24"/>
        </w:rPr>
      </w:pPr>
    </w:p>
    <w:p w14:paraId="2BD7BE14" w14:textId="6A02B673" w:rsidR="000D4AFF" w:rsidRPr="00E74838" w:rsidRDefault="000D4AFF" w:rsidP="0001000B">
      <w:pPr>
        <w:pStyle w:val="ListParagraph"/>
        <w:numPr>
          <w:ilvl w:val="0"/>
          <w:numId w:val="45"/>
        </w:numPr>
        <w:spacing w:after="0" w:line="240" w:lineRule="auto"/>
        <w:rPr>
          <w:rFonts w:asciiTheme="minorHAnsi" w:hAnsiTheme="minorHAnsi" w:cs="Times New Roman"/>
          <w:b/>
          <w:szCs w:val="24"/>
        </w:rPr>
      </w:pPr>
      <w:r w:rsidRPr="00E74838">
        <w:rPr>
          <w:rFonts w:asciiTheme="minorHAnsi" w:hAnsiTheme="minorHAnsi" w:cs="Times New Roman"/>
          <w:szCs w:val="24"/>
        </w:rPr>
        <w:t>A</w:t>
      </w:r>
      <w:r w:rsidR="005509F0">
        <w:rPr>
          <w:rFonts w:asciiTheme="minorHAnsi" w:hAnsiTheme="minorHAnsi" w:cs="Times New Roman"/>
          <w:szCs w:val="24"/>
        </w:rPr>
        <w:t>p</w:t>
      </w:r>
      <w:r w:rsidRPr="00E74838">
        <w:rPr>
          <w:rFonts w:asciiTheme="minorHAnsi" w:hAnsiTheme="minorHAnsi" w:cs="Times New Roman"/>
          <w:szCs w:val="24"/>
        </w:rPr>
        <w:t xml:space="preserve">pendix C refers to “LWIA WIOA Funding”. </w:t>
      </w:r>
      <w:r w:rsidR="009164F6" w:rsidRPr="00E74838">
        <w:rPr>
          <w:rFonts w:asciiTheme="minorHAnsi" w:hAnsiTheme="minorHAnsi" w:cs="Times New Roman"/>
          <w:szCs w:val="24"/>
        </w:rPr>
        <w:t xml:space="preserve"> </w:t>
      </w:r>
      <w:r w:rsidRPr="00E74838">
        <w:rPr>
          <w:rFonts w:asciiTheme="minorHAnsi" w:hAnsiTheme="minorHAnsi" w:cs="Times New Roman"/>
          <w:szCs w:val="24"/>
        </w:rPr>
        <w:t>To remain consistent with WIOA language, shouldn’t this read LWDA?</w:t>
      </w:r>
    </w:p>
    <w:p w14:paraId="34ED9185" w14:textId="77777777" w:rsidR="0023320E" w:rsidRPr="00E74838" w:rsidRDefault="0023320E" w:rsidP="0001000B">
      <w:pPr>
        <w:spacing w:after="0" w:line="240" w:lineRule="auto"/>
        <w:rPr>
          <w:rFonts w:eastAsia="Arial" w:cs="Times New Roman"/>
          <w:b/>
          <w:sz w:val="24"/>
          <w:szCs w:val="24"/>
        </w:rPr>
      </w:pPr>
    </w:p>
    <w:p w14:paraId="5CC6C59B" w14:textId="6178795C" w:rsidR="00E314DB" w:rsidRPr="00820D61" w:rsidRDefault="006F36CE" w:rsidP="00820D61">
      <w:pPr>
        <w:spacing w:after="0" w:line="240" w:lineRule="auto"/>
        <w:rPr>
          <w:rFonts w:cs="Times New Roman"/>
          <w:sz w:val="24"/>
          <w:szCs w:val="24"/>
        </w:rPr>
      </w:pPr>
      <w:r w:rsidRPr="00E74838">
        <w:rPr>
          <w:rFonts w:eastAsia="Arial" w:cs="Times New Roman"/>
          <w:b/>
          <w:sz w:val="24"/>
          <w:szCs w:val="24"/>
        </w:rPr>
        <w:t xml:space="preserve">Agencies’ Response, June 2016: </w:t>
      </w:r>
      <w:r w:rsidRPr="00E74838">
        <w:rPr>
          <w:rFonts w:eastAsia="Arial" w:cs="Times New Roman"/>
          <w:sz w:val="24"/>
          <w:szCs w:val="24"/>
        </w:rPr>
        <w:t xml:space="preserve"> We a</w:t>
      </w:r>
      <w:r w:rsidR="00F23932" w:rsidRPr="00E74838">
        <w:rPr>
          <w:rFonts w:eastAsia="Arial" w:cs="Times New Roman"/>
          <w:sz w:val="24"/>
          <w:szCs w:val="24"/>
        </w:rPr>
        <w:t>gree</w:t>
      </w:r>
      <w:r w:rsidRPr="00E74838">
        <w:rPr>
          <w:rFonts w:eastAsia="Arial" w:cs="Times New Roman"/>
          <w:sz w:val="24"/>
          <w:szCs w:val="24"/>
        </w:rPr>
        <w:t xml:space="preserve"> with the comment</w:t>
      </w:r>
      <w:r w:rsidR="00EC0261" w:rsidRPr="00E74838">
        <w:rPr>
          <w:rFonts w:eastAsia="Arial" w:cs="Times New Roman"/>
          <w:sz w:val="24"/>
          <w:szCs w:val="24"/>
        </w:rPr>
        <w:t xml:space="preserve"> regarding the VR coding error</w:t>
      </w:r>
      <w:r w:rsidRPr="00E74838">
        <w:rPr>
          <w:rFonts w:eastAsia="Arial" w:cs="Times New Roman"/>
          <w:sz w:val="24"/>
          <w:szCs w:val="24"/>
        </w:rPr>
        <w:t>.</w:t>
      </w:r>
      <w:r w:rsidR="00F23932" w:rsidRPr="00E74838">
        <w:rPr>
          <w:rFonts w:eastAsia="Arial" w:cs="Times New Roman"/>
          <w:sz w:val="24"/>
          <w:szCs w:val="24"/>
        </w:rPr>
        <w:t xml:space="preserve">  This will be revised in the final version</w:t>
      </w:r>
      <w:r w:rsidR="00EC0261" w:rsidRPr="00E74838">
        <w:rPr>
          <w:rFonts w:eastAsia="Arial" w:cs="Times New Roman"/>
          <w:sz w:val="24"/>
          <w:szCs w:val="24"/>
        </w:rPr>
        <w:t xml:space="preserve"> of the Joint PIRL</w:t>
      </w:r>
      <w:r w:rsidR="0023320E" w:rsidRPr="00E74838">
        <w:rPr>
          <w:rFonts w:eastAsia="Arial" w:cs="Times New Roman"/>
          <w:sz w:val="24"/>
          <w:szCs w:val="24"/>
        </w:rPr>
        <w:t xml:space="preserve"> </w:t>
      </w:r>
      <w:r w:rsidR="00EC0261" w:rsidRPr="00E74838">
        <w:rPr>
          <w:rFonts w:eastAsia="Arial" w:cs="Times New Roman"/>
          <w:sz w:val="24"/>
          <w:szCs w:val="24"/>
        </w:rPr>
        <w:t xml:space="preserve">by switching </w:t>
      </w:r>
      <w:r w:rsidR="00F23932" w:rsidRPr="00E74838">
        <w:rPr>
          <w:rFonts w:eastAsia="Arial" w:cs="Times New Roman"/>
          <w:sz w:val="24"/>
          <w:szCs w:val="24"/>
        </w:rPr>
        <w:t>&gt; with &lt; before 9.</w:t>
      </w:r>
      <w:r w:rsidR="00EC0261" w:rsidRPr="00E74838">
        <w:rPr>
          <w:rFonts w:eastAsia="Arial" w:cs="Times New Roman"/>
          <w:sz w:val="24"/>
          <w:szCs w:val="24"/>
        </w:rPr>
        <w:t xml:space="preserve">  We also agree with the commenter regarding the inadvertent inclusion of non-title I programs.  We will remove the AEFLA, VR, and Wagner-Peyser programs from PIRL </w:t>
      </w:r>
      <w:r w:rsidR="00F23932" w:rsidRPr="00E74838">
        <w:rPr>
          <w:rFonts w:eastAsia="Arial" w:cs="Times New Roman"/>
          <w:sz w:val="24"/>
          <w:szCs w:val="24"/>
        </w:rPr>
        <w:t>108.</w:t>
      </w:r>
      <w:r w:rsidR="00B24DC2" w:rsidRPr="00E74838">
        <w:rPr>
          <w:rFonts w:eastAsia="Arial" w:cs="Times New Roman"/>
          <w:sz w:val="24"/>
          <w:szCs w:val="24"/>
        </w:rPr>
        <w:t xml:space="preserve">  With respect to the comment regarding a title I participant being served with both Statewide and local funding, in such circumstance, the program must input </w:t>
      </w:r>
      <w:r w:rsidR="00F23932" w:rsidRPr="00E74838">
        <w:rPr>
          <w:rFonts w:eastAsia="Arial" w:cs="Times New Roman"/>
          <w:sz w:val="24"/>
          <w:szCs w:val="24"/>
        </w:rPr>
        <w:t>the local area code in field 108.</w:t>
      </w:r>
      <w:r w:rsidR="00EE5AAC" w:rsidRPr="00E74838">
        <w:rPr>
          <w:rFonts w:eastAsia="Arial" w:cs="Times New Roman"/>
          <w:sz w:val="24"/>
          <w:szCs w:val="24"/>
        </w:rPr>
        <w:t xml:space="preserve">  </w:t>
      </w:r>
      <w:bookmarkStart w:id="15" w:name="OLE_LINK56"/>
      <w:bookmarkStart w:id="16" w:name="OLE_LINK57"/>
      <w:r w:rsidR="00E314DB" w:rsidRPr="00E74838">
        <w:rPr>
          <w:rFonts w:cs="Times New Roman"/>
          <w:sz w:val="24"/>
          <w:szCs w:val="24"/>
        </w:rPr>
        <w:t>The commenter is correct</w:t>
      </w:r>
      <w:r w:rsidR="00EE5AAC" w:rsidRPr="00E74838">
        <w:rPr>
          <w:rFonts w:cs="Times New Roman"/>
          <w:sz w:val="24"/>
          <w:szCs w:val="24"/>
        </w:rPr>
        <w:t xml:space="preserve"> that </w:t>
      </w:r>
      <w:r w:rsidR="00E314DB" w:rsidRPr="00E74838">
        <w:rPr>
          <w:rFonts w:cs="Times New Roman"/>
          <w:sz w:val="24"/>
          <w:szCs w:val="24"/>
        </w:rPr>
        <w:t>WIOA refers to Local Workforce Development Areas (LWDA) not Local Workforce Investment Areas (LWIA)</w:t>
      </w:r>
      <w:r w:rsidR="00EE5AAC" w:rsidRPr="00E74838">
        <w:rPr>
          <w:rFonts w:cs="Times New Roman"/>
          <w:sz w:val="24"/>
          <w:szCs w:val="24"/>
        </w:rPr>
        <w:t>, as was used under WIA</w:t>
      </w:r>
      <w:r w:rsidR="00E314DB" w:rsidRPr="00E74838">
        <w:rPr>
          <w:rFonts w:cs="Times New Roman"/>
          <w:sz w:val="24"/>
          <w:szCs w:val="24"/>
        </w:rPr>
        <w:t xml:space="preserve">.  The Funding Streams section of Appendix C WIOA Statewide and Local Performance Report Template and Specs will be updated to match the WIOA language.  The Departments have revised the title heading of the “LWIA WIOA Funding Stream Definitions” table to “LWDA WIOA Funding Stream”. </w:t>
      </w:r>
    </w:p>
    <w:p w14:paraId="63D4B3F2" w14:textId="77777777" w:rsidR="008A5788" w:rsidRPr="00E74838" w:rsidRDefault="00A05439" w:rsidP="0001000B">
      <w:pPr>
        <w:spacing w:after="0" w:line="240" w:lineRule="auto"/>
        <w:outlineLvl w:val="0"/>
        <w:rPr>
          <w:rFonts w:eastAsia="Arial" w:cs="Times New Roman"/>
          <w:b/>
          <w:sz w:val="24"/>
          <w:szCs w:val="24"/>
        </w:rPr>
      </w:pPr>
      <w:r w:rsidRPr="00E74838">
        <w:rPr>
          <w:rFonts w:eastAsia="Arial" w:cs="Times New Roman"/>
          <w:b/>
          <w:bCs/>
          <w:sz w:val="24"/>
          <w:szCs w:val="24"/>
          <w:u w:val="single"/>
        </w:rPr>
        <w:lastRenderedPageBreak/>
        <w:t>Joint PIRL -- W</w:t>
      </w:r>
      <w:r w:rsidR="00F23932" w:rsidRPr="00E74838">
        <w:rPr>
          <w:rFonts w:eastAsia="Arial" w:cs="Times New Roman"/>
          <w:b/>
          <w:bCs/>
          <w:sz w:val="24"/>
          <w:szCs w:val="24"/>
          <w:u w:val="single"/>
        </w:rPr>
        <w:t xml:space="preserve">hen </w:t>
      </w:r>
      <w:r w:rsidRPr="00E74838">
        <w:rPr>
          <w:rFonts w:eastAsia="Arial" w:cs="Times New Roman"/>
          <w:b/>
          <w:bCs/>
          <w:sz w:val="24"/>
          <w:szCs w:val="24"/>
          <w:u w:val="single"/>
        </w:rPr>
        <w:t xml:space="preserve">a </w:t>
      </w:r>
      <w:r w:rsidR="00F23932" w:rsidRPr="00E74838">
        <w:rPr>
          <w:rFonts w:eastAsia="Arial" w:cs="Times New Roman"/>
          <w:b/>
          <w:bCs/>
          <w:sz w:val="24"/>
          <w:szCs w:val="24"/>
          <w:u w:val="single"/>
        </w:rPr>
        <w:t xml:space="preserve">Participant is </w:t>
      </w:r>
      <w:r w:rsidR="00B80FF0" w:rsidRPr="00E74838">
        <w:rPr>
          <w:rFonts w:eastAsia="Arial" w:cs="Times New Roman"/>
          <w:b/>
          <w:bCs/>
          <w:sz w:val="24"/>
          <w:szCs w:val="24"/>
          <w:u w:val="single"/>
        </w:rPr>
        <w:t>served</w:t>
      </w:r>
      <w:r w:rsidR="00F23932" w:rsidRPr="00E74838">
        <w:rPr>
          <w:rFonts w:eastAsia="Arial" w:cs="Times New Roman"/>
          <w:b/>
          <w:bCs/>
          <w:sz w:val="24"/>
          <w:szCs w:val="24"/>
          <w:u w:val="single"/>
        </w:rPr>
        <w:t xml:space="preserve"> by </w:t>
      </w:r>
      <w:r w:rsidR="00B80FF0" w:rsidRPr="00E74838">
        <w:rPr>
          <w:rFonts w:eastAsia="Arial" w:cs="Times New Roman"/>
          <w:b/>
          <w:bCs/>
          <w:sz w:val="24"/>
          <w:szCs w:val="24"/>
          <w:u w:val="single"/>
        </w:rPr>
        <w:t>more</w:t>
      </w:r>
      <w:r w:rsidR="00F23932" w:rsidRPr="00E74838">
        <w:rPr>
          <w:rFonts w:eastAsia="Arial" w:cs="Times New Roman"/>
          <w:b/>
          <w:bCs/>
          <w:sz w:val="24"/>
          <w:szCs w:val="24"/>
          <w:u w:val="single"/>
        </w:rPr>
        <w:t xml:space="preserve"> than </w:t>
      </w:r>
      <w:r w:rsidRPr="00E74838">
        <w:rPr>
          <w:rFonts w:eastAsia="Arial" w:cs="Times New Roman"/>
          <w:b/>
          <w:bCs/>
          <w:sz w:val="24"/>
          <w:szCs w:val="24"/>
          <w:u w:val="single"/>
        </w:rPr>
        <w:t>o</w:t>
      </w:r>
      <w:r w:rsidR="00F23932" w:rsidRPr="00E74838">
        <w:rPr>
          <w:rFonts w:eastAsia="Arial" w:cs="Times New Roman"/>
          <w:b/>
          <w:bCs/>
          <w:sz w:val="24"/>
          <w:szCs w:val="24"/>
          <w:u w:val="single"/>
        </w:rPr>
        <w:t xml:space="preserve">ne </w:t>
      </w:r>
      <w:r w:rsidRPr="00E74838">
        <w:rPr>
          <w:rFonts w:eastAsia="Arial" w:cs="Times New Roman"/>
          <w:b/>
          <w:bCs/>
          <w:sz w:val="24"/>
          <w:szCs w:val="24"/>
          <w:u w:val="single"/>
        </w:rPr>
        <w:t xml:space="preserve">Local </w:t>
      </w:r>
      <w:r w:rsidR="00F23932" w:rsidRPr="00E74838">
        <w:rPr>
          <w:rFonts w:eastAsia="Arial" w:cs="Times New Roman"/>
          <w:b/>
          <w:bCs/>
          <w:sz w:val="24"/>
          <w:szCs w:val="24"/>
          <w:u w:val="single"/>
        </w:rPr>
        <w:t>Board</w:t>
      </w:r>
      <w:r w:rsidR="004568D3" w:rsidRPr="00E74838">
        <w:rPr>
          <w:rFonts w:eastAsia="Arial" w:cs="Times New Roman"/>
          <w:b/>
          <w:sz w:val="24"/>
          <w:szCs w:val="24"/>
        </w:rPr>
        <w:t>:</w:t>
      </w:r>
      <w:bookmarkEnd w:id="15"/>
      <w:bookmarkEnd w:id="16"/>
    </w:p>
    <w:p w14:paraId="4B10C93B" w14:textId="051E5C02" w:rsidR="001A232E" w:rsidRPr="00E74838" w:rsidRDefault="004568D3" w:rsidP="0001000B">
      <w:pPr>
        <w:spacing w:after="0" w:line="240" w:lineRule="auto"/>
        <w:outlineLvl w:val="0"/>
        <w:rPr>
          <w:rFonts w:cs="Times New Roman"/>
          <w:sz w:val="24"/>
          <w:szCs w:val="24"/>
        </w:rPr>
      </w:pPr>
      <w:r w:rsidRPr="00E74838">
        <w:rPr>
          <w:rFonts w:eastAsia="Arial" w:cs="Times New Roman"/>
          <w:sz w:val="24"/>
          <w:szCs w:val="24"/>
        </w:rPr>
        <w:t xml:space="preserve">  </w:t>
      </w:r>
    </w:p>
    <w:p w14:paraId="4DD53C2B" w14:textId="639D43C5" w:rsidR="00A05439" w:rsidRPr="00E74838" w:rsidRDefault="00A05439" w:rsidP="0001000B">
      <w:pPr>
        <w:spacing w:after="0" w:line="240" w:lineRule="auto"/>
        <w:rPr>
          <w:rFonts w:cs="Times New Roman"/>
          <w:sz w:val="24"/>
          <w:szCs w:val="24"/>
        </w:rPr>
      </w:pPr>
      <w:r w:rsidRPr="00E74838">
        <w:rPr>
          <w:rFonts w:cs="Times New Roman"/>
          <w:sz w:val="24"/>
          <w:szCs w:val="24"/>
        </w:rPr>
        <w:t xml:space="preserve">One commenter identified a problem with having multiple Local Boards serving a </w:t>
      </w:r>
      <w:r w:rsidR="008A5788" w:rsidRPr="00E74838">
        <w:rPr>
          <w:rFonts w:cs="Times New Roman"/>
          <w:sz w:val="24"/>
          <w:szCs w:val="24"/>
        </w:rPr>
        <w:t>p</w:t>
      </w:r>
      <w:r w:rsidRPr="00E74838">
        <w:rPr>
          <w:rFonts w:cs="Times New Roman"/>
          <w:sz w:val="24"/>
          <w:szCs w:val="24"/>
        </w:rPr>
        <w:t>articipant during the same period of participation, because different Boards use funds from different programs to cover the costs</w:t>
      </w:r>
      <w:r w:rsidR="00AD64F7" w:rsidRPr="00E74838">
        <w:rPr>
          <w:rFonts w:cs="Times New Roman"/>
          <w:sz w:val="24"/>
          <w:szCs w:val="24"/>
        </w:rPr>
        <w:t xml:space="preserve"> of providing the participants’ services</w:t>
      </w:r>
      <w:r w:rsidRPr="00E74838">
        <w:rPr>
          <w:rFonts w:cs="Times New Roman"/>
          <w:sz w:val="24"/>
          <w:szCs w:val="24"/>
        </w:rPr>
        <w:t xml:space="preserve">. </w:t>
      </w:r>
      <w:r w:rsidR="00005B6D" w:rsidRPr="00E74838">
        <w:rPr>
          <w:rFonts w:cs="Times New Roman"/>
          <w:sz w:val="24"/>
          <w:szCs w:val="24"/>
        </w:rPr>
        <w:t xml:space="preserve"> </w:t>
      </w:r>
      <w:r w:rsidR="00AD64F7" w:rsidRPr="00E74838">
        <w:rPr>
          <w:rFonts w:cs="Times New Roman"/>
          <w:sz w:val="24"/>
          <w:szCs w:val="24"/>
        </w:rPr>
        <w:t>The commenter recommends that S</w:t>
      </w:r>
      <w:r w:rsidRPr="00E74838">
        <w:rPr>
          <w:rFonts w:cs="Times New Roman"/>
          <w:sz w:val="24"/>
          <w:szCs w:val="24"/>
        </w:rPr>
        <w:t xml:space="preserve">tates </w:t>
      </w:r>
      <w:r w:rsidR="00AD64F7" w:rsidRPr="00E74838">
        <w:rPr>
          <w:rFonts w:cs="Times New Roman"/>
          <w:sz w:val="24"/>
          <w:szCs w:val="24"/>
        </w:rPr>
        <w:t xml:space="preserve">should </w:t>
      </w:r>
      <w:r w:rsidRPr="00E74838">
        <w:rPr>
          <w:rFonts w:cs="Times New Roman"/>
          <w:sz w:val="24"/>
          <w:szCs w:val="24"/>
        </w:rPr>
        <w:t>use a single PIRL row, and identify multiple Boards.</w:t>
      </w:r>
    </w:p>
    <w:p w14:paraId="0932601D" w14:textId="77777777" w:rsidR="00B76712" w:rsidRPr="00E74838" w:rsidRDefault="00B76712" w:rsidP="0001000B">
      <w:pPr>
        <w:spacing w:after="0" w:line="240" w:lineRule="auto"/>
        <w:rPr>
          <w:rFonts w:cs="Times New Roman"/>
          <w:b/>
          <w:sz w:val="24"/>
          <w:szCs w:val="24"/>
        </w:rPr>
      </w:pPr>
    </w:p>
    <w:p w14:paraId="1B45C3B0" w14:textId="56080997" w:rsidR="00A05439" w:rsidRPr="00E74838" w:rsidRDefault="00A05439" w:rsidP="0001000B">
      <w:pPr>
        <w:spacing w:after="0" w:line="240" w:lineRule="auto"/>
        <w:rPr>
          <w:rFonts w:cs="Times New Roman"/>
          <w:sz w:val="24"/>
          <w:szCs w:val="24"/>
        </w:rPr>
      </w:pPr>
      <w:r w:rsidRPr="00E74838">
        <w:rPr>
          <w:rFonts w:cs="Times New Roman"/>
          <w:b/>
          <w:sz w:val="24"/>
          <w:szCs w:val="24"/>
        </w:rPr>
        <w:t xml:space="preserve">Agencies’ Response, June 2016: </w:t>
      </w:r>
      <w:r w:rsidRPr="00E74838">
        <w:rPr>
          <w:rFonts w:cs="Times New Roman"/>
          <w:sz w:val="24"/>
          <w:szCs w:val="24"/>
        </w:rPr>
        <w:t xml:space="preserve"> </w:t>
      </w:r>
      <w:r w:rsidR="00AD64F7" w:rsidRPr="00E74838">
        <w:rPr>
          <w:rFonts w:cs="Times New Roman"/>
          <w:sz w:val="24"/>
          <w:szCs w:val="24"/>
        </w:rPr>
        <w:t xml:space="preserve">In an effort to minimize reporting </w:t>
      </w:r>
      <w:r w:rsidRPr="00E74838">
        <w:rPr>
          <w:rFonts w:cs="Times New Roman"/>
          <w:sz w:val="24"/>
          <w:szCs w:val="24"/>
        </w:rPr>
        <w:t xml:space="preserve">burden, the Departments </w:t>
      </w:r>
      <w:r w:rsidR="00AD64F7" w:rsidRPr="00E74838">
        <w:rPr>
          <w:rFonts w:cs="Times New Roman"/>
          <w:sz w:val="24"/>
          <w:szCs w:val="24"/>
        </w:rPr>
        <w:t>decline to do as the commenter recommends.  Instead, the annual report template will capture o</w:t>
      </w:r>
      <w:r w:rsidRPr="00E74838">
        <w:rPr>
          <w:rFonts w:cs="Times New Roman"/>
          <w:sz w:val="24"/>
          <w:szCs w:val="24"/>
        </w:rPr>
        <w:t xml:space="preserve">nly one record input per participation period.  However, to resolve </w:t>
      </w:r>
      <w:r w:rsidR="00AD64F7" w:rsidRPr="00E74838">
        <w:rPr>
          <w:rFonts w:cs="Times New Roman"/>
          <w:sz w:val="24"/>
          <w:szCs w:val="24"/>
        </w:rPr>
        <w:t xml:space="preserve">similar </w:t>
      </w:r>
      <w:r w:rsidRPr="00E74838">
        <w:rPr>
          <w:rFonts w:cs="Times New Roman"/>
          <w:sz w:val="24"/>
          <w:szCs w:val="24"/>
        </w:rPr>
        <w:t>comment</w:t>
      </w:r>
      <w:r w:rsidR="00AD64F7" w:rsidRPr="00E74838">
        <w:rPr>
          <w:rFonts w:cs="Times New Roman"/>
          <w:sz w:val="24"/>
          <w:szCs w:val="24"/>
        </w:rPr>
        <w:t xml:space="preserve">s received pursuant to </w:t>
      </w:r>
      <w:r w:rsidRPr="00E74838">
        <w:rPr>
          <w:rFonts w:cs="Times New Roman"/>
          <w:sz w:val="24"/>
          <w:szCs w:val="24"/>
        </w:rPr>
        <w:t xml:space="preserve">the 60-day </w:t>
      </w:r>
      <w:r w:rsidR="00AD64F7" w:rsidRPr="00E74838">
        <w:rPr>
          <w:rFonts w:cs="Times New Roman"/>
          <w:sz w:val="24"/>
          <w:szCs w:val="24"/>
        </w:rPr>
        <w:t>FRN</w:t>
      </w:r>
      <w:r w:rsidRPr="00E74838">
        <w:rPr>
          <w:rFonts w:cs="Times New Roman"/>
          <w:sz w:val="24"/>
          <w:szCs w:val="24"/>
        </w:rPr>
        <w:t xml:space="preserve">, </w:t>
      </w:r>
      <w:r w:rsidR="00AD64F7" w:rsidRPr="00E74838">
        <w:rPr>
          <w:rFonts w:cs="Times New Roman"/>
          <w:sz w:val="24"/>
          <w:szCs w:val="24"/>
        </w:rPr>
        <w:t xml:space="preserve">the Departments divided </w:t>
      </w:r>
      <w:r w:rsidRPr="00E74838">
        <w:rPr>
          <w:rFonts w:cs="Times New Roman"/>
          <w:sz w:val="24"/>
          <w:szCs w:val="24"/>
        </w:rPr>
        <w:t>PIRL 108 into three sections</w:t>
      </w:r>
      <w:r w:rsidR="00AD64F7" w:rsidRPr="00E74838">
        <w:rPr>
          <w:rFonts w:cs="Times New Roman"/>
          <w:sz w:val="24"/>
          <w:szCs w:val="24"/>
        </w:rPr>
        <w:t>.  With that change</w:t>
      </w:r>
      <w:r w:rsidRPr="00E74838">
        <w:rPr>
          <w:rFonts w:cs="Times New Roman"/>
          <w:sz w:val="24"/>
          <w:szCs w:val="24"/>
        </w:rPr>
        <w:t xml:space="preserve">, three separate serving </w:t>
      </w:r>
      <w:r w:rsidR="00AD64F7" w:rsidRPr="00E74838">
        <w:rPr>
          <w:rFonts w:cs="Times New Roman"/>
          <w:sz w:val="24"/>
          <w:szCs w:val="24"/>
        </w:rPr>
        <w:t>B</w:t>
      </w:r>
      <w:r w:rsidRPr="00E74838">
        <w:rPr>
          <w:rFonts w:cs="Times New Roman"/>
          <w:sz w:val="24"/>
          <w:szCs w:val="24"/>
        </w:rPr>
        <w:t>oards can be input</w:t>
      </w:r>
      <w:r w:rsidR="00AD64F7" w:rsidRPr="00E74838">
        <w:rPr>
          <w:rFonts w:cs="Times New Roman"/>
          <w:sz w:val="24"/>
          <w:szCs w:val="24"/>
        </w:rPr>
        <w:t xml:space="preserve"> into the PIRL</w:t>
      </w:r>
      <w:r w:rsidRPr="00E74838">
        <w:rPr>
          <w:rFonts w:cs="Times New Roman"/>
          <w:sz w:val="24"/>
          <w:szCs w:val="24"/>
        </w:rPr>
        <w:t>.</w:t>
      </w:r>
      <w:r w:rsidR="00AD64F7" w:rsidRPr="00E74838">
        <w:rPr>
          <w:rFonts w:cs="Times New Roman"/>
          <w:sz w:val="24"/>
          <w:szCs w:val="24"/>
        </w:rPr>
        <w:t xml:space="preserve">  </w:t>
      </w:r>
      <w:r w:rsidRPr="00E74838">
        <w:rPr>
          <w:rFonts w:cs="Times New Roman"/>
          <w:sz w:val="24"/>
          <w:szCs w:val="24"/>
        </w:rPr>
        <w:t xml:space="preserve">No </w:t>
      </w:r>
      <w:r w:rsidR="00AD64F7" w:rsidRPr="00E74838">
        <w:rPr>
          <w:rFonts w:cs="Times New Roman"/>
          <w:sz w:val="24"/>
          <w:szCs w:val="24"/>
        </w:rPr>
        <w:t xml:space="preserve">further </w:t>
      </w:r>
      <w:r w:rsidRPr="00E74838">
        <w:rPr>
          <w:rFonts w:cs="Times New Roman"/>
          <w:sz w:val="24"/>
          <w:szCs w:val="24"/>
        </w:rPr>
        <w:t>change has been made in response to this comment.</w:t>
      </w:r>
    </w:p>
    <w:p w14:paraId="31AD236C" w14:textId="77777777" w:rsidR="00A05439" w:rsidRPr="00E74838" w:rsidRDefault="00A05439" w:rsidP="0001000B">
      <w:pPr>
        <w:spacing w:after="0" w:line="240" w:lineRule="auto"/>
        <w:outlineLvl w:val="0"/>
        <w:rPr>
          <w:rFonts w:eastAsia="Arial" w:cs="Times New Roman"/>
          <w:sz w:val="24"/>
          <w:szCs w:val="24"/>
        </w:rPr>
      </w:pPr>
    </w:p>
    <w:p w14:paraId="395C14FB" w14:textId="06C03BA3" w:rsidR="00F23932" w:rsidRPr="00E74838" w:rsidRDefault="00E060D9" w:rsidP="0001000B">
      <w:pPr>
        <w:spacing w:after="0" w:line="240" w:lineRule="auto"/>
        <w:rPr>
          <w:rFonts w:cs="Times New Roman"/>
          <w:b/>
          <w:sz w:val="24"/>
          <w:szCs w:val="24"/>
        </w:rPr>
      </w:pPr>
      <w:bookmarkStart w:id="17" w:name="OLE_LINK60"/>
      <w:bookmarkStart w:id="18" w:name="OLE_LINK61"/>
      <w:r w:rsidRPr="00E74838">
        <w:rPr>
          <w:rFonts w:cs="Times New Roman"/>
          <w:b/>
          <w:sz w:val="24"/>
          <w:szCs w:val="24"/>
          <w:u w:val="single"/>
        </w:rPr>
        <w:t xml:space="preserve">Annual Report </w:t>
      </w:r>
      <w:r w:rsidR="00F23932" w:rsidRPr="00E74838">
        <w:rPr>
          <w:rFonts w:cs="Times New Roman"/>
          <w:b/>
          <w:sz w:val="24"/>
          <w:szCs w:val="24"/>
          <w:u w:val="single"/>
        </w:rPr>
        <w:t>Template</w:t>
      </w:r>
      <w:bookmarkEnd w:id="17"/>
      <w:bookmarkEnd w:id="18"/>
      <w:r w:rsidRPr="00E74838">
        <w:rPr>
          <w:rFonts w:cs="Times New Roman"/>
          <w:b/>
          <w:sz w:val="24"/>
          <w:szCs w:val="24"/>
          <w:u w:val="single"/>
        </w:rPr>
        <w:t xml:space="preserve"> -- </w:t>
      </w:r>
      <w:r w:rsidR="001A43CA" w:rsidRPr="00E74838">
        <w:rPr>
          <w:rFonts w:cs="Times New Roman"/>
          <w:b/>
          <w:sz w:val="24"/>
          <w:szCs w:val="24"/>
          <w:u w:val="single"/>
        </w:rPr>
        <w:t>Miscellaneous</w:t>
      </w:r>
      <w:r w:rsidRPr="00E74838">
        <w:rPr>
          <w:rFonts w:cs="Times New Roman"/>
          <w:b/>
          <w:sz w:val="24"/>
          <w:szCs w:val="24"/>
        </w:rPr>
        <w:t>:</w:t>
      </w:r>
    </w:p>
    <w:p w14:paraId="05D68F2F" w14:textId="77777777" w:rsidR="008A5788" w:rsidRPr="00E74838" w:rsidRDefault="008A5788" w:rsidP="0001000B">
      <w:pPr>
        <w:spacing w:after="0" w:line="240" w:lineRule="auto"/>
        <w:rPr>
          <w:rFonts w:cs="Times New Roman"/>
          <w:b/>
          <w:sz w:val="24"/>
          <w:szCs w:val="24"/>
        </w:rPr>
      </w:pPr>
    </w:p>
    <w:p w14:paraId="41338422" w14:textId="05D865EB" w:rsidR="00B11CD7" w:rsidRPr="00E74838" w:rsidRDefault="00E060D9" w:rsidP="0001000B">
      <w:pPr>
        <w:spacing w:after="0" w:line="240" w:lineRule="auto"/>
        <w:rPr>
          <w:rFonts w:cs="Times New Roman"/>
          <w:sz w:val="24"/>
          <w:szCs w:val="24"/>
        </w:rPr>
      </w:pPr>
      <w:r w:rsidRPr="00E74838">
        <w:rPr>
          <w:rFonts w:cs="Times New Roman"/>
          <w:sz w:val="24"/>
          <w:szCs w:val="24"/>
        </w:rPr>
        <w:t xml:space="preserve">Many commenters express concern about the current Program Performance report template. Specifically, one commenter </w:t>
      </w:r>
      <w:r w:rsidR="00EA55B5" w:rsidRPr="00E74838">
        <w:rPr>
          <w:rFonts w:cs="Times New Roman"/>
          <w:sz w:val="24"/>
          <w:szCs w:val="24"/>
        </w:rPr>
        <w:t xml:space="preserve">noted </w:t>
      </w:r>
      <w:r w:rsidRPr="00E74838">
        <w:rPr>
          <w:rFonts w:cs="Times New Roman"/>
          <w:sz w:val="24"/>
          <w:szCs w:val="24"/>
        </w:rPr>
        <w:t>that it does</w:t>
      </w:r>
      <w:r w:rsidR="00CD241A">
        <w:rPr>
          <w:rFonts w:cs="Times New Roman"/>
          <w:sz w:val="24"/>
          <w:szCs w:val="24"/>
        </w:rPr>
        <w:t xml:space="preserve"> not include </w:t>
      </w:r>
      <w:proofErr w:type="gramStart"/>
      <w:r w:rsidR="00CD241A">
        <w:rPr>
          <w:rFonts w:cs="Times New Roman"/>
          <w:sz w:val="24"/>
          <w:szCs w:val="24"/>
        </w:rPr>
        <w:t>participants</w:t>
      </w:r>
      <w:proofErr w:type="gramEnd"/>
      <w:r w:rsidR="00CD241A">
        <w:rPr>
          <w:rFonts w:cs="Times New Roman"/>
          <w:sz w:val="24"/>
          <w:szCs w:val="24"/>
        </w:rPr>
        <w:t xml:space="preserve"> under</w:t>
      </w:r>
      <w:r w:rsidRPr="00E74838">
        <w:rPr>
          <w:rFonts w:cs="Times New Roman"/>
          <w:sz w:val="24"/>
          <w:szCs w:val="24"/>
        </w:rPr>
        <w:t xml:space="preserve">16 years of age. </w:t>
      </w:r>
      <w:r w:rsidR="00936D4F" w:rsidRPr="00E74838">
        <w:rPr>
          <w:rFonts w:cs="Times New Roman"/>
          <w:sz w:val="24"/>
          <w:szCs w:val="24"/>
        </w:rPr>
        <w:t>The commenter questioned how this omission is consistent with the title I Youth program that serves in-school youth aged 14 and 15, and asked whether the title I Youth program would be held accountable for the services provided to these youth.</w:t>
      </w:r>
      <w:r w:rsidR="00B11CD7" w:rsidRPr="00E74838">
        <w:rPr>
          <w:rFonts w:cs="Times New Roman"/>
          <w:sz w:val="24"/>
          <w:szCs w:val="24"/>
        </w:rPr>
        <w:t xml:space="preserve">  Another commenter suggested that the earnings measure for youth should exclude youth who are enrolled in postsecondary education or training, otherwise, postsecondary enrollment (a good thing) would suppress the earnings outcome by reducing hours of work.  Otherwise, as the Departments acknowledge (Appendix A, p. 5), the youth program would have a disincentive to encourage and enable youth to continue on into postsecondary education or training. </w:t>
      </w:r>
    </w:p>
    <w:p w14:paraId="5BD79F0C" w14:textId="77777777" w:rsidR="00B76712" w:rsidRPr="00E74838" w:rsidRDefault="00B76712" w:rsidP="0001000B">
      <w:pPr>
        <w:spacing w:after="0" w:line="240" w:lineRule="auto"/>
        <w:rPr>
          <w:rFonts w:cs="Times New Roman"/>
          <w:sz w:val="24"/>
          <w:szCs w:val="24"/>
        </w:rPr>
      </w:pPr>
    </w:p>
    <w:p w14:paraId="4619E8EF" w14:textId="18D40BE6" w:rsidR="00E060D9" w:rsidRPr="00E74838" w:rsidRDefault="00E060D9" w:rsidP="0001000B">
      <w:pPr>
        <w:spacing w:after="0" w:line="240" w:lineRule="auto"/>
        <w:rPr>
          <w:rFonts w:cs="Times New Roman"/>
          <w:sz w:val="24"/>
          <w:szCs w:val="24"/>
        </w:rPr>
      </w:pPr>
      <w:r w:rsidRPr="00E74838">
        <w:rPr>
          <w:rFonts w:cs="Times New Roman"/>
          <w:sz w:val="24"/>
          <w:szCs w:val="24"/>
        </w:rPr>
        <w:t xml:space="preserve">Another commenter </w:t>
      </w:r>
      <w:r w:rsidR="00936D4F" w:rsidRPr="00E74838">
        <w:rPr>
          <w:rFonts w:cs="Times New Roman"/>
          <w:sz w:val="24"/>
          <w:szCs w:val="24"/>
        </w:rPr>
        <w:t xml:space="preserve">asserts </w:t>
      </w:r>
      <w:r w:rsidRPr="00E74838">
        <w:rPr>
          <w:rFonts w:cs="Times New Roman"/>
          <w:sz w:val="24"/>
          <w:szCs w:val="24"/>
        </w:rPr>
        <w:t xml:space="preserve">that subpopulations of participants </w:t>
      </w:r>
      <w:r w:rsidR="00936D4F" w:rsidRPr="00E74838">
        <w:rPr>
          <w:rFonts w:cs="Times New Roman"/>
          <w:sz w:val="24"/>
          <w:szCs w:val="24"/>
        </w:rPr>
        <w:t xml:space="preserve">should </w:t>
      </w:r>
      <w:r w:rsidRPr="00E74838">
        <w:rPr>
          <w:rFonts w:cs="Times New Roman"/>
          <w:sz w:val="24"/>
          <w:szCs w:val="24"/>
        </w:rPr>
        <w:t>be included</w:t>
      </w:r>
      <w:r w:rsidR="00936D4F" w:rsidRPr="00E74838">
        <w:rPr>
          <w:rFonts w:cs="Times New Roman"/>
          <w:sz w:val="24"/>
          <w:szCs w:val="24"/>
        </w:rPr>
        <w:t xml:space="preserve"> in the report template</w:t>
      </w:r>
      <w:r w:rsidRPr="00E74838">
        <w:rPr>
          <w:rFonts w:cs="Times New Roman"/>
          <w:sz w:val="24"/>
          <w:szCs w:val="24"/>
        </w:rPr>
        <w:t xml:space="preserve">, such as </w:t>
      </w:r>
      <w:r w:rsidR="00936D4F" w:rsidRPr="00E74838">
        <w:rPr>
          <w:rFonts w:cs="Times New Roman"/>
          <w:sz w:val="24"/>
          <w:szCs w:val="24"/>
        </w:rPr>
        <w:t>p</w:t>
      </w:r>
      <w:r w:rsidRPr="00E74838">
        <w:rPr>
          <w:rFonts w:cs="Times New Roman"/>
          <w:sz w:val="24"/>
          <w:szCs w:val="24"/>
        </w:rPr>
        <w:t>articipants</w:t>
      </w:r>
      <w:r w:rsidR="007D0A5B" w:rsidRPr="00E74838">
        <w:rPr>
          <w:rFonts w:cs="Times New Roman"/>
          <w:sz w:val="24"/>
          <w:szCs w:val="24"/>
        </w:rPr>
        <w:t>:  (1)</w:t>
      </w:r>
      <w:r w:rsidRPr="00E74838">
        <w:rPr>
          <w:rFonts w:cs="Times New Roman"/>
          <w:sz w:val="24"/>
          <w:szCs w:val="24"/>
        </w:rPr>
        <w:t xml:space="preserve"> </w:t>
      </w:r>
      <w:r w:rsidR="00936D4F" w:rsidRPr="00E74838">
        <w:rPr>
          <w:rFonts w:cs="Times New Roman"/>
          <w:sz w:val="24"/>
          <w:szCs w:val="24"/>
        </w:rPr>
        <w:t xml:space="preserve">who </w:t>
      </w:r>
      <w:r w:rsidRPr="00E74838">
        <w:rPr>
          <w:rFonts w:cs="Times New Roman"/>
          <w:sz w:val="24"/>
          <w:szCs w:val="24"/>
        </w:rPr>
        <w:t xml:space="preserve">are limited-English and </w:t>
      </w:r>
      <w:r w:rsidR="00936D4F" w:rsidRPr="00E74838">
        <w:rPr>
          <w:rFonts w:cs="Times New Roman"/>
          <w:sz w:val="24"/>
          <w:szCs w:val="24"/>
        </w:rPr>
        <w:t xml:space="preserve">who </w:t>
      </w:r>
      <w:r w:rsidRPr="00E74838">
        <w:rPr>
          <w:rFonts w:cs="Times New Roman"/>
          <w:sz w:val="24"/>
          <w:szCs w:val="24"/>
        </w:rPr>
        <w:t>have less</w:t>
      </w:r>
      <w:r w:rsidR="00936D4F" w:rsidRPr="00E74838">
        <w:rPr>
          <w:rFonts w:cs="Times New Roman"/>
          <w:sz w:val="24"/>
          <w:szCs w:val="24"/>
        </w:rPr>
        <w:t xml:space="preserve"> </w:t>
      </w:r>
      <w:r w:rsidRPr="00E74838">
        <w:rPr>
          <w:rFonts w:cs="Times New Roman"/>
          <w:sz w:val="24"/>
          <w:szCs w:val="24"/>
        </w:rPr>
        <w:t xml:space="preserve">than </w:t>
      </w:r>
      <w:r w:rsidR="00936D4F" w:rsidRPr="00E74838">
        <w:rPr>
          <w:rFonts w:cs="Times New Roman"/>
          <w:sz w:val="24"/>
          <w:szCs w:val="24"/>
        </w:rPr>
        <w:t>a high school diploma or GED equivalency</w:t>
      </w:r>
      <w:r w:rsidR="007D0A5B" w:rsidRPr="00E74838">
        <w:rPr>
          <w:rFonts w:cs="Times New Roman"/>
          <w:sz w:val="24"/>
          <w:szCs w:val="24"/>
        </w:rPr>
        <w:t xml:space="preserve">; (2) who </w:t>
      </w:r>
      <w:r w:rsidRPr="00E74838">
        <w:rPr>
          <w:rFonts w:cs="Times New Roman"/>
          <w:sz w:val="24"/>
          <w:szCs w:val="24"/>
        </w:rPr>
        <w:t>are just limited in English</w:t>
      </w:r>
      <w:r w:rsidR="007D0A5B" w:rsidRPr="00E74838">
        <w:rPr>
          <w:rFonts w:cs="Times New Roman"/>
          <w:sz w:val="24"/>
          <w:szCs w:val="24"/>
        </w:rPr>
        <w:t xml:space="preserve">; </w:t>
      </w:r>
      <w:r w:rsidRPr="00E74838">
        <w:rPr>
          <w:rFonts w:cs="Times New Roman"/>
          <w:sz w:val="24"/>
          <w:szCs w:val="24"/>
        </w:rPr>
        <w:t xml:space="preserve">and </w:t>
      </w:r>
      <w:r w:rsidR="007D0A5B" w:rsidRPr="00E74838">
        <w:rPr>
          <w:rFonts w:cs="Times New Roman"/>
          <w:sz w:val="24"/>
          <w:szCs w:val="24"/>
        </w:rPr>
        <w:t xml:space="preserve">(3) who </w:t>
      </w:r>
      <w:r w:rsidRPr="00E74838">
        <w:rPr>
          <w:rFonts w:cs="Times New Roman"/>
          <w:sz w:val="24"/>
          <w:szCs w:val="24"/>
        </w:rPr>
        <w:t>are just limited in foundation skills/literacy.</w:t>
      </w:r>
    </w:p>
    <w:p w14:paraId="697E5772" w14:textId="77777777" w:rsidR="00B76712" w:rsidRPr="00E74838" w:rsidRDefault="00B76712" w:rsidP="0001000B">
      <w:pPr>
        <w:spacing w:after="0" w:line="240" w:lineRule="auto"/>
        <w:rPr>
          <w:rFonts w:cs="Times New Roman"/>
          <w:sz w:val="24"/>
          <w:szCs w:val="24"/>
        </w:rPr>
      </w:pPr>
    </w:p>
    <w:p w14:paraId="6B09E8EC" w14:textId="4A9BB552" w:rsidR="00E060D9" w:rsidRPr="00E74838" w:rsidRDefault="00E060D9" w:rsidP="0001000B">
      <w:pPr>
        <w:spacing w:after="0" w:line="240" w:lineRule="auto"/>
        <w:rPr>
          <w:rFonts w:cs="Times New Roman"/>
          <w:sz w:val="24"/>
          <w:szCs w:val="24"/>
        </w:rPr>
      </w:pPr>
      <w:r w:rsidRPr="00E74838">
        <w:rPr>
          <w:rFonts w:cs="Times New Roman"/>
          <w:sz w:val="24"/>
          <w:szCs w:val="24"/>
        </w:rPr>
        <w:t>One commenter suggest</w:t>
      </w:r>
      <w:r w:rsidR="007D0A5B" w:rsidRPr="00E74838">
        <w:rPr>
          <w:rFonts w:cs="Times New Roman"/>
          <w:sz w:val="24"/>
          <w:szCs w:val="24"/>
        </w:rPr>
        <w:t>ed</w:t>
      </w:r>
      <w:r w:rsidRPr="00E74838">
        <w:rPr>
          <w:rFonts w:cs="Times New Roman"/>
          <w:sz w:val="24"/>
          <w:szCs w:val="24"/>
        </w:rPr>
        <w:t xml:space="preserve"> specific changes to various elements of the template, and some additional elements. </w:t>
      </w:r>
      <w:r w:rsidR="009164F6" w:rsidRPr="00E74838">
        <w:rPr>
          <w:rFonts w:cs="Times New Roman"/>
          <w:sz w:val="24"/>
          <w:szCs w:val="24"/>
        </w:rPr>
        <w:t xml:space="preserve"> </w:t>
      </w:r>
      <w:r w:rsidRPr="00E74838">
        <w:rPr>
          <w:rFonts w:cs="Times New Roman"/>
          <w:sz w:val="24"/>
          <w:szCs w:val="24"/>
        </w:rPr>
        <w:t xml:space="preserve">For example, </w:t>
      </w:r>
      <w:r w:rsidR="007D0A5B" w:rsidRPr="00E74838">
        <w:rPr>
          <w:rFonts w:cs="Times New Roman"/>
          <w:sz w:val="24"/>
          <w:szCs w:val="24"/>
        </w:rPr>
        <w:t xml:space="preserve">the commenter </w:t>
      </w:r>
      <w:r w:rsidRPr="00E74838">
        <w:rPr>
          <w:rFonts w:cs="Times New Roman"/>
          <w:sz w:val="24"/>
          <w:szCs w:val="24"/>
        </w:rPr>
        <w:t>propose</w:t>
      </w:r>
      <w:r w:rsidR="007D0A5B" w:rsidRPr="00E74838">
        <w:rPr>
          <w:rFonts w:cs="Times New Roman"/>
          <w:sz w:val="24"/>
          <w:szCs w:val="24"/>
        </w:rPr>
        <w:t>d</w:t>
      </w:r>
      <w:r w:rsidRPr="00E74838">
        <w:rPr>
          <w:rFonts w:cs="Times New Roman"/>
          <w:sz w:val="24"/>
          <w:szCs w:val="24"/>
        </w:rPr>
        <w:t xml:space="preserve"> us</w:t>
      </w:r>
      <w:r w:rsidR="007D0A5B" w:rsidRPr="00E74838">
        <w:rPr>
          <w:rFonts w:cs="Times New Roman"/>
          <w:sz w:val="24"/>
          <w:szCs w:val="24"/>
        </w:rPr>
        <w:t>ing</w:t>
      </w:r>
      <w:r w:rsidRPr="00E74838">
        <w:rPr>
          <w:rFonts w:cs="Times New Roman"/>
          <w:sz w:val="24"/>
          <w:szCs w:val="24"/>
        </w:rPr>
        <w:t xml:space="preserve"> </w:t>
      </w:r>
      <w:r w:rsidR="007D0A5B" w:rsidRPr="00E74838">
        <w:rPr>
          <w:rFonts w:cs="Times New Roman"/>
          <w:sz w:val="24"/>
          <w:szCs w:val="24"/>
        </w:rPr>
        <w:t xml:space="preserve">the </w:t>
      </w:r>
      <w:r w:rsidRPr="00E74838">
        <w:rPr>
          <w:rFonts w:cs="Times New Roman"/>
          <w:sz w:val="24"/>
          <w:szCs w:val="24"/>
        </w:rPr>
        <w:t>number of years of schooling received</w:t>
      </w:r>
      <w:r w:rsidR="007D0A5B" w:rsidRPr="00E74838">
        <w:rPr>
          <w:rFonts w:cs="Times New Roman"/>
          <w:sz w:val="24"/>
          <w:szCs w:val="24"/>
        </w:rPr>
        <w:t xml:space="preserve"> for purposes of the credential attainment performance indicator</w:t>
      </w:r>
      <w:r w:rsidRPr="00E74838">
        <w:rPr>
          <w:rFonts w:cs="Times New Roman"/>
          <w:sz w:val="24"/>
          <w:szCs w:val="24"/>
        </w:rPr>
        <w:t xml:space="preserve">, </w:t>
      </w:r>
      <w:r w:rsidR="007D0A5B" w:rsidRPr="00E74838">
        <w:rPr>
          <w:rFonts w:cs="Times New Roman"/>
          <w:sz w:val="24"/>
          <w:szCs w:val="24"/>
        </w:rPr>
        <w:t xml:space="preserve">rather than the </w:t>
      </w:r>
      <w:r w:rsidRPr="00E74838">
        <w:rPr>
          <w:rFonts w:cs="Times New Roman"/>
          <w:sz w:val="24"/>
          <w:szCs w:val="24"/>
        </w:rPr>
        <w:t xml:space="preserve">degree </w:t>
      </w:r>
      <w:r w:rsidR="007D0A5B" w:rsidRPr="00E74838">
        <w:rPr>
          <w:rFonts w:cs="Times New Roman"/>
          <w:sz w:val="24"/>
          <w:szCs w:val="24"/>
        </w:rPr>
        <w:t>attained</w:t>
      </w:r>
      <w:r w:rsidRPr="00E74838">
        <w:rPr>
          <w:rFonts w:cs="Times New Roman"/>
          <w:sz w:val="24"/>
          <w:szCs w:val="24"/>
        </w:rPr>
        <w:t xml:space="preserve">, for better statistical analysis. </w:t>
      </w:r>
      <w:r w:rsidR="009164F6" w:rsidRPr="00E74838">
        <w:rPr>
          <w:rFonts w:cs="Times New Roman"/>
          <w:sz w:val="24"/>
          <w:szCs w:val="24"/>
        </w:rPr>
        <w:t xml:space="preserve"> </w:t>
      </w:r>
      <w:r w:rsidRPr="00E74838">
        <w:rPr>
          <w:rFonts w:cs="Times New Roman"/>
          <w:sz w:val="24"/>
          <w:szCs w:val="24"/>
        </w:rPr>
        <w:t>F</w:t>
      </w:r>
      <w:r w:rsidR="007D0A5B" w:rsidRPr="00E74838">
        <w:rPr>
          <w:rFonts w:cs="Times New Roman"/>
          <w:sz w:val="24"/>
          <w:szCs w:val="24"/>
        </w:rPr>
        <w:t>urthermore</w:t>
      </w:r>
      <w:r w:rsidRPr="00E74838">
        <w:rPr>
          <w:rFonts w:cs="Times New Roman"/>
          <w:sz w:val="24"/>
          <w:szCs w:val="24"/>
        </w:rPr>
        <w:t xml:space="preserve">, </w:t>
      </w:r>
      <w:r w:rsidR="007D0A5B" w:rsidRPr="00E74838">
        <w:rPr>
          <w:rFonts w:cs="Times New Roman"/>
          <w:sz w:val="24"/>
          <w:szCs w:val="24"/>
        </w:rPr>
        <w:t xml:space="preserve">the commenter recommended that the reporting of race should conform </w:t>
      </w:r>
      <w:r w:rsidRPr="00E74838">
        <w:rPr>
          <w:rFonts w:cs="Times New Roman"/>
          <w:sz w:val="24"/>
          <w:szCs w:val="24"/>
        </w:rPr>
        <w:t xml:space="preserve">to the format developed in the Census Bureau Alternative Questionnaire Experiment (AQE). </w:t>
      </w:r>
      <w:r w:rsidR="009164F6" w:rsidRPr="00E74838">
        <w:rPr>
          <w:rFonts w:cs="Times New Roman"/>
          <w:sz w:val="24"/>
          <w:szCs w:val="24"/>
        </w:rPr>
        <w:t xml:space="preserve"> </w:t>
      </w:r>
      <w:r w:rsidR="007D0A5B" w:rsidRPr="00E74838">
        <w:rPr>
          <w:rFonts w:cs="Times New Roman"/>
          <w:sz w:val="24"/>
          <w:szCs w:val="24"/>
        </w:rPr>
        <w:t xml:space="preserve">The commenter also recommended that a new data element be added to the template to capture </w:t>
      </w:r>
      <w:r w:rsidRPr="00E74838">
        <w:rPr>
          <w:rFonts w:cs="Times New Roman"/>
          <w:sz w:val="24"/>
          <w:szCs w:val="24"/>
        </w:rPr>
        <w:t>specific type</w:t>
      </w:r>
      <w:r w:rsidR="007D0A5B" w:rsidRPr="00E74838">
        <w:rPr>
          <w:rFonts w:cs="Times New Roman"/>
          <w:sz w:val="24"/>
          <w:szCs w:val="24"/>
        </w:rPr>
        <w:t>s</w:t>
      </w:r>
      <w:r w:rsidRPr="00E74838">
        <w:rPr>
          <w:rFonts w:cs="Times New Roman"/>
          <w:sz w:val="24"/>
          <w:szCs w:val="24"/>
        </w:rPr>
        <w:t xml:space="preserve"> of occupational skills</w:t>
      </w:r>
      <w:r w:rsidR="007D0A5B" w:rsidRPr="00E74838">
        <w:rPr>
          <w:rFonts w:cs="Times New Roman"/>
          <w:sz w:val="24"/>
          <w:szCs w:val="24"/>
        </w:rPr>
        <w:t>’</w:t>
      </w:r>
      <w:r w:rsidRPr="00E74838">
        <w:rPr>
          <w:rFonts w:cs="Times New Roman"/>
          <w:sz w:val="24"/>
          <w:szCs w:val="24"/>
        </w:rPr>
        <w:t xml:space="preserve"> licensure or certification.</w:t>
      </w:r>
    </w:p>
    <w:p w14:paraId="2AB465F6" w14:textId="77777777" w:rsidR="009164F6" w:rsidRPr="00E74838" w:rsidRDefault="009164F6" w:rsidP="0001000B">
      <w:pPr>
        <w:spacing w:after="0" w:line="240" w:lineRule="auto"/>
        <w:rPr>
          <w:rFonts w:cs="Times New Roman"/>
          <w:sz w:val="24"/>
          <w:szCs w:val="24"/>
        </w:rPr>
      </w:pPr>
    </w:p>
    <w:p w14:paraId="3A992F4B" w14:textId="07FA4885" w:rsidR="00D56830" w:rsidRPr="00E74838" w:rsidRDefault="00740EF1" w:rsidP="0001000B">
      <w:pPr>
        <w:spacing w:after="0" w:line="240" w:lineRule="auto"/>
        <w:rPr>
          <w:rFonts w:cs="Times New Roman"/>
          <w:sz w:val="24"/>
          <w:szCs w:val="24"/>
        </w:rPr>
      </w:pPr>
      <w:r w:rsidRPr="00E74838">
        <w:rPr>
          <w:rFonts w:cs="Times New Roman"/>
          <w:sz w:val="24"/>
          <w:szCs w:val="24"/>
        </w:rPr>
        <w:t xml:space="preserve">A </w:t>
      </w:r>
      <w:r w:rsidR="000211E6" w:rsidRPr="00E74838">
        <w:rPr>
          <w:rFonts w:cs="Times New Roman"/>
          <w:sz w:val="24"/>
          <w:szCs w:val="24"/>
        </w:rPr>
        <w:t>commenter</w:t>
      </w:r>
      <w:r w:rsidRPr="00E74838">
        <w:rPr>
          <w:rFonts w:cs="Times New Roman"/>
          <w:sz w:val="24"/>
          <w:szCs w:val="24"/>
        </w:rPr>
        <w:t xml:space="preserve"> sought guidance with respect to how non-significant career services are tracked for individuals who are not yet participants, since only participants provide data elements.</w:t>
      </w:r>
      <w:r w:rsidR="00EE6898" w:rsidRPr="00E74838">
        <w:rPr>
          <w:rFonts w:cs="Times New Roman"/>
          <w:sz w:val="24"/>
          <w:szCs w:val="24"/>
        </w:rPr>
        <w:t xml:space="preserve">  The </w:t>
      </w:r>
      <w:r w:rsidR="00D56830" w:rsidRPr="00E74838">
        <w:rPr>
          <w:rFonts w:cs="Times New Roman"/>
          <w:sz w:val="24"/>
          <w:szCs w:val="24"/>
        </w:rPr>
        <w:lastRenderedPageBreak/>
        <w:t>commenter questioned how it could be permissible for a program to expend Federal funds for follow-up activities when the participant has already exited the program.  This commenter also sought clarification on how States should track participants who receive only career or training services versus those participants who receive both career and training services.</w:t>
      </w:r>
      <w:r w:rsidR="00EE6898" w:rsidRPr="00E74838">
        <w:rPr>
          <w:rFonts w:cs="Times New Roman"/>
          <w:sz w:val="24"/>
          <w:szCs w:val="24"/>
        </w:rPr>
        <w:t xml:space="preserve">  This commenter also noted that specifications for measures in each appendix are not matching, particularly with respect to exclusions within measures.  </w:t>
      </w:r>
    </w:p>
    <w:p w14:paraId="63099684" w14:textId="77777777" w:rsidR="00EE6898" w:rsidRPr="00E74838" w:rsidRDefault="00EE6898" w:rsidP="0001000B">
      <w:pPr>
        <w:spacing w:after="0" w:line="240" w:lineRule="auto"/>
        <w:rPr>
          <w:rFonts w:cs="Times New Roman"/>
          <w:sz w:val="24"/>
          <w:szCs w:val="24"/>
        </w:rPr>
      </w:pPr>
    </w:p>
    <w:p w14:paraId="04AF0EF3" w14:textId="01500BC6" w:rsidR="001A43CA" w:rsidRPr="00E74838" w:rsidRDefault="001A43CA" w:rsidP="0001000B">
      <w:pPr>
        <w:tabs>
          <w:tab w:val="left" w:pos="720"/>
        </w:tabs>
        <w:spacing w:after="0" w:line="240" w:lineRule="auto"/>
        <w:contextualSpacing/>
        <w:rPr>
          <w:rFonts w:cs="Times New Roman"/>
          <w:sz w:val="24"/>
          <w:szCs w:val="24"/>
        </w:rPr>
      </w:pPr>
      <w:r w:rsidRPr="00E74838">
        <w:rPr>
          <w:rFonts w:cs="Times New Roman"/>
          <w:sz w:val="24"/>
          <w:szCs w:val="24"/>
        </w:rPr>
        <w:t>A commenter suggests that the Participant and Program Reporting formats be modified to specify level of oral English-language ability, using the English-language proficiency scale in the American Community Survey question 14c (i.e. speaks English: very well, well, not well, not at all) and to use the literacy data element to reference three key domains of English-language proficiency (reading, writing, and numeracy)</w:t>
      </w:r>
      <w:r w:rsidR="00820D61">
        <w:rPr>
          <w:rFonts w:cs="Times New Roman"/>
          <w:sz w:val="24"/>
          <w:szCs w:val="24"/>
        </w:rPr>
        <w:t>.</w:t>
      </w:r>
    </w:p>
    <w:p w14:paraId="38CE1B0C" w14:textId="77777777" w:rsidR="001A43CA" w:rsidRPr="00E74838" w:rsidRDefault="001A43CA" w:rsidP="0001000B">
      <w:pPr>
        <w:spacing w:after="0" w:line="240" w:lineRule="auto"/>
        <w:rPr>
          <w:rFonts w:cs="Times New Roman"/>
          <w:sz w:val="24"/>
          <w:szCs w:val="24"/>
        </w:rPr>
      </w:pPr>
    </w:p>
    <w:p w14:paraId="3D30A9A3" w14:textId="7939ABEC" w:rsidR="008A5788" w:rsidRPr="00E74838" w:rsidRDefault="00E060D9" w:rsidP="0001000B">
      <w:pPr>
        <w:spacing w:after="0" w:line="240" w:lineRule="auto"/>
        <w:rPr>
          <w:rFonts w:cs="Times New Roman"/>
          <w:sz w:val="24"/>
          <w:szCs w:val="24"/>
        </w:rPr>
      </w:pPr>
      <w:r w:rsidRPr="00E74838">
        <w:rPr>
          <w:rFonts w:cs="Times New Roman"/>
          <w:b/>
          <w:sz w:val="24"/>
          <w:szCs w:val="24"/>
        </w:rPr>
        <w:t xml:space="preserve">Agencies’ Response, June 2016:  </w:t>
      </w:r>
      <w:r w:rsidRPr="00E74838">
        <w:rPr>
          <w:rFonts w:cs="Times New Roman"/>
          <w:sz w:val="24"/>
          <w:szCs w:val="24"/>
        </w:rPr>
        <w:t xml:space="preserve">The WIOA Reporting Template found in Appendix C - WIOA Statewide and Local Performance Report Template and Specs contains a section on participants under the age of 16.  This is the “&lt;16” row found in the “Age” section of the report template.  </w:t>
      </w:r>
    </w:p>
    <w:p w14:paraId="17DFD091" w14:textId="34856F4D" w:rsidR="00E060D9" w:rsidRPr="00E74838" w:rsidRDefault="00E060D9" w:rsidP="0001000B">
      <w:pPr>
        <w:spacing w:after="0" w:line="240" w:lineRule="auto"/>
        <w:rPr>
          <w:rFonts w:eastAsia="Times New Roman" w:cs="Times New Roman"/>
          <w:sz w:val="24"/>
          <w:szCs w:val="24"/>
        </w:rPr>
      </w:pPr>
      <w:r w:rsidRPr="00E74838">
        <w:rPr>
          <w:rFonts w:cs="Times New Roman"/>
          <w:sz w:val="24"/>
          <w:szCs w:val="24"/>
        </w:rPr>
        <w:t xml:space="preserve">In order to minimize the reporting burden, the breakout categories included on the WIOA </w:t>
      </w:r>
      <w:r w:rsidR="001A43CA" w:rsidRPr="00E74838">
        <w:rPr>
          <w:rFonts w:cs="Times New Roman"/>
          <w:sz w:val="24"/>
          <w:szCs w:val="24"/>
        </w:rPr>
        <w:t>S</w:t>
      </w:r>
      <w:r w:rsidRPr="00E74838">
        <w:rPr>
          <w:rFonts w:cs="Times New Roman"/>
          <w:sz w:val="24"/>
          <w:szCs w:val="24"/>
        </w:rPr>
        <w:t xml:space="preserve">tatewide annual report are those specifically required by statute.  However, </w:t>
      </w:r>
      <w:r w:rsidR="007D0A5B" w:rsidRPr="00E74838">
        <w:rPr>
          <w:rFonts w:cs="Times New Roman"/>
          <w:sz w:val="24"/>
          <w:szCs w:val="24"/>
        </w:rPr>
        <w:t xml:space="preserve">the </w:t>
      </w:r>
      <w:r w:rsidRPr="00E74838">
        <w:rPr>
          <w:rFonts w:cs="Times New Roman"/>
          <w:sz w:val="24"/>
          <w:szCs w:val="24"/>
        </w:rPr>
        <w:t>DOL</w:t>
      </w:r>
      <w:r w:rsidR="007D0A5B" w:rsidRPr="00E74838">
        <w:rPr>
          <w:rFonts w:cs="Times New Roman"/>
          <w:sz w:val="24"/>
          <w:szCs w:val="24"/>
        </w:rPr>
        <w:t>-administered</w:t>
      </w:r>
      <w:r w:rsidRPr="00E74838">
        <w:rPr>
          <w:rFonts w:cs="Times New Roman"/>
          <w:sz w:val="24"/>
          <w:szCs w:val="24"/>
        </w:rPr>
        <w:t xml:space="preserve"> programs will have individual records available for ad hoc analysis.</w:t>
      </w:r>
      <w:r w:rsidR="00B11CD7" w:rsidRPr="00E74838">
        <w:rPr>
          <w:rFonts w:cs="Times New Roman"/>
          <w:sz w:val="24"/>
          <w:szCs w:val="24"/>
        </w:rPr>
        <w:t xml:space="preserve">  The Departments do not believe that there is statutory authority to exclude, by regulation, youth from the earnings indicator because to do so would be inconsistent with specific requirements in section 116 of WIOA.  We want to make clear that other non-youth participants will also be included regardless of school status, or hours worked per week. </w:t>
      </w:r>
      <w:r w:rsidR="00B11CD7" w:rsidRPr="00E74838">
        <w:rPr>
          <w:rFonts w:eastAsia="Times New Roman" w:cs="Times New Roman"/>
          <w:sz w:val="24"/>
          <w:szCs w:val="24"/>
          <w:highlight w:val="yellow"/>
        </w:rPr>
        <w:t xml:space="preserve"> </w:t>
      </w:r>
    </w:p>
    <w:p w14:paraId="0DA9E8DF" w14:textId="77777777" w:rsidR="00B11CD7" w:rsidRPr="00E74838" w:rsidRDefault="00B11CD7" w:rsidP="0001000B">
      <w:pPr>
        <w:autoSpaceDE w:val="0"/>
        <w:autoSpaceDN w:val="0"/>
        <w:adjustRightInd w:val="0"/>
        <w:spacing w:after="0" w:line="240" w:lineRule="auto"/>
        <w:rPr>
          <w:rFonts w:cs="Times New Roman"/>
          <w:sz w:val="24"/>
          <w:szCs w:val="24"/>
        </w:rPr>
      </w:pPr>
    </w:p>
    <w:p w14:paraId="3CB657FD" w14:textId="7D42197D" w:rsidR="001A43CA" w:rsidRPr="00E74838" w:rsidRDefault="00E060D9" w:rsidP="0001000B">
      <w:pPr>
        <w:tabs>
          <w:tab w:val="left" w:pos="720"/>
        </w:tabs>
        <w:spacing w:after="0" w:line="240" w:lineRule="auto"/>
        <w:rPr>
          <w:rFonts w:cs="Times New Roman"/>
          <w:sz w:val="24"/>
          <w:szCs w:val="24"/>
        </w:rPr>
      </w:pPr>
      <w:r w:rsidRPr="00E74838">
        <w:rPr>
          <w:rFonts w:cs="Times New Roman"/>
          <w:sz w:val="24"/>
          <w:szCs w:val="24"/>
        </w:rPr>
        <w:t xml:space="preserve">The Departments note that the data element number for this element (Low levels of literacy/basic skills deficient at program entry) has been renumbered from 704 to 804, because 704 had previously been mistakenly used for two data elements (“Single Parent” and “Low Levels of Literacy”). </w:t>
      </w:r>
      <w:r w:rsidR="009164F6" w:rsidRPr="00E74838">
        <w:rPr>
          <w:rFonts w:cs="Times New Roman"/>
          <w:sz w:val="24"/>
          <w:szCs w:val="24"/>
        </w:rPr>
        <w:t xml:space="preserve"> </w:t>
      </w:r>
      <w:r w:rsidRPr="00E74838">
        <w:rPr>
          <w:rFonts w:cs="Times New Roman"/>
          <w:sz w:val="24"/>
          <w:szCs w:val="24"/>
        </w:rPr>
        <w:t>This has been corrected; however, the discussion of this data element in Appendix C referred to this element by the previous numbering as 704.  In response to the commenter’s suggestion that this element should be listed within the Equal Employment Opportunity series of data elements, the Departments believe element 804 makes logical sense in the “cluster” of elements as proposed.</w:t>
      </w:r>
      <w:r w:rsidR="001A43CA" w:rsidRPr="00E74838">
        <w:rPr>
          <w:rFonts w:cs="Times New Roman"/>
          <w:sz w:val="24"/>
          <w:szCs w:val="24"/>
        </w:rPr>
        <w:t xml:space="preserve">  To minimize the reporting burden, the Departments recommend keeping the ELL “yes/no” field.  If the participant has any level of difficulty, they should be coded “yes”. </w:t>
      </w:r>
    </w:p>
    <w:p w14:paraId="00510EA4" w14:textId="7E0BAC78" w:rsidR="00E060D9" w:rsidRPr="00E74838" w:rsidRDefault="00E060D9" w:rsidP="0001000B">
      <w:pPr>
        <w:spacing w:after="0" w:line="240" w:lineRule="auto"/>
        <w:rPr>
          <w:rFonts w:cs="Times New Roman"/>
          <w:sz w:val="24"/>
          <w:szCs w:val="24"/>
        </w:rPr>
      </w:pPr>
      <w:r w:rsidRPr="00E74838">
        <w:rPr>
          <w:rFonts w:cs="Times New Roman"/>
          <w:sz w:val="24"/>
          <w:szCs w:val="24"/>
        </w:rPr>
        <w:t xml:space="preserve"> </w:t>
      </w:r>
    </w:p>
    <w:p w14:paraId="4827F47C" w14:textId="1471A060" w:rsidR="00747225" w:rsidRPr="00E74838" w:rsidRDefault="00B96588" w:rsidP="0001000B">
      <w:pPr>
        <w:spacing w:after="0" w:line="240" w:lineRule="auto"/>
        <w:outlineLvl w:val="0"/>
        <w:rPr>
          <w:rFonts w:eastAsia="Times New Roman" w:cs="Times New Roman"/>
          <w:sz w:val="24"/>
          <w:szCs w:val="24"/>
        </w:rPr>
      </w:pPr>
      <w:r w:rsidRPr="00B96588">
        <w:rPr>
          <w:rFonts w:cs="Times New Roman"/>
          <w:sz w:val="24"/>
          <w:szCs w:val="24"/>
        </w:rPr>
        <w:t>States will not be required to report data on receipt of career services and training services by reportable individuals.</w:t>
      </w:r>
    </w:p>
    <w:p w14:paraId="6F6581E9" w14:textId="77777777" w:rsidR="00005B6D" w:rsidRPr="00E74838" w:rsidRDefault="00005B6D" w:rsidP="0001000B">
      <w:pPr>
        <w:spacing w:after="0" w:line="240" w:lineRule="auto"/>
        <w:outlineLvl w:val="0"/>
        <w:rPr>
          <w:rFonts w:eastAsia="Times New Roman" w:cs="Times New Roman"/>
          <w:sz w:val="24"/>
          <w:szCs w:val="24"/>
        </w:rPr>
      </w:pPr>
    </w:p>
    <w:p w14:paraId="032DFA1F" w14:textId="6FB24828" w:rsidR="00747225" w:rsidRPr="00E74838" w:rsidRDefault="00F23932" w:rsidP="0001000B">
      <w:pPr>
        <w:spacing w:after="0" w:line="240" w:lineRule="auto"/>
        <w:outlineLvl w:val="0"/>
        <w:rPr>
          <w:rFonts w:eastAsia="Times New Roman" w:cs="Times New Roman"/>
          <w:sz w:val="24"/>
          <w:szCs w:val="24"/>
        </w:rPr>
      </w:pPr>
      <w:r w:rsidRPr="00E74838">
        <w:rPr>
          <w:rFonts w:cs="Times New Roman"/>
          <w:sz w:val="24"/>
          <w:szCs w:val="24"/>
        </w:rPr>
        <w:t>The tracking and reporting of cost information will be addressed in future guidance.</w:t>
      </w:r>
      <w:r w:rsidR="00747225" w:rsidRPr="00E74838">
        <w:rPr>
          <w:rFonts w:cs="Times New Roman"/>
          <w:sz w:val="24"/>
          <w:szCs w:val="24"/>
        </w:rPr>
        <w:t xml:space="preserve"> </w:t>
      </w:r>
      <w:r w:rsidR="002B4EEB" w:rsidRPr="00E74838">
        <w:rPr>
          <w:rFonts w:cs="Times New Roman"/>
          <w:sz w:val="24"/>
          <w:szCs w:val="24"/>
        </w:rPr>
        <w:t xml:space="preserve"> </w:t>
      </w:r>
    </w:p>
    <w:p w14:paraId="7AA46128" w14:textId="77777777" w:rsidR="00747225" w:rsidRPr="00E74838" w:rsidRDefault="00747225" w:rsidP="0001000B">
      <w:pPr>
        <w:spacing w:after="0" w:line="240" w:lineRule="auto"/>
        <w:outlineLvl w:val="0"/>
        <w:rPr>
          <w:rFonts w:eastAsia="Times New Roman" w:cs="Times New Roman"/>
          <w:sz w:val="24"/>
          <w:szCs w:val="24"/>
        </w:rPr>
      </w:pPr>
    </w:p>
    <w:p w14:paraId="32828D75" w14:textId="32302BCB" w:rsidR="00F23932" w:rsidRPr="00E74838" w:rsidRDefault="00F23932" w:rsidP="0001000B">
      <w:pPr>
        <w:spacing w:after="0" w:line="240" w:lineRule="auto"/>
        <w:rPr>
          <w:rFonts w:cs="Times New Roman"/>
          <w:b/>
          <w:sz w:val="24"/>
          <w:szCs w:val="24"/>
        </w:rPr>
      </w:pPr>
      <w:r w:rsidRPr="00E74838">
        <w:rPr>
          <w:rFonts w:cs="Times New Roman"/>
          <w:sz w:val="24"/>
          <w:szCs w:val="24"/>
        </w:rPr>
        <w:t xml:space="preserve">Appendix B is no longer necessary </w:t>
      </w:r>
      <w:r w:rsidR="00EE6898" w:rsidRPr="00E74838">
        <w:rPr>
          <w:rFonts w:cs="Times New Roman"/>
          <w:sz w:val="24"/>
          <w:szCs w:val="24"/>
        </w:rPr>
        <w:t xml:space="preserve">because </w:t>
      </w:r>
      <w:r w:rsidRPr="00E74838">
        <w:rPr>
          <w:rFonts w:cs="Times New Roman"/>
          <w:sz w:val="24"/>
          <w:szCs w:val="24"/>
        </w:rPr>
        <w:t xml:space="preserve">all </w:t>
      </w:r>
      <w:r w:rsidR="00EE6898" w:rsidRPr="00E74838">
        <w:rPr>
          <w:rFonts w:cs="Times New Roman"/>
          <w:sz w:val="24"/>
          <w:szCs w:val="24"/>
        </w:rPr>
        <w:t xml:space="preserve">of </w:t>
      </w:r>
      <w:r w:rsidRPr="00E74838">
        <w:rPr>
          <w:rFonts w:cs="Times New Roman"/>
          <w:sz w:val="24"/>
          <w:szCs w:val="24"/>
        </w:rPr>
        <w:t xml:space="preserve">the report specifications are incorporated in Appendix C.  Appendix B will be removed from the final approved </w:t>
      </w:r>
      <w:r w:rsidR="00EE6898" w:rsidRPr="00E74838">
        <w:rPr>
          <w:rFonts w:cs="Times New Roman"/>
          <w:sz w:val="24"/>
          <w:szCs w:val="24"/>
        </w:rPr>
        <w:t xml:space="preserve">Joint Performance </w:t>
      </w:r>
      <w:r w:rsidRPr="00E74838">
        <w:rPr>
          <w:rFonts w:cs="Times New Roman"/>
          <w:sz w:val="24"/>
          <w:szCs w:val="24"/>
        </w:rPr>
        <w:t>ICR.</w:t>
      </w:r>
      <w:r w:rsidR="002B4EEB" w:rsidRPr="00E74838">
        <w:rPr>
          <w:rFonts w:cs="Times New Roman"/>
          <w:sz w:val="24"/>
          <w:szCs w:val="24"/>
        </w:rPr>
        <w:t xml:space="preserve"> </w:t>
      </w:r>
    </w:p>
    <w:p w14:paraId="6C8FA075" w14:textId="77777777" w:rsidR="00C64689" w:rsidRDefault="00C64689" w:rsidP="0001000B">
      <w:pPr>
        <w:pStyle w:val="ListParagraph"/>
        <w:spacing w:after="0" w:line="240" w:lineRule="auto"/>
        <w:ind w:left="360"/>
        <w:rPr>
          <w:rFonts w:asciiTheme="minorHAnsi" w:hAnsiTheme="minorHAnsi" w:cs="Times New Roman"/>
          <w:b/>
          <w:szCs w:val="24"/>
        </w:rPr>
      </w:pPr>
    </w:p>
    <w:p w14:paraId="2FDEA76E" w14:textId="77777777" w:rsidR="00A26CF5" w:rsidRPr="00820D61" w:rsidRDefault="00A26CF5" w:rsidP="00820D61">
      <w:pPr>
        <w:spacing w:after="0" w:line="240" w:lineRule="auto"/>
        <w:rPr>
          <w:rFonts w:cs="Times New Roman"/>
          <w:b/>
          <w:szCs w:val="24"/>
        </w:rPr>
      </w:pPr>
    </w:p>
    <w:p w14:paraId="39577602" w14:textId="459E94CF" w:rsidR="00A07816" w:rsidRPr="00E74838" w:rsidRDefault="00A07816" w:rsidP="0001000B">
      <w:pPr>
        <w:pStyle w:val="ListParagraph"/>
        <w:spacing w:after="0" w:line="240" w:lineRule="auto"/>
        <w:ind w:left="0"/>
        <w:rPr>
          <w:rFonts w:asciiTheme="minorHAnsi" w:hAnsiTheme="minorHAnsi" w:cs="Times New Roman"/>
          <w:b/>
          <w:szCs w:val="24"/>
        </w:rPr>
      </w:pPr>
      <w:r w:rsidRPr="00E74838">
        <w:rPr>
          <w:rFonts w:asciiTheme="minorHAnsi" w:hAnsiTheme="minorHAnsi" w:cs="Times New Roman"/>
          <w:b/>
          <w:szCs w:val="24"/>
          <w:u w:val="single"/>
        </w:rPr>
        <w:lastRenderedPageBreak/>
        <w:t>DOL-Only PIRL – General</w:t>
      </w:r>
      <w:r w:rsidRPr="00E74838">
        <w:rPr>
          <w:rFonts w:asciiTheme="minorHAnsi" w:hAnsiTheme="minorHAnsi" w:cs="Times New Roman"/>
          <w:b/>
          <w:szCs w:val="24"/>
        </w:rPr>
        <w:t>:</w:t>
      </w:r>
    </w:p>
    <w:p w14:paraId="770895CC" w14:textId="77777777" w:rsidR="008A5788" w:rsidRPr="00E74838" w:rsidRDefault="008A5788" w:rsidP="0001000B">
      <w:pPr>
        <w:pStyle w:val="ListParagraph"/>
        <w:spacing w:after="0" w:line="240" w:lineRule="auto"/>
        <w:ind w:left="0"/>
        <w:rPr>
          <w:rFonts w:asciiTheme="minorHAnsi" w:hAnsiTheme="minorHAnsi" w:cs="Times New Roman"/>
          <w:szCs w:val="24"/>
        </w:rPr>
      </w:pPr>
    </w:p>
    <w:p w14:paraId="204B9E59" w14:textId="77777777" w:rsidR="00A07816" w:rsidRPr="00E74838" w:rsidRDefault="00A07816" w:rsidP="0001000B">
      <w:pPr>
        <w:pStyle w:val="PlainText"/>
        <w:rPr>
          <w:rFonts w:asciiTheme="minorHAnsi" w:hAnsiTheme="minorHAnsi"/>
          <w:sz w:val="24"/>
          <w:szCs w:val="24"/>
        </w:rPr>
      </w:pPr>
      <w:r w:rsidRPr="00E74838">
        <w:rPr>
          <w:rFonts w:asciiTheme="minorHAnsi" w:hAnsiTheme="minorHAnsi"/>
          <w:sz w:val="24"/>
          <w:szCs w:val="24"/>
        </w:rPr>
        <w:t>One commenter noted that th</w:t>
      </w:r>
      <w:r w:rsidR="00F23932" w:rsidRPr="00E74838">
        <w:rPr>
          <w:rFonts w:asciiTheme="minorHAnsi" w:hAnsiTheme="minorHAnsi"/>
          <w:sz w:val="24"/>
          <w:szCs w:val="24"/>
        </w:rPr>
        <w:t>ere are no definitions for the DOL</w:t>
      </w:r>
      <w:r w:rsidRPr="00E74838">
        <w:rPr>
          <w:rFonts w:asciiTheme="minorHAnsi" w:hAnsiTheme="minorHAnsi"/>
          <w:sz w:val="24"/>
          <w:szCs w:val="24"/>
        </w:rPr>
        <w:t>-only</w:t>
      </w:r>
      <w:r w:rsidR="00F23932" w:rsidRPr="00E74838">
        <w:rPr>
          <w:rFonts w:asciiTheme="minorHAnsi" w:hAnsiTheme="minorHAnsi"/>
          <w:sz w:val="24"/>
          <w:szCs w:val="24"/>
        </w:rPr>
        <w:t xml:space="preserve"> PIRL column header titles</w:t>
      </w:r>
      <w:r w:rsidRPr="00E74838">
        <w:rPr>
          <w:rFonts w:asciiTheme="minorHAnsi" w:hAnsiTheme="minorHAnsi"/>
          <w:sz w:val="24"/>
          <w:szCs w:val="24"/>
        </w:rPr>
        <w:t xml:space="preserve">.  Therefore, it is not clear </w:t>
      </w:r>
      <w:r w:rsidR="00F23932" w:rsidRPr="00E74838">
        <w:rPr>
          <w:rFonts w:asciiTheme="minorHAnsi" w:hAnsiTheme="minorHAnsi"/>
          <w:sz w:val="24"/>
          <w:szCs w:val="24"/>
        </w:rPr>
        <w:t>what programs each column represents.  Recommend providing a detailed definition or explanation for each. </w:t>
      </w:r>
    </w:p>
    <w:p w14:paraId="65CA9E07" w14:textId="77777777" w:rsidR="00A07816" w:rsidRPr="00E74838" w:rsidRDefault="00A07816" w:rsidP="0001000B">
      <w:pPr>
        <w:pStyle w:val="PlainText"/>
        <w:rPr>
          <w:rFonts w:asciiTheme="minorHAnsi" w:hAnsiTheme="minorHAnsi"/>
          <w:sz w:val="24"/>
          <w:szCs w:val="24"/>
        </w:rPr>
      </w:pPr>
    </w:p>
    <w:p w14:paraId="14D86956" w14:textId="77777777" w:rsidR="00DF7F40" w:rsidRPr="00E74838" w:rsidRDefault="00A07816" w:rsidP="0001000B">
      <w:pPr>
        <w:spacing w:after="0" w:line="240" w:lineRule="auto"/>
        <w:rPr>
          <w:rFonts w:cs="Times New Roman"/>
          <w:sz w:val="24"/>
          <w:szCs w:val="24"/>
        </w:rPr>
      </w:pPr>
      <w:r w:rsidRPr="00E74838">
        <w:rPr>
          <w:rFonts w:cs="Times New Roman"/>
          <w:sz w:val="24"/>
          <w:szCs w:val="24"/>
        </w:rPr>
        <w:t xml:space="preserve">Two commenters noted that Section E.08 of ETA-9172 added a significant data collection burden that will apply to the core programs. </w:t>
      </w:r>
    </w:p>
    <w:p w14:paraId="3DF5C7AD" w14:textId="77777777" w:rsidR="00DF7F40" w:rsidRPr="00E74838" w:rsidRDefault="00DF7F40" w:rsidP="0001000B">
      <w:pPr>
        <w:spacing w:after="0" w:line="240" w:lineRule="auto"/>
        <w:rPr>
          <w:rFonts w:cs="Times New Roman"/>
          <w:sz w:val="24"/>
          <w:szCs w:val="24"/>
        </w:rPr>
      </w:pPr>
    </w:p>
    <w:p w14:paraId="1B5BEE24" w14:textId="76399146" w:rsidR="00DF7F40" w:rsidRPr="00E74838" w:rsidRDefault="00DF7F40" w:rsidP="0001000B">
      <w:pPr>
        <w:pStyle w:val="CommentText"/>
        <w:spacing w:after="0"/>
        <w:rPr>
          <w:rFonts w:cs="Times New Roman"/>
          <w:sz w:val="24"/>
          <w:szCs w:val="24"/>
        </w:rPr>
      </w:pPr>
      <w:r w:rsidRPr="00E74838">
        <w:rPr>
          <w:rFonts w:cs="Times New Roman"/>
          <w:sz w:val="24"/>
          <w:szCs w:val="24"/>
        </w:rPr>
        <w:t>Another commenter expressed concern about a data element (#904) relevant to the Dislocated Worker program because the timeframe is undefined.  The commenter provided different options for how the timeframe could be interpreted:  “ever” or “current POP to end of reporting period” or “Year ending with current reporting quarter” or “current PY to current reporting quarter.”</w:t>
      </w:r>
      <w:r w:rsidR="00FF684B" w:rsidRPr="00E74838">
        <w:rPr>
          <w:rFonts w:cs="Times New Roman"/>
          <w:sz w:val="24"/>
          <w:szCs w:val="24"/>
        </w:rPr>
        <w:t xml:space="preserve">  The commenter raised similar concerns about the undefined timeframe for the “training provided” series (#1300-#1312).  The commenter also noted that these data elements permitted three different training engagements, but only collected data on one of them.  Furthermore, the “training services provided” data elements (#1302, #1307, and #1312) have missing codes.  </w:t>
      </w:r>
    </w:p>
    <w:p w14:paraId="3DE6C508" w14:textId="32BAA239" w:rsidR="00F23932" w:rsidRPr="00E74838" w:rsidRDefault="00DF7F40" w:rsidP="0001000B">
      <w:pPr>
        <w:spacing w:after="0" w:line="240" w:lineRule="auto"/>
        <w:rPr>
          <w:rFonts w:cs="Times New Roman"/>
          <w:sz w:val="24"/>
          <w:szCs w:val="24"/>
        </w:rPr>
      </w:pPr>
      <w:r w:rsidRPr="00E74838">
        <w:rPr>
          <w:rFonts w:cs="Times New Roman"/>
          <w:sz w:val="24"/>
          <w:szCs w:val="24"/>
        </w:rPr>
        <w:t xml:space="preserve">   </w:t>
      </w:r>
      <w:r w:rsidR="00A07816" w:rsidRPr="00E74838">
        <w:rPr>
          <w:rFonts w:cs="Times New Roman"/>
          <w:sz w:val="24"/>
          <w:szCs w:val="24"/>
        </w:rPr>
        <w:t xml:space="preserve"> </w:t>
      </w:r>
    </w:p>
    <w:p w14:paraId="592193B4" w14:textId="2818496B" w:rsidR="00F23932" w:rsidRPr="00E74838" w:rsidRDefault="00654F76" w:rsidP="0001000B">
      <w:pPr>
        <w:pStyle w:val="PlainText"/>
        <w:rPr>
          <w:rFonts w:asciiTheme="minorHAnsi" w:hAnsiTheme="minorHAnsi"/>
          <w:bCs/>
          <w:sz w:val="24"/>
          <w:szCs w:val="24"/>
        </w:rPr>
      </w:pPr>
      <w:r w:rsidRPr="00E74838">
        <w:rPr>
          <w:rFonts w:asciiTheme="minorHAnsi" w:eastAsia="Arial" w:hAnsiTheme="minorHAnsi"/>
          <w:b/>
          <w:sz w:val="24"/>
          <w:szCs w:val="24"/>
        </w:rPr>
        <w:t xml:space="preserve">Agencies’ Response, June 2016: </w:t>
      </w:r>
      <w:r w:rsidRPr="00E74838">
        <w:rPr>
          <w:rFonts w:asciiTheme="minorHAnsi" w:hAnsiTheme="minorHAnsi"/>
          <w:sz w:val="24"/>
          <w:szCs w:val="24"/>
        </w:rPr>
        <w:t xml:space="preserve"> </w:t>
      </w:r>
      <w:r w:rsidR="00F23932" w:rsidRPr="00E74838">
        <w:rPr>
          <w:rFonts w:asciiTheme="minorHAnsi" w:hAnsiTheme="minorHAnsi"/>
          <w:bCs/>
          <w:sz w:val="24"/>
          <w:szCs w:val="24"/>
        </w:rPr>
        <w:t>The column headers in the PIRL represent the DOL-funded programs.  Each program is responsible for collecting all of the data elements marked with an “X” under that program’s column.</w:t>
      </w:r>
    </w:p>
    <w:p w14:paraId="39489B91" w14:textId="77777777" w:rsidR="00A07816" w:rsidRPr="00E74838" w:rsidRDefault="00A07816" w:rsidP="0001000B">
      <w:pPr>
        <w:pStyle w:val="PlainText"/>
        <w:rPr>
          <w:rFonts w:asciiTheme="minorHAnsi" w:hAnsiTheme="minorHAnsi"/>
          <w:bCs/>
          <w:sz w:val="24"/>
          <w:szCs w:val="24"/>
        </w:rPr>
      </w:pPr>
    </w:p>
    <w:p w14:paraId="6FF431C6" w14:textId="77777777" w:rsidR="00A07816" w:rsidRPr="00E74838" w:rsidRDefault="00A07816" w:rsidP="0001000B">
      <w:pPr>
        <w:spacing w:after="0" w:line="240" w:lineRule="auto"/>
        <w:rPr>
          <w:rFonts w:cs="Times New Roman"/>
          <w:sz w:val="24"/>
          <w:szCs w:val="24"/>
        </w:rPr>
      </w:pPr>
      <w:r w:rsidRPr="00E74838">
        <w:rPr>
          <w:rFonts w:cs="Times New Roman"/>
          <w:sz w:val="24"/>
          <w:szCs w:val="24"/>
        </w:rPr>
        <w:t xml:space="preserve">The data elements collected in section E.08 are part of the DOL-only ICR and are not applicable to the AEFLA and VR programs.  The Departments carefully considered the burden on agencies and the statutory and program management requirements when determining which data elements to include in the Joint Performance ICR.  </w:t>
      </w:r>
    </w:p>
    <w:p w14:paraId="0989A6FD" w14:textId="77777777" w:rsidR="00A07816" w:rsidRPr="00E74838" w:rsidRDefault="00A07816" w:rsidP="0001000B">
      <w:pPr>
        <w:spacing w:after="0" w:line="240" w:lineRule="auto"/>
        <w:ind w:left="720"/>
        <w:rPr>
          <w:rFonts w:cs="Times New Roman"/>
          <w:sz w:val="24"/>
          <w:szCs w:val="24"/>
        </w:rPr>
      </w:pPr>
    </w:p>
    <w:p w14:paraId="3DE1077A" w14:textId="1CD770A3" w:rsidR="00A07816" w:rsidRPr="00E74838" w:rsidRDefault="00FF684B" w:rsidP="0001000B">
      <w:pPr>
        <w:spacing w:after="0" w:line="240" w:lineRule="auto"/>
        <w:rPr>
          <w:rFonts w:cs="Times New Roman"/>
          <w:sz w:val="24"/>
          <w:szCs w:val="24"/>
        </w:rPr>
      </w:pPr>
      <w:r w:rsidRPr="00E74838">
        <w:rPr>
          <w:rFonts w:cs="Times New Roman"/>
          <w:sz w:val="24"/>
          <w:szCs w:val="24"/>
        </w:rPr>
        <w:t xml:space="preserve">We agree that there are three different types of engagement, but </w:t>
      </w:r>
      <w:r w:rsidR="00027C48" w:rsidRPr="00E74838">
        <w:rPr>
          <w:rFonts w:cs="Times New Roman"/>
          <w:sz w:val="24"/>
          <w:szCs w:val="24"/>
        </w:rPr>
        <w:t xml:space="preserve">we are </w:t>
      </w:r>
      <w:r w:rsidRPr="00E74838">
        <w:rPr>
          <w:rFonts w:cs="Times New Roman"/>
          <w:sz w:val="24"/>
          <w:szCs w:val="24"/>
        </w:rPr>
        <w:t>only</w:t>
      </w:r>
      <w:r w:rsidR="00027C48" w:rsidRPr="00E74838">
        <w:rPr>
          <w:rFonts w:cs="Times New Roman"/>
          <w:sz w:val="24"/>
          <w:szCs w:val="24"/>
        </w:rPr>
        <w:t xml:space="preserve"> collecting data related to those participants who are receiving training or education services from an ETP.  </w:t>
      </w:r>
      <w:r w:rsidR="00DF7F40" w:rsidRPr="00E74838">
        <w:rPr>
          <w:rFonts w:cs="Times New Roman"/>
          <w:sz w:val="24"/>
          <w:szCs w:val="24"/>
        </w:rPr>
        <w:t xml:space="preserve">With respect to other specific DOL-only PIRL issues, the Departments will provide further guidance in the near future.  </w:t>
      </w:r>
      <w:r w:rsidR="00B61781" w:rsidRPr="00E74838">
        <w:rPr>
          <w:rFonts w:cs="Times New Roman"/>
          <w:sz w:val="24"/>
          <w:szCs w:val="24"/>
        </w:rPr>
        <w:t>N</w:t>
      </w:r>
      <w:r w:rsidR="00A07816" w:rsidRPr="00E74838">
        <w:rPr>
          <w:rFonts w:cs="Times New Roman"/>
          <w:sz w:val="24"/>
          <w:szCs w:val="24"/>
        </w:rPr>
        <w:t>o change has been made in response to these comments.</w:t>
      </w:r>
    </w:p>
    <w:p w14:paraId="754A0FCD" w14:textId="77777777" w:rsidR="00A07816" w:rsidRPr="00E74838" w:rsidRDefault="00A07816" w:rsidP="0001000B">
      <w:pPr>
        <w:pStyle w:val="PlainText"/>
        <w:rPr>
          <w:rFonts w:asciiTheme="minorHAnsi" w:hAnsiTheme="minorHAnsi"/>
          <w:bCs/>
          <w:sz w:val="24"/>
          <w:szCs w:val="24"/>
        </w:rPr>
      </w:pPr>
    </w:p>
    <w:p w14:paraId="0F1C9E1D" w14:textId="62366E40" w:rsidR="001D783D" w:rsidRPr="00E74838" w:rsidRDefault="00593791" w:rsidP="0001000B">
      <w:pPr>
        <w:spacing w:after="0" w:line="240" w:lineRule="auto"/>
        <w:rPr>
          <w:rFonts w:eastAsia="Calibri" w:cs="Times New Roman"/>
          <w:b/>
          <w:color w:val="000000"/>
          <w:sz w:val="24"/>
          <w:szCs w:val="24"/>
        </w:rPr>
      </w:pPr>
      <w:r w:rsidRPr="00E74838">
        <w:rPr>
          <w:rFonts w:eastAsia="Calibri" w:cs="Times New Roman"/>
          <w:b/>
          <w:color w:val="000000"/>
          <w:sz w:val="24"/>
          <w:szCs w:val="24"/>
          <w:u w:val="single"/>
        </w:rPr>
        <w:t>Wage Record Matching – WRIS and WRIS II</w:t>
      </w:r>
      <w:r w:rsidRPr="00E74838">
        <w:rPr>
          <w:rFonts w:eastAsia="Calibri" w:cs="Times New Roman"/>
          <w:b/>
          <w:color w:val="000000"/>
          <w:sz w:val="24"/>
          <w:szCs w:val="24"/>
        </w:rPr>
        <w:t>:</w:t>
      </w:r>
    </w:p>
    <w:p w14:paraId="4275CD86" w14:textId="77777777" w:rsidR="008A5788" w:rsidRPr="00E74838" w:rsidRDefault="008A5788" w:rsidP="0001000B">
      <w:pPr>
        <w:spacing w:after="0" w:line="240" w:lineRule="auto"/>
        <w:rPr>
          <w:rFonts w:eastAsia="Calibri" w:cs="Times New Roman"/>
          <w:b/>
          <w:color w:val="000000"/>
          <w:sz w:val="24"/>
          <w:szCs w:val="24"/>
        </w:rPr>
      </w:pPr>
    </w:p>
    <w:p w14:paraId="3CD7D9CE" w14:textId="77777777" w:rsidR="00F2427F" w:rsidRPr="00E74838" w:rsidRDefault="00593791" w:rsidP="0001000B">
      <w:pPr>
        <w:spacing w:after="0" w:line="240" w:lineRule="auto"/>
        <w:rPr>
          <w:rFonts w:cs="Times New Roman"/>
          <w:sz w:val="24"/>
          <w:szCs w:val="24"/>
        </w:rPr>
      </w:pPr>
      <w:r w:rsidRPr="00E74838">
        <w:rPr>
          <w:rFonts w:cs="Times New Roman"/>
          <w:sz w:val="24"/>
          <w:szCs w:val="24"/>
        </w:rPr>
        <w:t xml:space="preserve">Although the commenter appreciates that the Departments intend to renegotiate the WRIS and WRIS II agreements at the Federal level, States will need </w:t>
      </w:r>
      <w:r w:rsidR="00313EBF" w:rsidRPr="00E74838">
        <w:rPr>
          <w:rFonts w:cs="Times New Roman"/>
          <w:sz w:val="24"/>
          <w:szCs w:val="24"/>
        </w:rPr>
        <w:t xml:space="preserve">significant lead time to set up their data sharing agreements and data exchange processes.  </w:t>
      </w:r>
      <w:r w:rsidRPr="00E74838">
        <w:rPr>
          <w:rFonts w:cs="Times New Roman"/>
          <w:sz w:val="24"/>
          <w:szCs w:val="24"/>
        </w:rPr>
        <w:t xml:space="preserve">For example, </w:t>
      </w:r>
      <w:r w:rsidR="00313EBF" w:rsidRPr="00E74838">
        <w:rPr>
          <w:rFonts w:cs="Times New Roman"/>
          <w:sz w:val="24"/>
          <w:szCs w:val="24"/>
        </w:rPr>
        <w:t xml:space="preserve">VR agencies currently </w:t>
      </w:r>
      <w:r w:rsidRPr="00E74838">
        <w:rPr>
          <w:rFonts w:cs="Times New Roman"/>
          <w:sz w:val="24"/>
          <w:szCs w:val="24"/>
        </w:rPr>
        <w:t xml:space="preserve">do </w:t>
      </w:r>
      <w:r w:rsidR="00313EBF" w:rsidRPr="00E74838">
        <w:rPr>
          <w:rFonts w:cs="Times New Roman"/>
          <w:sz w:val="24"/>
          <w:szCs w:val="24"/>
        </w:rPr>
        <w:t xml:space="preserve">not report on retention measures </w:t>
      </w:r>
      <w:r w:rsidRPr="00E74838">
        <w:rPr>
          <w:rFonts w:cs="Times New Roman"/>
          <w:sz w:val="24"/>
          <w:szCs w:val="24"/>
        </w:rPr>
        <w:t xml:space="preserve">and, therefore, these agencies will need </w:t>
      </w:r>
      <w:r w:rsidR="00313EBF" w:rsidRPr="00E74838">
        <w:rPr>
          <w:rFonts w:cs="Times New Roman"/>
          <w:sz w:val="24"/>
          <w:szCs w:val="24"/>
        </w:rPr>
        <w:t>time to set up the agreements and information exchange processes with their respective UI agencies to include State, WRIS/WRIS2</w:t>
      </w:r>
      <w:r w:rsidR="00F2427F" w:rsidRPr="00E74838">
        <w:rPr>
          <w:rFonts w:cs="Times New Roman"/>
          <w:sz w:val="24"/>
          <w:szCs w:val="24"/>
        </w:rPr>
        <w:t>,</w:t>
      </w:r>
      <w:r w:rsidR="00313EBF" w:rsidRPr="00E74838">
        <w:rPr>
          <w:rFonts w:cs="Times New Roman"/>
          <w:sz w:val="24"/>
          <w:szCs w:val="24"/>
        </w:rPr>
        <w:t xml:space="preserve"> and federal wage information to accommodate their case management systems.</w:t>
      </w:r>
    </w:p>
    <w:p w14:paraId="37667952" w14:textId="3FCB905F" w:rsidR="00747225" w:rsidRPr="00E74838" w:rsidRDefault="00313EBF" w:rsidP="0001000B">
      <w:pPr>
        <w:spacing w:after="0" w:line="240" w:lineRule="auto"/>
        <w:rPr>
          <w:rFonts w:cs="Times New Roman"/>
          <w:b/>
          <w:sz w:val="24"/>
          <w:szCs w:val="24"/>
        </w:rPr>
      </w:pPr>
      <w:r w:rsidRPr="00E74838">
        <w:rPr>
          <w:rFonts w:cs="Times New Roman"/>
          <w:sz w:val="24"/>
          <w:szCs w:val="24"/>
        </w:rPr>
        <w:t xml:space="preserve"> </w:t>
      </w:r>
    </w:p>
    <w:p w14:paraId="04DF56B6" w14:textId="4F74C8CC" w:rsidR="00313EBF" w:rsidRPr="00E74838" w:rsidRDefault="00CE6D18" w:rsidP="0001000B">
      <w:pPr>
        <w:spacing w:after="0" w:line="240" w:lineRule="auto"/>
        <w:outlineLvl w:val="0"/>
        <w:rPr>
          <w:rFonts w:eastAsia="Arial" w:cs="Times New Roman"/>
          <w:sz w:val="24"/>
          <w:szCs w:val="24"/>
        </w:rPr>
      </w:pPr>
      <w:r w:rsidRPr="00E74838">
        <w:rPr>
          <w:rFonts w:eastAsia="Arial" w:cs="Times New Roman"/>
          <w:b/>
          <w:sz w:val="24"/>
          <w:szCs w:val="24"/>
        </w:rPr>
        <w:lastRenderedPageBreak/>
        <w:t xml:space="preserve">Agencies’ Response, June 2016: </w:t>
      </w:r>
      <w:r w:rsidRPr="00E74838">
        <w:rPr>
          <w:rFonts w:cs="Times New Roman"/>
          <w:sz w:val="24"/>
          <w:szCs w:val="24"/>
        </w:rPr>
        <w:t xml:space="preserve"> </w:t>
      </w:r>
      <w:r w:rsidR="00313EBF" w:rsidRPr="00E74838">
        <w:rPr>
          <w:rFonts w:cs="Times New Roman"/>
          <w:sz w:val="24"/>
          <w:szCs w:val="24"/>
        </w:rPr>
        <w:t xml:space="preserve">WRIS is not covered or discussed in this ICR.  However, the Departments plan to continue to involve the </w:t>
      </w:r>
      <w:r w:rsidR="004C5A6D" w:rsidRPr="00E74838">
        <w:rPr>
          <w:rFonts w:cs="Times New Roman"/>
          <w:sz w:val="24"/>
          <w:szCs w:val="24"/>
        </w:rPr>
        <w:t>S</w:t>
      </w:r>
      <w:r w:rsidR="00313EBF" w:rsidRPr="00E74838">
        <w:rPr>
          <w:rFonts w:cs="Times New Roman"/>
          <w:sz w:val="24"/>
          <w:szCs w:val="24"/>
        </w:rPr>
        <w:t xml:space="preserve">tates in the </w:t>
      </w:r>
      <w:r w:rsidRPr="00E74838">
        <w:rPr>
          <w:rFonts w:cs="Times New Roman"/>
          <w:sz w:val="24"/>
          <w:szCs w:val="24"/>
        </w:rPr>
        <w:t xml:space="preserve">data sharing agreement process. </w:t>
      </w:r>
      <w:r w:rsidR="009164F6" w:rsidRPr="00E74838">
        <w:rPr>
          <w:rFonts w:cs="Times New Roman"/>
          <w:sz w:val="24"/>
          <w:szCs w:val="24"/>
        </w:rPr>
        <w:t xml:space="preserve"> </w:t>
      </w:r>
      <w:r w:rsidR="00CE6F2D" w:rsidRPr="00E74838">
        <w:rPr>
          <w:rFonts w:eastAsia="Times New Roman" w:cs="Times New Roman"/>
          <w:sz w:val="24"/>
          <w:szCs w:val="24"/>
        </w:rPr>
        <w:t>No change has been made in response to this comment.</w:t>
      </w:r>
    </w:p>
    <w:p w14:paraId="71491F98" w14:textId="77777777" w:rsidR="00747225" w:rsidRPr="00E74838" w:rsidRDefault="00747225" w:rsidP="0001000B">
      <w:pPr>
        <w:spacing w:after="0" w:line="240" w:lineRule="auto"/>
        <w:rPr>
          <w:rFonts w:cs="Times New Roman"/>
          <w:b/>
          <w:bCs/>
          <w:sz w:val="24"/>
          <w:szCs w:val="24"/>
        </w:rPr>
      </w:pPr>
    </w:p>
    <w:p w14:paraId="6F6D0709" w14:textId="6E5FF55E" w:rsidR="00062748" w:rsidRPr="00E74838" w:rsidRDefault="00062748" w:rsidP="0001000B">
      <w:pPr>
        <w:spacing w:after="0" w:line="240" w:lineRule="auto"/>
        <w:rPr>
          <w:rFonts w:cs="Times New Roman"/>
          <w:b/>
          <w:bCs/>
          <w:sz w:val="24"/>
          <w:szCs w:val="24"/>
        </w:rPr>
      </w:pPr>
      <w:r w:rsidRPr="00E74838">
        <w:rPr>
          <w:rFonts w:cs="Times New Roman"/>
          <w:b/>
          <w:bCs/>
          <w:sz w:val="24"/>
          <w:szCs w:val="24"/>
          <w:u w:val="single"/>
        </w:rPr>
        <w:t>Wage Record Matching – Supplemental Wage Information</w:t>
      </w:r>
      <w:r w:rsidRPr="00E74838">
        <w:rPr>
          <w:rFonts w:cs="Times New Roman"/>
          <w:b/>
          <w:bCs/>
          <w:sz w:val="24"/>
          <w:szCs w:val="24"/>
        </w:rPr>
        <w:t>:</w:t>
      </w:r>
    </w:p>
    <w:p w14:paraId="48A95A0D" w14:textId="77777777" w:rsidR="008A5788" w:rsidRPr="00E74838" w:rsidRDefault="008A5788" w:rsidP="0001000B">
      <w:pPr>
        <w:spacing w:after="0" w:line="240" w:lineRule="auto"/>
        <w:rPr>
          <w:rFonts w:cs="Times New Roman"/>
          <w:bCs/>
          <w:sz w:val="24"/>
          <w:szCs w:val="24"/>
        </w:rPr>
      </w:pPr>
    </w:p>
    <w:p w14:paraId="268053A9" w14:textId="71116B2F" w:rsidR="004604FB" w:rsidRPr="00E74838" w:rsidRDefault="00062748" w:rsidP="0001000B">
      <w:pPr>
        <w:autoSpaceDE w:val="0"/>
        <w:autoSpaceDN w:val="0"/>
        <w:adjustRightInd w:val="0"/>
        <w:spacing w:after="0" w:line="240" w:lineRule="auto"/>
        <w:rPr>
          <w:rFonts w:cs="Times New Roman"/>
          <w:sz w:val="24"/>
          <w:szCs w:val="24"/>
        </w:rPr>
      </w:pPr>
      <w:r w:rsidRPr="00E74838">
        <w:rPr>
          <w:rFonts w:cs="Times New Roman"/>
          <w:color w:val="000000"/>
          <w:sz w:val="24"/>
          <w:szCs w:val="24"/>
        </w:rPr>
        <w:t xml:space="preserve">A few commenters expressed concerns regarding the use of supplemental wage information, for purposes of gathering the data necessary for the employment-related primary indicators of performance, and the burden that could be imposed by having to engage in follow-up activities.  At least one commenter </w:t>
      </w:r>
      <w:r w:rsidR="00313EBF" w:rsidRPr="00E74838">
        <w:rPr>
          <w:rFonts w:cs="Times New Roman"/>
          <w:color w:val="000000"/>
          <w:sz w:val="24"/>
          <w:szCs w:val="24"/>
        </w:rPr>
        <w:t xml:space="preserve">strongly supports the Departments’ proposal to allow </w:t>
      </w:r>
      <w:r w:rsidRPr="00E74838">
        <w:rPr>
          <w:rFonts w:cs="Times New Roman"/>
          <w:color w:val="000000"/>
          <w:sz w:val="24"/>
          <w:szCs w:val="24"/>
        </w:rPr>
        <w:t>S</w:t>
      </w:r>
      <w:r w:rsidR="00313EBF" w:rsidRPr="00E74838">
        <w:rPr>
          <w:rFonts w:cs="Times New Roman"/>
          <w:color w:val="000000"/>
          <w:sz w:val="24"/>
          <w:szCs w:val="24"/>
        </w:rPr>
        <w:t xml:space="preserve">tates, local areas, </w:t>
      </w:r>
      <w:r w:rsidRPr="00E74838">
        <w:rPr>
          <w:rFonts w:cs="Times New Roman"/>
          <w:color w:val="000000"/>
          <w:sz w:val="24"/>
          <w:szCs w:val="24"/>
        </w:rPr>
        <w:t>ETPs</w:t>
      </w:r>
      <w:r w:rsidR="00313EBF" w:rsidRPr="00E74838">
        <w:rPr>
          <w:rFonts w:cs="Times New Roman"/>
          <w:color w:val="000000"/>
          <w:sz w:val="24"/>
          <w:szCs w:val="24"/>
        </w:rPr>
        <w:t xml:space="preserve">, and other program operators to use supplemental data sources to track performance outcomes for all participants who are not found in wage records. </w:t>
      </w:r>
      <w:r w:rsidR="009164F6" w:rsidRPr="00E74838">
        <w:rPr>
          <w:rFonts w:cs="Times New Roman"/>
          <w:color w:val="000000"/>
          <w:sz w:val="24"/>
          <w:szCs w:val="24"/>
        </w:rPr>
        <w:t xml:space="preserve"> </w:t>
      </w:r>
      <w:r w:rsidR="00313EBF" w:rsidRPr="00E74838">
        <w:rPr>
          <w:rFonts w:cs="Times New Roman"/>
          <w:color w:val="000000"/>
          <w:sz w:val="24"/>
          <w:szCs w:val="24"/>
        </w:rPr>
        <w:t>This provides program operators with flexibility needed to provide services and obtain performance outcome data for these participants.</w:t>
      </w:r>
      <w:r w:rsidR="004604FB" w:rsidRPr="00E74838">
        <w:rPr>
          <w:rFonts w:cs="Times New Roman"/>
          <w:color w:val="000000"/>
          <w:sz w:val="24"/>
          <w:szCs w:val="24"/>
        </w:rPr>
        <w:t xml:space="preserve">  However, another commenter asserted that allowing the use of supplemental wage information would be a “</w:t>
      </w:r>
      <w:r w:rsidR="004604FB" w:rsidRPr="00E74838">
        <w:rPr>
          <w:rFonts w:cs="Times New Roman"/>
          <w:sz w:val="24"/>
          <w:szCs w:val="24"/>
        </w:rPr>
        <w:t xml:space="preserve">major step backward from the progress that was made during the Workforce Investment Act in using wage and other administrative records as the standard data source for employment and earnings measures.”  The commenter added that allowing the use of supplemental wage information would be a “step away from the substantial investment” the Federal government and States have made in linking administrative records. </w:t>
      </w:r>
    </w:p>
    <w:p w14:paraId="24165270" w14:textId="77777777" w:rsidR="004604FB" w:rsidRPr="00E74838" w:rsidRDefault="004604FB" w:rsidP="0001000B">
      <w:pPr>
        <w:autoSpaceDE w:val="0"/>
        <w:autoSpaceDN w:val="0"/>
        <w:adjustRightInd w:val="0"/>
        <w:spacing w:after="0" w:line="240" w:lineRule="auto"/>
        <w:rPr>
          <w:rFonts w:cs="Times New Roman"/>
          <w:sz w:val="24"/>
          <w:szCs w:val="24"/>
        </w:rPr>
      </w:pPr>
    </w:p>
    <w:p w14:paraId="759CF2CD" w14:textId="04DBC8E7" w:rsidR="00605212" w:rsidRPr="00E74838" w:rsidRDefault="004604FB" w:rsidP="0001000B">
      <w:pPr>
        <w:pStyle w:val="BodyText"/>
        <w:ind w:left="0" w:right="167"/>
        <w:rPr>
          <w:rFonts w:asciiTheme="minorHAnsi" w:hAnsiTheme="minorHAnsi" w:cs="Times New Roman"/>
        </w:rPr>
      </w:pPr>
      <w:r w:rsidRPr="00E74838">
        <w:rPr>
          <w:rFonts w:asciiTheme="minorHAnsi" w:eastAsia="Arial" w:hAnsiTheme="minorHAnsi" w:cs="Times New Roman"/>
          <w:b/>
        </w:rPr>
        <w:t xml:space="preserve">Agencies’ Response, June 2016: </w:t>
      </w:r>
      <w:r w:rsidR="00605212" w:rsidRPr="00E74838">
        <w:rPr>
          <w:rFonts w:asciiTheme="minorHAnsi" w:eastAsia="Arial" w:hAnsiTheme="minorHAnsi" w:cs="Times New Roman"/>
        </w:rPr>
        <w:t xml:space="preserve">The Departments have decided to keep the earlier decision to allow supplemental data sources to determine performance outcomes.  </w:t>
      </w:r>
      <w:r w:rsidR="00605212" w:rsidRPr="00E74838">
        <w:rPr>
          <w:rFonts w:asciiTheme="minorHAnsi" w:eastAsiaTheme="minorHAnsi" w:hAnsiTheme="minorHAnsi" w:cs="Times New Roman"/>
          <w:color w:val="000000"/>
        </w:rPr>
        <w:t xml:space="preserve">The Departments have decided to keep this PIRL element as-is, per the comment.  </w:t>
      </w:r>
    </w:p>
    <w:p w14:paraId="250B1A24" w14:textId="77777777" w:rsidR="00605212" w:rsidRPr="00E74838" w:rsidRDefault="004604FB" w:rsidP="0001000B">
      <w:pPr>
        <w:autoSpaceDE w:val="0"/>
        <w:autoSpaceDN w:val="0"/>
        <w:adjustRightInd w:val="0"/>
        <w:spacing w:after="0" w:line="240" w:lineRule="auto"/>
        <w:rPr>
          <w:rFonts w:cs="Times New Roman"/>
          <w:b/>
          <w:sz w:val="24"/>
          <w:szCs w:val="24"/>
        </w:rPr>
      </w:pPr>
      <w:r w:rsidRPr="00E74838">
        <w:rPr>
          <w:rFonts w:cs="Times New Roman"/>
          <w:b/>
          <w:sz w:val="24"/>
          <w:szCs w:val="24"/>
        </w:rPr>
        <w:t xml:space="preserve"> </w:t>
      </w:r>
    </w:p>
    <w:p w14:paraId="4A513E12" w14:textId="0B920D8A" w:rsidR="00605212" w:rsidRPr="00E74838" w:rsidRDefault="004604FB" w:rsidP="0001000B">
      <w:pPr>
        <w:autoSpaceDE w:val="0"/>
        <w:autoSpaceDN w:val="0"/>
        <w:adjustRightInd w:val="0"/>
        <w:spacing w:after="0" w:line="240" w:lineRule="auto"/>
        <w:rPr>
          <w:rFonts w:cs="Times New Roman"/>
          <w:sz w:val="24"/>
          <w:szCs w:val="24"/>
        </w:rPr>
      </w:pPr>
      <w:r w:rsidRPr="00E74838">
        <w:rPr>
          <w:rFonts w:cs="Times New Roman"/>
          <w:sz w:val="24"/>
          <w:szCs w:val="24"/>
        </w:rPr>
        <w:t xml:space="preserve">The Departments agree that the use of administrative wage records is critical to implementation of the performance provisions of WIOA because </w:t>
      </w:r>
      <w:r w:rsidR="00605212" w:rsidRPr="00E74838">
        <w:rPr>
          <w:rFonts w:cs="Times New Roman"/>
          <w:sz w:val="24"/>
          <w:szCs w:val="24"/>
        </w:rPr>
        <w:t xml:space="preserve">the </w:t>
      </w:r>
      <w:r w:rsidRPr="00E74838">
        <w:rPr>
          <w:rFonts w:cs="Times New Roman"/>
          <w:sz w:val="24"/>
          <w:szCs w:val="24"/>
        </w:rPr>
        <w:t>number of participants with missing data elements needed for a wage record match, including SSN or missing wage data, could be significant in some cases</w:t>
      </w:r>
      <w:r w:rsidR="00605212" w:rsidRPr="00E74838">
        <w:rPr>
          <w:rFonts w:cs="Times New Roman"/>
          <w:sz w:val="24"/>
          <w:szCs w:val="24"/>
        </w:rPr>
        <w:t>.  C</w:t>
      </w:r>
      <w:r w:rsidRPr="00E74838">
        <w:rPr>
          <w:rFonts w:cs="Times New Roman"/>
          <w:sz w:val="24"/>
          <w:szCs w:val="24"/>
        </w:rPr>
        <w:t>ompletely excluding these participants from program accountability measures would result in a significant gap in performance data and would not be aligned with the requirements of WIOA to obtain outcomes on all participants. </w:t>
      </w:r>
      <w:r w:rsidR="00BF455C" w:rsidRPr="00E74838">
        <w:rPr>
          <w:rFonts w:cs="Times New Roman"/>
          <w:sz w:val="24"/>
          <w:szCs w:val="24"/>
        </w:rPr>
        <w:t xml:space="preserve"> </w:t>
      </w:r>
      <w:r w:rsidRPr="00E74838">
        <w:rPr>
          <w:rFonts w:cs="Times New Roman"/>
          <w:sz w:val="24"/>
          <w:szCs w:val="24"/>
        </w:rPr>
        <w:t xml:space="preserve">The policy for </w:t>
      </w:r>
      <w:r w:rsidR="00605212" w:rsidRPr="00E74838">
        <w:rPr>
          <w:rFonts w:cs="Times New Roman"/>
          <w:sz w:val="24"/>
          <w:szCs w:val="24"/>
        </w:rPr>
        <w:t>S</w:t>
      </w:r>
      <w:r w:rsidRPr="00E74838">
        <w:rPr>
          <w:rFonts w:cs="Times New Roman"/>
          <w:sz w:val="24"/>
          <w:szCs w:val="24"/>
        </w:rPr>
        <w:t>tates to voluntarily use supplemental data to report on employment and earnings data is intended to provide alternatives to States that may have significant numbers of participants who would not have coverage in an administrative wage record match.  The Departments will issue guidance to ensure standardized and rigorous procedures are used when reporting supplemental data.</w:t>
      </w:r>
    </w:p>
    <w:p w14:paraId="540AB111" w14:textId="77777777" w:rsidR="00605212" w:rsidRPr="00E74838" w:rsidRDefault="00605212" w:rsidP="0001000B">
      <w:pPr>
        <w:autoSpaceDE w:val="0"/>
        <w:autoSpaceDN w:val="0"/>
        <w:adjustRightInd w:val="0"/>
        <w:spacing w:after="0" w:line="240" w:lineRule="auto"/>
        <w:rPr>
          <w:rFonts w:cs="Times New Roman"/>
          <w:sz w:val="24"/>
          <w:szCs w:val="24"/>
        </w:rPr>
      </w:pPr>
    </w:p>
    <w:p w14:paraId="5FAF1F97" w14:textId="167B853B" w:rsidR="00605212" w:rsidRPr="00E74838" w:rsidRDefault="00605212" w:rsidP="0001000B">
      <w:pPr>
        <w:pStyle w:val="BodyText"/>
        <w:ind w:left="0" w:right="167"/>
        <w:rPr>
          <w:rFonts w:asciiTheme="minorHAnsi" w:hAnsiTheme="minorHAnsi" w:cs="Times New Roman"/>
        </w:rPr>
      </w:pPr>
      <w:r w:rsidRPr="00E74838">
        <w:rPr>
          <w:rFonts w:asciiTheme="minorHAnsi" w:eastAsiaTheme="minorHAnsi" w:hAnsiTheme="minorHAnsi" w:cs="Times New Roman"/>
          <w:color w:val="000000"/>
        </w:rPr>
        <w:t>No change has been made in response to these comments.</w:t>
      </w:r>
      <w:r w:rsidRPr="00E74838">
        <w:rPr>
          <w:rFonts w:asciiTheme="minorHAnsi" w:hAnsiTheme="minorHAnsi" w:cs="Times New Roman"/>
        </w:rPr>
        <w:t xml:space="preserve"> </w:t>
      </w:r>
    </w:p>
    <w:p w14:paraId="55B70E9B" w14:textId="29C70B56" w:rsidR="004604FB" w:rsidRPr="00E74838" w:rsidRDefault="004604FB" w:rsidP="0001000B">
      <w:pPr>
        <w:autoSpaceDE w:val="0"/>
        <w:autoSpaceDN w:val="0"/>
        <w:adjustRightInd w:val="0"/>
        <w:spacing w:after="0" w:line="240" w:lineRule="auto"/>
        <w:rPr>
          <w:rFonts w:cs="Times New Roman"/>
          <w:sz w:val="24"/>
          <w:szCs w:val="24"/>
        </w:rPr>
      </w:pPr>
      <w:r w:rsidRPr="00E74838">
        <w:rPr>
          <w:rFonts w:cs="Times New Roman"/>
          <w:sz w:val="24"/>
          <w:szCs w:val="24"/>
        </w:rPr>
        <w:t xml:space="preserve">  </w:t>
      </w:r>
    </w:p>
    <w:p w14:paraId="186D85BB" w14:textId="1BB2DFA9" w:rsidR="00F83AAA" w:rsidRPr="00E74838" w:rsidRDefault="00313EBF" w:rsidP="0001000B">
      <w:pPr>
        <w:autoSpaceDE w:val="0"/>
        <w:autoSpaceDN w:val="0"/>
        <w:adjustRightInd w:val="0"/>
        <w:spacing w:after="0" w:line="240" w:lineRule="auto"/>
        <w:rPr>
          <w:rFonts w:cs="Times New Roman"/>
          <w:b/>
          <w:bCs/>
          <w:color w:val="000000"/>
          <w:sz w:val="24"/>
          <w:szCs w:val="24"/>
        </w:rPr>
      </w:pPr>
      <w:r w:rsidRPr="00E74838">
        <w:rPr>
          <w:rFonts w:cs="Times New Roman"/>
          <w:b/>
          <w:bCs/>
          <w:color w:val="000000"/>
          <w:sz w:val="24"/>
          <w:szCs w:val="24"/>
          <w:u w:val="single"/>
        </w:rPr>
        <w:t xml:space="preserve">Performance Workgroups </w:t>
      </w:r>
      <w:r w:rsidR="00F83AAA" w:rsidRPr="00E74838">
        <w:rPr>
          <w:rFonts w:cs="Times New Roman"/>
          <w:b/>
          <w:bCs/>
          <w:color w:val="000000"/>
          <w:sz w:val="24"/>
          <w:szCs w:val="24"/>
          <w:u w:val="single"/>
        </w:rPr>
        <w:t>–</w:t>
      </w:r>
      <w:r w:rsidR="00D320CF" w:rsidRPr="00E74838">
        <w:rPr>
          <w:rFonts w:cs="Times New Roman"/>
          <w:b/>
          <w:bCs/>
          <w:color w:val="000000"/>
          <w:sz w:val="24"/>
          <w:szCs w:val="24"/>
          <w:u w:val="single"/>
        </w:rPr>
        <w:t xml:space="preserve"> </w:t>
      </w:r>
      <w:r w:rsidR="00F83AAA" w:rsidRPr="00E74838">
        <w:rPr>
          <w:rFonts w:cs="Times New Roman"/>
          <w:b/>
          <w:bCs/>
          <w:color w:val="000000"/>
          <w:sz w:val="24"/>
          <w:szCs w:val="24"/>
          <w:u w:val="single"/>
        </w:rPr>
        <w:t>Ensure T</w:t>
      </w:r>
      <w:r w:rsidRPr="00E74838">
        <w:rPr>
          <w:rFonts w:cs="Times New Roman"/>
          <w:b/>
          <w:bCs/>
          <w:color w:val="000000"/>
          <w:sz w:val="24"/>
          <w:szCs w:val="24"/>
          <w:u w:val="single"/>
        </w:rPr>
        <w:t>ransparen</w:t>
      </w:r>
      <w:r w:rsidR="00F83AAA" w:rsidRPr="00E74838">
        <w:rPr>
          <w:rFonts w:cs="Times New Roman"/>
          <w:b/>
          <w:bCs/>
          <w:color w:val="000000"/>
          <w:sz w:val="24"/>
          <w:szCs w:val="24"/>
          <w:u w:val="single"/>
        </w:rPr>
        <w:t>cy and Input</w:t>
      </w:r>
      <w:r w:rsidR="00F83AAA" w:rsidRPr="00E74838">
        <w:rPr>
          <w:rFonts w:cs="Times New Roman"/>
          <w:b/>
          <w:bCs/>
          <w:color w:val="000000"/>
          <w:sz w:val="24"/>
          <w:szCs w:val="24"/>
        </w:rPr>
        <w:t>:</w:t>
      </w:r>
      <w:r w:rsidRPr="00E74838">
        <w:rPr>
          <w:rFonts w:cs="Times New Roman"/>
          <w:b/>
          <w:bCs/>
          <w:color w:val="000000"/>
          <w:sz w:val="24"/>
          <w:szCs w:val="24"/>
        </w:rPr>
        <w:t xml:space="preserve"> </w:t>
      </w:r>
    </w:p>
    <w:p w14:paraId="164EA4E2" w14:textId="77777777" w:rsidR="001A232E" w:rsidRPr="00E74838" w:rsidRDefault="001A232E" w:rsidP="0001000B">
      <w:pPr>
        <w:autoSpaceDE w:val="0"/>
        <w:autoSpaceDN w:val="0"/>
        <w:adjustRightInd w:val="0"/>
        <w:spacing w:after="0" w:line="240" w:lineRule="auto"/>
        <w:rPr>
          <w:rFonts w:cs="Times New Roman"/>
          <w:color w:val="000000"/>
          <w:sz w:val="24"/>
          <w:szCs w:val="24"/>
        </w:rPr>
      </w:pPr>
    </w:p>
    <w:p w14:paraId="71C05649" w14:textId="6A6D45E6" w:rsidR="00313EBF" w:rsidRPr="00E74838" w:rsidRDefault="00F83AAA" w:rsidP="0001000B">
      <w:pPr>
        <w:autoSpaceDE w:val="0"/>
        <w:autoSpaceDN w:val="0"/>
        <w:adjustRightInd w:val="0"/>
        <w:spacing w:after="0" w:line="240" w:lineRule="auto"/>
        <w:rPr>
          <w:rFonts w:cs="Times New Roman"/>
          <w:sz w:val="24"/>
          <w:szCs w:val="24"/>
        </w:rPr>
      </w:pPr>
      <w:r w:rsidRPr="00E74838">
        <w:rPr>
          <w:rFonts w:cs="Times New Roman"/>
          <w:color w:val="000000"/>
          <w:sz w:val="24"/>
          <w:szCs w:val="24"/>
        </w:rPr>
        <w:t xml:space="preserve">One commenter noted that the Departments have established two workgroups for stakeholders to provide input about the challenges faced during implementation of WIOA’s requirements.  The commenter requested that the Departments ensure the activities and </w:t>
      </w:r>
      <w:r w:rsidRPr="00E74838">
        <w:rPr>
          <w:rFonts w:cs="Times New Roman"/>
          <w:color w:val="000000"/>
          <w:sz w:val="24"/>
          <w:szCs w:val="24"/>
        </w:rPr>
        <w:lastRenderedPageBreak/>
        <w:t xml:space="preserve">recommendations of the workgroups are transparent to the States and that all key stakeholders have the opportunity to provide input into the process.  The commenter also recommended that membership on these workgroups not be limited to State representatives, but rather membership </w:t>
      </w:r>
      <w:r w:rsidR="00313EBF" w:rsidRPr="00E74838">
        <w:rPr>
          <w:rFonts w:cs="Times New Roman"/>
          <w:color w:val="000000"/>
          <w:sz w:val="24"/>
          <w:szCs w:val="24"/>
        </w:rPr>
        <w:t>should include one-stop system partners, including community-based organizations with direct experience serving individuals with barriers to employment</w:t>
      </w:r>
      <w:r w:rsidRPr="00E74838">
        <w:rPr>
          <w:rFonts w:cs="Times New Roman"/>
          <w:color w:val="000000"/>
          <w:sz w:val="24"/>
          <w:szCs w:val="24"/>
        </w:rPr>
        <w:t>,</w:t>
      </w:r>
      <w:r w:rsidR="00313EBF" w:rsidRPr="00E74838">
        <w:rPr>
          <w:rFonts w:cs="Times New Roman"/>
          <w:color w:val="000000"/>
          <w:sz w:val="24"/>
          <w:szCs w:val="24"/>
        </w:rPr>
        <w:t xml:space="preserve"> such as those who are limited English proficient, have low literacy, or have basic skills. </w:t>
      </w:r>
    </w:p>
    <w:p w14:paraId="7ABB2BB9" w14:textId="77777777" w:rsidR="00313EBF" w:rsidRPr="00E74838" w:rsidRDefault="00313EBF" w:rsidP="0001000B">
      <w:pPr>
        <w:spacing w:after="0" w:line="240" w:lineRule="auto"/>
        <w:rPr>
          <w:rFonts w:cs="Times New Roman"/>
          <w:sz w:val="24"/>
          <w:szCs w:val="24"/>
        </w:rPr>
      </w:pPr>
    </w:p>
    <w:p w14:paraId="79894620" w14:textId="7AC54ABF" w:rsidR="00313EBF" w:rsidRPr="00E74838" w:rsidRDefault="00CB17AA" w:rsidP="0001000B">
      <w:pPr>
        <w:spacing w:after="0" w:line="240" w:lineRule="auto"/>
        <w:rPr>
          <w:rFonts w:cs="Times New Roman"/>
          <w:sz w:val="24"/>
          <w:szCs w:val="24"/>
        </w:rPr>
      </w:pPr>
      <w:r w:rsidRPr="00E74838">
        <w:rPr>
          <w:rFonts w:eastAsia="Arial" w:cs="Times New Roman"/>
          <w:b/>
          <w:sz w:val="24"/>
          <w:szCs w:val="24"/>
        </w:rPr>
        <w:t>Agencies’ Response, June 2016:</w:t>
      </w:r>
      <w:r w:rsidRPr="00E74838">
        <w:rPr>
          <w:rFonts w:cs="Times New Roman"/>
          <w:b/>
          <w:sz w:val="24"/>
          <w:szCs w:val="24"/>
        </w:rPr>
        <w:t xml:space="preserve">  </w:t>
      </w:r>
      <w:r w:rsidR="00313EBF" w:rsidRPr="00E74838">
        <w:rPr>
          <w:rFonts w:cs="Times New Roman"/>
          <w:sz w:val="24"/>
          <w:szCs w:val="24"/>
        </w:rPr>
        <w:t xml:space="preserve">The Departments established State-level workgroups for feedback from </w:t>
      </w:r>
      <w:r w:rsidR="001E3BA3" w:rsidRPr="00E74838">
        <w:rPr>
          <w:rFonts w:cs="Times New Roman"/>
          <w:sz w:val="24"/>
          <w:szCs w:val="24"/>
        </w:rPr>
        <w:t>S</w:t>
      </w:r>
      <w:r w:rsidR="00313EBF" w:rsidRPr="00E74838">
        <w:rPr>
          <w:rFonts w:cs="Times New Roman"/>
          <w:sz w:val="24"/>
          <w:szCs w:val="24"/>
        </w:rPr>
        <w:t>tates on technical assistance matters.  The workgroups do not provide recommendations to the Departments</w:t>
      </w:r>
      <w:r w:rsidR="001E3BA3" w:rsidRPr="00E74838">
        <w:rPr>
          <w:rFonts w:cs="Times New Roman"/>
          <w:sz w:val="24"/>
          <w:szCs w:val="24"/>
        </w:rPr>
        <w:t xml:space="preserve">.  Furthermore, </w:t>
      </w:r>
      <w:r w:rsidR="00313EBF" w:rsidRPr="00E74838">
        <w:rPr>
          <w:rFonts w:cs="Times New Roman"/>
          <w:sz w:val="24"/>
          <w:szCs w:val="24"/>
        </w:rPr>
        <w:t xml:space="preserve">the groups are comprised of </w:t>
      </w:r>
      <w:r w:rsidR="001E3BA3" w:rsidRPr="00E74838">
        <w:rPr>
          <w:rFonts w:cs="Times New Roman"/>
          <w:sz w:val="24"/>
          <w:szCs w:val="24"/>
        </w:rPr>
        <w:t>S</w:t>
      </w:r>
      <w:r w:rsidR="00313EBF" w:rsidRPr="00E74838">
        <w:rPr>
          <w:rFonts w:cs="Times New Roman"/>
          <w:sz w:val="24"/>
          <w:szCs w:val="24"/>
        </w:rPr>
        <w:t xml:space="preserve">tate representatives only, as the grantee relationship is with the Department, and as such, does not invoke a Federal Advisory Committee.  </w:t>
      </w:r>
    </w:p>
    <w:p w14:paraId="22542573" w14:textId="77777777" w:rsidR="00313EBF" w:rsidRPr="00E74838" w:rsidRDefault="00313EBF" w:rsidP="0001000B">
      <w:pPr>
        <w:spacing w:after="0" w:line="240" w:lineRule="auto"/>
        <w:rPr>
          <w:rFonts w:cs="Times New Roman"/>
          <w:b/>
          <w:sz w:val="24"/>
          <w:szCs w:val="24"/>
        </w:rPr>
      </w:pPr>
    </w:p>
    <w:p w14:paraId="112D6EF1" w14:textId="40B687DC" w:rsidR="00313EBF" w:rsidRPr="00E74838" w:rsidRDefault="00313EBF" w:rsidP="0001000B">
      <w:pPr>
        <w:spacing w:after="0" w:line="240" w:lineRule="auto"/>
        <w:rPr>
          <w:rFonts w:cs="Times New Roman"/>
          <w:sz w:val="24"/>
          <w:szCs w:val="24"/>
        </w:rPr>
      </w:pPr>
      <w:r w:rsidRPr="00E74838">
        <w:rPr>
          <w:rFonts w:cs="Times New Roman"/>
          <w:sz w:val="24"/>
          <w:szCs w:val="24"/>
        </w:rPr>
        <w:t>The Departments may consider establishing a more broad</w:t>
      </w:r>
      <w:r w:rsidR="001E3BA3" w:rsidRPr="00E74838">
        <w:rPr>
          <w:rFonts w:cs="Times New Roman"/>
          <w:sz w:val="24"/>
          <w:szCs w:val="24"/>
        </w:rPr>
        <w:t>-</w:t>
      </w:r>
      <w:r w:rsidRPr="00E74838">
        <w:rPr>
          <w:rFonts w:cs="Times New Roman"/>
          <w:sz w:val="24"/>
          <w:szCs w:val="24"/>
        </w:rPr>
        <w:t xml:space="preserve">based performance accountability team to work through implementation issues in the future.  </w:t>
      </w:r>
    </w:p>
    <w:p w14:paraId="3817B647" w14:textId="77777777" w:rsidR="00C703FA" w:rsidRPr="00E74838" w:rsidRDefault="00C703FA" w:rsidP="0001000B">
      <w:pPr>
        <w:pStyle w:val="ListParagraph"/>
        <w:spacing w:after="0" w:line="240" w:lineRule="auto"/>
        <w:ind w:left="0"/>
        <w:rPr>
          <w:rFonts w:asciiTheme="minorHAnsi" w:hAnsiTheme="minorHAnsi" w:cs="Times New Roman"/>
          <w:b/>
          <w:szCs w:val="24"/>
        </w:rPr>
      </w:pPr>
    </w:p>
    <w:p w14:paraId="74898FF3" w14:textId="5F5014C3" w:rsidR="00C17ED1" w:rsidRPr="00E74838" w:rsidRDefault="003031F2" w:rsidP="0001000B">
      <w:pPr>
        <w:spacing w:after="0" w:line="240" w:lineRule="auto"/>
        <w:contextualSpacing/>
        <w:rPr>
          <w:rFonts w:cs="Times New Roman"/>
          <w:b/>
          <w:sz w:val="24"/>
          <w:szCs w:val="24"/>
        </w:rPr>
      </w:pPr>
      <w:r w:rsidRPr="00E74838">
        <w:rPr>
          <w:rFonts w:cs="Times New Roman"/>
          <w:b/>
          <w:sz w:val="24"/>
          <w:szCs w:val="24"/>
          <w:u w:val="single"/>
        </w:rPr>
        <w:t xml:space="preserve">Exhausting TANF </w:t>
      </w:r>
      <w:proofErr w:type="gramStart"/>
      <w:r w:rsidRPr="00E74838">
        <w:rPr>
          <w:rFonts w:cs="Times New Roman"/>
          <w:b/>
          <w:sz w:val="24"/>
          <w:szCs w:val="24"/>
          <w:u w:val="single"/>
        </w:rPr>
        <w:t>Wit</w:t>
      </w:r>
      <w:r w:rsidR="006251BA" w:rsidRPr="00E74838">
        <w:rPr>
          <w:rFonts w:cs="Times New Roman"/>
          <w:b/>
          <w:sz w:val="24"/>
          <w:szCs w:val="24"/>
          <w:u w:val="single"/>
        </w:rPr>
        <w:t>hin</w:t>
      </w:r>
      <w:proofErr w:type="gramEnd"/>
      <w:r w:rsidR="006251BA" w:rsidRPr="00E74838">
        <w:rPr>
          <w:rFonts w:cs="Times New Roman"/>
          <w:b/>
          <w:sz w:val="24"/>
          <w:szCs w:val="24"/>
          <w:u w:val="single"/>
        </w:rPr>
        <w:t xml:space="preserve"> 2 Years</w:t>
      </w:r>
      <w:r w:rsidR="006251BA" w:rsidRPr="00E74838">
        <w:rPr>
          <w:rFonts w:cs="Times New Roman"/>
          <w:b/>
          <w:sz w:val="24"/>
          <w:szCs w:val="24"/>
        </w:rPr>
        <w:t xml:space="preserve">: </w:t>
      </w:r>
    </w:p>
    <w:p w14:paraId="0834C98B" w14:textId="77777777" w:rsidR="001A232E" w:rsidRPr="00E74838" w:rsidRDefault="001A232E" w:rsidP="0001000B">
      <w:pPr>
        <w:spacing w:after="0" w:line="240" w:lineRule="auto"/>
        <w:contextualSpacing/>
        <w:rPr>
          <w:rFonts w:cs="Times New Roman"/>
          <w:sz w:val="24"/>
          <w:szCs w:val="24"/>
        </w:rPr>
      </w:pPr>
    </w:p>
    <w:p w14:paraId="33035F8B" w14:textId="70477A9F" w:rsidR="003031F2" w:rsidRPr="00E74838" w:rsidRDefault="00C17ED1" w:rsidP="0001000B">
      <w:pPr>
        <w:spacing w:after="0" w:line="240" w:lineRule="auto"/>
        <w:contextualSpacing/>
        <w:rPr>
          <w:rFonts w:cs="Times New Roman"/>
          <w:b/>
          <w:sz w:val="24"/>
          <w:szCs w:val="24"/>
        </w:rPr>
      </w:pPr>
      <w:r w:rsidRPr="00E74838">
        <w:rPr>
          <w:rFonts w:cs="Times New Roman"/>
          <w:sz w:val="24"/>
          <w:szCs w:val="24"/>
        </w:rPr>
        <w:t xml:space="preserve">One commenter stated that </w:t>
      </w:r>
      <w:r w:rsidR="003031F2" w:rsidRPr="00E74838">
        <w:rPr>
          <w:rFonts w:cs="Times New Roman"/>
          <w:sz w:val="24"/>
          <w:szCs w:val="24"/>
        </w:rPr>
        <w:t>TANF</w:t>
      </w:r>
      <w:r w:rsidRPr="00E74838">
        <w:rPr>
          <w:rFonts w:cs="Times New Roman"/>
          <w:sz w:val="24"/>
          <w:szCs w:val="24"/>
        </w:rPr>
        <w:t>’s</w:t>
      </w:r>
      <w:r w:rsidR="003031F2" w:rsidRPr="00E74838">
        <w:rPr>
          <w:rFonts w:cs="Times New Roman"/>
          <w:sz w:val="24"/>
          <w:szCs w:val="24"/>
        </w:rPr>
        <w:t xml:space="preserve"> potential </w:t>
      </w:r>
      <w:r w:rsidRPr="00E74838">
        <w:rPr>
          <w:rFonts w:cs="Times New Roman"/>
          <w:sz w:val="24"/>
          <w:szCs w:val="24"/>
        </w:rPr>
        <w:t xml:space="preserve">two-year </w:t>
      </w:r>
      <w:r w:rsidR="003031F2" w:rsidRPr="00E74838">
        <w:rPr>
          <w:rFonts w:cs="Times New Roman"/>
          <w:sz w:val="24"/>
          <w:szCs w:val="24"/>
        </w:rPr>
        <w:t xml:space="preserve">exhaustion may not be an adequate proxy </w:t>
      </w:r>
      <w:r w:rsidRPr="00E74838">
        <w:rPr>
          <w:rFonts w:cs="Times New Roman"/>
          <w:sz w:val="24"/>
          <w:szCs w:val="24"/>
        </w:rPr>
        <w:t xml:space="preserve">data element </w:t>
      </w:r>
      <w:r w:rsidR="003031F2" w:rsidRPr="00E74838">
        <w:rPr>
          <w:rFonts w:cs="Times New Roman"/>
          <w:sz w:val="24"/>
          <w:szCs w:val="24"/>
        </w:rPr>
        <w:t xml:space="preserve">for </w:t>
      </w:r>
      <w:r w:rsidRPr="00E74838">
        <w:rPr>
          <w:rFonts w:cs="Times New Roman"/>
          <w:sz w:val="24"/>
          <w:szCs w:val="24"/>
        </w:rPr>
        <w:t xml:space="preserve">the </w:t>
      </w:r>
      <w:r w:rsidR="003031F2" w:rsidRPr="00E74838">
        <w:rPr>
          <w:rFonts w:cs="Times New Roman"/>
          <w:sz w:val="24"/>
          <w:szCs w:val="24"/>
        </w:rPr>
        <w:t xml:space="preserve">“welfare dependency” characteristic required for </w:t>
      </w:r>
      <w:r w:rsidRPr="00E74838">
        <w:rPr>
          <w:rFonts w:cs="Times New Roman"/>
          <w:sz w:val="24"/>
          <w:szCs w:val="24"/>
        </w:rPr>
        <w:t xml:space="preserve">the statistical </w:t>
      </w:r>
      <w:r w:rsidR="003031F2" w:rsidRPr="00E74838">
        <w:rPr>
          <w:rFonts w:cs="Times New Roman"/>
          <w:sz w:val="24"/>
          <w:szCs w:val="24"/>
        </w:rPr>
        <w:t>adjustment model under sec</w:t>
      </w:r>
      <w:r w:rsidR="009B7C01" w:rsidRPr="00E74838">
        <w:rPr>
          <w:rFonts w:cs="Times New Roman"/>
          <w:sz w:val="24"/>
          <w:szCs w:val="24"/>
        </w:rPr>
        <w:t>tion</w:t>
      </w:r>
      <w:r w:rsidR="003031F2" w:rsidRPr="00E74838">
        <w:rPr>
          <w:rFonts w:cs="Times New Roman"/>
          <w:sz w:val="24"/>
          <w:szCs w:val="24"/>
        </w:rPr>
        <w:t xml:space="preserve"> 116</w:t>
      </w:r>
      <w:r w:rsidRPr="00E74838">
        <w:rPr>
          <w:rFonts w:cs="Times New Roman"/>
          <w:sz w:val="24"/>
          <w:szCs w:val="24"/>
        </w:rPr>
        <w:t xml:space="preserve"> of WIOA</w:t>
      </w:r>
      <w:r w:rsidR="003031F2" w:rsidRPr="00E74838">
        <w:rPr>
          <w:rFonts w:cs="Times New Roman"/>
          <w:sz w:val="24"/>
          <w:szCs w:val="24"/>
        </w:rPr>
        <w:t>.</w:t>
      </w:r>
    </w:p>
    <w:p w14:paraId="23751696" w14:textId="77777777" w:rsidR="003031F2" w:rsidRPr="00E74838" w:rsidRDefault="003031F2" w:rsidP="0001000B">
      <w:pPr>
        <w:spacing w:after="0" w:line="240" w:lineRule="auto"/>
        <w:ind w:left="360"/>
        <w:contextualSpacing/>
        <w:rPr>
          <w:rFonts w:cs="Times New Roman"/>
          <w:sz w:val="24"/>
          <w:szCs w:val="24"/>
        </w:rPr>
      </w:pPr>
    </w:p>
    <w:p w14:paraId="41AD3C8C" w14:textId="6E6C3949" w:rsidR="00FF3FD4" w:rsidRPr="00E74838" w:rsidRDefault="00FF3FD4"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003031F2" w:rsidRPr="00E74838">
        <w:rPr>
          <w:rFonts w:cs="Times New Roman"/>
          <w:sz w:val="24"/>
          <w:szCs w:val="24"/>
        </w:rPr>
        <w:t xml:space="preserve">PIRL 601, Exhausting TANF Within 2 Years, records whether a person is an </w:t>
      </w:r>
      <w:r w:rsidR="00987E98" w:rsidRPr="00E74838">
        <w:rPr>
          <w:rFonts w:cs="Times New Roman"/>
          <w:sz w:val="24"/>
          <w:szCs w:val="24"/>
        </w:rPr>
        <w:t>“</w:t>
      </w:r>
      <w:r w:rsidR="003031F2" w:rsidRPr="00E74838">
        <w:rPr>
          <w:rFonts w:cs="Times New Roman"/>
          <w:sz w:val="24"/>
          <w:szCs w:val="24"/>
        </w:rPr>
        <w:t>individual with a barrier to employment</w:t>
      </w:r>
      <w:r w:rsidR="00987E98" w:rsidRPr="00E74838">
        <w:rPr>
          <w:rFonts w:cs="Times New Roman"/>
          <w:sz w:val="24"/>
          <w:szCs w:val="24"/>
        </w:rPr>
        <w:t>”</w:t>
      </w:r>
      <w:r w:rsidR="003031F2" w:rsidRPr="00E74838">
        <w:rPr>
          <w:rFonts w:cs="Times New Roman"/>
          <w:sz w:val="24"/>
          <w:szCs w:val="24"/>
        </w:rPr>
        <w:t xml:space="preserve"> </w:t>
      </w:r>
      <w:r w:rsidR="009B7C01" w:rsidRPr="00E74838">
        <w:rPr>
          <w:rFonts w:cs="Times New Roman"/>
          <w:sz w:val="24"/>
          <w:szCs w:val="24"/>
        </w:rPr>
        <w:t>because the individual is</w:t>
      </w:r>
      <w:r w:rsidR="003031F2" w:rsidRPr="00E74838">
        <w:rPr>
          <w:rFonts w:cs="Times New Roman"/>
          <w:sz w:val="24"/>
          <w:szCs w:val="24"/>
        </w:rPr>
        <w:t xml:space="preserve"> “within 2 years of exhausting lifetime eligibility under part A of title IV of the Social Security Act (42 U.S.C. 601 et seq.),” as d</w:t>
      </w:r>
      <w:r w:rsidRPr="00E74838">
        <w:rPr>
          <w:rFonts w:cs="Times New Roman"/>
          <w:sz w:val="24"/>
          <w:szCs w:val="24"/>
        </w:rPr>
        <w:t>e</w:t>
      </w:r>
      <w:r w:rsidR="006251BA" w:rsidRPr="00E74838">
        <w:rPr>
          <w:rFonts w:cs="Times New Roman"/>
          <w:sz w:val="24"/>
          <w:szCs w:val="24"/>
        </w:rPr>
        <w:t>fined in WIOA sec. 3(24</w:t>
      </w:r>
      <w:proofErr w:type="gramStart"/>
      <w:r w:rsidR="006251BA" w:rsidRPr="00E74838">
        <w:rPr>
          <w:rFonts w:cs="Times New Roman"/>
          <w:sz w:val="24"/>
          <w:szCs w:val="24"/>
        </w:rPr>
        <w:t>)(</w:t>
      </w:r>
      <w:proofErr w:type="gramEnd"/>
      <w:r w:rsidR="006251BA" w:rsidRPr="00E74838">
        <w:rPr>
          <w:rFonts w:cs="Times New Roman"/>
          <w:sz w:val="24"/>
          <w:szCs w:val="24"/>
        </w:rPr>
        <w:t xml:space="preserve">K). </w:t>
      </w:r>
      <w:r w:rsidR="006251BA" w:rsidRPr="00E74838">
        <w:rPr>
          <w:rFonts w:eastAsia="Times New Roman" w:cs="Times New Roman"/>
          <w:sz w:val="24"/>
          <w:szCs w:val="24"/>
        </w:rPr>
        <w:t xml:space="preserve"> No change has been made in response to this comment.</w:t>
      </w:r>
    </w:p>
    <w:p w14:paraId="38779428" w14:textId="77777777" w:rsidR="006251BA" w:rsidRPr="00E74838" w:rsidRDefault="006251BA" w:rsidP="0001000B">
      <w:pPr>
        <w:pStyle w:val="CommentText"/>
        <w:spacing w:after="0"/>
        <w:rPr>
          <w:rFonts w:eastAsia="Arial" w:cs="Times New Roman"/>
          <w:b/>
          <w:sz w:val="24"/>
          <w:szCs w:val="24"/>
        </w:rPr>
      </w:pPr>
    </w:p>
    <w:p w14:paraId="32199006" w14:textId="57C81061" w:rsidR="003C3A47" w:rsidRPr="00E74838" w:rsidRDefault="003C3A47" w:rsidP="0001000B">
      <w:pPr>
        <w:spacing w:after="0" w:line="240" w:lineRule="auto"/>
        <w:rPr>
          <w:rFonts w:cs="Times New Roman"/>
          <w:b/>
          <w:sz w:val="24"/>
          <w:szCs w:val="24"/>
        </w:rPr>
      </w:pPr>
      <w:r w:rsidRPr="00E74838">
        <w:rPr>
          <w:rFonts w:cs="Times New Roman"/>
          <w:b/>
          <w:sz w:val="24"/>
          <w:szCs w:val="24"/>
          <w:u w:val="single"/>
        </w:rPr>
        <w:t xml:space="preserve">Reporting </w:t>
      </w:r>
      <w:r w:rsidR="0013288A" w:rsidRPr="00E74838">
        <w:rPr>
          <w:rFonts w:cs="Times New Roman"/>
          <w:b/>
          <w:sz w:val="24"/>
          <w:szCs w:val="24"/>
          <w:u w:val="single"/>
        </w:rPr>
        <w:t>Consisten</w:t>
      </w:r>
      <w:r w:rsidRPr="00E74838">
        <w:rPr>
          <w:rFonts w:cs="Times New Roman"/>
          <w:b/>
          <w:sz w:val="24"/>
          <w:szCs w:val="24"/>
          <w:u w:val="single"/>
        </w:rPr>
        <w:t>cy – Test Publisher</w:t>
      </w:r>
      <w:r w:rsidR="00081A3C" w:rsidRPr="00E74838">
        <w:rPr>
          <w:rFonts w:cs="Times New Roman"/>
          <w:b/>
          <w:sz w:val="24"/>
          <w:szCs w:val="24"/>
          <w:u w:val="single"/>
        </w:rPr>
        <w:t>’s</w:t>
      </w:r>
      <w:r w:rsidRPr="00E74838">
        <w:rPr>
          <w:rFonts w:cs="Times New Roman"/>
          <w:b/>
          <w:sz w:val="24"/>
          <w:szCs w:val="24"/>
          <w:u w:val="single"/>
        </w:rPr>
        <w:t xml:space="preserve"> Guidelines</w:t>
      </w:r>
      <w:r w:rsidR="0013288A" w:rsidRPr="00E74838">
        <w:rPr>
          <w:rFonts w:cs="Times New Roman"/>
          <w:b/>
          <w:sz w:val="24"/>
          <w:szCs w:val="24"/>
        </w:rPr>
        <w:t xml:space="preserve">:  </w:t>
      </w:r>
    </w:p>
    <w:p w14:paraId="2A666CA2" w14:textId="77777777" w:rsidR="001A232E" w:rsidRPr="00E74838" w:rsidRDefault="001A232E" w:rsidP="0001000B">
      <w:pPr>
        <w:spacing w:after="0" w:line="240" w:lineRule="auto"/>
        <w:rPr>
          <w:rFonts w:cs="Times New Roman"/>
          <w:sz w:val="24"/>
          <w:szCs w:val="24"/>
        </w:rPr>
      </w:pPr>
    </w:p>
    <w:p w14:paraId="74488F27" w14:textId="61CE58B5" w:rsidR="003031F2" w:rsidRPr="00E74838" w:rsidRDefault="003C3A47" w:rsidP="0001000B">
      <w:pPr>
        <w:spacing w:after="0" w:line="240" w:lineRule="auto"/>
        <w:rPr>
          <w:rFonts w:cs="Times New Roman"/>
          <w:b/>
          <w:sz w:val="24"/>
          <w:szCs w:val="24"/>
        </w:rPr>
      </w:pPr>
      <w:r w:rsidRPr="00E74838">
        <w:rPr>
          <w:rFonts w:cs="Times New Roman"/>
          <w:sz w:val="24"/>
          <w:szCs w:val="24"/>
        </w:rPr>
        <w:t>Pursuant to p</w:t>
      </w:r>
      <w:r w:rsidR="003031F2" w:rsidRPr="00E74838">
        <w:rPr>
          <w:rFonts w:cs="Times New Roman"/>
          <w:sz w:val="24"/>
          <w:szCs w:val="24"/>
        </w:rPr>
        <w:t xml:space="preserve">age 3 of Appendix A, </w:t>
      </w:r>
      <w:r w:rsidRPr="00E74838">
        <w:rPr>
          <w:rFonts w:cs="Times New Roman"/>
          <w:sz w:val="24"/>
          <w:szCs w:val="24"/>
        </w:rPr>
        <w:t xml:space="preserve">one commenter noted that </w:t>
      </w:r>
      <w:r w:rsidR="003031F2" w:rsidRPr="00E74838">
        <w:rPr>
          <w:rFonts w:cs="Times New Roman"/>
          <w:sz w:val="24"/>
          <w:szCs w:val="24"/>
        </w:rPr>
        <w:t xml:space="preserve">WIOA does not require programs to follow </w:t>
      </w:r>
      <w:r w:rsidRPr="00E74838">
        <w:rPr>
          <w:rFonts w:cs="Times New Roman"/>
          <w:sz w:val="24"/>
          <w:szCs w:val="24"/>
        </w:rPr>
        <w:t>test publisher</w:t>
      </w:r>
      <w:r w:rsidR="00081A3C" w:rsidRPr="00E74838">
        <w:rPr>
          <w:rFonts w:cs="Times New Roman"/>
          <w:sz w:val="24"/>
          <w:szCs w:val="24"/>
        </w:rPr>
        <w:t>’s</w:t>
      </w:r>
      <w:r w:rsidRPr="00E74838">
        <w:rPr>
          <w:rFonts w:cs="Times New Roman"/>
          <w:sz w:val="24"/>
          <w:szCs w:val="24"/>
        </w:rPr>
        <w:t xml:space="preserve"> </w:t>
      </w:r>
      <w:r w:rsidR="003031F2" w:rsidRPr="00E74838">
        <w:rPr>
          <w:rFonts w:cs="Times New Roman"/>
          <w:sz w:val="24"/>
          <w:szCs w:val="24"/>
        </w:rPr>
        <w:t xml:space="preserve">guidelines. </w:t>
      </w:r>
      <w:r w:rsidRPr="00E74838">
        <w:rPr>
          <w:rFonts w:cs="Times New Roman"/>
          <w:sz w:val="24"/>
          <w:szCs w:val="24"/>
        </w:rPr>
        <w:t xml:space="preserve"> The commenter expressed concern that this could lead to inconsistent reporting across programs.  </w:t>
      </w:r>
      <w:r w:rsidR="00081A3C" w:rsidRPr="00E74838">
        <w:rPr>
          <w:rFonts w:cs="Times New Roman"/>
          <w:sz w:val="24"/>
          <w:szCs w:val="24"/>
        </w:rPr>
        <w:t xml:space="preserve">The commenter </w:t>
      </w:r>
      <w:r w:rsidR="003031F2" w:rsidRPr="00E74838">
        <w:rPr>
          <w:rFonts w:cs="Times New Roman"/>
          <w:sz w:val="24"/>
          <w:szCs w:val="24"/>
        </w:rPr>
        <w:t xml:space="preserve">recommended that each program </w:t>
      </w:r>
      <w:r w:rsidR="00081A3C" w:rsidRPr="00E74838">
        <w:rPr>
          <w:rFonts w:cs="Times New Roman"/>
          <w:sz w:val="24"/>
          <w:szCs w:val="24"/>
        </w:rPr>
        <w:t xml:space="preserve">be required </w:t>
      </w:r>
      <w:r w:rsidR="003031F2" w:rsidRPr="00E74838">
        <w:rPr>
          <w:rFonts w:cs="Times New Roman"/>
          <w:sz w:val="24"/>
          <w:szCs w:val="24"/>
        </w:rPr>
        <w:t>to follow the test publisher’s guidelines when administering a test.</w:t>
      </w:r>
    </w:p>
    <w:p w14:paraId="1EA8AF46" w14:textId="77777777" w:rsidR="003031F2" w:rsidRPr="00E74838" w:rsidRDefault="003031F2" w:rsidP="0001000B">
      <w:pPr>
        <w:spacing w:after="0" w:line="240" w:lineRule="auto"/>
        <w:rPr>
          <w:rFonts w:cs="Times New Roman"/>
          <w:sz w:val="24"/>
          <w:szCs w:val="24"/>
        </w:rPr>
      </w:pPr>
    </w:p>
    <w:p w14:paraId="4858DDAE" w14:textId="3FC8FD33" w:rsidR="003031F2" w:rsidRPr="00E74838" w:rsidRDefault="00732C58" w:rsidP="0001000B">
      <w:pPr>
        <w:spacing w:after="0" w:line="240" w:lineRule="auto"/>
        <w:outlineLvl w:val="0"/>
        <w:rPr>
          <w:rFonts w:eastAsia="Arial" w:cs="Times New Roman"/>
          <w:sz w:val="24"/>
          <w:szCs w:val="24"/>
        </w:rPr>
      </w:pPr>
      <w:r w:rsidRPr="00E74838">
        <w:rPr>
          <w:rFonts w:eastAsia="Arial" w:cs="Times New Roman"/>
          <w:b/>
          <w:sz w:val="24"/>
          <w:szCs w:val="24"/>
        </w:rPr>
        <w:t xml:space="preserve">Agencies’ Response, June 2016:  </w:t>
      </w:r>
      <w:r w:rsidR="003031F2" w:rsidRPr="00E74838">
        <w:rPr>
          <w:rFonts w:cs="Times New Roman"/>
          <w:sz w:val="24"/>
          <w:szCs w:val="24"/>
        </w:rPr>
        <w:t>All programs reporting under section 116 will use common definitions and procedures for reporting educational functioning level</w:t>
      </w:r>
      <w:r w:rsidR="00E62FDC">
        <w:rPr>
          <w:rFonts w:cs="Times New Roman"/>
          <w:sz w:val="24"/>
          <w:szCs w:val="24"/>
        </w:rPr>
        <w:t>, including how tests are administered in accordance with test publisher guidelines.  Joint performance guidelines will clarify this requirement</w:t>
      </w:r>
      <w:r w:rsidR="003031F2" w:rsidRPr="00E74838">
        <w:rPr>
          <w:rFonts w:cs="Times New Roman"/>
          <w:sz w:val="24"/>
          <w:szCs w:val="24"/>
        </w:rPr>
        <w:t>.</w:t>
      </w:r>
      <w:r w:rsidR="00575461" w:rsidRPr="00E74838">
        <w:rPr>
          <w:rFonts w:cs="Times New Roman"/>
          <w:sz w:val="24"/>
          <w:szCs w:val="24"/>
        </w:rPr>
        <w:t xml:space="preserve"> </w:t>
      </w:r>
      <w:r w:rsidR="0013288A" w:rsidRPr="00E74838">
        <w:rPr>
          <w:rFonts w:eastAsia="Times New Roman" w:cs="Times New Roman"/>
          <w:sz w:val="24"/>
          <w:szCs w:val="24"/>
        </w:rPr>
        <w:t xml:space="preserve"> No change has been made in response to this comment.</w:t>
      </w:r>
    </w:p>
    <w:p w14:paraId="4CF77FB5" w14:textId="77777777" w:rsidR="00BF455C" w:rsidRDefault="00BF455C" w:rsidP="0001000B">
      <w:pPr>
        <w:spacing w:after="0" w:line="240" w:lineRule="auto"/>
        <w:rPr>
          <w:rFonts w:cs="Times New Roman"/>
          <w:b/>
          <w:sz w:val="24"/>
          <w:szCs w:val="24"/>
        </w:rPr>
      </w:pPr>
    </w:p>
    <w:p w14:paraId="6020DBE5" w14:textId="77777777" w:rsidR="00820D61" w:rsidRDefault="00820D61" w:rsidP="0001000B">
      <w:pPr>
        <w:spacing w:after="0" w:line="240" w:lineRule="auto"/>
        <w:rPr>
          <w:rFonts w:cs="Times New Roman"/>
          <w:b/>
          <w:sz w:val="24"/>
          <w:szCs w:val="24"/>
        </w:rPr>
      </w:pPr>
    </w:p>
    <w:p w14:paraId="67A0C74A" w14:textId="77777777" w:rsidR="00820D61" w:rsidRDefault="00820D61" w:rsidP="0001000B">
      <w:pPr>
        <w:spacing w:after="0" w:line="240" w:lineRule="auto"/>
        <w:rPr>
          <w:rFonts w:cs="Times New Roman"/>
          <w:b/>
          <w:sz w:val="24"/>
          <w:szCs w:val="24"/>
        </w:rPr>
      </w:pPr>
    </w:p>
    <w:p w14:paraId="1E0A5FB1" w14:textId="77777777" w:rsidR="00820D61" w:rsidRPr="00E74838" w:rsidRDefault="00820D61" w:rsidP="0001000B">
      <w:pPr>
        <w:spacing w:after="0" w:line="240" w:lineRule="auto"/>
        <w:rPr>
          <w:rFonts w:cs="Times New Roman"/>
          <w:b/>
          <w:sz w:val="24"/>
          <w:szCs w:val="24"/>
        </w:rPr>
      </w:pPr>
    </w:p>
    <w:p w14:paraId="2D7621FD" w14:textId="77777777" w:rsidR="00FD09DF" w:rsidRPr="00E74838" w:rsidRDefault="003031F2" w:rsidP="0001000B">
      <w:pPr>
        <w:spacing w:after="0" w:line="240" w:lineRule="auto"/>
        <w:rPr>
          <w:rFonts w:eastAsia="Times New Roman" w:cs="Times New Roman"/>
          <w:b/>
          <w:bCs/>
          <w:sz w:val="24"/>
          <w:szCs w:val="24"/>
        </w:rPr>
      </w:pPr>
      <w:bookmarkStart w:id="19" w:name="OLE_LINK84"/>
      <w:bookmarkStart w:id="20" w:name="OLE_LINK85"/>
      <w:r w:rsidRPr="00E74838">
        <w:rPr>
          <w:rFonts w:eastAsia="Times New Roman" w:cs="Times New Roman"/>
          <w:b/>
          <w:bCs/>
          <w:sz w:val="24"/>
          <w:szCs w:val="24"/>
          <w:u w:val="single"/>
        </w:rPr>
        <w:lastRenderedPageBreak/>
        <w:t xml:space="preserve">Youth </w:t>
      </w:r>
      <w:r w:rsidR="00FD09DF" w:rsidRPr="00E74838">
        <w:rPr>
          <w:rFonts w:eastAsia="Times New Roman" w:cs="Times New Roman"/>
          <w:b/>
          <w:bCs/>
          <w:sz w:val="24"/>
          <w:szCs w:val="24"/>
          <w:u w:val="single"/>
        </w:rPr>
        <w:t>– Characteristics</w:t>
      </w:r>
      <w:r w:rsidR="00FD09DF" w:rsidRPr="00E74838">
        <w:rPr>
          <w:rFonts w:eastAsia="Times New Roman" w:cs="Times New Roman"/>
          <w:b/>
          <w:bCs/>
          <w:sz w:val="24"/>
          <w:szCs w:val="24"/>
        </w:rPr>
        <w:t>:</w:t>
      </w:r>
    </w:p>
    <w:bookmarkEnd w:id="19"/>
    <w:bookmarkEnd w:id="20"/>
    <w:p w14:paraId="5CBF7B74" w14:textId="77777777" w:rsidR="001A232E" w:rsidRPr="00E74838" w:rsidRDefault="001A232E" w:rsidP="0001000B">
      <w:pPr>
        <w:spacing w:after="0" w:line="240" w:lineRule="auto"/>
        <w:rPr>
          <w:rFonts w:eastAsia="Times New Roman" w:cs="Times New Roman"/>
          <w:b/>
          <w:bCs/>
          <w:sz w:val="24"/>
          <w:szCs w:val="24"/>
        </w:rPr>
      </w:pPr>
    </w:p>
    <w:p w14:paraId="42630DBC" w14:textId="77777777" w:rsidR="00855F33" w:rsidRPr="00E74838" w:rsidRDefault="00823A1D" w:rsidP="0001000B">
      <w:pPr>
        <w:spacing w:after="0" w:line="240" w:lineRule="auto"/>
        <w:rPr>
          <w:rFonts w:eastAsia="Times New Roman" w:cs="Times New Roman"/>
          <w:sz w:val="24"/>
          <w:szCs w:val="24"/>
        </w:rPr>
      </w:pPr>
      <w:r w:rsidRPr="00E74838">
        <w:rPr>
          <w:rFonts w:eastAsia="Times New Roman" w:cs="Times New Roman"/>
          <w:sz w:val="24"/>
          <w:szCs w:val="24"/>
        </w:rPr>
        <w:t>One commenter sought clarification regarding several different issues related to the title I Youth program</w:t>
      </w:r>
      <w:r w:rsidR="004931BF" w:rsidRPr="00E74838">
        <w:rPr>
          <w:rFonts w:eastAsia="Times New Roman" w:cs="Times New Roman"/>
          <w:sz w:val="24"/>
          <w:szCs w:val="24"/>
        </w:rPr>
        <w:t>.</w:t>
      </w:r>
    </w:p>
    <w:p w14:paraId="3BFC1A70" w14:textId="6D12B7DE" w:rsidR="004931BF" w:rsidRPr="00E74838" w:rsidRDefault="004931BF" w:rsidP="0001000B">
      <w:pPr>
        <w:spacing w:after="0" w:line="240" w:lineRule="auto"/>
        <w:rPr>
          <w:rFonts w:eastAsia="Times New Roman" w:cs="Times New Roman"/>
          <w:sz w:val="24"/>
          <w:szCs w:val="24"/>
        </w:rPr>
      </w:pPr>
      <w:r w:rsidRPr="00E74838">
        <w:rPr>
          <w:rFonts w:eastAsia="Times New Roman" w:cs="Times New Roman"/>
          <w:sz w:val="24"/>
          <w:szCs w:val="24"/>
        </w:rPr>
        <w:t xml:space="preserve"> </w:t>
      </w:r>
    </w:p>
    <w:p w14:paraId="410FCF36" w14:textId="227D32D5" w:rsidR="004931BF" w:rsidRPr="00E74838" w:rsidRDefault="004931BF" w:rsidP="0001000B">
      <w:pPr>
        <w:pStyle w:val="ListParagraph"/>
        <w:numPr>
          <w:ilvl w:val="0"/>
          <w:numId w:val="46"/>
        </w:numPr>
        <w:spacing w:after="0" w:line="240" w:lineRule="auto"/>
        <w:rPr>
          <w:rFonts w:asciiTheme="minorHAnsi" w:eastAsia="Times New Roman" w:hAnsiTheme="minorHAnsi" w:cs="Times New Roman"/>
          <w:szCs w:val="24"/>
        </w:rPr>
      </w:pPr>
      <w:r w:rsidRPr="00E74838">
        <w:rPr>
          <w:rFonts w:asciiTheme="minorHAnsi" w:eastAsia="Times New Roman" w:hAnsiTheme="minorHAnsi" w:cs="Times New Roman"/>
          <w:b/>
          <w:szCs w:val="24"/>
        </w:rPr>
        <w:t>D</w:t>
      </w:r>
      <w:r w:rsidR="00823A1D" w:rsidRPr="00E74838">
        <w:rPr>
          <w:rFonts w:asciiTheme="minorHAnsi" w:eastAsia="Times New Roman" w:hAnsiTheme="minorHAnsi" w:cs="Times New Roman"/>
          <w:b/>
          <w:szCs w:val="24"/>
        </w:rPr>
        <w:t>efinition of “high poverty area”</w:t>
      </w:r>
      <w:r w:rsidRPr="00E74838">
        <w:rPr>
          <w:rFonts w:asciiTheme="minorHAnsi" w:eastAsia="Times New Roman" w:hAnsiTheme="minorHAnsi" w:cs="Times New Roman"/>
          <w:szCs w:val="24"/>
        </w:rPr>
        <w:t xml:space="preserve"> –</w:t>
      </w:r>
      <w:r w:rsidR="00823A1D" w:rsidRPr="00E74838">
        <w:rPr>
          <w:rFonts w:asciiTheme="minorHAnsi" w:eastAsia="Times New Roman" w:hAnsiTheme="minorHAnsi" w:cs="Times New Roman"/>
          <w:szCs w:val="24"/>
        </w:rPr>
        <w:t xml:space="preserve"> </w:t>
      </w:r>
      <w:r w:rsidRPr="00E74838">
        <w:rPr>
          <w:rFonts w:asciiTheme="minorHAnsi" w:eastAsia="Times New Roman" w:hAnsiTheme="minorHAnsi" w:cs="Times New Roman"/>
          <w:szCs w:val="24"/>
        </w:rPr>
        <w:t xml:space="preserve">The commenter requested the Departments provide a definition for the term, and asked </w:t>
      </w:r>
      <w:r w:rsidR="00823A1D" w:rsidRPr="00E74838">
        <w:rPr>
          <w:rFonts w:asciiTheme="minorHAnsi" w:eastAsia="Times New Roman" w:hAnsiTheme="minorHAnsi" w:cs="Times New Roman"/>
          <w:szCs w:val="24"/>
        </w:rPr>
        <w:t>whether a Federal “Promise Zone” automatically constitutes a “high poverty area.”</w:t>
      </w:r>
    </w:p>
    <w:p w14:paraId="69122346" w14:textId="3525D467" w:rsidR="00823A1D" w:rsidRPr="00E74838" w:rsidRDefault="002B6B3D" w:rsidP="0001000B">
      <w:pPr>
        <w:pStyle w:val="ListParagraph"/>
        <w:numPr>
          <w:ilvl w:val="0"/>
          <w:numId w:val="46"/>
        </w:numPr>
        <w:spacing w:after="0" w:line="240" w:lineRule="auto"/>
        <w:rPr>
          <w:rFonts w:asciiTheme="minorHAnsi" w:eastAsia="Times New Roman" w:hAnsiTheme="minorHAnsi" w:cs="Times New Roman"/>
          <w:szCs w:val="24"/>
        </w:rPr>
      </w:pPr>
      <w:r w:rsidRPr="00E74838">
        <w:rPr>
          <w:rFonts w:asciiTheme="minorHAnsi" w:eastAsia="Times New Roman" w:hAnsiTheme="minorHAnsi" w:cs="Times New Roman"/>
          <w:b/>
          <w:szCs w:val="24"/>
        </w:rPr>
        <w:t>Cultural barriers at Program Entry</w:t>
      </w:r>
      <w:r w:rsidRPr="00E74838">
        <w:rPr>
          <w:rFonts w:asciiTheme="minorHAnsi" w:eastAsia="Times New Roman" w:hAnsiTheme="minorHAnsi" w:cs="Times New Roman"/>
          <w:szCs w:val="24"/>
        </w:rPr>
        <w:t xml:space="preserve"> </w:t>
      </w:r>
      <w:r w:rsidR="00D42124" w:rsidRPr="00E74838">
        <w:rPr>
          <w:rFonts w:asciiTheme="minorHAnsi" w:eastAsia="Times New Roman" w:hAnsiTheme="minorHAnsi" w:cs="Times New Roman"/>
          <w:szCs w:val="24"/>
        </w:rPr>
        <w:t>–</w:t>
      </w:r>
      <w:r w:rsidRPr="00E74838">
        <w:rPr>
          <w:rFonts w:asciiTheme="minorHAnsi" w:eastAsia="Times New Roman" w:hAnsiTheme="minorHAnsi" w:cs="Times New Roman"/>
          <w:szCs w:val="24"/>
        </w:rPr>
        <w:t xml:space="preserve"> </w:t>
      </w:r>
      <w:r w:rsidR="00D42124" w:rsidRPr="00E74838">
        <w:rPr>
          <w:rFonts w:asciiTheme="minorHAnsi" w:eastAsia="Times New Roman" w:hAnsiTheme="minorHAnsi" w:cs="Times New Roman"/>
          <w:szCs w:val="24"/>
        </w:rPr>
        <w:t xml:space="preserve">The commenter questioned whether “cultural barriers at program entry” is a subset of the “Individual who requires additional assistance to complete an educational program or to secure/hold employment” eligibility criteria.  In addition, the commenter questioned whether the applicant </w:t>
      </w:r>
      <w:r w:rsidR="005509F0">
        <w:rPr>
          <w:rFonts w:asciiTheme="minorHAnsi" w:eastAsia="Times New Roman" w:hAnsiTheme="minorHAnsi" w:cs="Times New Roman"/>
          <w:szCs w:val="24"/>
        </w:rPr>
        <w:t xml:space="preserve">would </w:t>
      </w:r>
      <w:r w:rsidR="00D42124" w:rsidRPr="00E74838">
        <w:rPr>
          <w:rFonts w:asciiTheme="minorHAnsi" w:eastAsia="Times New Roman" w:hAnsiTheme="minorHAnsi" w:cs="Times New Roman"/>
          <w:szCs w:val="24"/>
        </w:rPr>
        <w:t>self-certify to cultural barriers at program entry.</w:t>
      </w:r>
    </w:p>
    <w:p w14:paraId="2DF3ADEF" w14:textId="05337783" w:rsidR="00462394" w:rsidRPr="00E74838" w:rsidRDefault="00983496" w:rsidP="0001000B">
      <w:pPr>
        <w:pStyle w:val="ListParagraph"/>
        <w:numPr>
          <w:ilvl w:val="0"/>
          <w:numId w:val="46"/>
        </w:numPr>
        <w:spacing w:after="0" w:line="240" w:lineRule="auto"/>
        <w:rPr>
          <w:rFonts w:asciiTheme="minorHAnsi" w:eastAsia="Times New Roman" w:hAnsiTheme="minorHAnsi" w:cs="Times New Roman"/>
          <w:szCs w:val="24"/>
        </w:rPr>
      </w:pPr>
      <w:r w:rsidRPr="00E74838">
        <w:rPr>
          <w:rFonts w:asciiTheme="minorHAnsi" w:eastAsia="Times New Roman" w:hAnsiTheme="minorHAnsi" w:cs="Times New Roman"/>
          <w:b/>
          <w:szCs w:val="24"/>
        </w:rPr>
        <w:t>Definition of “homeless youth” –</w:t>
      </w:r>
      <w:r w:rsidRPr="00E74838">
        <w:rPr>
          <w:rFonts w:asciiTheme="minorHAnsi" w:eastAsia="Times New Roman" w:hAnsiTheme="minorHAnsi" w:cs="Times New Roman"/>
          <w:szCs w:val="24"/>
        </w:rPr>
        <w:t xml:space="preserve"> The commenter supported the expansion of the definition of “homeless youth.”  However, the commenter questioned whether service providers must go back and reclassify youth as being homeless under the expanded definition in those situations whe</w:t>
      </w:r>
      <w:r w:rsidR="00462394" w:rsidRPr="00E74838">
        <w:rPr>
          <w:rFonts w:asciiTheme="minorHAnsi" w:eastAsia="Times New Roman" w:hAnsiTheme="minorHAnsi" w:cs="Times New Roman"/>
          <w:szCs w:val="24"/>
        </w:rPr>
        <w:t>n</w:t>
      </w:r>
      <w:r w:rsidRPr="00E74838">
        <w:rPr>
          <w:rFonts w:asciiTheme="minorHAnsi" w:eastAsia="Times New Roman" w:hAnsiTheme="minorHAnsi" w:cs="Times New Roman"/>
          <w:szCs w:val="24"/>
        </w:rPr>
        <w:t xml:space="preserve"> the youth did not meet the prior definition of “homeless.”</w:t>
      </w:r>
    </w:p>
    <w:p w14:paraId="00962409" w14:textId="66223872" w:rsidR="00462394" w:rsidRPr="00E74838" w:rsidRDefault="00462394" w:rsidP="0001000B">
      <w:pPr>
        <w:pStyle w:val="ListParagraph"/>
        <w:numPr>
          <w:ilvl w:val="0"/>
          <w:numId w:val="41"/>
        </w:numPr>
        <w:spacing w:after="0" w:line="240" w:lineRule="auto"/>
        <w:rPr>
          <w:rFonts w:asciiTheme="minorHAnsi" w:eastAsia="Times New Roman" w:hAnsiTheme="minorHAnsi" w:cs="Times New Roman"/>
          <w:szCs w:val="24"/>
        </w:rPr>
      </w:pPr>
      <w:r w:rsidRPr="00E74838">
        <w:rPr>
          <w:rFonts w:asciiTheme="minorHAnsi" w:eastAsia="Times New Roman" w:hAnsiTheme="minorHAnsi" w:cs="Times New Roman"/>
          <w:b/>
          <w:szCs w:val="24"/>
        </w:rPr>
        <w:t xml:space="preserve">Incarcerated youth </w:t>
      </w:r>
      <w:r w:rsidR="00BD36AF" w:rsidRPr="00E74838">
        <w:rPr>
          <w:rFonts w:asciiTheme="minorHAnsi" w:eastAsia="Times New Roman" w:hAnsiTheme="minorHAnsi" w:cs="Times New Roman"/>
          <w:b/>
          <w:szCs w:val="24"/>
        </w:rPr>
        <w:t>–</w:t>
      </w:r>
      <w:r w:rsidRPr="00E74838">
        <w:rPr>
          <w:rFonts w:asciiTheme="minorHAnsi" w:eastAsia="Times New Roman" w:hAnsiTheme="minorHAnsi" w:cs="Times New Roman"/>
          <w:szCs w:val="24"/>
        </w:rPr>
        <w:t xml:space="preserve"> </w:t>
      </w:r>
      <w:r w:rsidR="00BD36AF" w:rsidRPr="00E74838">
        <w:rPr>
          <w:rFonts w:asciiTheme="minorHAnsi" w:eastAsia="Times New Roman" w:hAnsiTheme="minorHAnsi" w:cs="Times New Roman"/>
          <w:szCs w:val="24"/>
        </w:rPr>
        <w:t>The commenter questioned whether incarcerated youth would be excluded from all performance measures under WIOA, as they were under WIA.  However, the commenter noted that it appears as though incarcerated youth would fall within the scope of the measurable skill gain indicator.  The commenter sought clarification on which, if any, of the performance indicators are applicable to incarcerated youth.</w:t>
      </w:r>
    </w:p>
    <w:p w14:paraId="7154D093" w14:textId="786464CA" w:rsidR="00983496" w:rsidRPr="00E74838" w:rsidRDefault="00983496" w:rsidP="0001000B">
      <w:pPr>
        <w:spacing w:after="0" w:line="240" w:lineRule="auto"/>
        <w:rPr>
          <w:rFonts w:eastAsia="Times New Roman" w:cs="Times New Roman"/>
          <w:sz w:val="24"/>
          <w:szCs w:val="24"/>
        </w:rPr>
      </w:pPr>
      <w:r w:rsidRPr="00E74838">
        <w:rPr>
          <w:rFonts w:eastAsia="Times New Roman" w:cs="Times New Roman"/>
          <w:sz w:val="24"/>
          <w:szCs w:val="24"/>
        </w:rPr>
        <w:t xml:space="preserve"> </w:t>
      </w:r>
    </w:p>
    <w:p w14:paraId="5E4D5898" w14:textId="13069BDC" w:rsidR="00823A1D" w:rsidRPr="00E74838" w:rsidRDefault="004B4E97" w:rsidP="0001000B">
      <w:pPr>
        <w:spacing w:after="0" w:line="240" w:lineRule="auto"/>
        <w:rPr>
          <w:rFonts w:cs="Times New Roman"/>
          <w:sz w:val="24"/>
          <w:szCs w:val="24"/>
        </w:rPr>
      </w:pPr>
      <w:r w:rsidRPr="00E74838">
        <w:rPr>
          <w:rFonts w:eastAsia="Arial" w:cs="Times New Roman"/>
          <w:b/>
          <w:sz w:val="24"/>
          <w:szCs w:val="24"/>
        </w:rPr>
        <w:t xml:space="preserve">Agencies’ Response, June 2016: </w:t>
      </w:r>
      <w:r w:rsidR="00823A1D" w:rsidRPr="00E74838">
        <w:rPr>
          <w:rFonts w:eastAsia="Arial" w:cs="Times New Roman"/>
          <w:sz w:val="24"/>
          <w:szCs w:val="24"/>
        </w:rPr>
        <w:t xml:space="preserve"> The definition of “high poverty area” is beyond the scope of the Joint Performance ICR; however, 20 CFR </w:t>
      </w:r>
      <w:r w:rsidR="00D719EA" w:rsidRPr="00E74838">
        <w:rPr>
          <w:rFonts w:cs="Times New Roman"/>
          <w:sz w:val="24"/>
          <w:szCs w:val="24"/>
        </w:rPr>
        <w:t>681.260 of the</w:t>
      </w:r>
      <w:r w:rsidR="003031F2" w:rsidRPr="00E74838">
        <w:rPr>
          <w:rFonts w:cs="Times New Roman"/>
          <w:sz w:val="24"/>
          <w:szCs w:val="24"/>
        </w:rPr>
        <w:t xml:space="preserve"> </w:t>
      </w:r>
      <w:r w:rsidR="00823A1D" w:rsidRPr="00E74838">
        <w:rPr>
          <w:rFonts w:cs="Times New Roman"/>
          <w:sz w:val="24"/>
          <w:szCs w:val="24"/>
        </w:rPr>
        <w:t>DOL-only F</w:t>
      </w:r>
      <w:r w:rsidR="003031F2" w:rsidRPr="00E74838">
        <w:rPr>
          <w:rFonts w:cs="Times New Roman"/>
          <w:sz w:val="24"/>
          <w:szCs w:val="24"/>
        </w:rPr>
        <w:t xml:space="preserve">inal </w:t>
      </w:r>
      <w:r w:rsidR="00823A1D" w:rsidRPr="00E74838">
        <w:rPr>
          <w:rFonts w:cs="Times New Roman"/>
          <w:sz w:val="24"/>
          <w:szCs w:val="24"/>
        </w:rPr>
        <w:t>R</w:t>
      </w:r>
      <w:r w:rsidR="003031F2" w:rsidRPr="00E74838">
        <w:rPr>
          <w:rFonts w:cs="Times New Roman"/>
          <w:sz w:val="24"/>
          <w:szCs w:val="24"/>
        </w:rPr>
        <w:t xml:space="preserve">ule </w:t>
      </w:r>
      <w:r w:rsidR="00D719EA" w:rsidRPr="00E74838">
        <w:rPr>
          <w:rFonts w:cs="Times New Roman"/>
          <w:sz w:val="24"/>
          <w:szCs w:val="24"/>
        </w:rPr>
        <w:t xml:space="preserve">implementing </w:t>
      </w:r>
      <w:r w:rsidR="00635273" w:rsidRPr="00E74838">
        <w:rPr>
          <w:rFonts w:cs="Times New Roman"/>
          <w:sz w:val="24"/>
          <w:szCs w:val="24"/>
        </w:rPr>
        <w:t>t</w:t>
      </w:r>
      <w:r w:rsidR="00D719EA" w:rsidRPr="00E74838">
        <w:rPr>
          <w:rFonts w:cs="Times New Roman"/>
          <w:sz w:val="24"/>
          <w:szCs w:val="24"/>
        </w:rPr>
        <w:t xml:space="preserve">itles I and III of WIOA </w:t>
      </w:r>
      <w:r w:rsidR="003031F2" w:rsidRPr="00E74838">
        <w:rPr>
          <w:rFonts w:cs="Times New Roman"/>
          <w:sz w:val="24"/>
          <w:szCs w:val="24"/>
        </w:rPr>
        <w:t>will include a definition of a high poverty area.</w:t>
      </w:r>
      <w:r w:rsidR="001F71FA" w:rsidRPr="00E74838">
        <w:rPr>
          <w:rFonts w:cs="Times New Roman"/>
          <w:sz w:val="24"/>
          <w:szCs w:val="24"/>
        </w:rPr>
        <w:t xml:space="preserve">  </w:t>
      </w:r>
    </w:p>
    <w:p w14:paraId="416DC52E" w14:textId="77777777" w:rsidR="00823A1D" w:rsidRPr="00E74838" w:rsidRDefault="00823A1D" w:rsidP="0001000B">
      <w:pPr>
        <w:spacing w:after="0" w:line="240" w:lineRule="auto"/>
        <w:rPr>
          <w:rFonts w:cs="Times New Roman"/>
          <w:sz w:val="24"/>
          <w:szCs w:val="24"/>
        </w:rPr>
      </w:pPr>
    </w:p>
    <w:p w14:paraId="69EB3ECB" w14:textId="6E3A7A94" w:rsidR="00983496" w:rsidRPr="00E74838" w:rsidRDefault="00983496" w:rsidP="0001000B">
      <w:pPr>
        <w:spacing w:after="0" w:line="240" w:lineRule="auto"/>
        <w:rPr>
          <w:rFonts w:eastAsia="Times New Roman" w:cs="Times New Roman"/>
          <w:sz w:val="24"/>
          <w:szCs w:val="24"/>
        </w:rPr>
      </w:pPr>
      <w:r w:rsidRPr="00E74838">
        <w:rPr>
          <w:rFonts w:eastAsia="Times New Roman" w:cs="Times New Roman"/>
          <w:sz w:val="24"/>
          <w:szCs w:val="24"/>
        </w:rPr>
        <w:t xml:space="preserve">“Cultural barrier” is a separate data element and is not tied to eligibility criteria for the title I Youth program.  Yes, participants will be able to self-identify for purposes of this data element.  </w:t>
      </w:r>
    </w:p>
    <w:p w14:paraId="7C004E85" w14:textId="77777777" w:rsidR="005E48FB" w:rsidRPr="00E74838" w:rsidRDefault="005E48FB" w:rsidP="0001000B">
      <w:pPr>
        <w:spacing w:after="0" w:line="240" w:lineRule="auto"/>
        <w:rPr>
          <w:rFonts w:cs="Times New Roman"/>
          <w:sz w:val="24"/>
          <w:szCs w:val="24"/>
        </w:rPr>
      </w:pPr>
    </w:p>
    <w:p w14:paraId="047D877C" w14:textId="77777777" w:rsidR="00BD36AF" w:rsidRPr="00E74838" w:rsidRDefault="005E48FB" w:rsidP="0001000B">
      <w:pPr>
        <w:spacing w:after="0" w:line="240" w:lineRule="auto"/>
        <w:rPr>
          <w:rFonts w:cs="Times New Roman"/>
          <w:sz w:val="24"/>
          <w:szCs w:val="24"/>
        </w:rPr>
      </w:pPr>
      <w:r w:rsidRPr="00E74838">
        <w:rPr>
          <w:rFonts w:cs="Times New Roman"/>
          <w:sz w:val="24"/>
          <w:szCs w:val="24"/>
        </w:rPr>
        <w:t>Local service providers are not required to go back and reclassify youth</w:t>
      </w:r>
      <w:r w:rsidR="00BD36AF" w:rsidRPr="00E74838">
        <w:rPr>
          <w:rFonts w:cs="Times New Roman"/>
          <w:sz w:val="24"/>
          <w:szCs w:val="24"/>
        </w:rPr>
        <w:t xml:space="preserve"> who now satisfy the expanded definition of a “homeless youth.”</w:t>
      </w:r>
    </w:p>
    <w:p w14:paraId="06D82850" w14:textId="77777777" w:rsidR="00BD36AF" w:rsidRPr="00622A65" w:rsidRDefault="00BD36AF" w:rsidP="0001000B">
      <w:pPr>
        <w:spacing w:after="0" w:line="240" w:lineRule="auto"/>
        <w:rPr>
          <w:rFonts w:cs="Times New Roman"/>
          <w:sz w:val="24"/>
          <w:szCs w:val="24"/>
        </w:rPr>
      </w:pPr>
    </w:p>
    <w:p w14:paraId="6C16EDEC" w14:textId="56EA28BB" w:rsidR="00622A65" w:rsidRPr="00622A65" w:rsidRDefault="00622A65" w:rsidP="0001000B">
      <w:pPr>
        <w:spacing w:line="240" w:lineRule="auto"/>
        <w:rPr>
          <w:rFonts w:ascii="Calibri" w:eastAsia="Times New Roman" w:hAnsi="Calibri"/>
          <w:sz w:val="24"/>
        </w:rPr>
      </w:pPr>
      <w:r w:rsidRPr="00622A65">
        <w:rPr>
          <w:rFonts w:ascii="Calibri" w:eastAsia="Times New Roman" w:hAnsi="Calibri"/>
          <w:bCs/>
          <w:sz w:val="24"/>
        </w:rPr>
        <w:t>WIOA Youth program participants in programs that serve incarcerated individuals under section 225 of WIOA would be included in calculations for the measurable skill gains indicator, but would not be included in calculations for any of the other performance indicators.</w:t>
      </w:r>
    </w:p>
    <w:p w14:paraId="34E51C45" w14:textId="1205856E" w:rsidR="003031F2" w:rsidRPr="00E74838" w:rsidRDefault="001F71FA" w:rsidP="0001000B">
      <w:pPr>
        <w:spacing w:after="0" w:line="240" w:lineRule="auto"/>
        <w:rPr>
          <w:rFonts w:cs="Times New Roman"/>
          <w:sz w:val="24"/>
          <w:szCs w:val="24"/>
        </w:rPr>
      </w:pPr>
      <w:r w:rsidRPr="00E74838">
        <w:rPr>
          <w:rFonts w:eastAsia="Times New Roman" w:cs="Times New Roman"/>
          <w:sz w:val="24"/>
          <w:szCs w:val="24"/>
        </w:rPr>
        <w:t xml:space="preserve">No change has been made in response to </w:t>
      </w:r>
      <w:r w:rsidR="00823A1D" w:rsidRPr="00E74838">
        <w:rPr>
          <w:rFonts w:eastAsia="Times New Roman" w:cs="Times New Roman"/>
          <w:sz w:val="24"/>
          <w:szCs w:val="24"/>
        </w:rPr>
        <w:t>these comments</w:t>
      </w:r>
      <w:r w:rsidRPr="00E74838">
        <w:rPr>
          <w:rFonts w:eastAsia="Times New Roman" w:cs="Times New Roman"/>
          <w:sz w:val="24"/>
          <w:szCs w:val="24"/>
        </w:rPr>
        <w:t>.</w:t>
      </w:r>
    </w:p>
    <w:p w14:paraId="4AE39C4B" w14:textId="77777777" w:rsidR="003031F2" w:rsidRPr="00E74838" w:rsidRDefault="003031F2" w:rsidP="0001000B">
      <w:pPr>
        <w:spacing w:after="0" w:line="240" w:lineRule="auto"/>
        <w:rPr>
          <w:rFonts w:cs="Times New Roman"/>
          <w:sz w:val="24"/>
          <w:szCs w:val="24"/>
        </w:rPr>
      </w:pPr>
    </w:p>
    <w:p w14:paraId="0F05BBCE" w14:textId="77777777" w:rsidR="00820D61" w:rsidRDefault="00820D61" w:rsidP="0001000B">
      <w:pPr>
        <w:suppressLineNumbers/>
        <w:spacing w:after="0" w:line="240" w:lineRule="auto"/>
        <w:rPr>
          <w:rFonts w:cs="Times New Roman"/>
          <w:b/>
          <w:bCs/>
          <w:sz w:val="24"/>
          <w:szCs w:val="24"/>
          <w:u w:val="single"/>
        </w:rPr>
      </w:pPr>
    </w:p>
    <w:p w14:paraId="6A0291A5" w14:textId="77777777" w:rsidR="00820D61" w:rsidRDefault="00820D61" w:rsidP="0001000B">
      <w:pPr>
        <w:suppressLineNumbers/>
        <w:spacing w:after="0" w:line="240" w:lineRule="auto"/>
        <w:rPr>
          <w:rFonts w:cs="Times New Roman"/>
          <w:b/>
          <w:bCs/>
          <w:sz w:val="24"/>
          <w:szCs w:val="24"/>
          <w:u w:val="single"/>
        </w:rPr>
      </w:pPr>
    </w:p>
    <w:p w14:paraId="7F9A4F8A" w14:textId="77777777" w:rsidR="00820D61" w:rsidRDefault="00820D61" w:rsidP="0001000B">
      <w:pPr>
        <w:suppressLineNumbers/>
        <w:spacing w:after="0" w:line="240" w:lineRule="auto"/>
        <w:rPr>
          <w:rFonts w:cs="Times New Roman"/>
          <w:b/>
          <w:bCs/>
          <w:sz w:val="24"/>
          <w:szCs w:val="24"/>
          <w:u w:val="single"/>
        </w:rPr>
      </w:pPr>
    </w:p>
    <w:p w14:paraId="2D53EBD5" w14:textId="0644A48A" w:rsidR="00EB7DD4" w:rsidRPr="00E74838" w:rsidRDefault="0084332D" w:rsidP="0001000B">
      <w:pPr>
        <w:suppressLineNumbers/>
        <w:spacing w:after="0" w:line="240" w:lineRule="auto"/>
        <w:rPr>
          <w:rFonts w:cs="Times New Roman"/>
          <w:sz w:val="24"/>
          <w:szCs w:val="24"/>
        </w:rPr>
      </w:pPr>
      <w:r w:rsidRPr="00E74838">
        <w:rPr>
          <w:rFonts w:cs="Times New Roman"/>
          <w:b/>
          <w:bCs/>
          <w:sz w:val="24"/>
          <w:szCs w:val="24"/>
          <w:u w:val="single"/>
        </w:rPr>
        <w:lastRenderedPageBreak/>
        <w:t>DOL-Only -- INA</w:t>
      </w:r>
      <w:r w:rsidR="00EB7DD4" w:rsidRPr="00E74838">
        <w:rPr>
          <w:rFonts w:cs="Times New Roman"/>
          <w:b/>
          <w:bCs/>
          <w:sz w:val="24"/>
          <w:szCs w:val="24"/>
          <w:u w:val="single"/>
        </w:rPr>
        <w:t xml:space="preserve"> -- </w:t>
      </w:r>
      <w:r w:rsidRPr="00E74838">
        <w:rPr>
          <w:rFonts w:cs="Times New Roman"/>
          <w:b/>
          <w:bCs/>
          <w:sz w:val="24"/>
          <w:szCs w:val="24"/>
          <w:u w:val="single"/>
        </w:rPr>
        <w:t>Miscellaneous</w:t>
      </w:r>
      <w:r w:rsidR="00B854BC" w:rsidRPr="00E74838">
        <w:rPr>
          <w:rFonts w:cs="Times New Roman"/>
          <w:b/>
          <w:bCs/>
          <w:sz w:val="24"/>
          <w:szCs w:val="24"/>
        </w:rPr>
        <w:t xml:space="preserve">: </w:t>
      </w:r>
      <w:r w:rsidR="003031F2" w:rsidRPr="00E74838">
        <w:rPr>
          <w:rFonts w:cs="Times New Roman"/>
          <w:sz w:val="24"/>
          <w:szCs w:val="24"/>
        </w:rPr>
        <w:t xml:space="preserve"> </w:t>
      </w:r>
    </w:p>
    <w:p w14:paraId="32BBA065" w14:textId="77777777" w:rsidR="001A232E" w:rsidRPr="00E74838" w:rsidRDefault="001A232E" w:rsidP="0001000B">
      <w:pPr>
        <w:suppressLineNumbers/>
        <w:spacing w:after="0" w:line="240" w:lineRule="auto"/>
        <w:rPr>
          <w:rFonts w:cs="Times New Roman"/>
          <w:sz w:val="24"/>
          <w:szCs w:val="24"/>
        </w:rPr>
      </w:pPr>
    </w:p>
    <w:p w14:paraId="2A390DDC" w14:textId="0AB4295D" w:rsidR="0084332D" w:rsidRPr="00E74838" w:rsidRDefault="00EB7DD4" w:rsidP="0001000B">
      <w:pPr>
        <w:suppressLineNumbers/>
        <w:spacing w:after="0" w:line="240" w:lineRule="auto"/>
        <w:rPr>
          <w:rFonts w:cs="Times New Roman"/>
          <w:sz w:val="24"/>
          <w:szCs w:val="24"/>
        </w:rPr>
      </w:pPr>
      <w:r w:rsidRPr="00820D61">
        <w:rPr>
          <w:rFonts w:cs="Times New Roman"/>
          <w:sz w:val="24"/>
          <w:szCs w:val="24"/>
        </w:rPr>
        <w:t>A</w:t>
      </w:r>
      <w:r w:rsidRPr="00E74838">
        <w:rPr>
          <w:rFonts w:cs="Times New Roman"/>
          <w:sz w:val="24"/>
          <w:szCs w:val="24"/>
        </w:rPr>
        <w:t xml:space="preserve"> commenter </w:t>
      </w:r>
      <w:r w:rsidR="0084332D" w:rsidRPr="00E74838">
        <w:rPr>
          <w:rFonts w:cs="Times New Roman"/>
          <w:sz w:val="24"/>
          <w:szCs w:val="24"/>
        </w:rPr>
        <w:t xml:space="preserve">expressed concerns and </w:t>
      </w:r>
      <w:r w:rsidRPr="00E74838">
        <w:rPr>
          <w:rFonts w:cs="Times New Roman"/>
          <w:sz w:val="24"/>
          <w:szCs w:val="24"/>
        </w:rPr>
        <w:t>sought clarif</w:t>
      </w:r>
      <w:r w:rsidR="00FD6FE4" w:rsidRPr="00E74838">
        <w:rPr>
          <w:rFonts w:cs="Times New Roman"/>
          <w:sz w:val="24"/>
          <w:szCs w:val="24"/>
        </w:rPr>
        <w:t>i</w:t>
      </w:r>
      <w:r w:rsidRPr="00E74838">
        <w:rPr>
          <w:rFonts w:cs="Times New Roman"/>
          <w:sz w:val="24"/>
          <w:szCs w:val="24"/>
        </w:rPr>
        <w:t xml:space="preserve">cation regarding </w:t>
      </w:r>
      <w:r w:rsidR="0084332D" w:rsidRPr="00E74838">
        <w:rPr>
          <w:rFonts w:cs="Times New Roman"/>
          <w:sz w:val="24"/>
          <w:szCs w:val="24"/>
        </w:rPr>
        <w:t>various issues related to the INA program.</w:t>
      </w:r>
    </w:p>
    <w:p w14:paraId="3242FDB5" w14:textId="77777777" w:rsidR="00855F33" w:rsidRPr="00E74838" w:rsidRDefault="00855F33" w:rsidP="0001000B">
      <w:pPr>
        <w:suppressLineNumbers/>
        <w:spacing w:after="0" w:line="240" w:lineRule="auto"/>
        <w:rPr>
          <w:rFonts w:cs="Times New Roman"/>
          <w:sz w:val="24"/>
          <w:szCs w:val="24"/>
        </w:rPr>
      </w:pPr>
    </w:p>
    <w:p w14:paraId="13B9A59C" w14:textId="77777777" w:rsidR="0084332D" w:rsidRDefault="0084332D" w:rsidP="0001000B">
      <w:pPr>
        <w:pStyle w:val="ListParagraph"/>
        <w:numPr>
          <w:ilvl w:val="0"/>
          <w:numId w:val="47"/>
        </w:numPr>
        <w:suppressLineNumbers/>
        <w:spacing w:after="0" w:line="240" w:lineRule="auto"/>
        <w:rPr>
          <w:rFonts w:asciiTheme="minorHAnsi" w:hAnsiTheme="minorHAnsi" w:cs="Times New Roman"/>
          <w:szCs w:val="24"/>
        </w:rPr>
      </w:pPr>
      <w:r w:rsidRPr="00E74838">
        <w:rPr>
          <w:rFonts w:asciiTheme="minorHAnsi" w:hAnsiTheme="minorHAnsi" w:cs="Times New Roman"/>
          <w:szCs w:val="24"/>
        </w:rPr>
        <w:t xml:space="preserve">The commenter asked </w:t>
      </w:r>
      <w:r w:rsidR="003031F2" w:rsidRPr="00E74838">
        <w:rPr>
          <w:rFonts w:asciiTheme="minorHAnsi" w:hAnsiTheme="minorHAnsi" w:cs="Times New Roman"/>
          <w:szCs w:val="24"/>
        </w:rPr>
        <w:t xml:space="preserve">which </w:t>
      </w:r>
      <w:r w:rsidRPr="00E74838">
        <w:rPr>
          <w:rFonts w:asciiTheme="minorHAnsi" w:hAnsiTheme="minorHAnsi" w:cs="Times New Roman"/>
          <w:szCs w:val="24"/>
        </w:rPr>
        <w:t>r</w:t>
      </w:r>
      <w:r w:rsidR="003031F2" w:rsidRPr="00E74838">
        <w:rPr>
          <w:rFonts w:asciiTheme="minorHAnsi" w:hAnsiTheme="minorHAnsi" w:cs="Times New Roman"/>
          <w:szCs w:val="24"/>
        </w:rPr>
        <w:t>eports will replace the ETA 9085</w:t>
      </w:r>
      <w:r w:rsidRPr="00E74838">
        <w:rPr>
          <w:rFonts w:asciiTheme="minorHAnsi" w:hAnsiTheme="minorHAnsi" w:cs="Times New Roman"/>
          <w:szCs w:val="24"/>
        </w:rPr>
        <w:t>;</w:t>
      </w:r>
    </w:p>
    <w:p w14:paraId="37706806" w14:textId="77777777" w:rsidR="005509F0" w:rsidRPr="00E74838" w:rsidRDefault="005509F0" w:rsidP="0001000B">
      <w:pPr>
        <w:pStyle w:val="ListParagraph"/>
        <w:suppressLineNumbers/>
        <w:spacing w:after="0" w:line="240" w:lineRule="auto"/>
        <w:rPr>
          <w:rFonts w:asciiTheme="minorHAnsi" w:hAnsiTheme="minorHAnsi" w:cs="Times New Roman"/>
          <w:szCs w:val="24"/>
        </w:rPr>
      </w:pPr>
    </w:p>
    <w:p w14:paraId="4507F90E" w14:textId="77777777" w:rsidR="0084332D" w:rsidRDefault="0084332D" w:rsidP="0001000B">
      <w:pPr>
        <w:pStyle w:val="ListParagraph"/>
        <w:numPr>
          <w:ilvl w:val="0"/>
          <w:numId w:val="47"/>
        </w:numPr>
        <w:suppressLineNumbers/>
        <w:spacing w:after="0" w:line="240" w:lineRule="auto"/>
        <w:rPr>
          <w:rFonts w:asciiTheme="minorHAnsi" w:hAnsiTheme="minorHAnsi" w:cs="Times New Roman"/>
          <w:szCs w:val="24"/>
        </w:rPr>
      </w:pPr>
      <w:r w:rsidRPr="00E74838">
        <w:rPr>
          <w:rFonts w:asciiTheme="minorHAnsi" w:hAnsiTheme="minorHAnsi" w:cs="Times New Roman"/>
          <w:szCs w:val="24"/>
        </w:rPr>
        <w:t>The Department’s analysis for the tribal youth program (Appendix A, pg. 73) indicates a majority of the data elements proposed in this ICR are currently being collected by the INA program.  In reviewing the new ICR and comparing it to the current INA tribal youth reporting system, less than 25% of the (20/85) data elements proposed in the ICR PIRL are being collected for youth.  Additionally, proposed changes will require individual reporting.  This is new to the youth program and will require significant changes in data reporting and will be costly to implement.  Therefore, the commenter requests additional funds to ensure compliance by the Youth programs.</w:t>
      </w:r>
    </w:p>
    <w:p w14:paraId="6E536CAB" w14:textId="77777777" w:rsidR="005509F0" w:rsidRPr="005509F0" w:rsidRDefault="005509F0" w:rsidP="0001000B">
      <w:pPr>
        <w:suppressLineNumbers/>
        <w:spacing w:after="0" w:line="240" w:lineRule="auto"/>
        <w:rPr>
          <w:rFonts w:cs="Times New Roman"/>
          <w:szCs w:val="24"/>
        </w:rPr>
      </w:pPr>
    </w:p>
    <w:p w14:paraId="0126EBB4" w14:textId="77777777" w:rsidR="0013684F" w:rsidRPr="00E74838" w:rsidRDefault="0013684F" w:rsidP="0001000B">
      <w:pPr>
        <w:pStyle w:val="ListParagraph"/>
        <w:numPr>
          <w:ilvl w:val="0"/>
          <w:numId w:val="47"/>
        </w:numPr>
        <w:suppressLineNumbers/>
        <w:spacing w:after="0" w:line="240" w:lineRule="auto"/>
        <w:rPr>
          <w:rFonts w:asciiTheme="minorHAnsi" w:hAnsiTheme="minorHAnsi" w:cs="Times New Roman"/>
          <w:szCs w:val="24"/>
        </w:rPr>
      </w:pPr>
      <w:r w:rsidRPr="00E74838">
        <w:rPr>
          <w:rFonts w:asciiTheme="minorHAnsi" w:hAnsiTheme="minorHAnsi" w:cs="Times New Roman"/>
          <w:szCs w:val="24"/>
        </w:rPr>
        <w:t>Request clarification and purpose for the collection of 10 additional miscellaneous data elements in Section E.08 for INA. This appears to be an error.</w:t>
      </w:r>
    </w:p>
    <w:p w14:paraId="3C3216F7" w14:textId="77777777" w:rsidR="00005B6D" w:rsidRPr="00E74838" w:rsidRDefault="00005B6D" w:rsidP="0001000B">
      <w:pPr>
        <w:suppressLineNumbers/>
        <w:spacing w:after="0" w:line="240" w:lineRule="auto"/>
        <w:rPr>
          <w:rFonts w:cs="Times New Roman"/>
          <w:sz w:val="24"/>
          <w:szCs w:val="24"/>
        </w:rPr>
      </w:pPr>
    </w:p>
    <w:p w14:paraId="4F0BC4C5" w14:textId="77777777" w:rsidR="00855F33" w:rsidRPr="00E74838" w:rsidRDefault="004548E1" w:rsidP="0001000B">
      <w:pPr>
        <w:suppressLineNumbers/>
        <w:spacing w:after="0" w:line="240" w:lineRule="auto"/>
        <w:rPr>
          <w:rFonts w:cs="Times New Roman"/>
          <w:sz w:val="24"/>
          <w:szCs w:val="24"/>
        </w:rPr>
      </w:pPr>
      <w:r w:rsidRPr="00E74838">
        <w:rPr>
          <w:rFonts w:cs="Times New Roman"/>
          <w:sz w:val="24"/>
          <w:szCs w:val="24"/>
        </w:rPr>
        <w:t>Levels of performance targets are a concern since there is limited, in some cases, no statistical data available that capture economic circumstances for American Indians and various tribal areas. Furthermore, the Bureau of Labor Statistics lacks data specific to our unique and special population.</w:t>
      </w:r>
      <w:r w:rsidR="00A93AE3" w:rsidRPr="00E74838">
        <w:rPr>
          <w:rFonts w:cs="Times New Roman"/>
          <w:sz w:val="24"/>
          <w:szCs w:val="24"/>
        </w:rPr>
        <w:t xml:space="preserve">  It is the commenter’s hope there will be meaningful dialogue and strategic planning in setting INA levels of performance in accordance with the goals and intent of WIOA Section 166.</w:t>
      </w:r>
    </w:p>
    <w:p w14:paraId="6BB28BEE" w14:textId="1188A65E" w:rsidR="00A93AE3" w:rsidRPr="00E74838" w:rsidRDefault="00A93AE3" w:rsidP="0001000B">
      <w:pPr>
        <w:suppressLineNumbers/>
        <w:spacing w:after="0" w:line="240" w:lineRule="auto"/>
        <w:rPr>
          <w:rFonts w:cs="Times New Roman"/>
          <w:sz w:val="24"/>
          <w:szCs w:val="24"/>
        </w:rPr>
      </w:pPr>
      <w:r w:rsidRPr="00E74838">
        <w:rPr>
          <w:rFonts w:cs="Times New Roman"/>
          <w:sz w:val="24"/>
          <w:szCs w:val="24"/>
        </w:rPr>
        <w:t xml:space="preserve"> </w:t>
      </w:r>
    </w:p>
    <w:p w14:paraId="16DD3698" w14:textId="347A194F" w:rsidR="00D176E2" w:rsidRPr="00E74838" w:rsidRDefault="00D176E2" w:rsidP="0001000B">
      <w:pPr>
        <w:pStyle w:val="ListParagraph"/>
        <w:numPr>
          <w:ilvl w:val="0"/>
          <w:numId w:val="41"/>
        </w:numPr>
        <w:suppressLineNumbers/>
        <w:spacing w:after="0" w:line="240" w:lineRule="auto"/>
        <w:rPr>
          <w:rFonts w:asciiTheme="minorHAnsi" w:hAnsiTheme="minorHAnsi" w:cs="Times New Roman"/>
          <w:szCs w:val="24"/>
        </w:rPr>
      </w:pPr>
      <w:r w:rsidRPr="00E74838">
        <w:rPr>
          <w:rFonts w:asciiTheme="minorHAnsi" w:hAnsiTheme="minorHAnsi" w:cs="Times New Roman"/>
          <w:szCs w:val="24"/>
        </w:rPr>
        <w:t xml:space="preserve">The commenter looks forward to working with the Department in consultation with NAETC and its expert workgroup members in addressing mutual commitments </w:t>
      </w:r>
    </w:p>
    <w:p w14:paraId="011B62C6" w14:textId="509AC4AD" w:rsidR="001F71FA" w:rsidRPr="00E74838" w:rsidRDefault="001F71FA" w:rsidP="0001000B">
      <w:pPr>
        <w:pStyle w:val="ListParagraph"/>
        <w:suppressLineNumbers/>
        <w:spacing w:after="0" w:line="240" w:lineRule="auto"/>
        <w:rPr>
          <w:rFonts w:asciiTheme="minorHAnsi" w:hAnsiTheme="minorHAnsi" w:cs="Times New Roman"/>
          <w:szCs w:val="24"/>
        </w:rPr>
      </w:pPr>
      <w:r w:rsidRPr="00E74838">
        <w:rPr>
          <w:rFonts w:asciiTheme="minorHAnsi" w:hAnsiTheme="minorHAnsi" w:cs="Times New Roman"/>
          <w:szCs w:val="24"/>
        </w:rPr>
        <w:t> </w:t>
      </w:r>
    </w:p>
    <w:p w14:paraId="568E26D3" w14:textId="2B57F228" w:rsidR="003031F2" w:rsidRPr="00E74838" w:rsidRDefault="00B854BC" w:rsidP="0001000B">
      <w:pPr>
        <w:spacing w:after="0" w:line="240" w:lineRule="auto"/>
        <w:rPr>
          <w:rFonts w:cs="Times New Roman"/>
          <w:sz w:val="24"/>
          <w:szCs w:val="24"/>
        </w:rPr>
      </w:pPr>
      <w:r w:rsidRPr="00E74838">
        <w:rPr>
          <w:rFonts w:eastAsia="Arial" w:cs="Times New Roman"/>
          <w:b/>
          <w:sz w:val="24"/>
          <w:szCs w:val="24"/>
        </w:rPr>
        <w:t>Agencies’ Response, June 2016:</w:t>
      </w:r>
      <w:r w:rsidR="001F71FA" w:rsidRPr="00E74838">
        <w:rPr>
          <w:rFonts w:eastAsia="Arial" w:cs="Times New Roman"/>
          <w:b/>
          <w:sz w:val="24"/>
          <w:szCs w:val="24"/>
        </w:rPr>
        <w:t xml:space="preserve">  </w:t>
      </w:r>
      <w:r w:rsidR="003031F2" w:rsidRPr="00E74838">
        <w:rPr>
          <w:rFonts w:cs="Times New Roman"/>
          <w:sz w:val="24"/>
          <w:szCs w:val="24"/>
        </w:rPr>
        <w:t>The Department</w:t>
      </w:r>
      <w:r w:rsidRPr="00E74838">
        <w:rPr>
          <w:rFonts w:cs="Times New Roman"/>
          <w:sz w:val="24"/>
          <w:szCs w:val="24"/>
        </w:rPr>
        <w:t xml:space="preserve"> of Labor</w:t>
      </w:r>
      <w:r w:rsidR="003031F2" w:rsidRPr="00E74838">
        <w:rPr>
          <w:rFonts w:cs="Times New Roman"/>
          <w:sz w:val="24"/>
          <w:szCs w:val="24"/>
        </w:rPr>
        <w:t xml:space="preserve"> will be using the ETA-9173 report as a general “roll-up” report for all ETA programs.  However, the Department will have the ability to generate reports specific to the </w:t>
      </w:r>
      <w:r w:rsidR="00CD243A" w:rsidRPr="00E74838">
        <w:rPr>
          <w:rFonts w:cs="Times New Roman"/>
          <w:sz w:val="24"/>
          <w:szCs w:val="24"/>
        </w:rPr>
        <w:t>INA</w:t>
      </w:r>
      <w:r w:rsidR="003031F2" w:rsidRPr="00E74838">
        <w:rPr>
          <w:rFonts w:cs="Times New Roman"/>
          <w:sz w:val="24"/>
          <w:szCs w:val="24"/>
        </w:rPr>
        <w:t xml:space="preserve"> program and also generate reports using various data elements in the PIRL that are being collected by the INA program.</w:t>
      </w:r>
    </w:p>
    <w:p w14:paraId="26744598" w14:textId="77777777" w:rsidR="003031F2" w:rsidRPr="00E74838" w:rsidRDefault="003031F2" w:rsidP="0001000B">
      <w:pPr>
        <w:suppressLineNumbers/>
        <w:spacing w:after="0" w:line="240" w:lineRule="auto"/>
        <w:rPr>
          <w:rFonts w:cs="Times New Roman"/>
          <w:sz w:val="24"/>
          <w:szCs w:val="24"/>
        </w:rPr>
      </w:pPr>
    </w:p>
    <w:p w14:paraId="47CB49A1" w14:textId="0B815B86" w:rsidR="003031F2" w:rsidRPr="00E74838" w:rsidRDefault="003031F2" w:rsidP="0001000B">
      <w:pPr>
        <w:spacing w:after="0" w:line="240" w:lineRule="auto"/>
        <w:rPr>
          <w:rFonts w:cs="Times New Roman"/>
          <w:sz w:val="24"/>
          <w:szCs w:val="24"/>
        </w:rPr>
      </w:pPr>
      <w:r w:rsidRPr="00E74838">
        <w:rPr>
          <w:rFonts w:cs="Times New Roman"/>
          <w:sz w:val="24"/>
          <w:szCs w:val="24"/>
        </w:rPr>
        <w:t xml:space="preserve">The Department </w:t>
      </w:r>
      <w:r w:rsidR="00FD6FE4" w:rsidRPr="00E74838">
        <w:rPr>
          <w:rFonts w:cs="Times New Roman"/>
          <w:sz w:val="24"/>
          <w:szCs w:val="24"/>
        </w:rPr>
        <w:t xml:space="preserve">of Labor </w:t>
      </w:r>
      <w:r w:rsidRPr="00E74838">
        <w:rPr>
          <w:rFonts w:cs="Times New Roman"/>
          <w:sz w:val="24"/>
          <w:szCs w:val="24"/>
        </w:rPr>
        <w:t xml:space="preserve">recognizes that small grantees will not have the expertise and resources to develop a system that collects and transmits individual participant records to the Department.  Therefore, the Department will provide, and is currently providing, resources and expertise to develop a management information system for the Native American program.   </w:t>
      </w:r>
    </w:p>
    <w:p w14:paraId="5CD47523" w14:textId="77777777" w:rsidR="003031F2" w:rsidRPr="00E74838" w:rsidRDefault="003031F2" w:rsidP="0001000B">
      <w:pPr>
        <w:spacing w:after="0" w:line="240" w:lineRule="auto"/>
        <w:rPr>
          <w:rFonts w:cs="Times New Roman"/>
          <w:sz w:val="24"/>
          <w:szCs w:val="24"/>
        </w:rPr>
      </w:pPr>
    </w:p>
    <w:p w14:paraId="28F148B3" w14:textId="558707AB" w:rsidR="003031F2" w:rsidRPr="00E74838" w:rsidRDefault="003031F2" w:rsidP="0001000B">
      <w:pPr>
        <w:spacing w:after="0" w:line="240" w:lineRule="auto"/>
        <w:rPr>
          <w:rFonts w:cs="Times New Roman"/>
          <w:sz w:val="24"/>
          <w:szCs w:val="24"/>
        </w:rPr>
      </w:pPr>
      <w:r w:rsidRPr="00E74838">
        <w:rPr>
          <w:rFonts w:cs="Times New Roman"/>
          <w:sz w:val="24"/>
          <w:szCs w:val="24"/>
        </w:rPr>
        <w:t xml:space="preserve">When the Department </w:t>
      </w:r>
      <w:r w:rsidR="00A61050" w:rsidRPr="00E74838">
        <w:rPr>
          <w:rFonts w:cs="Times New Roman"/>
          <w:sz w:val="24"/>
          <w:szCs w:val="24"/>
        </w:rPr>
        <w:t xml:space="preserve">of Labor </w:t>
      </w:r>
      <w:r w:rsidRPr="00E74838">
        <w:rPr>
          <w:rFonts w:cs="Times New Roman"/>
          <w:sz w:val="24"/>
          <w:szCs w:val="24"/>
        </w:rPr>
        <w:t xml:space="preserve">made its assessment of the increase in data elements for the </w:t>
      </w:r>
      <w:r w:rsidR="00CD243A" w:rsidRPr="00E74838">
        <w:rPr>
          <w:rFonts w:cs="Times New Roman"/>
          <w:sz w:val="24"/>
          <w:szCs w:val="24"/>
        </w:rPr>
        <w:t>INA</w:t>
      </w:r>
      <w:r w:rsidRPr="00E74838">
        <w:rPr>
          <w:rFonts w:cs="Times New Roman"/>
          <w:sz w:val="24"/>
          <w:szCs w:val="24"/>
        </w:rPr>
        <w:t xml:space="preserve"> program, it viewed the data collection as a combination of adult and youth data elements.  However, there is a significant increase in new data elements for the youth program when the programs are viewed separately</w:t>
      </w:r>
      <w:r w:rsidR="00A61050" w:rsidRPr="00E74838">
        <w:rPr>
          <w:rFonts w:cs="Times New Roman"/>
          <w:sz w:val="24"/>
          <w:szCs w:val="24"/>
        </w:rPr>
        <w:t>,</w:t>
      </w:r>
      <w:r w:rsidRPr="00E74838">
        <w:rPr>
          <w:rFonts w:cs="Times New Roman"/>
          <w:sz w:val="24"/>
          <w:szCs w:val="24"/>
        </w:rPr>
        <w:t xml:space="preserve"> but it should also be noted that some of the current data </w:t>
      </w:r>
      <w:r w:rsidRPr="00E74838">
        <w:rPr>
          <w:rFonts w:cs="Times New Roman"/>
          <w:sz w:val="24"/>
          <w:szCs w:val="24"/>
        </w:rPr>
        <w:lastRenderedPageBreak/>
        <w:t xml:space="preserve">elements relating to the youth performance measures will no longer be needed which offsets some of the reporting burden of collecting new data elements.  </w:t>
      </w:r>
    </w:p>
    <w:p w14:paraId="4B7EBCAA" w14:textId="77777777" w:rsidR="003031F2" w:rsidRPr="00E74838" w:rsidRDefault="003031F2" w:rsidP="0001000B">
      <w:pPr>
        <w:suppressLineNumbers/>
        <w:spacing w:after="0" w:line="240" w:lineRule="auto"/>
        <w:rPr>
          <w:rFonts w:cs="Times New Roman"/>
          <w:b/>
          <w:sz w:val="24"/>
          <w:szCs w:val="24"/>
        </w:rPr>
      </w:pPr>
    </w:p>
    <w:p w14:paraId="17A5A272" w14:textId="6F5B1FFE" w:rsidR="003031F2" w:rsidRPr="00E74838" w:rsidRDefault="003031F2" w:rsidP="0001000B">
      <w:pPr>
        <w:spacing w:after="0" w:line="240" w:lineRule="auto"/>
        <w:rPr>
          <w:rFonts w:cs="Times New Roman"/>
          <w:sz w:val="24"/>
          <w:szCs w:val="24"/>
        </w:rPr>
      </w:pPr>
      <w:r w:rsidRPr="00E74838">
        <w:rPr>
          <w:rFonts w:cs="Times New Roman"/>
          <w:sz w:val="24"/>
          <w:szCs w:val="24"/>
        </w:rPr>
        <w:t>The Department recognizes that labor market information is limited on American Indian reservations and may not be as accurate as non-reservation areas.  However, the statistical adjustment model will also factor in the characteristics of participants served by the grantee and</w:t>
      </w:r>
      <w:r w:rsidR="00A93AE3" w:rsidRPr="00E74838">
        <w:rPr>
          <w:rFonts w:cs="Times New Roman"/>
          <w:sz w:val="24"/>
          <w:szCs w:val="24"/>
        </w:rPr>
        <w:t>,</w:t>
      </w:r>
      <w:r w:rsidRPr="00E74838">
        <w:rPr>
          <w:rFonts w:cs="Times New Roman"/>
          <w:sz w:val="24"/>
          <w:szCs w:val="24"/>
        </w:rPr>
        <w:t xml:space="preserve"> therefore</w:t>
      </w:r>
      <w:r w:rsidR="00A93AE3" w:rsidRPr="00E74838">
        <w:rPr>
          <w:rFonts w:cs="Times New Roman"/>
          <w:sz w:val="24"/>
          <w:szCs w:val="24"/>
        </w:rPr>
        <w:t>,</w:t>
      </w:r>
      <w:r w:rsidRPr="00E74838">
        <w:rPr>
          <w:rFonts w:cs="Times New Roman"/>
          <w:sz w:val="24"/>
          <w:szCs w:val="24"/>
        </w:rPr>
        <w:t xml:space="preserve"> it is not totally dependent on labor market information.  Nevertheless, the limitation of labor market information on American Indian reservations increases the importance of consulting with the Native American Employment and Training Council (NAETC) when establishing performance targets for grantees and it is the Department’s intent to establish fair and reasonably attainable levels of performance for all INA grantees. </w:t>
      </w:r>
    </w:p>
    <w:p w14:paraId="4855ADC1" w14:textId="77777777" w:rsidR="003031F2" w:rsidRPr="00E74838" w:rsidRDefault="003031F2" w:rsidP="0001000B">
      <w:pPr>
        <w:suppressLineNumbers/>
        <w:spacing w:after="0" w:line="240" w:lineRule="auto"/>
        <w:rPr>
          <w:rFonts w:cs="Times New Roman"/>
          <w:sz w:val="24"/>
          <w:szCs w:val="24"/>
        </w:rPr>
      </w:pPr>
    </w:p>
    <w:p w14:paraId="3738BE80" w14:textId="142058C9" w:rsidR="003031F2" w:rsidRPr="00E74838" w:rsidRDefault="003031F2" w:rsidP="0001000B">
      <w:pPr>
        <w:spacing w:after="0" w:line="240" w:lineRule="auto"/>
        <w:rPr>
          <w:rFonts w:cs="Times New Roman"/>
          <w:sz w:val="24"/>
          <w:szCs w:val="24"/>
        </w:rPr>
      </w:pPr>
      <w:r w:rsidRPr="00E74838">
        <w:rPr>
          <w:rFonts w:cs="Times New Roman"/>
          <w:sz w:val="24"/>
          <w:szCs w:val="24"/>
        </w:rPr>
        <w:t>The Department is committed to working with the INA grantee community and the NAETC in all of these areas.</w:t>
      </w:r>
    </w:p>
    <w:p w14:paraId="16F10EF1" w14:textId="77777777" w:rsidR="003031F2" w:rsidRPr="00E74838" w:rsidRDefault="003031F2" w:rsidP="0001000B">
      <w:pPr>
        <w:suppressLineNumbers/>
        <w:spacing w:after="0" w:line="240" w:lineRule="auto"/>
        <w:ind w:left="360"/>
        <w:rPr>
          <w:rFonts w:cs="Times New Roman"/>
          <w:sz w:val="24"/>
          <w:szCs w:val="24"/>
        </w:rPr>
      </w:pPr>
    </w:p>
    <w:p w14:paraId="648CE561" w14:textId="77777777" w:rsidR="00454B18" w:rsidRPr="00E74838" w:rsidRDefault="00454B18" w:rsidP="0001000B">
      <w:pPr>
        <w:autoSpaceDE w:val="0"/>
        <w:autoSpaceDN w:val="0"/>
        <w:adjustRightInd w:val="0"/>
        <w:spacing w:after="0" w:line="240" w:lineRule="auto"/>
        <w:contextualSpacing/>
        <w:rPr>
          <w:rFonts w:cs="Times New Roman"/>
          <w:b/>
          <w:color w:val="000000"/>
          <w:sz w:val="24"/>
          <w:szCs w:val="24"/>
        </w:rPr>
      </w:pPr>
      <w:r w:rsidRPr="00E74838">
        <w:rPr>
          <w:rFonts w:cs="Times New Roman"/>
          <w:b/>
          <w:color w:val="000000"/>
          <w:sz w:val="24"/>
          <w:szCs w:val="24"/>
          <w:u w:val="single"/>
        </w:rPr>
        <w:t xml:space="preserve">DOL-Only Reporting -- </w:t>
      </w:r>
      <w:r w:rsidR="003031F2" w:rsidRPr="00E74838">
        <w:rPr>
          <w:rFonts w:cs="Times New Roman"/>
          <w:b/>
          <w:color w:val="000000"/>
          <w:sz w:val="24"/>
          <w:szCs w:val="24"/>
          <w:u w:val="single"/>
        </w:rPr>
        <w:t>Section B – One</w:t>
      </w:r>
      <w:r w:rsidRPr="00E74838">
        <w:rPr>
          <w:rFonts w:cs="Times New Roman"/>
          <w:b/>
          <w:color w:val="000000"/>
          <w:sz w:val="24"/>
          <w:szCs w:val="24"/>
          <w:u w:val="single"/>
        </w:rPr>
        <w:t>-</w:t>
      </w:r>
      <w:r w:rsidR="003031F2" w:rsidRPr="00E74838">
        <w:rPr>
          <w:rFonts w:cs="Times New Roman"/>
          <w:b/>
          <w:color w:val="000000"/>
          <w:sz w:val="24"/>
          <w:szCs w:val="24"/>
          <w:u w:val="single"/>
        </w:rPr>
        <w:t>Stop</w:t>
      </w:r>
      <w:r w:rsidR="001F71FA" w:rsidRPr="00E74838">
        <w:rPr>
          <w:rFonts w:cs="Times New Roman"/>
          <w:b/>
          <w:color w:val="000000"/>
          <w:sz w:val="24"/>
          <w:szCs w:val="24"/>
          <w:u w:val="single"/>
        </w:rPr>
        <w:t xml:space="preserve"> Participation Information</w:t>
      </w:r>
      <w:r w:rsidR="001F71FA" w:rsidRPr="00E74838">
        <w:rPr>
          <w:rFonts w:cs="Times New Roman"/>
          <w:b/>
          <w:color w:val="000000"/>
          <w:sz w:val="24"/>
          <w:szCs w:val="24"/>
        </w:rPr>
        <w:t xml:space="preserve">:  </w:t>
      </w:r>
    </w:p>
    <w:p w14:paraId="48709885" w14:textId="77777777" w:rsidR="001A232E" w:rsidRPr="00E74838" w:rsidRDefault="001A232E" w:rsidP="0001000B">
      <w:pPr>
        <w:autoSpaceDE w:val="0"/>
        <w:autoSpaceDN w:val="0"/>
        <w:adjustRightInd w:val="0"/>
        <w:spacing w:after="0" w:line="240" w:lineRule="auto"/>
        <w:contextualSpacing/>
        <w:rPr>
          <w:rFonts w:cs="Times New Roman"/>
          <w:iCs/>
          <w:color w:val="000000"/>
          <w:sz w:val="24"/>
          <w:szCs w:val="24"/>
        </w:rPr>
      </w:pPr>
    </w:p>
    <w:p w14:paraId="190B87AB" w14:textId="4783A0B6" w:rsidR="003031F2" w:rsidRPr="00E74838" w:rsidRDefault="003031F2" w:rsidP="0001000B">
      <w:pPr>
        <w:autoSpaceDE w:val="0"/>
        <w:autoSpaceDN w:val="0"/>
        <w:adjustRightInd w:val="0"/>
        <w:spacing w:after="0" w:line="240" w:lineRule="auto"/>
        <w:contextualSpacing/>
        <w:rPr>
          <w:rFonts w:cs="Times New Roman"/>
          <w:iCs/>
          <w:color w:val="000000"/>
          <w:sz w:val="24"/>
          <w:szCs w:val="24"/>
        </w:rPr>
      </w:pPr>
      <w:r w:rsidRPr="00E74838">
        <w:rPr>
          <w:rFonts w:cs="Times New Roman"/>
          <w:iCs/>
          <w:color w:val="000000"/>
          <w:sz w:val="24"/>
          <w:szCs w:val="24"/>
        </w:rPr>
        <w:t xml:space="preserve">Because NFJP grantees operate their own case management and data management programs, they can only reasonably be expected to report participation in other WIOA programs for individuals for whom they arrange co-enrollment. </w:t>
      </w:r>
      <w:r w:rsidR="00BF455C" w:rsidRPr="00E74838">
        <w:rPr>
          <w:rFonts w:cs="Times New Roman"/>
          <w:iCs/>
          <w:color w:val="000000"/>
          <w:sz w:val="24"/>
          <w:szCs w:val="24"/>
        </w:rPr>
        <w:t xml:space="preserve"> </w:t>
      </w:r>
      <w:r w:rsidR="00E81B7D" w:rsidRPr="00E74838">
        <w:rPr>
          <w:rFonts w:cs="Times New Roman"/>
          <w:iCs/>
          <w:color w:val="000000"/>
          <w:sz w:val="24"/>
          <w:szCs w:val="24"/>
        </w:rPr>
        <w:t>According to one commenter, t</w:t>
      </w:r>
      <w:r w:rsidRPr="00E74838">
        <w:rPr>
          <w:rFonts w:cs="Times New Roman"/>
          <w:iCs/>
          <w:color w:val="000000"/>
          <w:sz w:val="24"/>
          <w:szCs w:val="24"/>
        </w:rPr>
        <w:t xml:space="preserve">here is not consistency among one-stop operators from service area to service area or </w:t>
      </w:r>
      <w:r w:rsidR="00E81B7D" w:rsidRPr="00E74838">
        <w:rPr>
          <w:rFonts w:cs="Times New Roman"/>
          <w:iCs/>
          <w:color w:val="000000"/>
          <w:sz w:val="24"/>
          <w:szCs w:val="24"/>
        </w:rPr>
        <w:t>S</w:t>
      </w:r>
      <w:r w:rsidRPr="00E74838">
        <w:rPr>
          <w:rFonts w:cs="Times New Roman"/>
          <w:iCs/>
          <w:color w:val="000000"/>
          <w:sz w:val="24"/>
          <w:szCs w:val="24"/>
        </w:rPr>
        <w:t xml:space="preserve">tate to </w:t>
      </w:r>
      <w:r w:rsidR="00E81B7D" w:rsidRPr="00E74838">
        <w:rPr>
          <w:rFonts w:cs="Times New Roman"/>
          <w:iCs/>
          <w:color w:val="000000"/>
          <w:sz w:val="24"/>
          <w:szCs w:val="24"/>
        </w:rPr>
        <w:t>S</w:t>
      </w:r>
      <w:r w:rsidRPr="00E74838">
        <w:rPr>
          <w:rFonts w:cs="Times New Roman"/>
          <w:iCs/>
          <w:color w:val="000000"/>
          <w:sz w:val="24"/>
          <w:szCs w:val="24"/>
        </w:rPr>
        <w:t xml:space="preserve">tate relating to the amount of cooperation and data-sharing that </w:t>
      </w:r>
      <w:r w:rsidR="00E81B7D" w:rsidRPr="00E74838">
        <w:rPr>
          <w:rFonts w:cs="Times New Roman"/>
          <w:iCs/>
          <w:color w:val="000000"/>
          <w:sz w:val="24"/>
          <w:szCs w:val="24"/>
        </w:rPr>
        <w:t>S</w:t>
      </w:r>
      <w:r w:rsidRPr="00E74838">
        <w:rPr>
          <w:rFonts w:cs="Times New Roman"/>
          <w:iCs/>
          <w:color w:val="000000"/>
          <w:sz w:val="24"/>
          <w:szCs w:val="24"/>
        </w:rPr>
        <w:t>tates are willing or legally able to do with non-</w:t>
      </w:r>
      <w:r w:rsidR="00E81B7D" w:rsidRPr="00E74838">
        <w:rPr>
          <w:rFonts w:cs="Times New Roman"/>
          <w:iCs/>
          <w:color w:val="000000"/>
          <w:sz w:val="24"/>
          <w:szCs w:val="24"/>
        </w:rPr>
        <w:t>S</w:t>
      </w:r>
      <w:r w:rsidRPr="00E74838">
        <w:rPr>
          <w:rFonts w:cs="Times New Roman"/>
          <w:iCs/>
          <w:color w:val="000000"/>
          <w:sz w:val="24"/>
          <w:szCs w:val="24"/>
        </w:rPr>
        <w:t>tate agencies.</w:t>
      </w:r>
    </w:p>
    <w:p w14:paraId="6A606710" w14:textId="77777777" w:rsidR="003031F2" w:rsidRPr="00E74838" w:rsidRDefault="003031F2" w:rsidP="0001000B">
      <w:pPr>
        <w:autoSpaceDE w:val="0"/>
        <w:autoSpaceDN w:val="0"/>
        <w:adjustRightInd w:val="0"/>
        <w:spacing w:after="0" w:line="240" w:lineRule="auto"/>
        <w:rPr>
          <w:rFonts w:cs="Times New Roman"/>
          <w:iCs/>
          <w:color w:val="000000"/>
          <w:sz w:val="24"/>
          <w:szCs w:val="24"/>
        </w:rPr>
      </w:pPr>
    </w:p>
    <w:p w14:paraId="5DEA50D9" w14:textId="77777777" w:rsidR="00820D61" w:rsidRDefault="00600077" w:rsidP="0001000B">
      <w:pPr>
        <w:autoSpaceDE w:val="0"/>
        <w:autoSpaceDN w:val="0"/>
        <w:adjustRightInd w:val="0"/>
        <w:spacing w:after="0" w:line="240" w:lineRule="auto"/>
        <w:rPr>
          <w:rFonts w:eastAsia="Times New Roman" w:cs="Times New Roman"/>
          <w:sz w:val="24"/>
          <w:szCs w:val="24"/>
        </w:rPr>
      </w:pPr>
      <w:r w:rsidRPr="00E74838">
        <w:rPr>
          <w:rFonts w:eastAsia="Arial" w:cs="Times New Roman"/>
          <w:b/>
          <w:sz w:val="24"/>
          <w:szCs w:val="24"/>
        </w:rPr>
        <w:t xml:space="preserve">Agencies’ Response, June 2016: </w:t>
      </w:r>
      <w:r w:rsidR="00BF455C" w:rsidRPr="00E74838">
        <w:rPr>
          <w:rFonts w:eastAsia="Arial" w:cs="Times New Roman"/>
          <w:b/>
          <w:sz w:val="24"/>
          <w:szCs w:val="24"/>
        </w:rPr>
        <w:t xml:space="preserve"> </w:t>
      </w:r>
      <w:r w:rsidR="003031F2" w:rsidRPr="00E74838">
        <w:rPr>
          <w:rFonts w:eastAsia="Times New Roman" w:cs="Times New Roman"/>
          <w:sz w:val="24"/>
          <w:szCs w:val="24"/>
        </w:rPr>
        <w:t>In cases where a grantee does not arrange co-enrollment of a participant with another WIOA program, data can be collected from a participant via self-attestation or source documentation provided by the participant.</w:t>
      </w:r>
      <w:r w:rsidR="001F71FA" w:rsidRPr="00E74838">
        <w:rPr>
          <w:rFonts w:eastAsia="Times New Roman" w:cs="Times New Roman"/>
          <w:sz w:val="24"/>
          <w:szCs w:val="24"/>
        </w:rPr>
        <w:t xml:space="preserve"> </w:t>
      </w:r>
      <w:r w:rsidRPr="00E74838">
        <w:rPr>
          <w:rFonts w:eastAsia="Times New Roman" w:cs="Times New Roman"/>
          <w:sz w:val="24"/>
          <w:szCs w:val="24"/>
        </w:rPr>
        <w:t xml:space="preserve"> </w:t>
      </w:r>
    </w:p>
    <w:p w14:paraId="25615753" w14:textId="77777777" w:rsidR="00820D61" w:rsidRDefault="00820D61" w:rsidP="0001000B">
      <w:pPr>
        <w:autoSpaceDE w:val="0"/>
        <w:autoSpaceDN w:val="0"/>
        <w:adjustRightInd w:val="0"/>
        <w:spacing w:after="0" w:line="240" w:lineRule="auto"/>
        <w:rPr>
          <w:rFonts w:eastAsia="Times New Roman" w:cs="Times New Roman"/>
          <w:sz w:val="24"/>
          <w:szCs w:val="24"/>
        </w:rPr>
      </w:pPr>
    </w:p>
    <w:p w14:paraId="4CC10380" w14:textId="012C8E72" w:rsidR="003031F2" w:rsidRPr="00E74838" w:rsidRDefault="00600077" w:rsidP="0001000B">
      <w:pPr>
        <w:autoSpaceDE w:val="0"/>
        <w:autoSpaceDN w:val="0"/>
        <w:adjustRightInd w:val="0"/>
        <w:spacing w:after="0" w:line="240" w:lineRule="auto"/>
        <w:rPr>
          <w:rFonts w:eastAsia="Times New Roman" w:cs="Times New Roman"/>
          <w:b/>
          <w:sz w:val="24"/>
          <w:szCs w:val="24"/>
        </w:rPr>
      </w:pPr>
      <w:r w:rsidRPr="00E74838">
        <w:rPr>
          <w:rFonts w:eastAsia="Times New Roman" w:cs="Times New Roman"/>
          <w:sz w:val="24"/>
          <w:szCs w:val="24"/>
        </w:rPr>
        <w:t>No change has been made in response to this comment.</w:t>
      </w:r>
    </w:p>
    <w:p w14:paraId="035F09B7" w14:textId="77777777" w:rsidR="003031F2" w:rsidRPr="00E74838" w:rsidRDefault="003031F2" w:rsidP="0001000B">
      <w:pPr>
        <w:autoSpaceDE w:val="0"/>
        <w:autoSpaceDN w:val="0"/>
        <w:adjustRightInd w:val="0"/>
        <w:spacing w:after="0" w:line="240" w:lineRule="auto"/>
        <w:rPr>
          <w:rFonts w:cs="Times New Roman"/>
          <w:b/>
          <w:bCs/>
          <w:sz w:val="24"/>
          <w:szCs w:val="24"/>
        </w:rPr>
      </w:pPr>
    </w:p>
    <w:sectPr w:rsidR="003031F2" w:rsidRPr="00E74838" w:rsidSect="00883F16">
      <w:footerReference w:type="default" r:id="rId1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A0DBC" w14:textId="77777777" w:rsidR="002174C1" w:rsidRDefault="002174C1" w:rsidP="00463A79">
      <w:pPr>
        <w:spacing w:after="0" w:line="240" w:lineRule="auto"/>
      </w:pPr>
      <w:r>
        <w:separator/>
      </w:r>
    </w:p>
  </w:endnote>
  <w:endnote w:type="continuationSeparator" w:id="0">
    <w:p w14:paraId="156AFA2C" w14:textId="77777777" w:rsidR="002174C1" w:rsidRDefault="002174C1" w:rsidP="00463A79">
      <w:pPr>
        <w:spacing w:after="0" w:line="240" w:lineRule="auto"/>
      </w:pPr>
      <w:r>
        <w:continuationSeparator/>
      </w:r>
    </w:p>
  </w:endnote>
  <w:endnote w:type="continuationNotice" w:id="1">
    <w:p w14:paraId="200F66D3" w14:textId="77777777" w:rsidR="002174C1" w:rsidRDefault="00217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796529"/>
      <w:docPartObj>
        <w:docPartGallery w:val="Page Numbers (Bottom of Page)"/>
        <w:docPartUnique/>
      </w:docPartObj>
    </w:sdtPr>
    <w:sdtEndPr>
      <w:rPr>
        <w:noProof/>
      </w:rPr>
    </w:sdtEndPr>
    <w:sdtContent>
      <w:p w14:paraId="0C3E1379" w14:textId="283F6E27" w:rsidR="00CD241A" w:rsidRDefault="00CD241A">
        <w:pPr>
          <w:pStyle w:val="Footer"/>
          <w:jc w:val="center"/>
        </w:pPr>
        <w:r>
          <w:fldChar w:fldCharType="begin"/>
        </w:r>
        <w:r>
          <w:instrText xml:space="preserve"> PAGE   \* MERGEFORMAT </w:instrText>
        </w:r>
        <w:r>
          <w:fldChar w:fldCharType="separate"/>
        </w:r>
        <w:r w:rsidR="00C30BFF">
          <w:rPr>
            <w:noProof/>
          </w:rPr>
          <w:t>2</w:t>
        </w:r>
        <w:r>
          <w:rPr>
            <w:noProof/>
          </w:rPr>
          <w:fldChar w:fldCharType="end"/>
        </w:r>
      </w:p>
    </w:sdtContent>
  </w:sdt>
  <w:p w14:paraId="04CB0434" w14:textId="53F85680" w:rsidR="00A631F1" w:rsidRDefault="00A63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988E7" w14:textId="77777777" w:rsidR="002174C1" w:rsidRDefault="002174C1" w:rsidP="00463A79">
      <w:pPr>
        <w:spacing w:after="0" w:line="240" w:lineRule="auto"/>
      </w:pPr>
      <w:r>
        <w:separator/>
      </w:r>
    </w:p>
  </w:footnote>
  <w:footnote w:type="continuationSeparator" w:id="0">
    <w:p w14:paraId="07F6DFFC" w14:textId="77777777" w:rsidR="002174C1" w:rsidRDefault="002174C1" w:rsidP="00463A79">
      <w:pPr>
        <w:spacing w:after="0" w:line="240" w:lineRule="auto"/>
      </w:pPr>
      <w:r>
        <w:continuationSeparator/>
      </w:r>
    </w:p>
  </w:footnote>
  <w:footnote w:type="continuationNotice" w:id="1">
    <w:p w14:paraId="5F681FA2" w14:textId="77777777" w:rsidR="002174C1" w:rsidRDefault="002174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1D26" w14:textId="6F3B8E7A" w:rsidR="00A631F1" w:rsidRPr="005C6AF8" w:rsidRDefault="00222A5F" w:rsidP="00222A5F">
    <w:pPr>
      <w:pStyle w:val="Header"/>
      <w:rPr>
        <w:b/>
        <w:sz w:val="16"/>
        <w:szCs w:val="16"/>
      </w:rPr>
    </w:pPr>
    <w:r>
      <w:rPr>
        <w:b/>
        <w:sz w:val="16"/>
        <w:szCs w:val="16"/>
      </w:rPr>
      <w:t>WIOA Common Performance Reporting</w:t>
    </w:r>
    <w:r w:rsidR="00A631F1">
      <w:rPr>
        <w:b/>
        <w:sz w:val="16"/>
        <w:szCs w:val="16"/>
      </w:rPr>
      <w:tab/>
    </w:r>
    <w:r w:rsidR="00A631F1">
      <w:rPr>
        <w:b/>
        <w:sz w:val="16"/>
        <w:szCs w:val="16"/>
      </w:rPr>
      <w:tab/>
    </w:r>
    <w:r w:rsidR="00A631F1" w:rsidRPr="00C75CDF">
      <w:rPr>
        <w:b/>
        <w:i/>
        <w:sz w:val="16"/>
        <w:szCs w:val="16"/>
      </w:rPr>
      <w:t xml:space="preserve"> </w:t>
    </w:r>
    <w:r w:rsidR="00A631F1" w:rsidRPr="00C75CDF">
      <w:rPr>
        <w:b/>
        <w:sz w:val="16"/>
        <w:szCs w:val="16"/>
      </w:rPr>
      <w:tab/>
    </w:r>
  </w:p>
  <w:p w14:paraId="0C93BC70" w14:textId="6FD2D670" w:rsidR="009F39B6" w:rsidRDefault="009F39B6">
    <w:pPr>
      <w:pStyle w:val="Header"/>
      <w:rPr>
        <w:b/>
        <w:sz w:val="16"/>
        <w:szCs w:val="16"/>
      </w:rPr>
    </w:pPr>
    <w:r w:rsidRPr="009F39B6">
      <w:rPr>
        <w:b/>
        <w:sz w:val="16"/>
        <w:szCs w:val="16"/>
      </w:rPr>
      <w:t>30-Day FRN Public Comment and Agency Response</w:t>
    </w:r>
  </w:p>
  <w:p w14:paraId="170E634F" w14:textId="693942E5" w:rsidR="009F39B6" w:rsidRDefault="00B90D27">
    <w:pPr>
      <w:pStyle w:val="Header"/>
      <w:rPr>
        <w:b/>
        <w:sz w:val="16"/>
        <w:szCs w:val="16"/>
      </w:rPr>
    </w:pPr>
    <w:r>
      <w:rPr>
        <w:b/>
        <w:sz w:val="16"/>
        <w:szCs w:val="16"/>
      </w:rPr>
      <w:t>ICR REFERENCE # 201604-1205-008</w:t>
    </w:r>
  </w:p>
  <w:p w14:paraId="7748CDDE" w14:textId="5AD5CFFC" w:rsidR="00A631F1" w:rsidRDefault="00A631F1">
    <w:pPr>
      <w:pStyle w:val="Header"/>
      <w:rPr>
        <w:b/>
        <w:sz w:val="16"/>
        <w:szCs w:val="16"/>
      </w:rPr>
    </w:pPr>
    <w:r w:rsidRPr="005C6AF8">
      <w:rPr>
        <w:b/>
        <w:sz w:val="16"/>
        <w:szCs w:val="16"/>
      </w:rPr>
      <w:t>OMB Control No. 1205-0</w:t>
    </w:r>
    <w:r w:rsidR="00D36855">
      <w:rPr>
        <w:b/>
        <w:sz w:val="16"/>
        <w:szCs w:val="16"/>
      </w:rPr>
      <w:t>526</w:t>
    </w:r>
  </w:p>
  <w:p w14:paraId="4B4637BC" w14:textId="219F8A7D" w:rsidR="00222A5F" w:rsidRPr="005C6AF8" w:rsidRDefault="00C30BFF">
    <w:pPr>
      <w:pStyle w:val="Header"/>
      <w:rPr>
        <w:b/>
        <w:sz w:val="16"/>
        <w:szCs w:val="16"/>
      </w:rPr>
    </w:pPr>
    <w:r>
      <w:rPr>
        <w:b/>
        <w:sz w:val="16"/>
        <w:szCs w:val="16"/>
      </w:rPr>
      <w:t>Expiration Date: 08/31</w:t>
    </w:r>
    <w:r w:rsidR="00222A5F">
      <w:rPr>
        <w:b/>
        <w:sz w:val="16"/>
        <w:szCs w:val="16"/>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932"/>
    <w:multiLevelType w:val="hybridMultilevel"/>
    <w:tmpl w:val="6680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46FAA"/>
    <w:multiLevelType w:val="hybridMultilevel"/>
    <w:tmpl w:val="365821C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15CE06B6">
      <w:numFmt w:val="bullet"/>
      <w:lvlText w:val="•"/>
      <w:lvlJc w:val="left"/>
      <w:pPr>
        <w:ind w:left="1980" w:hanging="36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274D22"/>
    <w:multiLevelType w:val="hybridMultilevel"/>
    <w:tmpl w:val="BB2C17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5373654"/>
    <w:multiLevelType w:val="hybridMultilevel"/>
    <w:tmpl w:val="ABF672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15CE06B6">
      <w:numFmt w:val="bullet"/>
      <w:lvlText w:val="•"/>
      <w:lvlJc w:val="left"/>
      <w:pPr>
        <w:ind w:left="1980" w:hanging="36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EC75DB"/>
    <w:multiLevelType w:val="hybridMultilevel"/>
    <w:tmpl w:val="4B80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41331"/>
    <w:multiLevelType w:val="hybridMultilevel"/>
    <w:tmpl w:val="18DC0C74"/>
    <w:lvl w:ilvl="0" w:tplc="133067F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74FA2"/>
    <w:multiLevelType w:val="hybridMultilevel"/>
    <w:tmpl w:val="D8A4958A"/>
    <w:lvl w:ilvl="0" w:tplc="E4925B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875773C"/>
    <w:multiLevelType w:val="hybridMultilevel"/>
    <w:tmpl w:val="79288DB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EB0118"/>
    <w:multiLevelType w:val="hybridMultilevel"/>
    <w:tmpl w:val="5AB09B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9A1221"/>
    <w:multiLevelType w:val="hybridMultilevel"/>
    <w:tmpl w:val="5D46C2EA"/>
    <w:lvl w:ilvl="0" w:tplc="42FE6E14">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135C5"/>
    <w:multiLevelType w:val="hybridMultilevel"/>
    <w:tmpl w:val="1F3226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8A7FA1"/>
    <w:multiLevelType w:val="hybridMultilevel"/>
    <w:tmpl w:val="4872C2F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15693"/>
    <w:multiLevelType w:val="hybridMultilevel"/>
    <w:tmpl w:val="35C64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D2703B"/>
    <w:multiLevelType w:val="hybridMultilevel"/>
    <w:tmpl w:val="D8361C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911FF7"/>
    <w:multiLevelType w:val="hybridMultilevel"/>
    <w:tmpl w:val="EF3EA5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B286A04"/>
    <w:multiLevelType w:val="hybridMultilevel"/>
    <w:tmpl w:val="667C3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9074D4"/>
    <w:multiLevelType w:val="hybridMultilevel"/>
    <w:tmpl w:val="E3E0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9507B"/>
    <w:multiLevelType w:val="hybridMultilevel"/>
    <w:tmpl w:val="C9AC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F0D91"/>
    <w:multiLevelType w:val="hybridMultilevel"/>
    <w:tmpl w:val="5F0A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14267D"/>
    <w:multiLevelType w:val="hybridMultilevel"/>
    <w:tmpl w:val="427870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D0B90"/>
    <w:multiLevelType w:val="hybridMultilevel"/>
    <w:tmpl w:val="AD565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740A79"/>
    <w:multiLevelType w:val="hybridMultilevel"/>
    <w:tmpl w:val="C4AEB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D0369A"/>
    <w:multiLevelType w:val="hybridMultilevel"/>
    <w:tmpl w:val="01CC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0C410E"/>
    <w:multiLevelType w:val="hybridMultilevel"/>
    <w:tmpl w:val="946A2036"/>
    <w:lvl w:ilvl="0" w:tplc="E23A6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8231D3"/>
    <w:multiLevelType w:val="hybridMultilevel"/>
    <w:tmpl w:val="617C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CA4653"/>
    <w:multiLevelType w:val="hybridMultilevel"/>
    <w:tmpl w:val="D56C30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F43E9"/>
    <w:multiLevelType w:val="hybridMultilevel"/>
    <w:tmpl w:val="61521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A100A"/>
    <w:multiLevelType w:val="hybridMultilevel"/>
    <w:tmpl w:val="077C9C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9D1D26"/>
    <w:multiLevelType w:val="hybridMultilevel"/>
    <w:tmpl w:val="B9629EEC"/>
    <w:lvl w:ilvl="0" w:tplc="CC380CC2">
      <w:start w:val="1"/>
      <w:numFmt w:val="decimal"/>
      <w:lvlText w:val="%1."/>
      <w:lvlJc w:val="left"/>
      <w:pPr>
        <w:ind w:left="360" w:hanging="360"/>
      </w:pPr>
      <w:rPr>
        <w:rFonts w:eastAsia="Arial" w:cs="Times New Roman" w:hint="default"/>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0547AB"/>
    <w:multiLevelType w:val="hybridMultilevel"/>
    <w:tmpl w:val="55D6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3808F3"/>
    <w:multiLevelType w:val="hybridMultilevel"/>
    <w:tmpl w:val="E97E3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6E0D4B"/>
    <w:multiLevelType w:val="hybridMultilevel"/>
    <w:tmpl w:val="4D6E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0434BE"/>
    <w:multiLevelType w:val="hybridMultilevel"/>
    <w:tmpl w:val="99549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A3573F9"/>
    <w:multiLevelType w:val="hybridMultilevel"/>
    <w:tmpl w:val="B2E0CB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7A2A11"/>
    <w:multiLevelType w:val="hybridMultilevel"/>
    <w:tmpl w:val="08DE9D90"/>
    <w:lvl w:ilvl="0" w:tplc="8E5AA770">
      <w:start w:val="1"/>
      <w:numFmt w:val="decimal"/>
      <w:lvlText w:val="%1."/>
      <w:lvlJc w:val="left"/>
      <w:pPr>
        <w:ind w:left="675" w:hanging="360"/>
      </w:p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abstractNum w:abstractNumId="35">
    <w:nsid w:val="67404A6C"/>
    <w:multiLevelType w:val="hybridMultilevel"/>
    <w:tmpl w:val="C94CFA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8AD7A67"/>
    <w:multiLevelType w:val="hybridMultilevel"/>
    <w:tmpl w:val="47061F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E7E55"/>
    <w:multiLevelType w:val="hybridMultilevel"/>
    <w:tmpl w:val="ADDA36AE"/>
    <w:lvl w:ilvl="0" w:tplc="0AD85A2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A54EFA"/>
    <w:multiLevelType w:val="hybridMultilevel"/>
    <w:tmpl w:val="3F4460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6E5EFD"/>
    <w:multiLevelType w:val="hybridMultilevel"/>
    <w:tmpl w:val="CE38F2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78053109"/>
    <w:multiLevelType w:val="hybridMultilevel"/>
    <w:tmpl w:val="B6CAF9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B92059"/>
    <w:multiLevelType w:val="hybridMultilevel"/>
    <w:tmpl w:val="67E8980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nsid w:val="79A21FAE"/>
    <w:multiLevelType w:val="hybridMultilevel"/>
    <w:tmpl w:val="F9E2E4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DB43793"/>
    <w:multiLevelType w:val="hybridMultilevel"/>
    <w:tmpl w:val="7DCEC8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04370D"/>
    <w:multiLevelType w:val="hybridMultilevel"/>
    <w:tmpl w:val="58DE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2"/>
  </w:num>
  <w:num w:numId="4">
    <w:abstractNumId w:val="7"/>
  </w:num>
  <w:num w:numId="5">
    <w:abstractNumId w:val="2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9"/>
  </w:num>
  <w:num w:numId="11">
    <w:abstractNumId w:val="29"/>
  </w:num>
  <w:num w:numId="12">
    <w:abstractNumId w:val="16"/>
  </w:num>
  <w:num w:numId="13">
    <w:abstractNumId w:val="11"/>
  </w:num>
  <w:num w:numId="14">
    <w:abstractNumId w:val="27"/>
  </w:num>
  <w:num w:numId="15">
    <w:abstractNumId w:val="13"/>
  </w:num>
  <w:num w:numId="16">
    <w:abstractNumId w:val="42"/>
  </w:num>
  <w:num w:numId="17">
    <w:abstractNumId w:val="0"/>
  </w:num>
  <w:num w:numId="18">
    <w:abstractNumId w:val="32"/>
  </w:num>
  <w:num w:numId="19">
    <w:abstractNumId w:val="14"/>
  </w:num>
  <w:num w:numId="20">
    <w:abstractNumId w:val="33"/>
  </w:num>
  <w:num w:numId="21">
    <w:abstractNumId w:val="25"/>
  </w:num>
  <w:num w:numId="22">
    <w:abstractNumId w:val="30"/>
  </w:num>
  <w:num w:numId="23">
    <w:abstractNumId w:val="28"/>
  </w:num>
  <w:num w:numId="24">
    <w:abstractNumId w:val="4"/>
  </w:num>
  <w:num w:numId="25">
    <w:abstractNumId w:val="24"/>
  </w:num>
  <w:num w:numId="26">
    <w:abstractNumId w:val="44"/>
  </w:num>
  <w:num w:numId="27">
    <w:abstractNumId w:val="37"/>
  </w:num>
  <w:num w:numId="28">
    <w:abstractNumId w:val="38"/>
  </w:num>
  <w:num w:numId="29">
    <w:abstractNumId w:val="35"/>
  </w:num>
  <w:num w:numId="30">
    <w:abstractNumId w:val="10"/>
  </w:num>
  <w:num w:numId="31">
    <w:abstractNumId w:val="5"/>
  </w:num>
  <w:num w:numId="32">
    <w:abstractNumId w:val="8"/>
  </w:num>
  <w:num w:numId="33">
    <w:abstractNumId w:val="43"/>
  </w:num>
  <w:num w:numId="34">
    <w:abstractNumId w:val="40"/>
  </w:num>
  <w:num w:numId="35">
    <w:abstractNumId w:val="23"/>
  </w:num>
  <w:num w:numId="3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6"/>
  </w:num>
  <w:num w:numId="42">
    <w:abstractNumId w:val="22"/>
  </w:num>
  <w:num w:numId="43">
    <w:abstractNumId w:val="31"/>
  </w:num>
  <w:num w:numId="44">
    <w:abstractNumId w:val="18"/>
  </w:num>
  <w:num w:numId="45">
    <w:abstractNumId w:val="41"/>
  </w:num>
  <w:num w:numId="46">
    <w:abstractNumId w:val="21"/>
  </w:num>
  <w:num w:numId="47">
    <w:abstractNumId w:val="12"/>
  </w:num>
  <w:num w:numId="48">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31"/>
    <w:rsid w:val="00000651"/>
    <w:rsid w:val="000011FF"/>
    <w:rsid w:val="00004ADE"/>
    <w:rsid w:val="00004EBB"/>
    <w:rsid w:val="000051D8"/>
    <w:rsid w:val="00005B6D"/>
    <w:rsid w:val="00006503"/>
    <w:rsid w:val="0001000B"/>
    <w:rsid w:val="000102C3"/>
    <w:rsid w:val="0001499A"/>
    <w:rsid w:val="000211E6"/>
    <w:rsid w:val="00023869"/>
    <w:rsid w:val="00024892"/>
    <w:rsid w:val="00024F96"/>
    <w:rsid w:val="00027C48"/>
    <w:rsid w:val="00032987"/>
    <w:rsid w:val="00033382"/>
    <w:rsid w:val="00035843"/>
    <w:rsid w:val="000362A6"/>
    <w:rsid w:val="00040811"/>
    <w:rsid w:val="00040A99"/>
    <w:rsid w:val="0004172A"/>
    <w:rsid w:val="00042358"/>
    <w:rsid w:val="00042767"/>
    <w:rsid w:val="000449FC"/>
    <w:rsid w:val="000453B1"/>
    <w:rsid w:val="000477BE"/>
    <w:rsid w:val="0005057F"/>
    <w:rsid w:val="00053406"/>
    <w:rsid w:val="000534ED"/>
    <w:rsid w:val="0005397C"/>
    <w:rsid w:val="00055B70"/>
    <w:rsid w:val="000617A4"/>
    <w:rsid w:val="00062748"/>
    <w:rsid w:val="00062CB0"/>
    <w:rsid w:val="000660CE"/>
    <w:rsid w:val="00071817"/>
    <w:rsid w:val="00073509"/>
    <w:rsid w:val="0007382F"/>
    <w:rsid w:val="00077E4C"/>
    <w:rsid w:val="00080C02"/>
    <w:rsid w:val="00081A3C"/>
    <w:rsid w:val="00085046"/>
    <w:rsid w:val="00087470"/>
    <w:rsid w:val="00087C89"/>
    <w:rsid w:val="000902CF"/>
    <w:rsid w:val="00092259"/>
    <w:rsid w:val="00093D06"/>
    <w:rsid w:val="00094015"/>
    <w:rsid w:val="000946D3"/>
    <w:rsid w:val="000A0169"/>
    <w:rsid w:val="000A5A12"/>
    <w:rsid w:val="000A7A4E"/>
    <w:rsid w:val="000B26FF"/>
    <w:rsid w:val="000B455C"/>
    <w:rsid w:val="000B72D6"/>
    <w:rsid w:val="000C2909"/>
    <w:rsid w:val="000C4CAE"/>
    <w:rsid w:val="000C62DD"/>
    <w:rsid w:val="000C7D5B"/>
    <w:rsid w:val="000D2938"/>
    <w:rsid w:val="000D4A6A"/>
    <w:rsid w:val="000D4AFF"/>
    <w:rsid w:val="000D530D"/>
    <w:rsid w:val="000D6324"/>
    <w:rsid w:val="000D6DF1"/>
    <w:rsid w:val="000D7BCB"/>
    <w:rsid w:val="000D7C17"/>
    <w:rsid w:val="000E25F2"/>
    <w:rsid w:val="000E2E20"/>
    <w:rsid w:val="000E3CF2"/>
    <w:rsid w:val="000E3E7A"/>
    <w:rsid w:val="000F11E3"/>
    <w:rsid w:val="000F27B6"/>
    <w:rsid w:val="000F295F"/>
    <w:rsid w:val="000F4543"/>
    <w:rsid w:val="000F5604"/>
    <w:rsid w:val="00101015"/>
    <w:rsid w:val="0010181A"/>
    <w:rsid w:val="00101AED"/>
    <w:rsid w:val="001049C0"/>
    <w:rsid w:val="0010526B"/>
    <w:rsid w:val="00106A57"/>
    <w:rsid w:val="0011156C"/>
    <w:rsid w:val="001151C1"/>
    <w:rsid w:val="00120684"/>
    <w:rsid w:val="00127644"/>
    <w:rsid w:val="00130D46"/>
    <w:rsid w:val="0013219F"/>
    <w:rsid w:val="0013244D"/>
    <w:rsid w:val="0013288A"/>
    <w:rsid w:val="00135A73"/>
    <w:rsid w:val="0013615E"/>
    <w:rsid w:val="00136760"/>
    <w:rsid w:val="0013684F"/>
    <w:rsid w:val="00140106"/>
    <w:rsid w:val="0014208C"/>
    <w:rsid w:val="001437D3"/>
    <w:rsid w:val="001447AC"/>
    <w:rsid w:val="0014681C"/>
    <w:rsid w:val="001507D8"/>
    <w:rsid w:val="00150DBE"/>
    <w:rsid w:val="00150FC4"/>
    <w:rsid w:val="00153E44"/>
    <w:rsid w:val="00153FE4"/>
    <w:rsid w:val="00157492"/>
    <w:rsid w:val="00163378"/>
    <w:rsid w:val="0016540D"/>
    <w:rsid w:val="00165E61"/>
    <w:rsid w:val="00165F47"/>
    <w:rsid w:val="001668CC"/>
    <w:rsid w:val="00170F81"/>
    <w:rsid w:val="0017253E"/>
    <w:rsid w:val="001733E1"/>
    <w:rsid w:val="00176594"/>
    <w:rsid w:val="00180773"/>
    <w:rsid w:val="00180E64"/>
    <w:rsid w:val="00181E5A"/>
    <w:rsid w:val="00184B69"/>
    <w:rsid w:val="00184FF9"/>
    <w:rsid w:val="00186141"/>
    <w:rsid w:val="001863C8"/>
    <w:rsid w:val="00186FAC"/>
    <w:rsid w:val="001877D4"/>
    <w:rsid w:val="0019193F"/>
    <w:rsid w:val="001950C8"/>
    <w:rsid w:val="00196E2D"/>
    <w:rsid w:val="001973A9"/>
    <w:rsid w:val="001A0159"/>
    <w:rsid w:val="001A1BE2"/>
    <w:rsid w:val="001A232E"/>
    <w:rsid w:val="001A26FA"/>
    <w:rsid w:val="001A3581"/>
    <w:rsid w:val="001A43CA"/>
    <w:rsid w:val="001A6C1D"/>
    <w:rsid w:val="001A77FB"/>
    <w:rsid w:val="001B2190"/>
    <w:rsid w:val="001B2F13"/>
    <w:rsid w:val="001B4743"/>
    <w:rsid w:val="001B4E85"/>
    <w:rsid w:val="001B56A6"/>
    <w:rsid w:val="001B56AF"/>
    <w:rsid w:val="001B7C2B"/>
    <w:rsid w:val="001C02E0"/>
    <w:rsid w:val="001C1715"/>
    <w:rsid w:val="001C277A"/>
    <w:rsid w:val="001C2FC4"/>
    <w:rsid w:val="001C5072"/>
    <w:rsid w:val="001C5257"/>
    <w:rsid w:val="001C6DBE"/>
    <w:rsid w:val="001D263C"/>
    <w:rsid w:val="001D3949"/>
    <w:rsid w:val="001D3BFC"/>
    <w:rsid w:val="001D56FE"/>
    <w:rsid w:val="001D699A"/>
    <w:rsid w:val="001D7302"/>
    <w:rsid w:val="001D783D"/>
    <w:rsid w:val="001E10C9"/>
    <w:rsid w:val="001E385A"/>
    <w:rsid w:val="001E3BA3"/>
    <w:rsid w:val="001E72A2"/>
    <w:rsid w:val="001F0F50"/>
    <w:rsid w:val="001F2037"/>
    <w:rsid w:val="001F217B"/>
    <w:rsid w:val="001F2C25"/>
    <w:rsid w:val="001F71FA"/>
    <w:rsid w:val="002008A6"/>
    <w:rsid w:val="00201FE9"/>
    <w:rsid w:val="0020562F"/>
    <w:rsid w:val="00206F1E"/>
    <w:rsid w:val="00207849"/>
    <w:rsid w:val="00207951"/>
    <w:rsid w:val="002162CA"/>
    <w:rsid w:val="002174C1"/>
    <w:rsid w:val="00217B4D"/>
    <w:rsid w:val="0022000A"/>
    <w:rsid w:val="00220655"/>
    <w:rsid w:val="00220929"/>
    <w:rsid w:val="00220C08"/>
    <w:rsid w:val="00222A5F"/>
    <w:rsid w:val="002241AA"/>
    <w:rsid w:val="00225F9E"/>
    <w:rsid w:val="002303D6"/>
    <w:rsid w:val="002304C0"/>
    <w:rsid w:val="0023320E"/>
    <w:rsid w:val="00233727"/>
    <w:rsid w:val="00234544"/>
    <w:rsid w:val="0023475C"/>
    <w:rsid w:val="00234BDA"/>
    <w:rsid w:val="00234F12"/>
    <w:rsid w:val="00235BFE"/>
    <w:rsid w:val="002420E9"/>
    <w:rsid w:val="002425F1"/>
    <w:rsid w:val="00244E2F"/>
    <w:rsid w:val="002452DC"/>
    <w:rsid w:val="00247422"/>
    <w:rsid w:val="0024758D"/>
    <w:rsid w:val="00250B7D"/>
    <w:rsid w:val="002516E8"/>
    <w:rsid w:val="002567B8"/>
    <w:rsid w:val="00256DEE"/>
    <w:rsid w:val="0025721A"/>
    <w:rsid w:val="002618C2"/>
    <w:rsid w:val="0026206E"/>
    <w:rsid w:val="002628D8"/>
    <w:rsid w:val="00263613"/>
    <w:rsid w:val="00267010"/>
    <w:rsid w:val="00271413"/>
    <w:rsid w:val="00273AA2"/>
    <w:rsid w:val="0028072C"/>
    <w:rsid w:val="00280B57"/>
    <w:rsid w:val="00281910"/>
    <w:rsid w:val="002850AD"/>
    <w:rsid w:val="00286781"/>
    <w:rsid w:val="00287C9B"/>
    <w:rsid w:val="00290028"/>
    <w:rsid w:val="002902BE"/>
    <w:rsid w:val="002922E3"/>
    <w:rsid w:val="00292472"/>
    <w:rsid w:val="00294629"/>
    <w:rsid w:val="00294839"/>
    <w:rsid w:val="002976D9"/>
    <w:rsid w:val="002A0612"/>
    <w:rsid w:val="002A0644"/>
    <w:rsid w:val="002A30D5"/>
    <w:rsid w:val="002A5DC6"/>
    <w:rsid w:val="002A60EA"/>
    <w:rsid w:val="002A6120"/>
    <w:rsid w:val="002A7075"/>
    <w:rsid w:val="002B2DC1"/>
    <w:rsid w:val="002B4258"/>
    <w:rsid w:val="002B431F"/>
    <w:rsid w:val="002B463A"/>
    <w:rsid w:val="002B4EEB"/>
    <w:rsid w:val="002B616E"/>
    <w:rsid w:val="002B6B3D"/>
    <w:rsid w:val="002C01F2"/>
    <w:rsid w:val="002C07F6"/>
    <w:rsid w:val="002C32E2"/>
    <w:rsid w:val="002C439A"/>
    <w:rsid w:val="002C52BD"/>
    <w:rsid w:val="002C5E60"/>
    <w:rsid w:val="002C63EF"/>
    <w:rsid w:val="002D09AA"/>
    <w:rsid w:val="002D1955"/>
    <w:rsid w:val="002D1A88"/>
    <w:rsid w:val="002D3797"/>
    <w:rsid w:val="002D6914"/>
    <w:rsid w:val="002D7476"/>
    <w:rsid w:val="002D76C3"/>
    <w:rsid w:val="002D7C48"/>
    <w:rsid w:val="002E0166"/>
    <w:rsid w:val="002E0F08"/>
    <w:rsid w:val="002E2FC8"/>
    <w:rsid w:val="002E3E98"/>
    <w:rsid w:val="002E41EB"/>
    <w:rsid w:val="002E47EF"/>
    <w:rsid w:val="002E593A"/>
    <w:rsid w:val="002E5BB5"/>
    <w:rsid w:val="002E6D86"/>
    <w:rsid w:val="002F3609"/>
    <w:rsid w:val="002F510F"/>
    <w:rsid w:val="002F7880"/>
    <w:rsid w:val="003020A9"/>
    <w:rsid w:val="003025E1"/>
    <w:rsid w:val="00302676"/>
    <w:rsid w:val="003031F2"/>
    <w:rsid w:val="00304032"/>
    <w:rsid w:val="0030422F"/>
    <w:rsid w:val="00305593"/>
    <w:rsid w:val="003067D7"/>
    <w:rsid w:val="0031012E"/>
    <w:rsid w:val="00310194"/>
    <w:rsid w:val="00310713"/>
    <w:rsid w:val="00310FC6"/>
    <w:rsid w:val="00311760"/>
    <w:rsid w:val="00313EBF"/>
    <w:rsid w:val="00314BD3"/>
    <w:rsid w:val="00317B8E"/>
    <w:rsid w:val="00317E6F"/>
    <w:rsid w:val="003204E2"/>
    <w:rsid w:val="00321EF6"/>
    <w:rsid w:val="0032330E"/>
    <w:rsid w:val="0032349A"/>
    <w:rsid w:val="0032561C"/>
    <w:rsid w:val="00327E63"/>
    <w:rsid w:val="003311AF"/>
    <w:rsid w:val="003317DA"/>
    <w:rsid w:val="003329FC"/>
    <w:rsid w:val="00336285"/>
    <w:rsid w:val="00336885"/>
    <w:rsid w:val="00336EBD"/>
    <w:rsid w:val="00340DAF"/>
    <w:rsid w:val="003474F6"/>
    <w:rsid w:val="0035061D"/>
    <w:rsid w:val="00351705"/>
    <w:rsid w:val="00351B8F"/>
    <w:rsid w:val="003521CB"/>
    <w:rsid w:val="00360247"/>
    <w:rsid w:val="00360284"/>
    <w:rsid w:val="003621C1"/>
    <w:rsid w:val="00363431"/>
    <w:rsid w:val="00365589"/>
    <w:rsid w:val="00370B7C"/>
    <w:rsid w:val="00371ED1"/>
    <w:rsid w:val="003753A9"/>
    <w:rsid w:val="00381B33"/>
    <w:rsid w:val="0038654A"/>
    <w:rsid w:val="003874EB"/>
    <w:rsid w:val="003900A0"/>
    <w:rsid w:val="00390688"/>
    <w:rsid w:val="0039147D"/>
    <w:rsid w:val="00393050"/>
    <w:rsid w:val="00393771"/>
    <w:rsid w:val="00394C23"/>
    <w:rsid w:val="003954CE"/>
    <w:rsid w:val="00395FCC"/>
    <w:rsid w:val="003A1FA5"/>
    <w:rsid w:val="003A2CB1"/>
    <w:rsid w:val="003A3BAE"/>
    <w:rsid w:val="003A6A02"/>
    <w:rsid w:val="003A6D48"/>
    <w:rsid w:val="003B4885"/>
    <w:rsid w:val="003B4EFC"/>
    <w:rsid w:val="003B5403"/>
    <w:rsid w:val="003C1E76"/>
    <w:rsid w:val="003C3A47"/>
    <w:rsid w:val="003C3C4C"/>
    <w:rsid w:val="003D02D9"/>
    <w:rsid w:val="003D099A"/>
    <w:rsid w:val="003D09F1"/>
    <w:rsid w:val="003D1AF4"/>
    <w:rsid w:val="003D1D97"/>
    <w:rsid w:val="003D3D68"/>
    <w:rsid w:val="003D664B"/>
    <w:rsid w:val="003E0780"/>
    <w:rsid w:val="003E0C88"/>
    <w:rsid w:val="003E2D72"/>
    <w:rsid w:val="003E4E42"/>
    <w:rsid w:val="003E5678"/>
    <w:rsid w:val="003F293A"/>
    <w:rsid w:val="003F3BBB"/>
    <w:rsid w:val="003F5B61"/>
    <w:rsid w:val="00402328"/>
    <w:rsid w:val="00402F3C"/>
    <w:rsid w:val="00403942"/>
    <w:rsid w:val="00404BDF"/>
    <w:rsid w:val="004050DD"/>
    <w:rsid w:val="0040686E"/>
    <w:rsid w:val="004102CA"/>
    <w:rsid w:val="004107E2"/>
    <w:rsid w:val="00411522"/>
    <w:rsid w:val="00411BCD"/>
    <w:rsid w:val="0041250E"/>
    <w:rsid w:val="004125A6"/>
    <w:rsid w:val="00421C4C"/>
    <w:rsid w:val="00427209"/>
    <w:rsid w:val="004274A4"/>
    <w:rsid w:val="00427D13"/>
    <w:rsid w:val="00431A04"/>
    <w:rsid w:val="00431F08"/>
    <w:rsid w:val="004320E4"/>
    <w:rsid w:val="00432221"/>
    <w:rsid w:val="00432B36"/>
    <w:rsid w:val="00435EB5"/>
    <w:rsid w:val="00440192"/>
    <w:rsid w:val="00442B82"/>
    <w:rsid w:val="0044315B"/>
    <w:rsid w:val="004511D8"/>
    <w:rsid w:val="00451387"/>
    <w:rsid w:val="004516A3"/>
    <w:rsid w:val="0045301D"/>
    <w:rsid w:val="00453E39"/>
    <w:rsid w:val="004548E1"/>
    <w:rsid w:val="00454B18"/>
    <w:rsid w:val="00454FD9"/>
    <w:rsid w:val="004568D3"/>
    <w:rsid w:val="004604FB"/>
    <w:rsid w:val="00462394"/>
    <w:rsid w:val="004624E6"/>
    <w:rsid w:val="00463A79"/>
    <w:rsid w:val="004644FF"/>
    <w:rsid w:val="00464C30"/>
    <w:rsid w:val="004663D7"/>
    <w:rsid w:val="00466CDA"/>
    <w:rsid w:val="00472507"/>
    <w:rsid w:val="00474D29"/>
    <w:rsid w:val="00476605"/>
    <w:rsid w:val="00477914"/>
    <w:rsid w:val="00481AF7"/>
    <w:rsid w:val="004827E7"/>
    <w:rsid w:val="00483329"/>
    <w:rsid w:val="0048379F"/>
    <w:rsid w:val="004931BF"/>
    <w:rsid w:val="004947C1"/>
    <w:rsid w:val="004962B5"/>
    <w:rsid w:val="0049718E"/>
    <w:rsid w:val="004A00B9"/>
    <w:rsid w:val="004A073C"/>
    <w:rsid w:val="004A15A4"/>
    <w:rsid w:val="004A3B80"/>
    <w:rsid w:val="004A519A"/>
    <w:rsid w:val="004A7473"/>
    <w:rsid w:val="004A787D"/>
    <w:rsid w:val="004B4E97"/>
    <w:rsid w:val="004B79ED"/>
    <w:rsid w:val="004C1FB5"/>
    <w:rsid w:val="004C4B3D"/>
    <w:rsid w:val="004C5A6D"/>
    <w:rsid w:val="004C73CA"/>
    <w:rsid w:val="004D3ED0"/>
    <w:rsid w:val="004D5CBE"/>
    <w:rsid w:val="004D608C"/>
    <w:rsid w:val="004D6690"/>
    <w:rsid w:val="004D71C7"/>
    <w:rsid w:val="004E1446"/>
    <w:rsid w:val="004E1A14"/>
    <w:rsid w:val="004E2085"/>
    <w:rsid w:val="004E6312"/>
    <w:rsid w:val="004E78BA"/>
    <w:rsid w:val="004F37F7"/>
    <w:rsid w:val="004F46C7"/>
    <w:rsid w:val="004F5B91"/>
    <w:rsid w:val="004F6FB6"/>
    <w:rsid w:val="00503B39"/>
    <w:rsid w:val="00505C60"/>
    <w:rsid w:val="0051378E"/>
    <w:rsid w:val="00516A4C"/>
    <w:rsid w:val="005201C8"/>
    <w:rsid w:val="00520689"/>
    <w:rsid w:val="00520D36"/>
    <w:rsid w:val="00520EA7"/>
    <w:rsid w:val="00522653"/>
    <w:rsid w:val="00524628"/>
    <w:rsid w:val="00524C76"/>
    <w:rsid w:val="00525024"/>
    <w:rsid w:val="005263BE"/>
    <w:rsid w:val="005266C9"/>
    <w:rsid w:val="00527339"/>
    <w:rsid w:val="00530173"/>
    <w:rsid w:val="005306B5"/>
    <w:rsid w:val="00531353"/>
    <w:rsid w:val="00532126"/>
    <w:rsid w:val="00532AA5"/>
    <w:rsid w:val="0053733A"/>
    <w:rsid w:val="005373A5"/>
    <w:rsid w:val="005411A1"/>
    <w:rsid w:val="0054192E"/>
    <w:rsid w:val="005433D5"/>
    <w:rsid w:val="005458C8"/>
    <w:rsid w:val="00547EA5"/>
    <w:rsid w:val="005509F0"/>
    <w:rsid w:val="0055105A"/>
    <w:rsid w:val="005524A0"/>
    <w:rsid w:val="005525C2"/>
    <w:rsid w:val="0055796E"/>
    <w:rsid w:val="00563CB1"/>
    <w:rsid w:val="00564B9E"/>
    <w:rsid w:val="00570AD9"/>
    <w:rsid w:val="0057133E"/>
    <w:rsid w:val="0057203A"/>
    <w:rsid w:val="00573442"/>
    <w:rsid w:val="00575461"/>
    <w:rsid w:val="00576AC9"/>
    <w:rsid w:val="00583A1B"/>
    <w:rsid w:val="00591191"/>
    <w:rsid w:val="005927A5"/>
    <w:rsid w:val="00593791"/>
    <w:rsid w:val="00597833"/>
    <w:rsid w:val="005A0A47"/>
    <w:rsid w:val="005A1E5D"/>
    <w:rsid w:val="005A20B7"/>
    <w:rsid w:val="005A438E"/>
    <w:rsid w:val="005A5EFF"/>
    <w:rsid w:val="005A5F7D"/>
    <w:rsid w:val="005A755D"/>
    <w:rsid w:val="005A79AE"/>
    <w:rsid w:val="005B1B10"/>
    <w:rsid w:val="005B1B7B"/>
    <w:rsid w:val="005B1F08"/>
    <w:rsid w:val="005B4396"/>
    <w:rsid w:val="005B4C16"/>
    <w:rsid w:val="005B50B5"/>
    <w:rsid w:val="005B5660"/>
    <w:rsid w:val="005C0278"/>
    <w:rsid w:val="005C04A0"/>
    <w:rsid w:val="005C07C5"/>
    <w:rsid w:val="005C08C3"/>
    <w:rsid w:val="005C2BBF"/>
    <w:rsid w:val="005C395E"/>
    <w:rsid w:val="005C3D2E"/>
    <w:rsid w:val="005C5D8A"/>
    <w:rsid w:val="005C6AF8"/>
    <w:rsid w:val="005C7022"/>
    <w:rsid w:val="005D00C6"/>
    <w:rsid w:val="005D57E7"/>
    <w:rsid w:val="005D63AA"/>
    <w:rsid w:val="005D6AB6"/>
    <w:rsid w:val="005D72B1"/>
    <w:rsid w:val="005E2FA7"/>
    <w:rsid w:val="005E3588"/>
    <w:rsid w:val="005E38AA"/>
    <w:rsid w:val="005E4361"/>
    <w:rsid w:val="005E48FB"/>
    <w:rsid w:val="005F041E"/>
    <w:rsid w:val="005F5B26"/>
    <w:rsid w:val="005F702B"/>
    <w:rsid w:val="00600077"/>
    <w:rsid w:val="0060058B"/>
    <w:rsid w:val="00600F8C"/>
    <w:rsid w:val="00602BD9"/>
    <w:rsid w:val="00603924"/>
    <w:rsid w:val="00605212"/>
    <w:rsid w:val="00606A11"/>
    <w:rsid w:val="00607E9B"/>
    <w:rsid w:val="006111E4"/>
    <w:rsid w:val="0061180D"/>
    <w:rsid w:val="00611B4A"/>
    <w:rsid w:val="006144EB"/>
    <w:rsid w:val="00614679"/>
    <w:rsid w:val="00614708"/>
    <w:rsid w:val="00615781"/>
    <w:rsid w:val="0061612E"/>
    <w:rsid w:val="00617F3D"/>
    <w:rsid w:val="00622A65"/>
    <w:rsid w:val="00622DE0"/>
    <w:rsid w:val="006232C9"/>
    <w:rsid w:val="006243B8"/>
    <w:rsid w:val="006251BA"/>
    <w:rsid w:val="0062746B"/>
    <w:rsid w:val="006302CA"/>
    <w:rsid w:val="006307CB"/>
    <w:rsid w:val="006307CE"/>
    <w:rsid w:val="00633764"/>
    <w:rsid w:val="0063430B"/>
    <w:rsid w:val="00634A38"/>
    <w:rsid w:val="00635273"/>
    <w:rsid w:val="0063533D"/>
    <w:rsid w:val="00635677"/>
    <w:rsid w:val="006368F4"/>
    <w:rsid w:val="00637F24"/>
    <w:rsid w:val="00643918"/>
    <w:rsid w:val="00644137"/>
    <w:rsid w:val="00654F76"/>
    <w:rsid w:val="0065572F"/>
    <w:rsid w:val="00666059"/>
    <w:rsid w:val="00667F52"/>
    <w:rsid w:val="006702E2"/>
    <w:rsid w:val="006749BC"/>
    <w:rsid w:val="00674FC8"/>
    <w:rsid w:val="006761EE"/>
    <w:rsid w:val="00677C20"/>
    <w:rsid w:val="006805E9"/>
    <w:rsid w:val="00683250"/>
    <w:rsid w:val="00683D8B"/>
    <w:rsid w:val="00685F61"/>
    <w:rsid w:val="006901C2"/>
    <w:rsid w:val="0069307C"/>
    <w:rsid w:val="00693590"/>
    <w:rsid w:val="006950B3"/>
    <w:rsid w:val="00696087"/>
    <w:rsid w:val="00697DE8"/>
    <w:rsid w:val="006A133F"/>
    <w:rsid w:val="006A2310"/>
    <w:rsid w:val="006B04DF"/>
    <w:rsid w:val="006B0D00"/>
    <w:rsid w:val="006B11CE"/>
    <w:rsid w:val="006B17C0"/>
    <w:rsid w:val="006B4976"/>
    <w:rsid w:val="006B7B2F"/>
    <w:rsid w:val="006B7C3F"/>
    <w:rsid w:val="006D0D85"/>
    <w:rsid w:val="006D289C"/>
    <w:rsid w:val="006D4D3A"/>
    <w:rsid w:val="006E0452"/>
    <w:rsid w:val="006E180D"/>
    <w:rsid w:val="006E2848"/>
    <w:rsid w:val="006E43C0"/>
    <w:rsid w:val="006E4C6B"/>
    <w:rsid w:val="006E52FD"/>
    <w:rsid w:val="006E7454"/>
    <w:rsid w:val="006F36CE"/>
    <w:rsid w:val="006F3BE0"/>
    <w:rsid w:val="006F3F63"/>
    <w:rsid w:val="006F474D"/>
    <w:rsid w:val="006F7224"/>
    <w:rsid w:val="006F7735"/>
    <w:rsid w:val="00700047"/>
    <w:rsid w:val="00700D2C"/>
    <w:rsid w:val="00701443"/>
    <w:rsid w:val="00702715"/>
    <w:rsid w:val="00703598"/>
    <w:rsid w:val="007047ED"/>
    <w:rsid w:val="007049F6"/>
    <w:rsid w:val="007058BC"/>
    <w:rsid w:val="00705C86"/>
    <w:rsid w:val="00705D28"/>
    <w:rsid w:val="00711F7B"/>
    <w:rsid w:val="00713F59"/>
    <w:rsid w:val="0071651F"/>
    <w:rsid w:val="00716DF0"/>
    <w:rsid w:val="00727C40"/>
    <w:rsid w:val="007300CB"/>
    <w:rsid w:val="007316C9"/>
    <w:rsid w:val="00732C58"/>
    <w:rsid w:val="007331A5"/>
    <w:rsid w:val="007338D9"/>
    <w:rsid w:val="00733FB4"/>
    <w:rsid w:val="00734167"/>
    <w:rsid w:val="00735234"/>
    <w:rsid w:val="00735BBD"/>
    <w:rsid w:val="00736519"/>
    <w:rsid w:val="00737B10"/>
    <w:rsid w:val="00740EF1"/>
    <w:rsid w:val="00741DB8"/>
    <w:rsid w:val="007445D2"/>
    <w:rsid w:val="007452BF"/>
    <w:rsid w:val="00747225"/>
    <w:rsid w:val="00751171"/>
    <w:rsid w:val="0075307D"/>
    <w:rsid w:val="0075361E"/>
    <w:rsid w:val="00754126"/>
    <w:rsid w:val="00754675"/>
    <w:rsid w:val="00760011"/>
    <w:rsid w:val="00760534"/>
    <w:rsid w:val="007618DE"/>
    <w:rsid w:val="00761E27"/>
    <w:rsid w:val="007627E8"/>
    <w:rsid w:val="00762898"/>
    <w:rsid w:val="00762AEA"/>
    <w:rsid w:val="00763729"/>
    <w:rsid w:val="00765DAE"/>
    <w:rsid w:val="00767D06"/>
    <w:rsid w:val="0077044D"/>
    <w:rsid w:val="007704CE"/>
    <w:rsid w:val="0077162F"/>
    <w:rsid w:val="00772C78"/>
    <w:rsid w:val="00772EC8"/>
    <w:rsid w:val="00777C1C"/>
    <w:rsid w:val="00777FF3"/>
    <w:rsid w:val="00781331"/>
    <w:rsid w:val="00781D13"/>
    <w:rsid w:val="007822A5"/>
    <w:rsid w:val="00784D9D"/>
    <w:rsid w:val="00787117"/>
    <w:rsid w:val="007873C4"/>
    <w:rsid w:val="00787B22"/>
    <w:rsid w:val="007901A3"/>
    <w:rsid w:val="00794816"/>
    <w:rsid w:val="007A2E6D"/>
    <w:rsid w:val="007A3607"/>
    <w:rsid w:val="007A4D8E"/>
    <w:rsid w:val="007A6AC9"/>
    <w:rsid w:val="007A7B5E"/>
    <w:rsid w:val="007B0122"/>
    <w:rsid w:val="007B4B0D"/>
    <w:rsid w:val="007B6467"/>
    <w:rsid w:val="007B6B38"/>
    <w:rsid w:val="007B77A4"/>
    <w:rsid w:val="007C581E"/>
    <w:rsid w:val="007C5D5C"/>
    <w:rsid w:val="007D06DF"/>
    <w:rsid w:val="007D0A5B"/>
    <w:rsid w:val="007D1650"/>
    <w:rsid w:val="007D2465"/>
    <w:rsid w:val="007D252C"/>
    <w:rsid w:val="007D258E"/>
    <w:rsid w:val="007D4233"/>
    <w:rsid w:val="007E0574"/>
    <w:rsid w:val="007E1A96"/>
    <w:rsid w:val="007E3126"/>
    <w:rsid w:val="007E4062"/>
    <w:rsid w:val="007E6A2E"/>
    <w:rsid w:val="007E78CE"/>
    <w:rsid w:val="007E78E9"/>
    <w:rsid w:val="007F04BE"/>
    <w:rsid w:val="007F3601"/>
    <w:rsid w:val="007F385D"/>
    <w:rsid w:val="007F485C"/>
    <w:rsid w:val="007F4ECE"/>
    <w:rsid w:val="00801004"/>
    <w:rsid w:val="00801A0B"/>
    <w:rsid w:val="00801A3E"/>
    <w:rsid w:val="00802604"/>
    <w:rsid w:val="00802C96"/>
    <w:rsid w:val="0080317D"/>
    <w:rsid w:val="00805D8B"/>
    <w:rsid w:val="00807477"/>
    <w:rsid w:val="0081024B"/>
    <w:rsid w:val="00811001"/>
    <w:rsid w:val="00812F0E"/>
    <w:rsid w:val="0081437F"/>
    <w:rsid w:val="00815EE7"/>
    <w:rsid w:val="00820BD7"/>
    <w:rsid w:val="00820D61"/>
    <w:rsid w:val="00822253"/>
    <w:rsid w:val="00823697"/>
    <w:rsid w:val="00823A1A"/>
    <w:rsid w:val="00823A1D"/>
    <w:rsid w:val="00827DA3"/>
    <w:rsid w:val="008300E2"/>
    <w:rsid w:val="00830A5A"/>
    <w:rsid w:val="00831CC3"/>
    <w:rsid w:val="008325CC"/>
    <w:rsid w:val="00832D1F"/>
    <w:rsid w:val="00835E39"/>
    <w:rsid w:val="008360C2"/>
    <w:rsid w:val="008407F9"/>
    <w:rsid w:val="00842E1B"/>
    <w:rsid w:val="00843107"/>
    <w:rsid w:val="0084332D"/>
    <w:rsid w:val="008441D8"/>
    <w:rsid w:val="00851673"/>
    <w:rsid w:val="00855148"/>
    <w:rsid w:val="00855E39"/>
    <w:rsid w:val="00855F33"/>
    <w:rsid w:val="00857C72"/>
    <w:rsid w:val="00860603"/>
    <w:rsid w:val="00860E7F"/>
    <w:rsid w:val="00862512"/>
    <w:rsid w:val="00865CC7"/>
    <w:rsid w:val="008703FC"/>
    <w:rsid w:val="00876FAF"/>
    <w:rsid w:val="0087790F"/>
    <w:rsid w:val="0088052D"/>
    <w:rsid w:val="00882B79"/>
    <w:rsid w:val="00883F16"/>
    <w:rsid w:val="00884FFA"/>
    <w:rsid w:val="00886733"/>
    <w:rsid w:val="00887545"/>
    <w:rsid w:val="00887739"/>
    <w:rsid w:val="008938E5"/>
    <w:rsid w:val="00896302"/>
    <w:rsid w:val="008968C7"/>
    <w:rsid w:val="008A0309"/>
    <w:rsid w:val="008A1FA3"/>
    <w:rsid w:val="008A4583"/>
    <w:rsid w:val="008A5788"/>
    <w:rsid w:val="008A7BF5"/>
    <w:rsid w:val="008B0D34"/>
    <w:rsid w:val="008B1959"/>
    <w:rsid w:val="008B31E3"/>
    <w:rsid w:val="008B67AF"/>
    <w:rsid w:val="008B718C"/>
    <w:rsid w:val="008C096A"/>
    <w:rsid w:val="008C484A"/>
    <w:rsid w:val="008C5A1E"/>
    <w:rsid w:val="008D30B3"/>
    <w:rsid w:val="008E0220"/>
    <w:rsid w:val="008E027F"/>
    <w:rsid w:val="008E0F6C"/>
    <w:rsid w:val="008E127C"/>
    <w:rsid w:val="008E1450"/>
    <w:rsid w:val="008E1557"/>
    <w:rsid w:val="008E3D7B"/>
    <w:rsid w:val="008E7109"/>
    <w:rsid w:val="008E76D0"/>
    <w:rsid w:val="008F06EA"/>
    <w:rsid w:val="008F1C64"/>
    <w:rsid w:val="008F1CD8"/>
    <w:rsid w:val="008F5D4E"/>
    <w:rsid w:val="008F61D9"/>
    <w:rsid w:val="008F7362"/>
    <w:rsid w:val="008F7992"/>
    <w:rsid w:val="00901356"/>
    <w:rsid w:val="0090397F"/>
    <w:rsid w:val="00903C7D"/>
    <w:rsid w:val="009045FC"/>
    <w:rsid w:val="00906228"/>
    <w:rsid w:val="00910F1C"/>
    <w:rsid w:val="00915A93"/>
    <w:rsid w:val="009164F6"/>
    <w:rsid w:val="00917760"/>
    <w:rsid w:val="009200ED"/>
    <w:rsid w:val="0092017C"/>
    <w:rsid w:val="00920CBC"/>
    <w:rsid w:val="00920F50"/>
    <w:rsid w:val="009211CC"/>
    <w:rsid w:val="009244F6"/>
    <w:rsid w:val="00925BA7"/>
    <w:rsid w:val="00925FFD"/>
    <w:rsid w:val="0092606C"/>
    <w:rsid w:val="009314CC"/>
    <w:rsid w:val="009328C7"/>
    <w:rsid w:val="00934196"/>
    <w:rsid w:val="00934FE0"/>
    <w:rsid w:val="00936D4F"/>
    <w:rsid w:val="0094739F"/>
    <w:rsid w:val="00950710"/>
    <w:rsid w:val="009540EF"/>
    <w:rsid w:val="00955F9F"/>
    <w:rsid w:val="009601FB"/>
    <w:rsid w:val="0096250F"/>
    <w:rsid w:val="009663DF"/>
    <w:rsid w:val="00970AAF"/>
    <w:rsid w:val="00970B0C"/>
    <w:rsid w:val="00972129"/>
    <w:rsid w:val="00976EE0"/>
    <w:rsid w:val="009812BD"/>
    <w:rsid w:val="00983496"/>
    <w:rsid w:val="009835BE"/>
    <w:rsid w:val="00987E98"/>
    <w:rsid w:val="00991996"/>
    <w:rsid w:val="00993F5E"/>
    <w:rsid w:val="00995ADE"/>
    <w:rsid w:val="009A1F52"/>
    <w:rsid w:val="009A2C20"/>
    <w:rsid w:val="009A309C"/>
    <w:rsid w:val="009A50F0"/>
    <w:rsid w:val="009A5EAF"/>
    <w:rsid w:val="009A7BA3"/>
    <w:rsid w:val="009B4E63"/>
    <w:rsid w:val="009B679E"/>
    <w:rsid w:val="009B7C01"/>
    <w:rsid w:val="009C0437"/>
    <w:rsid w:val="009C2063"/>
    <w:rsid w:val="009C2509"/>
    <w:rsid w:val="009C38C9"/>
    <w:rsid w:val="009C474A"/>
    <w:rsid w:val="009C601D"/>
    <w:rsid w:val="009C6A9D"/>
    <w:rsid w:val="009D07E4"/>
    <w:rsid w:val="009D3596"/>
    <w:rsid w:val="009D47F5"/>
    <w:rsid w:val="009D59FD"/>
    <w:rsid w:val="009D630A"/>
    <w:rsid w:val="009D6F8A"/>
    <w:rsid w:val="009E0096"/>
    <w:rsid w:val="009E0D88"/>
    <w:rsid w:val="009E102E"/>
    <w:rsid w:val="009E14F5"/>
    <w:rsid w:val="009E2280"/>
    <w:rsid w:val="009E420D"/>
    <w:rsid w:val="009E4360"/>
    <w:rsid w:val="009E44C3"/>
    <w:rsid w:val="009E5D55"/>
    <w:rsid w:val="009E6894"/>
    <w:rsid w:val="009F0A23"/>
    <w:rsid w:val="009F0BB2"/>
    <w:rsid w:val="009F1070"/>
    <w:rsid w:val="009F1D76"/>
    <w:rsid w:val="009F391D"/>
    <w:rsid w:val="009F39B6"/>
    <w:rsid w:val="009F39C8"/>
    <w:rsid w:val="009F3A19"/>
    <w:rsid w:val="009F3B38"/>
    <w:rsid w:val="009F44AA"/>
    <w:rsid w:val="009F64F3"/>
    <w:rsid w:val="00A020C9"/>
    <w:rsid w:val="00A05439"/>
    <w:rsid w:val="00A076E1"/>
    <w:rsid w:val="00A07816"/>
    <w:rsid w:val="00A10E1E"/>
    <w:rsid w:val="00A12127"/>
    <w:rsid w:val="00A1324B"/>
    <w:rsid w:val="00A149E4"/>
    <w:rsid w:val="00A17C4E"/>
    <w:rsid w:val="00A17E05"/>
    <w:rsid w:val="00A21DD8"/>
    <w:rsid w:val="00A26CF5"/>
    <w:rsid w:val="00A32EE6"/>
    <w:rsid w:val="00A33BB8"/>
    <w:rsid w:val="00A33EF2"/>
    <w:rsid w:val="00A33F4B"/>
    <w:rsid w:val="00A41449"/>
    <w:rsid w:val="00A429C1"/>
    <w:rsid w:val="00A43060"/>
    <w:rsid w:val="00A4599F"/>
    <w:rsid w:val="00A45D8E"/>
    <w:rsid w:val="00A46382"/>
    <w:rsid w:val="00A47BDC"/>
    <w:rsid w:val="00A47CE6"/>
    <w:rsid w:val="00A52E15"/>
    <w:rsid w:val="00A54ADA"/>
    <w:rsid w:val="00A56AD6"/>
    <w:rsid w:val="00A57E33"/>
    <w:rsid w:val="00A602B7"/>
    <w:rsid w:val="00A60D2E"/>
    <w:rsid w:val="00A60F8E"/>
    <w:rsid w:val="00A61050"/>
    <w:rsid w:val="00A631F1"/>
    <w:rsid w:val="00A66C34"/>
    <w:rsid w:val="00A710D5"/>
    <w:rsid w:val="00A715F8"/>
    <w:rsid w:val="00A735C1"/>
    <w:rsid w:val="00A73CEE"/>
    <w:rsid w:val="00A749E5"/>
    <w:rsid w:val="00A762AF"/>
    <w:rsid w:val="00A7638A"/>
    <w:rsid w:val="00A77F83"/>
    <w:rsid w:val="00A81EDB"/>
    <w:rsid w:val="00A8365A"/>
    <w:rsid w:val="00A83F06"/>
    <w:rsid w:val="00A8624D"/>
    <w:rsid w:val="00A87844"/>
    <w:rsid w:val="00A91B57"/>
    <w:rsid w:val="00A93AE3"/>
    <w:rsid w:val="00AA0D68"/>
    <w:rsid w:val="00AA14A8"/>
    <w:rsid w:val="00AA1707"/>
    <w:rsid w:val="00AA1A2D"/>
    <w:rsid w:val="00AA50A4"/>
    <w:rsid w:val="00AA58E3"/>
    <w:rsid w:val="00AA5CF7"/>
    <w:rsid w:val="00AB3631"/>
    <w:rsid w:val="00AB612E"/>
    <w:rsid w:val="00AC31B5"/>
    <w:rsid w:val="00AC31DB"/>
    <w:rsid w:val="00AC610A"/>
    <w:rsid w:val="00AC697D"/>
    <w:rsid w:val="00AD1AF7"/>
    <w:rsid w:val="00AD3AE9"/>
    <w:rsid w:val="00AD6441"/>
    <w:rsid w:val="00AD64F7"/>
    <w:rsid w:val="00AE612F"/>
    <w:rsid w:val="00AE7B64"/>
    <w:rsid w:val="00AF5F94"/>
    <w:rsid w:val="00AF6318"/>
    <w:rsid w:val="00AF706D"/>
    <w:rsid w:val="00B03ECC"/>
    <w:rsid w:val="00B06002"/>
    <w:rsid w:val="00B11CD7"/>
    <w:rsid w:val="00B12D26"/>
    <w:rsid w:val="00B15983"/>
    <w:rsid w:val="00B15E66"/>
    <w:rsid w:val="00B16332"/>
    <w:rsid w:val="00B172FE"/>
    <w:rsid w:val="00B17BE0"/>
    <w:rsid w:val="00B20576"/>
    <w:rsid w:val="00B20E08"/>
    <w:rsid w:val="00B23820"/>
    <w:rsid w:val="00B23ADF"/>
    <w:rsid w:val="00B24DC2"/>
    <w:rsid w:val="00B269E6"/>
    <w:rsid w:val="00B26F25"/>
    <w:rsid w:val="00B2721A"/>
    <w:rsid w:val="00B277E2"/>
    <w:rsid w:val="00B30B94"/>
    <w:rsid w:val="00B32674"/>
    <w:rsid w:val="00B33955"/>
    <w:rsid w:val="00B339CA"/>
    <w:rsid w:val="00B357CD"/>
    <w:rsid w:val="00B37014"/>
    <w:rsid w:val="00B37D41"/>
    <w:rsid w:val="00B4242B"/>
    <w:rsid w:val="00B42A71"/>
    <w:rsid w:val="00B45B17"/>
    <w:rsid w:val="00B45C82"/>
    <w:rsid w:val="00B4630E"/>
    <w:rsid w:val="00B47AFF"/>
    <w:rsid w:val="00B50571"/>
    <w:rsid w:val="00B50A21"/>
    <w:rsid w:val="00B51371"/>
    <w:rsid w:val="00B518DF"/>
    <w:rsid w:val="00B52FF6"/>
    <w:rsid w:val="00B5393F"/>
    <w:rsid w:val="00B5620B"/>
    <w:rsid w:val="00B566B0"/>
    <w:rsid w:val="00B61781"/>
    <w:rsid w:val="00B61C57"/>
    <w:rsid w:val="00B6268C"/>
    <w:rsid w:val="00B62EF6"/>
    <w:rsid w:val="00B70C89"/>
    <w:rsid w:val="00B7273C"/>
    <w:rsid w:val="00B759D0"/>
    <w:rsid w:val="00B75FDA"/>
    <w:rsid w:val="00B76712"/>
    <w:rsid w:val="00B76F55"/>
    <w:rsid w:val="00B7731B"/>
    <w:rsid w:val="00B80FF0"/>
    <w:rsid w:val="00B81E82"/>
    <w:rsid w:val="00B8387F"/>
    <w:rsid w:val="00B854BC"/>
    <w:rsid w:val="00B90D27"/>
    <w:rsid w:val="00B922AC"/>
    <w:rsid w:val="00B923D8"/>
    <w:rsid w:val="00B929BD"/>
    <w:rsid w:val="00B93E5A"/>
    <w:rsid w:val="00B95C31"/>
    <w:rsid w:val="00B96588"/>
    <w:rsid w:val="00B97EF1"/>
    <w:rsid w:val="00BA0B33"/>
    <w:rsid w:val="00BA0F3C"/>
    <w:rsid w:val="00BA1134"/>
    <w:rsid w:val="00BA3209"/>
    <w:rsid w:val="00BA7045"/>
    <w:rsid w:val="00BA7EAE"/>
    <w:rsid w:val="00BB0241"/>
    <w:rsid w:val="00BB0820"/>
    <w:rsid w:val="00BB2DD9"/>
    <w:rsid w:val="00BB63BF"/>
    <w:rsid w:val="00BB6ACC"/>
    <w:rsid w:val="00BB6CE6"/>
    <w:rsid w:val="00BB6E0B"/>
    <w:rsid w:val="00BC1309"/>
    <w:rsid w:val="00BC15F7"/>
    <w:rsid w:val="00BC2332"/>
    <w:rsid w:val="00BC30A0"/>
    <w:rsid w:val="00BC3887"/>
    <w:rsid w:val="00BC3EE8"/>
    <w:rsid w:val="00BC4B33"/>
    <w:rsid w:val="00BC553E"/>
    <w:rsid w:val="00BC7153"/>
    <w:rsid w:val="00BD010C"/>
    <w:rsid w:val="00BD1308"/>
    <w:rsid w:val="00BD1DC4"/>
    <w:rsid w:val="00BD2961"/>
    <w:rsid w:val="00BD36AF"/>
    <w:rsid w:val="00BD485B"/>
    <w:rsid w:val="00BD48DA"/>
    <w:rsid w:val="00BD706D"/>
    <w:rsid w:val="00BE2804"/>
    <w:rsid w:val="00BE5373"/>
    <w:rsid w:val="00BE53A2"/>
    <w:rsid w:val="00BE5802"/>
    <w:rsid w:val="00BE613C"/>
    <w:rsid w:val="00BE6B90"/>
    <w:rsid w:val="00BE77E9"/>
    <w:rsid w:val="00BF064B"/>
    <w:rsid w:val="00BF1C6B"/>
    <w:rsid w:val="00BF2CA6"/>
    <w:rsid w:val="00BF2EA0"/>
    <w:rsid w:val="00BF364B"/>
    <w:rsid w:val="00BF429E"/>
    <w:rsid w:val="00BF455C"/>
    <w:rsid w:val="00BF600F"/>
    <w:rsid w:val="00BF6814"/>
    <w:rsid w:val="00C06B0A"/>
    <w:rsid w:val="00C13513"/>
    <w:rsid w:val="00C14B1F"/>
    <w:rsid w:val="00C15425"/>
    <w:rsid w:val="00C17673"/>
    <w:rsid w:val="00C17ED1"/>
    <w:rsid w:val="00C22495"/>
    <w:rsid w:val="00C229E4"/>
    <w:rsid w:val="00C2309E"/>
    <w:rsid w:val="00C23774"/>
    <w:rsid w:val="00C24628"/>
    <w:rsid w:val="00C24947"/>
    <w:rsid w:val="00C27EA5"/>
    <w:rsid w:val="00C30BFF"/>
    <w:rsid w:val="00C3133C"/>
    <w:rsid w:val="00C31531"/>
    <w:rsid w:val="00C33D4A"/>
    <w:rsid w:val="00C35F96"/>
    <w:rsid w:val="00C36AC3"/>
    <w:rsid w:val="00C36B60"/>
    <w:rsid w:val="00C4001E"/>
    <w:rsid w:val="00C430D3"/>
    <w:rsid w:val="00C43726"/>
    <w:rsid w:val="00C45EC3"/>
    <w:rsid w:val="00C46509"/>
    <w:rsid w:val="00C47941"/>
    <w:rsid w:val="00C511FF"/>
    <w:rsid w:val="00C56E91"/>
    <w:rsid w:val="00C6235C"/>
    <w:rsid w:val="00C62F0D"/>
    <w:rsid w:val="00C64689"/>
    <w:rsid w:val="00C703FA"/>
    <w:rsid w:val="00C708BA"/>
    <w:rsid w:val="00C70AF6"/>
    <w:rsid w:val="00C71082"/>
    <w:rsid w:val="00C74003"/>
    <w:rsid w:val="00C75CDF"/>
    <w:rsid w:val="00C772FE"/>
    <w:rsid w:val="00C77F80"/>
    <w:rsid w:val="00C81D4D"/>
    <w:rsid w:val="00C82DD4"/>
    <w:rsid w:val="00C83892"/>
    <w:rsid w:val="00C858C2"/>
    <w:rsid w:val="00C865ED"/>
    <w:rsid w:val="00C86EA3"/>
    <w:rsid w:val="00C875E3"/>
    <w:rsid w:val="00C879D6"/>
    <w:rsid w:val="00C910DA"/>
    <w:rsid w:val="00C92B0B"/>
    <w:rsid w:val="00C946B4"/>
    <w:rsid w:val="00C950C4"/>
    <w:rsid w:val="00C95566"/>
    <w:rsid w:val="00CA0A3B"/>
    <w:rsid w:val="00CA0DF7"/>
    <w:rsid w:val="00CA25D5"/>
    <w:rsid w:val="00CA25F3"/>
    <w:rsid w:val="00CA59DE"/>
    <w:rsid w:val="00CB17AA"/>
    <w:rsid w:val="00CB2726"/>
    <w:rsid w:val="00CB2F7C"/>
    <w:rsid w:val="00CB43A6"/>
    <w:rsid w:val="00CC40B2"/>
    <w:rsid w:val="00CC4519"/>
    <w:rsid w:val="00CC61CA"/>
    <w:rsid w:val="00CD241A"/>
    <w:rsid w:val="00CD243A"/>
    <w:rsid w:val="00CD4727"/>
    <w:rsid w:val="00CD4FED"/>
    <w:rsid w:val="00CD53F0"/>
    <w:rsid w:val="00CE0025"/>
    <w:rsid w:val="00CE0E4A"/>
    <w:rsid w:val="00CE29AB"/>
    <w:rsid w:val="00CE3808"/>
    <w:rsid w:val="00CE46F0"/>
    <w:rsid w:val="00CE548A"/>
    <w:rsid w:val="00CE6D18"/>
    <w:rsid w:val="00CE6F2D"/>
    <w:rsid w:val="00CF0F6C"/>
    <w:rsid w:val="00CF420F"/>
    <w:rsid w:val="00CF48D0"/>
    <w:rsid w:val="00CF628C"/>
    <w:rsid w:val="00CF6D97"/>
    <w:rsid w:val="00CF7EE9"/>
    <w:rsid w:val="00D00D7A"/>
    <w:rsid w:val="00D025EF"/>
    <w:rsid w:val="00D02891"/>
    <w:rsid w:val="00D042DB"/>
    <w:rsid w:val="00D05028"/>
    <w:rsid w:val="00D055F5"/>
    <w:rsid w:val="00D10726"/>
    <w:rsid w:val="00D11B7E"/>
    <w:rsid w:val="00D1259D"/>
    <w:rsid w:val="00D1505E"/>
    <w:rsid w:val="00D15B72"/>
    <w:rsid w:val="00D176E2"/>
    <w:rsid w:val="00D2147F"/>
    <w:rsid w:val="00D22593"/>
    <w:rsid w:val="00D23A37"/>
    <w:rsid w:val="00D251C7"/>
    <w:rsid w:val="00D25713"/>
    <w:rsid w:val="00D2726A"/>
    <w:rsid w:val="00D31788"/>
    <w:rsid w:val="00D320CF"/>
    <w:rsid w:val="00D33B7D"/>
    <w:rsid w:val="00D342A0"/>
    <w:rsid w:val="00D34BA0"/>
    <w:rsid w:val="00D34E44"/>
    <w:rsid w:val="00D357EC"/>
    <w:rsid w:val="00D36855"/>
    <w:rsid w:val="00D36DB0"/>
    <w:rsid w:val="00D37DFF"/>
    <w:rsid w:val="00D42124"/>
    <w:rsid w:val="00D43DF7"/>
    <w:rsid w:val="00D43E53"/>
    <w:rsid w:val="00D46788"/>
    <w:rsid w:val="00D52571"/>
    <w:rsid w:val="00D551C5"/>
    <w:rsid w:val="00D56830"/>
    <w:rsid w:val="00D56B14"/>
    <w:rsid w:val="00D5713D"/>
    <w:rsid w:val="00D63BD8"/>
    <w:rsid w:val="00D65A8D"/>
    <w:rsid w:val="00D67528"/>
    <w:rsid w:val="00D719EA"/>
    <w:rsid w:val="00D7639A"/>
    <w:rsid w:val="00D82AE2"/>
    <w:rsid w:val="00D854DC"/>
    <w:rsid w:val="00D86429"/>
    <w:rsid w:val="00D86438"/>
    <w:rsid w:val="00D87876"/>
    <w:rsid w:val="00D9264C"/>
    <w:rsid w:val="00D9367A"/>
    <w:rsid w:val="00D95AEC"/>
    <w:rsid w:val="00D96356"/>
    <w:rsid w:val="00DA134B"/>
    <w:rsid w:val="00DA1FED"/>
    <w:rsid w:val="00DA38D4"/>
    <w:rsid w:val="00DA3F96"/>
    <w:rsid w:val="00DA409B"/>
    <w:rsid w:val="00DA413A"/>
    <w:rsid w:val="00DA5FED"/>
    <w:rsid w:val="00DA6262"/>
    <w:rsid w:val="00DB0704"/>
    <w:rsid w:val="00DB2885"/>
    <w:rsid w:val="00DB64A7"/>
    <w:rsid w:val="00DB7B3D"/>
    <w:rsid w:val="00DB7F38"/>
    <w:rsid w:val="00DC0FCD"/>
    <w:rsid w:val="00DC2D63"/>
    <w:rsid w:val="00DC3618"/>
    <w:rsid w:val="00DC4555"/>
    <w:rsid w:val="00DC4C8C"/>
    <w:rsid w:val="00DC5FDF"/>
    <w:rsid w:val="00DD0AB8"/>
    <w:rsid w:val="00DD0C73"/>
    <w:rsid w:val="00DD4A9C"/>
    <w:rsid w:val="00DE0420"/>
    <w:rsid w:val="00DE1008"/>
    <w:rsid w:val="00DE1448"/>
    <w:rsid w:val="00DE3D81"/>
    <w:rsid w:val="00DE42FB"/>
    <w:rsid w:val="00DE53A5"/>
    <w:rsid w:val="00DF05FD"/>
    <w:rsid w:val="00DF10B8"/>
    <w:rsid w:val="00DF231B"/>
    <w:rsid w:val="00DF3AD9"/>
    <w:rsid w:val="00DF44E5"/>
    <w:rsid w:val="00DF506D"/>
    <w:rsid w:val="00DF6020"/>
    <w:rsid w:val="00DF7F40"/>
    <w:rsid w:val="00E00F2F"/>
    <w:rsid w:val="00E01D1E"/>
    <w:rsid w:val="00E01EC7"/>
    <w:rsid w:val="00E02C51"/>
    <w:rsid w:val="00E0337F"/>
    <w:rsid w:val="00E03C7B"/>
    <w:rsid w:val="00E060D9"/>
    <w:rsid w:val="00E108F4"/>
    <w:rsid w:val="00E11CB3"/>
    <w:rsid w:val="00E14796"/>
    <w:rsid w:val="00E157D5"/>
    <w:rsid w:val="00E16CE9"/>
    <w:rsid w:val="00E208EC"/>
    <w:rsid w:val="00E21C20"/>
    <w:rsid w:val="00E251DC"/>
    <w:rsid w:val="00E25C8F"/>
    <w:rsid w:val="00E27633"/>
    <w:rsid w:val="00E27963"/>
    <w:rsid w:val="00E314DB"/>
    <w:rsid w:val="00E31752"/>
    <w:rsid w:val="00E32B6F"/>
    <w:rsid w:val="00E336DB"/>
    <w:rsid w:val="00E35D4A"/>
    <w:rsid w:val="00E36F1B"/>
    <w:rsid w:val="00E37274"/>
    <w:rsid w:val="00E41482"/>
    <w:rsid w:val="00E41E6D"/>
    <w:rsid w:val="00E42024"/>
    <w:rsid w:val="00E44D44"/>
    <w:rsid w:val="00E45F61"/>
    <w:rsid w:val="00E47778"/>
    <w:rsid w:val="00E52F5D"/>
    <w:rsid w:val="00E55206"/>
    <w:rsid w:val="00E555BA"/>
    <w:rsid w:val="00E55FD0"/>
    <w:rsid w:val="00E56F07"/>
    <w:rsid w:val="00E61DD5"/>
    <w:rsid w:val="00E62FDC"/>
    <w:rsid w:val="00E667C8"/>
    <w:rsid w:val="00E67F40"/>
    <w:rsid w:val="00E70161"/>
    <w:rsid w:val="00E72B08"/>
    <w:rsid w:val="00E72F16"/>
    <w:rsid w:val="00E740F6"/>
    <w:rsid w:val="00E74838"/>
    <w:rsid w:val="00E76F20"/>
    <w:rsid w:val="00E8176B"/>
    <w:rsid w:val="00E81A3A"/>
    <w:rsid w:val="00E81B7D"/>
    <w:rsid w:val="00E81F9D"/>
    <w:rsid w:val="00E82FA2"/>
    <w:rsid w:val="00E84F6A"/>
    <w:rsid w:val="00E850A1"/>
    <w:rsid w:val="00E85934"/>
    <w:rsid w:val="00E86936"/>
    <w:rsid w:val="00E86E2E"/>
    <w:rsid w:val="00E87E9F"/>
    <w:rsid w:val="00E9073D"/>
    <w:rsid w:val="00E90B22"/>
    <w:rsid w:val="00E916D2"/>
    <w:rsid w:val="00E91CB5"/>
    <w:rsid w:val="00E92469"/>
    <w:rsid w:val="00E92F92"/>
    <w:rsid w:val="00E95383"/>
    <w:rsid w:val="00E95DA2"/>
    <w:rsid w:val="00E96908"/>
    <w:rsid w:val="00E9763C"/>
    <w:rsid w:val="00E976AB"/>
    <w:rsid w:val="00EA55B5"/>
    <w:rsid w:val="00EB1DE6"/>
    <w:rsid w:val="00EB5407"/>
    <w:rsid w:val="00EB5832"/>
    <w:rsid w:val="00EB7384"/>
    <w:rsid w:val="00EB7DD4"/>
    <w:rsid w:val="00EC0261"/>
    <w:rsid w:val="00EC09AD"/>
    <w:rsid w:val="00EC1885"/>
    <w:rsid w:val="00EC2CCB"/>
    <w:rsid w:val="00EC5E06"/>
    <w:rsid w:val="00EC7C2B"/>
    <w:rsid w:val="00ED01D7"/>
    <w:rsid w:val="00ED121A"/>
    <w:rsid w:val="00ED15D2"/>
    <w:rsid w:val="00ED398D"/>
    <w:rsid w:val="00ED55E5"/>
    <w:rsid w:val="00ED5D06"/>
    <w:rsid w:val="00ED77CD"/>
    <w:rsid w:val="00EE17DA"/>
    <w:rsid w:val="00EE5AAC"/>
    <w:rsid w:val="00EE6898"/>
    <w:rsid w:val="00EE68C4"/>
    <w:rsid w:val="00EE6911"/>
    <w:rsid w:val="00EE70EB"/>
    <w:rsid w:val="00EE740B"/>
    <w:rsid w:val="00EF0523"/>
    <w:rsid w:val="00EF1193"/>
    <w:rsid w:val="00EF21A3"/>
    <w:rsid w:val="00EF2A57"/>
    <w:rsid w:val="00EF4D29"/>
    <w:rsid w:val="00EF60B8"/>
    <w:rsid w:val="00F00C96"/>
    <w:rsid w:val="00F00F7D"/>
    <w:rsid w:val="00F07165"/>
    <w:rsid w:val="00F077C7"/>
    <w:rsid w:val="00F07D73"/>
    <w:rsid w:val="00F11F45"/>
    <w:rsid w:val="00F12539"/>
    <w:rsid w:val="00F1351E"/>
    <w:rsid w:val="00F14DBF"/>
    <w:rsid w:val="00F1513F"/>
    <w:rsid w:val="00F16B7B"/>
    <w:rsid w:val="00F17986"/>
    <w:rsid w:val="00F17FFD"/>
    <w:rsid w:val="00F20AD7"/>
    <w:rsid w:val="00F20D8D"/>
    <w:rsid w:val="00F20DF2"/>
    <w:rsid w:val="00F217FF"/>
    <w:rsid w:val="00F23932"/>
    <w:rsid w:val="00F2427F"/>
    <w:rsid w:val="00F30A12"/>
    <w:rsid w:val="00F3356F"/>
    <w:rsid w:val="00F33CD0"/>
    <w:rsid w:val="00F33EC5"/>
    <w:rsid w:val="00F340C2"/>
    <w:rsid w:val="00F347A6"/>
    <w:rsid w:val="00F35357"/>
    <w:rsid w:val="00F40FDD"/>
    <w:rsid w:val="00F4679E"/>
    <w:rsid w:val="00F4756E"/>
    <w:rsid w:val="00F52355"/>
    <w:rsid w:val="00F5374F"/>
    <w:rsid w:val="00F55E43"/>
    <w:rsid w:val="00F56B1C"/>
    <w:rsid w:val="00F6077D"/>
    <w:rsid w:val="00F61A00"/>
    <w:rsid w:val="00F621DC"/>
    <w:rsid w:val="00F63ED2"/>
    <w:rsid w:val="00F72E09"/>
    <w:rsid w:val="00F763E4"/>
    <w:rsid w:val="00F76970"/>
    <w:rsid w:val="00F77483"/>
    <w:rsid w:val="00F83117"/>
    <w:rsid w:val="00F83AAA"/>
    <w:rsid w:val="00F852E3"/>
    <w:rsid w:val="00F86468"/>
    <w:rsid w:val="00F8678A"/>
    <w:rsid w:val="00F86AEB"/>
    <w:rsid w:val="00F901B5"/>
    <w:rsid w:val="00F91532"/>
    <w:rsid w:val="00F9436C"/>
    <w:rsid w:val="00F94A90"/>
    <w:rsid w:val="00FA1F6B"/>
    <w:rsid w:val="00FA28A1"/>
    <w:rsid w:val="00FA294A"/>
    <w:rsid w:val="00FA3133"/>
    <w:rsid w:val="00FA5551"/>
    <w:rsid w:val="00FA5C81"/>
    <w:rsid w:val="00FB07B4"/>
    <w:rsid w:val="00FB0BB0"/>
    <w:rsid w:val="00FB0E37"/>
    <w:rsid w:val="00FB1E6F"/>
    <w:rsid w:val="00FB2C21"/>
    <w:rsid w:val="00FB46FD"/>
    <w:rsid w:val="00FB49CA"/>
    <w:rsid w:val="00FB6300"/>
    <w:rsid w:val="00FD09DF"/>
    <w:rsid w:val="00FD0BC3"/>
    <w:rsid w:val="00FD6713"/>
    <w:rsid w:val="00FD6FE4"/>
    <w:rsid w:val="00FD780F"/>
    <w:rsid w:val="00FE11CE"/>
    <w:rsid w:val="00FE4E7C"/>
    <w:rsid w:val="00FE5068"/>
    <w:rsid w:val="00FE5863"/>
    <w:rsid w:val="00FE5927"/>
    <w:rsid w:val="00FF00C4"/>
    <w:rsid w:val="00FF163B"/>
    <w:rsid w:val="00FF1806"/>
    <w:rsid w:val="00FF2DBB"/>
    <w:rsid w:val="00FF3FD4"/>
    <w:rsid w:val="00FF58AA"/>
    <w:rsid w:val="00FF684B"/>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D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E39"/>
    <w:pPr>
      <w:keepNext/>
      <w:keepLines/>
      <w:spacing w:before="240" w:after="0" w:line="259" w:lineRule="auto"/>
      <w:outlineLvl w:val="0"/>
    </w:pPr>
    <w:rPr>
      <w:rFonts w:asciiTheme="majorHAnsi" w:eastAsiaTheme="majorEastAsia" w:hAnsiTheme="majorHAnsi" w:cstheme="majorBidi"/>
      <w:b/>
      <w:color w:val="365F91" w:themeColor="accent1" w:themeShade="BF"/>
      <w:szCs w:val="32"/>
    </w:rPr>
  </w:style>
  <w:style w:type="paragraph" w:styleId="Heading2">
    <w:name w:val="heading 2"/>
    <w:basedOn w:val="Normal"/>
    <w:next w:val="Normal"/>
    <w:link w:val="Heading2Char"/>
    <w:uiPriority w:val="9"/>
    <w:semiHidden/>
    <w:unhideWhenUsed/>
    <w:qFormat/>
    <w:rsid w:val="00835E39"/>
    <w:pPr>
      <w:keepNext/>
      <w:keepLines/>
      <w:spacing w:before="40" w:after="0" w:line="259" w:lineRule="auto"/>
      <w:outlineLvl w:val="1"/>
    </w:pPr>
    <w:rPr>
      <w:rFonts w:asciiTheme="majorHAnsi" w:eastAsiaTheme="majorEastAsia" w:hAnsiTheme="majorHAnsi" w:cstheme="majorBidi"/>
      <w:b/>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E39"/>
    <w:rPr>
      <w:rFonts w:asciiTheme="majorHAnsi" w:eastAsiaTheme="majorEastAsia" w:hAnsiTheme="majorHAnsi" w:cstheme="majorBidi"/>
      <w:b/>
      <w:color w:val="365F91" w:themeColor="accent1" w:themeShade="BF"/>
      <w:szCs w:val="32"/>
    </w:rPr>
  </w:style>
  <w:style w:type="character" w:customStyle="1" w:styleId="Heading2Char">
    <w:name w:val="Heading 2 Char"/>
    <w:basedOn w:val="DefaultParagraphFont"/>
    <w:link w:val="Heading2"/>
    <w:uiPriority w:val="9"/>
    <w:semiHidden/>
    <w:rsid w:val="00835E39"/>
    <w:rPr>
      <w:rFonts w:asciiTheme="majorHAnsi" w:eastAsiaTheme="majorEastAsia" w:hAnsiTheme="majorHAnsi" w:cstheme="majorBidi"/>
      <w:b/>
      <w:color w:val="365F91" w:themeColor="accent1" w:themeShade="BF"/>
      <w:szCs w:val="26"/>
    </w:rPr>
  </w:style>
  <w:style w:type="paragraph" w:styleId="ListParagraph">
    <w:name w:val="List Paragraph"/>
    <w:basedOn w:val="Normal"/>
    <w:uiPriority w:val="34"/>
    <w:qFormat/>
    <w:rsid w:val="00781331"/>
    <w:pPr>
      <w:spacing w:after="160" w:line="259" w:lineRule="auto"/>
      <w:ind w:left="720"/>
      <w:contextualSpacing/>
    </w:pPr>
    <w:rPr>
      <w:rFonts w:ascii="Times New Roman" w:hAnsi="Times New Roman"/>
      <w:sz w:val="24"/>
    </w:rPr>
  </w:style>
  <w:style w:type="paragraph" w:styleId="PlainText">
    <w:name w:val="Plain Text"/>
    <w:basedOn w:val="Normal"/>
    <w:link w:val="PlainTextChar"/>
    <w:uiPriority w:val="99"/>
    <w:unhideWhenUsed/>
    <w:rsid w:val="002850A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850AD"/>
    <w:rPr>
      <w:rFonts w:ascii="Calibri" w:hAnsi="Calibri" w:cs="Times New Roman"/>
    </w:rPr>
  </w:style>
  <w:style w:type="paragraph" w:customStyle="1" w:styleId="Default">
    <w:name w:val="Default"/>
    <w:rsid w:val="002850A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A3BAE"/>
    <w:rPr>
      <w:color w:val="0563C1"/>
      <w:u w:val="single"/>
    </w:rPr>
  </w:style>
  <w:style w:type="paragraph" w:styleId="HTMLPreformatted">
    <w:name w:val="HTML Preformatted"/>
    <w:basedOn w:val="Normal"/>
    <w:link w:val="HTMLPreformattedChar"/>
    <w:uiPriority w:val="99"/>
    <w:unhideWhenUsed/>
    <w:rsid w:val="00A7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49E5"/>
    <w:rPr>
      <w:rFonts w:ascii="Courier New" w:eastAsia="Times New Roman" w:hAnsi="Courier New" w:cs="Courier New"/>
      <w:sz w:val="20"/>
      <w:szCs w:val="20"/>
    </w:rPr>
  </w:style>
  <w:style w:type="paragraph" w:customStyle="1" w:styleId="TableParagraph">
    <w:name w:val="Table Paragraph"/>
    <w:basedOn w:val="Normal"/>
    <w:uiPriority w:val="1"/>
    <w:qFormat/>
    <w:rsid w:val="00A749E5"/>
    <w:pPr>
      <w:widowControl w:val="0"/>
      <w:spacing w:after="0" w:line="240" w:lineRule="auto"/>
    </w:pPr>
  </w:style>
  <w:style w:type="character" w:styleId="CommentReference">
    <w:name w:val="annotation reference"/>
    <w:basedOn w:val="DefaultParagraphFont"/>
    <w:uiPriority w:val="99"/>
    <w:semiHidden/>
    <w:unhideWhenUsed/>
    <w:rsid w:val="00463A79"/>
    <w:rPr>
      <w:sz w:val="16"/>
      <w:szCs w:val="16"/>
    </w:rPr>
  </w:style>
  <w:style w:type="paragraph" w:styleId="CommentText">
    <w:name w:val="annotation text"/>
    <w:basedOn w:val="Normal"/>
    <w:link w:val="CommentTextChar"/>
    <w:uiPriority w:val="99"/>
    <w:unhideWhenUsed/>
    <w:rsid w:val="00463A79"/>
    <w:pPr>
      <w:spacing w:line="240" w:lineRule="auto"/>
    </w:pPr>
    <w:rPr>
      <w:sz w:val="20"/>
      <w:szCs w:val="20"/>
    </w:rPr>
  </w:style>
  <w:style w:type="character" w:customStyle="1" w:styleId="CommentTextChar">
    <w:name w:val="Comment Text Char"/>
    <w:basedOn w:val="DefaultParagraphFont"/>
    <w:link w:val="CommentText"/>
    <w:uiPriority w:val="99"/>
    <w:rsid w:val="00463A79"/>
    <w:rPr>
      <w:sz w:val="20"/>
      <w:szCs w:val="20"/>
    </w:rPr>
  </w:style>
  <w:style w:type="paragraph" w:styleId="CommentSubject">
    <w:name w:val="annotation subject"/>
    <w:basedOn w:val="CommentText"/>
    <w:next w:val="CommentText"/>
    <w:link w:val="CommentSubjectChar"/>
    <w:uiPriority w:val="99"/>
    <w:semiHidden/>
    <w:unhideWhenUsed/>
    <w:rsid w:val="00463A79"/>
    <w:rPr>
      <w:b/>
      <w:bCs/>
    </w:rPr>
  </w:style>
  <w:style w:type="character" w:customStyle="1" w:styleId="CommentSubjectChar">
    <w:name w:val="Comment Subject Char"/>
    <w:basedOn w:val="CommentTextChar"/>
    <w:link w:val="CommentSubject"/>
    <w:uiPriority w:val="99"/>
    <w:semiHidden/>
    <w:rsid w:val="00463A79"/>
    <w:rPr>
      <w:b/>
      <w:bCs/>
      <w:sz w:val="20"/>
      <w:szCs w:val="20"/>
    </w:rPr>
  </w:style>
  <w:style w:type="paragraph" w:styleId="BalloonText">
    <w:name w:val="Balloon Text"/>
    <w:basedOn w:val="Normal"/>
    <w:link w:val="BalloonTextChar"/>
    <w:uiPriority w:val="99"/>
    <w:semiHidden/>
    <w:unhideWhenUsed/>
    <w:rsid w:val="00463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A79"/>
    <w:rPr>
      <w:rFonts w:ascii="Tahoma" w:hAnsi="Tahoma" w:cs="Tahoma"/>
      <w:sz w:val="16"/>
      <w:szCs w:val="16"/>
    </w:rPr>
  </w:style>
  <w:style w:type="paragraph" w:styleId="Header">
    <w:name w:val="header"/>
    <w:basedOn w:val="Normal"/>
    <w:link w:val="HeaderChar"/>
    <w:uiPriority w:val="99"/>
    <w:unhideWhenUsed/>
    <w:rsid w:val="00463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79"/>
  </w:style>
  <w:style w:type="paragraph" w:styleId="Footer">
    <w:name w:val="footer"/>
    <w:basedOn w:val="Normal"/>
    <w:link w:val="FooterChar"/>
    <w:uiPriority w:val="99"/>
    <w:unhideWhenUsed/>
    <w:rsid w:val="00463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79"/>
  </w:style>
  <w:style w:type="paragraph" w:styleId="BodyText">
    <w:name w:val="Body Text"/>
    <w:basedOn w:val="Normal"/>
    <w:link w:val="BodyTextChar"/>
    <w:uiPriority w:val="1"/>
    <w:qFormat/>
    <w:rsid w:val="002C07F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C07F6"/>
    <w:rPr>
      <w:rFonts w:ascii="Times New Roman" w:eastAsia="Times New Roman" w:hAnsi="Times New Roman"/>
      <w:sz w:val="24"/>
      <w:szCs w:val="24"/>
    </w:rPr>
  </w:style>
  <w:style w:type="table" w:styleId="TableGrid">
    <w:name w:val="Table Grid"/>
    <w:basedOn w:val="TableNormal"/>
    <w:uiPriority w:val="59"/>
    <w:rsid w:val="0083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5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E39"/>
    <w:rPr>
      <w:sz w:val="20"/>
      <w:szCs w:val="20"/>
    </w:rPr>
  </w:style>
  <w:style w:type="character" w:styleId="FootnoteReference">
    <w:name w:val="footnote reference"/>
    <w:basedOn w:val="DefaultParagraphFont"/>
    <w:uiPriority w:val="99"/>
    <w:semiHidden/>
    <w:unhideWhenUsed/>
    <w:rsid w:val="00835E39"/>
    <w:rPr>
      <w:vertAlign w:val="superscript"/>
    </w:rPr>
  </w:style>
  <w:style w:type="paragraph" w:styleId="NoSpacing">
    <w:name w:val="No Spacing"/>
    <w:uiPriority w:val="1"/>
    <w:qFormat/>
    <w:rsid w:val="00835E3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835E39"/>
    <w:pPr>
      <w:spacing w:before="120" w:after="120" w:line="360" w:lineRule="auto"/>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835E39"/>
    <w:rPr>
      <w:rFonts w:asciiTheme="majorHAnsi" w:eastAsiaTheme="majorEastAsia" w:hAnsiTheme="majorHAnsi" w:cstheme="majorBidi"/>
      <w:b/>
      <w:spacing w:val="-10"/>
      <w:kern w:val="28"/>
      <w:sz w:val="24"/>
      <w:szCs w:val="56"/>
    </w:rPr>
  </w:style>
  <w:style w:type="numbering" w:customStyle="1" w:styleId="NoList1">
    <w:name w:val="No List1"/>
    <w:next w:val="NoList"/>
    <w:uiPriority w:val="99"/>
    <w:semiHidden/>
    <w:unhideWhenUsed/>
    <w:rsid w:val="004E1A14"/>
  </w:style>
  <w:style w:type="character" w:styleId="LineNumber">
    <w:name w:val="line number"/>
    <w:basedOn w:val="DefaultParagraphFont"/>
    <w:uiPriority w:val="99"/>
    <w:semiHidden/>
    <w:unhideWhenUsed/>
    <w:rsid w:val="004E1A14"/>
  </w:style>
  <w:style w:type="table" w:customStyle="1" w:styleId="TableGrid1">
    <w:name w:val="Table Grid1"/>
    <w:basedOn w:val="TableNormal"/>
    <w:next w:val="TableGrid"/>
    <w:uiPriority w:val="59"/>
    <w:rsid w:val="004E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604"/>
    <w:pPr>
      <w:spacing w:after="0" w:line="240" w:lineRule="auto"/>
    </w:pPr>
  </w:style>
  <w:style w:type="character" w:customStyle="1" w:styleId="st">
    <w:name w:val="st"/>
    <w:basedOn w:val="DefaultParagraphFont"/>
    <w:rsid w:val="00B37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5E39"/>
    <w:pPr>
      <w:keepNext/>
      <w:keepLines/>
      <w:spacing w:before="240" w:after="0" w:line="259" w:lineRule="auto"/>
      <w:outlineLvl w:val="0"/>
    </w:pPr>
    <w:rPr>
      <w:rFonts w:asciiTheme="majorHAnsi" w:eastAsiaTheme="majorEastAsia" w:hAnsiTheme="majorHAnsi" w:cstheme="majorBidi"/>
      <w:b/>
      <w:color w:val="365F91" w:themeColor="accent1" w:themeShade="BF"/>
      <w:szCs w:val="32"/>
    </w:rPr>
  </w:style>
  <w:style w:type="paragraph" w:styleId="Heading2">
    <w:name w:val="heading 2"/>
    <w:basedOn w:val="Normal"/>
    <w:next w:val="Normal"/>
    <w:link w:val="Heading2Char"/>
    <w:uiPriority w:val="9"/>
    <w:semiHidden/>
    <w:unhideWhenUsed/>
    <w:qFormat/>
    <w:rsid w:val="00835E39"/>
    <w:pPr>
      <w:keepNext/>
      <w:keepLines/>
      <w:spacing w:before="40" w:after="0" w:line="259" w:lineRule="auto"/>
      <w:outlineLvl w:val="1"/>
    </w:pPr>
    <w:rPr>
      <w:rFonts w:asciiTheme="majorHAnsi" w:eastAsiaTheme="majorEastAsia" w:hAnsiTheme="majorHAnsi" w:cstheme="majorBidi"/>
      <w:b/>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E39"/>
    <w:rPr>
      <w:rFonts w:asciiTheme="majorHAnsi" w:eastAsiaTheme="majorEastAsia" w:hAnsiTheme="majorHAnsi" w:cstheme="majorBidi"/>
      <w:b/>
      <w:color w:val="365F91" w:themeColor="accent1" w:themeShade="BF"/>
      <w:szCs w:val="32"/>
    </w:rPr>
  </w:style>
  <w:style w:type="character" w:customStyle="1" w:styleId="Heading2Char">
    <w:name w:val="Heading 2 Char"/>
    <w:basedOn w:val="DefaultParagraphFont"/>
    <w:link w:val="Heading2"/>
    <w:uiPriority w:val="9"/>
    <w:semiHidden/>
    <w:rsid w:val="00835E39"/>
    <w:rPr>
      <w:rFonts w:asciiTheme="majorHAnsi" w:eastAsiaTheme="majorEastAsia" w:hAnsiTheme="majorHAnsi" w:cstheme="majorBidi"/>
      <w:b/>
      <w:color w:val="365F91" w:themeColor="accent1" w:themeShade="BF"/>
      <w:szCs w:val="26"/>
    </w:rPr>
  </w:style>
  <w:style w:type="paragraph" w:styleId="ListParagraph">
    <w:name w:val="List Paragraph"/>
    <w:basedOn w:val="Normal"/>
    <w:uiPriority w:val="34"/>
    <w:qFormat/>
    <w:rsid w:val="00781331"/>
    <w:pPr>
      <w:spacing w:after="160" w:line="259" w:lineRule="auto"/>
      <w:ind w:left="720"/>
      <w:contextualSpacing/>
    </w:pPr>
    <w:rPr>
      <w:rFonts w:ascii="Times New Roman" w:hAnsi="Times New Roman"/>
      <w:sz w:val="24"/>
    </w:rPr>
  </w:style>
  <w:style w:type="paragraph" w:styleId="PlainText">
    <w:name w:val="Plain Text"/>
    <w:basedOn w:val="Normal"/>
    <w:link w:val="PlainTextChar"/>
    <w:uiPriority w:val="99"/>
    <w:unhideWhenUsed/>
    <w:rsid w:val="002850A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850AD"/>
    <w:rPr>
      <w:rFonts w:ascii="Calibri" w:hAnsi="Calibri" w:cs="Times New Roman"/>
    </w:rPr>
  </w:style>
  <w:style w:type="paragraph" w:customStyle="1" w:styleId="Default">
    <w:name w:val="Default"/>
    <w:rsid w:val="002850A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A3BAE"/>
    <w:rPr>
      <w:color w:val="0563C1"/>
      <w:u w:val="single"/>
    </w:rPr>
  </w:style>
  <w:style w:type="paragraph" w:styleId="HTMLPreformatted">
    <w:name w:val="HTML Preformatted"/>
    <w:basedOn w:val="Normal"/>
    <w:link w:val="HTMLPreformattedChar"/>
    <w:uiPriority w:val="99"/>
    <w:unhideWhenUsed/>
    <w:rsid w:val="00A74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49E5"/>
    <w:rPr>
      <w:rFonts w:ascii="Courier New" w:eastAsia="Times New Roman" w:hAnsi="Courier New" w:cs="Courier New"/>
      <w:sz w:val="20"/>
      <w:szCs w:val="20"/>
    </w:rPr>
  </w:style>
  <w:style w:type="paragraph" w:customStyle="1" w:styleId="TableParagraph">
    <w:name w:val="Table Paragraph"/>
    <w:basedOn w:val="Normal"/>
    <w:uiPriority w:val="1"/>
    <w:qFormat/>
    <w:rsid w:val="00A749E5"/>
    <w:pPr>
      <w:widowControl w:val="0"/>
      <w:spacing w:after="0" w:line="240" w:lineRule="auto"/>
    </w:pPr>
  </w:style>
  <w:style w:type="character" w:styleId="CommentReference">
    <w:name w:val="annotation reference"/>
    <w:basedOn w:val="DefaultParagraphFont"/>
    <w:uiPriority w:val="99"/>
    <w:semiHidden/>
    <w:unhideWhenUsed/>
    <w:rsid w:val="00463A79"/>
    <w:rPr>
      <w:sz w:val="16"/>
      <w:szCs w:val="16"/>
    </w:rPr>
  </w:style>
  <w:style w:type="paragraph" w:styleId="CommentText">
    <w:name w:val="annotation text"/>
    <w:basedOn w:val="Normal"/>
    <w:link w:val="CommentTextChar"/>
    <w:uiPriority w:val="99"/>
    <w:unhideWhenUsed/>
    <w:rsid w:val="00463A79"/>
    <w:pPr>
      <w:spacing w:line="240" w:lineRule="auto"/>
    </w:pPr>
    <w:rPr>
      <w:sz w:val="20"/>
      <w:szCs w:val="20"/>
    </w:rPr>
  </w:style>
  <w:style w:type="character" w:customStyle="1" w:styleId="CommentTextChar">
    <w:name w:val="Comment Text Char"/>
    <w:basedOn w:val="DefaultParagraphFont"/>
    <w:link w:val="CommentText"/>
    <w:uiPriority w:val="99"/>
    <w:rsid w:val="00463A79"/>
    <w:rPr>
      <w:sz w:val="20"/>
      <w:szCs w:val="20"/>
    </w:rPr>
  </w:style>
  <w:style w:type="paragraph" w:styleId="CommentSubject">
    <w:name w:val="annotation subject"/>
    <w:basedOn w:val="CommentText"/>
    <w:next w:val="CommentText"/>
    <w:link w:val="CommentSubjectChar"/>
    <w:uiPriority w:val="99"/>
    <w:semiHidden/>
    <w:unhideWhenUsed/>
    <w:rsid w:val="00463A79"/>
    <w:rPr>
      <w:b/>
      <w:bCs/>
    </w:rPr>
  </w:style>
  <w:style w:type="character" w:customStyle="1" w:styleId="CommentSubjectChar">
    <w:name w:val="Comment Subject Char"/>
    <w:basedOn w:val="CommentTextChar"/>
    <w:link w:val="CommentSubject"/>
    <w:uiPriority w:val="99"/>
    <w:semiHidden/>
    <w:rsid w:val="00463A79"/>
    <w:rPr>
      <w:b/>
      <w:bCs/>
      <w:sz w:val="20"/>
      <w:szCs w:val="20"/>
    </w:rPr>
  </w:style>
  <w:style w:type="paragraph" w:styleId="BalloonText">
    <w:name w:val="Balloon Text"/>
    <w:basedOn w:val="Normal"/>
    <w:link w:val="BalloonTextChar"/>
    <w:uiPriority w:val="99"/>
    <w:semiHidden/>
    <w:unhideWhenUsed/>
    <w:rsid w:val="00463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A79"/>
    <w:rPr>
      <w:rFonts w:ascii="Tahoma" w:hAnsi="Tahoma" w:cs="Tahoma"/>
      <w:sz w:val="16"/>
      <w:szCs w:val="16"/>
    </w:rPr>
  </w:style>
  <w:style w:type="paragraph" w:styleId="Header">
    <w:name w:val="header"/>
    <w:basedOn w:val="Normal"/>
    <w:link w:val="HeaderChar"/>
    <w:uiPriority w:val="99"/>
    <w:unhideWhenUsed/>
    <w:rsid w:val="00463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A79"/>
  </w:style>
  <w:style w:type="paragraph" w:styleId="Footer">
    <w:name w:val="footer"/>
    <w:basedOn w:val="Normal"/>
    <w:link w:val="FooterChar"/>
    <w:uiPriority w:val="99"/>
    <w:unhideWhenUsed/>
    <w:rsid w:val="00463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A79"/>
  </w:style>
  <w:style w:type="paragraph" w:styleId="BodyText">
    <w:name w:val="Body Text"/>
    <w:basedOn w:val="Normal"/>
    <w:link w:val="BodyTextChar"/>
    <w:uiPriority w:val="1"/>
    <w:qFormat/>
    <w:rsid w:val="002C07F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C07F6"/>
    <w:rPr>
      <w:rFonts w:ascii="Times New Roman" w:eastAsia="Times New Roman" w:hAnsi="Times New Roman"/>
      <w:sz w:val="24"/>
      <w:szCs w:val="24"/>
    </w:rPr>
  </w:style>
  <w:style w:type="table" w:styleId="TableGrid">
    <w:name w:val="Table Grid"/>
    <w:basedOn w:val="TableNormal"/>
    <w:uiPriority w:val="59"/>
    <w:rsid w:val="0083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5E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E39"/>
    <w:rPr>
      <w:sz w:val="20"/>
      <w:szCs w:val="20"/>
    </w:rPr>
  </w:style>
  <w:style w:type="character" w:styleId="FootnoteReference">
    <w:name w:val="footnote reference"/>
    <w:basedOn w:val="DefaultParagraphFont"/>
    <w:uiPriority w:val="99"/>
    <w:semiHidden/>
    <w:unhideWhenUsed/>
    <w:rsid w:val="00835E39"/>
    <w:rPr>
      <w:vertAlign w:val="superscript"/>
    </w:rPr>
  </w:style>
  <w:style w:type="paragraph" w:styleId="NoSpacing">
    <w:name w:val="No Spacing"/>
    <w:uiPriority w:val="1"/>
    <w:qFormat/>
    <w:rsid w:val="00835E3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835E39"/>
    <w:pPr>
      <w:spacing w:before="120" w:after="120" w:line="360" w:lineRule="auto"/>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835E39"/>
    <w:rPr>
      <w:rFonts w:asciiTheme="majorHAnsi" w:eastAsiaTheme="majorEastAsia" w:hAnsiTheme="majorHAnsi" w:cstheme="majorBidi"/>
      <w:b/>
      <w:spacing w:val="-10"/>
      <w:kern w:val="28"/>
      <w:sz w:val="24"/>
      <w:szCs w:val="56"/>
    </w:rPr>
  </w:style>
  <w:style w:type="numbering" w:customStyle="1" w:styleId="NoList1">
    <w:name w:val="No List1"/>
    <w:next w:val="NoList"/>
    <w:uiPriority w:val="99"/>
    <w:semiHidden/>
    <w:unhideWhenUsed/>
    <w:rsid w:val="004E1A14"/>
  </w:style>
  <w:style w:type="character" w:styleId="LineNumber">
    <w:name w:val="line number"/>
    <w:basedOn w:val="DefaultParagraphFont"/>
    <w:uiPriority w:val="99"/>
    <w:semiHidden/>
    <w:unhideWhenUsed/>
    <w:rsid w:val="004E1A14"/>
  </w:style>
  <w:style w:type="table" w:customStyle="1" w:styleId="TableGrid1">
    <w:name w:val="Table Grid1"/>
    <w:basedOn w:val="TableNormal"/>
    <w:next w:val="TableGrid"/>
    <w:uiPriority w:val="59"/>
    <w:rsid w:val="004E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604"/>
    <w:pPr>
      <w:spacing w:after="0" w:line="240" w:lineRule="auto"/>
    </w:pPr>
  </w:style>
  <w:style w:type="character" w:customStyle="1" w:styleId="st">
    <w:name w:val="st"/>
    <w:basedOn w:val="DefaultParagraphFont"/>
    <w:rsid w:val="00B3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707">
      <w:bodyDiv w:val="1"/>
      <w:marLeft w:val="0"/>
      <w:marRight w:val="0"/>
      <w:marTop w:val="0"/>
      <w:marBottom w:val="0"/>
      <w:divBdr>
        <w:top w:val="none" w:sz="0" w:space="0" w:color="auto"/>
        <w:left w:val="none" w:sz="0" w:space="0" w:color="auto"/>
        <w:bottom w:val="none" w:sz="0" w:space="0" w:color="auto"/>
        <w:right w:val="none" w:sz="0" w:space="0" w:color="auto"/>
      </w:divBdr>
    </w:div>
    <w:div w:id="18972460">
      <w:bodyDiv w:val="1"/>
      <w:marLeft w:val="0"/>
      <w:marRight w:val="0"/>
      <w:marTop w:val="0"/>
      <w:marBottom w:val="0"/>
      <w:divBdr>
        <w:top w:val="none" w:sz="0" w:space="0" w:color="auto"/>
        <w:left w:val="none" w:sz="0" w:space="0" w:color="auto"/>
        <w:bottom w:val="none" w:sz="0" w:space="0" w:color="auto"/>
        <w:right w:val="none" w:sz="0" w:space="0" w:color="auto"/>
      </w:divBdr>
    </w:div>
    <w:div w:id="27535156">
      <w:bodyDiv w:val="1"/>
      <w:marLeft w:val="0"/>
      <w:marRight w:val="0"/>
      <w:marTop w:val="0"/>
      <w:marBottom w:val="0"/>
      <w:divBdr>
        <w:top w:val="none" w:sz="0" w:space="0" w:color="auto"/>
        <w:left w:val="none" w:sz="0" w:space="0" w:color="auto"/>
        <w:bottom w:val="none" w:sz="0" w:space="0" w:color="auto"/>
        <w:right w:val="none" w:sz="0" w:space="0" w:color="auto"/>
      </w:divBdr>
    </w:div>
    <w:div w:id="35814118">
      <w:bodyDiv w:val="1"/>
      <w:marLeft w:val="0"/>
      <w:marRight w:val="0"/>
      <w:marTop w:val="0"/>
      <w:marBottom w:val="0"/>
      <w:divBdr>
        <w:top w:val="none" w:sz="0" w:space="0" w:color="auto"/>
        <w:left w:val="none" w:sz="0" w:space="0" w:color="auto"/>
        <w:bottom w:val="none" w:sz="0" w:space="0" w:color="auto"/>
        <w:right w:val="none" w:sz="0" w:space="0" w:color="auto"/>
      </w:divBdr>
    </w:div>
    <w:div w:id="49694037">
      <w:bodyDiv w:val="1"/>
      <w:marLeft w:val="0"/>
      <w:marRight w:val="0"/>
      <w:marTop w:val="0"/>
      <w:marBottom w:val="0"/>
      <w:divBdr>
        <w:top w:val="none" w:sz="0" w:space="0" w:color="auto"/>
        <w:left w:val="none" w:sz="0" w:space="0" w:color="auto"/>
        <w:bottom w:val="none" w:sz="0" w:space="0" w:color="auto"/>
        <w:right w:val="none" w:sz="0" w:space="0" w:color="auto"/>
      </w:divBdr>
    </w:div>
    <w:div w:id="82147812">
      <w:bodyDiv w:val="1"/>
      <w:marLeft w:val="0"/>
      <w:marRight w:val="0"/>
      <w:marTop w:val="0"/>
      <w:marBottom w:val="0"/>
      <w:divBdr>
        <w:top w:val="none" w:sz="0" w:space="0" w:color="auto"/>
        <w:left w:val="none" w:sz="0" w:space="0" w:color="auto"/>
        <w:bottom w:val="none" w:sz="0" w:space="0" w:color="auto"/>
        <w:right w:val="none" w:sz="0" w:space="0" w:color="auto"/>
      </w:divBdr>
    </w:div>
    <w:div w:id="116417126">
      <w:bodyDiv w:val="1"/>
      <w:marLeft w:val="0"/>
      <w:marRight w:val="0"/>
      <w:marTop w:val="0"/>
      <w:marBottom w:val="0"/>
      <w:divBdr>
        <w:top w:val="none" w:sz="0" w:space="0" w:color="auto"/>
        <w:left w:val="none" w:sz="0" w:space="0" w:color="auto"/>
        <w:bottom w:val="none" w:sz="0" w:space="0" w:color="auto"/>
        <w:right w:val="none" w:sz="0" w:space="0" w:color="auto"/>
      </w:divBdr>
    </w:div>
    <w:div w:id="138618211">
      <w:bodyDiv w:val="1"/>
      <w:marLeft w:val="0"/>
      <w:marRight w:val="0"/>
      <w:marTop w:val="0"/>
      <w:marBottom w:val="0"/>
      <w:divBdr>
        <w:top w:val="none" w:sz="0" w:space="0" w:color="auto"/>
        <w:left w:val="none" w:sz="0" w:space="0" w:color="auto"/>
        <w:bottom w:val="none" w:sz="0" w:space="0" w:color="auto"/>
        <w:right w:val="none" w:sz="0" w:space="0" w:color="auto"/>
      </w:divBdr>
    </w:div>
    <w:div w:id="152844723">
      <w:bodyDiv w:val="1"/>
      <w:marLeft w:val="0"/>
      <w:marRight w:val="0"/>
      <w:marTop w:val="0"/>
      <w:marBottom w:val="0"/>
      <w:divBdr>
        <w:top w:val="none" w:sz="0" w:space="0" w:color="auto"/>
        <w:left w:val="none" w:sz="0" w:space="0" w:color="auto"/>
        <w:bottom w:val="none" w:sz="0" w:space="0" w:color="auto"/>
        <w:right w:val="none" w:sz="0" w:space="0" w:color="auto"/>
      </w:divBdr>
    </w:div>
    <w:div w:id="157115441">
      <w:bodyDiv w:val="1"/>
      <w:marLeft w:val="0"/>
      <w:marRight w:val="0"/>
      <w:marTop w:val="0"/>
      <w:marBottom w:val="0"/>
      <w:divBdr>
        <w:top w:val="none" w:sz="0" w:space="0" w:color="auto"/>
        <w:left w:val="none" w:sz="0" w:space="0" w:color="auto"/>
        <w:bottom w:val="none" w:sz="0" w:space="0" w:color="auto"/>
        <w:right w:val="none" w:sz="0" w:space="0" w:color="auto"/>
      </w:divBdr>
    </w:div>
    <w:div w:id="162401144">
      <w:bodyDiv w:val="1"/>
      <w:marLeft w:val="0"/>
      <w:marRight w:val="0"/>
      <w:marTop w:val="0"/>
      <w:marBottom w:val="0"/>
      <w:divBdr>
        <w:top w:val="none" w:sz="0" w:space="0" w:color="auto"/>
        <w:left w:val="none" w:sz="0" w:space="0" w:color="auto"/>
        <w:bottom w:val="none" w:sz="0" w:space="0" w:color="auto"/>
        <w:right w:val="none" w:sz="0" w:space="0" w:color="auto"/>
      </w:divBdr>
    </w:div>
    <w:div w:id="187066687">
      <w:bodyDiv w:val="1"/>
      <w:marLeft w:val="0"/>
      <w:marRight w:val="0"/>
      <w:marTop w:val="0"/>
      <w:marBottom w:val="0"/>
      <w:divBdr>
        <w:top w:val="none" w:sz="0" w:space="0" w:color="auto"/>
        <w:left w:val="none" w:sz="0" w:space="0" w:color="auto"/>
        <w:bottom w:val="none" w:sz="0" w:space="0" w:color="auto"/>
        <w:right w:val="none" w:sz="0" w:space="0" w:color="auto"/>
      </w:divBdr>
    </w:div>
    <w:div w:id="199126090">
      <w:bodyDiv w:val="1"/>
      <w:marLeft w:val="0"/>
      <w:marRight w:val="0"/>
      <w:marTop w:val="0"/>
      <w:marBottom w:val="0"/>
      <w:divBdr>
        <w:top w:val="none" w:sz="0" w:space="0" w:color="auto"/>
        <w:left w:val="none" w:sz="0" w:space="0" w:color="auto"/>
        <w:bottom w:val="none" w:sz="0" w:space="0" w:color="auto"/>
        <w:right w:val="none" w:sz="0" w:space="0" w:color="auto"/>
      </w:divBdr>
    </w:div>
    <w:div w:id="219486933">
      <w:bodyDiv w:val="1"/>
      <w:marLeft w:val="0"/>
      <w:marRight w:val="0"/>
      <w:marTop w:val="0"/>
      <w:marBottom w:val="0"/>
      <w:divBdr>
        <w:top w:val="none" w:sz="0" w:space="0" w:color="auto"/>
        <w:left w:val="none" w:sz="0" w:space="0" w:color="auto"/>
        <w:bottom w:val="none" w:sz="0" w:space="0" w:color="auto"/>
        <w:right w:val="none" w:sz="0" w:space="0" w:color="auto"/>
      </w:divBdr>
    </w:div>
    <w:div w:id="221525941">
      <w:bodyDiv w:val="1"/>
      <w:marLeft w:val="0"/>
      <w:marRight w:val="0"/>
      <w:marTop w:val="0"/>
      <w:marBottom w:val="0"/>
      <w:divBdr>
        <w:top w:val="none" w:sz="0" w:space="0" w:color="auto"/>
        <w:left w:val="none" w:sz="0" w:space="0" w:color="auto"/>
        <w:bottom w:val="none" w:sz="0" w:space="0" w:color="auto"/>
        <w:right w:val="none" w:sz="0" w:space="0" w:color="auto"/>
      </w:divBdr>
    </w:div>
    <w:div w:id="226376474">
      <w:bodyDiv w:val="1"/>
      <w:marLeft w:val="0"/>
      <w:marRight w:val="0"/>
      <w:marTop w:val="0"/>
      <w:marBottom w:val="0"/>
      <w:divBdr>
        <w:top w:val="none" w:sz="0" w:space="0" w:color="auto"/>
        <w:left w:val="none" w:sz="0" w:space="0" w:color="auto"/>
        <w:bottom w:val="none" w:sz="0" w:space="0" w:color="auto"/>
        <w:right w:val="none" w:sz="0" w:space="0" w:color="auto"/>
      </w:divBdr>
    </w:div>
    <w:div w:id="237520287">
      <w:bodyDiv w:val="1"/>
      <w:marLeft w:val="0"/>
      <w:marRight w:val="0"/>
      <w:marTop w:val="0"/>
      <w:marBottom w:val="0"/>
      <w:divBdr>
        <w:top w:val="none" w:sz="0" w:space="0" w:color="auto"/>
        <w:left w:val="none" w:sz="0" w:space="0" w:color="auto"/>
        <w:bottom w:val="none" w:sz="0" w:space="0" w:color="auto"/>
        <w:right w:val="none" w:sz="0" w:space="0" w:color="auto"/>
      </w:divBdr>
    </w:div>
    <w:div w:id="262883661">
      <w:bodyDiv w:val="1"/>
      <w:marLeft w:val="0"/>
      <w:marRight w:val="0"/>
      <w:marTop w:val="0"/>
      <w:marBottom w:val="0"/>
      <w:divBdr>
        <w:top w:val="none" w:sz="0" w:space="0" w:color="auto"/>
        <w:left w:val="none" w:sz="0" w:space="0" w:color="auto"/>
        <w:bottom w:val="none" w:sz="0" w:space="0" w:color="auto"/>
        <w:right w:val="none" w:sz="0" w:space="0" w:color="auto"/>
      </w:divBdr>
    </w:div>
    <w:div w:id="267127306">
      <w:bodyDiv w:val="1"/>
      <w:marLeft w:val="0"/>
      <w:marRight w:val="0"/>
      <w:marTop w:val="0"/>
      <w:marBottom w:val="0"/>
      <w:divBdr>
        <w:top w:val="none" w:sz="0" w:space="0" w:color="auto"/>
        <w:left w:val="none" w:sz="0" w:space="0" w:color="auto"/>
        <w:bottom w:val="none" w:sz="0" w:space="0" w:color="auto"/>
        <w:right w:val="none" w:sz="0" w:space="0" w:color="auto"/>
      </w:divBdr>
    </w:div>
    <w:div w:id="270016198">
      <w:bodyDiv w:val="1"/>
      <w:marLeft w:val="0"/>
      <w:marRight w:val="0"/>
      <w:marTop w:val="0"/>
      <w:marBottom w:val="0"/>
      <w:divBdr>
        <w:top w:val="none" w:sz="0" w:space="0" w:color="auto"/>
        <w:left w:val="none" w:sz="0" w:space="0" w:color="auto"/>
        <w:bottom w:val="none" w:sz="0" w:space="0" w:color="auto"/>
        <w:right w:val="none" w:sz="0" w:space="0" w:color="auto"/>
      </w:divBdr>
    </w:div>
    <w:div w:id="273294638">
      <w:bodyDiv w:val="1"/>
      <w:marLeft w:val="0"/>
      <w:marRight w:val="0"/>
      <w:marTop w:val="0"/>
      <w:marBottom w:val="0"/>
      <w:divBdr>
        <w:top w:val="none" w:sz="0" w:space="0" w:color="auto"/>
        <w:left w:val="none" w:sz="0" w:space="0" w:color="auto"/>
        <w:bottom w:val="none" w:sz="0" w:space="0" w:color="auto"/>
        <w:right w:val="none" w:sz="0" w:space="0" w:color="auto"/>
      </w:divBdr>
    </w:div>
    <w:div w:id="287589716">
      <w:bodyDiv w:val="1"/>
      <w:marLeft w:val="0"/>
      <w:marRight w:val="0"/>
      <w:marTop w:val="0"/>
      <w:marBottom w:val="0"/>
      <w:divBdr>
        <w:top w:val="none" w:sz="0" w:space="0" w:color="auto"/>
        <w:left w:val="none" w:sz="0" w:space="0" w:color="auto"/>
        <w:bottom w:val="none" w:sz="0" w:space="0" w:color="auto"/>
        <w:right w:val="none" w:sz="0" w:space="0" w:color="auto"/>
      </w:divBdr>
    </w:div>
    <w:div w:id="292178001">
      <w:bodyDiv w:val="1"/>
      <w:marLeft w:val="0"/>
      <w:marRight w:val="0"/>
      <w:marTop w:val="0"/>
      <w:marBottom w:val="0"/>
      <w:divBdr>
        <w:top w:val="none" w:sz="0" w:space="0" w:color="auto"/>
        <w:left w:val="none" w:sz="0" w:space="0" w:color="auto"/>
        <w:bottom w:val="none" w:sz="0" w:space="0" w:color="auto"/>
        <w:right w:val="none" w:sz="0" w:space="0" w:color="auto"/>
      </w:divBdr>
    </w:div>
    <w:div w:id="296306240">
      <w:bodyDiv w:val="1"/>
      <w:marLeft w:val="0"/>
      <w:marRight w:val="0"/>
      <w:marTop w:val="0"/>
      <w:marBottom w:val="0"/>
      <w:divBdr>
        <w:top w:val="none" w:sz="0" w:space="0" w:color="auto"/>
        <w:left w:val="none" w:sz="0" w:space="0" w:color="auto"/>
        <w:bottom w:val="none" w:sz="0" w:space="0" w:color="auto"/>
        <w:right w:val="none" w:sz="0" w:space="0" w:color="auto"/>
      </w:divBdr>
    </w:div>
    <w:div w:id="317805095">
      <w:bodyDiv w:val="1"/>
      <w:marLeft w:val="0"/>
      <w:marRight w:val="0"/>
      <w:marTop w:val="0"/>
      <w:marBottom w:val="0"/>
      <w:divBdr>
        <w:top w:val="none" w:sz="0" w:space="0" w:color="auto"/>
        <w:left w:val="none" w:sz="0" w:space="0" w:color="auto"/>
        <w:bottom w:val="none" w:sz="0" w:space="0" w:color="auto"/>
        <w:right w:val="none" w:sz="0" w:space="0" w:color="auto"/>
      </w:divBdr>
    </w:div>
    <w:div w:id="329069427">
      <w:bodyDiv w:val="1"/>
      <w:marLeft w:val="0"/>
      <w:marRight w:val="0"/>
      <w:marTop w:val="0"/>
      <w:marBottom w:val="0"/>
      <w:divBdr>
        <w:top w:val="none" w:sz="0" w:space="0" w:color="auto"/>
        <w:left w:val="none" w:sz="0" w:space="0" w:color="auto"/>
        <w:bottom w:val="none" w:sz="0" w:space="0" w:color="auto"/>
        <w:right w:val="none" w:sz="0" w:space="0" w:color="auto"/>
      </w:divBdr>
    </w:div>
    <w:div w:id="392702014">
      <w:bodyDiv w:val="1"/>
      <w:marLeft w:val="0"/>
      <w:marRight w:val="0"/>
      <w:marTop w:val="0"/>
      <w:marBottom w:val="0"/>
      <w:divBdr>
        <w:top w:val="none" w:sz="0" w:space="0" w:color="auto"/>
        <w:left w:val="none" w:sz="0" w:space="0" w:color="auto"/>
        <w:bottom w:val="none" w:sz="0" w:space="0" w:color="auto"/>
        <w:right w:val="none" w:sz="0" w:space="0" w:color="auto"/>
      </w:divBdr>
    </w:div>
    <w:div w:id="432897338">
      <w:bodyDiv w:val="1"/>
      <w:marLeft w:val="0"/>
      <w:marRight w:val="0"/>
      <w:marTop w:val="0"/>
      <w:marBottom w:val="0"/>
      <w:divBdr>
        <w:top w:val="none" w:sz="0" w:space="0" w:color="auto"/>
        <w:left w:val="none" w:sz="0" w:space="0" w:color="auto"/>
        <w:bottom w:val="none" w:sz="0" w:space="0" w:color="auto"/>
        <w:right w:val="none" w:sz="0" w:space="0" w:color="auto"/>
      </w:divBdr>
    </w:div>
    <w:div w:id="438381800">
      <w:bodyDiv w:val="1"/>
      <w:marLeft w:val="0"/>
      <w:marRight w:val="0"/>
      <w:marTop w:val="0"/>
      <w:marBottom w:val="0"/>
      <w:divBdr>
        <w:top w:val="none" w:sz="0" w:space="0" w:color="auto"/>
        <w:left w:val="none" w:sz="0" w:space="0" w:color="auto"/>
        <w:bottom w:val="none" w:sz="0" w:space="0" w:color="auto"/>
        <w:right w:val="none" w:sz="0" w:space="0" w:color="auto"/>
      </w:divBdr>
    </w:div>
    <w:div w:id="459540294">
      <w:bodyDiv w:val="1"/>
      <w:marLeft w:val="0"/>
      <w:marRight w:val="0"/>
      <w:marTop w:val="0"/>
      <w:marBottom w:val="0"/>
      <w:divBdr>
        <w:top w:val="none" w:sz="0" w:space="0" w:color="auto"/>
        <w:left w:val="none" w:sz="0" w:space="0" w:color="auto"/>
        <w:bottom w:val="none" w:sz="0" w:space="0" w:color="auto"/>
        <w:right w:val="none" w:sz="0" w:space="0" w:color="auto"/>
      </w:divBdr>
    </w:div>
    <w:div w:id="459542650">
      <w:bodyDiv w:val="1"/>
      <w:marLeft w:val="0"/>
      <w:marRight w:val="0"/>
      <w:marTop w:val="0"/>
      <w:marBottom w:val="0"/>
      <w:divBdr>
        <w:top w:val="none" w:sz="0" w:space="0" w:color="auto"/>
        <w:left w:val="none" w:sz="0" w:space="0" w:color="auto"/>
        <w:bottom w:val="none" w:sz="0" w:space="0" w:color="auto"/>
        <w:right w:val="none" w:sz="0" w:space="0" w:color="auto"/>
      </w:divBdr>
    </w:div>
    <w:div w:id="466164318">
      <w:bodyDiv w:val="1"/>
      <w:marLeft w:val="0"/>
      <w:marRight w:val="0"/>
      <w:marTop w:val="0"/>
      <w:marBottom w:val="0"/>
      <w:divBdr>
        <w:top w:val="none" w:sz="0" w:space="0" w:color="auto"/>
        <w:left w:val="none" w:sz="0" w:space="0" w:color="auto"/>
        <w:bottom w:val="none" w:sz="0" w:space="0" w:color="auto"/>
        <w:right w:val="none" w:sz="0" w:space="0" w:color="auto"/>
      </w:divBdr>
    </w:div>
    <w:div w:id="470246247">
      <w:bodyDiv w:val="1"/>
      <w:marLeft w:val="0"/>
      <w:marRight w:val="0"/>
      <w:marTop w:val="0"/>
      <w:marBottom w:val="0"/>
      <w:divBdr>
        <w:top w:val="none" w:sz="0" w:space="0" w:color="auto"/>
        <w:left w:val="none" w:sz="0" w:space="0" w:color="auto"/>
        <w:bottom w:val="none" w:sz="0" w:space="0" w:color="auto"/>
        <w:right w:val="none" w:sz="0" w:space="0" w:color="auto"/>
      </w:divBdr>
    </w:div>
    <w:div w:id="484787617">
      <w:bodyDiv w:val="1"/>
      <w:marLeft w:val="0"/>
      <w:marRight w:val="0"/>
      <w:marTop w:val="0"/>
      <w:marBottom w:val="0"/>
      <w:divBdr>
        <w:top w:val="none" w:sz="0" w:space="0" w:color="auto"/>
        <w:left w:val="none" w:sz="0" w:space="0" w:color="auto"/>
        <w:bottom w:val="none" w:sz="0" w:space="0" w:color="auto"/>
        <w:right w:val="none" w:sz="0" w:space="0" w:color="auto"/>
      </w:divBdr>
    </w:div>
    <w:div w:id="505560341">
      <w:bodyDiv w:val="1"/>
      <w:marLeft w:val="0"/>
      <w:marRight w:val="0"/>
      <w:marTop w:val="0"/>
      <w:marBottom w:val="0"/>
      <w:divBdr>
        <w:top w:val="none" w:sz="0" w:space="0" w:color="auto"/>
        <w:left w:val="none" w:sz="0" w:space="0" w:color="auto"/>
        <w:bottom w:val="none" w:sz="0" w:space="0" w:color="auto"/>
        <w:right w:val="none" w:sz="0" w:space="0" w:color="auto"/>
      </w:divBdr>
    </w:div>
    <w:div w:id="508714531">
      <w:bodyDiv w:val="1"/>
      <w:marLeft w:val="0"/>
      <w:marRight w:val="0"/>
      <w:marTop w:val="0"/>
      <w:marBottom w:val="0"/>
      <w:divBdr>
        <w:top w:val="none" w:sz="0" w:space="0" w:color="auto"/>
        <w:left w:val="none" w:sz="0" w:space="0" w:color="auto"/>
        <w:bottom w:val="none" w:sz="0" w:space="0" w:color="auto"/>
        <w:right w:val="none" w:sz="0" w:space="0" w:color="auto"/>
      </w:divBdr>
    </w:div>
    <w:div w:id="523441300">
      <w:bodyDiv w:val="1"/>
      <w:marLeft w:val="0"/>
      <w:marRight w:val="0"/>
      <w:marTop w:val="0"/>
      <w:marBottom w:val="0"/>
      <w:divBdr>
        <w:top w:val="none" w:sz="0" w:space="0" w:color="auto"/>
        <w:left w:val="none" w:sz="0" w:space="0" w:color="auto"/>
        <w:bottom w:val="none" w:sz="0" w:space="0" w:color="auto"/>
        <w:right w:val="none" w:sz="0" w:space="0" w:color="auto"/>
      </w:divBdr>
    </w:div>
    <w:div w:id="541291792">
      <w:bodyDiv w:val="1"/>
      <w:marLeft w:val="0"/>
      <w:marRight w:val="0"/>
      <w:marTop w:val="0"/>
      <w:marBottom w:val="0"/>
      <w:divBdr>
        <w:top w:val="none" w:sz="0" w:space="0" w:color="auto"/>
        <w:left w:val="none" w:sz="0" w:space="0" w:color="auto"/>
        <w:bottom w:val="none" w:sz="0" w:space="0" w:color="auto"/>
        <w:right w:val="none" w:sz="0" w:space="0" w:color="auto"/>
      </w:divBdr>
    </w:div>
    <w:div w:id="574970734">
      <w:bodyDiv w:val="1"/>
      <w:marLeft w:val="0"/>
      <w:marRight w:val="0"/>
      <w:marTop w:val="0"/>
      <w:marBottom w:val="0"/>
      <w:divBdr>
        <w:top w:val="none" w:sz="0" w:space="0" w:color="auto"/>
        <w:left w:val="none" w:sz="0" w:space="0" w:color="auto"/>
        <w:bottom w:val="none" w:sz="0" w:space="0" w:color="auto"/>
        <w:right w:val="none" w:sz="0" w:space="0" w:color="auto"/>
      </w:divBdr>
    </w:div>
    <w:div w:id="579101620">
      <w:bodyDiv w:val="1"/>
      <w:marLeft w:val="0"/>
      <w:marRight w:val="0"/>
      <w:marTop w:val="0"/>
      <w:marBottom w:val="0"/>
      <w:divBdr>
        <w:top w:val="none" w:sz="0" w:space="0" w:color="auto"/>
        <w:left w:val="none" w:sz="0" w:space="0" w:color="auto"/>
        <w:bottom w:val="none" w:sz="0" w:space="0" w:color="auto"/>
        <w:right w:val="none" w:sz="0" w:space="0" w:color="auto"/>
      </w:divBdr>
    </w:div>
    <w:div w:id="592513481">
      <w:bodyDiv w:val="1"/>
      <w:marLeft w:val="0"/>
      <w:marRight w:val="0"/>
      <w:marTop w:val="0"/>
      <w:marBottom w:val="0"/>
      <w:divBdr>
        <w:top w:val="none" w:sz="0" w:space="0" w:color="auto"/>
        <w:left w:val="none" w:sz="0" w:space="0" w:color="auto"/>
        <w:bottom w:val="none" w:sz="0" w:space="0" w:color="auto"/>
        <w:right w:val="none" w:sz="0" w:space="0" w:color="auto"/>
      </w:divBdr>
    </w:div>
    <w:div w:id="604964371">
      <w:bodyDiv w:val="1"/>
      <w:marLeft w:val="0"/>
      <w:marRight w:val="0"/>
      <w:marTop w:val="0"/>
      <w:marBottom w:val="0"/>
      <w:divBdr>
        <w:top w:val="none" w:sz="0" w:space="0" w:color="auto"/>
        <w:left w:val="none" w:sz="0" w:space="0" w:color="auto"/>
        <w:bottom w:val="none" w:sz="0" w:space="0" w:color="auto"/>
        <w:right w:val="none" w:sz="0" w:space="0" w:color="auto"/>
      </w:divBdr>
    </w:div>
    <w:div w:id="605313353">
      <w:bodyDiv w:val="1"/>
      <w:marLeft w:val="0"/>
      <w:marRight w:val="0"/>
      <w:marTop w:val="0"/>
      <w:marBottom w:val="0"/>
      <w:divBdr>
        <w:top w:val="none" w:sz="0" w:space="0" w:color="auto"/>
        <w:left w:val="none" w:sz="0" w:space="0" w:color="auto"/>
        <w:bottom w:val="none" w:sz="0" w:space="0" w:color="auto"/>
        <w:right w:val="none" w:sz="0" w:space="0" w:color="auto"/>
      </w:divBdr>
    </w:div>
    <w:div w:id="612324179">
      <w:bodyDiv w:val="1"/>
      <w:marLeft w:val="0"/>
      <w:marRight w:val="0"/>
      <w:marTop w:val="0"/>
      <w:marBottom w:val="0"/>
      <w:divBdr>
        <w:top w:val="none" w:sz="0" w:space="0" w:color="auto"/>
        <w:left w:val="none" w:sz="0" w:space="0" w:color="auto"/>
        <w:bottom w:val="none" w:sz="0" w:space="0" w:color="auto"/>
        <w:right w:val="none" w:sz="0" w:space="0" w:color="auto"/>
      </w:divBdr>
    </w:div>
    <w:div w:id="620304911">
      <w:bodyDiv w:val="1"/>
      <w:marLeft w:val="0"/>
      <w:marRight w:val="0"/>
      <w:marTop w:val="0"/>
      <w:marBottom w:val="0"/>
      <w:divBdr>
        <w:top w:val="none" w:sz="0" w:space="0" w:color="auto"/>
        <w:left w:val="none" w:sz="0" w:space="0" w:color="auto"/>
        <w:bottom w:val="none" w:sz="0" w:space="0" w:color="auto"/>
        <w:right w:val="none" w:sz="0" w:space="0" w:color="auto"/>
      </w:divBdr>
    </w:div>
    <w:div w:id="621502774">
      <w:bodyDiv w:val="1"/>
      <w:marLeft w:val="0"/>
      <w:marRight w:val="0"/>
      <w:marTop w:val="0"/>
      <w:marBottom w:val="0"/>
      <w:divBdr>
        <w:top w:val="none" w:sz="0" w:space="0" w:color="auto"/>
        <w:left w:val="none" w:sz="0" w:space="0" w:color="auto"/>
        <w:bottom w:val="none" w:sz="0" w:space="0" w:color="auto"/>
        <w:right w:val="none" w:sz="0" w:space="0" w:color="auto"/>
      </w:divBdr>
    </w:div>
    <w:div w:id="641928425">
      <w:bodyDiv w:val="1"/>
      <w:marLeft w:val="0"/>
      <w:marRight w:val="0"/>
      <w:marTop w:val="0"/>
      <w:marBottom w:val="0"/>
      <w:divBdr>
        <w:top w:val="none" w:sz="0" w:space="0" w:color="auto"/>
        <w:left w:val="none" w:sz="0" w:space="0" w:color="auto"/>
        <w:bottom w:val="none" w:sz="0" w:space="0" w:color="auto"/>
        <w:right w:val="none" w:sz="0" w:space="0" w:color="auto"/>
      </w:divBdr>
    </w:div>
    <w:div w:id="642269931">
      <w:bodyDiv w:val="1"/>
      <w:marLeft w:val="0"/>
      <w:marRight w:val="0"/>
      <w:marTop w:val="0"/>
      <w:marBottom w:val="0"/>
      <w:divBdr>
        <w:top w:val="none" w:sz="0" w:space="0" w:color="auto"/>
        <w:left w:val="none" w:sz="0" w:space="0" w:color="auto"/>
        <w:bottom w:val="none" w:sz="0" w:space="0" w:color="auto"/>
        <w:right w:val="none" w:sz="0" w:space="0" w:color="auto"/>
      </w:divBdr>
    </w:div>
    <w:div w:id="643705205">
      <w:bodyDiv w:val="1"/>
      <w:marLeft w:val="0"/>
      <w:marRight w:val="0"/>
      <w:marTop w:val="0"/>
      <w:marBottom w:val="0"/>
      <w:divBdr>
        <w:top w:val="none" w:sz="0" w:space="0" w:color="auto"/>
        <w:left w:val="none" w:sz="0" w:space="0" w:color="auto"/>
        <w:bottom w:val="none" w:sz="0" w:space="0" w:color="auto"/>
        <w:right w:val="none" w:sz="0" w:space="0" w:color="auto"/>
      </w:divBdr>
    </w:div>
    <w:div w:id="666324932">
      <w:bodyDiv w:val="1"/>
      <w:marLeft w:val="0"/>
      <w:marRight w:val="0"/>
      <w:marTop w:val="0"/>
      <w:marBottom w:val="0"/>
      <w:divBdr>
        <w:top w:val="none" w:sz="0" w:space="0" w:color="auto"/>
        <w:left w:val="none" w:sz="0" w:space="0" w:color="auto"/>
        <w:bottom w:val="none" w:sz="0" w:space="0" w:color="auto"/>
        <w:right w:val="none" w:sz="0" w:space="0" w:color="auto"/>
      </w:divBdr>
    </w:div>
    <w:div w:id="672686203">
      <w:bodyDiv w:val="1"/>
      <w:marLeft w:val="0"/>
      <w:marRight w:val="0"/>
      <w:marTop w:val="0"/>
      <w:marBottom w:val="0"/>
      <w:divBdr>
        <w:top w:val="none" w:sz="0" w:space="0" w:color="auto"/>
        <w:left w:val="none" w:sz="0" w:space="0" w:color="auto"/>
        <w:bottom w:val="none" w:sz="0" w:space="0" w:color="auto"/>
        <w:right w:val="none" w:sz="0" w:space="0" w:color="auto"/>
      </w:divBdr>
    </w:div>
    <w:div w:id="675234178">
      <w:bodyDiv w:val="1"/>
      <w:marLeft w:val="0"/>
      <w:marRight w:val="0"/>
      <w:marTop w:val="0"/>
      <w:marBottom w:val="0"/>
      <w:divBdr>
        <w:top w:val="none" w:sz="0" w:space="0" w:color="auto"/>
        <w:left w:val="none" w:sz="0" w:space="0" w:color="auto"/>
        <w:bottom w:val="none" w:sz="0" w:space="0" w:color="auto"/>
        <w:right w:val="none" w:sz="0" w:space="0" w:color="auto"/>
      </w:divBdr>
    </w:div>
    <w:div w:id="707097927">
      <w:bodyDiv w:val="1"/>
      <w:marLeft w:val="0"/>
      <w:marRight w:val="0"/>
      <w:marTop w:val="0"/>
      <w:marBottom w:val="0"/>
      <w:divBdr>
        <w:top w:val="none" w:sz="0" w:space="0" w:color="auto"/>
        <w:left w:val="none" w:sz="0" w:space="0" w:color="auto"/>
        <w:bottom w:val="none" w:sz="0" w:space="0" w:color="auto"/>
        <w:right w:val="none" w:sz="0" w:space="0" w:color="auto"/>
      </w:divBdr>
    </w:div>
    <w:div w:id="708989348">
      <w:bodyDiv w:val="1"/>
      <w:marLeft w:val="0"/>
      <w:marRight w:val="0"/>
      <w:marTop w:val="0"/>
      <w:marBottom w:val="0"/>
      <w:divBdr>
        <w:top w:val="none" w:sz="0" w:space="0" w:color="auto"/>
        <w:left w:val="none" w:sz="0" w:space="0" w:color="auto"/>
        <w:bottom w:val="none" w:sz="0" w:space="0" w:color="auto"/>
        <w:right w:val="none" w:sz="0" w:space="0" w:color="auto"/>
      </w:divBdr>
    </w:div>
    <w:div w:id="739448132">
      <w:bodyDiv w:val="1"/>
      <w:marLeft w:val="0"/>
      <w:marRight w:val="0"/>
      <w:marTop w:val="0"/>
      <w:marBottom w:val="0"/>
      <w:divBdr>
        <w:top w:val="none" w:sz="0" w:space="0" w:color="auto"/>
        <w:left w:val="none" w:sz="0" w:space="0" w:color="auto"/>
        <w:bottom w:val="none" w:sz="0" w:space="0" w:color="auto"/>
        <w:right w:val="none" w:sz="0" w:space="0" w:color="auto"/>
      </w:divBdr>
    </w:div>
    <w:div w:id="742990234">
      <w:bodyDiv w:val="1"/>
      <w:marLeft w:val="0"/>
      <w:marRight w:val="0"/>
      <w:marTop w:val="0"/>
      <w:marBottom w:val="0"/>
      <w:divBdr>
        <w:top w:val="none" w:sz="0" w:space="0" w:color="auto"/>
        <w:left w:val="none" w:sz="0" w:space="0" w:color="auto"/>
        <w:bottom w:val="none" w:sz="0" w:space="0" w:color="auto"/>
        <w:right w:val="none" w:sz="0" w:space="0" w:color="auto"/>
      </w:divBdr>
    </w:div>
    <w:div w:id="750080345">
      <w:bodyDiv w:val="1"/>
      <w:marLeft w:val="0"/>
      <w:marRight w:val="0"/>
      <w:marTop w:val="0"/>
      <w:marBottom w:val="0"/>
      <w:divBdr>
        <w:top w:val="none" w:sz="0" w:space="0" w:color="auto"/>
        <w:left w:val="none" w:sz="0" w:space="0" w:color="auto"/>
        <w:bottom w:val="none" w:sz="0" w:space="0" w:color="auto"/>
        <w:right w:val="none" w:sz="0" w:space="0" w:color="auto"/>
      </w:divBdr>
    </w:div>
    <w:div w:id="761225843">
      <w:bodyDiv w:val="1"/>
      <w:marLeft w:val="0"/>
      <w:marRight w:val="0"/>
      <w:marTop w:val="0"/>
      <w:marBottom w:val="0"/>
      <w:divBdr>
        <w:top w:val="none" w:sz="0" w:space="0" w:color="auto"/>
        <w:left w:val="none" w:sz="0" w:space="0" w:color="auto"/>
        <w:bottom w:val="none" w:sz="0" w:space="0" w:color="auto"/>
        <w:right w:val="none" w:sz="0" w:space="0" w:color="auto"/>
      </w:divBdr>
    </w:div>
    <w:div w:id="776487733">
      <w:bodyDiv w:val="1"/>
      <w:marLeft w:val="0"/>
      <w:marRight w:val="0"/>
      <w:marTop w:val="0"/>
      <w:marBottom w:val="0"/>
      <w:divBdr>
        <w:top w:val="none" w:sz="0" w:space="0" w:color="auto"/>
        <w:left w:val="none" w:sz="0" w:space="0" w:color="auto"/>
        <w:bottom w:val="none" w:sz="0" w:space="0" w:color="auto"/>
        <w:right w:val="none" w:sz="0" w:space="0" w:color="auto"/>
      </w:divBdr>
    </w:div>
    <w:div w:id="778137275">
      <w:bodyDiv w:val="1"/>
      <w:marLeft w:val="0"/>
      <w:marRight w:val="0"/>
      <w:marTop w:val="0"/>
      <w:marBottom w:val="0"/>
      <w:divBdr>
        <w:top w:val="none" w:sz="0" w:space="0" w:color="auto"/>
        <w:left w:val="none" w:sz="0" w:space="0" w:color="auto"/>
        <w:bottom w:val="none" w:sz="0" w:space="0" w:color="auto"/>
        <w:right w:val="none" w:sz="0" w:space="0" w:color="auto"/>
      </w:divBdr>
    </w:div>
    <w:div w:id="790199817">
      <w:bodyDiv w:val="1"/>
      <w:marLeft w:val="0"/>
      <w:marRight w:val="0"/>
      <w:marTop w:val="0"/>
      <w:marBottom w:val="0"/>
      <w:divBdr>
        <w:top w:val="none" w:sz="0" w:space="0" w:color="auto"/>
        <w:left w:val="none" w:sz="0" w:space="0" w:color="auto"/>
        <w:bottom w:val="none" w:sz="0" w:space="0" w:color="auto"/>
        <w:right w:val="none" w:sz="0" w:space="0" w:color="auto"/>
      </w:divBdr>
    </w:div>
    <w:div w:id="813763361">
      <w:bodyDiv w:val="1"/>
      <w:marLeft w:val="0"/>
      <w:marRight w:val="0"/>
      <w:marTop w:val="0"/>
      <w:marBottom w:val="0"/>
      <w:divBdr>
        <w:top w:val="none" w:sz="0" w:space="0" w:color="auto"/>
        <w:left w:val="none" w:sz="0" w:space="0" w:color="auto"/>
        <w:bottom w:val="none" w:sz="0" w:space="0" w:color="auto"/>
        <w:right w:val="none" w:sz="0" w:space="0" w:color="auto"/>
      </w:divBdr>
    </w:div>
    <w:div w:id="832380804">
      <w:bodyDiv w:val="1"/>
      <w:marLeft w:val="0"/>
      <w:marRight w:val="0"/>
      <w:marTop w:val="0"/>
      <w:marBottom w:val="0"/>
      <w:divBdr>
        <w:top w:val="none" w:sz="0" w:space="0" w:color="auto"/>
        <w:left w:val="none" w:sz="0" w:space="0" w:color="auto"/>
        <w:bottom w:val="none" w:sz="0" w:space="0" w:color="auto"/>
        <w:right w:val="none" w:sz="0" w:space="0" w:color="auto"/>
      </w:divBdr>
    </w:div>
    <w:div w:id="844057325">
      <w:bodyDiv w:val="1"/>
      <w:marLeft w:val="0"/>
      <w:marRight w:val="0"/>
      <w:marTop w:val="0"/>
      <w:marBottom w:val="0"/>
      <w:divBdr>
        <w:top w:val="none" w:sz="0" w:space="0" w:color="auto"/>
        <w:left w:val="none" w:sz="0" w:space="0" w:color="auto"/>
        <w:bottom w:val="none" w:sz="0" w:space="0" w:color="auto"/>
        <w:right w:val="none" w:sz="0" w:space="0" w:color="auto"/>
      </w:divBdr>
    </w:div>
    <w:div w:id="852380081">
      <w:bodyDiv w:val="1"/>
      <w:marLeft w:val="0"/>
      <w:marRight w:val="0"/>
      <w:marTop w:val="0"/>
      <w:marBottom w:val="0"/>
      <w:divBdr>
        <w:top w:val="none" w:sz="0" w:space="0" w:color="auto"/>
        <w:left w:val="none" w:sz="0" w:space="0" w:color="auto"/>
        <w:bottom w:val="none" w:sz="0" w:space="0" w:color="auto"/>
        <w:right w:val="none" w:sz="0" w:space="0" w:color="auto"/>
      </w:divBdr>
    </w:div>
    <w:div w:id="897130456">
      <w:bodyDiv w:val="1"/>
      <w:marLeft w:val="0"/>
      <w:marRight w:val="0"/>
      <w:marTop w:val="0"/>
      <w:marBottom w:val="0"/>
      <w:divBdr>
        <w:top w:val="none" w:sz="0" w:space="0" w:color="auto"/>
        <w:left w:val="none" w:sz="0" w:space="0" w:color="auto"/>
        <w:bottom w:val="none" w:sz="0" w:space="0" w:color="auto"/>
        <w:right w:val="none" w:sz="0" w:space="0" w:color="auto"/>
      </w:divBdr>
    </w:div>
    <w:div w:id="901912922">
      <w:bodyDiv w:val="1"/>
      <w:marLeft w:val="0"/>
      <w:marRight w:val="0"/>
      <w:marTop w:val="0"/>
      <w:marBottom w:val="0"/>
      <w:divBdr>
        <w:top w:val="none" w:sz="0" w:space="0" w:color="auto"/>
        <w:left w:val="none" w:sz="0" w:space="0" w:color="auto"/>
        <w:bottom w:val="none" w:sz="0" w:space="0" w:color="auto"/>
        <w:right w:val="none" w:sz="0" w:space="0" w:color="auto"/>
      </w:divBdr>
    </w:div>
    <w:div w:id="934676727">
      <w:bodyDiv w:val="1"/>
      <w:marLeft w:val="0"/>
      <w:marRight w:val="0"/>
      <w:marTop w:val="0"/>
      <w:marBottom w:val="0"/>
      <w:divBdr>
        <w:top w:val="none" w:sz="0" w:space="0" w:color="auto"/>
        <w:left w:val="none" w:sz="0" w:space="0" w:color="auto"/>
        <w:bottom w:val="none" w:sz="0" w:space="0" w:color="auto"/>
        <w:right w:val="none" w:sz="0" w:space="0" w:color="auto"/>
      </w:divBdr>
    </w:div>
    <w:div w:id="938371438">
      <w:bodyDiv w:val="1"/>
      <w:marLeft w:val="0"/>
      <w:marRight w:val="0"/>
      <w:marTop w:val="0"/>
      <w:marBottom w:val="0"/>
      <w:divBdr>
        <w:top w:val="none" w:sz="0" w:space="0" w:color="auto"/>
        <w:left w:val="none" w:sz="0" w:space="0" w:color="auto"/>
        <w:bottom w:val="none" w:sz="0" w:space="0" w:color="auto"/>
        <w:right w:val="none" w:sz="0" w:space="0" w:color="auto"/>
      </w:divBdr>
    </w:div>
    <w:div w:id="964120048">
      <w:bodyDiv w:val="1"/>
      <w:marLeft w:val="0"/>
      <w:marRight w:val="0"/>
      <w:marTop w:val="0"/>
      <w:marBottom w:val="0"/>
      <w:divBdr>
        <w:top w:val="none" w:sz="0" w:space="0" w:color="auto"/>
        <w:left w:val="none" w:sz="0" w:space="0" w:color="auto"/>
        <w:bottom w:val="none" w:sz="0" w:space="0" w:color="auto"/>
        <w:right w:val="none" w:sz="0" w:space="0" w:color="auto"/>
      </w:divBdr>
    </w:div>
    <w:div w:id="969091510">
      <w:bodyDiv w:val="1"/>
      <w:marLeft w:val="0"/>
      <w:marRight w:val="0"/>
      <w:marTop w:val="0"/>
      <w:marBottom w:val="0"/>
      <w:divBdr>
        <w:top w:val="none" w:sz="0" w:space="0" w:color="auto"/>
        <w:left w:val="none" w:sz="0" w:space="0" w:color="auto"/>
        <w:bottom w:val="none" w:sz="0" w:space="0" w:color="auto"/>
        <w:right w:val="none" w:sz="0" w:space="0" w:color="auto"/>
      </w:divBdr>
    </w:div>
    <w:div w:id="979924083">
      <w:bodyDiv w:val="1"/>
      <w:marLeft w:val="0"/>
      <w:marRight w:val="0"/>
      <w:marTop w:val="0"/>
      <w:marBottom w:val="0"/>
      <w:divBdr>
        <w:top w:val="none" w:sz="0" w:space="0" w:color="auto"/>
        <w:left w:val="none" w:sz="0" w:space="0" w:color="auto"/>
        <w:bottom w:val="none" w:sz="0" w:space="0" w:color="auto"/>
        <w:right w:val="none" w:sz="0" w:space="0" w:color="auto"/>
      </w:divBdr>
    </w:div>
    <w:div w:id="982655943">
      <w:bodyDiv w:val="1"/>
      <w:marLeft w:val="0"/>
      <w:marRight w:val="0"/>
      <w:marTop w:val="0"/>
      <w:marBottom w:val="0"/>
      <w:divBdr>
        <w:top w:val="none" w:sz="0" w:space="0" w:color="auto"/>
        <w:left w:val="none" w:sz="0" w:space="0" w:color="auto"/>
        <w:bottom w:val="none" w:sz="0" w:space="0" w:color="auto"/>
        <w:right w:val="none" w:sz="0" w:space="0" w:color="auto"/>
      </w:divBdr>
    </w:div>
    <w:div w:id="995955749">
      <w:bodyDiv w:val="1"/>
      <w:marLeft w:val="0"/>
      <w:marRight w:val="0"/>
      <w:marTop w:val="0"/>
      <w:marBottom w:val="0"/>
      <w:divBdr>
        <w:top w:val="none" w:sz="0" w:space="0" w:color="auto"/>
        <w:left w:val="none" w:sz="0" w:space="0" w:color="auto"/>
        <w:bottom w:val="none" w:sz="0" w:space="0" w:color="auto"/>
        <w:right w:val="none" w:sz="0" w:space="0" w:color="auto"/>
      </w:divBdr>
    </w:div>
    <w:div w:id="1000156594">
      <w:bodyDiv w:val="1"/>
      <w:marLeft w:val="0"/>
      <w:marRight w:val="0"/>
      <w:marTop w:val="0"/>
      <w:marBottom w:val="0"/>
      <w:divBdr>
        <w:top w:val="none" w:sz="0" w:space="0" w:color="auto"/>
        <w:left w:val="none" w:sz="0" w:space="0" w:color="auto"/>
        <w:bottom w:val="none" w:sz="0" w:space="0" w:color="auto"/>
        <w:right w:val="none" w:sz="0" w:space="0" w:color="auto"/>
      </w:divBdr>
    </w:div>
    <w:div w:id="1012486517">
      <w:bodyDiv w:val="1"/>
      <w:marLeft w:val="0"/>
      <w:marRight w:val="0"/>
      <w:marTop w:val="0"/>
      <w:marBottom w:val="0"/>
      <w:divBdr>
        <w:top w:val="none" w:sz="0" w:space="0" w:color="auto"/>
        <w:left w:val="none" w:sz="0" w:space="0" w:color="auto"/>
        <w:bottom w:val="none" w:sz="0" w:space="0" w:color="auto"/>
        <w:right w:val="none" w:sz="0" w:space="0" w:color="auto"/>
      </w:divBdr>
    </w:div>
    <w:div w:id="1012611503">
      <w:bodyDiv w:val="1"/>
      <w:marLeft w:val="0"/>
      <w:marRight w:val="0"/>
      <w:marTop w:val="0"/>
      <w:marBottom w:val="0"/>
      <w:divBdr>
        <w:top w:val="none" w:sz="0" w:space="0" w:color="auto"/>
        <w:left w:val="none" w:sz="0" w:space="0" w:color="auto"/>
        <w:bottom w:val="none" w:sz="0" w:space="0" w:color="auto"/>
        <w:right w:val="none" w:sz="0" w:space="0" w:color="auto"/>
      </w:divBdr>
    </w:div>
    <w:div w:id="1022971983">
      <w:bodyDiv w:val="1"/>
      <w:marLeft w:val="0"/>
      <w:marRight w:val="0"/>
      <w:marTop w:val="0"/>
      <w:marBottom w:val="0"/>
      <w:divBdr>
        <w:top w:val="none" w:sz="0" w:space="0" w:color="auto"/>
        <w:left w:val="none" w:sz="0" w:space="0" w:color="auto"/>
        <w:bottom w:val="none" w:sz="0" w:space="0" w:color="auto"/>
        <w:right w:val="none" w:sz="0" w:space="0" w:color="auto"/>
      </w:divBdr>
    </w:div>
    <w:div w:id="1037505205">
      <w:bodyDiv w:val="1"/>
      <w:marLeft w:val="0"/>
      <w:marRight w:val="0"/>
      <w:marTop w:val="0"/>
      <w:marBottom w:val="0"/>
      <w:divBdr>
        <w:top w:val="none" w:sz="0" w:space="0" w:color="auto"/>
        <w:left w:val="none" w:sz="0" w:space="0" w:color="auto"/>
        <w:bottom w:val="none" w:sz="0" w:space="0" w:color="auto"/>
        <w:right w:val="none" w:sz="0" w:space="0" w:color="auto"/>
      </w:divBdr>
    </w:div>
    <w:div w:id="1038629354">
      <w:bodyDiv w:val="1"/>
      <w:marLeft w:val="0"/>
      <w:marRight w:val="0"/>
      <w:marTop w:val="0"/>
      <w:marBottom w:val="0"/>
      <w:divBdr>
        <w:top w:val="none" w:sz="0" w:space="0" w:color="auto"/>
        <w:left w:val="none" w:sz="0" w:space="0" w:color="auto"/>
        <w:bottom w:val="none" w:sz="0" w:space="0" w:color="auto"/>
        <w:right w:val="none" w:sz="0" w:space="0" w:color="auto"/>
      </w:divBdr>
    </w:div>
    <w:div w:id="1056902831">
      <w:bodyDiv w:val="1"/>
      <w:marLeft w:val="0"/>
      <w:marRight w:val="0"/>
      <w:marTop w:val="0"/>
      <w:marBottom w:val="0"/>
      <w:divBdr>
        <w:top w:val="none" w:sz="0" w:space="0" w:color="auto"/>
        <w:left w:val="none" w:sz="0" w:space="0" w:color="auto"/>
        <w:bottom w:val="none" w:sz="0" w:space="0" w:color="auto"/>
        <w:right w:val="none" w:sz="0" w:space="0" w:color="auto"/>
      </w:divBdr>
    </w:div>
    <w:div w:id="1066761684">
      <w:bodyDiv w:val="1"/>
      <w:marLeft w:val="0"/>
      <w:marRight w:val="0"/>
      <w:marTop w:val="0"/>
      <w:marBottom w:val="0"/>
      <w:divBdr>
        <w:top w:val="none" w:sz="0" w:space="0" w:color="auto"/>
        <w:left w:val="none" w:sz="0" w:space="0" w:color="auto"/>
        <w:bottom w:val="none" w:sz="0" w:space="0" w:color="auto"/>
        <w:right w:val="none" w:sz="0" w:space="0" w:color="auto"/>
      </w:divBdr>
    </w:div>
    <w:div w:id="1068924140">
      <w:bodyDiv w:val="1"/>
      <w:marLeft w:val="0"/>
      <w:marRight w:val="0"/>
      <w:marTop w:val="0"/>
      <w:marBottom w:val="0"/>
      <w:divBdr>
        <w:top w:val="none" w:sz="0" w:space="0" w:color="auto"/>
        <w:left w:val="none" w:sz="0" w:space="0" w:color="auto"/>
        <w:bottom w:val="none" w:sz="0" w:space="0" w:color="auto"/>
        <w:right w:val="none" w:sz="0" w:space="0" w:color="auto"/>
      </w:divBdr>
    </w:div>
    <w:div w:id="1087648852">
      <w:bodyDiv w:val="1"/>
      <w:marLeft w:val="0"/>
      <w:marRight w:val="0"/>
      <w:marTop w:val="0"/>
      <w:marBottom w:val="0"/>
      <w:divBdr>
        <w:top w:val="none" w:sz="0" w:space="0" w:color="auto"/>
        <w:left w:val="none" w:sz="0" w:space="0" w:color="auto"/>
        <w:bottom w:val="none" w:sz="0" w:space="0" w:color="auto"/>
        <w:right w:val="none" w:sz="0" w:space="0" w:color="auto"/>
      </w:divBdr>
    </w:div>
    <w:div w:id="1108550571">
      <w:bodyDiv w:val="1"/>
      <w:marLeft w:val="0"/>
      <w:marRight w:val="0"/>
      <w:marTop w:val="0"/>
      <w:marBottom w:val="0"/>
      <w:divBdr>
        <w:top w:val="none" w:sz="0" w:space="0" w:color="auto"/>
        <w:left w:val="none" w:sz="0" w:space="0" w:color="auto"/>
        <w:bottom w:val="none" w:sz="0" w:space="0" w:color="auto"/>
        <w:right w:val="none" w:sz="0" w:space="0" w:color="auto"/>
      </w:divBdr>
    </w:div>
    <w:div w:id="1189294872">
      <w:bodyDiv w:val="1"/>
      <w:marLeft w:val="0"/>
      <w:marRight w:val="0"/>
      <w:marTop w:val="0"/>
      <w:marBottom w:val="0"/>
      <w:divBdr>
        <w:top w:val="none" w:sz="0" w:space="0" w:color="auto"/>
        <w:left w:val="none" w:sz="0" w:space="0" w:color="auto"/>
        <w:bottom w:val="none" w:sz="0" w:space="0" w:color="auto"/>
        <w:right w:val="none" w:sz="0" w:space="0" w:color="auto"/>
      </w:divBdr>
    </w:div>
    <w:div w:id="1201431889">
      <w:bodyDiv w:val="1"/>
      <w:marLeft w:val="0"/>
      <w:marRight w:val="0"/>
      <w:marTop w:val="0"/>
      <w:marBottom w:val="0"/>
      <w:divBdr>
        <w:top w:val="none" w:sz="0" w:space="0" w:color="auto"/>
        <w:left w:val="none" w:sz="0" w:space="0" w:color="auto"/>
        <w:bottom w:val="none" w:sz="0" w:space="0" w:color="auto"/>
        <w:right w:val="none" w:sz="0" w:space="0" w:color="auto"/>
      </w:divBdr>
    </w:div>
    <w:div w:id="1226063972">
      <w:bodyDiv w:val="1"/>
      <w:marLeft w:val="0"/>
      <w:marRight w:val="0"/>
      <w:marTop w:val="0"/>
      <w:marBottom w:val="0"/>
      <w:divBdr>
        <w:top w:val="none" w:sz="0" w:space="0" w:color="auto"/>
        <w:left w:val="none" w:sz="0" w:space="0" w:color="auto"/>
        <w:bottom w:val="none" w:sz="0" w:space="0" w:color="auto"/>
        <w:right w:val="none" w:sz="0" w:space="0" w:color="auto"/>
      </w:divBdr>
    </w:div>
    <w:div w:id="1229077473">
      <w:bodyDiv w:val="1"/>
      <w:marLeft w:val="0"/>
      <w:marRight w:val="0"/>
      <w:marTop w:val="0"/>
      <w:marBottom w:val="0"/>
      <w:divBdr>
        <w:top w:val="none" w:sz="0" w:space="0" w:color="auto"/>
        <w:left w:val="none" w:sz="0" w:space="0" w:color="auto"/>
        <w:bottom w:val="none" w:sz="0" w:space="0" w:color="auto"/>
        <w:right w:val="none" w:sz="0" w:space="0" w:color="auto"/>
      </w:divBdr>
    </w:div>
    <w:div w:id="1233932536">
      <w:bodyDiv w:val="1"/>
      <w:marLeft w:val="0"/>
      <w:marRight w:val="0"/>
      <w:marTop w:val="0"/>
      <w:marBottom w:val="0"/>
      <w:divBdr>
        <w:top w:val="none" w:sz="0" w:space="0" w:color="auto"/>
        <w:left w:val="none" w:sz="0" w:space="0" w:color="auto"/>
        <w:bottom w:val="none" w:sz="0" w:space="0" w:color="auto"/>
        <w:right w:val="none" w:sz="0" w:space="0" w:color="auto"/>
      </w:divBdr>
    </w:div>
    <w:div w:id="1236403053">
      <w:bodyDiv w:val="1"/>
      <w:marLeft w:val="0"/>
      <w:marRight w:val="0"/>
      <w:marTop w:val="0"/>
      <w:marBottom w:val="0"/>
      <w:divBdr>
        <w:top w:val="none" w:sz="0" w:space="0" w:color="auto"/>
        <w:left w:val="none" w:sz="0" w:space="0" w:color="auto"/>
        <w:bottom w:val="none" w:sz="0" w:space="0" w:color="auto"/>
        <w:right w:val="none" w:sz="0" w:space="0" w:color="auto"/>
      </w:divBdr>
    </w:div>
    <w:div w:id="1264922652">
      <w:bodyDiv w:val="1"/>
      <w:marLeft w:val="0"/>
      <w:marRight w:val="0"/>
      <w:marTop w:val="0"/>
      <w:marBottom w:val="0"/>
      <w:divBdr>
        <w:top w:val="none" w:sz="0" w:space="0" w:color="auto"/>
        <w:left w:val="none" w:sz="0" w:space="0" w:color="auto"/>
        <w:bottom w:val="none" w:sz="0" w:space="0" w:color="auto"/>
        <w:right w:val="none" w:sz="0" w:space="0" w:color="auto"/>
      </w:divBdr>
    </w:div>
    <w:div w:id="1302416715">
      <w:bodyDiv w:val="1"/>
      <w:marLeft w:val="0"/>
      <w:marRight w:val="0"/>
      <w:marTop w:val="0"/>
      <w:marBottom w:val="0"/>
      <w:divBdr>
        <w:top w:val="none" w:sz="0" w:space="0" w:color="auto"/>
        <w:left w:val="none" w:sz="0" w:space="0" w:color="auto"/>
        <w:bottom w:val="none" w:sz="0" w:space="0" w:color="auto"/>
        <w:right w:val="none" w:sz="0" w:space="0" w:color="auto"/>
      </w:divBdr>
    </w:div>
    <w:div w:id="1327367224">
      <w:bodyDiv w:val="1"/>
      <w:marLeft w:val="0"/>
      <w:marRight w:val="0"/>
      <w:marTop w:val="0"/>
      <w:marBottom w:val="0"/>
      <w:divBdr>
        <w:top w:val="none" w:sz="0" w:space="0" w:color="auto"/>
        <w:left w:val="none" w:sz="0" w:space="0" w:color="auto"/>
        <w:bottom w:val="none" w:sz="0" w:space="0" w:color="auto"/>
        <w:right w:val="none" w:sz="0" w:space="0" w:color="auto"/>
      </w:divBdr>
    </w:div>
    <w:div w:id="1350183253">
      <w:bodyDiv w:val="1"/>
      <w:marLeft w:val="0"/>
      <w:marRight w:val="0"/>
      <w:marTop w:val="0"/>
      <w:marBottom w:val="0"/>
      <w:divBdr>
        <w:top w:val="none" w:sz="0" w:space="0" w:color="auto"/>
        <w:left w:val="none" w:sz="0" w:space="0" w:color="auto"/>
        <w:bottom w:val="none" w:sz="0" w:space="0" w:color="auto"/>
        <w:right w:val="none" w:sz="0" w:space="0" w:color="auto"/>
      </w:divBdr>
    </w:div>
    <w:div w:id="1375619121">
      <w:bodyDiv w:val="1"/>
      <w:marLeft w:val="0"/>
      <w:marRight w:val="0"/>
      <w:marTop w:val="0"/>
      <w:marBottom w:val="0"/>
      <w:divBdr>
        <w:top w:val="none" w:sz="0" w:space="0" w:color="auto"/>
        <w:left w:val="none" w:sz="0" w:space="0" w:color="auto"/>
        <w:bottom w:val="none" w:sz="0" w:space="0" w:color="auto"/>
        <w:right w:val="none" w:sz="0" w:space="0" w:color="auto"/>
      </w:divBdr>
    </w:div>
    <w:div w:id="1390806714">
      <w:bodyDiv w:val="1"/>
      <w:marLeft w:val="0"/>
      <w:marRight w:val="0"/>
      <w:marTop w:val="0"/>
      <w:marBottom w:val="0"/>
      <w:divBdr>
        <w:top w:val="none" w:sz="0" w:space="0" w:color="auto"/>
        <w:left w:val="none" w:sz="0" w:space="0" w:color="auto"/>
        <w:bottom w:val="none" w:sz="0" w:space="0" w:color="auto"/>
        <w:right w:val="none" w:sz="0" w:space="0" w:color="auto"/>
      </w:divBdr>
    </w:div>
    <w:div w:id="1392727294">
      <w:bodyDiv w:val="1"/>
      <w:marLeft w:val="0"/>
      <w:marRight w:val="0"/>
      <w:marTop w:val="0"/>
      <w:marBottom w:val="0"/>
      <w:divBdr>
        <w:top w:val="none" w:sz="0" w:space="0" w:color="auto"/>
        <w:left w:val="none" w:sz="0" w:space="0" w:color="auto"/>
        <w:bottom w:val="none" w:sz="0" w:space="0" w:color="auto"/>
        <w:right w:val="none" w:sz="0" w:space="0" w:color="auto"/>
      </w:divBdr>
    </w:div>
    <w:div w:id="1444807369">
      <w:bodyDiv w:val="1"/>
      <w:marLeft w:val="0"/>
      <w:marRight w:val="0"/>
      <w:marTop w:val="0"/>
      <w:marBottom w:val="0"/>
      <w:divBdr>
        <w:top w:val="none" w:sz="0" w:space="0" w:color="auto"/>
        <w:left w:val="none" w:sz="0" w:space="0" w:color="auto"/>
        <w:bottom w:val="none" w:sz="0" w:space="0" w:color="auto"/>
        <w:right w:val="none" w:sz="0" w:space="0" w:color="auto"/>
      </w:divBdr>
    </w:div>
    <w:div w:id="1454978770">
      <w:bodyDiv w:val="1"/>
      <w:marLeft w:val="0"/>
      <w:marRight w:val="0"/>
      <w:marTop w:val="0"/>
      <w:marBottom w:val="0"/>
      <w:divBdr>
        <w:top w:val="none" w:sz="0" w:space="0" w:color="auto"/>
        <w:left w:val="none" w:sz="0" w:space="0" w:color="auto"/>
        <w:bottom w:val="none" w:sz="0" w:space="0" w:color="auto"/>
        <w:right w:val="none" w:sz="0" w:space="0" w:color="auto"/>
      </w:divBdr>
    </w:div>
    <w:div w:id="1456371354">
      <w:bodyDiv w:val="1"/>
      <w:marLeft w:val="0"/>
      <w:marRight w:val="0"/>
      <w:marTop w:val="0"/>
      <w:marBottom w:val="0"/>
      <w:divBdr>
        <w:top w:val="none" w:sz="0" w:space="0" w:color="auto"/>
        <w:left w:val="none" w:sz="0" w:space="0" w:color="auto"/>
        <w:bottom w:val="none" w:sz="0" w:space="0" w:color="auto"/>
        <w:right w:val="none" w:sz="0" w:space="0" w:color="auto"/>
      </w:divBdr>
    </w:div>
    <w:div w:id="1490368777">
      <w:bodyDiv w:val="1"/>
      <w:marLeft w:val="0"/>
      <w:marRight w:val="0"/>
      <w:marTop w:val="0"/>
      <w:marBottom w:val="0"/>
      <w:divBdr>
        <w:top w:val="none" w:sz="0" w:space="0" w:color="auto"/>
        <w:left w:val="none" w:sz="0" w:space="0" w:color="auto"/>
        <w:bottom w:val="none" w:sz="0" w:space="0" w:color="auto"/>
        <w:right w:val="none" w:sz="0" w:space="0" w:color="auto"/>
      </w:divBdr>
    </w:div>
    <w:div w:id="1501041159">
      <w:bodyDiv w:val="1"/>
      <w:marLeft w:val="0"/>
      <w:marRight w:val="0"/>
      <w:marTop w:val="0"/>
      <w:marBottom w:val="0"/>
      <w:divBdr>
        <w:top w:val="none" w:sz="0" w:space="0" w:color="auto"/>
        <w:left w:val="none" w:sz="0" w:space="0" w:color="auto"/>
        <w:bottom w:val="none" w:sz="0" w:space="0" w:color="auto"/>
        <w:right w:val="none" w:sz="0" w:space="0" w:color="auto"/>
      </w:divBdr>
    </w:div>
    <w:div w:id="1502546616">
      <w:bodyDiv w:val="1"/>
      <w:marLeft w:val="0"/>
      <w:marRight w:val="0"/>
      <w:marTop w:val="0"/>
      <w:marBottom w:val="0"/>
      <w:divBdr>
        <w:top w:val="none" w:sz="0" w:space="0" w:color="auto"/>
        <w:left w:val="none" w:sz="0" w:space="0" w:color="auto"/>
        <w:bottom w:val="none" w:sz="0" w:space="0" w:color="auto"/>
        <w:right w:val="none" w:sz="0" w:space="0" w:color="auto"/>
      </w:divBdr>
    </w:div>
    <w:div w:id="1507020775">
      <w:bodyDiv w:val="1"/>
      <w:marLeft w:val="0"/>
      <w:marRight w:val="0"/>
      <w:marTop w:val="0"/>
      <w:marBottom w:val="0"/>
      <w:divBdr>
        <w:top w:val="none" w:sz="0" w:space="0" w:color="auto"/>
        <w:left w:val="none" w:sz="0" w:space="0" w:color="auto"/>
        <w:bottom w:val="none" w:sz="0" w:space="0" w:color="auto"/>
        <w:right w:val="none" w:sz="0" w:space="0" w:color="auto"/>
      </w:divBdr>
    </w:div>
    <w:div w:id="1507554592">
      <w:bodyDiv w:val="1"/>
      <w:marLeft w:val="0"/>
      <w:marRight w:val="0"/>
      <w:marTop w:val="0"/>
      <w:marBottom w:val="0"/>
      <w:divBdr>
        <w:top w:val="none" w:sz="0" w:space="0" w:color="auto"/>
        <w:left w:val="none" w:sz="0" w:space="0" w:color="auto"/>
        <w:bottom w:val="none" w:sz="0" w:space="0" w:color="auto"/>
        <w:right w:val="none" w:sz="0" w:space="0" w:color="auto"/>
      </w:divBdr>
    </w:div>
    <w:div w:id="1520852015">
      <w:bodyDiv w:val="1"/>
      <w:marLeft w:val="0"/>
      <w:marRight w:val="0"/>
      <w:marTop w:val="0"/>
      <w:marBottom w:val="0"/>
      <w:divBdr>
        <w:top w:val="none" w:sz="0" w:space="0" w:color="auto"/>
        <w:left w:val="none" w:sz="0" w:space="0" w:color="auto"/>
        <w:bottom w:val="none" w:sz="0" w:space="0" w:color="auto"/>
        <w:right w:val="none" w:sz="0" w:space="0" w:color="auto"/>
      </w:divBdr>
    </w:div>
    <w:div w:id="1535968604">
      <w:bodyDiv w:val="1"/>
      <w:marLeft w:val="0"/>
      <w:marRight w:val="0"/>
      <w:marTop w:val="0"/>
      <w:marBottom w:val="0"/>
      <w:divBdr>
        <w:top w:val="none" w:sz="0" w:space="0" w:color="auto"/>
        <w:left w:val="none" w:sz="0" w:space="0" w:color="auto"/>
        <w:bottom w:val="none" w:sz="0" w:space="0" w:color="auto"/>
        <w:right w:val="none" w:sz="0" w:space="0" w:color="auto"/>
      </w:divBdr>
    </w:div>
    <w:div w:id="1549534402">
      <w:bodyDiv w:val="1"/>
      <w:marLeft w:val="0"/>
      <w:marRight w:val="0"/>
      <w:marTop w:val="0"/>
      <w:marBottom w:val="0"/>
      <w:divBdr>
        <w:top w:val="none" w:sz="0" w:space="0" w:color="auto"/>
        <w:left w:val="none" w:sz="0" w:space="0" w:color="auto"/>
        <w:bottom w:val="none" w:sz="0" w:space="0" w:color="auto"/>
        <w:right w:val="none" w:sz="0" w:space="0" w:color="auto"/>
      </w:divBdr>
    </w:div>
    <w:div w:id="1552227277">
      <w:bodyDiv w:val="1"/>
      <w:marLeft w:val="0"/>
      <w:marRight w:val="0"/>
      <w:marTop w:val="0"/>
      <w:marBottom w:val="0"/>
      <w:divBdr>
        <w:top w:val="none" w:sz="0" w:space="0" w:color="auto"/>
        <w:left w:val="none" w:sz="0" w:space="0" w:color="auto"/>
        <w:bottom w:val="none" w:sz="0" w:space="0" w:color="auto"/>
        <w:right w:val="none" w:sz="0" w:space="0" w:color="auto"/>
      </w:divBdr>
    </w:div>
    <w:div w:id="1559124618">
      <w:bodyDiv w:val="1"/>
      <w:marLeft w:val="0"/>
      <w:marRight w:val="0"/>
      <w:marTop w:val="0"/>
      <w:marBottom w:val="0"/>
      <w:divBdr>
        <w:top w:val="none" w:sz="0" w:space="0" w:color="auto"/>
        <w:left w:val="none" w:sz="0" w:space="0" w:color="auto"/>
        <w:bottom w:val="none" w:sz="0" w:space="0" w:color="auto"/>
        <w:right w:val="none" w:sz="0" w:space="0" w:color="auto"/>
      </w:divBdr>
    </w:div>
    <w:div w:id="1589539799">
      <w:bodyDiv w:val="1"/>
      <w:marLeft w:val="0"/>
      <w:marRight w:val="0"/>
      <w:marTop w:val="0"/>
      <w:marBottom w:val="0"/>
      <w:divBdr>
        <w:top w:val="none" w:sz="0" w:space="0" w:color="auto"/>
        <w:left w:val="none" w:sz="0" w:space="0" w:color="auto"/>
        <w:bottom w:val="none" w:sz="0" w:space="0" w:color="auto"/>
        <w:right w:val="none" w:sz="0" w:space="0" w:color="auto"/>
      </w:divBdr>
    </w:div>
    <w:div w:id="1595554322">
      <w:bodyDiv w:val="1"/>
      <w:marLeft w:val="0"/>
      <w:marRight w:val="0"/>
      <w:marTop w:val="0"/>
      <w:marBottom w:val="0"/>
      <w:divBdr>
        <w:top w:val="none" w:sz="0" w:space="0" w:color="auto"/>
        <w:left w:val="none" w:sz="0" w:space="0" w:color="auto"/>
        <w:bottom w:val="none" w:sz="0" w:space="0" w:color="auto"/>
        <w:right w:val="none" w:sz="0" w:space="0" w:color="auto"/>
      </w:divBdr>
    </w:div>
    <w:div w:id="1599176406">
      <w:bodyDiv w:val="1"/>
      <w:marLeft w:val="0"/>
      <w:marRight w:val="0"/>
      <w:marTop w:val="0"/>
      <w:marBottom w:val="0"/>
      <w:divBdr>
        <w:top w:val="none" w:sz="0" w:space="0" w:color="auto"/>
        <w:left w:val="none" w:sz="0" w:space="0" w:color="auto"/>
        <w:bottom w:val="none" w:sz="0" w:space="0" w:color="auto"/>
        <w:right w:val="none" w:sz="0" w:space="0" w:color="auto"/>
      </w:divBdr>
    </w:div>
    <w:div w:id="1609123290">
      <w:bodyDiv w:val="1"/>
      <w:marLeft w:val="0"/>
      <w:marRight w:val="0"/>
      <w:marTop w:val="0"/>
      <w:marBottom w:val="0"/>
      <w:divBdr>
        <w:top w:val="none" w:sz="0" w:space="0" w:color="auto"/>
        <w:left w:val="none" w:sz="0" w:space="0" w:color="auto"/>
        <w:bottom w:val="none" w:sz="0" w:space="0" w:color="auto"/>
        <w:right w:val="none" w:sz="0" w:space="0" w:color="auto"/>
      </w:divBdr>
    </w:div>
    <w:div w:id="1620841039">
      <w:bodyDiv w:val="1"/>
      <w:marLeft w:val="0"/>
      <w:marRight w:val="0"/>
      <w:marTop w:val="0"/>
      <w:marBottom w:val="0"/>
      <w:divBdr>
        <w:top w:val="none" w:sz="0" w:space="0" w:color="auto"/>
        <w:left w:val="none" w:sz="0" w:space="0" w:color="auto"/>
        <w:bottom w:val="none" w:sz="0" w:space="0" w:color="auto"/>
        <w:right w:val="none" w:sz="0" w:space="0" w:color="auto"/>
      </w:divBdr>
    </w:div>
    <w:div w:id="1630086875">
      <w:bodyDiv w:val="1"/>
      <w:marLeft w:val="0"/>
      <w:marRight w:val="0"/>
      <w:marTop w:val="0"/>
      <w:marBottom w:val="0"/>
      <w:divBdr>
        <w:top w:val="none" w:sz="0" w:space="0" w:color="auto"/>
        <w:left w:val="none" w:sz="0" w:space="0" w:color="auto"/>
        <w:bottom w:val="none" w:sz="0" w:space="0" w:color="auto"/>
        <w:right w:val="none" w:sz="0" w:space="0" w:color="auto"/>
      </w:divBdr>
    </w:div>
    <w:div w:id="1646817131">
      <w:bodyDiv w:val="1"/>
      <w:marLeft w:val="0"/>
      <w:marRight w:val="0"/>
      <w:marTop w:val="0"/>
      <w:marBottom w:val="0"/>
      <w:divBdr>
        <w:top w:val="none" w:sz="0" w:space="0" w:color="auto"/>
        <w:left w:val="none" w:sz="0" w:space="0" w:color="auto"/>
        <w:bottom w:val="none" w:sz="0" w:space="0" w:color="auto"/>
        <w:right w:val="none" w:sz="0" w:space="0" w:color="auto"/>
      </w:divBdr>
    </w:div>
    <w:div w:id="1672834548">
      <w:bodyDiv w:val="1"/>
      <w:marLeft w:val="0"/>
      <w:marRight w:val="0"/>
      <w:marTop w:val="0"/>
      <w:marBottom w:val="0"/>
      <w:divBdr>
        <w:top w:val="none" w:sz="0" w:space="0" w:color="auto"/>
        <w:left w:val="none" w:sz="0" w:space="0" w:color="auto"/>
        <w:bottom w:val="none" w:sz="0" w:space="0" w:color="auto"/>
        <w:right w:val="none" w:sz="0" w:space="0" w:color="auto"/>
      </w:divBdr>
    </w:div>
    <w:div w:id="1690175888">
      <w:bodyDiv w:val="1"/>
      <w:marLeft w:val="0"/>
      <w:marRight w:val="0"/>
      <w:marTop w:val="0"/>
      <w:marBottom w:val="0"/>
      <w:divBdr>
        <w:top w:val="none" w:sz="0" w:space="0" w:color="auto"/>
        <w:left w:val="none" w:sz="0" w:space="0" w:color="auto"/>
        <w:bottom w:val="none" w:sz="0" w:space="0" w:color="auto"/>
        <w:right w:val="none" w:sz="0" w:space="0" w:color="auto"/>
      </w:divBdr>
    </w:div>
    <w:div w:id="1765878426">
      <w:bodyDiv w:val="1"/>
      <w:marLeft w:val="0"/>
      <w:marRight w:val="0"/>
      <w:marTop w:val="0"/>
      <w:marBottom w:val="0"/>
      <w:divBdr>
        <w:top w:val="none" w:sz="0" w:space="0" w:color="auto"/>
        <w:left w:val="none" w:sz="0" w:space="0" w:color="auto"/>
        <w:bottom w:val="none" w:sz="0" w:space="0" w:color="auto"/>
        <w:right w:val="none" w:sz="0" w:space="0" w:color="auto"/>
      </w:divBdr>
    </w:div>
    <w:div w:id="1779568759">
      <w:bodyDiv w:val="1"/>
      <w:marLeft w:val="0"/>
      <w:marRight w:val="0"/>
      <w:marTop w:val="0"/>
      <w:marBottom w:val="0"/>
      <w:divBdr>
        <w:top w:val="none" w:sz="0" w:space="0" w:color="auto"/>
        <w:left w:val="none" w:sz="0" w:space="0" w:color="auto"/>
        <w:bottom w:val="none" w:sz="0" w:space="0" w:color="auto"/>
        <w:right w:val="none" w:sz="0" w:space="0" w:color="auto"/>
      </w:divBdr>
    </w:div>
    <w:div w:id="1780177694">
      <w:bodyDiv w:val="1"/>
      <w:marLeft w:val="0"/>
      <w:marRight w:val="0"/>
      <w:marTop w:val="0"/>
      <w:marBottom w:val="0"/>
      <w:divBdr>
        <w:top w:val="none" w:sz="0" w:space="0" w:color="auto"/>
        <w:left w:val="none" w:sz="0" w:space="0" w:color="auto"/>
        <w:bottom w:val="none" w:sz="0" w:space="0" w:color="auto"/>
        <w:right w:val="none" w:sz="0" w:space="0" w:color="auto"/>
      </w:divBdr>
    </w:div>
    <w:div w:id="1784416917">
      <w:bodyDiv w:val="1"/>
      <w:marLeft w:val="0"/>
      <w:marRight w:val="0"/>
      <w:marTop w:val="0"/>
      <w:marBottom w:val="0"/>
      <w:divBdr>
        <w:top w:val="none" w:sz="0" w:space="0" w:color="auto"/>
        <w:left w:val="none" w:sz="0" w:space="0" w:color="auto"/>
        <w:bottom w:val="none" w:sz="0" w:space="0" w:color="auto"/>
        <w:right w:val="none" w:sz="0" w:space="0" w:color="auto"/>
      </w:divBdr>
    </w:div>
    <w:div w:id="1797260744">
      <w:bodyDiv w:val="1"/>
      <w:marLeft w:val="0"/>
      <w:marRight w:val="0"/>
      <w:marTop w:val="0"/>
      <w:marBottom w:val="0"/>
      <w:divBdr>
        <w:top w:val="none" w:sz="0" w:space="0" w:color="auto"/>
        <w:left w:val="none" w:sz="0" w:space="0" w:color="auto"/>
        <w:bottom w:val="none" w:sz="0" w:space="0" w:color="auto"/>
        <w:right w:val="none" w:sz="0" w:space="0" w:color="auto"/>
      </w:divBdr>
    </w:div>
    <w:div w:id="1822966672">
      <w:bodyDiv w:val="1"/>
      <w:marLeft w:val="0"/>
      <w:marRight w:val="0"/>
      <w:marTop w:val="0"/>
      <w:marBottom w:val="0"/>
      <w:divBdr>
        <w:top w:val="none" w:sz="0" w:space="0" w:color="auto"/>
        <w:left w:val="none" w:sz="0" w:space="0" w:color="auto"/>
        <w:bottom w:val="none" w:sz="0" w:space="0" w:color="auto"/>
        <w:right w:val="none" w:sz="0" w:space="0" w:color="auto"/>
      </w:divBdr>
    </w:div>
    <w:div w:id="1848666706">
      <w:bodyDiv w:val="1"/>
      <w:marLeft w:val="0"/>
      <w:marRight w:val="0"/>
      <w:marTop w:val="0"/>
      <w:marBottom w:val="0"/>
      <w:divBdr>
        <w:top w:val="none" w:sz="0" w:space="0" w:color="auto"/>
        <w:left w:val="none" w:sz="0" w:space="0" w:color="auto"/>
        <w:bottom w:val="none" w:sz="0" w:space="0" w:color="auto"/>
        <w:right w:val="none" w:sz="0" w:space="0" w:color="auto"/>
      </w:divBdr>
    </w:div>
    <w:div w:id="1852139882">
      <w:bodyDiv w:val="1"/>
      <w:marLeft w:val="0"/>
      <w:marRight w:val="0"/>
      <w:marTop w:val="0"/>
      <w:marBottom w:val="0"/>
      <w:divBdr>
        <w:top w:val="none" w:sz="0" w:space="0" w:color="auto"/>
        <w:left w:val="none" w:sz="0" w:space="0" w:color="auto"/>
        <w:bottom w:val="none" w:sz="0" w:space="0" w:color="auto"/>
        <w:right w:val="none" w:sz="0" w:space="0" w:color="auto"/>
      </w:divBdr>
    </w:div>
    <w:div w:id="1854808048">
      <w:bodyDiv w:val="1"/>
      <w:marLeft w:val="0"/>
      <w:marRight w:val="0"/>
      <w:marTop w:val="0"/>
      <w:marBottom w:val="0"/>
      <w:divBdr>
        <w:top w:val="none" w:sz="0" w:space="0" w:color="auto"/>
        <w:left w:val="none" w:sz="0" w:space="0" w:color="auto"/>
        <w:bottom w:val="none" w:sz="0" w:space="0" w:color="auto"/>
        <w:right w:val="none" w:sz="0" w:space="0" w:color="auto"/>
      </w:divBdr>
    </w:div>
    <w:div w:id="1860774003">
      <w:bodyDiv w:val="1"/>
      <w:marLeft w:val="0"/>
      <w:marRight w:val="0"/>
      <w:marTop w:val="0"/>
      <w:marBottom w:val="0"/>
      <w:divBdr>
        <w:top w:val="none" w:sz="0" w:space="0" w:color="auto"/>
        <w:left w:val="none" w:sz="0" w:space="0" w:color="auto"/>
        <w:bottom w:val="none" w:sz="0" w:space="0" w:color="auto"/>
        <w:right w:val="none" w:sz="0" w:space="0" w:color="auto"/>
      </w:divBdr>
    </w:div>
    <w:div w:id="1897205310">
      <w:bodyDiv w:val="1"/>
      <w:marLeft w:val="0"/>
      <w:marRight w:val="0"/>
      <w:marTop w:val="0"/>
      <w:marBottom w:val="0"/>
      <w:divBdr>
        <w:top w:val="none" w:sz="0" w:space="0" w:color="auto"/>
        <w:left w:val="none" w:sz="0" w:space="0" w:color="auto"/>
        <w:bottom w:val="none" w:sz="0" w:space="0" w:color="auto"/>
        <w:right w:val="none" w:sz="0" w:space="0" w:color="auto"/>
      </w:divBdr>
    </w:div>
    <w:div w:id="1904363042">
      <w:bodyDiv w:val="1"/>
      <w:marLeft w:val="0"/>
      <w:marRight w:val="0"/>
      <w:marTop w:val="0"/>
      <w:marBottom w:val="0"/>
      <w:divBdr>
        <w:top w:val="none" w:sz="0" w:space="0" w:color="auto"/>
        <w:left w:val="none" w:sz="0" w:space="0" w:color="auto"/>
        <w:bottom w:val="none" w:sz="0" w:space="0" w:color="auto"/>
        <w:right w:val="none" w:sz="0" w:space="0" w:color="auto"/>
      </w:divBdr>
    </w:div>
    <w:div w:id="1908223411">
      <w:bodyDiv w:val="1"/>
      <w:marLeft w:val="0"/>
      <w:marRight w:val="0"/>
      <w:marTop w:val="0"/>
      <w:marBottom w:val="0"/>
      <w:divBdr>
        <w:top w:val="none" w:sz="0" w:space="0" w:color="auto"/>
        <w:left w:val="none" w:sz="0" w:space="0" w:color="auto"/>
        <w:bottom w:val="none" w:sz="0" w:space="0" w:color="auto"/>
        <w:right w:val="none" w:sz="0" w:space="0" w:color="auto"/>
      </w:divBdr>
    </w:div>
    <w:div w:id="1917548538">
      <w:bodyDiv w:val="1"/>
      <w:marLeft w:val="0"/>
      <w:marRight w:val="0"/>
      <w:marTop w:val="0"/>
      <w:marBottom w:val="0"/>
      <w:divBdr>
        <w:top w:val="none" w:sz="0" w:space="0" w:color="auto"/>
        <w:left w:val="none" w:sz="0" w:space="0" w:color="auto"/>
        <w:bottom w:val="none" w:sz="0" w:space="0" w:color="auto"/>
        <w:right w:val="none" w:sz="0" w:space="0" w:color="auto"/>
      </w:divBdr>
    </w:div>
    <w:div w:id="1925412354">
      <w:bodyDiv w:val="1"/>
      <w:marLeft w:val="0"/>
      <w:marRight w:val="0"/>
      <w:marTop w:val="0"/>
      <w:marBottom w:val="0"/>
      <w:divBdr>
        <w:top w:val="none" w:sz="0" w:space="0" w:color="auto"/>
        <w:left w:val="none" w:sz="0" w:space="0" w:color="auto"/>
        <w:bottom w:val="none" w:sz="0" w:space="0" w:color="auto"/>
        <w:right w:val="none" w:sz="0" w:space="0" w:color="auto"/>
      </w:divBdr>
    </w:div>
    <w:div w:id="1928537713">
      <w:bodyDiv w:val="1"/>
      <w:marLeft w:val="0"/>
      <w:marRight w:val="0"/>
      <w:marTop w:val="0"/>
      <w:marBottom w:val="0"/>
      <w:divBdr>
        <w:top w:val="none" w:sz="0" w:space="0" w:color="auto"/>
        <w:left w:val="none" w:sz="0" w:space="0" w:color="auto"/>
        <w:bottom w:val="none" w:sz="0" w:space="0" w:color="auto"/>
        <w:right w:val="none" w:sz="0" w:space="0" w:color="auto"/>
      </w:divBdr>
    </w:div>
    <w:div w:id="1951472108">
      <w:bodyDiv w:val="1"/>
      <w:marLeft w:val="0"/>
      <w:marRight w:val="0"/>
      <w:marTop w:val="0"/>
      <w:marBottom w:val="0"/>
      <w:divBdr>
        <w:top w:val="none" w:sz="0" w:space="0" w:color="auto"/>
        <w:left w:val="none" w:sz="0" w:space="0" w:color="auto"/>
        <w:bottom w:val="none" w:sz="0" w:space="0" w:color="auto"/>
        <w:right w:val="none" w:sz="0" w:space="0" w:color="auto"/>
      </w:divBdr>
    </w:div>
    <w:div w:id="1955164034">
      <w:bodyDiv w:val="1"/>
      <w:marLeft w:val="0"/>
      <w:marRight w:val="0"/>
      <w:marTop w:val="0"/>
      <w:marBottom w:val="0"/>
      <w:divBdr>
        <w:top w:val="none" w:sz="0" w:space="0" w:color="auto"/>
        <w:left w:val="none" w:sz="0" w:space="0" w:color="auto"/>
        <w:bottom w:val="none" w:sz="0" w:space="0" w:color="auto"/>
        <w:right w:val="none" w:sz="0" w:space="0" w:color="auto"/>
      </w:divBdr>
    </w:div>
    <w:div w:id="1994214231">
      <w:bodyDiv w:val="1"/>
      <w:marLeft w:val="0"/>
      <w:marRight w:val="0"/>
      <w:marTop w:val="0"/>
      <w:marBottom w:val="0"/>
      <w:divBdr>
        <w:top w:val="none" w:sz="0" w:space="0" w:color="auto"/>
        <w:left w:val="none" w:sz="0" w:space="0" w:color="auto"/>
        <w:bottom w:val="none" w:sz="0" w:space="0" w:color="auto"/>
        <w:right w:val="none" w:sz="0" w:space="0" w:color="auto"/>
      </w:divBdr>
    </w:div>
    <w:div w:id="2002586863">
      <w:bodyDiv w:val="1"/>
      <w:marLeft w:val="0"/>
      <w:marRight w:val="0"/>
      <w:marTop w:val="0"/>
      <w:marBottom w:val="0"/>
      <w:divBdr>
        <w:top w:val="none" w:sz="0" w:space="0" w:color="auto"/>
        <w:left w:val="none" w:sz="0" w:space="0" w:color="auto"/>
        <w:bottom w:val="none" w:sz="0" w:space="0" w:color="auto"/>
        <w:right w:val="none" w:sz="0" w:space="0" w:color="auto"/>
      </w:divBdr>
    </w:div>
    <w:div w:id="2006393059">
      <w:bodyDiv w:val="1"/>
      <w:marLeft w:val="0"/>
      <w:marRight w:val="0"/>
      <w:marTop w:val="0"/>
      <w:marBottom w:val="0"/>
      <w:divBdr>
        <w:top w:val="none" w:sz="0" w:space="0" w:color="auto"/>
        <w:left w:val="none" w:sz="0" w:space="0" w:color="auto"/>
        <w:bottom w:val="none" w:sz="0" w:space="0" w:color="auto"/>
        <w:right w:val="none" w:sz="0" w:space="0" w:color="auto"/>
      </w:divBdr>
    </w:div>
    <w:div w:id="2009480216">
      <w:bodyDiv w:val="1"/>
      <w:marLeft w:val="0"/>
      <w:marRight w:val="0"/>
      <w:marTop w:val="0"/>
      <w:marBottom w:val="0"/>
      <w:divBdr>
        <w:top w:val="none" w:sz="0" w:space="0" w:color="auto"/>
        <w:left w:val="none" w:sz="0" w:space="0" w:color="auto"/>
        <w:bottom w:val="none" w:sz="0" w:space="0" w:color="auto"/>
        <w:right w:val="none" w:sz="0" w:space="0" w:color="auto"/>
      </w:divBdr>
    </w:div>
    <w:div w:id="2022732585">
      <w:bodyDiv w:val="1"/>
      <w:marLeft w:val="0"/>
      <w:marRight w:val="0"/>
      <w:marTop w:val="0"/>
      <w:marBottom w:val="0"/>
      <w:divBdr>
        <w:top w:val="none" w:sz="0" w:space="0" w:color="auto"/>
        <w:left w:val="none" w:sz="0" w:space="0" w:color="auto"/>
        <w:bottom w:val="none" w:sz="0" w:space="0" w:color="auto"/>
        <w:right w:val="none" w:sz="0" w:space="0" w:color="auto"/>
      </w:divBdr>
    </w:div>
    <w:div w:id="2025938696">
      <w:bodyDiv w:val="1"/>
      <w:marLeft w:val="0"/>
      <w:marRight w:val="0"/>
      <w:marTop w:val="0"/>
      <w:marBottom w:val="0"/>
      <w:divBdr>
        <w:top w:val="none" w:sz="0" w:space="0" w:color="auto"/>
        <w:left w:val="none" w:sz="0" w:space="0" w:color="auto"/>
        <w:bottom w:val="none" w:sz="0" w:space="0" w:color="auto"/>
        <w:right w:val="none" w:sz="0" w:space="0" w:color="auto"/>
      </w:divBdr>
    </w:div>
    <w:div w:id="2027907070">
      <w:bodyDiv w:val="1"/>
      <w:marLeft w:val="0"/>
      <w:marRight w:val="0"/>
      <w:marTop w:val="0"/>
      <w:marBottom w:val="0"/>
      <w:divBdr>
        <w:top w:val="none" w:sz="0" w:space="0" w:color="auto"/>
        <w:left w:val="none" w:sz="0" w:space="0" w:color="auto"/>
        <w:bottom w:val="none" w:sz="0" w:space="0" w:color="auto"/>
        <w:right w:val="none" w:sz="0" w:space="0" w:color="auto"/>
      </w:divBdr>
    </w:div>
    <w:div w:id="2029523230">
      <w:bodyDiv w:val="1"/>
      <w:marLeft w:val="0"/>
      <w:marRight w:val="0"/>
      <w:marTop w:val="0"/>
      <w:marBottom w:val="0"/>
      <w:divBdr>
        <w:top w:val="none" w:sz="0" w:space="0" w:color="auto"/>
        <w:left w:val="none" w:sz="0" w:space="0" w:color="auto"/>
        <w:bottom w:val="none" w:sz="0" w:space="0" w:color="auto"/>
        <w:right w:val="none" w:sz="0" w:space="0" w:color="auto"/>
      </w:divBdr>
    </w:div>
    <w:div w:id="2035880012">
      <w:bodyDiv w:val="1"/>
      <w:marLeft w:val="0"/>
      <w:marRight w:val="0"/>
      <w:marTop w:val="0"/>
      <w:marBottom w:val="0"/>
      <w:divBdr>
        <w:top w:val="none" w:sz="0" w:space="0" w:color="auto"/>
        <w:left w:val="none" w:sz="0" w:space="0" w:color="auto"/>
        <w:bottom w:val="none" w:sz="0" w:space="0" w:color="auto"/>
        <w:right w:val="none" w:sz="0" w:space="0" w:color="auto"/>
      </w:divBdr>
    </w:div>
    <w:div w:id="2036419330">
      <w:bodyDiv w:val="1"/>
      <w:marLeft w:val="0"/>
      <w:marRight w:val="0"/>
      <w:marTop w:val="0"/>
      <w:marBottom w:val="0"/>
      <w:divBdr>
        <w:top w:val="none" w:sz="0" w:space="0" w:color="auto"/>
        <w:left w:val="none" w:sz="0" w:space="0" w:color="auto"/>
        <w:bottom w:val="none" w:sz="0" w:space="0" w:color="auto"/>
        <w:right w:val="none" w:sz="0" w:space="0" w:color="auto"/>
      </w:divBdr>
    </w:div>
    <w:div w:id="2038192847">
      <w:bodyDiv w:val="1"/>
      <w:marLeft w:val="0"/>
      <w:marRight w:val="0"/>
      <w:marTop w:val="0"/>
      <w:marBottom w:val="0"/>
      <w:divBdr>
        <w:top w:val="none" w:sz="0" w:space="0" w:color="auto"/>
        <w:left w:val="none" w:sz="0" w:space="0" w:color="auto"/>
        <w:bottom w:val="none" w:sz="0" w:space="0" w:color="auto"/>
        <w:right w:val="none" w:sz="0" w:space="0" w:color="auto"/>
      </w:divBdr>
    </w:div>
    <w:div w:id="2043626889">
      <w:bodyDiv w:val="1"/>
      <w:marLeft w:val="0"/>
      <w:marRight w:val="0"/>
      <w:marTop w:val="0"/>
      <w:marBottom w:val="0"/>
      <w:divBdr>
        <w:top w:val="none" w:sz="0" w:space="0" w:color="auto"/>
        <w:left w:val="none" w:sz="0" w:space="0" w:color="auto"/>
        <w:bottom w:val="none" w:sz="0" w:space="0" w:color="auto"/>
        <w:right w:val="none" w:sz="0" w:space="0" w:color="auto"/>
      </w:divBdr>
    </w:div>
    <w:div w:id="2072657837">
      <w:bodyDiv w:val="1"/>
      <w:marLeft w:val="0"/>
      <w:marRight w:val="0"/>
      <w:marTop w:val="0"/>
      <w:marBottom w:val="0"/>
      <w:divBdr>
        <w:top w:val="none" w:sz="0" w:space="0" w:color="auto"/>
        <w:left w:val="none" w:sz="0" w:space="0" w:color="auto"/>
        <w:bottom w:val="none" w:sz="0" w:space="0" w:color="auto"/>
        <w:right w:val="none" w:sz="0" w:space="0" w:color="auto"/>
      </w:divBdr>
    </w:div>
    <w:div w:id="2089424506">
      <w:bodyDiv w:val="1"/>
      <w:marLeft w:val="0"/>
      <w:marRight w:val="0"/>
      <w:marTop w:val="0"/>
      <w:marBottom w:val="0"/>
      <w:divBdr>
        <w:top w:val="none" w:sz="0" w:space="0" w:color="auto"/>
        <w:left w:val="none" w:sz="0" w:space="0" w:color="auto"/>
        <w:bottom w:val="none" w:sz="0" w:space="0" w:color="auto"/>
        <w:right w:val="none" w:sz="0" w:space="0" w:color="auto"/>
      </w:divBdr>
    </w:div>
    <w:div w:id="2094088460">
      <w:bodyDiv w:val="1"/>
      <w:marLeft w:val="0"/>
      <w:marRight w:val="0"/>
      <w:marTop w:val="0"/>
      <w:marBottom w:val="0"/>
      <w:divBdr>
        <w:top w:val="none" w:sz="0" w:space="0" w:color="auto"/>
        <w:left w:val="none" w:sz="0" w:space="0" w:color="auto"/>
        <w:bottom w:val="none" w:sz="0" w:space="0" w:color="auto"/>
        <w:right w:val="none" w:sz="0" w:space="0" w:color="auto"/>
      </w:divBdr>
    </w:div>
    <w:div w:id="2096199318">
      <w:bodyDiv w:val="1"/>
      <w:marLeft w:val="0"/>
      <w:marRight w:val="0"/>
      <w:marTop w:val="0"/>
      <w:marBottom w:val="0"/>
      <w:divBdr>
        <w:top w:val="none" w:sz="0" w:space="0" w:color="auto"/>
        <w:left w:val="none" w:sz="0" w:space="0" w:color="auto"/>
        <w:bottom w:val="none" w:sz="0" w:space="0" w:color="auto"/>
        <w:right w:val="none" w:sz="0" w:space="0" w:color="auto"/>
      </w:divBdr>
    </w:div>
    <w:div w:id="2113042428">
      <w:bodyDiv w:val="1"/>
      <w:marLeft w:val="0"/>
      <w:marRight w:val="0"/>
      <w:marTop w:val="0"/>
      <w:marBottom w:val="0"/>
      <w:divBdr>
        <w:top w:val="none" w:sz="0" w:space="0" w:color="auto"/>
        <w:left w:val="none" w:sz="0" w:space="0" w:color="auto"/>
        <w:bottom w:val="none" w:sz="0" w:space="0" w:color="auto"/>
        <w:right w:val="none" w:sz="0" w:space="0" w:color="auto"/>
      </w:divBdr>
    </w:div>
    <w:div w:id="2118140745">
      <w:bodyDiv w:val="1"/>
      <w:marLeft w:val="0"/>
      <w:marRight w:val="0"/>
      <w:marTop w:val="0"/>
      <w:marBottom w:val="0"/>
      <w:divBdr>
        <w:top w:val="none" w:sz="0" w:space="0" w:color="auto"/>
        <w:left w:val="none" w:sz="0" w:space="0" w:color="auto"/>
        <w:bottom w:val="none" w:sz="0" w:space="0" w:color="auto"/>
        <w:right w:val="none" w:sz="0" w:space="0" w:color="auto"/>
      </w:divBdr>
    </w:div>
    <w:div w:id="21303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6D9829BB21D49AF2AFE791C5DD694" ma:contentTypeVersion="0" ma:contentTypeDescription="Create a new document." ma:contentTypeScope="" ma:versionID="dc02c5872bdef33f3b4ae20b1e70fb3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C42A1-A1C3-4485-9EAC-7EDFFEF712A0}">
  <ds:schemaRefs>
    <ds:schemaRef ds:uri="http://schemas.microsoft.com/sharepoint/v3/contenttype/forms"/>
  </ds:schemaRefs>
</ds:datastoreItem>
</file>

<file path=customXml/itemProps2.xml><?xml version="1.0" encoding="utf-8"?>
<ds:datastoreItem xmlns:ds="http://schemas.openxmlformats.org/officeDocument/2006/customXml" ds:itemID="{210612CB-24AE-4AF8-BFB3-5424486158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9649C-C766-439D-A7E2-7A10D346B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23A6998-1D4A-4FBA-A909-41F07DF3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16860</Words>
  <Characters>96108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112743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Windows User</cp:lastModifiedBy>
  <cp:revision>9</cp:revision>
  <cp:lastPrinted>2016-07-13T18:10:00Z</cp:lastPrinted>
  <dcterms:created xsi:type="dcterms:W3CDTF">2016-07-28T19:40:00Z</dcterms:created>
  <dcterms:modified xsi:type="dcterms:W3CDTF">2016-08-24T13:57:00Z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0x010100CFD6D9829BB21D49AF2AFE791C5DD694</vt:lpwstr>
  </property>
</Properties>
</file>